
<file path=[Content_Types].xml><?xml version="1.0" encoding="utf-8"?>
<Types xmlns="http://schemas.openxmlformats.org/package/2006/content-types">
  <Default Extension="wmf" ContentType="image/x-wmf"/>
  <Default Extension="jpeg" ContentType="image/jpeg"/>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soumis par les États parties </w:t>
      </w:r>
      <w:r>
        <w:br/>
        <w:t xml:space="preserve">en application de l’article 18 de la Convention </w:t>
      </w:r>
      <w:r>
        <w:br/>
        <w:t>sur l’élimination 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initial et deuxième, troisième, quatrième et cinquième rapports périodiques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w10:anchorlock/>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rPr>
      </w:pPr>
      <w:r>
        <w:tab/>
      </w:r>
      <w:r>
        <w:tab/>
        <w:t>Congo</w:t>
      </w:r>
      <w:r>
        <w:rPr>
          <w:b w:val="0"/>
          <w:bCs/>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pPr>
      <w: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i/>
                <w:sz w:val="14"/>
              </w:rPr>
            </w:pPr>
            <w:r>
              <w:rPr>
                <w:i/>
                <w:sz w:val="14"/>
              </w:rPr>
              <w:t>Chapitre</w:t>
            </w: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t>Liste des sigles et abréviations</w:t>
            </w:r>
            <w:r>
              <w:rPr>
                <w:spacing w:val="60"/>
                <w:sz w:val="17"/>
              </w:rPr>
              <w:tab/>
            </w:r>
          </w:p>
        </w:tc>
        <w:tc>
          <w:tcPr>
            <w:tcW w:w="533" w:type="dxa"/>
            <w:vAlign w:val="bottom"/>
          </w:tcPr>
          <w:p w:rsidR="00000000" w:rsidRDefault="00000000">
            <w:pPr>
              <w:spacing w:after="120"/>
              <w:ind w:right="40"/>
              <w:jc w:val="right"/>
            </w:pPr>
            <w:r>
              <w:t>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rPr>
                <w:spacing w:val="60"/>
                <w:sz w:val="17"/>
              </w:rPr>
            </w:pPr>
            <w:r>
              <w:tab/>
            </w:r>
            <w:r>
              <w:tab/>
              <w:t>Introduction</w:t>
            </w:r>
            <w:r>
              <w:rPr>
                <w:spacing w:val="60"/>
                <w:sz w:val="17"/>
              </w:rPr>
              <w:tab/>
            </w:r>
          </w:p>
        </w:tc>
        <w:tc>
          <w:tcPr>
            <w:tcW w:w="533" w:type="dxa"/>
            <w:vAlign w:val="bottom"/>
          </w:tcPr>
          <w:p w:rsidR="00000000" w:rsidRDefault="00000000">
            <w:pPr>
              <w:spacing w:after="120"/>
              <w:ind w:right="40"/>
              <w:jc w:val="right"/>
            </w:pPr>
            <w:r>
              <w:t>11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hanging="1296"/>
              <w:rPr>
                <w:spacing w:val="60"/>
                <w:sz w:val="17"/>
              </w:rPr>
            </w:pPr>
            <w:r>
              <w:tab/>
            </w:r>
            <w:r>
              <w:tab/>
              <w:t>Première partie :</w:t>
            </w:r>
            <w:r>
              <w:br/>
              <w:t>Le contexte général de la mise en oeuvre de la Convention sur l’élimination de toutes les formes de discrimination à l’égard des femmes</w:t>
            </w:r>
            <w:r>
              <w:rPr>
                <w:spacing w:val="60"/>
                <w:sz w:val="17"/>
              </w:rPr>
              <w:tab/>
            </w:r>
          </w:p>
        </w:tc>
        <w:tc>
          <w:tcPr>
            <w:tcW w:w="533" w:type="dxa"/>
            <w:vAlign w:val="bottom"/>
          </w:tcPr>
          <w:p w:rsidR="00000000" w:rsidRDefault="00000000">
            <w:pPr>
              <w:spacing w:after="120"/>
              <w:ind w:right="40"/>
              <w:jc w:val="right"/>
            </w:pPr>
            <w:r>
              <w:t>13</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right" w:leader="dot" w:pos="9360"/>
              </w:tabs>
              <w:suppressAutoHyphens/>
              <w:spacing w:after="120"/>
            </w:pPr>
            <w:r>
              <w:tab/>
              <w:t>Présentation du Congo</w:t>
            </w:r>
            <w:r>
              <w:rPr>
                <w:spacing w:val="60"/>
                <w:sz w:val="17"/>
              </w:rPr>
              <w:tab/>
            </w:r>
          </w:p>
        </w:tc>
        <w:tc>
          <w:tcPr>
            <w:tcW w:w="533" w:type="dxa"/>
            <w:vAlign w:val="bottom"/>
          </w:tcPr>
          <w:p w:rsidR="00000000" w:rsidRDefault="00000000">
            <w:pPr>
              <w:spacing w:after="120"/>
              <w:ind w:right="40"/>
              <w:jc w:val="right"/>
            </w:pPr>
            <w:r>
              <w:t>14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spacing w:val="60"/>
                <w:sz w:val="17"/>
              </w:rPr>
            </w:pPr>
            <w:r>
              <w:tab/>
            </w:r>
            <w:r>
              <w:tab/>
              <w:t>Section I : Situation géographique, démographique et économique</w:t>
            </w:r>
            <w:r>
              <w:rPr>
                <w:spacing w:val="60"/>
                <w:sz w:val="17"/>
              </w:rPr>
              <w:tab/>
            </w:r>
          </w:p>
        </w:tc>
        <w:tc>
          <w:tcPr>
            <w:tcW w:w="533" w:type="dxa"/>
            <w:vAlign w:val="bottom"/>
          </w:tcPr>
          <w:p w:rsidR="00000000" w:rsidRDefault="00000000">
            <w:pPr>
              <w:spacing w:after="120"/>
              <w:ind w:right="40"/>
              <w:jc w:val="right"/>
            </w:pPr>
            <w:r>
              <w:t>14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r>
            <w:r>
              <w:tab/>
              <w:t>I.</w:t>
            </w:r>
            <w:r>
              <w:tab/>
              <w:t>La situation géographique</w:t>
            </w:r>
            <w:r>
              <w:rPr>
                <w:spacing w:val="60"/>
                <w:sz w:val="17"/>
              </w:rPr>
              <w:tab/>
            </w:r>
          </w:p>
        </w:tc>
        <w:tc>
          <w:tcPr>
            <w:tcW w:w="533" w:type="dxa"/>
            <w:vAlign w:val="bottom"/>
          </w:tcPr>
          <w:p w:rsidR="00000000" w:rsidRDefault="00000000">
            <w:pPr>
              <w:spacing w:after="120"/>
              <w:ind w:right="40"/>
              <w:jc w:val="right"/>
            </w:pPr>
            <w:r>
              <w:t>14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r>
            <w:r>
              <w:tab/>
              <w:t>II.</w:t>
            </w:r>
            <w:r>
              <w:tab/>
              <w:t>La situation démographique</w:t>
            </w:r>
            <w:r>
              <w:rPr>
                <w:spacing w:val="60"/>
                <w:sz w:val="17"/>
              </w:rPr>
              <w:tab/>
            </w:r>
          </w:p>
        </w:tc>
        <w:tc>
          <w:tcPr>
            <w:tcW w:w="533" w:type="dxa"/>
            <w:vAlign w:val="bottom"/>
          </w:tcPr>
          <w:p w:rsidR="00000000" w:rsidRDefault="00000000">
            <w:pPr>
              <w:spacing w:after="120"/>
              <w:ind w:right="40"/>
              <w:jc w:val="right"/>
            </w:pPr>
            <w:r>
              <w:t>14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rPr>
                <w:spacing w:val="60"/>
                <w:sz w:val="17"/>
              </w:rPr>
            </w:pPr>
            <w:r>
              <w:tab/>
            </w:r>
            <w:r>
              <w:tab/>
            </w:r>
            <w:r>
              <w:tab/>
              <w:t>III.</w:t>
            </w:r>
            <w:r>
              <w:tab/>
              <w:t>L’économie</w:t>
            </w:r>
            <w:r>
              <w:rPr>
                <w:spacing w:val="60"/>
                <w:sz w:val="17"/>
              </w:rPr>
              <w:tab/>
            </w:r>
          </w:p>
        </w:tc>
        <w:tc>
          <w:tcPr>
            <w:tcW w:w="533" w:type="dxa"/>
            <w:vAlign w:val="bottom"/>
          </w:tcPr>
          <w:p w:rsidR="00000000" w:rsidRDefault="00000000">
            <w:pPr>
              <w:spacing w:after="120"/>
              <w:ind w:right="40"/>
              <w:jc w:val="right"/>
            </w:pPr>
            <w:r>
              <w:t>15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pacing w:val="60"/>
                <w:sz w:val="17"/>
              </w:rPr>
            </w:pPr>
            <w:r>
              <w:tab/>
            </w:r>
            <w:r>
              <w:tab/>
              <w:t>Section II : Le système juridique, politique et administratif</w:t>
            </w:r>
            <w:r>
              <w:rPr>
                <w:spacing w:val="60"/>
                <w:sz w:val="17"/>
              </w:rPr>
              <w:tab/>
            </w:r>
          </w:p>
        </w:tc>
        <w:tc>
          <w:tcPr>
            <w:tcW w:w="533" w:type="dxa"/>
            <w:vAlign w:val="bottom"/>
          </w:tcPr>
          <w:p w:rsidR="00000000" w:rsidRDefault="00000000">
            <w:pPr>
              <w:spacing w:after="120"/>
              <w:ind w:right="40"/>
              <w:jc w:val="right"/>
            </w:pPr>
            <w:r>
              <w:t>16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r>
            <w:r>
              <w:tab/>
              <w:t>I.</w:t>
            </w:r>
            <w:r>
              <w:tab/>
              <w:t>Le système juridique</w:t>
            </w:r>
            <w:r>
              <w:rPr>
                <w:spacing w:val="60"/>
                <w:sz w:val="17"/>
              </w:rPr>
              <w:tab/>
            </w:r>
          </w:p>
        </w:tc>
        <w:tc>
          <w:tcPr>
            <w:tcW w:w="533" w:type="dxa"/>
            <w:vAlign w:val="bottom"/>
          </w:tcPr>
          <w:p w:rsidR="00000000" w:rsidRDefault="00000000">
            <w:pPr>
              <w:spacing w:after="120"/>
              <w:ind w:right="40"/>
              <w:jc w:val="right"/>
            </w:pPr>
            <w:r>
              <w:t>16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r>
            <w:r>
              <w:tab/>
              <w:t>II.</w:t>
            </w:r>
            <w:r>
              <w:tab/>
              <w:t>Le système politique</w:t>
            </w:r>
            <w:r>
              <w:rPr>
                <w:spacing w:val="60"/>
                <w:sz w:val="17"/>
              </w:rPr>
              <w:tab/>
            </w:r>
          </w:p>
        </w:tc>
        <w:tc>
          <w:tcPr>
            <w:tcW w:w="533" w:type="dxa"/>
            <w:vAlign w:val="bottom"/>
          </w:tcPr>
          <w:p w:rsidR="00000000" w:rsidRDefault="00000000">
            <w:pPr>
              <w:spacing w:after="120"/>
              <w:ind w:right="40"/>
              <w:jc w:val="right"/>
            </w:pPr>
            <w:r>
              <w:t>16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r>
            <w:r>
              <w:tab/>
              <w:t>III.</w:t>
            </w:r>
            <w:r>
              <w:tab/>
              <w:t>Le système administratif</w:t>
            </w:r>
            <w:r>
              <w:rPr>
                <w:spacing w:val="60"/>
                <w:sz w:val="17"/>
              </w:rPr>
              <w:tab/>
            </w:r>
          </w:p>
        </w:tc>
        <w:tc>
          <w:tcPr>
            <w:tcW w:w="533" w:type="dxa"/>
            <w:vAlign w:val="bottom"/>
          </w:tcPr>
          <w:p w:rsidR="00000000" w:rsidRDefault="00000000">
            <w:pPr>
              <w:spacing w:after="120"/>
              <w:ind w:right="40"/>
              <w:jc w:val="right"/>
            </w:pPr>
            <w:r>
              <w:t>16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spacing w:val="60"/>
                <w:sz w:val="17"/>
              </w:rPr>
            </w:pPr>
            <w:r>
              <w:tab/>
            </w:r>
            <w:r>
              <w:tab/>
              <w:t>Section III : Les mécanismes juridictionnels de protection des droits humains</w:t>
            </w:r>
            <w:r>
              <w:rPr>
                <w:spacing w:val="60"/>
                <w:sz w:val="17"/>
              </w:rPr>
              <w:tab/>
            </w:r>
          </w:p>
        </w:tc>
        <w:tc>
          <w:tcPr>
            <w:tcW w:w="533" w:type="dxa"/>
            <w:vAlign w:val="bottom"/>
          </w:tcPr>
          <w:p w:rsidR="00000000" w:rsidRDefault="00000000">
            <w:pPr>
              <w:spacing w:after="120"/>
              <w:ind w:right="40"/>
              <w:jc w:val="right"/>
            </w:pPr>
            <w:r>
              <w:t>17</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tab/>
              <w:t>Les mesures juridiques, politiques et administratives adoptées dans le cadre de la mise en oeuvre de la Convention et leur conformité avec la législation nationale</w:t>
            </w:r>
            <w:r>
              <w:rPr>
                <w:spacing w:val="60"/>
                <w:sz w:val="17"/>
              </w:rPr>
              <w:tab/>
            </w:r>
          </w:p>
        </w:tc>
        <w:tc>
          <w:tcPr>
            <w:tcW w:w="533" w:type="dxa"/>
            <w:vAlign w:val="bottom"/>
          </w:tcPr>
          <w:p w:rsidR="00000000" w:rsidRDefault="00000000">
            <w:pPr>
              <w:spacing w:after="120"/>
              <w:ind w:right="40"/>
              <w:jc w:val="right"/>
            </w:pPr>
            <w:r>
              <w:t>17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 w:val="17"/>
              </w:rPr>
            </w:pPr>
            <w:r>
              <w:tab/>
            </w:r>
            <w:r>
              <w:tab/>
              <w:t>Section I : La place de la Convention dans l’ordre juridique interne</w:t>
            </w:r>
            <w:r>
              <w:rPr>
                <w:spacing w:val="60"/>
                <w:sz w:val="17"/>
              </w:rPr>
              <w:tab/>
            </w:r>
          </w:p>
        </w:tc>
        <w:tc>
          <w:tcPr>
            <w:tcW w:w="533" w:type="dxa"/>
            <w:vAlign w:val="bottom"/>
          </w:tcPr>
          <w:p w:rsidR="00000000" w:rsidRDefault="00000000">
            <w:pPr>
              <w:spacing w:after="120"/>
              <w:ind w:right="40"/>
              <w:jc w:val="right"/>
            </w:pPr>
            <w:r>
              <w:t>17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 w:val="17"/>
              </w:rPr>
            </w:pPr>
            <w:r>
              <w:tab/>
            </w:r>
            <w:r>
              <w:tab/>
              <w:t>Section II : Les mécanismes nationaux de promotion de la femme</w:t>
            </w:r>
            <w:r>
              <w:rPr>
                <w:spacing w:val="60"/>
                <w:sz w:val="17"/>
              </w:rPr>
              <w:tab/>
            </w:r>
          </w:p>
        </w:tc>
        <w:tc>
          <w:tcPr>
            <w:tcW w:w="533" w:type="dxa"/>
            <w:vAlign w:val="bottom"/>
          </w:tcPr>
          <w:p w:rsidR="00000000" w:rsidRDefault="00000000">
            <w:pPr>
              <w:spacing w:after="120"/>
              <w:ind w:right="40"/>
              <w:jc w:val="right"/>
            </w:pPr>
            <w:r>
              <w:t>18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pacing w:val="60"/>
                <w:sz w:val="17"/>
              </w:rPr>
            </w:pPr>
            <w:r>
              <w:tab/>
            </w:r>
            <w:r>
              <w:tab/>
            </w:r>
            <w:r>
              <w:tab/>
              <w:t>I.</w:t>
            </w:r>
            <w:r>
              <w:tab/>
              <w:t>Les pionnières du mouvement féminin congolais</w:t>
            </w:r>
            <w:r>
              <w:rPr>
                <w:spacing w:val="60"/>
                <w:sz w:val="17"/>
              </w:rPr>
              <w:tab/>
            </w:r>
          </w:p>
        </w:tc>
        <w:tc>
          <w:tcPr>
            <w:tcW w:w="533" w:type="dxa"/>
            <w:vAlign w:val="bottom"/>
          </w:tcPr>
          <w:p w:rsidR="00000000" w:rsidRDefault="00000000">
            <w:pPr>
              <w:spacing w:after="120"/>
              <w:ind w:right="40"/>
              <w:jc w:val="right"/>
            </w:pPr>
            <w:r>
              <w:t>18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spacing w:val="60"/>
                <w:sz w:val="17"/>
              </w:rPr>
            </w:pPr>
            <w:r>
              <w:tab/>
            </w:r>
            <w:r>
              <w:tab/>
            </w:r>
            <w:r>
              <w:tab/>
              <w:t>II.</w:t>
            </w:r>
            <w:r>
              <w:tab/>
              <w:t>La création du Ministère chargé de la promotion de la femme</w:t>
            </w:r>
            <w:r>
              <w:rPr>
                <w:spacing w:val="60"/>
                <w:sz w:val="17"/>
              </w:rPr>
              <w:tab/>
            </w:r>
          </w:p>
        </w:tc>
        <w:tc>
          <w:tcPr>
            <w:tcW w:w="533" w:type="dxa"/>
            <w:vAlign w:val="bottom"/>
          </w:tcPr>
          <w:p w:rsidR="00000000" w:rsidRDefault="00000000">
            <w:pPr>
              <w:spacing w:after="120"/>
              <w:ind w:right="40"/>
              <w:jc w:val="right"/>
            </w:pPr>
            <w:r>
              <w:t>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tab/>
            </w:r>
            <w:r>
              <w:tab/>
            </w:r>
            <w:r>
              <w:tab/>
              <w:t>III.</w:t>
            </w:r>
            <w:r>
              <w:tab/>
              <w:t>Le rôle des autres départements ministériels</w:t>
            </w:r>
            <w:r>
              <w:rPr>
                <w:spacing w:val="60"/>
                <w:sz w:val="17"/>
              </w:rPr>
              <w:tab/>
            </w:r>
          </w:p>
        </w:tc>
        <w:tc>
          <w:tcPr>
            <w:tcW w:w="533" w:type="dxa"/>
            <w:vAlign w:val="bottom"/>
          </w:tcPr>
          <w:p w:rsidR="00000000" w:rsidRDefault="00000000">
            <w:pPr>
              <w:spacing w:after="120"/>
              <w:ind w:right="40"/>
              <w:jc w:val="right"/>
            </w:pPr>
            <w:r>
              <w:t>20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hanging="1296"/>
              <w:rPr>
                <w:spacing w:val="60"/>
                <w:sz w:val="17"/>
              </w:rPr>
            </w:pPr>
            <w:r>
              <w:tab/>
            </w:r>
            <w:r>
              <w:tab/>
              <w:t>Deuxième partie :</w:t>
            </w:r>
            <w:r>
              <w:br/>
              <w:t>Les renseignements spécifiques concernant chaque disposition de la Convention</w:t>
            </w:r>
            <w:r>
              <w:rPr>
                <w:spacing w:val="60"/>
                <w:sz w:val="17"/>
              </w:rPr>
              <w:tab/>
            </w:r>
          </w:p>
        </w:tc>
        <w:tc>
          <w:tcPr>
            <w:tcW w:w="533" w:type="dxa"/>
            <w:vAlign w:val="bottom"/>
          </w:tcPr>
          <w:p w:rsidR="00000000" w:rsidRDefault="00000000">
            <w:pPr>
              <w:spacing w:after="120"/>
              <w:ind w:right="40"/>
              <w:jc w:val="right"/>
            </w:pPr>
            <w:r>
              <w:t>21</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pPr>
            <w:r>
              <w:tab/>
              <w:t>Le cadre constitutionnel et juridique de la protection des droits de la femme (art. 1er à 3)</w:t>
            </w:r>
            <w:r>
              <w:rPr>
                <w:spacing w:val="60"/>
                <w:sz w:val="17"/>
              </w:rPr>
              <w:tab/>
            </w:r>
          </w:p>
        </w:tc>
        <w:tc>
          <w:tcPr>
            <w:tcW w:w="533" w:type="dxa"/>
            <w:vAlign w:val="bottom"/>
          </w:tcPr>
          <w:p w:rsidR="00000000" w:rsidRDefault="00000000">
            <w:pPr>
              <w:spacing w:after="120"/>
              <w:ind w:right="40"/>
              <w:jc w:val="right"/>
            </w:pPr>
            <w:r>
              <w:t>22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hanging="1296"/>
              <w:rPr>
                <w:spacing w:val="60"/>
                <w:sz w:val="17"/>
              </w:rPr>
            </w:pPr>
            <w:r>
              <w:tab/>
            </w:r>
            <w:r>
              <w:tab/>
              <w:t>Section I : La consécration du principe de l’égalité entre les hommes et les femmes et l’interdiction générale de la discrimination</w:t>
            </w:r>
            <w:r>
              <w:rPr>
                <w:spacing w:val="60"/>
                <w:sz w:val="17"/>
              </w:rPr>
              <w:tab/>
            </w:r>
          </w:p>
        </w:tc>
        <w:tc>
          <w:tcPr>
            <w:tcW w:w="533" w:type="dxa"/>
            <w:vAlign w:val="bottom"/>
          </w:tcPr>
          <w:p w:rsidR="00000000" w:rsidRDefault="00000000">
            <w:pPr>
              <w:spacing w:after="120"/>
              <w:ind w:right="40"/>
              <w:jc w:val="right"/>
            </w:pPr>
            <w:r>
              <w:t>23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hanging="1296"/>
              <w:rPr>
                <w:spacing w:val="60"/>
                <w:sz w:val="17"/>
              </w:rPr>
            </w:pPr>
            <w:r>
              <w:tab/>
            </w:r>
            <w:r>
              <w:tab/>
            </w:r>
            <w:r>
              <w:tab/>
              <w:t>I.</w:t>
            </w:r>
            <w:r>
              <w:tab/>
              <w:t>Une reconnaissance traditionnelle</w:t>
            </w:r>
            <w:r>
              <w:rPr>
                <w:spacing w:val="60"/>
                <w:sz w:val="17"/>
              </w:rPr>
              <w:tab/>
            </w:r>
          </w:p>
        </w:tc>
        <w:tc>
          <w:tcPr>
            <w:tcW w:w="533" w:type="dxa"/>
            <w:vAlign w:val="bottom"/>
          </w:tcPr>
          <w:p w:rsidR="00000000" w:rsidRDefault="00000000">
            <w:pPr>
              <w:spacing w:after="120"/>
              <w:ind w:right="40"/>
              <w:jc w:val="right"/>
            </w:pPr>
            <w:r>
              <w:t>23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hanging="1296"/>
              <w:rPr>
                <w:spacing w:val="60"/>
                <w:sz w:val="17"/>
              </w:rPr>
            </w:pPr>
            <w:r>
              <w:tab/>
            </w:r>
            <w:r>
              <w:tab/>
            </w:r>
            <w:r>
              <w:tab/>
              <w:t>II.</w:t>
            </w:r>
            <w:r>
              <w:tab/>
              <w:t>La persistance des discriminations légales</w:t>
            </w:r>
            <w:r>
              <w:rPr>
                <w:spacing w:val="60"/>
                <w:sz w:val="17"/>
              </w:rPr>
              <w:tab/>
            </w:r>
          </w:p>
        </w:tc>
        <w:tc>
          <w:tcPr>
            <w:tcW w:w="533" w:type="dxa"/>
            <w:vAlign w:val="bottom"/>
          </w:tcPr>
          <w:p w:rsidR="00000000" w:rsidRDefault="00000000">
            <w:pPr>
              <w:spacing w:after="120"/>
              <w:ind w:right="40"/>
              <w:jc w:val="right"/>
            </w:pPr>
            <w:r>
              <w:t>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hanging="1296"/>
              <w:rPr>
                <w:spacing w:val="60"/>
                <w:sz w:val="17"/>
              </w:rPr>
            </w:pPr>
            <w:r>
              <w:tab/>
            </w:r>
            <w:r>
              <w:tab/>
            </w:r>
            <w:r>
              <w:tab/>
            </w:r>
            <w:r>
              <w:tab/>
              <w:t>A.</w:t>
            </w:r>
            <w:r>
              <w:tab/>
              <w:t>Le statut particulier des femmes dans le code du travail</w:t>
            </w:r>
            <w:r>
              <w:rPr>
                <w:spacing w:val="60"/>
                <w:sz w:val="17"/>
              </w:rPr>
              <w:tab/>
            </w:r>
          </w:p>
        </w:tc>
        <w:tc>
          <w:tcPr>
            <w:tcW w:w="533" w:type="dxa"/>
            <w:vAlign w:val="bottom"/>
          </w:tcPr>
          <w:p w:rsidR="00000000" w:rsidRDefault="00000000">
            <w:pPr>
              <w:spacing w:after="120"/>
              <w:ind w:right="40"/>
              <w:jc w:val="right"/>
            </w:pPr>
            <w:r>
              <w:t>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hanging="1296"/>
              <w:rPr>
                <w:spacing w:val="60"/>
                <w:sz w:val="17"/>
              </w:rPr>
            </w:pPr>
            <w:r>
              <w:tab/>
            </w:r>
            <w:r>
              <w:tab/>
            </w:r>
            <w:r>
              <w:tab/>
            </w:r>
            <w:r>
              <w:tab/>
            </w:r>
            <w:r>
              <w:tab/>
              <w:t>1.</w:t>
            </w:r>
            <w:r>
              <w:tab/>
              <w:t>Le travail de nuit des femmes</w:t>
            </w:r>
            <w:r>
              <w:rPr>
                <w:spacing w:val="60"/>
                <w:sz w:val="17"/>
              </w:rPr>
              <w:tab/>
            </w:r>
          </w:p>
        </w:tc>
        <w:tc>
          <w:tcPr>
            <w:tcW w:w="533" w:type="dxa"/>
            <w:vAlign w:val="bottom"/>
          </w:tcPr>
          <w:p w:rsidR="00000000" w:rsidRDefault="00000000">
            <w:pPr>
              <w:spacing w:after="120"/>
              <w:ind w:right="40"/>
              <w:jc w:val="right"/>
            </w:pPr>
            <w:r>
              <w:t>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hanging="1296"/>
              <w:rPr>
                <w:spacing w:val="60"/>
                <w:sz w:val="17"/>
              </w:rPr>
            </w:pPr>
            <w:r>
              <w:tab/>
            </w:r>
            <w:r>
              <w:tab/>
            </w:r>
            <w:r>
              <w:tab/>
            </w:r>
            <w:r>
              <w:tab/>
            </w:r>
            <w:r>
              <w:tab/>
              <w:t>2.</w:t>
            </w:r>
            <w:r>
              <w:tab/>
              <w:t>Le droit au repos des femmes</w:t>
            </w:r>
            <w:r>
              <w:rPr>
                <w:spacing w:val="60"/>
                <w:sz w:val="17"/>
              </w:rPr>
              <w:tab/>
            </w:r>
          </w:p>
        </w:tc>
        <w:tc>
          <w:tcPr>
            <w:tcW w:w="533" w:type="dxa"/>
            <w:vAlign w:val="bottom"/>
          </w:tcPr>
          <w:p w:rsidR="00000000" w:rsidRDefault="00000000">
            <w:pPr>
              <w:spacing w:after="120"/>
              <w:ind w:right="40"/>
              <w:jc w:val="right"/>
            </w:pPr>
            <w:r>
              <w:t>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hanging="1296"/>
              <w:rPr>
                <w:spacing w:val="60"/>
                <w:sz w:val="17"/>
              </w:rPr>
            </w:pPr>
            <w:r>
              <w:tab/>
            </w:r>
            <w:r>
              <w:tab/>
            </w:r>
            <w:r>
              <w:tab/>
            </w:r>
            <w:r>
              <w:tab/>
              <w:t>B.</w:t>
            </w:r>
            <w:r>
              <w:tab/>
              <w:t>Le droit de la famille</w:t>
            </w:r>
            <w:r>
              <w:rPr>
                <w:spacing w:val="60"/>
                <w:sz w:val="17"/>
              </w:rPr>
              <w:tab/>
            </w:r>
          </w:p>
        </w:tc>
        <w:tc>
          <w:tcPr>
            <w:tcW w:w="533" w:type="dxa"/>
            <w:vAlign w:val="bottom"/>
          </w:tcPr>
          <w:p w:rsidR="00000000" w:rsidRDefault="00000000">
            <w:pPr>
              <w:spacing w:after="120"/>
              <w:ind w:right="40"/>
              <w:jc w:val="right"/>
            </w:pPr>
            <w:r>
              <w:t>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296" w:hanging="1296"/>
              <w:rPr>
                <w:spacing w:val="60"/>
                <w:sz w:val="17"/>
              </w:rPr>
            </w:pPr>
            <w:r>
              <w:tab/>
            </w:r>
            <w:r>
              <w:tab/>
            </w:r>
            <w:r>
              <w:tab/>
            </w:r>
            <w:r>
              <w:tab/>
              <w:t>C.</w:t>
            </w:r>
            <w:r>
              <w:tab/>
              <w:t>Le droit pénal</w:t>
            </w:r>
            <w:r>
              <w:rPr>
                <w:spacing w:val="60"/>
                <w:sz w:val="17"/>
              </w:rPr>
              <w:tab/>
            </w:r>
          </w:p>
        </w:tc>
        <w:tc>
          <w:tcPr>
            <w:tcW w:w="533" w:type="dxa"/>
            <w:vAlign w:val="bottom"/>
          </w:tcPr>
          <w:p w:rsidR="00000000" w:rsidRDefault="00000000">
            <w:pPr>
              <w:spacing w:after="120"/>
              <w:ind w:right="40"/>
              <w:jc w:val="right"/>
            </w:pPr>
            <w:r>
              <w:t>25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hanging="1296"/>
              <w:rPr>
                <w:spacing w:val="60"/>
                <w:sz w:val="17"/>
              </w:rPr>
            </w:pPr>
            <w:r>
              <w:tab/>
            </w:r>
            <w:r>
              <w:tab/>
            </w:r>
            <w:r>
              <w:tab/>
            </w:r>
            <w:r>
              <w:tab/>
            </w:r>
            <w:r>
              <w:tab/>
              <w:t>1.</w:t>
            </w:r>
            <w:r>
              <w:tab/>
              <w:t>L’incrimination de l’adultère</w:t>
            </w:r>
            <w:r>
              <w:rPr>
                <w:spacing w:val="60"/>
                <w:sz w:val="17"/>
              </w:rPr>
              <w:tab/>
            </w:r>
          </w:p>
        </w:tc>
        <w:tc>
          <w:tcPr>
            <w:tcW w:w="533" w:type="dxa"/>
            <w:vAlign w:val="bottom"/>
          </w:tcPr>
          <w:p w:rsidR="00000000" w:rsidRDefault="00000000">
            <w:pPr>
              <w:spacing w:after="120"/>
              <w:ind w:right="40"/>
              <w:jc w:val="right"/>
            </w:pPr>
            <w:r>
              <w:t>25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hanging="1296"/>
              <w:rPr>
                <w:spacing w:val="60"/>
                <w:sz w:val="17"/>
              </w:rPr>
            </w:pPr>
            <w:r>
              <w:tab/>
            </w:r>
            <w:r>
              <w:tab/>
            </w:r>
            <w:r>
              <w:tab/>
            </w:r>
            <w:r>
              <w:tab/>
            </w:r>
            <w:r>
              <w:tab/>
              <w:t>2.</w:t>
            </w:r>
            <w:r>
              <w:tab/>
              <w:t>L’assassinat de l’épouse adultère</w:t>
            </w:r>
            <w:r>
              <w:rPr>
                <w:spacing w:val="60"/>
                <w:sz w:val="17"/>
              </w:rPr>
              <w:tab/>
            </w:r>
          </w:p>
        </w:tc>
        <w:tc>
          <w:tcPr>
            <w:tcW w:w="533" w:type="dxa"/>
            <w:vAlign w:val="bottom"/>
          </w:tcPr>
          <w:p w:rsidR="00000000" w:rsidRDefault="00000000">
            <w:pPr>
              <w:spacing w:after="120"/>
              <w:ind w:right="40"/>
              <w:jc w:val="right"/>
            </w:pPr>
            <w:r>
              <w:t>25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hanging="1296"/>
              <w:rPr>
                <w:spacing w:val="60"/>
                <w:sz w:val="17"/>
              </w:rPr>
            </w:pPr>
            <w:r>
              <w:tab/>
            </w:r>
            <w:r>
              <w:tab/>
            </w:r>
            <w:r>
              <w:tab/>
            </w:r>
            <w:r>
              <w:tab/>
              <w:t>D.</w:t>
            </w:r>
            <w:r>
              <w:tab/>
              <w:t>Les discriminations en matière fiscale</w:t>
            </w:r>
            <w:r>
              <w:rPr>
                <w:spacing w:val="60"/>
                <w:sz w:val="17"/>
              </w:rPr>
              <w:tab/>
            </w:r>
          </w:p>
        </w:tc>
        <w:tc>
          <w:tcPr>
            <w:tcW w:w="533" w:type="dxa"/>
            <w:vAlign w:val="bottom"/>
          </w:tcPr>
          <w:p w:rsidR="00000000" w:rsidRDefault="00000000">
            <w:pPr>
              <w:spacing w:after="120"/>
              <w:ind w:right="40"/>
              <w:jc w:val="right"/>
            </w:pPr>
            <w:r>
              <w:t>25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296" w:hanging="1296"/>
              <w:rPr>
                <w:spacing w:val="60"/>
                <w:sz w:val="17"/>
              </w:rPr>
            </w:pPr>
            <w:r>
              <w:tab/>
            </w:r>
            <w:r>
              <w:tab/>
            </w:r>
            <w:r>
              <w:tab/>
              <w:t>III.</w:t>
            </w:r>
            <w:r>
              <w:tab/>
              <w:t>Les inégalités de fait</w:t>
            </w:r>
            <w:r>
              <w:rPr>
                <w:spacing w:val="60"/>
                <w:sz w:val="17"/>
              </w:rPr>
              <w:tab/>
            </w:r>
          </w:p>
        </w:tc>
        <w:tc>
          <w:tcPr>
            <w:tcW w:w="533" w:type="dxa"/>
            <w:vAlign w:val="bottom"/>
          </w:tcPr>
          <w:p w:rsidR="00000000" w:rsidRDefault="00000000">
            <w:pPr>
              <w:spacing w:after="120"/>
              <w:ind w:right="40"/>
              <w:jc w:val="right"/>
            </w:pPr>
            <w:r>
              <w:t>25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296" w:hanging="1296"/>
              <w:rPr>
                <w:spacing w:val="60"/>
                <w:sz w:val="17"/>
              </w:rPr>
            </w:pPr>
            <w:r>
              <w:tab/>
            </w:r>
            <w:r>
              <w:tab/>
              <w:t>Section II : Les mesures politiques, sociales et économiques visant à assurer la promotion des femmes</w:t>
            </w:r>
            <w:r>
              <w:rPr>
                <w:spacing w:val="60"/>
                <w:sz w:val="17"/>
              </w:rPr>
              <w:tab/>
            </w:r>
          </w:p>
        </w:tc>
        <w:tc>
          <w:tcPr>
            <w:tcW w:w="533" w:type="dxa"/>
            <w:vAlign w:val="bottom"/>
          </w:tcPr>
          <w:p w:rsidR="00000000" w:rsidRDefault="00000000">
            <w:pPr>
              <w:spacing w:after="120"/>
              <w:ind w:right="40"/>
              <w:jc w:val="right"/>
            </w:pPr>
            <w:r>
              <w:t>26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hanging="1296"/>
              <w:rPr>
                <w:spacing w:val="60"/>
                <w:sz w:val="17"/>
              </w:rPr>
            </w:pPr>
            <w:r>
              <w:tab/>
            </w:r>
            <w:r>
              <w:tab/>
            </w:r>
            <w:r>
              <w:tab/>
              <w:t>I.</w:t>
            </w:r>
            <w:r>
              <w:tab/>
              <w:t>Les mécanismes institutionnels avant 1990</w:t>
            </w:r>
            <w:r>
              <w:rPr>
                <w:spacing w:val="60"/>
                <w:sz w:val="17"/>
              </w:rPr>
              <w:tab/>
            </w:r>
          </w:p>
        </w:tc>
        <w:tc>
          <w:tcPr>
            <w:tcW w:w="533" w:type="dxa"/>
            <w:vAlign w:val="bottom"/>
          </w:tcPr>
          <w:p w:rsidR="00000000" w:rsidRDefault="00000000">
            <w:pPr>
              <w:spacing w:after="120"/>
              <w:ind w:right="40"/>
              <w:jc w:val="right"/>
            </w:pPr>
            <w:r>
              <w:t>26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hanging="1296"/>
              <w:rPr>
                <w:spacing w:val="60"/>
                <w:sz w:val="17"/>
              </w:rPr>
            </w:pPr>
            <w:r>
              <w:tab/>
            </w:r>
            <w:r>
              <w:tab/>
            </w:r>
            <w:r>
              <w:tab/>
            </w:r>
            <w:r>
              <w:tab/>
              <w:t>A.</w:t>
            </w:r>
            <w:r>
              <w:tab/>
              <w:t>L’Union révolutionnaire des femmes du Congo</w:t>
            </w:r>
            <w:r>
              <w:rPr>
                <w:spacing w:val="60"/>
                <w:sz w:val="17"/>
              </w:rPr>
              <w:tab/>
            </w:r>
          </w:p>
        </w:tc>
        <w:tc>
          <w:tcPr>
            <w:tcW w:w="533" w:type="dxa"/>
            <w:vAlign w:val="bottom"/>
          </w:tcPr>
          <w:p w:rsidR="00000000" w:rsidRDefault="00000000">
            <w:pPr>
              <w:spacing w:after="120"/>
              <w:ind w:right="40"/>
              <w:jc w:val="right"/>
            </w:pPr>
            <w:r>
              <w:t>26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hanging="1296"/>
              <w:rPr>
                <w:spacing w:val="60"/>
                <w:sz w:val="17"/>
              </w:rPr>
            </w:pPr>
            <w:r>
              <w:tab/>
            </w:r>
            <w:r>
              <w:tab/>
            </w:r>
            <w:r>
              <w:tab/>
            </w:r>
            <w:r>
              <w:tab/>
              <w:t>B.</w:t>
            </w:r>
            <w:r>
              <w:tab/>
              <w:t>La Direction générale des affaires sociales</w:t>
            </w:r>
            <w:r>
              <w:rPr>
                <w:spacing w:val="60"/>
                <w:sz w:val="17"/>
              </w:rPr>
              <w:tab/>
            </w:r>
          </w:p>
        </w:tc>
        <w:tc>
          <w:tcPr>
            <w:tcW w:w="533" w:type="dxa"/>
            <w:vAlign w:val="bottom"/>
          </w:tcPr>
          <w:p w:rsidR="00000000" w:rsidRDefault="00000000">
            <w:pPr>
              <w:spacing w:after="120"/>
              <w:ind w:right="40"/>
              <w:jc w:val="right"/>
            </w:pPr>
            <w:r>
              <w:t>26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2160" w:hanging="2160"/>
              <w:rPr>
                <w:spacing w:val="60"/>
                <w:sz w:val="17"/>
              </w:rPr>
            </w:pPr>
            <w:r>
              <w:tab/>
            </w:r>
            <w:r>
              <w:tab/>
            </w:r>
            <w:r>
              <w:tab/>
              <w:t>II.</w:t>
            </w:r>
            <w:r>
              <w:tab/>
              <w:t xml:space="preserve">La multiplication des associations et organisations non gouvernementales </w:t>
            </w:r>
            <w:r>
              <w:br/>
              <w:t>féminines</w:t>
            </w:r>
            <w:r>
              <w:rPr>
                <w:spacing w:val="60"/>
                <w:sz w:val="17"/>
              </w:rPr>
              <w:tab/>
            </w:r>
          </w:p>
        </w:tc>
        <w:tc>
          <w:tcPr>
            <w:tcW w:w="533" w:type="dxa"/>
            <w:vAlign w:val="bottom"/>
          </w:tcPr>
          <w:p w:rsidR="00000000" w:rsidRDefault="00000000">
            <w:pPr>
              <w:spacing w:after="120"/>
              <w:ind w:right="40"/>
              <w:jc w:val="right"/>
            </w:pPr>
            <w:r>
              <w:t>26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2160" w:hanging="2160"/>
              <w:rPr>
                <w:spacing w:val="60"/>
                <w:sz w:val="17"/>
              </w:rPr>
            </w:pPr>
            <w:r>
              <w:tab/>
            </w:r>
            <w:r>
              <w:tab/>
            </w:r>
            <w:r>
              <w:tab/>
              <w:t>III.</w:t>
            </w:r>
            <w:r>
              <w:tab/>
              <w:t>L’institutionnalisation du département chargé de la promotion de la femme</w:t>
            </w:r>
            <w:r>
              <w:rPr>
                <w:spacing w:val="60"/>
                <w:sz w:val="17"/>
              </w:rPr>
              <w:tab/>
            </w:r>
          </w:p>
        </w:tc>
        <w:tc>
          <w:tcPr>
            <w:tcW w:w="533" w:type="dxa"/>
            <w:vAlign w:val="bottom"/>
          </w:tcPr>
          <w:p w:rsidR="00000000" w:rsidRDefault="00000000">
            <w:pPr>
              <w:spacing w:after="120"/>
              <w:ind w:right="40"/>
              <w:jc w:val="right"/>
            </w:pPr>
            <w:r>
              <w:t>27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2160" w:hanging="2160"/>
              <w:rPr>
                <w:spacing w:val="60"/>
                <w:sz w:val="17"/>
              </w:rPr>
            </w:pPr>
            <w:r>
              <w:tab/>
            </w:r>
            <w:r>
              <w:tab/>
            </w:r>
            <w:r>
              <w:tab/>
            </w:r>
            <w:r>
              <w:tab/>
              <w:t>A.</w:t>
            </w:r>
            <w:r>
              <w:tab/>
              <w:t>La Direction de l’intégration de la femme au développement</w:t>
            </w:r>
            <w:r>
              <w:rPr>
                <w:spacing w:val="60"/>
                <w:sz w:val="17"/>
              </w:rPr>
              <w:tab/>
            </w:r>
          </w:p>
        </w:tc>
        <w:tc>
          <w:tcPr>
            <w:tcW w:w="533" w:type="dxa"/>
            <w:vAlign w:val="bottom"/>
          </w:tcPr>
          <w:p w:rsidR="00000000" w:rsidRDefault="00000000">
            <w:pPr>
              <w:spacing w:after="120"/>
              <w:ind w:right="40"/>
              <w:jc w:val="right"/>
            </w:pPr>
            <w:r>
              <w:t>27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2160" w:hanging="2160"/>
              <w:rPr>
                <w:spacing w:val="60"/>
                <w:sz w:val="17"/>
              </w:rPr>
            </w:pPr>
            <w:r>
              <w:tab/>
            </w:r>
            <w:r>
              <w:tab/>
            </w:r>
            <w:r>
              <w:tab/>
            </w:r>
            <w:r>
              <w:tab/>
              <w:t>B.</w:t>
            </w:r>
            <w:r>
              <w:tab/>
              <w:t>Le Ministère chargé de l’intégration de la femme au développement</w:t>
            </w:r>
            <w:r>
              <w:rPr>
                <w:spacing w:val="60"/>
                <w:sz w:val="17"/>
              </w:rPr>
              <w:tab/>
            </w:r>
          </w:p>
        </w:tc>
        <w:tc>
          <w:tcPr>
            <w:tcW w:w="533" w:type="dxa"/>
            <w:vAlign w:val="bottom"/>
          </w:tcPr>
          <w:p w:rsidR="00000000" w:rsidRDefault="00000000">
            <w:pPr>
              <w:spacing w:after="120"/>
              <w:ind w:right="40"/>
              <w:jc w:val="right"/>
            </w:pPr>
            <w:r>
              <w:t>27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ind w:left="2160" w:hanging="2160"/>
              <w:rPr>
                <w:spacing w:val="60"/>
                <w:sz w:val="17"/>
              </w:rPr>
            </w:pPr>
            <w:r>
              <w:tab/>
            </w:r>
            <w:r>
              <w:tab/>
            </w:r>
            <w:r>
              <w:tab/>
              <w:t>IV.</w:t>
            </w:r>
            <w:r>
              <w:tab/>
              <w:t>Bilan des activités réalisées par le Ministère chargé de la promotion de la femme</w:t>
            </w:r>
            <w:r>
              <w:rPr>
                <w:spacing w:val="60"/>
                <w:sz w:val="17"/>
              </w:rPr>
              <w:tab/>
            </w:r>
          </w:p>
        </w:tc>
        <w:tc>
          <w:tcPr>
            <w:tcW w:w="533" w:type="dxa"/>
            <w:vAlign w:val="bottom"/>
          </w:tcPr>
          <w:p w:rsidR="00000000" w:rsidRDefault="00000000">
            <w:pPr>
              <w:spacing w:after="120"/>
              <w:ind w:right="40"/>
              <w:jc w:val="right"/>
            </w:pPr>
            <w:r>
              <w:t>28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2160" w:hanging="2160"/>
              <w:rPr>
                <w:spacing w:val="60"/>
                <w:sz w:val="17"/>
              </w:rPr>
            </w:pPr>
            <w:r>
              <w:tab/>
            </w:r>
            <w:r>
              <w:tab/>
            </w:r>
            <w:r>
              <w:tab/>
              <w:t>V.</w:t>
            </w:r>
            <w:r>
              <w:tab/>
              <w:t>Le Centre de recherche, d’information et de documentation sur la femme</w:t>
            </w:r>
            <w:r>
              <w:rPr>
                <w:spacing w:val="60"/>
                <w:sz w:val="17"/>
              </w:rPr>
              <w:tab/>
            </w:r>
          </w:p>
        </w:tc>
        <w:tc>
          <w:tcPr>
            <w:tcW w:w="533" w:type="dxa"/>
            <w:vAlign w:val="bottom"/>
          </w:tcPr>
          <w:p w:rsidR="00000000" w:rsidRDefault="00000000">
            <w:pPr>
              <w:spacing w:after="120"/>
              <w:ind w:right="40"/>
              <w:jc w:val="right"/>
            </w:pPr>
            <w:r>
              <w:t>30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2160" w:hanging="2160"/>
              <w:rPr>
                <w:spacing w:val="60"/>
                <w:sz w:val="17"/>
              </w:rPr>
            </w:pPr>
            <w:r>
              <w:tab/>
            </w:r>
            <w:r>
              <w:tab/>
            </w:r>
            <w:r>
              <w:tab/>
              <w:t>VI.</w:t>
            </w:r>
            <w:r>
              <w:tab/>
              <w:t>Les autres départements ministériels compétents en matière de promotion de la femme</w:t>
            </w:r>
            <w:r>
              <w:rPr>
                <w:spacing w:val="60"/>
                <w:sz w:val="17"/>
              </w:rPr>
              <w:tab/>
            </w:r>
          </w:p>
        </w:tc>
        <w:tc>
          <w:tcPr>
            <w:tcW w:w="533" w:type="dxa"/>
            <w:vAlign w:val="bottom"/>
          </w:tcPr>
          <w:p w:rsidR="00000000" w:rsidRDefault="00000000">
            <w:pPr>
              <w:spacing w:after="120"/>
              <w:ind w:right="40"/>
              <w:jc w:val="right"/>
            </w:pPr>
            <w:r>
              <w:t>31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2160" w:hanging="2160"/>
              <w:rPr>
                <w:spacing w:val="60"/>
                <w:sz w:val="17"/>
              </w:rPr>
            </w:pPr>
            <w:r>
              <w:tab/>
            </w:r>
            <w:r>
              <w:tab/>
            </w:r>
            <w:r>
              <w:tab/>
              <w:t>VII.</w:t>
            </w:r>
            <w:r>
              <w:tab/>
              <w:t>La politique de la promotion de la femme et le plan d’action</w:t>
            </w:r>
            <w:r>
              <w:rPr>
                <w:spacing w:val="60"/>
                <w:sz w:val="17"/>
              </w:rPr>
              <w:tab/>
            </w:r>
          </w:p>
        </w:tc>
        <w:tc>
          <w:tcPr>
            <w:tcW w:w="533" w:type="dxa"/>
            <w:vAlign w:val="bottom"/>
          </w:tcPr>
          <w:p w:rsidR="00000000" w:rsidRDefault="00000000">
            <w:pPr>
              <w:spacing w:after="120"/>
              <w:ind w:right="40"/>
              <w:jc w:val="right"/>
            </w:pPr>
            <w:r>
              <w:t>31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2160" w:hanging="2160"/>
              <w:rPr>
                <w:spacing w:val="60"/>
                <w:sz w:val="17"/>
              </w:rPr>
            </w:pPr>
            <w:r>
              <w:tab/>
            </w:r>
            <w:r>
              <w:tab/>
            </w:r>
            <w:r>
              <w:tab/>
            </w:r>
            <w:r>
              <w:tab/>
              <w:t>A.</w:t>
            </w:r>
            <w:r>
              <w:tab/>
              <w:t>La politique nationale de la promotion de la femme</w:t>
            </w:r>
            <w:r>
              <w:rPr>
                <w:spacing w:val="60"/>
                <w:sz w:val="17"/>
              </w:rPr>
              <w:tab/>
            </w:r>
          </w:p>
        </w:tc>
        <w:tc>
          <w:tcPr>
            <w:tcW w:w="533" w:type="dxa"/>
            <w:vAlign w:val="bottom"/>
          </w:tcPr>
          <w:p w:rsidR="00000000" w:rsidRDefault="00000000">
            <w:pPr>
              <w:spacing w:after="120"/>
              <w:ind w:right="40"/>
              <w:jc w:val="right"/>
            </w:pPr>
            <w:r>
              <w:t>31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2160" w:hanging="2160"/>
              <w:rPr>
                <w:spacing w:val="60"/>
                <w:sz w:val="17"/>
              </w:rPr>
            </w:pPr>
            <w:r>
              <w:tab/>
            </w:r>
            <w:r>
              <w:tab/>
            </w:r>
            <w:r>
              <w:tab/>
            </w:r>
            <w:r>
              <w:tab/>
              <w:t>B.</w:t>
            </w:r>
            <w:r>
              <w:tab/>
              <w:t>Le plan d’action en matière de la promotion de la femme</w:t>
            </w:r>
            <w:r>
              <w:rPr>
                <w:spacing w:val="60"/>
                <w:sz w:val="17"/>
              </w:rPr>
              <w:tab/>
            </w:r>
          </w:p>
        </w:tc>
        <w:tc>
          <w:tcPr>
            <w:tcW w:w="533" w:type="dxa"/>
            <w:vAlign w:val="bottom"/>
          </w:tcPr>
          <w:p w:rsidR="00000000" w:rsidRDefault="00000000">
            <w:pPr>
              <w:spacing w:after="120"/>
              <w:ind w:right="40"/>
              <w:jc w:val="right"/>
            </w:pPr>
            <w:r>
              <w:t>32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2160" w:hanging="2160"/>
              <w:rPr>
                <w:spacing w:val="60"/>
                <w:sz w:val="17"/>
              </w:rPr>
            </w:pPr>
            <w:r>
              <w:tab/>
            </w:r>
            <w:r>
              <w:tab/>
              <w:t>Section III : Les mécanismes juridictionnels de protection des droits de la femme</w:t>
            </w:r>
            <w:r>
              <w:rPr>
                <w:spacing w:val="60"/>
                <w:sz w:val="17"/>
              </w:rPr>
              <w:tab/>
            </w:r>
          </w:p>
        </w:tc>
        <w:tc>
          <w:tcPr>
            <w:tcW w:w="533" w:type="dxa"/>
            <w:vAlign w:val="bottom"/>
          </w:tcPr>
          <w:p w:rsidR="00000000" w:rsidRDefault="00000000">
            <w:pPr>
              <w:spacing w:after="120"/>
              <w:ind w:right="40"/>
              <w:jc w:val="right"/>
            </w:pPr>
            <w:r>
              <w:t>32</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right" w:leader="dot" w:pos="9360"/>
              </w:tabs>
              <w:suppressAutoHyphens/>
              <w:spacing w:after="120"/>
            </w:pPr>
            <w:r>
              <w:tab/>
              <w:t>Les mécanismes temporaires spécialisés visant à accélérer l’instauration d’une égalité de fait homme/femme (art. 4)</w:t>
            </w:r>
            <w:r>
              <w:rPr>
                <w:spacing w:val="60"/>
                <w:sz w:val="17"/>
              </w:rPr>
              <w:tab/>
            </w:r>
          </w:p>
        </w:tc>
        <w:tc>
          <w:tcPr>
            <w:tcW w:w="533" w:type="dxa"/>
            <w:vAlign w:val="bottom"/>
          </w:tcPr>
          <w:p w:rsidR="00000000" w:rsidRDefault="00000000">
            <w:pPr>
              <w:spacing w:after="120"/>
              <w:ind w:right="40"/>
              <w:jc w:val="right"/>
            </w:pPr>
            <w:r>
              <w:t>33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2160" w:hanging="2160"/>
              <w:rPr>
                <w:spacing w:val="60"/>
                <w:sz w:val="17"/>
              </w:rPr>
            </w:pPr>
            <w:r>
              <w:tab/>
            </w:r>
            <w:r>
              <w:tab/>
              <w:t>Section I : La protection des femmes enceintes dans le secteur public</w:t>
            </w:r>
            <w:r>
              <w:rPr>
                <w:spacing w:val="60"/>
                <w:sz w:val="17"/>
              </w:rPr>
              <w:tab/>
            </w:r>
          </w:p>
        </w:tc>
        <w:tc>
          <w:tcPr>
            <w:tcW w:w="533" w:type="dxa"/>
            <w:vAlign w:val="bottom"/>
          </w:tcPr>
          <w:p w:rsidR="00000000" w:rsidRDefault="00000000">
            <w:pPr>
              <w:spacing w:after="120"/>
              <w:ind w:right="40"/>
              <w:jc w:val="right"/>
            </w:pPr>
            <w:r>
              <w:t>34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2160" w:hanging="2160"/>
              <w:rPr>
                <w:spacing w:val="60"/>
                <w:sz w:val="17"/>
              </w:rPr>
            </w:pPr>
            <w:r>
              <w:tab/>
            </w:r>
            <w:r>
              <w:tab/>
              <w:t>Section II : La protection des femmes enceintes dans le secteur privé</w:t>
            </w:r>
            <w:r>
              <w:rPr>
                <w:spacing w:val="60"/>
                <w:sz w:val="17"/>
              </w:rPr>
              <w:tab/>
            </w:r>
          </w:p>
        </w:tc>
        <w:tc>
          <w:tcPr>
            <w:tcW w:w="533" w:type="dxa"/>
            <w:vAlign w:val="bottom"/>
          </w:tcPr>
          <w:p w:rsidR="00000000" w:rsidRDefault="00000000">
            <w:pPr>
              <w:spacing w:after="120"/>
              <w:ind w:right="40"/>
              <w:jc w:val="right"/>
            </w:pPr>
            <w:r>
              <w:t>34</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tab/>
              <w:t>Élimination des idées stéréotypées de nature sexiste (art. 5)</w:t>
            </w:r>
            <w:r>
              <w:rPr>
                <w:spacing w:val="60"/>
                <w:sz w:val="17"/>
              </w:rPr>
              <w:tab/>
            </w:r>
          </w:p>
        </w:tc>
        <w:tc>
          <w:tcPr>
            <w:tcW w:w="533" w:type="dxa"/>
            <w:vAlign w:val="bottom"/>
          </w:tcPr>
          <w:p w:rsidR="00000000" w:rsidRDefault="00000000">
            <w:pPr>
              <w:spacing w:after="120"/>
              <w:ind w:right="40"/>
              <w:jc w:val="right"/>
            </w:pPr>
            <w:r>
              <w:t>35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t>Section I : les stéréotypes au sein de la famille</w:t>
            </w:r>
            <w:r>
              <w:rPr>
                <w:spacing w:val="60"/>
                <w:sz w:val="17"/>
              </w:rPr>
              <w:tab/>
            </w:r>
          </w:p>
        </w:tc>
        <w:tc>
          <w:tcPr>
            <w:tcW w:w="533" w:type="dxa"/>
            <w:vAlign w:val="bottom"/>
          </w:tcPr>
          <w:p w:rsidR="00000000" w:rsidRDefault="00000000">
            <w:pPr>
              <w:spacing w:after="120"/>
              <w:ind w:right="40"/>
              <w:jc w:val="right"/>
            </w:pPr>
            <w:r>
              <w:t>35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t>Section II : Les stéréotypes dans l’éducation</w:t>
            </w:r>
            <w:r>
              <w:rPr>
                <w:spacing w:val="60"/>
                <w:sz w:val="17"/>
              </w:rPr>
              <w:tab/>
            </w:r>
          </w:p>
        </w:tc>
        <w:tc>
          <w:tcPr>
            <w:tcW w:w="533" w:type="dxa"/>
            <w:vAlign w:val="bottom"/>
          </w:tcPr>
          <w:p w:rsidR="00000000" w:rsidRDefault="00000000">
            <w:pPr>
              <w:spacing w:after="120"/>
              <w:ind w:right="40"/>
              <w:jc w:val="right"/>
            </w:pPr>
            <w:r>
              <w:t>36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t>Section III : Les stéréotypes dans le travail</w:t>
            </w:r>
            <w:r>
              <w:rPr>
                <w:spacing w:val="60"/>
                <w:sz w:val="17"/>
              </w:rPr>
              <w:tab/>
            </w:r>
          </w:p>
        </w:tc>
        <w:tc>
          <w:tcPr>
            <w:tcW w:w="533" w:type="dxa"/>
            <w:vAlign w:val="bottom"/>
          </w:tcPr>
          <w:p w:rsidR="00000000" w:rsidRDefault="00000000">
            <w:pPr>
              <w:spacing w:after="120"/>
              <w:ind w:right="40"/>
              <w:jc w:val="right"/>
            </w:pPr>
            <w:r>
              <w:t>36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r>
            <w:r>
              <w:tab/>
              <w:t>I.</w:t>
            </w:r>
            <w:r>
              <w:tab/>
              <w:t>Le harcèlement sexuel</w:t>
            </w:r>
            <w:r>
              <w:rPr>
                <w:spacing w:val="60"/>
                <w:sz w:val="17"/>
              </w:rPr>
              <w:tab/>
            </w:r>
          </w:p>
        </w:tc>
        <w:tc>
          <w:tcPr>
            <w:tcW w:w="533" w:type="dxa"/>
            <w:vAlign w:val="bottom"/>
          </w:tcPr>
          <w:p w:rsidR="00000000" w:rsidRDefault="00000000">
            <w:pPr>
              <w:spacing w:after="120"/>
              <w:ind w:right="40"/>
              <w:jc w:val="right"/>
            </w:pPr>
            <w:r>
              <w:t>36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r>
            <w:r>
              <w:tab/>
              <w:t>II.</w:t>
            </w:r>
            <w:r>
              <w:tab/>
              <w:t>La femme et les médias</w:t>
            </w:r>
            <w:r>
              <w:rPr>
                <w:spacing w:val="60"/>
                <w:sz w:val="17"/>
              </w:rPr>
              <w:tab/>
            </w:r>
          </w:p>
        </w:tc>
        <w:tc>
          <w:tcPr>
            <w:tcW w:w="533" w:type="dxa"/>
            <w:vAlign w:val="bottom"/>
          </w:tcPr>
          <w:p w:rsidR="00000000" w:rsidRDefault="00000000">
            <w:pPr>
              <w:spacing w:after="120"/>
              <w:ind w:right="40"/>
              <w:jc w:val="right"/>
            </w:pPr>
            <w:r>
              <w:t>36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tab/>
            </w:r>
            <w:r>
              <w:tab/>
            </w:r>
            <w:r>
              <w:tab/>
            </w:r>
            <w:r>
              <w:tab/>
              <w:t>A.</w:t>
            </w:r>
            <w:r>
              <w:tab/>
              <w:t>La place de la femme dans les médias</w:t>
            </w:r>
            <w:r>
              <w:rPr>
                <w:spacing w:val="60"/>
                <w:sz w:val="17"/>
              </w:rPr>
              <w:tab/>
            </w:r>
          </w:p>
        </w:tc>
        <w:tc>
          <w:tcPr>
            <w:tcW w:w="533" w:type="dxa"/>
            <w:vAlign w:val="bottom"/>
          </w:tcPr>
          <w:p w:rsidR="00000000" w:rsidRDefault="00000000">
            <w:pPr>
              <w:spacing w:after="120"/>
              <w:ind w:right="40"/>
              <w:jc w:val="right"/>
            </w:pPr>
            <w:r>
              <w:t>37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tab/>
            </w:r>
            <w:r>
              <w:tab/>
            </w:r>
            <w:r>
              <w:tab/>
            </w:r>
            <w:r>
              <w:tab/>
              <w:t>B.</w:t>
            </w:r>
            <w:r>
              <w:tab/>
              <w:t>L’image de la femme dans les médias</w:t>
            </w:r>
            <w:r>
              <w:rPr>
                <w:spacing w:val="60"/>
                <w:sz w:val="17"/>
              </w:rPr>
              <w:tab/>
            </w:r>
          </w:p>
        </w:tc>
        <w:tc>
          <w:tcPr>
            <w:tcW w:w="533" w:type="dxa"/>
            <w:vAlign w:val="bottom"/>
          </w:tcPr>
          <w:p w:rsidR="00000000" w:rsidRDefault="00000000">
            <w:pPr>
              <w:spacing w:after="120"/>
              <w:ind w:right="40"/>
              <w:jc w:val="right"/>
            </w:pPr>
            <w:r>
              <w:t>37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spacing w:val="60"/>
                <w:sz w:val="17"/>
              </w:rPr>
            </w:pPr>
            <w:r>
              <w:tab/>
            </w:r>
            <w:r>
              <w:tab/>
            </w:r>
            <w:r>
              <w:tab/>
              <w:t>III.</w:t>
            </w:r>
            <w:r>
              <w:tab/>
              <w:t>Les diverses formes de violences infligées aux femmes</w:t>
            </w:r>
            <w:r>
              <w:rPr>
                <w:spacing w:val="60"/>
                <w:sz w:val="17"/>
              </w:rPr>
              <w:tab/>
            </w:r>
          </w:p>
        </w:tc>
        <w:tc>
          <w:tcPr>
            <w:tcW w:w="533" w:type="dxa"/>
            <w:vAlign w:val="bottom"/>
          </w:tcPr>
          <w:p w:rsidR="00000000" w:rsidRDefault="00000000">
            <w:pPr>
              <w:spacing w:after="120"/>
              <w:ind w:right="40"/>
              <w:jc w:val="right"/>
            </w:pPr>
            <w:r>
              <w:t>38</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tab/>
              <w:t>La suppression de l’exploitation des femmes (art. 6)</w:t>
            </w:r>
            <w:r>
              <w:rPr>
                <w:spacing w:val="60"/>
                <w:sz w:val="17"/>
              </w:rPr>
              <w:tab/>
            </w:r>
          </w:p>
        </w:tc>
        <w:tc>
          <w:tcPr>
            <w:tcW w:w="533" w:type="dxa"/>
            <w:vAlign w:val="bottom"/>
          </w:tcPr>
          <w:p w:rsidR="00000000" w:rsidRDefault="00000000">
            <w:pPr>
              <w:spacing w:after="120"/>
              <w:ind w:right="40"/>
              <w:jc w:val="right"/>
            </w:pPr>
            <w:r>
              <w:t>38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t>Section I : La prostitution : une réalité</w:t>
            </w:r>
            <w:r>
              <w:rPr>
                <w:spacing w:val="60"/>
                <w:sz w:val="17"/>
              </w:rPr>
              <w:tab/>
            </w:r>
          </w:p>
        </w:tc>
        <w:tc>
          <w:tcPr>
            <w:tcW w:w="533" w:type="dxa"/>
            <w:vAlign w:val="bottom"/>
          </w:tcPr>
          <w:p w:rsidR="00000000" w:rsidRDefault="00000000">
            <w:pPr>
              <w:spacing w:after="120"/>
              <w:ind w:right="40"/>
              <w:jc w:val="right"/>
            </w:pPr>
            <w:r>
              <w:t>38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 w:val="17"/>
              </w:rPr>
            </w:pPr>
            <w:r>
              <w:tab/>
            </w:r>
            <w:r>
              <w:tab/>
              <w:t>Section II : L’interdiction légale de la prostitution et ses conséquences</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r>
            <w:r>
              <w:tab/>
              <w:t>I.</w:t>
            </w:r>
            <w:r>
              <w:tab/>
              <w:t>L’interdiction de la prostitution</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tab/>
            </w:r>
            <w:r>
              <w:tab/>
            </w:r>
            <w:r>
              <w:tab/>
              <w:t>II.</w:t>
            </w:r>
            <w:r>
              <w:tab/>
              <w:t>L’interdiction du proxénétisme</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r>
            <w:r>
              <w:tab/>
              <w:t>III.</w:t>
            </w:r>
            <w:r>
              <w:tab/>
              <w:t>L’interdiction des maisons closes</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r>
            <w:r>
              <w:tab/>
              <w:t>IV.</w:t>
            </w:r>
            <w:r>
              <w:tab/>
              <w:t>La protection de la jeunesse</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40</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tab/>
              <w:t>La participation de la femme à la vie politique et publique (art. 7)</w:t>
            </w:r>
            <w:r>
              <w:rPr>
                <w:spacing w:val="60"/>
                <w:sz w:val="17"/>
              </w:rPr>
              <w:tab/>
            </w:r>
          </w:p>
        </w:tc>
        <w:tc>
          <w:tcPr>
            <w:tcW w:w="533" w:type="dxa"/>
            <w:vAlign w:val="bottom"/>
          </w:tcPr>
          <w:p w:rsidR="00000000" w:rsidRDefault="00000000">
            <w:pPr>
              <w:spacing w:after="120"/>
              <w:ind w:right="40"/>
              <w:jc w:val="right"/>
            </w:pPr>
            <w:r>
              <w:t>40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tab/>
            </w:r>
            <w:r>
              <w:tab/>
              <w:t>Section I : La genèse du mouvement féminin congolais</w:t>
            </w:r>
            <w:r>
              <w:rPr>
                <w:spacing w:val="60"/>
                <w:sz w:val="17"/>
              </w:rPr>
              <w:tab/>
            </w:r>
          </w:p>
        </w:tc>
        <w:tc>
          <w:tcPr>
            <w:tcW w:w="533" w:type="dxa"/>
            <w:vAlign w:val="bottom"/>
          </w:tcPr>
          <w:p w:rsidR="00000000" w:rsidRDefault="00000000">
            <w:pPr>
              <w:spacing w:after="120"/>
              <w:ind w:right="40"/>
              <w:jc w:val="right"/>
            </w:pPr>
            <w:r>
              <w:t>41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tab/>
            </w:r>
            <w:r>
              <w:tab/>
              <w:t>Section II : La représentativité de la femme congolaise</w:t>
            </w:r>
            <w:r>
              <w:rPr>
                <w:spacing w:val="60"/>
                <w:sz w:val="17"/>
              </w:rPr>
              <w:tab/>
            </w:r>
          </w:p>
        </w:tc>
        <w:tc>
          <w:tcPr>
            <w:tcW w:w="533" w:type="dxa"/>
            <w:vAlign w:val="bottom"/>
          </w:tcPr>
          <w:p w:rsidR="00000000" w:rsidRDefault="00000000">
            <w:pPr>
              <w:spacing w:after="120"/>
              <w:ind w:right="40"/>
              <w:jc w:val="right"/>
            </w:pPr>
            <w:r>
              <w:t>42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pacing w:val="60"/>
                <w:sz w:val="17"/>
              </w:rPr>
            </w:pPr>
            <w:r>
              <w:tab/>
            </w:r>
            <w:r>
              <w:tab/>
            </w:r>
            <w:r>
              <w:tab/>
              <w:t>A.</w:t>
            </w:r>
            <w:r>
              <w:tab/>
              <w:t>La représentativité de la femme au Parlement</w:t>
            </w:r>
            <w:r>
              <w:rPr>
                <w:spacing w:val="60"/>
                <w:sz w:val="17"/>
              </w:rPr>
              <w:tab/>
            </w:r>
          </w:p>
        </w:tc>
        <w:tc>
          <w:tcPr>
            <w:tcW w:w="533" w:type="dxa"/>
            <w:vAlign w:val="bottom"/>
          </w:tcPr>
          <w:p w:rsidR="00000000" w:rsidRDefault="00000000">
            <w:pPr>
              <w:spacing w:after="120"/>
              <w:ind w:right="40"/>
              <w:jc w:val="right"/>
            </w:pPr>
            <w:r>
              <w:t>42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 w:val="17"/>
              </w:rPr>
            </w:pPr>
            <w:r>
              <w:tab/>
            </w:r>
            <w:r>
              <w:tab/>
            </w:r>
            <w:r>
              <w:tab/>
              <w:t>B.</w:t>
            </w:r>
            <w:r>
              <w:tab/>
              <w:t>La représentativité de la femme au sein de l’administration</w:t>
            </w:r>
            <w:r>
              <w:rPr>
                <w:spacing w:val="60"/>
                <w:sz w:val="17"/>
              </w:rPr>
              <w:tab/>
            </w:r>
          </w:p>
        </w:tc>
        <w:tc>
          <w:tcPr>
            <w:tcW w:w="533" w:type="dxa"/>
            <w:vAlign w:val="bottom"/>
          </w:tcPr>
          <w:p w:rsidR="00000000" w:rsidRDefault="00000000">
            <w:pPr>
              <w:spacing w:after="120"/>
              <w:ind w:right="40"/>
              <w:jc w:val="right"/>
            </w:pPr>
            <w:r>
              <w:t>44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spacing w:val="60"/>
                <w:sz w:val="17"/>
              </w:rPr>
            </w:pPr>
            <w:r>
              <w:tab/>
            </w:r>
            <w:r>
              <w:tab/>
            </w:r>
            <w:r>
              <w:tab/>
              <w:t>C.</w:t>
            </w:r>
            <w:r>
              <w:tab/>
              <w:t>La représentativité de la femme au sein du pouvoir judiciaire</w:t>
            </w:r>
            <w:r>
              <w:rPr>
                <w:spacing w:val="60"/>
                <w:sz w:val="17"/>
              </w:rPr>
              <w:tab/>
            </w:r>
          </w:p>
        </w:tc>
        <w:tc>
          <w:tcPr>
            <w:tcW w:w="533" w:type="dxa"/>
            <w:vAlign w:val="bottom"/>
          </w:tcPr>
          <w:p w:rsidR="00000000" w:rsidRDefault="00000000">
            <w:pPr>
              <w:spacing w:after="120"/>
              <w:ind w:right="40"/>
              <w:jc w:val="right"/>
            </w:pPr>
            <w:r>
              <w:t>46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t>Section III : Des contraintes</w:t>
            </w:r>
            <w:r>
              <w:rPr>
                <w:spacing w:val="60"/>
                <w:sz w:val="17"/>
              </w:rPr>
              <w:tab/>
            </w:r>
          </w:p>
        </w:tc>
        <w:tc>
          <w:tcPr>
            <w:tcW w:w="533" w:type="dxa"/>
            <w:vAlign w:val="bottom"/>
          </w:tcPr>
          <w:p w:rsidR="00000000" w:rsidRDefault="00000000">
            <w:pPr>
              <w:spacing w:after="120"/>
              <w:ind w:right="40"/>
              <w:jc w:val="right"/>
            </w:pPr>
            <w:r>
              <w:t>50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t>Section VI : Des perspectives</w:t>
            </w:r>
            <w:r>
              <w:rPr>
                <w:spacing w:val="60"/>
                <w:sz w:val="17"/>
              </w:rPr>
              <w:tab/>
            </w:r>
          </w:p>
        </w:tc>
        <w:tc>
          <w:tcPr>
            <w:tcW w:w="533" w:type="dxa"/>
            <w:vAlign w:val="bottom"/>
          </w:tcPr>
          <w:p w:rsidR="00000000" w:rsidRDefault="00000000">
            <w:pPr>
              <w:spacing w:after="120"/>
              <w:ind w:right="40"/>
              <w:jc w:val="right"/>
            </w:pPr>
            <w:r>
              <w:t>51</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right" w:leader="dot" w:pos="9360"/>
              </w:tabs>
              <w:suppressAutoHyphens/>
              <w:spacing w:after="120"/>
            </w:pPr>
            <w:r>
              <w:tab/>
              <w:t>La participation des femmes au sein des représentations et institutions internationales</w:t>
            </w:r>
            <w:r>
              <w:br/>
              <w:t>(art. 8)</w:t>
            </w:r>
            <w:r>
              <w:rPr>
                <w:spacing w:val="60"/>
                <w:sz w:val="17"/>
              </w:rPr>
              <w:tab/>
            </w:r>
          </w:p>
        </w:tc>
        <w:tc>
          <w:tcPr>
            <w:tcW w:w="533" w:type="dxa"/>
            <w:vAlign w:val="bottom"/>
          </w:tcPr>
          <w:p w:rsidR="00000000" w:rsidRDefault="00000000">
            <w:pPr>
              <w:spacing w:after="120"/>
              <w:ind w:right="40"/>
              <w:jc w:val="right"/>
            </w:pPr>
            <w:r>
              <w:t>52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t>Section I : État de la législation</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52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spacing w:val="60"/>
                <w:sz w:val="17"/>
              </w:rPr>
            </w:pPr>
            <w:r>
              <w:tab/>
            </w:r>
            <w:r>
              <w:tab/>
              <w:t>Section II : Représentativité des femmes dans les postes diplomatiques et consulaires</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53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r>
            <w:r>
              <w:tab/>
              <w:t>I.</w:t>
            </w:r>
            <w:r>
              <w:tab/>
              <w:t>Au niveau national</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53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r>
            <w:r>
              <w:tab/>
              <w:t>II.</w:t>
            </w:r>
            <w:r>
              <w:tab/>
              <w:t>Au niveau international</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54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t>Section III : Les contraintes</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54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t>Section IV : Les perspectives</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55</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right" w:leader="dot" w:pos="9360"/>
              </w:tabs>
              <w:suppressAutoHyphens/>
              <w:spacing w:after="120"/>
            </w:pPr>
            <w:r>
              <w:tab/>
              <w:t>La nationalité (art. 9)</w:t>
            </w:r>
            <w:r>
              <w:rPr>
                <w:spacing w:val="60"/>
                <w:sz w:val="17"/>
              </w:rPr>
              <w:tab/>
            </w:r>
          </w:p>
        </w:tc>
        <w:tc>
          <w:tcPr>
            <w:tcW w:w="533" w:type="dxa"/>
            <w:vAlign w:val="bottom"/>
          </w:tcPr>
          <w:p w:rsidR="00000000" w:rsidRDefault="00000000">
            <w:pPr>
              <w:spacing w:after="120"/>
              <w:ind w:right="40"/>
              <w:jc w:val="right"/>
            </w:pPr>
            <w:r>
              <w:t>55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rPr>
                <w:spacing w:val="60"/>
                <w:sz w:val="17"/>
              </w:rPr>
            </w:pPr>
            <w:r>
              <w:tab/>
            </w:r>
            <w:r>
              <w:tab/>
              <w:t>Section I : Contexte</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55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t>Section II : Attribution de la nationalité</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56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tab/>
            </w:r>
            <w:r>
              <w:tab/>
            </w:r>
            <w:r>
              <w:tab/>
              <w:t>I.</w:t>
            </w:r>
            <w:r>
              <w:tab/>
              <w:t>De l’acquisition de la nationalité congolaise</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56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r>
            <w:r>
              <w:tab/>
            </w:r>
            <w:r>
              <w:tab/>
              <w:t>A.</w:t>
            </w:r>
            <w:r>
              <w:tab/>
              <w:t>L’acquisition par le mariage</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56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 w:val="17"/>
              </w:rPr>
            </w:pPr>
            <w:r>
              <w:tab/>
            </w:r>
            <w:r>
              <w:tab/>
            </w:r>
            <w:r>
              <w:tab/>
            </w:r>
            <w:r>
              <w:tab/>
              <w:t>B.</w:t>
            </w:r>
            <w:r>
              <w:tab/>
              <w:t>L’acquisition par la naissance et la résidence au Congo</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56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rPr>
                <w:spacing w:val="60"/>
                <w:sz w:val="17"/>
              </w:rPr>
            </w:pPr>
            <w:r>
              <w:tab/>
            </w:r>
            <w:r>
              <w:tab/>
            </w:r>
            <w:r>
              <w:tab/>
            </w:r>
            <w:r>
              <w:tab/>
              <w:t>C.</w:t>
            </w:r>
            <w:r>
              <w:tab/>
              <w:t>L’acquisition de la nationalité congolaise par décision de l’autorité publique</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57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pacing w:val="60"/>
                <w:sz w:val="17"/>
              </w:rPr>
            </w:pPr>
            <w:r>
              <w:tab/>
            </w:r>
            <w:r>
              <w:tab/>
            </w:r>
            <w:r>
              <w:tab/>
              <w:t>II.</w:t>
            </w:r>
            <w:r>
              <w:tab/>
              <w:t>De la transmission de la nationalité aux enfants</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57</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right" w:leader="dot" w:pos="9360"/>
              </w:tabs>
              <w:suppressAutoHyphens/>
              <w:spacing w:after="120"/>
            </w:pPr>
            <w:r>
              <w:tab/>
              <w:t>L’éducation (art. 10)</w:t>
            </w:r>
            <w:r>
              <w:rPr>
                <w:spacing w:val="60"/>
                <w:sz w:val="17"/>
              </w:rPr>
              <w:tab/>
            </w:r>
          </w:p>
        </w:tc>
        <w:tc>
          <w:tcPr>
            <w:tcW w:w="533" w:type="dxa"/>
            <w:vAlign w:val="bottom"/>
          </w:tcPr>
          <w:p w:rsidR="00000000" w:rsidRDefault="00000000">
            <w:pPr>
              <w:spacing w:after="120"/>
              <w:ind w:right="40"/>
              <w:jc w:val="right"/>
            </w:pPr>
            <w:r>
              <w:t>57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hanging="1296"/>
              <w:rPr>
                <w:spacing w:val="60"/>
                <w:sz w:val="17"/>
              </w:rPr>
            </w:pPr>
            <w:r>
              <w:tab/>
            </w:r>
            <w:r>
              <w:tab/>
              <w:t>Section I : Conditions d’orientation professionnelle, d’accès aux études et d’obtention de diplôme dans les établissements d’enseignement de toutes catégories</w:t>
            </w:r>
            <w:r>
              <w:rPr>
                <w:spacing w:val="60"/>
                <w:sz w:val="17"/>
              </w:rPr>
              <w:tab/>
            </w:r>
          </w:p>
        </w:tc>
        <w:tc>
          <w:tcPr>
            <w:tcW w:w="533" w:type="dxa"/>
            <w:vAlign w:val="bottom"/>
          </w:tcPr>
          <w:p w:rsidR="00000000" w:rsidRDefault="00000000">
            <w:pPr>
              <w:spacing w:after="120"/>
              <w:ind w:right="40"/>
              <w:jc w:val="right"/>
            </w:pPr>
            <w:r>
              <w:t>58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hanging="1296"/>
              <w:rPr>
                <w:spacing w:val="60"/>
                <w:sz w:val="17"/>
              </w:rPr>
            </w:pPr>
            <w:r>
              <w:tab/>
            </w:r>
            <w:r>
              <w:tab/>
            </w:r>
            <w:r>
              <w:tab/>
              <w:t>I.</w:t>
            </w:r>
            <w:r>
              <w:tab/>
              <w:t>L’état de l’enseignement au Congo</w:t>
            </w:r>
            <w:r>
              <w:rPr>
                <w:spacing w:val="60"/>
                <w:sz w:val="17"/>
              </w:rPr>
              <w:tab/>
            </w:r>
          </w:p>
        </w:tc>
        <w:tc>
          <w:tcPr>
            <w:tcW w:w="533" w:type="dxa"/>
            <w:vAlign w:val="bottom"/>
          </w:tcPr>
          <w:p w:rsidR="00000000" w:rsidRDefault="00000000">
            <w:pPr>
              <w:spacing w:after="120"/>
              <w:ind w:right="40"/>
              <w:jc w:val="right"/>
            </w:pPr>
            <w:r>
              <w:t>58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hanging="1296"/>
              <w:rPr>
                <w:spacing w:val="60"/>
                <w:sz w:val="17"/>
              </w:rPr>
            </w:pPr>
            <w:r>
              <w:tab/>
            </w:r>
            <w:r>
              <w:tab/>
            </w:r>
            <w:r>
              <w:tab/>
            </w:r>
            <w:r>
              <w:tab/>
              <w:t>A.</w:t>
            </w:r>
            <w:r>
              <w:tab/>
              <w:t>L’enseignement préscolaire</w:t>
            </w:r>
            <w:r>
              <w:rPr>
                <w:spacing w:val="60"/>
                <w:sz w:val="17"/>
              </w:rPr>
              <w:tab/>
            </w:r>
          </w:p>
        </w:tc>
        <w:tc>
          <w:tcPr>
            <w:tcW w:w="533" w:type="dxa"/>
            <w:vAlign w:val="bottom"/>
          </w:tcPr>
          <w:p w:rsidR="00000000" w:rsidRDefault="00000000">
            <w:pPr>
              <w:spacing w:after="120"/>
              <w:ind w:right="40"/>
              <w:jc w:val="right"/>
            </w:pPr>
            <w:r>
              <w:t>59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hanging="1296"/>
              <w:rPr>
                <w:spacing w:val="60"/>
                <w:sz w:val="17"/>
              </w:rPr>
            </w:pPr>
            <w:r>
              <w:tab/>
            </w:r>
            <w:r>
              <w:tab/>
            </w:r>
            <w:r>
              <w:tab/>
            </w:r>
            <w:r>
              <w:tab/>
              <w:t>B.</w:t>
            </w:r>
            <w:r>
              <w:tab/>
              <w:t>L’enseignement primaire</w:t>
            </w:r>
            <w:r>
              <w:rPr>
                <w:spacing w:val="60"/>
                <w:sz w:val="17"/>
              </w:rPr>
              <w:tab/>
            </w:r>
          </w:p>
        </w:tc>
        <w:tc>
          <w:tcPr>
            <w:tcW w:w="533" w:type="dxa"/>
            <w:vAlign w:val="bottom"/>
          </w:tcPr>
          <w:p w:rsidR="00000000" w:rsidRDefault="00000000">
            <w:pPr>
              <w:spacing w:after="120"/>
              <w:ind w:right="40"/>
              <w:jc w:val="right"/>
            </w:pPr>
            <w:r>
              <w:t>61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hanging="1296"/>
              <w:rPr>
                <w:spacing w:val="60"/>
                <w:sz w:val="17"/>
              </w:rPr>
            </w:pPr>
            <w:r>
              <w:tab/>
            </w:r>
            <w:r>
              <w:tab/>
            </w:r>
            <w:r>
              <w:tab/>
            </w:r>
            <w:r>
              <w:tab/>
              <w:t>C.</w:t>
            </w:r>
            <w:r>
              <w:tab/>
              <w:t>L’enseignement secondaire et technique</w:t>
            </w:r>
            <w:r>
              <w:rPr>
                <w:spacing w:val="60"/>
                <w:sz w:val="17"/>
              </w:rPr>
              <w:tab/>
            </w:r>
          </w:p>
        </w:tc>
        <w:tc>
          <w:tcPr>
            <w:tcW w:w="533" w:type="dxa"/>
            <w:vAlign w:val="bottom"/>
          </w:tcPr>
          <w:p w:rsidR="00000000" w:rsidRDefault="00000000">
            <w:pPr>
              <w:spacing w:after="120"/>
              <w:ind w:right="40"/>
              <w:jc w:val="right"/>
            </w:pPr>
            <w:r>
              <w:t>64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hanging="1296"/>
              <w:rPr>
                <w:spacing w:val="60"/>
                <w:sz w:val="17"/>
              </w:rPr>
            </w:pPr>
            <w:r>
              <w:tab/>
            </w:r>
            <w:r>
              <w:tab/>
            </w:r>
            <w:r>
              <w:tab/>
            </w:r>
            <w:r>
              <w:tab/>
              <w:t>D.</w:t>
            </w:r>
            <w:r>
              <w:tab/>
              <w:t>L’enseignement supérieur</w:t>
            </w:r>
            <w:r>
              <w:rPr>
                <w:spacing w:val="60"/>
                <w:sz w:val="17"/>
              </w:rPr>
              <w:tab/>
            </w:r>
          </w:p>
        </w:tc>
        <w:tc>
          <w:tcPr>
            <w:tcW w:w="533" w:type="dxa"/>
            <w:vAlign w:val="bottom"/>
          </w:tcPr>
          <w:p w:rsidR="00000000" w:rsidRDefault="00000000">
            <w:pPr>
              <w:spacing w:after="120"/>
              <w:ind w:right="40"/>
              <w:jc w:val="right"/>
            </w:pPr>
            <w:r>
              <w:t>66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hanging="1296"/>
              <w:rPr>
                <w:spacing w:val="60"/>
                <w:sz w:val="17"/>
              </w:rPr>
            </w:pPr>
            <w:r>
              <w:tab/>
            </w:r>
            <w:r>
              <w:tab/>
            </w:r>
            <w:r>
              <w:tab/>
            </w:r>
            <w:r>
              <w:tab/>
              <w:t>E.</w:t>
            </w:r>
            <w:r>
              <w:tab/>
              <w:t>L’évolution de la scolarité en général</w:t>
            </w:r>
            <w:r>
              <w:rPr>
                <w:spacing w:val="60"/>
                <w:sz w:val="17"/>
              </w:rPr>
              <w:tab/>
            </w:r>
          </w:p>
        </w:tc>
        <w:tc>
          <w:tcPr>
            <w:tcW w:w="533" w:type="dxa"/>
            <w:vAlign w:val="bottom"/>
          </w:tcPr>
          <w:p w:rsidR="00000000" w:rsidRDefault="00000000">
            <w:pPr>
              <w:spacing w:after="120"/>
              <w:ind w:right="40"/>
              <w:jc w:val="right"/>
            </w:pPr>
            <w:r>
              <w:t>67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hanging="1296"/>
              <w:rPr>
                <w:spacing w:val="60"/>
                <w:sz w:val="17"/>
              </w:rPr>
            </w:pPr>
            <w:r>
              <w:tab/>
            </w:r>
            <w:r>
              <w:tab/>
            </w:r>
            <w:r>
              <w:tab/>
              <w:t>II.</w:t>
            </w:r>
            <w:r>
              <w:tab/>
              <w:t>Les dépenses de l’éducation</w:t>
            </w:r>
            <w:r>
              <w:rPr>
                <w:spacing w:val="60"/>
                <w:sz w:val="17"/>
              </w:rPr>
              <w:tab/>
            </w:r>
          </w:p>
        </w:tc>
        <w:tc>
          <w:tcPr>
            <w:tcW w:w="533" w:type="dxa"/>
            <w:vAlign w:val="bottom"/>
          </w:tcPr>
          <w:p w:rsidR="00000000" w:rsidRDefault="00000000">
            <w:pPr>
              <w:spacing w:after="120"/>
              <w:ind w:right="40"/>
              <w:jc w:val="right"/>
            </w:pPr>
            <w:r>
              <w:t>68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296" w:hanging="1296"/>
              <w:rPr>
                <w:spacing w:val="60"/>
                <w:sz w:val="17"/>
              </w:rPr>
            </w:pPr>
            <w:r>
              <w:tab/>
            </w:r>
            <w:r>
              <w:tab/>
              <w:t>Section II : L’accès aux mêmes programmes, aux mêmes examens, à un personnel enseignant possédant les qualifications de même ordre, à des locaux scolaires et à un équipement de même qualité</w:t>
            </w:r>
            <w:r>
              <w:rPr>
                <w:spacing w:val="60"/>
                <w:sz w:val="17"/>
              </w:rPr>
              <w:tab/>
            </w:r>
          </w:p>
        </w:tc>
        <w:tc>
          <w:tcPr>
            <w:tcW w:w="533" w:type="dxa"/>
            <w:vAlign w:val="bottom"/>
          </w:tcPr>
          <w:p w:rsidR="00000000" w:rsidRDefault="00000000">
            <w:pPr>
              <w:spacing w:after="120"/>
              <w:ind w:right="40"/>
              <w:jc w:val="right"/>
            </w:pPr>
            <w:r>
              <w:t>69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296" w:hanging="1296"/>
              <w:rPr>
                <w:spacing w:val="60"/>
                <w:sz w:val="17"/>
              </w:rPr>
            </w:pPr>
            <w:r>
              <w:tab/>
            </w:r>
            <w:r>
              <w:tab/>
              <w:t>Section III : L’élimination de toute conception stéréotypée de l’homme et de la femme</w:t>
            </w:r>
            <w:r>
              <w:rPr>
                <w:spacing w:val="60"/>
                <w:sz w:val="17"/>
              </w:rPr>
              <w:tab/>
            </w:r>
          </w:p>
        </w:tc>
        <w:tc>
          <w:tcPr>
            <w:tcW w:w="533" w:type="dxa"/>
            <w:vAlign w:val="bottom"/>
          </w:tcPr>
          <w:p w:rsidR="00000000" w:rsidRDefault="00000000">
            <w:pPr>
              <w:spacing w:after="120"/>
              <w:ind w:right="40"/>
              <w:jc w:val="right"/>
            </w:pPr>
            <w:r>
              <w:t>70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hanging="1296"/>
              <w:rPr>
                <w:spacing w:val="60"/>
                <w:sz w:val="17"/>
              </w:rPr>
            </w:pPr>
            <w:r>
              <w:tab/>
            </w:r>
            <w:r>
              <w:tab/>
            </w:r>
            <w:r>
              <w:tab/>
              <w:t>I.</w:t>
            </w:r>
            <w:r>
              <w:tab/>
              <w:t>Une éducation familiale stéréotypée</w:t>
            </w:r>
            <w:r>
              <w:rPr>
                <w:spacing w:val="60"/>
                <w:sz w:val="17"/>
              </w:rPr>
              <w:tab/>
            </w:r>
          </w:p>
        </w:tc>
        <w:tc>
          <w:tcPr>
            <w:tcW w:w="533" w:type="dxa"/>
            <w:vAlign w:val="bottom"/>
          </w:tcPr>
          <w:p w:rsidR="00000000" w:rsidRDefault="00000000">
            <w:pPr>
              <w:spacing w:after="120"/>
              <w:ind w:right="40"/>
              <w:jc w:val="right"/>
            </w:pPr>
            <w:r>
              <w:t>70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hanging="1296"/>
              <w:rPr>
                <w:spacing w:val="60"/>
                <w:sz w:val="17"/>
              </w:rPr>
            </w:pPr>
            <w:r>
              <w:tab/>
            </w:r>
            <w:r>
              <w:tab/>
            </w:r>
            <w:r>
              <w:tab/>
              <w:t>II.</w:t>
            </w:r>
            <w:r>
              <w:tab/>
              <w:t>La sous-représentativité des femmes</w:t>
            </w:r>
            <w:r>
              <w:rPr>
                <w:spacing w:val="60"/>
                <w:sz w:val="17"/>
              </w:rPr>
              <w:tab/>
            </w:r>
          </w:p>
        </w:tc>
        <w:tc>
          <w:tcPr>
            <w:tcW w:w="533" w:type="dxa"/>
            <w:vAlign w:val="bottom"/>
          </w:tcPr>
          <w:p w:rsidR="00000000" w:rsidRDefault="00000000">
            <w:pPr>
              <w:spacing w:after="120"/>
              <w:ind w:right="40"/>
              <w:jc w:val="right"/>
            </w:pPr>
            <w:r>
              <w:t>71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hanging="1296"/>
              <w:rPr>
                <w:spacing w:val="60"/>
                <w:sz w:val="17"/>
              </w:rPr>
            </w:pPr>
            <w:r>
              <w:tab/>
            </w:r>
            <w:r>
              <w:tab/>
            </w:r>
            <w:r>
              <w:tab/>
            </w:r>
            <w:r>
              <w:tab/>
              <w:t>A.</w:t>
            </w:r>
            <w:r>
              <w:tab/>
              <w:t>La représentativité des filles à l’université Marien Ngouabi</w:t>
            </w:r>
            <w:r>
              <w:rPr>
                <w:spacing w:val="60"/>
                <w:sz w:val="17"/>
              </w:rPr>
              <w:tab/>
            </w:r>
          </w:p>
        </w:tc>
        <w:tc>
          <w:tcPr>
            <w:tcW w:w="533" w:type="dxa"/>
            <w:vAlign w:val="bottom"/>
          </w:tcPr>
          <w:p w:rsidR="00000000" w:rsidRDefault="00000000">
            <w:pPr>
              <w:spacing w:after="120"/>
              <w:ind w:right="40"/>
              <w:jc w:val="right"/>
            </w:pPr>
            <w:r>
              <w:t>71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hanging="1296"/>
              <w:rPr>
                <w:spacing w:val="60"/>
                <w:sz w:val="17"/>
              </w:rPr>
            </w:pPr>
            <w:r>
              <w:tab/>
            </w:r>
            <w:r>
              <w:tab/>
            </w:r>
            <w:r>
              <w:tab/>
            </w:r>
            <w:r>
              <w:tab/>
              <w:t>B.</w:t>
            </w:r>
            <w:r>
              <w:tab/>
              <w:t>La représentativité des femmes dans le corps enseignant</w:t>
            </w:r>
            <w:r>
              <w:rPr>
                <w:spacing w:val="60"/>
                <w:sz w:val="17"/>
              </w:rPr>
              <w:tab/>
            </w:r>
          </w:p>
        </w:tc>
        <w:tc>
          <w:tcPr>
            <w:tcW w:w="533" w:type="dxa"/>
            <w:vAlign w:val="bottom"/>
          </w:tcPr>
          <w:p w:rsidR="00000000" w:rsidRDefault="00000000">
            <w:pPr>
              <w:spacing w:after="120"/>
              <w:ind w:right="40"/>
              <w:jc w:val="right"/>
            </w:pPr>
            <w:r>
              <w:t>74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ind w:left="1296" w:hanging="1296"/>
              <w:rPr>
                <w:spacing w:val="60"/>
                <w:sz w:val="17"/>
              </w:rPr>
            </w:pPr>
            <w:r>
              <w:tab/>
            </w:r>
            <w:r>
              <w:tab/>
              <w:t>Section IV : L’égalité en matière d’octroi des bourses et autres subventions pour les études</w:t>
            </w:r>
            <w:r>
              <w:rPr>
                <w:spacing w:val="60"/>
                <w:sz w:val="17"/>
              </w:rPr>
              <w:tab/>
            </w:r>
          </w:p>
        </w:tc>
        <w:tc>
          <w:tcPr>
            <w:tcW w:w="533" w:type="dxa"/>
            <w:vAlign w:val="bottom"/>
          </w:tcPr>
          <w:p w:rsidR="00000000" w:rsidRDefault="00000000">
            <w:pPr>
              <w:spacing w:after="120"/>
              <w:ind w:right="40"/>
              <w:jc w:val="right"/>
            </w:pPr>
            <w:r>
              <w:t>75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296" w:hanging="1296"/>
              <w:rPr>
                <w:spacing w:val="60"/>
                <w:sz w:val="17"/>
              </w:rPr>
            </w:pPr>
            <w:r>
              <w:tab/>
            </w:r>
            <w:r>
              <w:tab/>
              <w:t>Section V : L’accès aux programmes d’éducation permanente, d’alphabétisation d’adultes et d’alphabétisation fonctionnelle</w:t>
            </w:r>
            <w:r>
              <w:rPr>
                <w:spacing w:val="60"/>
                <w:sz w:val="17"/>
              </w:rPr>
              <w:tab/>
            </w:r>
          </w:p>
        </w:tc>
        <w:tc>
          <w:tcPr>
            <w:tcW w:w="533" w:type="dxa"/>
            <w:vAlign w:val="bottom"/>
          </w:tcPr>
          <w:p w:rsidR="00000000" w:rsidRDefault="00000000">
            <w:pPr>
              <w:spacing w:after="120"/>
              <w:ind w:right="40"/>
              <w:jc w:val="right"/>
            </w:pPr>
            <w:r>
              <w:t>77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hanging="1296"/>
              <w:rPr>
                <w:spacing w:val="60"/>
                <w:sz w:val="17"/>
              </w:rPr>
            </w:pPr>
            <w:r>
              <w:tab/>
            </w:r>
            <w:r>
              <w:tab/>
              <w:t>Section VI : La réduction des taux d’abandon féminin des études et l’organisation des programmes pour les filles et les femmes qui ont quitté l’école prématurément</w:t>
            </w:r>
            <w:r>
              <w:rPr>
                <w:spacing w:val="60"/>
                <w:sz w:val="17"/>
              </w:rPr>
              <w:tab/>
            </w:r>
          </w:p>
        </w:tc>
        <w:tc>
          <w:tcPr>
            <w:tcW w:w="533" w:type="dxa"/>
            <w:vAlign w:val="bottom"/>
          </w:tcPr>
          <w:p w:rsidR="00000000" w:rsidRDefault="00000000">
            <w:pPr>
              <w:spacing w:after="120"/>
              <w:ind w:right="40"/>
              <w:jc w:val="right"/>
            </w:pPr>
            <w:r>
              <w:t>80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left="1296" w:hanging="1296"/>
              <w:rPr>
                <w:spacing w:val="60"/>
                <w:sz w:val="17"/>
              </w:rPr>
            </w:pPr>
            <w:r>
              <w:tab/>
            </w:r>
            <w:r>
              <w:tab/>
              <w:t>Section VII : Les mêmes possibilités de participer activement aux sports et à l’éducation physique</w:t>
            </w:r>
            <w:r>
              <w:rPr>
                <w:spacing w:val="60"/>
                <w:sz w:val="17"/>
              </w:rPr>
              <w:tab/>
            </w:r>
          </w:p>
        </w:tc>
        <w:tc>
          <w:tcPr>
            <w:tcW w:w="533" w:type="dxa"/>
            <w:vAlign w:val="bottom"/>
          </w:tcPr>
          <w:p w:rsidR="00000000" w:rsidRDefault="00000000">
            <w:pPr>
              <w:spacing w:after="120"/>
              <w:ind w:right="40"/>
              <w:jc w:val="right"/>
            </w:pPr>
            <w:r>
              <w:t>83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296" w:hanging="1296"/>
              <w:rPr>
                <w:spacing w:val="60"/>
                <w:sz w:val="17"/>
              </w:rPr>
            </w:pPr>
            <w:r>
              <w:tab/>
            </w:r>
            <w:r>
              <w:tab/>
              <w:t>Section VIII : L’accès à l’information tendant à assurer la santé, le bien-être des familles et la planification familiale</w:t>
            </w:r>
            <w:r>
              <w:rPr>
                <w:spacing w:val="60"/>
                <w:sz w:val="17"/>
              </w:rPr>
              <w:tab/>
            </w:r>
          </w:p>
        </w:tc>
        <w:tc>
          <w:tcPr>
            <w:tcW w:w="533" w:type="dxa"/>
            <w:vAlign w:val="bottom"/>
          </w:tcPr>
          <w:p w:rsidR="00000000" w:rsidRDefault="00000000">
            <w:pPr>
              <w:spacing w:after="120"/>
              <w:ind w:right="40"/>
              <w:jc w:val="right"/>
            </w:pPr>
            <w:r>
              <w:t>84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296" w:hanging="1296"/>
              <w:rPr>
                <w:spacing w:val="60"/>
                <w:sz w:val="17"/>
              </w:rPr>
            </w:pPr>
            <w:r>
              <w:tab/>
            </w:r>
            <w:r>
              <w:tab/>
              <w:t>Section IX : Les contraintes</w:t>
            </w:r>
            <w:r>
              <w:rPr>
                <w:spacing w:val="60"/>
                <w:sz w:val="17"/>
              </w:rPr>
              <w:tab/>
            </w:r>
          </w:p>
        </w:tc>
        <w:tc>
          <w:tcPr>
            <w:tcW w:w="533" w:type="dxa"/>
            <w:vAlign w:val="bottom"/>
          </w:tcPr>
          <w:p w:rsidR="00000000" w:rsidRDefault="00000000">
            <w:pPr>
              <w:spacing w:after="120"/>
              <w:ind w:right="40"/>
              <w:jc w:val="right"/>
            </w:pPr>
            <w:r>
              <w:t>85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296" w:hanging="1296"/>
              <w:rPr>
                <w:spacing w:val="60"/>
                <w:sz w:val="17"/>
              </w:rPr>
            </w:pPr>
            <w:r>
              <w:tab/>
            </w:r>
            <w:r>
              <w:tab/>
            </w:r>
            <w:r>
              <w:tab/>
              <w:t>I.</w:t>
            </w:r>
            <w:r>
              <w:tab/>
              <w:t>Les causes endogènes</w:t>
            </w:r>
            <w:r>
              <w:rPr>
                <w:spacing w:val="60"/>
                <w:sz w:val="17"/>
              </w:rPr>
              <w:tab/>
            </w:r>
          </w:p>
        </w:tc>
        <w:tc>
          <w:tcPr>
            <w:tcW w:w="533" w:type="dxa"/>
            <w:vAlign w:val="bottom"/>
          </w:tcPr>
          <w:p w:rsidR="00000000" w:rsidRDefault="00000000">
            <w:pPr>
              <w:spacing w:after="120"/>
              <w:ind w:right="40"/>
              <w:jc w:val="right"/>
            </w:pPr>
            <w:r>
              <w:t>86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296" w:hanging="1296"/>
              <w:rPr>
                <w:spacing w:val="60"/>
                <w:sz w:val="17"/>
              </w:rPr>
            </w:pPr>
            <w:r>
              <w:tab/>
            </w:r>
            <w:r>
              <w:tab/>
            </w:r>
            <w:r>
              <w:tab/>
              <w:t>II.</w:t>
            </w:r>
            <w:r>
              <w:tab/>
              <w:t>Les causes exogènes</w:t>
            </w:r>
            <w:r>
              <w:rPr>
                <w:spacing w:val="60"/>
                <w:sz w:val="17"/>
              </w:rPr>
              <w:tab/>
            </w:r>
          </w:p>
        </w:tc>
        <w:tc>
          <w:tcPr>
            <w:tcW w:w="533" w:type="dxa"/>
            <w:vAlign w:val="bottom"/>
          </w:tcPr>
          <w:p w:rsidR="00000000" w:rsidRDefault="00000000">
            <w:pPr>
              <w:spacing w:after="120"/>
              <w:ind w:right="40"/>
              <w:jc w:val="right"/>
            </w:pPr>
            <w:r>
              <w:t>86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296" w:hanging="1296"/>
              <w:rPr>
                <w:spacing w:val="60"/>
                <w:sz w:val="17"/>
              </w:rPr>
            </w:pPr>
            <w:r>
              <w:tab/>
            </w:r>
            <w:r>
              <w:tab/>
              <w:t>Section X : Perspectives</w:t>
            </w:r>
            <w:r>
              <w:rPr>
                <w:spacing w:val="60"/>
                <w:sz w:val="17"/>
              </w:rPr>
              <w:tab/>
            </w:r>
          </w:p>
        </w:tc>
        <w:tc>
          <w:tcPr>
            <w:tcW w:w="533" w:type="dxa"/>
            <w:vAlign w:val="bottom"/>
          </w:tcPr>
          <w:p w:rsidR="00000000" w:rsidRDefault="00000000">
            <w:pPr>
              <w:spacing w:after="120"/>
              <w:ind w:right="40"/>
              <w:jc w:val="right"/>
            </w:pPr>
            <w:r>
              <w:t>87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hanging="1296"/>
              <w:rPr>
                <w:spacing w:val="60"/>
                <w:sz w:val="17"/>
              </w:rPr>
            </w:pPr>
            <w:r>
              <w:tab/>
            </w:r>
            <w:r>
              <w:tab/>
            </w:r>
            <w:r>
              <w:tab/>
              <w:t>I.</w:t>
            </w:r>
            <w:r>
              <w:tab/>
              <w:t>Les perspectives en général</w:t>
            </w:r>
            <w:r>
              <w:rPr>
                <w:spacing w:val="60"/>
                <w:sz w:val="17"/>
              </w:rPr>
              <w:tab/>
            </w:r>
          </w:p>
        </w:tc>
        <w:tc>
          <w:tcPr>
            <w:tcW w:w="533" w:type="dxa"/>
            <w:vAlign w:val="bottom"/>
          </w:tcPr>
          <w:p w:rsidR="00000000" w:rsidRDefault="00000000">
            <w:pPr>
              <w:spacing w:after="120"/>
              <w:ind w:right="40"/>
              <w:jc w:val="right"/>
            </w:pPr>
            <w:r>
              <w:t>87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hanging="1296"/>
              <w:rPr>
                <w:spacing w:val="60"/>
                <w:sz w:val="17"/>
              </w:rPr>
            </w:pPr>
            <w:r>
              <w:tab/>
            </w:r>
            <w:r>
              <w:tab/>
            </w:r>
            <w:r>
              <w:tab/>
              <w:t>II.</w:t>
            </w:r>
            <w:r>
              <w:tab/>
              <w:t>Les perspectives pour les filles</w:t>
            </w:r>
            <w:r>
              <w:rPr>
                <w:spacing w:val="60"/>
                <w:sz w:val="17"/>
              </w:rPr>
              <w:tab/>
            </w:r>
          </w:p>
        </w:tc>
        <w:tc>
          <w:tcPr>
            <w:tcW w:w="533" w:type="dxa"/>
            <w:vAlign w:val="bottom"/>
          </w:tcPr>
          <w:p w:rsidR="00000000" w:rsidRDefault="00000000">
            <w:pPr>
              <w:spacing w:after="120"/>
              <w:ind w:right="40"/>
              <w:jc w:val="right"/>
            </w:pPr>
            <w:r>
              <w:t>88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296" w:hanging="1296"/>
              <w:rPr>
                <w:spacing w:val="60"/>
                <w:sz w:val="17"/>
              </w:rPr>
            </w:pPr>
            <w:r>
              <w:tab/>
            </w:r>
            <w:r>
              <w:tab/>
              <w:t>Section XI : Conclusion</w:t>
            </w:r>
            <w:r>
              <w:rPr>
                <w:spacing w:val="60"/>
                <w:sz w:val="17"/>
              </w:rPr>
              <w:tab/>
            </w:r>
          </w:p>
        </w:tc>
        <w:tc>
          <w:tcPr>
            <w:tcW w:w="533" w:type="dxa"/>
            <w:vAlign w:val="bottom"/>
          </w:tcPr>
          <w:p w:rsidR="00000000" w:rsidRDefault="00000000">
            <w:pPr>
              <w:spacing w:after="120"/>
              <w:ind w:right="40"/>
              <w:jc w:val="right"/>
            </w:pPr>
            <w:r>
              <w:t>89</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right" w:leader="dot" w:pos="9360"/>
              </w:tabs>
              <w:suppressAutoHyphens/>
              <w:spacing w:after="120"/>
            </w:pPr>
            <w:r>
              <w:tab/>
              <w:t>Le travail (art. 11)</w:t>
            </w:r>
            <w:r>
              <w:rPr>
                <w:spacing w:val="60"/>
                <w:sz w:val="17"/>
              </w:rPr>
              <w:tab/>
            </w:r>
          </w:p>
        </w:tc>
        <w:tc>
          <w:tcPr>
            <w:tcW w:w="533" w:type="dxa"/>
            <w:vAlign w:val="bottom"/>
          </w:tcPr>
          <w:p w:rsidR="00000000" w:rsidRDefault="00000000">
            <w:pPr>
              <w:spacing w:after="120"/>
              <w:ind w:right="40"/>
              <w:jc w:val="right"/>
            </w:pPr>
            <w:r>
              <w:t>89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t>Section I : Consécration de l’égalité des droits entre les sexes en matière d’emploi au Congo</w:t>
            </w:r>
          </w:p>
        </w:tc>
        <w:tc>
          <w:tcPr>
            <w:tcW w:w="533" w:type="dxa"/>
            <w:vAlign w:val="bottom"/>
          </w:tcPr>
          <w:p w:rsidR="00000000" w:rsidRDefault="00000000">
            <w:pPr>
              <w:spacing w:after="120"/>
              <w:ind w:right="40"/>
              <w:jc w:val="right"/>
            </w:pPr>
            <w:r>
              <w:t>90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r>
            <w:r>
              <w:tab/>
              <w:t>I.</w:t>
            </w:r>
            <w:r>
              <w:tab/>
              <w:t>La législation nationale</w:t>
            </w:r>
            <w:r>
              <w:rPr>
                <w:spacing w:val="60"/>
                <w:sz w:val="17"/>
              </w:rPr>
              <w:tab/>
            </w:r>
          </w:p>
        </w:tc>
        <w:tc>
          <w:tcPr>
            <w:tcW w:w="533" w:type="dxa"/>
            <w:vAlign w:val="bottom"/>
          </w:tcPr>
          <w:p w:rsidR="00000000" w:rsidRDefault="00000000">
            <w:pPr>
              <w:spacing w:after="120"/>
              <w:ind w:right="40"/>
              <w:jc w:val="right"/>
            </w:pPr>
            <w:r>
              <w:t>90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u w:val="single"/>
              </w:rPr>
            </w:pPr>
            <w:r>
              <w:tab/>
            </w:r>
            <w:r>
              <w:tab/>
            </w:r>
            <w:r>
              <w:tab/>
              <w:t>II.</w:t>
            </w:r>
            <w:r>
              <w:tab/>
              <w:t>Les conventions internationales</w:t>
            </w:r>
            <w:r>
              <w:rPr>
                <w:spacing w:val="60"/>
                <w:sz w:val="17"/>
              </w:rPr>
              <w:tab/>
            </w:r>
          </w:p>
        </w:tc>
        <w:tc>
          <w:tcPr>
            <w:tcW w:w="533" w:type="dxa"/>
            <w:vAlign w:val="bottom"/>
          </w:tcPr>
          <w:p w:rsidR="00000000" w:rsidRDefault="00000000">
            <w:pPr>
              <w:spacing w:after="120"/>
              <w:ind w:right="40"/>
              <w:jc w:val="right"/>
            </w:pPr>
            <w:r>
              <w:t>91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spacing w:val="60"/>
                <w:sz w:val="17"/>
              </w:rPr>
            </w:pPr>
            <w:r>
              <w:tab/>
            </w:r>
            <w:r>
              <w:tab/>
              <w:t>Section II : L’emploi dans les secteurs public, privé et informel</w:t>
            </w:r>
            <w:r>
              <w:rPr>
                <w:spacing w:val="60"/>
                <w:sz w:val="17"/>
              </w:rPr>
              <w:tab/>
            </w:r>
          </w:p>
        </w:tc>
        <w:tc>
          <w:tcPr>
            <w:tcW w:w="533" w:type="dxa"/>
            <w:vAlign w:val="bottom"/>
          </w:tcPr>
          <w:p w:rsidR="00000000" w:rsidRDefault="00000000">
            <w:pPr>
              <w:spacing w:after="120"/>
              <w:ind w:right="40"/>
              <w:jc w:val="right"/>
            </w:pPr>
            <w:r>
              <w:t>91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r>
            <w:r>
              <w:tab/>
              <w:t>I.</w:t>
            </w:r>
            <w:r>
              <w:tab/>
              <w:t>L’emploi public</w:t>
            </w:r>
            <w:r>
              <w:rPr>
                <w:spacing w:val="60"/>
                <w:sz w:val="17"/>
              </w:rPr>
              <w:tab/>
            </w:r>
          </w:p>
        </w:tc>
        <w:tc>
          <w:tcPr>
            <w:tcW w:w="533" w:type="dxa"/>
            <w:vAlign w:val="bottom"/>
          </w:tcPr>
          <w:p w:rsidR="00000000" w:rsidRDefault="00000000">
            <w:pPr>
              <w:spacing w:after="120"/>
              <w:ind w:right="40"/>
              <w:jc w:val="right"/>
            </w:pPr>
            <w:r>
              <w:t>91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r>
            <w:r>
              <w:tab/>
              <w:t>II.</w:t>
            </w:r>
            <w:r>
              <w:tab/>
              <w:t>L’emploi dans le secteur privé</w:t>
            </w:r>
            <w:r>
              <w:rPr>
                <w:spacing w:val="60"/>
                <w:sz w:val="17"/>
              </w:rPr>
              <w:tab/>
            </w:r>
          </w:p>
        </w:tc>
        <w:tc>
          <w:tcPr>
            <w:tcW w:w="533" w:type="dxa"/>
            <w:vAlign w:val="bottom"/>
          </w:tcPr>
          <w:p w:rsidR="00000000" w:rsidRDefault="00000000">
            <w:pPr>
              <w:spacing w:after="120"/>
              <w:ind w:right="40"/>
              <w:jc w:val="right"/>
            </w:pPr>
            <w:r>
              <w:t>92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r>
            <w:r>
              <w:tab/>
              <w:t>III.</w:t>
            </w:r>
            <w:r>
              <w:tab/>
              <w:t>L’emploi dans le secteur informel</w:t>
            </w:r>
            <w:r>
              <w:rPr>
                <w:spacing w:val="60"/>
                <w:sz w:val="17"/>
              </w:rPr>
              <w:tab/>
            </w:r>
          </w:p>
        </w:tc>
        <w:tc>
          <w:tcPr>
            <w:tcW w:w="533" w:type="dxa"/>
            <w:vAlign w:val="bottom"/>
          </w:tcPr>
          <w:p w:rsidR="00000000" w:rsidRDefault="00000000">
            <w:pPr>
              <w:spacing w:after="120"/>
              <w:ind w:right="40"/>
              <w:jc w:val="right"/>
            </w:pPr>
            <w:r>
              <w:t>92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t>Section III : Les femmes et l’emploi</w:t>
            </w:r>
            <w:r>
              <w:rPr>
                <w:spacing w:val="60"/>
                <w:sz w:val="17"/>
              </w:rPr>
              <w:tab/>
            </w:r>
          </w:p>
        </w:tc>
        <w:tc>
          <w:tcPr>
            <w:tcW w:w="533" w:type="dxa"/>
            <w:vAlign w:val="bottom"/>
          </w:tcPr>
          <w:p w:rsidR="00000000" w:rsidRDefault="00000000">
            <w:pPr>
              <w:spacing w:after="120"/>
              <w:ind w:right="40"/>
              <w:jc w:val="right"/>
            </w:pPr>
            <w:r>
              <w:t>92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spacing w:val="60"/>
                <w:sz w:val="17"/>
              </w:rPr>
            </w:pPr>
            <w:r>
              <w:tab/>
            </w:r>
            <w:r>
              <w:tab/>
              <w:t>Section IV : L’évolution de la carrière et l’accès à la formation</w:t>
            </w:r>
            <w:r>
              <w:rPr>
                <w:spacing w:val="60"/>
                <w:sz w:val="17"/>
              </w:rPr>
              <w:tab/>
            </w:r>
          </w:p>
        </w:tc>
        <w:tc>
          <w:tcPr>
            <w:tcW w:w="533" w:type="dxa"/>
            <w:vAlign w:val="bottom"/>
          </w:tcPr>
          <w:p w:rsidR="00000000" w:rsidRDefault="00000000">
            <w:pPr>
              <w:spacing w:after="120"/>
              <w:ind w:right="40"/>
              <w:jc w:val="right"/>
            </w:pPr>
            <w:r>
              <w:t>94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t>Section V : La rémunération</w:t>
            </w:r>
            <w:r>
              <w:rPr>
                <w:spacing w:val="60"/>
                <w:sz w:val="17"/>
              </w:rPr>
              <w:tab/>
            </w:r>
          </w:p>
        </w:tc>
        <w:tc>
          <w:tcPr>
            <w:tcW w:w="533" w:type="dxa"/>
            <w:vAlign w:val="bottom"/>
          </w:tcPr>
          <w:p w:rsidR="00000000" w:rsidRDefault="00000000">
            <w:pPr>
              <w:spacing w:after="120"/>
              <w:ind w:right="40"/>
              <w:jc w:val="right"/>
            </w:pPr>
            <w:r>
              <w:t>94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t>Section VI : La sécurité sociale du travailleur</w:t>
            </w:r>
            <w:r>
              <w:rPr>
                <w:spacing w:val="60"/>
                <w:sz w:val="17"/>
              </w:rPr>
              <w:tab/>
            </w:r>
          </w:p>
        </w:tc>
        <w:tc>
          <w:tcPr>
            <w:tcW w:w="533" w:type="dxa"/>
            <w:vAlign w:val="bottom"/>
          </w:tcPr>
          <w:p w:rsidR="00000000" w:rsidRDefault="00000000">
            <w:pPr>
              <w:spacing w:after="120"/>
              <w:ind w:right="40"/>
              <w:jc w:val="right"/>
            </w:pPr>
            <w:r>
              <w:t>95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r>
            <w:r>
              <w:tab/>
              <w:t>I.</w:t>
            </w:r>
            <w:r>
              <w:tab/>
              <w:t>Du travail de nuit</w:t>
            </w:r>
            <w:r>
              <w:rPr>
                <w:spacing w:val="60"/>
                <w:sz w:val="17"/>
              </w:rPr>
              <w:tab/>
            </w:r>
          </w:p>
        </w:tc>
        <w:tc>
          <w:tcPr>
            <w:tcW w:w="533" w:type="dxa"/>
            <w:vAlign w:val="bottom"/>
          </w:tcPr>
          <w:p w:rsidR="00000000" w:rsidRDefault="00000000">
            <w:pPr>
              <w:spacing w:after="120"/>
              <w:ind w:right="40"/>
              <w:jc w:val="right"/>
            </w:pPr>
            <w:r>
              <w:t>95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r>
            <w:r>
              <w:tab/>
              <w:t>II.</w:t>
            </w:r>
            <w:r>
              <w:tab/>
              <w:t>De la fonction de maternité</w:t>
            </w:r>
            <w:r>
              <w:rPr>
                <w:spacing w:val="60"/>
                <w:sz w:val="17"/>
              </w:rPr>
              <w:tab/>
            </w:r>
          </w:p>
        </w:tc>
        <w:tc>
          <w:tcPr>
            <w:tcW w:w="533" w:type="dxa"/>
            <w:vAlign w:val="bottom"/>
          </w:tcPr>
          <w:p w:rsidR="00000000" w:rsidRDefault="00000000">
            <w:pPr>
              <w:spacing w:after="120"/>
              <w:ind w:right="40"/>
              <w:jc w:val="right"/>
            </w:pPr>
            <w:r>
              <w:t>95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tab/>
            </w:r>
            <w:r>
              <w:tab/>
            </w:r>
            <w:r>
              <w:tab/>
            </w:r>
            <w:r>
              <w:tab/>
              <w:t>A.</w:t>
            </w:r>
            <w:r>
              <w:tab/>
              <w:t>Licenciement pour cause de grossesse</w:t>
            </w:r>
            <w:r>
              <w:rPr>
                <w:spacing w:val="60"/>
                <w:sz w:val="17"/>
              </w:rPr>
              <w:tab/>
            </w:r>
          </w:p>
        </w:tc>
        <w:tc>
          <w:tcPr>
            <w:tcW w:w="533" w:type="dxa"/>
            <w:vAlign w:val="bottom"/>
          </w:tcPr>
          <w:p w:rsidR="00000000" w:rsidRDefault="00000000">
            <w:pPr>
              <w:spacing w:after="120"/>
              <w:ind w:right="40"/>
              <w:jc w:val="right"/>
            </w:pPr>
            <w:r>
              <w:t>95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r>
            <w:r>
              <w:tab/>
            </w:r>
            <w:r>
              <w:tab/>
              <w:t>B.</w:t>
            </w:r>
            <w:r>
              <w:tab/>
              <w:t>Congé de maternité</w:t>
            </w:r>
            <w:r>
              <w:rPr>
                <w:spacing w:val="60"/>
                <w:sz w:val="17"/>
              </w:rPr>
              <w:tab/>
            </w:r>
          </w:p>
        </w:tc>
        <w:tc>
          <w:tcPr>
            <w:tcW w:w="533" w:type="dxa"/>
            <w:vAlign w:val="bottom"/>
          </w:tcPr>
          <w:p w:rsidR="00000000" w:rsidRDefault="00000000">
            <w:pPr>
              <w:spacing w:after="120"/>
              <w:ind w:right="40"/>
              <w:jc w:val="right"/>
            </w:pPr>
            <w:r>
              <w:t>95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tab/>
            </w:r>
            <w:r>
              <w:tab/>
            </w:r>
            <w:r>
              <w:tab/>
            </w:r>
            <w:r>
              <w:tab/>
              <w:t>C.</w:t>
            </w:r>
            <w:r>
              <w:tab/>
              <w:t>Droit au repos pendant l’allaitement</w:t>
            </w:r>
            <w:r>
              <w:rPr>
                <w:spacing w:val="60"/>
                <w:sz w:val="17"/>
              </w:rPr>
              <w:tab/>
            </w:r>
          </w:p>
        </w:tc>
        <w:tc>
          <w:tcPr>
            <w:tcW w:w="533" w:type="dxa"/>
            <w:vAlign w:val="bottom"/>
          </w:tcPr>
          <w:p w:rsidR="00000000" w:rsidRDefault="00000000">
            <w:pPr>
              <w:spacing w:after="120"/>
              <w:ind w:right="40"/>
              <w:jc w:val="right"/>
            </w:pPr>
            <w:r>
              <w:t>96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pacing w:val="60"/>
                <w:sz w:val="17"/>
              </w:rPr>
            </w:pPr>
            <w:r>
              <w:tab/>
            </w:r>
            <w:r>
              <w:tab/>
            </w:r>
            <w:r>
              <w:tab/>
            </w:r>
            <w:r>
              <w:tab/>
              <w:t>D.</w:t>
            </w:r>
            <w:r>
              <w:tab/>
              <w:t>Interdiction des travaux publics et dangereux</w:t>
            </w:r>
            <w:r>
              <w:rPr>
                <w:spacing w:val="60"/>
                <w:sz w:val="17"/>
              </w:rPr>
              <w:tab/>
            </w:r>
          </w:p>
        </w:tc>
        <w:tc>
          <w:tcPr>
            <w:tcW w:w="533" w:type="dxa"/>
            <w:vAlign w:val="bottom"/>
          </w:tcPr>
          <w:p w:rsidR="00000000" w:rsidRDefault="00000000">
            <w:pPr>
              <w:spacing w:after="120"/>
              <w:ind w:right="40"/>
              <w:jc w:val="right"/>
            </w:pPr>
            <w:r>
              <w:t>96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t>Section VII : Les conditions de travail</w:t>
            </w:r>
            <w:r>
              <w:rPr>
                <w:spacing w:val="60"/>
                <w:sz w:val="17"/>
              </w:rPr>
              <w:tab/>
            </w:r>
          </w:p>
        </w:tc>
        <w:tc>
          <w:tcPr>
            <w:tcW w:w="533" w:type="dxa"/>
            <w:vAlign w:val="bottom"/>
          </w:tcPr>
          <w:p w:rsidR="00000000" w:rsidRDefault="00000000">
            <w:pPr>
              <w:spacing w:after="120"/>
              <w:ind w:right="40"/>
              <w:jc w:val="right"/>
            </w:pPr>
            <w:r>
              <w:t>96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t>Section VIII : Contraintes</w:t>
            </w:r>
            <w:r>
              <w:rPr>
                <w:spacing w:val="60"/>
                <w:sz w:val="17"/>
              </w:rPr>
              <w:tab/>
            </w:r>
          </w:p>
        </w:tc>
        <w:tc>
          <w:tcPr>
            <w:tcW w:w="533" w:type="dxa"/>
            <w:vAlign w:val="bottom"/>
          </w:tcPr>
          <w:p w:rsidR="00000000" w:rsidRDefault="00000000">
            <w:pPr>
              <w:spacing w:after="120"/>
              <w:ind w:right="40"/>
              <w:jc w:val="right"/>
            </w:pPr>
            <w:r>
              <w:t>96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rPr>
                <w:spacing w:val="60"/>
                <w:sz w:val="17"/>
              </w:rPr>
            </w:pPr>
            <w:r>
              <w:tab/>
            </w:r>
            <w:r>
              <w:tab/>
              <w:t>Section IX : Perspectives</w:t>
            </w:r>
            <w:r>
              <w:rPr>
                <w:spacing w:val="60"/>
                <w:sz w:val="17"/>
              </w:rPr>
              <w:tab/>
            </w:r>
          </w:p>
        </w:tc>
        <w:tc>
          <w:tcPr>
            <w:tcW w:w="533" w:type="dxa"/>
            <w:vAlign w:val="bottom"/>
          </w:tcPr>
          <w:p w:rsidR="00000000" w:rsidRDefault="00000000">
            <w:pPr>
              <w:spacing w:after="120"/>
              <w:ind w:right="40"/>
              <w:jc w:val="right"/>
            </w:pPr>
            <w:r>
              <w:t>97</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tab/>
              <w:t>Accès des femmes à la santé et la sécurité sociale (art. 12)</w:t>
            </w:r>
            <w:r>
              <w:rPr>
                <w:spacing w:val="60"/>
                <w:sz w:val="17"/>
              </w:rPr>
              <w:tab/>
            </w:r>
          </w:p>
        </w:tc>
        <w:tc>
          <w:tcPr>
            <w:tcW w:w="533" w:type="dxa"/>
            <w:vAlign w:val="bottom"/>
          </w:tcPr>
          <w:p w:rsidR="00000000" w:rsidRDefault="00000000">
            <w:pPr>
              <w:spacing w:after="120"/>
              <w:ind w:right="40"/>
              <w:jc w:val="right"/>
            </w:pPr>
            <w:r>
              <w:t>97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t>Section I : Accès des femmes à la santé</w:t>
            </w:r>
            <w:r>
              <w:rPr>
                <w:spacing w:val="60"/>
                <w:sz w:val="17"/>
              </w:rPr>
              <w:tab/>
            </w:r>
          </w:p>
        </w:tc>
        <w:tc>
          <w:tcPr>
            <w:tcW w:w="533" w:type="dxa"/>
            <w:vAlign w:val="bottom"/>
          </w:tcPr>
          <w:p w:rsidR="00000000" w:rsidRDefault="00000000">
            <w:pPr>
              <w:spacing w:after="120"/>
              <w:ind w:right="40"/>
              <w:jc w:val="right"/>
            </w:pPr>
            <w:r>
              <w:t>97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r>
            <w:r>
              <w:tab/>
              <w:t>I.</w:t>
            </w:r>
            <w:r>
              <w:tab/>
              <w:t>La situation sanitaire actuelle</w:t>
            </w:r>
            <w:r>
              <w:rPr>
                <w:spacing w:val="60"/>
                <w:sz w:val="17"/>
              </w:rPr>
              <w:tab/>
            </w:r>
          </w:p>
        </w:tc>
        <w:tc>
          <w:tcPr>
            <w:tcW w:w="533" w:type="dxa"/>
            <w:vAlign w:val="bottom"/>
          </w:tcPr>
          <w:p w:rsidR="00000000" w:rsidRDefault="00000000">
            <w:pPr>
              <w:spacing w:after="120"/>
              <w:ind w:right="40"/>
              <w:jc w:val="right"/>
            </w:pPr>
            <w:r>
              <w:t>99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r>
            <w:r>
              <w:tab/>
            </w:r>
            <w:r>
              <w:tab/>
              <w:t>A.</w:t>
            </w:r>
            <w:r>
              <w:tab/>
              <w:t>La mortalité maternelle</w:t>
            </w:r>
            <w:r>
              <w:rPr>
                <w:spacing w:val="60"/>
                <w:sz w:val="17"/>
              </w:rPr>
              <w:tab/>
            </w:r>
          </w:p>
        </w:tc>
        <w:tc>
          <w:tcPr>
            <w:tcW w:w="533" w:type="dxa"/>
            <w:vAlign w:val="bottom"/>
          </w:tcPr>
          <w:p w:rsidR="00000000" w:rsidRDefault="00000000">
            <w:pPr>
              <w:spacing w:after="120"/>
              <w:ind w:right="40"/>
              <w:jc w:val="right"/>
            </w:pPr>
            <w:r>
              <w:t>99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r>
            <w:r>
              <w:tab/>
            </w:r>
            <w:r>
              <w:tab/>
              <w:t>B.</w:t>
            </w:r>
            <w:r>
              <w:tab/>
              <w:t>La morbidité maternelle</w:t>
            </w:r>
            <w:r>
              <w:rPr>
                <w:spacing w:val="60"/>
                <w:sz w:val="17"/>
              </w:rPr>
              <w:tab/>
            </w:r>
          </w:p>
        </w:tc>
        <w:tc>
          <w:tcPr>
            <w:tcW w:w="533" w:type="dxa"/>
            <w:vAlign w:val="bottom"/>
          </w:tcPr>
          <w:p w:rsidR="00000000" w:rsidRDefault="00000000">
            <w:pPr>
              <w:spacing w:after="120"/>
              <w:ind w:right="40"/>
              <w:jc w:val="right"/>
            </w:pPr>
            <w:r>
              <w:t>99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r>
            <w:r>
              <w:tab/>
            </w:r>
            <w:r>
              <w:tab/>
              <w:t>C.</w:t>
            </w:r>
            <w:r>
              <w:tab/>
              <w:t>Le suivi prénatal</w:t>
            </w:r>
            <w:r>
              <w:rPr>
                <w:spacing w:val="60"/>
                <w:sz w:val="17"/>
              </w:rPr>
              <w:tab/>
            </w:r>
          </w:p>
        </w:tc>
        <w:tc>
          <w:tcPr>
            <w:tcW w:w="533" w:type="dxa"/>
            <w:vAlign w:val="bottom"/>
          </w:tcPr>
          <w:p w:rsidR="00000000" w:rsidRDefault="00000000">
            <w:pPr>
              <w:spacing w:after="120"/>
              <w:ind w:right="40"/>
              <w:jc w:val="right"/>
            </w:pPr>
            <w:r>
              <w:t>99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r>
            <w:r>
              <w:tab/>
            </w:r>
            <w:r>
              <w:tab/>
              <w:t>D.</w:t>
            </w:r>
            <w:r>
              <w:tab/>
              <w:t>Le lieu d’accouchement</w:t>
            </w:r>
            <w:r>
              <w:rPr>
                <w:spacing w:val="60"/>
                <w:sz w:val="17"/>
              </w:rPr>
              <w:tab/>
            </w:r>
          </w:p>
        </w:tc>
        <w:tc>
          <w:tcPr>
            <w:tcW w:w="533" w:type="dxa"/>
            <w:vAlign w:val="bottom"/>
          </w:tcPr>
          <w:p w:rsidR="00000000" w:rsidRDefault="00000000">
            <w:pPr>
              <w:spacing w:after="120"/>
              <w:ind w:right="40"/>
              <w:jc w:val="right"/>
            </w:pPr>
            <w:r>
              <w:t>101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r>
            <w:r>
              <w:tab/>
            </w:r>
            <w:r>
              <w:tab/>
              <w:t>E.</w:t>
            </w:r>
            <w:r>
              <w:tab/>
              <w:t>L’assistance aux accouchements</w:t>
            </w:r>
            <w:r>
              <w:rPr>
                <w:spacing w:val="60"/>
                <w:sz w:val="17"/>
              </w:rPr>
              <w:tab/>
            </w:r>
          </w:p>
        </w:tc>
        <w:tc>
          <w:tcPr>
            <w:tcW w:w="533" w:type="dxa"/>
            <w:vAlign w:val="bottom"/>
          </w:tcPr>
          <w:p w:rsidR="00000000" w:rsidRDefault="00000000">
            <w:pPr>
              <w:spacing w:after="120"/>
              <w:ind w:right="40"/>
              <w:jc w:val="right"/>
            </w:pPr>
            <w:r>
              <w:t>102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r>
            <w:r>
              <w:tab/>
            </w:r>
            <w:r>
              <w:tab/>
              <w:t>F.</w:t>
            </w:r>
            <w:r>
              <w:tab/>
              <w:t>La consultation postnatale</w:t>
            </w:r>
            <w:r>
              <w:rPr>
                <w:spacing w:val="60"/>
                <w:sz w:val="17"/>
              </w:rPr>
              <w:tab/>
            </w:r>
          </w:p>
        </w:tc>
        <w:tc>
          <w:tcPr>
            <w:tcW w:w="533" w:type="dxa"/>
            <w:vAlign w:val="bottom"/>
          </w:tcPr>
          <w:p w:rsidR="00000000" w:rsidRDefault="00000000">
            <w:pPr>
              <w:spacing w:after="120"/>
              <w:ind w:right="40"/>
              <w:jc w:val="right"/>
            </w:pPr>
            <w:r>
              <w:t>103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pacing w:val="60"/>
                <w:sz w:val="17"/>
              </w:rPr>
            </w:pPr>
            <w:r>
              <w:tab/>
            </w:r>
            <w:r>
              <w:tab/>
            </w:r>
            <w:r>
              <w:tab/>
            </w:r>
            <w:r>
              <w:tab/>
              <w:t>G.</w:t>
            </w:r>
            <w:r>
              <w:tab/>
              <w:t>Les prestations de planification familiale</w:t>
            </w:r>
            <w:r>
              <w:rPr>
                <w:spacing w:val="60"/>
                <w:sz w:val="17"/>
              </w:rPr>
              <w:tab/>
            </w:r>
          </w:p>
        </w:tc>
        <w:tc>
          <w:tcPr>
            <w:tcW w:w="533" w:type="dxa"/>
            <w:vAlign w:val="bottom"/>
          </w:tcPr>
          <w:p w:rsidR="00000000" w:rsidRDefault="00000000">
            <w:pPr>
              <w:spacing w:after="120"/>
              <w:ind w:right="40"/>
              <w:jc w:val="right"/>
            </w:pPr>
            <w:r>
              <w:t>103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r>
            <w:r>
              <w:tab/>
            </w:r>
            <w:r>
              <w:tab/>
              <w:t>H.</w:t>
            </w:r>
            <w:r>
              <w:tab/>
              <w:t>Les cancers des voies génitales</w:t>
            </w:r>
            <w:r>
              <w:rPr>
                <w:spacing w:val="60"/>
                <w:sz w:val="17"/>
              </w:rPr>
              <w:tab/>
            </w:r>
          </w:p>
        </w:tc>
        <w:tc>
          <w:tcPr>
            <w:tcW w:w="533" w:type="dxa"/>
            <w:vAlign w:val="bottom"/>
          </w:tcPr>
          <w:p w:rsidR="00000000" w:rsidRDefault="00000000">
            <w:pPr>
              <w:spacing w:after="120"/>
              <w:ind w:right="40"/>
              <w:jc w:val="right"/>
            </w:pPr>
            <w:r>
              <w:t>104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tab/>
            </w:r>
            <w:r>
              <w:tab/>
            </w:r>
            <w:r>
              <w:tab/>
            </w:r>
            <w:r>
              <w:tab/>
              <w:t>I.</w:t>
            </w:r>
            <w:r>
              <w:tab/>
              <w:t>Les violences à l’égard des femmes</w:t>
            </w:r>
            <w:r>
              <w:rPr>
                <w:spacing w:val="60"/>
                <w:sz w:val="17"/>
              </w:rPr>
              <w:tab/>
            </w:r>
          </w:p>
        </w:tc>
        <w:tc>
          <w:tcPr>
            <w:tcW w:w="533" w:type="dxa"/>
            <w:vAlign w:val="bottom"/>
          </w:tcPr>
          <w:p w:rsidR="00000000" w:rsidRDefault="00000000">
            <w:pPr>
              <w:spacing w:after="120"/>
              <w:ind w:right="40"/>
              <w:jc w:val="right"/>
            </w:pPr>
            <w:r>
              <w:t>105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r>
            <w:r>
              <w:tab/>
            </w:r>
            <w:r>
              <w:tab/>
              <w:t>J.</w:t>
            </w:r>
            <w:r>
              <w:tab/>
              <w:t>L’infection au VIH/sida</w:t>
            </w:r>
            <w:r>
              <w:rPr>
                <w:spacing w:val="60"/>
                <w:sz w:val="17"/>
              </w:rPr>
              <w:tab/>
            </w:r>
          </w:p>
        </w:tc>
        <w:tc>
          <w:tcPr>
            <w:tcW w:w="533" w:type="dxa"/>
            <w:vAlign w:val="bottom"/>
          </w:tcPr>
          <w:p w:rsidR="00000000" w:rsidRDefault="00000000">
            <w:pPr>
              <w:spacing w:after="120"/>
              <w:ind w:right="40"/>
              <w:jc w:val="right"/>
            </w:pPr>
            <w:r>
              <w:t>105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r>
            <w:r>
              <w:tab/>
            </w:r>
            <w:r>
              <w:tab/>
              <w:t>K.</w:t>
            </w:r>
            <w:r>
              <w:tab/>
              <w:t>La nutrition</w:t>
            </w:r>
            <w:r>
              <w:rPr>
                <w:spacing w:val="60"/>
                <w:sz w:val="17"/>
              </w:rPr>
              <w:tab/>
            </w:r>
          </w:p>
        </w:tc>
        <w:tc>
          <w:tcPr>
            <w:tcW w:w="533" w:type="dxa"/>
            <w:vAlign w:val="bottom"/>
          </w:tcPr>
          <w:p w:rsidR="00000000" w:rsidRDefault="00000000">
            <w:pPr>
              <w:spacing w:after="120"/>
              <w:ind w:right="40"/>
              <w:jc w:val="right"/>
            </w:pPr>
            <w:r>
              <w:t>106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spacing w:val="60"/>
                <w:sz w:val="17"/>
              </w:rPr>
            </w:pPr>
            <w:r>
              <w:tab/>
            </w:r>
            <w:r>
              <w:tab/>
            </w:r>
            <w:r>
              <w:tab/>
            </w:r>
            <w:r>
              <w:tab/>
              <w:t>L.</w:t>
            </w:r>
            <w:r>
              <w:tab/>
              <w:t>L’approvisionnement en eau potable et l’assainissement</w:t>
            </w:r>
            <w:r>
              <w:rPr>
                <w:spacing w:val="60"/>
                <w:sz w:val="17"/>
              </w:rPr>
              <w:tab/>
            </w:r>
          </w:p>
        </w:tc>
        <w:tc>
          <w:tcPr>
            <w:tcW w:w="533" w:type="dxa"/>
            <w:vAlign w:val="bottom"/>
          </w:tcPr>
          <w:p w:rsidR="00000000" w:rsidRDefault="00000000">
            <w:pPr>
              <w:spacing w:after="120"/>
              <w:ind w:right="40"/>
              <w:jc w:val="right"/>
            </w:pPr>
            <w:r>
              <w:t>106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r>
            <w:r>
              <w:tab/>
            </w:r>
            <w:r>
              <w:tab/>
            </w:r>
            <w:r>
              <w:tab/>
              <w:t>1.</w:t>
            </w:r>
            <w:r>
              <w:tab/>
              <w:t>L’eau potable</w:t>
            </w:r>
            <w:r>
              <w:rPr>
                <w:spacing w:val="60"/>
                <w:sz w:val="17"/>
              </w:rPr>
              <w:tab/>
            </w:r>
          </w:p>
        </w:tc>
        <w:tc>
          <w:tcPr>
            <w:tcW w:w="533" w:type="dxa"/>
            <w:vAlign w:val="bottom"/>
          </w:tcPr>
          <w:p w:rsidR="00000000" w:rsidRDefault="00000000">
            <w:pPr>
              <w:spacing w:after="120"/>
              <w:ind w:right="40"/>
              <w:jc w:val="right"/>
            </w:pPr>
            <w:r>
              <w:t>107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r>
            <w:r>
              <w:tab/>
            </w:r>
            <w:r>
              <w:tab/>
            </w:r>
            <w:r>
              <w:tab/>
              <w:t>2.</w:t>
            </w:r>
            <w:r>
              <w:tab/>
              <w:t>L’assainissement</w:t>
            </w:r>
            <w:r>
              <w:rPr>
                <w:spacing w:val="60"/>
                <w:sz w:val="17"/>
              </w:rPr>
              <w:tab/>
            </w:r>
          </w:p>
        </w:tc>
        <w:tc>
          <w:tcPr>
            <w:tcW w:w="533" w:type="dxa"/>
            <w:vAlign w:val="bottom"/>
          </w:tcPr>
          <w:p w:rsidR="00000000" w:rsidRDefault="00000000">
            <w:pPr>
              <w:spacing w:after="120"/>
              <w:ind w:right="40"/>
              <w:jc w:val="right"/>
            </w:pPr>
            <w:r>
              <w:t>107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rPr>
                <w:spacing w:val="60"/>
                <w:sz w:val="17"/>
              </w:rPr>
            </w:pPr>
            <w:r>
              <w:tab/>
            </w:r>
            <w:r>
              <w:tab/>
            </w:r>
            <w:r>
              <w:tab/>
              <w:t>II.</w:t>
            </w:r>
            <w:r>
              <w:tab/>
              <w:t>Les contraintes</w:t>
            </w:r>
            <w:r>
              <w:rPr>
                <w:spacing w:val="60"/>
                <w:sz w:val="17"/>
              </w:rPr>
              <w:tab/>
            </w:r>
          </w:p>
        </w:tc>
        <w:tc>
          <w:tcPr>
            <w:tcW w:w="533" w:type="dxa"/>
            <w:vAlign w:val="bottom"/>
          </w:tcPr>
          <w:p w:rsidR="00000000" w:rsidRDefault="00000000">
            <w:pPr>
              <w:spacing w:after="120"/>
              <w:ind w:right="40"/>
              <w:jc w:val="right"/>
            </w:pPr>
            <w:r>
              <w:t>107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r>
            <w:r>
              <w:tab/>
            </w:r>
            <w:r>
              <w:tab/>
              <w:t>A.</w:t>
            </w:r>
            <w:r>
              <w:tab/>
              <w:t>Les contraintes socioéconomiques</w:t>
            </w:r>
            <w:r>
              <w:rPr>
                <w:spacing w:val="60"/>
                <w:sz w:val="17"/>
              </w:rPr>
              <w:tab/>
            </w:r>
          </w:p>
        </w:tc>
        <w:tc>
          <w:tcPr>
            <w:tcW w:w="533" w:type="dxa"/>
            <w:vAlign w:val="bottom"/>
          </w:tcPr>
          <w:p w:rsidR="00000000" w:rsidRDefault="00000000">
            <w:pPr>
              <w:spacing w:after="120"/>
              <w:ind w:right="40"/>
              <w:jc w:val="right"/>
            </w:pPr>
            <w:r>
              <w:t>108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r>
            <w:r>
              <w:tab/>
            </w:r>
            <w:r>
              <w:tab/>
              <w:t>B.</w:t>
            </w:r>
            <w:r>
              <w:tab/>
              <w:t>Les contraintes socioculturelles</w:t>
            </w:r>
            <w:r>
              <w:rPr>
                <w:spacing w:val="60"/>
                <w:sz w:val="17"/>
              </w:rPr>
              <w:tab/>
            </w:r>
          </w:p>
        </w:tc>
        <w:tc>
          <w:tcPr>
            <w:tcW w:w="533" w:type="dxa"/>
            <w:vAlign w:val="bottom"/>
          </w:tcPr>
          <w:p w:rsidR="00000000" w:rsidRDefault="00000000">
            <w:pPr>
              <w:spacing w:after="120"/>
              <w:ind w:right="40"/>
              <w:jc w:val="right"/>
            </w:pPr>
            <w:r>
              <w:t>108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pacing w:val="60"/>
                <w:sz w:val="17"/>
              </w:rPr>
            </w:pPr>
            <w:r>
              <w:tab/>
            </w:r>
            <w:r>
              <w:tab/>
            </w:r>
            <w:r>
              <w:tab/>
            </w:r>
            <w:r>
              <w:tab/>
              <w:t>C.</w:t>
            </w:r>
            <w:r>
              <w:tab/>
              <w:t>Les contraintes liées au système de santé</w:t>
            </w:r>
            <w:r>
              <w:rPr>
                <w:spacing w:val="60"/>
                <w:sz w:val="17"/>
              </w:rPr>
              <w:tab/>
            </w:r>
          </w:p>
        </w:tc>
        <w:tc>
          <w:tcPr>
            <w:tcW w:w="533" w:type="dxa"/>
            <w:vAlign w:val="bottom"/>
          </w:tcPr>
          <w:p w:rsidR="00000000" w:rsidRDefault="00000000">
            <w:pPr>
              <w:spacing w:after="120"/>
              <w:ind w:right="40"/>
              <w:jc w:val="right"/>
            </w:pPr>
            <w:r>
              <w:t>108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r>
            <w:r>
              <w:tab/>
            </w:r>
            <w:r>
              <w:tab/>
              <w:t>D.</w:t>
            </w:r>
            <w:r>
              <w:tab/>
              <w:t>Les contraintes juridiques</w:t>
            </w:r>
            <w:r>
              <w:rPr>
                <w:spacing w:val="60"/>
                <w:sz w:val="17"/>
              </w:rPr>
              <w:tab/>
            </w:r>
          </w:p>
        </w:tc>
        <w:tc>
          <w:tcPr>
            <w:tcW w:w="533" w:type="dxa"/>
            <w:vAlign w:val="bottom"/>
          </w:tcPr>
          <w:p w:rsidR="00000000" w:rsidRDefault="00000000">
            <w:pPr>
              <w:spacing w:after="120"/>
              <w:ind w:right="40"/>
              <w:jc w:val="right"/>
            </w:pPr>
            <w:r>
              <w:t>109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rPr>
                <w:spacing w:val="60"/>
                <w:sz w:val="17"/>
              </w:rPr>
            </w:pPr>
            <w:r>
              <w:tab/>
            </w:r>
            <w:r>
              <w:tab/>
            </w:r>
            <w:r>
              <w:tab/>
              <w:t>III.</w:t>
            </w:r>
            <w:r>
              <w:tab/>
              <w:t>Les atouts</w:t>
            </w:r>
            <w:r>
              <w:rPr>
                <w:spacing w:val="60"/>
                <w:sz w:val="17"/>
              </w:rPr>
              <w:tab/>
            </w:r>
          </w:p>
        </w:tc>
        <w:tc>
          <w:tcPr>
            <w:tcW w:w="533" w:type="dxa"/>
            <w:vAlign w:val="bottom"/>
          </w:tcPr>
          <w:p w:rsidR="00000000" w:rsidRDefault="00000000">
            <w:pPr>
              <w:spacing w:after="120"/>
              <w:ind w:right="40"/>
              <w:jc w:val="right"/>
            </w:pPr>
            <w:r>
              <w:t>110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t>Section II : La sécurité sociale en matière de santé</w:t>
            </w:r>
            <w:r>
              <w:rPr>
                <w:spacing w:val="60"/>
                <w:sz w:val="17"/>
              </w:rPr>
              <w:tab/>
            </w:r>
          </w:p>
        </w:tc>
        <w:tc>
          <w:tcPr>
            <w:tcW w:w="533" w:type="dxa"/>
            <w:vAlign w:val="bottom"/>
          </w:tcPr>
          <w:p w:rsidR="00000000" w:rsidRDefault="00000000">
            <w:pPr>
              <w:spacing w:after="120"/>
              <w:ind w:right="40"/>
              <w:jc w:val="right"/>
            </w:pPr>
            <w:r>
              <w:t>110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rPr>
                <w:spacing w:val="60"/>
                <w:sz w:val="17"/>
              </w:rPr>
            </w:pPr>
            <w:r>
              <w:tab/>
            </w:r>
            <w:r>
              <w:tab/>
              <w:t>Section III : Conclusion</w:t>
            </w:r>
            <w:r>
              <w:rPr>
                <w:spacing w:val="60"/>
                <w:sz w:val="17"/>
              </w:rPr>
              <w:tab/>
            </w:r>
          </w:p>
        </w:tc>
        <w:tc>
          <w:tcPr>
            <w:tcW w:w="533" w:type="dxa"/>
            <w:vAlign w:val="bottom"/>
          </w:tcPr>
          <w:p w:rsidR="00000000" w:rsidRDefault="00000000">
            <w:pPr>
              <w:spacing w:after="120"/>
              <w:ind w:right="40"/>
              <w:jc w:val="right"/>
            </w:pPr>
            <w:r>
              <w:t>111</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tab/>
              <w:t>Droits économiques et sociaux de la femme (art. 13)</w:t>
            </w:r>
            <w:r>
              <w:rPr>
                <w:spacing w:val="60"/>
                <w:sz w:val="17"/>
              </w:rPr>
              <w:tab/>
            </w:r>
          </w:p>
        </w:tc>
        <w:tc>
          <w:tcPr>
            <w:tcW w:w="533" w:type="dxa"/>
            <w:vAlign w:val="bottom"/>
          </w:tcPr>
          <w:p w:rsidR="00000000" w:rsidRDefault="00000000">
            <w:pPr>
              <w:spacing w:after="120"/>
              <w:ind w:right="40"/>
              <w:jc w:val="right"/>
            </w:pPr>
            <w:r>
              <w:t>112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t>Section I : Le droit aux prestations familiales</w:t>
            </w:r>
            <w:r>
              <w:rPr>
                <w:spacing w:val="60"/>
                <w:sz w:val="17"/>
              </w:rPr>
              <w:tab/>
            </w:r>
          </w:p>
        </w:tc>
        <w:tc>
          <w:tcPr>
            <w:tcW w:w="533" w:type="dxa"/>
            <w:vAlign w:val="bottom"/>
          </w:tcPr>
          <w:p w:rsidR="00000000" w:rsidRDefault="00000000">
            <w:pPr>
              <w:spacing w:after="120"/>
              <w:ind w:right="40"/>
              <w:jc w:val="right"/>
            </w:pPr>
            <w:r>
              <w:t>112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left="1296" w:hanging="1296"/>
              <w:rPr>
                <w:spacing w:val="60"/>
                <w:sz w:val="17"/>
              </w:rPr>
            </w:pPr>
            <w:r>
              <w:tab/>
            </w:r>
            <w:r>
              <w:tab/>
              <w:t>Section II : Le droit aux prêts bancaires, prêts hypothécaires et autres formes de crédits financiers</w:t>
            </w:r>
            <w:r>
              <w:rPr>
                <w:spacing w:val="60"/>
                <w:sz w:val="17"/>
              </w:rPr>
              <w:tab/>
            </w:r>
          </w:p>
        </w:tc>
        <w:tc>
          <w:tcPr>
            <w:tcW w:w="533" w:type="dxa"/>
            <w:vAlign w:val="bottom"/>
          </w:tcPr>
          <w:p w:rsidR="00000000" w:rsidRDefault="00000000">
            <w:pPr>
              <w:spacing w:after="120"/>
              <w:ind w:right="40"/>
              <w:jc w:val="right"/>
            </w:pPr>
            <w:r>
              <w:t>112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1296" w:hanging="1296"/>
              <w:rPr>
                <w:spacing w:val="60"/>
                <w:sz w:val="17"/>
              </w:rPr>
            </w:pPr>
            <w:r>
              <w:tab/>
            </w:r>
            <w:r>
              <w:tab/>
              <w:t>Section III : Le droit de participer aux activités récréatives, aux sports et à tous les aspects de la vie culturelle</w:t>
            </w:r>
            <w:r>
              <w:rPr>
                <w:spacing w:val="60"/>
                <w:sz w:val="17"/>
              </w:rPr>
              <w:tab/>
            </w:r>
          </w:p>
        </w:tc>
        <w:tc>
          <w:tcPr>
            <w:tcW w:w="533" w:type="dxa"/>
            <w:vAlign w:val="bottom"/>
          </w:tcPr>
          <w:p w:rsidR="00000000" w:rsidRDefault="00000000">
            <w:pPr>
              <w:spacing w:after="120"/>
              <w:ind w:right="40"/>
              <w:jc w:val="right"/>
            </w:pPr>
            <w:r>
              <w:t>113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296" w:hanging="1296"/>
              <w:rPr>
                <w:spacing w:val="60"/>
                <w:sz w:val="17"/>
              </w:rPr>
            </w:pPr>
            <w:r>
              <w:tab/>
            </w:r>
            <w:r>
              <w:tab/>
            </w:r>
            <w:r>
              <w:tab/>
              <w:t>I.</w:t>
            </w:r>
            <w:r>
              <w:tab/>
              <w:t>Au plan culturel</w:t>
            </w:r>
            <w:r>
              <w:rPr>
                <w:spacing w:val="60"/>
                <w:sz w:val="17"/>
              </w:rPr>
              <w:tab/>
            </w:r>
          </w:p>
        </w:tc>
        <w:tc>
          <w:tcPr>
            <w:tcW w:w="533" w:type="dxa"/>
            <w:vAlign w:val="bottom"/>
          </w:tcPr>
          <w:p w:rsidR="00000000" w:rsidRDefault="00000000">
            <w:pPr>
              <w:spacing w:after="120"/>
              <w:ind w:right="40"/>
              <w:jc w:val="right"/>
            </w:pPr>
            <w:r>
              <w:t>113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296" w:hanging="1296"/>
              <w:rPr>
                <w:spacing w:val="60"/>
                <w:sz w:val="17"/>
              </w:rPr>
            </w:pPr>
            <w:r>
              <w:tab/>
            </w:r>
            <w:r>
              <w:tab/>
            </w:r>
            <w:r>
              <w:tab/>
              <w:t>II.</w:t>
            </w:r>
            <w:r>
              <w:tab/>
              <w:t>Au plan scolaire</w:t>
            </w:r>
            <w:r>
              <w:rPr>
                <w:spacing w:val="60"/>
                <w:sz w:val="17"/>
              </w:rPr>
              <w:tab/>
            </w:r>
          </w:p>
        </w:tc>
        <w:tc>
          <w:tcPr>
            <w:tcW w:w="533" w:type="dxa"/>
            <w:vAlign w:val="bottom"/>
          </w:tcPr>
          <w:p w:rsidR="00000000" w:rsidRDefault="00000000">
            <w:pPr>
              <w:spacing w:after="120"/>
              <w:ind w:right="40"/>
              <w:jc w:val="right"/>
            </w:pPr>
            <w:r>
              <w:t>113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296" w:hanging="1296"/>
              <w:rPr>
                <w:spacing w:val="60"/>
                <w:sz w:val="17"/>
              </w:rPr>
            </w:pPr>
            <w:r>
              <w:tab/>
            </w:r>
            <w:r>
              <w:tab/>
            </w:r>
            <w:r>
              <w:tab/>
              <w:t>III.</w:t>
            </w:r>
            <w:r>
              <w:tab/>
              <w:t>Au plan sportif</w:t>
            </w:r>
            <w:r>
              <w:rPr>
                <w:spacing w:val="60"/>
                <w:sz w:val="17"/>
              </w:rPr>
              <w:tab/>
            </w:r>
          </w:p>
        </w:tc>
        <w:tc>
          <w:tcPr>
            <w:tcW w:w="533" w:type="dxa"/>
            <w:vAlign w:val="bottom"/>
          </w:tcPr>
          <w:p w:rsidR="00000000" w:rsidRDefault="00000000">
            <w:pPr>
              <w:spacing w:after="120"/>
              <w:ind w:right="40"/>
              <w:jc w:val="right"/>
            </w:pPr>
            <w:r>
              <w:t>114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296" w:hanging="1296"/>
              <w:rPr>
                <w:spacing w:val="60"/>
                <w:sz w:val="17"/>
              </w:rPr>
            </w:pPr>
            <w:r>
              <w:tab/>
            </w:r>
            <w:r>
              <w:tab/>
              <w:t>Section IV : Perspectives</w:t>
            </w:r>
            <w:r>
              <w:rPr>
                <w:spacing w:val="60"/>
                <w:sz w:val="17"/>
              </w:rPr>
              <w:tab/>
            </w:r>
          </w:p>
        </w:tc>
        <w:tc>
          <w:tcPr>
            <w:tcW w:w="533" w:type="dxa"/>
            <w:vAlign w:val="bottom"/>
          </w:tcPr>
          <w:p w:rsidR="00000000" w:rsidRDefault="00000000">
            <w:pPr>
              <w:spacing w:after="120"/>
              <w:ind w:right="40"/>
              <w:jc w:val="right"/>
            </w:pPr>
            <w:r>
              <w:t>114</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tab/>
              <w:t>Situation des femmes rurales (art. 14)</w:t>
            </w:r>
            <w:r>
              <w:rPr>
                <w:spacing w:val="60"/>
                <w:sz w:val="17"/>
              </w:rPr>
              <w:tab/>
            </w:r>
          </w:p>
        </w:tc>
        <w:tc>
          <w:tcPr>
            <w:tcW w:w="533" w:type="dxa"/>
            <w:vAlign w:val="bottom"/>
          </w:tcPr>
          <w:p w:rsidR="00000000" w:rsidRDefault="00000000">
            <w:pPr>
              <w:spacing w:after="120"/>
              <w:ind w:right="40"/>
              <w:jc w:val="right"/>
            </w:pPr>
            <w:r>
              <w:t>114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t>Section I : Contexte général du milieu rural</w:t>
            </w:r>
            <w:r>
              <w:rPr>
                <w:spacing w:val="60"/>
                <w:sz w:val="17"/>
              </w:rPr>
              <w:tab/>
            </w:r>
          </w:p>
        </w:tc>
        <w:tc>
          <w:tcPr>
            <w:tcW w:w="533" w:type="dxa"/>
            <w:vAlign w:val="bottom"/>
          </w:tcPr>
          <w:p w:rsidR="00000000" w:rsidRDefault="00000000">
            <w:pPr>
              <w:spacing w:after="120"/>
              <w:ind w:right="40"/>
              <w:jc w:val="right"/>
            </w:pPr>
            <w:r>
              <w:t>115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rPr>
                <w:spacing w:val="60"/>
                <w:sz w:val="17"/>
              </w:rPr>
            </w:pPr>
            <w:r>
              <w:tab/>
            </w:r>
            <w:r>
              <w:tab/>
            </w:r>
            <w:r>
              <w:tab/>
              <w:t>I.</w:t>
            </w:r>
            <w:r>
              <w:tab/>
              <w:t>Démographie</w:t>
            </w:r>
            <w:r>
              <w:rPr>
                <w:spacing w:val="60"/>
                <w:sz w:val="17"/>
              </w:rPr>
              <w:tab/>
            </w:r>
          </w:p>
        </w:tc>
        <w:tc>
          <w:tcPr>
            <w:tcW w:w="533" w:type="dxa"/>
            <w:vAlign w:val="bottom"/>
          </w:tcPr>
          <w:p w:rsidR="00000000" w:rsidRDefault="00000000">
            <w:pPr>
              <w:spacing w:after="120"/>
              <w:ind w:right="40"/>
              <w:jc w:val="right"/>
            </w:pPr>
            <w:r>
              <w:t>115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rPr>
                <w:spacing w:val="60"/>
                <w:sz w:val="17"/>
              </w:rPr>
            </w:pPr>
            <w:r>
              <w:tab/>
            </w:r>
            <w:r>
              <w:tab/>
            </w:r>
            <w:r>
              <w:tab/>
              <w:t>II.</w:t>
            </w:r>
            <w:r>
              <w:tab/>
              <w:t>L’exode rural</w:t>
            </w:r>
            <w:r>
              <w:rPr>
                <w:spacing w:val="60"/>
                <w:sz w:val="17"/>
              </w:rPr>
              <w:tab/>
            </w:r>
          </w:p>
        </w:tc>
        <w:tc>
          <w:tcPr>
            <w:tcW w:w="533" w:type="dxa"/>
            <w:vAlign w:val="bottom"/>
          </w:tcPr>
          <w:p w:rsidR="00000000" w:rsidRDefault="00000000">
            <w:pPr>
              <w:spacing w:after="120"/>
              <w:ind w:right="40"/>
              <w:jc w:val="right"/>
            </w:pPr>
            <w:r>
              <w:t>116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rPr>
                <w:spacing w:val="60"/>
                <w:sz w:val="17"/>
              </w:rPr>
            </w:pPr>
            <w:r>
              <w:tab/>
            </w:r>
            <w:r>
              <w:tab/>
            </w:r>
            <w:r>
              <w:tab/>
              <w:t>III.</w:t>
            </w:r>
            <w:r>
              <w:tab/>
              <w:t>L’économie</w:t>
            </w:r>
            <w:r>
              <w:rPr>
                <w:spacing w:val="60"/>
                <w:sz w:val="17"/>
              </w:rPr>
              <w:tab/>
            </w:r>
          </w:p>
        </w:tc>
        <w:tc>
          <w:tcPr>
            <w:tcW w:w="533" w:type="dxa"/>
            <w:vAlign w:val="bottom"/>
          </w:tcPr>
          <w:p w:rsidR="00000000" w:rsidRDefault="00000000">
            <w:pPr>
              <w:spacing w:after="120"/>
              <w:ind w:right="40"/>
              <w:jc w:val="right"/>
            </w:pPr>
            <w:r>
              <w:t>116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r>
            <w:r>
              <w:tab/>
              <w:t>IV.</w:t>
            </w:r>
            <w:r>
              <w:tab/>
              <w:t>Le retard technologique</w:t>
            </w:r>
            <w:r>
              <w:rPr>
                <w:spacing w:val="60"/>
                <w:sz w:val="17"/>
              </w:rPr>
              <w:tab/>
            </w:r>
          </w:p>
        </w:tc>
        <w:tc>
          <w:tcPr>
            <w:tcW w:w="533" w:type="dxa"/>
            <w:vAlign w:val="bottom"/>
          </w:tcPr>
          <w:p w:rsidR="00000000" w:rsidRDefault="00000000">
            <w:pPr>
              <w:spacing w:after="120"/>
              <w:ind w:right="40"/>
              <w:jc w:val="right"/>
            </w:pPr>
            <w:r>
              <w:t>117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r>
            <w:r>
              <w:tab/>
              <w:t>V.</w:t>
            </w:r>
            <w:r>
              <w:tab/>
              <w:t>Participation à la prise de décisions</w:t>
            </w:r>
            <w:r>
              <w:rPr>
                <w:spacing w:val="60"/>
                <w:sz w:val="17"/>
              </w:rPr>
              <w:tab/>
            </w:r>
          </w:p>
        </w:tc>
        <w:tc>
          <w:tcPr>
            <w:tcW w:w="533" w:type="dxa"/>
            <w:vAlign w:val="bottom"/>
          </w:tcPr>
          <w:p w:rsidR="00000000" w:rsidRDefault="00000000">
            <w:pPr>
              <w:spacing w:after="120"/>
              <w:ind w:right="40"/>
              <w:jc w:val="right"/>
            </w:pPr>
            <w:r>
              <w:t>117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 w:val="17"/>
              </w:rPr>
            </w:pPr>
            <w:r>
              <w:tab/>
            </w:r>
            <w:r>
              <w:tab/>
            </w:r>
            <w:r>
              <w:tab/>
              <w:t>VI.</w:t>
            </w:r>
            <w:r>
              <w:tab/>
              <w:t>Accès aux services adéquats dans le domaine de la santé</w:t>
            </w:r>
            <w:r>
              <w:rPr>
                <w:spacing w:val="60"/>
                <w:sz w:val="17"/>
              </w:rPr>
              <w:tab/>
            </w:r>
          </w:p>
        </w:tc>
        <w:tc>
          <w:tcPr>
            <w:tcW w:w="533" w:type="dxa"/>
            <w:vAlign w:val="bottom"/>
          </w:tcPr>
          <w:p w:rsidR="00000000" w:rsidRDefault="00000000">
            <w:pPr>
              <w:spacing w:after="120"/>
              <w:ind w:right="40"/>
              <w:jc w:val="right"/>
            </w:pPr>
            <w:r>
              <w:t>118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r>
            <w:r>
              <w:tab/>
              <w:t>VII.</w:t>
            </w:r>
            <w:r>
              <w:tab/>
              <w:t>Programme de sécurité sociale</w:t>
            </w:r>
            <w:r>
              <w:rPr>
                <w:spacing w:val="60"/>
                <w:sz w:val="17"/>
              </w:rPr>
              <w:tab/>
            </w:r>
          </w:p>
        </w:tc>
        <w:tc>
          <w:tcPr>
            <w:tcW w:w="533" w:type="dxa"/>
            <w:vAlign w:val="bottom"/>
          </w:tcPr>
          <w:p w:rsidR="00000000" w:rsidRDefault="00000000">
            <w:pPr>
              <w:spacing w:after="120"/>
              <w:ind w:right="40"/>
              <w:jc w:val="right"/>
            </w:pPr>
            <w:r>
              <w:t>118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r>
            <w:r>
              <w:tab/>
              <w:t>VIII.</w:t>
            </w:r>
            <w:r>
              <w:tab/>
              <w:t>Accès à l’éducation et à la formation</w:t>
            </w:r>
            <w:r>
              <w:rPr>
                <w:spacing w:val="60"/>
                <w:sz w:val="17"/>
              </w:rPr>
              <w:tab/>
            </w:r>
          </w:p>
        </w:tc>
        <w:tc>
          <w:tcPr>
            <w:tcW w:w="533" w:type="dxa"/>
            <w:vAlign w:val="bottom"/>
          </w:tcPr>
          <w:p w:rsidR="00000000" w:rsidRDefault="00000000">
            <w:pPr>
              <w:spacing w:after="120"/>
              <w:ind w:right="40"/>
              <w:jc w:val="right"/>
            </w:pPr>
            <w:r>
              <w:t>118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r>
            <w:r>
              <w:tab/>
              <w:t>IX.</w:t>
            </w:r>
            <w:r>
              <w:tab/>
              <w:t>Organisation des groupes d’entraide</w:t>
            </w:r>
            <w:r>
              <w:rPr>
                <w:spacing w:val="60"/>
                <w:sz w:val="17"/>
              </w:rPr>
              <w:tab/>
            </w:r>
          </w:p>
        </w:tc>
        <w:tc>
          <w:tcPr>
            <w:tcW w:w="533" w:type="dxa"/>
            <w:vAlign w:val="bottom"/>
          </w:tcPr>
          <w:p w:rsidR="00000000" w:rsidRDefault="00000000">
            <w:pPr>
              <w:spacing w:after="120"/>
              <w:ind w:right="40"/>
              <w:jc w:val="right"/>
            </w:pPr>
            <w:r>
              <w:t>119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 w:val="17"/>
              </w:rPr>
            </w:pPr>
            <w:r>
              <w:tab/>
            </w:r>
            <w:r>
              <w:tab/>
            </w:r>
            <w:r>
              <w:tab/>
              <w:t>X.</w:t>
            </w:r>
            <w:r>
              <w:tab/>
              <w:t>Participation de la femme aux activités de la communauté</w:t>
            </w:r>
            <w:r>
              <w:rPr>
                <w:spacing w:val="60"/>
                <w:sz w:val="17"/>
              </w:rPr>
              <w:tab/>
            </w:r>
          </w:p>
        </w:tc>
        <w:tc>
          <w:tcPr>
            <w:tcW w:w="533" w:type="dxa"/>
            <w:vAlign w:val="bottom"/>
          </w:tcPr>
          <w:p w:rsidR="00000000" w:rsidRDefault="00000000">
            <w:pPr>
              <w:spacing w:after="120"/>
              <w:ind w:right="40"/>
              <w:jc w:val="right"/>
            </w:pPr>
            <w:r>
              <w:t>119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r>
            <w:r>
              <w:tab/>
              <w:t>XI.</w:t>
            </w:r>
            <w:r>
              <w:tab/>
              <w:t>Accès aux ressources</w:t>
            </w:r>
            <w:r>
              <w:rPr>
                <w:spacing w:val="60"/>
                <w:sz w:val="17"/>
              </w:rPr>
              <w:tab/>
            </w:r>
          </w:p>
        </w:tc>
        <w:tc>
          <w:tcPr>
            <w:tcW w:w="533" w:type="dxa"/>
            <w:vAlign w:val="bottom"/>
          </w:tcPr>
          <w:p w:rsidR="00000000" w:rsidRDefault="00000000">
            <w:pPr>
              <w:spacing w:after="120"/>
              <w:ind w:right="40"/>
              <w:jc w:val="right"/>
            </w:pPr>
            <w:r>
              <w:t>119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r>
            <w:r>
              <w:tab/>
            </w:r>
            <w:r>
              <w:tab/>
              <w:t>A.</w:t>
            </w:r>
            <w:r>
              <w:tab/>
              <w:t>Accès à la terre</w:t>
            </w:r>
            <w:r>
              <w:rPr>
                <w:spacing w:val="60"/>
                <w:sz w:val="17"/>
              </w:rPr>
              <w:tab/>
            </w:r>
          </w:p>
        </w:tc>
        <w:tc>
          <w:tcPr>
            <w:tcW w:w="533" w:type="dxa"/>
            <w:vAlign w:val="bottom"/>
          </w:tcPr>
          <w:p w:rsidR="00000000" w:rsidRDefault="00000000">
            <w:pPr>
              <w:spacing w:after="120"/>
              <w:ind w:right="40"/>
              <w:jc w:val="right"/>
            </w:pPr>
            <w:r>
              <w:t>119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r>
            <w:r>
              <w:tab/>
            </w:r>
            <w:r>
              <w:tab/>
              <w:t>B.</w:t>
            </w:r>
            <w:r>
              <w:tab/>
              <w:t>Accès aux services de crédits</w:t>
            </w:r>
            <w:r>
              <w:rPr>
                <w:spacing w:val="60"/>
                <w:sz w:val="17"/>
              </w:rPr>
              <w:tab/>
            </w:r>
          </w:p>
        </w:tc>
        <w:tc>
          <w:tcPr>
            <w:tcW w:w="533" w:type="dxa"/>
            <w:vAlign w:val="bottom"/>
          </w:tcPr>
          <w:p w:rsidR="00000000" w:rsidRDefault="00000000">
            <w:pPr>
              <w:spacing w:after="120"/>
              <w:ind w:right="40"/>
              <w:jc w:val="right"/>
            </w:pPr>
            <w:r>
              <w:t>120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2160" w:hanging="2160"/>
              <w:rPr>
                <w:spacing w:val="60"/>
                <w:sz w:val="17"/>
              </w:rPr>
            </w:pPr>
            <w:r>
              <w:tab/>
            </w:r>
            <w:r>
              <w:tab/>
            </w:r>
            <w:r>
              <w:tab/>
              <w:t>XII.</w:t>
            </w:r>
            <w:r>
              <w:tab/>
              <w:t>Cadre de vie de la femme rurale : logement, approvisionnement en électricité et en eau, transports et communications</w:t>
            </w:r>
            <w:r>
              <w:rPr>
                <w:spacing w:val="60"/>
                <w:sz w:val="17"/>
              </w:rPr>
              <w:tab/>
            </w:r>
          </w:p>
        </w:tc>
        <w:tc>
          <w:tcPr>
            <w:tcW w:w="533" w:type="dxa"/>
            <w:vAlign w:val="bottom"/>
          </w:tcPr>
          <w:p w:rsidR="00000000" w:rsidRDefault="00000000">
            <w:pPr>
              <w:spacing w:after="120"/>
              <w:ind w:right="40"/>
              <w:jc w:val="right"/>
            </w:pPr>
            <w:r>
              <w:t>121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728" w:hanging="1728"/>
              <w:rPr>
                <w:spacing w:val="60"/>
                <w:sz w:val="17"/>
              </w:rPr>
            </w:pPr>
            <w:r>
              <w:tab/>
            </w:r>
            <w:r>
              <w:tab/>
              <w:t>Section II : Examen des contraintes</w:t>
            </w:r>
            <w:r>
              <w:rPr>
                <w:spacing w:val="60"/>
                <w:sz w:val="17"/>
              </w:rPr>
              <w:tab/>
            </w:r>
          </w:p>
        </w:tc>
        <w:tc>
          <w:tcPr>
            <w:tcW w:w="533" w:type="dxa"/>
            <w:vAlign w:val="bottom"/>
          </w:tcPr>
          <w:p w:rsidR="00000000" w:rsidRDefault="00000000">
            <w:pPr>
              <w:spacing w:after="120"/>
              <w:ind w:right="40"/>
              <w:jc w:val="right"/>
            </w:pPr>
            <w:r>
              <w:t>121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728" w:hanging="1728"/>
              <w:rPr>
                <w:spacing w:val="60"/>
                <w:sz w:val="17"/>
              </w:rPr>
            </w:pPr>
            <w:r>
              <w:tab/>
            </w:r>
            <w:r>
              <w:tab/>
            </w:r>
            <w:r>
              <w:tab/>
              <w:t>I.</w:t>
            </w:r>
            <w:r>
              <w:tab/>
              <w:t>Contraintes économiques</w:t>
            </w:r>
            <w:r>
              <w:rPr>
                <w:spacing w:val="60"/>
                <w:sz w:val="17"/>
              </w:rPr>
              <w:tab/>
            </w:r>
          </w:p>
        </w:tc>
        <w:tc>
          <w:tcPr>
            <w:tcW w:w="533" w:type="dxa"/>
            <w:vAlign w:val="bottom"/>
          </w:tcPr>
          <w:p w:rsidR="00000000" w:rsidRDefault="00000000">
            <w:pPr>
              <w:spacing w:after="120"/>
              <w:ind w:right="40"/>
              <w:jc w:val="right"/>
            </w:pPr>
            <w:r>
              <w:t>122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1728"/>
              <w:rPr>
                <w:spacing w:val="60"/>
                <w:sz w:val="17"/>
              </w:rPr>
            </w:pPr>
            <w:r>
              <w:tab/>
            </w:r>
            <w:r>
              <w:tab/>
            </w:r>
            <w:r>
              <w:tab/>
              <w:t>II.</w:t>
            </w:r>
            <w:r>
              <w:tab/>
              <w:t>Contraintes socioculturelles</w:t>
            </w:r>
            <w:r>
              <w:rPr>
                <w:spacing w:val="60"/>
                <w:sz w:val="17"/>
              </w:rPr>
              <w:tab/>
            </w:r>
          </w:p>
        </w:tc>
        <w:tc>
          <w:tcPr>
            <w:tcW w:w="533" w:type="dxa"/>
            <w:vAlign w:val="bottom"/>
          </w:tcPr>
          <w:p w:rsidR="00000000" w:rsidRDefault="00000000">
            <w:pPr>
              <w:spacing w:after="120"/>
              <w:ind w:right="40"/>
              <w:jc w:val="right"/>
            </w:pPr>
            <w:r>
              <w:t>122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hanging="1728"/>
              <w:rPr>
                <w:spacing w:val="60"/>
                <w:sz w:val="17"/>
              </w:rPr>
            </w:pPr>
            <w:r>
              <w:tab/>
            </w:r>
            <w:r>
              <w:tab/>
            </w:r>
            <w:r>
              <w:tab/>
              <w:t>III.</w:t>
            </w:r>
            <w:r>
              <w:tab/>
              <w:t>Contraintes environnementales et institutionnelles</w:t>
            </w:r>
            <w:r>
              <w:rPr>
                <w:spacing w:val="60"/>
                <w:sz w:val="17"/>
              </w:rPr>
              <w:tab/>
            </w:r>
          </w:p>
        </w:tc>
        <w:tc>
          <w:tcPr>
            <w:tcW w:w="533" w:type="dxa"/>
            <w:vAlign w:val="bottom"/>
          </w:tcPr>
          <w:p w:rsidR="00000000" w:rsidRDefault="00000000">
            <w:pPr>
              <w:spacing w:after="120"/>
              <w:ind w:right="40"/>
              <w:jc w:val="right"/>
            </w:pPr>
            <w:r>
              <w:t>122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728" w:hanging="1728"/>
              <w:rPr>
                <w:spacing w:val="60"/>
                <w:sz w:val="17"/>
              </w:rPr>
            </w:pPr>
            <w:r>
              <w:tab/>
            </w:r>
            <w:r>
              <w:tab/>
              <w:t>Section III : Perspectives</w:t>
            </w:r>
            <w:r>
              <w:rPr>
                <w:spacing w:val="60"/>
                <w:sz w:val="17"/>
              </w:rPr>
              <w:tab/>
            </w:r>
          </w:p>
        </w:tc>
        <w:tc>
          <w:tcPr>
            <w:tcW w:w="533" w:type="dxa"/>
            <w:vAlign w:val="bottom"/>
          </w:tcPr>
          <w:p w:rsidR="00000000" w:rsidRDefault="00000000">
            <w:pPr>
              <w:spacing w:after="120"/>
              <w:ind w:right="40"/>
              <w:jc w:val="right"/>
            </w:pPr>
            <w:r>
              <w:t>122</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tab/>
              <w:t>L’égalité de l’homme et de la femme devant la loi (art. 15)</w:t>
            </w:r>
            <w:r>
              <w:rPr>
                <w:spacing w:val="60"/>
                <w:sz w:val="17"/>
              </w:rPr>
              <w:tab/>
            </w:r>
          </w:p>
        </w:tc>
        <w:tc>
          <w:tcPr>
            <w:tcW w:w="533" w:type="dxa"/>
            <w:vAlign w:val="bottom"/>
          </w:tcPr>
          <w:p w:rsidR="00000000" w:rsidRDefault="00000000">
            <w:pPr>
              <w:spacing w:after="120"/>
              <w:ind w:right="40"/>
              <w:jc w:val="right"/>
            </w:pPr>
            <w:r>
              <w:t>123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spacing w:val="60"/>
                <w:sz w:val="17"/>
              </w:rPr>
            </w:pPr>
            <w:r>
              <w:tab/>
            </w:r>
            <w:r>
              <w:tab/>
              <w:t>Section I : L’égalité de l’homme et de la femme devant la loi</w:t>
            </w:r>
            <w:r>
              <w:rPr>
                <w:spacing w:val="60"/>
                <w:sz w:val="17"/>
              </w:rPr>
              <w:tab/>
            </w:r>
          </w:p>
        </w:tc>
        <w:tc>
          <w:tcPr>
            <w:tcW w:w="533" w:type="dxa"/>
            <w:vAlign w:val="bottom"/>
          </w:tcPr>
          <w:p w:rsidR="00000000" w:rsidRDefault="00000000">
            <w:pPr>
              <w:spacing w:after="120"/>
              <w:ind w:right="40"/>
              <w:jc w:val="right"/>
            </w:pPr>
            <w:r>
              <w:t>123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 w:val="17"/>
              </w:rPr>
            </w:pPr>
            <w:r>
              <w:tab/>
            </w:r>
            <w:r>
              <w:tab/>
              <w:t>Section II : La reconnaissance de la capacité juridique de la femme</w:t>
            </w:r>
            <w:r>
              <w:rPr>
                <w:spacing w:val="60"/>
                <w:sz w:val="17"/>
              </w:rPr>
              <w:tab/>
            </w:r>
          </w:p>
        </w:tc>
        <w:tc>
          <w:tcPr>
            <w:tcW w:w="533" w:type="dxa"/>
            <w:vAlign w:val="bottom"/>
          </w:tcPr>
          <w:p w:rsidR="00000000" w:rsidRDefault="00000000">
            <w:pPr>
              <w:spacing w:after="120"/>
              <w:ind w:right="40"/>
              <w:jc w:val="right"/>
            </w:pPr>
            <w:r>
              <w:t>124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spacing w:val="60"/>
                <w:sz w:val="17"/>
              </w:rPr>
            </w:pPr>
            <w:r>
              <w:tab/>
            </w:r>
            <w:r>
              <w:tab/>
              <w:t>Section III : Le droit pour la femme de circuler librement et de choisir son domicile</w:t>
            </w:r>
            <w:r>
              <w:rPr>
                <w:spacing w:val="60"/>
                <w:sz w:val="17"/>
              </w:rPr>
              <w:tab/>
            </w:r>
          </w:p>
        </w:tc>
        <w:tc>
          <w:tcPr>
            <w:tcW w:w="533" w:type="dxa"/>
            <w:vAlign w:val="bottom"/>
          </w:tcPr>
          <w:p w:rsidR="00000000" w:rsidRDefault="00000000">
            <w:pPr>
              <w:spacing w:after="120"/>
              <w:ind w:right="40"/>
              <w:jc w:val="right"/>
            </w:pPr>
            <w:r>
              <w:t>124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r>
            <w:r>
              <w:tab/>
              <w:t>I.</w:t>
            </w:r>
            <w:r>
              <w:tab/>
              <w:t>La liberté d’aller et de venir</w:t>
            </w:r>
            <w:r>
              <w:rPr>
                <w:spacing w:val="60"/>
                <w:sz w:val="17"/>
              </w:rPr>
              <w:tab/>
            </w:r>
          </w:p>
        </w:tc>
        <w:tc>
          <w:tcPr>
            <w:tcW w:w="533" w:type="dxa"/>
            <w:vAlign w:val="bottom"/>
          </w:tcPr>
          <w:p w:rsidR="00000000" w:rsidRDefault="00000000">
            <w:pPr>
              <w:spacing w:after="120"/>
              <w:ind w:right="40"/>
              <w:jc w:val="right"/>
            </w:pPr>
            <w:r>
              <w:t>124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r>
            <w:r>
              <w:tab/>
              <w:t>II.</w:t>
            </w:r>
            <w:r>
              <w:tab/>
              <w:t>Le choix du domicile</w:t>
            </w:r>
            <w:r>
              <w:rPr>
                <w:spacing w:val="60"/>
                <w:sz w:val="17"/>
              </w:rPr>
              <w:tab/>
            </w:r>
          </w:p>
        </w:tc>
        <w:tc>
          <w:tcPr>
            <w:tcW w:w="533" w:type="dxa"/>
            <w:vAlign w:val="bottom"/>
          </w:tcPr>
          <w:p w:rsidR="00000000" w:rsidRDefault="00000000">
            <w:pPr>
              <w:spacing w:after="120"/>
              <w:ind w:right="40"/>
              <w:jc w:val="right"/>
            </w:pPr>
            <w:r>
              <w:t>124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tab/>
            </w:r>
            <w:r>
              <w:tab/>
            </w:r>
            <w:r>
              <w:tab/>
            </w:r>
            <w:r>
              <w:tab/>
              <w:t>A.</w:t>
            </w:r>
            <w:r>
              <w:tab/>
              <w:t>Le domicile de la femme pré-mariée</w:t>
            </w:r>
            <w:r>
              <w:rPr>
                <w:spacing w:val="60"/>
                <w:sz w:val="17"/>
              </w:rPr>
              <w:tab/>
            </w:r>
          </w:p>
        </w:tc>
        <w:tc>
          <w:tcPr>
            <w:tcW w:w="533" w:type="dxa"/>
            <w:vAlign w:val="bottom"/>
          </w:tcPr>
          <w:p w:rsidR="00000000" w:rsidRDefault="00000000">
            <w:pPr>
              <w:spacing w:after="120"/>
              <w:ind w:right="40"/>
              <w:jc w:val="right"/>
            </w:pPr>
            <w:r>
              <w:t>124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r>
            <w:r>
              <w:tab/>
            </w:r>
            <w:r>
              <w:tab/>
              <w:t>B.</w:t>
            </w:r>
            <w:r>
              <w:tab/>
              <w:t>Le domicile de la femme mariée</w:t>
            </w:r>
            <w:r>
              <w:rPr>
                <w:spacing w:val="60"/>
                <w:sz w:val="17"/>
              </w:rPr>
              <w:tab/>
            </w:r>
          </w:p>
        </w:tc>
        <w:tc>
          <w:tcPr>
            <w:tcW w:w="533" w:type="dxa"/>
            <w:vAlign w:val="bottom"/>
          </w:tcPr>
          <w:p w:rsidR="00000000" w:rsidRDefault="00000000">
            <w:pPr>
              <w:spacing w:after="120"/>
              <w:ind w:right="40"/>
              <w:jc w:val="right"/>
            </w:pPr>
            <w:r>
              <w:t>124</w:t>
            </w:r>
          </w:p>
        </w:tc>
      </w:tr>
      <w:tr w:rsidR="00000000">
        <w:tblPrEx>
          <w:tblCellMar>
            <w:top w:w="0" w:type="dxa"/>
            <w:bottom w:w="0" w:type="dxa"/>
          </w:tblCellMar>
        </w:tblPrEx>
        <w:trPr>
          <w:cantSplit/>
        </w:trPr>
        <w:tc>
          <w:tcPr>
            <w:tcW w:w="9369" w:type="dxa"/>
            <w:gridSpan w:val="3"/>
          </w:tcPr>
          <w:p w:rsidR="00000000" w:rsidRDefault="00000000">
            <w:pPr>
              <w:keepNext/>
              <w:numPr>
                <w:ilvl w:val="0"/>
                <w:numId w:val="1"/>
              </w:numPr>
              <w:tabs>
                <w:tab w:val="right" w:pos="1080"/>
                <w:tab w:val="left" w:pos="1296"/>
                <w:tab w:val="left" w:pos="1728"/>
                <w:tab w:val="left" w:pos="2160"/>
                <w:tab w:val="right" w:leader="dot" w:pos="9360"/>
              </w:tabs>
              <w:suppressAutoHyphens/>
              <w:spacing w:after="120"/>
            </w:pPr>
            <w:r>
              <w:tab/>
              <w:t>Le mariage</w:t>
            </w:r>
            <w:r>
              <w:rPr>
                <w:spacing w:val="60"/>
                <w:sz w:val="17"/>
              </w:rPr>
              <w:tab/>
            </w:r>
          </w:p>
        </w:tc>
        <w:tc>
          <w:tcPr>
            <w:tcW w:w="533" w:type="dxa"/>
            <w:vAlign w:val="bottom"/>
          </w:tcPr>
          <w:p w:rsidR="00000000" w:rsidRDefault="00000000">
            <w:pPr>
              <w:spacing w:after="120"/>
              <w:ind w:right="40"/>
              <w:jc w:val="right"/>
            </w:pPr>
            <w:r>
              <w:t>125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t>Section I : Les fiançailles</w:t>
            </w:r>
            <w:r>
              <w:rPr>
                <w:spacing w:val="60"/>
                <w:sz w:val="17"/>
              </w:rPr>
              <w:tab/>
            </w:r>
          </w:p>
        </w:tc>
        <w:tc>
          <w:tcPr>
            <w:tcW w:w="533" w:type="dxa"/>
            <w:vAlign w:val="bottom"/>
          </w:tcPr>
          <w:p w:rsidR="00000000" w:rsidRDefault="00000000">
            <w:pPr>
              <w:spacing w:after="120"/>
              <w:ind w:right="40"/>
              <w:jc w:val="right"/>
            </w:pPr>
            <w:r>
              <w:t>126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r>
            <w:r>
              <w:tab/>
              <w:t>I.</w:t>
            </w:r>
            <w:r>
              <w:tab/>
              <w:t>État du droit positif</w:t>
            </w:r>
            <w:r>
              <w:rPr>
                <w:spacing w:val="60"/>
                <w:sz w:val="17"/>
              </w:rPr>
              <w:tab/>
            </w:r>
          </w:p>
        </w:tc>
        <w:tc>
          <w:tcPr>
            <w:tcW w:w="533" w:type="dxa"/>
            <w:vAlign w:val="bottom"/>
          </w:tcPr>
          <w:p w:rsidR="00000000" w:rsidRDefault="00000000">
            <w:pPr>
              <w:spacing w:after="120"/>
              <w:ind w:right="40"/>
              <w:jc w:val="right"/>
            </w:pPr>
            <w:r>
              <w:t>126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r>
            <w:r>
              <w:tab/>
            </w:r>
            <w:r>
              <w:tab/>
              <w:t>A.</w:t>
            </w:r>
            <w:r>
              <w:tab/>
              <w:t>Conditions de fond</w:t>
            </w:r>
            <w:r>
              <w:rPr>
                <w:spacing w:val="60"/>
                <w:sz w:val="17"/>
              </w:rPr>
              <w:tab/>
            </w:r>
          </w:p>
        </w:tc>
        <w:tc>
          <w:tcPr>
            <w:tcW w:w="533" w:type="dxa"/>
            <w:vAlign w:val="bottom"/>
          </w:tcPr>
          <w:p w:rsidR="00000000" w:rsidRDefault="00000000">
            <w:pPr>
              <w:spacing w:after="120"/>
              <w:ind w:right="40"/>
              <w:jc w:val="right"/>
            </w:pPr>
            <w:r>
              <w:t>126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rPr>
                <w:spacing w:val="60"/>
                <w:sz w:val="17"/>
              </w:rPr>
            </w:pPr>
            <w:r>
              <w:tab/>
            </w:r>
            <w:r>
              <w:tab/>
            </w:r>
            <w:r>
              <w:tab/>
            </w:r>
            <w:r>
              <w:tab/>
              <w:t>B.</w:t>
            </w:r>
            <w:r>
              <w:tab/>
              <w:t>Effet</w:t>
            </w:r>
            <w:r>
              <w:rPr>
                <w:spacing w:val="60"/>
                <w:sz w:val="17"/>
              </w:rPr>
              <w:tab/>
            </w:r>
          </w:p>
        </w:tc>
        <w:tc>
          <w:tcPr>
            <w:tcW w:w="533" w:type="dxa"/>
            <w:vAlign w:val="bottom"/>
          </w:tcPr>
          <w:p w:rsidR="00000000" w:rsidRDefault="00000000">
            <w:pPr>
              <w:spacing w:after="120"/>
              <w:ind w:right="40"/>
              <w:jc w:val="right"/>
            </w:pPr>
            <w:r>
              <w:t>126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rPr>
                <w:spacing w:val="60"/>
                <w:sz w:val="17"/>
              </w:rPr>
            </w:pPr>
            <w:r>
              <w:tab/>
            </w:r>
            <w:r>
              <w:tab/>
            </w:r>
            <w:r>
              <w:tab/>
            </w:r>
            <w:r>
              <w:tab/>
              <w:t>C.</w:t>
            </w:r>
            <w:r>
              <w:tab/>
              <w:t>Rupture</w:t>
            </w:r>
            <w:r>
              <w:rPr>
                <w:spacing w:val="60"/>
                <w:sz w:val="17"/>
              </w:rPr>
              <w:tab/>
            </w:r>
          </w:p>
        </w:tc>
        <w:tc>
          <w:tcPr>
            <w:tcW w:w="533" w:type="dxa"/>
            <w:vAlign w:val="bottom"/>
          </w:tcPr>
          <w:p w:rsidR="00000000" w:rsidRDefault="00000000">
            <w:pPr>
              <w:spacing w:after="120"/>
              <w:ind w:right="40"/>
              <w:jc w:val="right"/>
            </w:pPr>
            <w:r>
              <w:t>126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r>
            <w:r>
              <w:tab/>
              <w:t>II.</w:t>
            </w:r>
            <w:r>
              <w:tab/>
              <w:t>Difficultés relevées</w:t>
            </w:r>
            <w:r>
              <w:rPr>
                <w:spacing w:val="60"/>
                <w:sz w:val="17"/>
              </w:rPr>
              <w:tab/>
            </w:r>
          </w:p>
        </w:tc>
        <w:tc>
          <w:tcPr>
            <w:tcW w:w="533" w:type="dxa"/>
            <w:vAlign w:val="bottom"/>
          </w:tcPr>
          <w:p w:rsidR="00000000" w:rsidRDefault="00000000">
            <w:pPr>
              <w:spacing w:after="120"/>
              <w:ind w:right="40"/>
              <w:jc w:val="right"/>
            </w:pPr>
            <w:r>
              <w:t>126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rPr>
                <w:spacing w:val="60"/>
                <w:sz w:val="17"/>
              </w:rPr>
            </w:pPr>
            <w:r>
              <w:tab/>
            </w:r>
            <w:r>
              <w:tab/>
              <w:t>Section II : Le mariage</w:t>
            </w:r>
            <w:r>
              <w:rPr>
                <w:spacing w:val="60"/>
                <w:sz w:val="17"/>
              </w:rPr>
              <w:tab/>
            </w:r>
          </w:p>
        </w:tc>
        <w:tc>
          <w:tcPr>
            <w:tcW w:w="533" w:type="dxa"/>
            <w:vAlign w:val="bottom"/>
          </w:tcPr>
          <w:p w:rsidR="00000000" w:rsidRDefault="00000000">
            <w:pPr>
              <w:spacing w:after="120"/>
              <w:ind w:right="40"/>
              <w:jc w:val="right"/>
            </w:pPr>
            <w:r>
              <w:t>127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rPr>
                <w:spacing w:val="60"/>
                <w:sz w:val="17"/>
              </w:rPr>
            </w:pPr>
            <w:r>
              <w:tab/>
            </w:r>
            <w:r>
              <w:tab/>
            </w:r>
            <w:r>
              <w:tab/>
              <w:t>I.</w:t>
            </w:r>
            <w:r>
              <w:tab/>
              <w:t>Droit positif</w:t>
            </w:r>
            <w:r>
              <w:rPr>
                <w:spacing w:val="60"/>
                <w:sz w:val="17"/>
              </w:rPr>
              <w:tab/>
            </w:r>
          </w:p>
        </w:tc>
        <w:tc>
          <w:tcPr>
            <w:tcW w:w="533" w:type="dxa"/>
            <w:vAlign w:val="bottom"/>
          </w:tcPr>
          <w:p w:rsidR="00000000" w:rsidRDefault="00000000">
            <w:pPr>
              <w:spacing w:after="120"/>
              <w:ind w:right="40"/>
              <w:jc w:val="right"/>
            </w:pPr>
            <w:r>
              <w:t>127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r>
            <w:r>
              <w:tab/>
            </w:r>
            <w:r>
              <w:tab/>
              <w:t>A.</w:t>
            </w:r>
            <w:r>
              <w:tab/>
              <w:t>Conditions de fond</w:t>
            </w:r>
            <w:r>
              <w:rPr>
                <w:spacing w:val="60"/>
                <w:sz w:val="17"/>
              </w:rPr>
              <w:tab/>
            </w:r>
          </w:p>
        </w:tc>
        <w:tc>
          <w:tcPr>
            <w:tcW w:w="533" w:type="dxa"/>
            <w:vAlign w:val="bottom"/>
          </w:tcPr>
          <w:p w:rsidR="00000000" w:rsidRDefault="00000000">
            <w:pPr>
              <w:spacing w:after="120"/>
              <w:ind w:right="40"/>
              <w:jc w:val="right"/>
            </w:pPr>
            <w:r>
              <w:t>127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r>
            <w:r>
              <w:tab/>
            </w:r>
            <w:r>
              <w:tab/>
            </w:r>
            <w:r>
              <w:tab/>
              <w:t>1.</w:t>
            </w:r>
            <w:r>
              <w:tab/>
              <w:t>L’âge</w:t>
            </w:r>
            <w:r>
              <w:rPr>
                <w:spacing w:val="60"/>
                <w:sz w:val="17"/>
              </w:rPr>
              <w:tab/>
            </w:r>
          </w:p>
        </w:tc>
        <w:tc>
          <w:tcPr>
            <w:tcW w:w="533" w:type="dxa"/>
            <w:vAlign w:val="bottom"/>
          </w:tcPr>
          <w:p w:rsidR="00000000" w:rsidRDefault="00000000">
            <w:pPr>
              <w:spacing w:after="120"/>
              <w:ind w:right="40"/>
              <w:jc w:val="right"/>
            </w:pPr>
            <w:r>
              <w:t>127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r>
            <w:r>
              <w:tab/>
            </w:r>
            <w:r>
              <w:tab/>
            </w:r>
            <w:r>
              <w:tab/>
              <w:t>2.</w:t>
            </w:r>
            <w:r>
              <w:tab/>
              <w:t>Le consentement</w:t>
            </w:r>
            <w:r>
              <w:rPr>
                <w:spacing w:val="60"/>
                <w:sz w:val="17"/>
              </w:rPr>
              <w:tab/>
            </w:r>
          </w:p>
        </w:tc>
        <w:tc>
          <w:tcPr>
            <w:tcW w:w="533" w:type="dxa"/>
            <w:vAlign w:val="bottom"/>
          </w:tcPr>
          <w:p w:rsidR="00000000" w:rsidRDefault="00000000">
            <w:pPr>
              <w:spacing w:after="120"/>
              <w:ind w:right="40"/>
              <w:jc w:val="right"/>
            </w:pPr>
            <w:r>
              <w:t>127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r>
            <w:r>
              <w:tab/>
            </w:r>
            <w:r>
              <w:tab/>
              <w:t>B.</w:t>
            </w:r>
            <w:r>
              <w:tab/>
              <w:t>Droits et devoirs</w:t>
            </w:r>
            <w:r>
              <w:rPr>
                <w:spacing w:val="60"/>
                <w:sz w:val="17"/>
              </w:rPr>
              <w:tab/>
            </w:r>
          </w:p>
        </w:tc>
        <w:tc>
          <w:tcPr>
            <w:tcW w:w="533" w:type="dxa"/>
            <w:vAlign w:val="bottom"/>
          </w:tcPr>
          <w:p w:rsidR="00000000" w:rsidRDefault="00000000">
            <w:pPr>
              <w:spacing w:after="120"/>
              <w:ind w:right="40"/>
              <w:jc w:val="right"/>
            </w:pPr>
            <w:r>
              <w:t>128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pacing w:val="60"/>
                <w:sz w:val="17"/>
              </w:rPr>
            </w:pPr>
            <w:r>
              <w:tab/>
            </w:r>
            <w:r>
              <w:tab/>
            </w:r>
            <w:r>
              <w:tab/>
            </w:r>
            <w:r>
              <w:tab/>
            </w:r>
            <w:r>
              <w:tab/>
              <w:t>1.</w:t>
            </w:r>
            <w:r>
              <w:tab/>
              <w:t>Droits et devoirs réciproques des époux</w:t>
            </w:r>
            <w:r>
              <w:rPr>
                <w:spacing w:val="60"/>
                <w:sz w:val="17"/>
              </w:rPr>
              <w:tab/>
            </w:r>
          </w:p>
        </w:tc>
        <w:tc>
          <w:tcPr>
            <w:tcW w:w="533" w:type="dxa"/>
            <w:vAlign w:val="bottom"/>
          </w:tcPr>
          <w:p w:rsidR="00000000" w:rsidRDefault="00000000">
            <w:pPr>
              <w:spacing w:after="120"/>
              <w:ind w:right="40"/>
              <w:jc w:val="right"/>
            </w:pPr>
            <w:r>
              <w:t>128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 w:val="17"/>
              </w:rPr>
            </w:pPr>
            <w:r>
              <w:tab/>
            </w:r>
            <w:r>
              <w:tab/>
            </w:r>
            <w:r>
              <w:tab/>
            </w:r>
            <w:r>
              <w:tab/>
            </w:r>
            <w:r>
              <w:tab/>
              <w:t>2.</w:t>
            </w:r>
            <w:r>
              <w:tab/>
              <w:t>Droits et devoirs des époux à l’égard de leurs enfants</w:t>
            </w:r>
            <w:r>
              <w:rPr>
                <w:spacing w:val="60"/>
                <w:sz w:val="17"/>
              </w:rPr>
              <w:tab/>
            </w:r>
          </w:p>
        </w:tc>
        <w:tc>
          <w:tcPr>
            <w:tcW w:w="533" w:type="dxa"/>
            <w:vAlign w:val="bottom"/>
          </w:tcPr>
          <w:p w:rsidR="00000000" w:rsidRDefault="00000000">
            <w:pPr>
              <w:spacing w:after="120"/>
              <w:ind w:right="40"/>
              <w:jc w:val="right"/>
            </w:pPr>
            <w:r>
              <w:t>128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rPr>
                <w:spacing w:val="60"/>
                <w:sz w:val="17"/>
              </w:rPr>
            </w:pPr>
            <w:r>
              <w:tab/>
            </w:r>
            <w:r>
              <w:tab/>
            </w:r>
            <w:r>
              <w:tab/>
              <w:t>II.</w:t>
            </w:r>
            <w:r>
              <w:tab/>
              <w:t>Difficultés relevées</w:t>
            </w:r>
            <w:r>
              <w:rPr>
                <w:spacing w:val="60"/>
                <w:sz w:val="17"/>
              </w:rPr>
              <w:tab/>
            </w:r>
          </w:p>
        </w:tc>
        <w:tc>
          <w:tcPr>
            <w:tcW w:w="533" w:type="dxa"/>
            <w:vAlign w:val="bottom"/>
          </w:tcPr>
          <w:p w:rsidR="00000000" w:rsidRDefault="00000000">
            <w:pPr>
              <w:spacing w:after="120"/>
              <w:ind w:right="40"/>
              <w:jc w:val="right"/>
            </w:pPr>
            <w:r>
              <w:t>129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spacing w:val="60"/>
                <w:sz w:val="17"/>
              </w:rPr>
            </w:pPr>
            <w:r>
              <w:tab/>
            </w:r>
            <w:r>
              <w:tab/>
              <w:t>Section III : Possibilité d’une harmonisation avec les dispositions de la Convention</w:t>
            </w:r>
            <w:r>
              <w:rPr>
                <w:spacing w:val="60"/>
                <w:sz w:val="17"/>
              </w:rPr>
              <w:tab/>
            </w:r>
          </w:p>
        </w:tc>
        <w:tc>
          <w:tcPr>
            <w:tcW w:w="533" w:type="dxa"/>
            <w:vAlign w:val="bottom"/>
          </w:tcPr>
          <w:p w:rsidR="00000000" w:rsidRDefault="00000000">
            <w:pPr>
              <w:spacing w:after="120"/>
              <w:ind w:right="40"/>
              <w:jc w:val="right"/>
            </w:pPr>
            <w:r>
              <w:t>129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pacing w:val="60"/>
                <w:sz w:val="17"/>
              </w:rPr>
            </w:pPr>
            <w:r>
              <w:tab/>
            </w:r>
            <w:r>
              <w:tab/>
            </w:r>
            <w:r>
              <w:tab/>
              <w:t>I.</w:t>
            </w:r>
            <w:r>
              <w:tab/>
              <w:t>Mesures susceptibles d’être prises à court terme</w:t>
            </w:r>
            <w:r>
              <w:rPr>
                <w:spacing w:val="60"/>
                <w:sz w:val="17"/>
              </w:rPr>
              <w:tab/>
            </w:r>
          </w:p>
        </w:tc>
        <w:tc>
          <w:tcPr>
            <w:tcW w:w="533" w:type="dxa"/>
            <w:vAlign w:val="bottom"/>
          </w:tcPr>
          <w:p w:rsidR="00000000" w:rsidRDefault="00000000">
            <w:pPr>
              <w:spacing w:after="120"/>
              <w:ind w:right="40"/>
              <w:jc w:val="right"/>
            </w:pPr>
            <w:r>
              <w:t>129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pacing w:val="60"/>
                <w:sz w:val="17"/>
              </w:rPr>
            </w:pPr>
            <w:r>
              <w:tab/>
            </w:r>
            <w:r>
              <w:tab/>
            </w:r>
            <w:r>
              <w:tab/>
            </w:r>
            <w:r>
              <w:tab/>
              <w:t>A.</w:t>
            </w:r>
            <w:r>
              <w:tab/>
              <w:t>Le pré-mariage</w:t>
            </w:r>
            <w:r>
              <w:rPr>
                <w:spacing w:val="60"/>
                <w:sz w:val="17"/>
              </w:rPr>
              <w:tab/>
            </w:r>
          </w:p>
        </w:tc>
        <w:tc>
          <w:tcPr>
            <w:tcW w:w="533" w:type="dxa"/>
            <w:vAlign w:val="bottom"/>
          </w:tcPr>
          <w:p w:rsidR="00000000" w:rsidRDefault="00000000">
            <w:pPr>
              <w:spacing w:after="120"/>
              <w:ind w:right="40"/>
              <w:jc w:val="right"/>
            </w:pPr>
            <w:r>
              <w:t>129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r>
            <w:r>
              <w:tab/>
            </w:r>
            <w:r>
              <w:tab/>
              <w:t>B.</w:t>
            </w:r>
            <w:r>
              <w:tab/>
              <w:t>La gestion du ménage</w:t>
            </w:r>
            <w:r>
              <w:rPr>
                <w:spacing w:val="60"/>
                <w:sz w:val="17"/>
              </w:rPr>
              <w:tab/>
            </w:r>
          </w:p>
        </w:tc>
        <w:tc>
          <w:tcPr>
            <w:tcW w:w="533" w:type="dxa"/>
            <w:vAlign w:val="bottom"/>
          </w:tcPr>
          <w:p w:rsidR="00000000" w:rsidRDefault="00000000">
            <w:pPr>
              <w:spacing w:after="120"/>
              <w:ind w:right="40"/>
              <w:jc w:val="right"/>
            </w:pPr>
            <w:r>
              <w:t>130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r>
            <w:r>
              <w:tab/>
              <w:t>II.</w:t>
            </w:r>
            <w:r>
              <w:tab/>
              <w:t>Mesures à moyen ou à long terme</w:t>
            </w:r>
            <w:r>
              <w:rPr>
                <w:spacing w:val="60"/>
                <w:sz w:val="17"/>
              </w:rPr>
              <w:tab/>
            </w:r>
          </w:p>
        </w:tc>
        <w:tc>
          <w:tcPr>
            <w:tcW w:w="533" w:type="dxa"/>
            <w:vAlign w:val="bottom"/>
          </w:tcPr>
          <w:p w:rsidR="00000000" w:rsidRDefault="00000000">
            <w:pPr>
              <w:spacing w:after="120"/>
              <w:ind w:right="40"/>
              <w:jc w:val="right"/>
            </w:pPr>
            <w:r>
              <w:t>130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rPr>
                <w:spacing w:val="60"/>
                <w:sz w:val="17"/>
              </w:rPr>
            </w:pPr>
            <w:r>
              <w:tab/>
            </w:r>
            <w:r>
              <w:tab/>
              <w:t>Conclusion générale</w:t>
            </w:r>
            <w:r>
              <w:rPr>
                <w:spacing w:val="60"/>
                <w:sz w:val="17"/>
              </w:rPr>
              <w:tab/>
            </w:r>
          </w:p>
        </w:tc>
        <w:tc>
          <w:tcPr>
            <w:tcW w:w="533" w:type="dxa"/>
            <w:vAlign w:val="bottom"/>
          </w:tcPr>
          <w:p w:rsidR="00000000" w:rsidRDefault="00000000">
            <w:pPr>
              <w:spacing w:after="120"/>
              <w:ind w:right="40"/>
              <w:jc w:val="right"/>
            </w:pPr>
            <w:r>
              <w:t>130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rPr>
                <w:spacing w:val="60"/>
                <w:sz w:val="17"/>
              </w:rPr>
            </w:pPr>
            <w:r>
              <w:tab/>
            </w:r>
            <w:r>
              <w:tab/>
              <w:t>Liste des tableaux</w:t>
            </w:r>
            <w:r>
              <w:rPr>
                <w:spacing w:val="60"/>
                <w:sz w:val="17"/>
              </w:rPr>
              <w:tab/>
            </w:r>
          </w:p>
        </w:tc>
        <w:tc>
          <w:tcPr>
            <w:tcW w:w="533" w:type="dxa"/>
            <w:vAlign w:val="bottom"/>
          </w:tcPr>
          <w:p w:rsidR="00000000" w:rsidRDefault="00000000">
            <w:pPr>
              <w:spacing w:after="120"/>
              <w:ind w:right="40"/>
              <w:jc w:val="right"/>
            </w:pPr>
            <w:r>
              <w:t>131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rPr>
                <w:spacing w:val="60"/>
                <w:sz w:val="17"/>
              </w:rPr>
            </w:pPr>
            <w:r>
              <w:tab/>
            </w:r>
            <w:r>
              <w:tab/>
              <w:t>Bibliographie</w:t>
            </w:r>
            <w:r>
              <w:rPr>
                <w:spacing w:val="60"/>
                <w:sz w:val="17"/>
              </w:rPr>
              <w:tab/>
            </w:r>
          </w:p>
        </w:tc>
        <w:tc>
          <w:tcPr>
            <w:tcW w:w="533" w:type="dxa"/>
            <w:vAlign w:val="bottom"/>
          </w:tcPr>
          <w:p w:rsidR="00000000" w:rsidRDefault="00000000">
            <w:pPr>
              <w:spacing w:after="120"/>
              <w:ind w:right="40"/>
              <w:jc w:val="right"/>
            </w:pPr>
            <w:r>
              <w:t>133</w:t>
            </w:r>
          </w:p>
        </w:tc>
      </w:tr>
    </w:tbl>
    <w:p w:rsidR="00000000" w:rsidRDefault="00000000">
      <w:pPr>
        <w:pStyle w:val="SingleTxt"/>
      </w:pP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BodyText"/>
        <w:jc w:val="center"/>
        <w:rPr>
          <w:b/>
          <w:u w:val="single"/>
        </w:rPr>
      </w:pPr>
      <w:r>
        <w:rPr>
          <w:b/>
          <w:u w:val="single"/>
        </w:rPr>
        <w:t>LISTE DES SIGLES ET ABREVIATIONS</w:t>
      </w:r>
    </w:p>
    <w:p w:rsidR="00000000" w:rsidRDefault="00000000">
      <w:pPr>
        <w:pStyle w:val="BodyText"/>
        <w:rPr>
          <w:sz w:val="22"/>
        </w:rPr>
      </w:pPr>
    </w:p>
    <w:p w:rsidR="00000000" w:rsidRDefault="00000000">
      <w:pPr>
        <w:pStyle w:val="BodyText"/>
        <w:rPr>
          <w:sz w:val="22"/>
        </w:rPr>
      </w:pPr>
    </w:p>
    <w:tbl>
      <w:tblPr>
        <w:tblW w:w="0" w:type="auto"/>
        <w:tblInd w:w="88" w:type="dxa"/>
        <w:tblLayout w:type="fixed"/>
        <w:tblCellMar>
          <w:left w:w="70" w:type="dxa"/>
          <w:right w:w="70" w:type="dxa"/>
        </w:tblCellMar>
        <w:tblLook w:val="0000" w:firstRow="0" w:lastRow="0" w:firstColumn="0" w:lastColumn="0" w:noHBand="0" w:noVBand="0"/>
      </w:tblPr>
      <w:tblGrid>
        <w:gridCol w:w="1844"/>
        <w:gridCol w:w="283"/>
        <w:gridCol w:w="7701"/>
      </w:tblGrid>
      <w:tr w:rsidR="00000000">
        <w:tblPrEx>
          <w:tblCellMar>
            <w:top w:w="0" w:type="dxa"/>
            <w:bottom w:w="0" w:type="dxa"/>
          </w:tblCellMar>
        </w:tblPrEx>
        <w:trPr>
          <w:cantSplit/>
        </w:trPr>
        <w:tc>
          <w:tcPr>
            <w:tcW w:w="1844" w:type="dxa"/>
          </w:tcPr>
          <w:p w:rsidR="00000000" w:rsidRDefault="00000000">
            <w:pPr>
              <w:pStyle w:val="BodyText"/>
              <w:rPr>
                <w:sz w:val="22"/>
              </w:rPr>
            </w:pPr>
            <w:r>
              <w:rPr>
                <w:sz w:val="22"/>
              </w:rPr>
              <w:t>ACBEF</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 xml:space="preserve">Association Congolaise pour le bien-être familial  </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AFA</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Association des Femmes Africaines</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AFUF</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Association des femmes de l’Union Française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BEPC</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Brevet d’Etude du Premier Cycle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CAAJ</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Centre d’Aide et d’Assistance Juridique</w:t>
            </w:r>
          </w:p>
        </w:tc>
      </w:tr>
      <w:tr w:rsidR="00000000">
        <w:tblPrEx>
          <w:tblCellMar>
            <w:top w:w="0" w:type="dxa"/>
            <w:bottom w:w="0" w:type="dxa"/>
          </w:tblCellMar>
        </w:tblPrEx>
        <w:trPr>
          <w:cantSplit/>
        </w:trPr>
        <w:tc>
          <w:tcPr>
            <w:tcW w:w="1844" w:type="dxa"/>
          </w:tcPr>
          <w:p w:rsidR="00000000" w:rsidRDefault="00000000">
            <w:pPr>
              <w:pStyle w:val="BodyText"/>
              <w:rPr>
                <w:sz w:val="22"/>
                <w:lang w:val="en-GB"/>
              </w:rPr>
            </w:pPr>
            <w:r>
              <w:rPr>
                <w:sz w:val="22"/>
              </w:rPr>
              <w:t>CEDEF</w:t>
            </w:r>
            <w:r>
              <w:rPr>
                <w:sz w:val="22"/>
                <w:lang w:val="en-GB"/>
              </w:rPr>
              <w:t xml:space="preserve"> /CEDAW</w:t>
            </w:r>
          </w:p>
        </w:tc>
        <w:tc>
          <w:tcPr>
            <w:tcW w:w="283" w:type="dxa"/>
          </w:tcPr>
          <w:p w:rsidR="00000000" w:rsidRDefault="00000000">
            <w:pPr>
              <w:pStyle w:val="BodyText"/>
              <w:rPr>
                <w:sz w:val="22"/>
                <w:lang w:val="en-GB"/>
              </w:rPr>
            </w:pPr>
          </w:p>
        </w:tc>
        <w:tc>
          <w:tcPr>
            <w:tcW w:w="7701" w:type="dxa"/>
          </w:tcPr>
          <w:p w:rsidR="00000000" w:rsidRDefault="00000000">
            <w:pPr>
              <w:pStyle w:val="BodyText"/>
              <w:rPr>
                <w:sz w:val="22"/>
                <w:lang w:val="en-GB"/>
              </w:rPr>
            </w:pPr>
            <w:r>
              <w:rPr>
                <w:sz w:val="22"/>
              </w:rPr>
              <w:t>Convention sur l’élimination de toutes les formes de discrimination à l’égard des femmes</w:t>
            </w:r>
          </w:p>
        </w:tc>
      </w:tr>
      <w:tr w:rsidR="00000000">
        <w:tblPrEx>
          <w:tblCellMar>
            <w:top w:w="0" w:type="dxa"/>
            <w:bottom w:w="0" w:type="dxa"/>
          </w:tblCellMar>
        </w:tblPrEx>
        <w:trPr>
          <w:cantSplit/>
        </w:trPr>
        <w:tc>
          <w:tcPr>
            <w:tcW w:w="1844" w:type="dxa"/>
          </w:tcPr>
          <w:p w:rsidR="00000000" w:rsidRDefault="00000000">
            <w:pPr>
              <w:pStyle w:val="BodyText"/>
              <w:rPr>
                <w:sz w:val="22"/>
                <w:lang w:val="en-GB"/>
              </w:rPr>
            </w:pPr>
            <w:r>
              <w:rPr>
                <w:sz w:val="22"/>
                <w:lang w:val="en-GB"/>
              </w:rPr>
              <w:t>CEG</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Collège d’enseignement général</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CEMAC</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Communauté Economique et Monétaire de l’Afrique Centrale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CENAMES</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Centre National de Médicaments Essentiels</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CEPE</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Certificat d’étude primaire élémentaire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CET</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Collège d’enseignement technique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CFCM</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Caisse féminine d’épargne et de crédit mutuel</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CHU</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Centre Hospitalier et Universitaire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CIF</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Comité International des Femmes Françaises</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CM</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Centre des métiers</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CNPOLA</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Conseil national permanent pour l’organisation de la lutte contre l’analphabétisme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CNSS</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Caisse Nationale de Sécurité Sociale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CNT</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Conseil National de Transition</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CPN</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Consultation Prénatale</w:t>
            </w:r>
          </w:p>
        </w:tc>
      </w:tr>
      <w:tr w:rsidR="00000000">
        <w:tblPrEx>
          <w:tblCellMar>
            <w:top w:w="0" w:type="dxa"/>
            <w:bottom w:w="0" w:type="dxa"/>
          </w:tblCellMar>
        </w:tblPrEx>
        <w:trPr>
          <w:cantSplit/>
        </w:trPr>
        <w:tc>
          <w:tcPr>
            <w:tcW w:w="1844" w:type="dxa"/>
          </w:tcPr>
          <w:p w:rsidR="00000000" w:rsidRDefault="00000000">
            <w:pPr>
              <w:pStyle w:val="BodyText"/>
              <w:rPr>
                <w:sz w:val="22"/>
                <w:lang w:val="en-GB"/>
              </w:rPr>
            </w:pPr>
            <w:r>
              <w:rPr>
                <w:sz w:val="22"/>
                <w:lang w:val="en-GB"/>
              </w:rPr>
              <w:t>CRIDF</w:t>
            </w:r>
          </w:p>
        </w:tc>
        <w:tc>
          <w:tcPr>
            <w:tcW w:w="283" w:type="dxa"/>
          </w:tcPr>
          <w:p w:rsidR="00000000" w:rsidRDefault="00000000">
            <w:pPr>
              <w:pStyle w:val="BodyText"/>
              <w:rPr>
                <w:sz w:val="22"/>
                <w:lang w:val="en-GB"/>
              </w:rPr>
            </w:pPr>
            <w:r>
              <w:rPr>
                <w:sz w:val="22"/>
                <w:lang w:val="en-GB"/>
              </w:rPr>
              <w:t>:</w:t>
            </w:r>
          </w:p>
        </w:tc>
        <w:tc>
          <w:tcPr>
            <w:tcW w:w="7701" w:type="dxa"/>
          </w:tcPr>
          <w:p w:rsidR="00000000" w:rsidRDefault="00000000">
            <w:pPr>
              <w:pStyle w:val="BodyText"/>
              <w:rPr>
                <w:sz w:val="22"/>
              </w:rPr>
            </w:pPr>
            <w:r>
              <w:rPr>
                <w:sz w:val="22"/>
              </w:rPr>
              <w:t>Centre de Recherche d’Intégration et de Documentation sur la Femme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CSI</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Centre de Santé Intégré</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CTA</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Centre de Traitement Ambulatoire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 xml:space="preserve"> DGAS</w:t>
            </w:r>
          </w:p>
        </w:tc>
        <w:tc>
          <w:tcPr>
            <w:tcW w:w="283" w:type="dxa"/>
          </w:tcPr>
          <w:p w:rsidR="00000000" w:rsidRDefault="00000000">
            <w:pPr>
              <w:pStyle w:val="BodyText"/>
              <w:rPr>
                <w:sz w:val="22"/>
                <w:lang w:val="en-GB"/>
              </w:rPr>
            </w:pPr>
            <w:r>
              <w:rPr>
                <w:sz w:val="22"/>
                <w:lang w:val="en-GB"/>
              </w:rPr>
              <w:t>:</w:t>
            </w:r>
          </w:p>
        </w:tc>
        <w:tc>
          <w:tcPr>
            <w:tcW w:w="7701" w:type="dxa"/>
          </w:tcPr>
          <w:p w:rsidR="00000000" w:rsidRDefault="00000000">
            <w:pPr>
              <w:pStyle w:val="BodyText"/>
              <w:rPr>
                <w:sz w:val="22"/>
              </w:rPr>
            </w:pPr>
            <w:r>
              <w:rPr>
                <w:sz w:val="22"/>
              </w:rPr>
              <w:t>Direction Générale des Affaires Sociales</w:t>
            </w:r>
          </w:p>
        </w:tc>
      </w:tr>
      <w:tr w:rsidR="00000000">
        <w:tblPrEx>
          <w:tblCellMar>
            <w:top w:w="0" w:type="dxa"/>
            <w:bottom w:w="0" w:type="dxa"/>
          </w:tblCellMar>
        </w:tblPrEx>
        <w:trPr>
          <w:cantSplit/>
        </w:trPr>
        <w:tc>
          <w:tcPr>
            <w:tcW w:w="1844" w:type="dxa"/>
          </w:tcPr>
          <w:p w:rsidR="00000000" w:rsidRDefault="00000000">
            <w:pPr>
              <w:pStyle w:val="BodyText"/>
              <w:rPr>
                <w:sz w:val="22"/>
                <w:lang w:val="en-GB"/>
              </w:rPr>
            </w:pPr>
            <w:r>
              <w:rPr>
                <w:sz w:val="22"/>
                <w:lang w:val="en-GB"/>
              </w:rPr>
              <w:t>DIFD</w:t>
            </w:r>
          </w:p>
        </w:tc>
        <w:tc>
          <w:tcPr>
            <w:tcW w:w="283" w:type="dxa"/>
          </w:tcPr>
          <w:p w:rsidR="00000000" w:rsidRDefault="00000000">
            <w:pPr>
              <w:pStyle w:val="BodyText"/>
              <w:rPr>
                <w:sz w:val="22"/>
                <w:lang w:val="en-GB"/>
              </w:rPr>
            </w:pPr>
            <w:r>
              <w:rPr>
                <w:sz w:val="22"/>
                <w:lang w:val="en-GB"/>
              </w:rPr>
              <w:t>:</w:t>
            </w:r>
          </w:p>
        </w:tc>
        <w:tc>
          <w:tcPr>
            <w:tcW w:w="7701" w:type="dxa"/>
          </w:tcPr>
          <w:p w:rsidR="00000000" w:rsidRDefault="00000000">
            <w:pPr>
              <w:pStyle w:val="BodyText"/>
              <w:rPr>
                <w:sz w:val="22"/>
              </w:rPr>
            </w:pPr>
            <w:r>
              <w:rPr>
                <w:sz w:val="22"/>
              </w:rPr>
              <w:t>Direction de l’Intégration de la Femme au Développement</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EASP</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Enquête agricole superficie production</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EIC</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Institut d’éducation de communication</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ENAM</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Ecole nationale d’administration et de magistrature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ENS</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Ecole normale supérieure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ENSP</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Ecole Nationale Supérieure et Polytechnique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EPS</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Education physique et sportive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EPT</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Education Pour Tous</w:t>
            </w:r>
          </w:p>
        </w:tc>
      </w:tr>
      <w:tr w:rsidR="00000000">
        <w:tblPrEx>
          <w:tblCellMar>
            <w:top w:w="0" w:type="dxa"/>
            <w:bottom w:w="0" w:type="dxa"/>
          </w:tblCellMar>
        </w:tblPrEx>
        <w:trPr>
          <w:cantSplit/>
        </w:trPr>
        <w:tc>
          <w:tcPr>
            <w:tcW w:w="1844" w:type="dxa"/>
          </w:tcPr>
          <w:p w:rsidR="00000000" w:rsidRDefault="00000000">
            <w:pPr>
              <w:pStyle w:val="BodyText"/>
              <w:rPr>
                <w:sz w:val="22"/>
                <w:lang w:val="en-GB"/>
              </w:rPr>
            </w:pPr>
            <w:r>
              <w:rPr>
                <w:sz w:val="22"/>
                <w:lang w:val="en-GB"/>
              </w:rPr>
              <w:t>FAC</w:t>
            </w:r>
          </w:p>
        </w:tc>
        <w:tc>
          <w:tcPr>
            <w:tcW w:w="283" w:type="dxa"/>
          </w:tcPr>
          <w:p w:rsidR="00000000" w:rsidRDefault="00000000">
            <w:pPr>
              <w:pStyle w:val="BodyText"/>
              <w:rPr>
                <w:sz w:val="22"/>
                <w:lang w:val="en-GB"/>
              </w:rPr>
            </w:pPr>
            <w:r>
              <w:rPr>
                <w:sz w:val="22"/>
                <w:lang w:val="en-GB"/>
              </w:rPr>
              <w:t>:</w:t>
            </w:r>
          </w:p>
        </w:tc>
        <w:tc>
          <w:tcPr>
            <w:tcW w:w="7701" w:type="dxa"/>
          </w:tcPr>
          <w:p w:rsidR="00000000" w:rsidRDefault="00000000">
            <w:pPr>
              <w:pStyle w:val="BodyText"/>
              <w:rPr>
                <w:sz w:val="22"/>
              </w:rPr>
            </w:pPr>
            <w:r>
              <w:rPr>
                <w:sz w:val="22"/>
              </w:rPr>
              <w:t>Fonds d’Aide et de Coopération</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FAO</w:t>
            </w:r>
          </w:p>
        </w:tc>
        <w:tc>
          <w:tcPr>
            <w:tcW w:w="283" w:type="dxa"/>
          </w:tcPr>
          <w:p w:rsidR="00000000" w:rsidRDefault="00000000">
            <w:pPr>
              <w:pStyle w:val="BodyText"/>
              <w:rPr>
                <w:sz w:val="22"/>
                <w:lang w:val="en-GB"/>
              </w:rPr>
            </w:pPr>
            <w:r>
              <w:rPr>
                <w:sz w:val="22"/>
                <w:lang w:val="en-GB"/>
              </w:rPr>
              <w:t>:</w:t>
            </w:r>
          </w:p>
        </w:tc>
        <w:tc>
          <w:tcPr>
            <w:tcW w:w="7701" w:type="dxa"/>
          </w:tcPr>
          <w:p w:rsidR="00000000" w:rsidRDefault="00000000">
            <w:pPr>
              <w:pStyle w:val="BodyText"/>
              <w:rPr>
                <w:sz w:val="22"/>
              </w:rPr>
            </w:pPr>
            <w:r>
              <w:rPr>
                <w:sz w:val="22"/>
              </w:rPr>
              <w:t>Fonds des Nations Unies pour l’Alimentation et l’Agriculture</w:t>
            </w:r>
          </w:p>
        </w:tc>
      </w:tr>
      <w:tr w:rsidR="00000000">
        <w:tblPrEx>
          <w:tblCellMar>
            <w:top w:w="0" w:type="dxa"/>
            <w:bottom w:w="0" w:type="dxa"/>
          </w:tblCellMar>
        </w:tblPrEx>
        <w:trPr>
          <w:cantSplit/>
        </w:trPr>
        <w:tc>
          <w:tcPr>
            <w:tcW w:w="1844" w:type="dxa"/>
          </w:tcPr>
          <w:p w:rsidR="00000000" w:rsidRDefault="00000000">
            <w:pPr>
              <w:pStyle w:val="BodyText"/>
              <w:rPr>
                <w:sz w:val="22"/>
                <w:lang w:val="en-GB"/>
              </w:rPr>
            </w:pPr>
            <w:r>
              <w:rPr>
                <w:sz w:val="22"/>
                <w:lang w:val="en-GB"/>
              </w:rPr>
              <w:t>FNUAP</w:t>
            </w:r>
          </w:p>
        </w:tc>
        <w:tc>
          <w:tcPr>
            <w:tcW w:w="283" w:type="dxa"/>
          </w:tcPr>
          <w:p w:rsidR="00000000" w:rsidRDefault="00000000">
            <w:pPr>
              <w:pStyle w:val="BodyText"/>
              <w:rPr>
                <w:sz w:val="22"/>
                <w:lang w:val="en-GB"/>
              </w:rPr>
            </w:pPr>
            <w:r>
              <w:rPr>
                <w:sz w:val="22"/>
                <w:lang w:val="en-GB"/>
              </w:rPr>
              <w:t>:</w:t>
            </w:r>
          </w:p>
        </w:tc>
        <w:tc>
          <w:tcPr>
            <w:tcW w:w="7701" w:type="dxa"/>
          </w:tcPr>
          <w:p w:rsidR="00000000" w:rsidRDefault="00000000">
            <w:pPr>
              <w:pStyle w:val="BodyText"/>
              <w:rPr>
                <w:sz w:val="22"/>
              </w:rPr>
            </w:pPr>
            <w:r>
              <w:rPr>
                <w:sz w:val="22"/>
              </w:rPr>
              <w:t xml:space="preserve">Fonds des Nations Unies pour la Population et le Développement </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FSE</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Faculté des sciences économiques</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FSH</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Faculté des sciences humaines</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FSSA</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Faculté des sciences de la santé</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IDR</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Institut de développement rural</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INJS</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Institut National de la Jeunesse et des Sports</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IRC</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International Rescue Comity (Comité International de Secours)</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ISEPS</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Institut supérieur d’éducation physique et sportive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ISG</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Institut supérieur de gestion</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IST</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Infections Sexuellement Transmissible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LT</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Lycée technique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MEPRSSRS</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Ministère de l’enseignement primaire, secondaire et supérieur, chargé de la recherche scientifique</w:t>
            </w:r>
          </w:p>
        </w:tc>
      </w:tr>
      <w:tr w:rsidR="00000000">
        <w:tblPrEx>
          <w:tblCellMar>
            <w:top w:w="0" w:type="dxa"/>
            <w:bottom w:w="0" w:type="dxa"/>
          </w:tblCellMar>
        </w:tblPrEx>
        <w:trPr>
          <w:cantSplit/>
        </w:trPr>
        <w:tc>
          <w:tcPr>
            <w:tcW w:w="1844" w:type="dxa"/>
          </w:tcPr>
          <w:p w:rsidR="00000000" w:rsidRDefault="00000000">
            <w:pPr>
              <w:pStyle w:val="BodyText"/>
              <w:rPr>
                <w:sz w:val="22"/>
                <w:lang w:val="en-GB"/>
              </w:rPr>
            </w:pPr>
            <w:r>
              <w:rPr>
                <w:sz w:val="22"/>
                <w:lang w:val="en-GB"/>
              </w:rPr>
              <w:t>MIFD</w:t>
            </w:r>
          </w:p>
        </w:tc>
        <w:tc>
          <w:tcPr>
            <w:tcW w:w="283" w:type="dxa"/>
          </w:tcPr>
          <w:p w:rsidR="00000000" w:rsidRDefault="00000000">
            <w:pPr>
              <w:pStyle w:val="BodyText"/>
              <w:rPr>
                <w:sz w:val="22"/>
                <w:lang w:val="en-GB"/>
              </w:rPr>
            </w:pPr>
            <w:r>
              <w:rPr>
                <w:sz w:val="22"/>
                <w:lang w:val="en-GB"/>
              </w:rPr>
              <w:t>:</w:t>
            </w:r>
          </w:p>
        </w:tc>
        <w:tc>
          <w:tcPr>
            <w:tcW w:w="7701" w:type="dxa"/>
          </w:tcPr>
          <w:p w:rsidR="00000000" w:rsidRDefault="00000000">
            <w:pPr>
              <w:pStyle w:val="BodyText"/>
              <w:rPr>
                <w:sz w:val="22"/>
              </w:rPr>
            </w:pPr>
            <w:r>
              <w:rPr>
                <w:sz w:val="22"/>
              </w:rPr>
              <w:t>Ministère de l’Intégration de la Femme au Développement</w:t>
            </w:r>
          </w:p>
        </w:tc>
      </w:tr>
      <w:tr w:rsidR="00000000">
        <w:tblPrEx>
          <w:tblCellMar>
            <w:top w:w="0" w:type="dxa"/>
            <w:bottom w:w="0" w:type="dxa"/>
          </w:tblCellMar>
        </w:tblPrEx>
        <w:trPr>
          <w:cantSplit/>
        </w:trPr>
        <w:tc>
          <w:tcPr>
            <w:tcW w:w="1844" w:type="dxa"/>
          </w:tcPr>
          <w:p w:rsidR="00000000" w:rsidRDefault="00000000">
            <w:pPr>
              <w:pStyle w:val="BodyText"/>
              <w:rPr>
                <w:sz w:val="22"/>
                <w:lang w:val="en-GB"/>
              </w:rPr>
            </w:pPr>
            <w:r>
              <w:rPr>
                <w:sz w:val="22"/>
                <w:lang w:val="en-GB"/>
              </w:rPr>
              <w:t>MSA</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Mouvement Socialiste Africain</w:t>
            </w:r>
          </w:p>
        </w:tc>
      </w:tr>
      <w:tr w:rsidR="00000000">
        <w:tblPrEx>
          <w:tblCellMar>
            <w:top w:w="0" w:type="dxa"/>
            <w:bottom w:w="0" w:type="dxa"/>
          </w:tblCellMar>
        </w:tblPrEx>
        <w:trPr>
          <w:cantSplit/>
        </w:trPr>
        <w:tc>
          <w:tcPr>
            <w:tcW w:w="1844" w:type="dxa"/>
          </w:tcPr>
          <w:p w:rsidR="00000000" w:rsidRDefault="00000000">
            <w:pPr>
              <w:pStyle w:val="BodyText"/>
              <w:rPr>
                <w:sz w:val="22"/>
                <w:lang w:val="en-GB"/>
              </w:rPr>
            </w:pPr>
            <w:r>
              <w:rPr>
                <w:sz w:val="22"/>
                <w:lang w:val="en-GB"/>
              </w:rPr>
              <w:t>MSSAH</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Ministère de la Santé, de la Solidarité et de l’Action Humanitaire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OHADA</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Organisation pour l’Harmonisation du Droit des Affaires</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OMS</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Organisation Mondiale de la Santé</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ONG</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Organisation non gouvernementale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ONSSU</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Office National des Sports Scolaires et Universitaires</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ONU</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Organisation des Nations Unies</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PANE</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Plan d’action national pour l’enfant</w:t>
            </w:r>
          </w:p>
        </w:tc>
      </w:tr>
      <w:tr w:rsidR="00000000">
        <w:tblPrEx>
          <w:tblCellMar>
            <w:top w:w="0" w:type="dxa"/>
            <w:bottom w:w="0" w:type="dxa"/>
          </w:tblCellMar>
        </w:tblPrEx>
        <w:trPr>
          <w:cantSplit/>
        </w:trPr>
        <w:tc>
          <w:tcPr>
            <w:tcW w:w="1844" w:type="dxa"/>
          </w:tcPr>
          <w:p w:rsidR="00000000" w:rsidRDefault="00000000">
            <w:pPr>
              <w:pStyle w:val="BodyText"/>
              <w:rPr>
                <w:sz w:val="22"/>
                <w:lang w:val="en-GB"/>
              </w:rPr>
            </w:pPr>
            <w:r>
              <w:rPr>
                <w:sz w:val="22"/>
                <w:lang w:val="en-GB"/>
              </w:rPr>
              <w:t>PCT</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Parti Congolais du Travail</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PIB</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Produit Intérieur Brut</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PMRU</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Programme de Micro-réalisation en milieu Rural et Urbain</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PNB</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Produit national brut</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PNDS</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Programme National de Développement Sanitaire</w:t>
            </w:r>
          </w:p>
        </w:tc>
      </w:tr>
      <w:tr w:rsidR="00000000">
        <w:tblPrEx>
          <w:tblCellMar>
            <w:top w:w="0" w:type="dxa"/>
            <w:bottom w:w="0" w:type="dxa"/>
          </w:tblCellMar>
        </w:tblPrEx>
        <w:trPr>
          <w:cantSplit/>
        </w:trPr>
        <w:tc>
          <w:tcPr>
            <w:tcW w:w="1844" w:type="dxa"/>
          </w:tcPr>
          <w:p w:rsidR="00000000" w:rsidRDefault="00000000">
            <w:pPr>
              <w:pStyle w:val="BodyText"/>
              <w:rPr>
                <w:sz w:val="22"/>
                <w:lang w:val="en-GB"/>
              </w:rPr>
            </w:pPr>
            <w:r>
              <w:rPr>
                <w:sz w:val="22"/>
                <w:lang w:val="en-GB"/>
              </w:rPr>
              <w:t>PNLS</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Programme National de Lutte Contre le Sida</w:t>
            </w:r>
          </w:p>
        </w:tc>
      </w:tr>
      <w:tr w:rsidR="00000000">
        <w:tblPrEx>
          <w:tblCellMar>
            <w:top w:w="0" w:type="dxa"/>
            <w:bottom w:w="0" w:type="dxa"/>
          </w:tblCellMar>
        </w:tblPrEx>
        <w:trPr>
          <w:cantSplit/>
        </w:trPr>
        <w:tc>
          <w:tcPr>
            <w:tcW w:w="1844" w:type="dxa"/>
          </w:tcPr>
          <w:p w:rsidR="00000000" w:rsidRDefault="00000000">
            <w:pPr>
              <w:pStyle w:val="BodyText"/>
              <w:rPr>
                <w:sz w:val="22"/>
                <w:lang w:val="en-GB"/>
              </w:rPr>
            </w:pPr>
            <w:r>
              <w:rPr>
                <w:sz w:val="22"/>
                <w:lang w:val="en-GB"/>
              </w:rPr>
              <w:t>PNPF</w:t>
            </w:r>
          </w:p>
        </w:tc>
        <w:tc>
          <w:tcPr>
            <w:tcW w:w="283" w:type="dxa"/>
          </w:tcPr>
          <w:p w:rsidR="00000000" w:rsidRDefault="00000000">
            <w:pPr>
              <w:pStyle w:val="BodyText"/>
              <w:rPr>
                <w:sz w:val="22"/>
                <w:lang w:val="en-GB"/>
              </w:rPr>
            </w:pPr>
            <w:r>
              <w:rPr>
                <w:sz w:val="22"/>
                <w:lang w:val="en-GB"/>
              </w:rPr>
              <w:t>:</w:t>
            </w:r>
          </w:p>
        </w:tc>
        <w:tc>
          <w:tcPr>
            <w:tcW w:w="7701" w:type="dxa"/>
          </w:tcPr>
          <w:p w:rsidR="00000000" w:rsidRDefault="00000000">
            <w:pPr>
              <w:pStyle w:val="BodyText"/>
              <w:rPr>
                <w:sz w:val="22"/>
              </w:rPr>
            </w:pPr>
            <w:r>
              <w:rPr>
                <w:sz w:val="22"/>
              </w:rPr>
              <w:t>Plan National de Promotion de la Femme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PNUD</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Programme des Nations Unies pour le Développement</w:t>
            </w:r>
          </w:p>
        </w:tc>
      </w:tr>
      <w:tr w:rsidR="00000000">
        <w:tblPrEx>
          <w:tblCellMar>
            <w:top w:w="0" w:type="dxa"/>
            <w:bottom w:w="0" w:type="dxa"/>
          </w:tblCellMar>
        </w:tblPrEx>
        <w:trPr>
          <w:cantSplit/>
        </w:trPr>
        <w:tc>
          <w:tcPr>
            <w:tcW w:w="1844" w:type="dxa"/>
          </w:tcPr>
          <w:p w:rsidR="00000000" w:rsidRDefault="00000000">
            <w:pPr>
              <w:pStyle w:val="BodyText"/>
              <w:rPr>
                <w:sz w:val="22"/>
                <w:lang w:val="en-GB"/>
              </w:rPr>
            </w:pPr>
            <w:r>
              <w:rPr>
                <w:sz w:val="22"/>
                <w:lang w:val="en-GB"/>
              </w:rPr>
              <w:t>RASEF</w:t>
            </w:r>
          </w:p>
        </w:tc>
        <w:tc>
          <w:tcPr>
            <w:tcW w:w="283" w:type="dxa"/>
          </w:tcPr>
          <w:p w:rsidR="00000000" w:rsidRDefault="00000000">
            <w:pPr>
              <w:pStyle w:val="BodyText"/>
              <w:rPr>
                <w:sz w:val="22"/>
                <w:lang w:val="en-GB"/>
              </w:rPr>
            </w:pPr>
            <w:r>
              <w:rPr>
                <w:sz w:val="22"/>
                <w:lang w:val="en-GB"/>
              </w:rPr>
              <w:t>:</w:t>
            </w:r>
          </w:p>
        </w:tc>
        <w:tc>
          <w:tcPr>
            <w:tcW w:w="7701" w:type="dxa"/>
          </w:tcPr>
          <w:p w:rsidR="00000000" w:rsidRDefault="00000000">
            <w:pPr>
              <w:pStyle w:val="BodyText"/>
              <w:rPr>
                <w:sz w:val="22"/>
              </w:rPr>
            </w:pPr>
            <w:r>
              <w:rPr>
                <w:sz w:val="22"/>
              </w:rPr>
              <w:t>Réseau Africain de Soutien à l’Entreprenariat Féminin</w:t>
            </w:r>
          </w:p>
        </w:tc>
      </w:tr>
      <w:tr w:rsidR="00000000">
        <w:tblPrEx>
          <w:tblCellMar>
            <w:top w:w="0" w:type="dxa"/>
            <w:bottom w:w="0" w:type="dxa"/>
          </w:tblCellMar>
        </w:tblPrEx>
        <w:trPr>
          <w:cantSplit/>
        </w:trPr>
        <w:tc>
          <w:tcPr>
            <w:tcW w:w="1844" w:type="dxa"/>
          </w:tcPr>
          <w:p w:rsidR="00000000" w:rsidRDefault="00000000">
            <w:pPr>
              <w:pStyle w:val="BodyText"/>
              <w:rPr>
                <w:sz w:val="22"/>
                <w:lang w:val="en-GB"/>
              </w:rPr>
            </w:pPr>
            <w:r>
              <w:rPr>
                <w:sz w:val="22"/>
                <w:lang w:val="en-GB"/>
              </w:rPr>
              <w:t>RESEFAC</w:t>
            </w:r>
          </w:p>
        </w:tc>
        <w:tc>
          <w:tcPr>
            <w:tcW w:w="283" w:type="dxa"/>
          </w:tcPr>
          <w:p w:rsidR="00000000" w:rsidRDefault="00000000">
            <w:pPr>
              <w:pStyle w:val="BodyText"/>
              <w:rPr>
                <w:sz w:val="22"/>
                <w:lang w:val="en-GB"/>
              </w:rPr>
            </w:pPr>
            <w:r>
              <w:rPr>
                <w:sz w:val="22"/>
                <w:lang w:val="en-GB"/>
              </w:rPr>
              <w:t>:</w:t>
            </w:r>
          </w:p>
        </w:tc>
        <w:tc>
          <w:tcPr>
            <w:tcW w:w="7701" w:type="dxa"/>
          </w:tcPr>
          <w:p w:rsidR="00000000" w:rsidRDefault="00000000">
            <w:pPr>
              <w:pStyle w:val="BodyText"/>
              <w:rPr>
                <w:sz w:val="22"/>
              </w:rPr>
            </w:pPr>
            <w:r>
              <w:rPr>
                <w:sz w:val="22"/>
              </w:rPr>
              <w:t>Réseau des Femmes de l’Afrique centrale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RGPH</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Recensement général de la population et de l’habitat</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SIDA</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Syndrome d’immunodéficience acquis</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SSP</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Soins de Santé Primaire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UDFC</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Union Démocratique des Femmes du Congo</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UEFA</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Union pour l’Emancipation de la Femme Africaine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UFC</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Union des Femmes du Congo</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UFCVA</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Union des Femmes Commerçantes, Vendeuses et Artisanes</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UFMM</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Union des Femmes Ménagères et des Mutualistes</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UFP</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Union des Femmes Paysannes</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UFT</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Union des Femmes Travailleuses</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UNESCO</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Organisation des Nations Unies pour l’éducation, la science et la culture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UNFC</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Union Nationale des Femmes du Congo</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UNICEF</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Fonds des Nations Unies pour l’Enfance</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URFC</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Union Révolutionnaire des Femmes du Congo</w:t>
            </w:r>
          </w:p>
        </w:tc>
      </w:tr>
      <w:tr w:rsidR="00000000">
        <w:tblPrEx>
          <w:tblCellMar>
            <w:top w:w="0" w:type="dxa"/>
            <w:bottom w:w="0" w:type="dxa"/>
          </w:tblCellMar>
        </w:tblPrEx>
        <w:trPr>
          <w:cantSplit/>
        </w:trPr>
        <w:tc>
          <w:tcPr>
            <w:tcW w:w="1844" w:type="dxa"/>
          </w:tcPr>
          <w:p w:rsidR="00000000" w:rsidRDefault="00000000">
            <w:pPr>
              <w:pStyle w:val="BodyText"/>
              <w:rPr>
                <w:sz w:val="22"/>
              </w:rPr>
            </w:pPr>
            <w:r>
              <w:rPr>
                <w:sz w:val="22"/>
              </w:rPr>
              <w:t>VIH</w:t>
            </w:r>
          </w:p>
        </w:tc>
        <w:tc>
          <w:tcPr>
            <w:tcW w:w="283" w:type="dxa"/>
          </w:tcPr>
          <w:p w:rsidR="00000000" w:rsidRDefault="00000000">
            <w:pPr>
              <w:pStyle w:val="BodyText"/>
              <w:rPr>
                <w:sz w:val="22"/>
              </w:rPr>
            </w:pPr>
            <w:r>
              <w:rPr>
                <w:sz w:val="22"/>
              </w:rPr>
              <w:t>:</w:t>
            </w:r>
          </w:p>
        </w:tc>
        <w:tc>
          <w:tcPr>
            <w:tcW w:w="7701" w:type="dxa"/>
          </w:tcPr>
          <w:p w:rsidR="00000000" w:rsidRDefault="00000000">
            <w:pPr>
              <w:pStyle w:val="BodyText"/>
              <w:rPr>
                <w:sz w:val="22"/>
              </w:rPr>
            </w:pPr>
            <w:r>
              <w:rPr>
                <w:sz w:val="22"/>
              </w:rPr>
              <w:t>Virus d’immunodéficience humain</w:t>
            </w:r>
          </w:p>
        </w:tc>
      </w:tr>
    </w:tbl>
    <w:p w:rsidR="00000000" w:rsidRDefault="00000000">
      <w:pPr>
        <w:spacing w:line="240" w:lineRule="auto"/>
        <w:rPr>
          <w:b/>
          <w:sz w:val="24"/>
          <w:u w:val="single"/>
        </w:rPr>
      </w:pPr>
      <w:r>
        <w:rPr>
          <w:b/>
          <w:sz w:val="22"/>
          <w:u w:val="single"/>
        </w:rPr>
        <w:br w:type="page"/>
      </w:r>
      <w:r>
        <w:rPr>
          <w:b/>
          <w:sz w:val="24"/>
          <w:u w:val="single"/>
        </w:rPr>
        <w:t>Introduction</w:t>
      </w:r>
    </w:p>
    <w:p w:rsidR="00000000" w:rsidRDefault="00000000">
      <w:pPr>
        <w:pStyle w:val="BodyTex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2pt;height:548.25pt" o:allowincell="f" o:allowoverlap="f">
            <v:imagedata r:id="rId14" o:title="congo" croptop="1455f" cropbottom="2268f" cropright="1009f"/>
          </v:shape>
        </w:pict>
      </w:r>
    </w:p>
    <w:p w:rsidR="00000000" w:rsidRDefault="00000000">
      <w:pPr>
        <w:pStyle w:val="BodyText"/>
        <w:spacing w:line="120" w:lineRule="exact"/>
        <w:rPr>
          <w:sz w:val="10"/>
        </w:rPr>
      </w:pPr>
    </w:p>
    <w:p w:rsidR="00000000" w:rsidRDefault="00000000">
      <w:pPr>
        <w:pStyle w:val="BodyText"/>
      </w:pPr>
      <w:r>
        <w:tab/>
        <w:t>Le Congo est un pays africain qui est classé parmi les pays pauvres très endettés (PPTE). Il est doté d’un système juridique moderne qui subit cependant l’influence des us et coutumes. La ratification de la convention sur l’élimination de toutes les formes de discrimination à l’égard des femmes (CEDAW/CEDEF) exprime la volonté des pouvoirs publics de promouvoir les droits de la femme qui représente plus de 52% de la population.</w:t>
      </w:r>
    </w:p>
    <w:p w:rsidR="00000000" w:rsidRDefault="00000000">
      <w:pPr>
        <w:rPr>
          <w:b/>
          <w:sz w:val="24"/>
          <w:u w:val="single"/>
        </w:rPr>
      </w:pPr>
    </w:p>
    <w:p w:rsidR="00000000" w:rsidRDefault="00000000">
      <w:pPr>
        <w:jc w:val="both"/>
        <w:rPr>
          <w:sz w:val="24"/>
        </w:rPr>
      </w:pPr>
      <w:r>
        <w:rPr>
          <w:sz w:val="24"/>
        </w:rPr>
        <w:t>L’application de la convention sur l’élimination de toutes les formes de discrimination à l’égard des femmes intervient dans un contexte particulier. De nombreux progrès sont en effet, réalisés au niveau formel. Toutefois, la pratique met en évidence l’ineffectivité de certains textes. Ce constat justifie les mesures vigoureuses de sensibilisation organisées en matière de droits humains.</w:t>
      </w:r>
    </w:p>
    <w:p w:rsidR="00000000" w:rsidRDefault="00000000">
      <w:pPr>
        <w:rPr>
          <w:b/>
          <w:sz w:val="24"/>
          <w:u w:val="single"/>
        </w:rPr>
      </w:pPr>
    </w:p>
    <w:p w:rsidR="00000000" w:rsidRDefault="00000000">
      <w:pPr>
        <w:rPr>
          <w:b/>
          <w:sz w:val="22"/>
          <w:u w:val="single"/>
        </w:rPr>
      </w:pPr>
    </w:p>
    <w:p w:rsidR="00000000" w:rsidRDefault="00000000">
      <w:pPr>
        <w:rPr>
          <w:b/>
          <w:sz w:val="22"/>
          <w:u w:val="single"/>
        </w:rPr>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rPr>
          <w:b/>
          <w:sz w:val="22"/>
          <w:u w:val="single"/>
        </w:rPr>
      </w:pPr>
    </w:p>
    <w:tbl>
      <w:tblPr>
        <w:tblW w:w="0" w:type="auto"/>
        <w:tblLayout w:type="fixed"/>
        <w:tblCellMar>
          <w:left w:w="70" w:type="dxa"/>
          <w:right w:w="70" w:type="dxa"/>
        </w:tblCellMar>
        <w:tblLook w:val="0000" w:firstRow="0" w:lastRow="0" w:firstColumn="0" w:lastColumn="0" w:noHBand="0" w:noVBand="0"/>
      </w:tblPr>
      <w:tblGrid>
        <w:gridCol w:w="3189"/>
        <w:gridCol w:w="6718"/>
      </w:tblGrid>
      <w:tr w:rsidR="00000000">
        <w:tblPrEx>
          <w:tblCellMar>
            <w:top w:w="0" w:type="dxa"/>
            <w:bottom w:w="0" w:type="dxa"/>
          </w:tblCellMar>
        </w:tblPrEx>
        <w:tc>
          <w:tcPr>
            <w:tcW w:w="3189" w:type="dxa"/>
          </w:tcPr>
          <w:p w:rsidR="00000000" w:rsidRDefault="00000000">
            <w:pPr>
              <w:rPr>
                <w:b/>
                <w:sz w:val="28"/>
              </w:rPr>
            </w:pPr>
            <w:r>
              <w:rPr>
                <w:b/>
                <w:sz w:val="28"/>
                <w:u w:val="single"/>
              </w:rPr>
              <w:t>PREMIERE PARTIE</w:t>
            </w:r>
            <w:r>
              <w:rPr>
                <w:b/>
                <w:sz w:val="28"/>
              </w:rPr>
              <w:t> :</w:t>
            </w:r>
          </w:p>
        </w:tc>
        <w:tc>
          <w:tcPr>
            <w:tcW w:w="6718" w:type="dxa"/>
          </w:tcPr>
          <w:p w:rsidR="00000000" w:rsidRDefault="00000000">
            <w:pPr>
              <w:rPr>
                <w:b/>
                <w:sz w:val="28"/>
              </w:rPr>
            </w:pPr>
            <w:r>
              <w:rPr>
                <w:b/>
                <w:sz w:val="28"/>
              </w:rPr>
              <w:t>LE CONTEXTE GENERAL DE LA MISE EN ŒUVRE DE LA CONVENTION SUR L’ELIMINATION DE TOUTES LES FORMES DE DISCRIMINATION A L’EGARD DES FEMMES</w:t>
            </w:r>
          </w:p>
        </w:tc>
      </w:tr>
    </w:tbl>
    <w:p w:rsidR="00000000" w:rsidRDefault="00000000">
      <w:pPr>
        <w:rPr>
          <w:b/>
          <w:sz w:val="28"/>
          <w:u w:val="single"/>
        </w:rPr>
      </w:pPr>
    </w:p>
    <w:p w:rsidR="00000000" w:rsidRDefault="00000000">
      <w:pPr>
        <w:rPr>
          <w:b/>
          <w:sz w:val="24"/>
          <w:u w:val="single"/>
        </w:rPr>
        <w:sectPr w:rsidR="00000000">
          <w:endnotePr>
            <w:numFmt w:val="decimal"/>
          </w:endnotePr>
          <w:pgSz w:w="12240" w:h="15840" w:code="1"/>
          <w:pgMar w:top="1742" w:right="1195" w:bottom="1901" w:left="1195" w:header="576" w:footer="1037" w:gutter="0"/>
          <w:cols w:space="720"/>
          <w:vAlign w:val="center"/>
          <w:noEndnote/>
          <w:docGrid w:linePitch="280"/>
        </w:sectPr>
      </w:pPr>
    </w:p>
    <w:p w:rsidR="00000000" w:rsidRDefault="00000000">
      <w:pPr>
        <w:rPr>
          <w:sz w:val="22"/>
        </w:rPr>
      </w:pPr>
      <w:r>
        <w:rPr>
          <w:b/>
          <w:sz w:val="24"/>
          <w:u w:val="single"/>
        </w:rPr>
        <w:t>CHAPITRE  I</w:t>
      </w:r>
      <w:r>
        <w:rPr>
          <w:b/>
          <w:sz w:val="24"/>
        </w:rPr>
        <w:t xml:space="preserve">  :  </w:t>
      </w:r>
      <w:r>
        <w:rPr>
          <w:b/>
          <w:sz w:val="24"/>
          <w:u w:val="single"/>
        </w:rPr>
        <w:t>PRESENTATION DU CONGO</w:t>
      </w:r>
    </w:p>
    <w:p w:rsidR="00000000" w:rsidRDefault="00000000">
      <w:pPr>
        <w:jc w:val="both"/>
        <w:rPr>
          <w:sz w:val="22"/>
        </w:rPr>
      </w:pPr>
    </w:p>
    <w:p w:rsidR="00000000" w:rsidRDefault="00000000">
      <w:pPr>
        <w:pStyle w:val="BodyText"/>
        <w:rPr>
          <w:sz w:val="22"/>
        </w:rPr>
      </w:pPr>
      <w:r>
        <w:rPr>
          <w:sz w:val="22"/>
        </w:rPr>
        <w:t>La présentation du Congo sera faite à travers sa situation géographique, sociale et économique.</w:t>
      </w:r>
    </w:p>
    <w:p w:rsidR="00000000" w:rsidRDefault="00000000">
      <w:pPr>
        <w:jc w:val="both"/>
        <w:rPr>
          <w:sz w:val="22"/>
        </w:rPr>
      </w:pPr>
    </w:p>
    <w:p w:rsidR="00000000" w:rsidRDefault="00000000">
      <w:pPr>
        <w:jc w:val="both"/>
        <w:rPr>
          <w:b/>
          <w:caps/>
          <w:sz w:val="22"/>
        </w:rPr>
      </w:pPr>
      <w:r>
        <w:rPr>
          <w:b/>
          <w:caps/>
          <w:sz w:val="22"/>
          <w:u w:val="single"/>
        </w:rPr>
        <w:t>section</w:t>
      </w:r>
      <w:r>
        <w:rPr>
          <w:b/>
          <w:caps/>
          <w:sz w:val="22"/>
        </w:rPr>
        <w:t xml:space="preserve"> I -  </w:t>
      </w:r>
      <w:r>
        <w:rPr>
          <w:b/>
          <w:caps/>
          <w:sz w:val="22"/>
          <w:u w:val="single"/>
        </w:rPr>
        <w:t>SITUATION GEOGRAPHIQUE, DEMOGRAPHIQUE ET ECONOMIQUE</w:t>
      </w:r>
    </w:p>
    <w:p w:rsidR="00000000" w:rsidRDefault="00000000">
      <w:pPr>
        <w:jc w:val="both"/>
        <w:rPr>
          <w:sz w:val="22"/>
        </w:rPr>
      </w:pPr>
    </w:p>
    <w:p w:rsidR="00000000" w:rsidRDefault="00000000">
      <w:pPr>
        <w:jc w:val="both"/>
        <w:rPr>
          <w:b/>
          <w:sz w:val="22"/>
        </w:rPr>
      </w:pPr>
      <w:r>
        <w:rPr>
          <w:b/>
          <w:sz w:val="22"/>
        </w:rPr>
        <w:t xml:space="preserve">I- </w:t>
      </w:r>
      <w:r>
        <w:rPr>
          <w:b/>
          <w:sz w:val="22"/>
          <w:u w:val="single"/>
        </w:rPr>
        <w:t>La situation géographique</w:t>
      </w:r>
    </w:p>
    <w:p w:rsidR="00000000" w:rsidRDefault="00000000">
      <w:pPr>
        <w:jc w:val="both"/>
        <w:rPr>
          <w:sz w:val="22"/>
        </w:rPr>
      </w:pPr>
    </w:p>
    <w:p w:rsidR="00000000" w:rsidRDefault="00000000">
      <w:pPr>
        <w:jc w:val="both"/>
        <w:rPr>
          <w:sz w:val="22"/>
        </w:rPr>
      </w:pPr>
      <w:r>
        <w:rPr>
          <w:sz w:val="22"/>
        </w:rPr>
        <w:t>La République du Congo est située en Afrique Centrale. Elle est traversée par l’Equateur dans sa partie septentrionale et est située entre le 3</w:t>
      </w:r>
      <w:r>
        <w:rPr>
          <w:sz w:val="22"/>
          <w:vertAlign w:val="superscript"/>
        </w:rPr>
        <w:t>è</w:t>
      </w:r>
      <w:r>
        <w:rPr>
          <w:sz w:val="22"/>
        </w:rPr>
        <w:t>30 de latitude Nord et le 5</w:t>
      </w:r>
      <w:r>
        <w:rPr>
          <w:sz w:val="22"/>
          <w:vertAlign w:val="superscript"/>
        </w:rPr>
        <w:t>è</w:t>
      </w:r>
      <w:r>
        <w:rPr>
          <w:sz w:val="22"/>
        </w:rPr>
        <w:t xml:space="preserve"> de latitude Sud. Elle s’étend d’Ouest en Est entre le 11° et le 9° de longitude Est.</w:t>
      </w:r>
    </w:p>
    <w:p w:rsidR="00000000" w:rsidRDefault="00000000">
      <w:pPr>
        <w:jc w:val="both"/>
        <w:rPr>
          <w:sz w:val="22"/>
        </w:rPr>
      </w:pPr>
    </w:p>
    <w:p w:rsidR="00000000" w:rsidRDefault="00000000">
      <w:pPr>
        <w:jc w:val="both"/>
        <w:rPr>
          <w:sz w:val="22"/>
        </w:rPr>
      </w:pPr>
      <w:r>
        <w:rPr>
          <w:sz w:val="22"/>
        </w:rPr>
        <w:t>Le Congo a une superficie de 342.000 km</w:t>
      </w:r>
      <w:r>
        <w:rPr>
          <w:sz w:val="22"/>
          <w:vertAlign w:val="superscript"/>
        </w:rPr>
        <w:t>2</w:t>
      </w:r>
      <w:r>
        <w:rPr>
          <w:sz w:val="22"/>
        </w:rPr>
        <w:t>. Il est limité au Nord par la République Centrafricaine et le Cameroun, à l’Ouest par le Gabon, au Sud par l’Angola et au Sud-Est par la République Démocratique du Congo. La façade atlantique est longue de 170 kilomètres. Le relief est varié, les sols sont de type hydromorphe et ferralitique.</w:t>
      </w:r>
    </w:p>
    <w:p w:rsidR="00000000" w:rsidRDefault="00000000">
      <w:pPr>
        <w:jc w:val="both"/>
        <w:rPr>
          <w:sz w:val="22"/>
        </w:rPr>
      </w:pPr>
    </w:p>
    <w:p w:rsidR="00000000" w:rsidRDefault="00000000">
      <w:pPr>
        <w:jc w:val="both"/>
        <w:rPr>
          <w:sz w:val="22"/>
        </w:rPr>
      </w:pPr>
      <w:r>
        <w:rPr>
          <w:sz w:val="22"/>
        </w:rPr>
        <w:t>Le réseau hydrographique est important. Le fleuve Congo est le deuxième fleuve au monde par sa puissance, après l’Amazone, avec un débit dépassant 70.000 m</w:t>
      </w:r>
      <w:r>
        <w:rPr>
          <w:sz w:val="22"/>
          <w:vertAlign w:val="superscript"/>
        </w:rPr>
        <w:t>3</w:t>
      </w:r>
      <w:r>
        <w:rPr>
          <w:sz w:val="22"/>
        </w:rPr>
        <w:t>/seconde. On compte plusieurs autres fleuves et rivières navigables notamment : le Kouilou, le Niari, la Bouenza, l’Alima, la Ngoko, la Sangha, la Likouala-Mossaka et la Likouala aux herbes.</w:t>
      </w:r>
    </w:p>
    <w:p w:rsidR="00000000" w:rsidRDefault="00000000">
      <w:pPr>
        <w:jc w:val="both"/>
        <w:rPr>
          <w:sz w:val="22"/>
        </w:rPr>
      </w:pPr>
    </w:p>
    <w:p w:rsidR="00000000" w:rsidRDefault="00000000">
      <w:pPr>
        <w:jc w:val="both"/>
        <w:rPr>
          <w:sz w:val="22"/>
        </w:rPr>
      </w:pPr>
      <w:r>
        <w:rPr>
          <w:sz w:val="22"/>
        </w:rPr>
        <w:t>La forêt et la savane constituent la principale végétation.</w:t>
      </w:r>
    </w:p>
    <w:p w:rsidR="00000000" w:rsidRDefault="00000000">
      <w:pPr>
        <w:jc w:val="both"/>
        <w:rPr>
          <w:sz w:val="22"/>
        </w:rPr>
      </w:pPr>
    </w:p>
    <w:p w:rsidR="00000000" w:rsidRDefault="00000000">
      <w:pPr>
        <w:jc w:val="both"/>
        <w:rPr>
          <w:sz w:val="22"/>
        </w:rPr>
      </w:pPr>
      <w:r>
        <w:rPr>
          <w:sz w:val="22"/>
        </w:rPr>
        <w:t>Il existe trois grands massifs forestiers ; il s’agit de :</w:t>
      </w:r>
    </w:p>
    <w:p w:rsidR="00000000" w:rsidRDefault="00000000">
      <w:pPr>
        <w:numPr>
          <w:ilvl w:val="0"/>
          <w:numId w:val="10"/>
        </w:numPr>
        <w:jc w:val="both"/>
        <w:rPr>
          <w:sz w:val="22"/>
        </w:rPr>
      </w:pPr>
      <w:r>
        <w:rPr>
          <w:sz w:val="22"/>
        </w:rPr>
        <w:t>la forêt du Nord du pays ;</w:t>
      </w:r>
    </w:p>
    <w:p w:rsidR="00000000" w:rsidRDefault="00000000">
      <w:pPr>
        <w:numPr>
          <w:ilvl w:val="0"/>
          <w:numId w:val="10"/>
        </w:numPr>
        <w:jc w:val="both"/>
        <w:rPr>
          <w:sz w:val="22"/>
        </w:rPr>
      </w:pPr>
      <w:r>
        <w:rPr>
          <w:sz w:val="22"/>
        </w:rPr>
        <w:t>le massif du Chaillu ;</w:t>
      </w:r>
    </w:p>
    <w:p w:rsidR="00000000" w:rsidRDefault="00000000">
      <w:pPr>
        <w:numPr>
          <w:ilvl w:val="0"/>
          <w:numId w:val="10"/>
        </w:numPr>
        <w:jc w:val="both"/>
        <w:rPr>
          <w:sz w:val="22"/>
        </w:rPr>
      </w:pPr>
      <w:r>
        <w:rPr>
          <w:sz w:val="22"/>
        </w:rPr>
        <w:t>la forêt du Mayombe.</w:t>
      </w:r>
    </w:p>
    <w:p w:rsidR="00000000" w:rsidRDefault="00000000">
      <w:pPr>
        <w:jc w:val="both"/>
        <w:rPr>
          <w:sz w:val="22"/>
        </w:rPr>
      </w:pPr>
    </w:p>
    <w:p w:rsidR="00000000" w:rsidRDefault="00000000">
      <w:pPr>
        <w:pStyle w:val="BodyText"/>
        <w:rPr>
          <w:sz w:val="22"/>
        </w:rPr>
      </w:pPr>
      <w:r>
        <w:rPr>
          <w:sz w:val="22"/>
        </w:rPr>
        <w:t>La savane tempère par endroits cette forêt luxuriante dont la richesse exceptionnelle de la faune et de la flore classe le Congo parmi les pays à immense potentiel touristique.</w:t>
      </w:r>
    </w:p>
    <w:p w:rsidR="00000000" w:rsidRDefault="00000000">
      <w:pPr>
        <w:jc w:val="both"/>
        <w:rPr>
          <w:sz w:val="22"/>
        </w:rPr>
      </w:pPr>
    </w:p>
    <w:p w:rsidR="00000000" w:rsidRDefault="00000000">
      <w:pPr>
        <w:jc w:val="both"/>
        <w:rPr>
          <w:sz w:val="22"/>
        </w:rPr>
      </w:pPr>
      <w:r>
        <w:rPr>
          <w:sz w:val="22"/>
        </w:rPr>
        <w:t>Le Congo connaît une pluviométrie de type équatorial avec alternance des saisons de pluies, aux températures maximales et, des saisons sèches, aux variations plus douces.</w:t>
      </w:r>
    </w:p>
    <w:p w:rsidR="00000000" w:rsidRDefault="00000000">
      <w:pPr>
        <w:jc w:val="both"/>
        <w:rPr>
          <w:sz w:val="22"/>
        </w:rPr>
      </w:pPr>
    </w:p>
    <w:p w:rsidR="00000000" w:rsidRDefault="00000000">
      <w:pPr>
        <w:jc w:val="both"/>
        <w:rPr>
          <w:b/>
          <w:sz w:val="22"/>
          <w:u w:val="single"/>
        </w:rPr>
      </w:pPr>
      <w:r>
        <w:rPr>
          <w:b/>
          <w:sz w:val="22"/>
        </w:rPr>
        <w:t xml:space="preserve">II- </w:t>
      </w:r>
      <w:r>
        <w:rPr>
          <w:b/>
          <w:sz w:val="22"/>
          <w:u w:val="single"/>
        </w:rPr>
        <w:t>La situation démographique</w:t>
      </w:r>
    </w:p>
    <w:p w:rsidR="00000000" w:rsidRDefault="00000000">
      <w:pPr>
        <w:jc w:val="both"/>
        <w:rPr>
          <w:sz w:val="22"/>
        </w:rPr>
      </w:pPr>
    </w:p>
    <w:p w:rsidR="00000000" w:rsidRDefault="00000000">
      <w:pPr>
        <w:jc w:val="both"/>
        <w:rPr>
          <w:sz w:val="22"/>
        </w:rPr>
      </w:pPr>
      <w:r>
        <w:rPr>
          <w:sz w:val="22"/>
        </w:rPr>
        <w:t>La population congolaise est essentiellement composée de Bantous auxquels s’ajoutent des Pygmées. Cette population est évaluée à environ 2.800.000 habitants. La densité moyenne est de 7,6 habitants au km</w:t>
      </w:r>
      <w:r>
        <w:rPr>
          <w:sz w:val="22"/>
          <w:vertAlign w:val="superscript"/>
        </w:rPr>
        <w:t>2</w:t>
      </w:r>
      <w:r>
        <w:rPr>
          <w:sz w:val="22"/>
        </w:rPr>
        <w:t>. Cette population est répartie comme suit :</w:t>
      </w:r>
    </w:p>
    <w:p w:rsidR="00000000" w:rsidRDefault="00000000">
      <w:pPr>
        <w:jc w:val="both"/>
        <w:rPr>
          <w:sz w:val="22"/>
        </w:rPr>
      </w:pPr>
      <w:r>
        <w:rPr>
          <w:sz w:val="22"/>
        </w:rPr>
        <w:t>52% de femmes et 48% d’hommes.</w:t>
      </w:r>
    </w:p>
    <w:p w:rsidR="00000000" w:rsidRDefault="00000000">
      <w:pPr>
        <w:jc w:val="both"/>
        <w:rPr>
          <w:sz w:val="22"/>
        </w:rPr>
      </w:pPr>
      <w:r>
        <w:rPr>
          <w:sz w:val="22"/>
        </w:rPr>
        <w:t>Elle vit essentiellement dans deux grandes villes (Brazzaville et Pointe-Noire) et le taux d’urbanisation est de 57%. Cette population est jeune : 75% des habitants ont moins de 45 ans et 45% représente la population de moins de 15 ans. L’espérance de vie moyenne est de 53 ans. Cette moyenne tend, néanmoins, à baisser avec la prévalence du VIH/SIDA et de certaines maladies endémiques (paludisme, typhoïde etc…). Le taux brut de natalité est de 44 pour 1000 en 1998, le taux brut de mortalité générale est de 16 pour 1000 en 1998</w:t>
      </w:r>
      <w:r>
        <w:rPr>
          <w:rStyle w:val="FootnoteReference"/>
          <w:sz w:val="22"/>
        </w:rPr>
        <w:footnoteReference w:id="1"/>
      </w:r>
      <w:r>
        <w:rPr>
          <w:sz w:val="22"/>
        </w:rPr>
        <w:t>. Le taux d’accroissement annuel moyen est de 3,4%. L’indice synthétique de fécondité est de 6,3 enfants. Le taux de mortalité maternelle est de 900 décès pour 100.000 naissances vivantes.</w:t>
      </w:r>
    </w:p>
    <w:p w:rsidR="00000000" w:rsidRDefault="00000000">
      <w:pPr>
        <w:jc w:val="both"/>
        <w:rPr>
          <w:sz w:val="22"/>
        </w:rPr>
      </w:pPr>
    </w:p>
    <w:p w:rsidR="00000000" w:rsidRDefault="00000000">
      <w:pPr>
        <w:jc w:val="both"/>
        <w:rPr>
          <w:sz w:val="22"/>
        </w:rPr>
      </w:pPr>
      <w:r>
        <w:rPr>
          <w:sz w:val="22"/>
        </w:rPr>
        <w:t>De nombreux réfugiés de diverses nationalités vivent au Congo (Rwandais, Burundais, Congolais démocratiques) de même que les ressortissants de plusieurs communautés étrangères provenant essentiellement de l’Afrique de l’Ouest et du Liban.</w:t>
      </w:r>
    </w:p>
    <w:p w:rsidR="00000000" w:rsidRDefault="00000000">
      <w:pPr>
        <w:jc w:val="both"/>
        <w:rPr>
          <w:sz w:val="22"/>
        </w:rPr>
      </w:pPr>
    </w:p>
    <w:p w:rsidR="00000000" w:rsidRDefault="00000000">
      <w:pPr>
        <w:jc w:val="both"/>
        <w:rPr>
          <w:b/>
          <w:sz w:val="22"/>
          <w:u w:val="single"/>
        </w:rPr>
      </w:pPr>
      <w:r>
        <w:rPr>
          <w:b/>
          <w:sz w:val="22"/>
        </w:rPr>
        <w:t xml:space="preserve">III- </w:t>
      </w:r>
      <w:r>
        <w:rPr>
          <w:b/>
          <w:sz w:val="22"/>
          <w:u w:val="single"/>
        </w:rPr>
        <w:t>L’Economie</w:t>
      </w:r>
    </w:p>
    <w:p w:rsidR="00000000" w:rsidRDefault="00000000">
      <w:pPr>
        <w:jc w:val="both"/>
        <w:rPr>
          <w:sz w:val="22"/>
        </w:rPr>
      </w:pPr>
    </w:p>
    <w:p w:rsidR="00000000" w:rsidRDefault="00000000">
      <w:pPr>
        <w:jc w:val="both"/>
        <w:rPr>
          <w:sz w:val="22"/>
        </w:rPr>
      </w:pPr>
      <w:r>
        <w:rPr>
          <w:sz w:val="22"/>
        </w:rPr>
        <w:t>L’économie congolaise a connu une croissance rapide du PIB et des recettes publiques à partir de 1973 en raison de la mise en production de nouveaux champs pétroliers, des deux chocs pétroliers de 1974 et de 1979 et de la hausse du cours du dollar américain par rapport au Franc CFA de 1980 à 1984. Cette expansion a permis au Gouvernement d’engager un plan quinquennal de développement (1982-1986) financé pour une large part par l’endettement extérieur. A partir de 1985, la baisse concomitante  du prix du baril de pétrole et du cours du dollar a considérablement diminué les perspectives de recettes de l’État. Le Congo a dès lors entrepris une série de programmes d’ajustement structurel, avec l’appui de la communauté financière internationale, en vue de résorber les déséquilibres constatés mais aucun de ces programmes n’est arrivé à son terme. La dégradation financière s’est accélérée, fragilisant davantage l’économie.</w:t>
      </w:r>
    </w:p>
    <w:p w:rsidR="00000000" w:rsidRDefault="00000000">
      <w:pPr>
        <w:jc w:val="both"/>
        <w:rPr>
          <w:sz w:val="22"/>
        </w:rPr>
      </w:pPr>
    </w:p>
    <w:p w:rsidR="00000000" w:rsidRDefault="00000000">
      <w:pPr>
        <w:jc w:val="both"/>
        <w:rPr>
          <w:sz w:val="22"/>
        </w:rPr>
      </w:pPr>
      <w:r>
        <w:rPr>
          <w:sz w:val="22"/>
        </w:rPr>
        <w:t>En effet, le Congo connaît depuis quelques années une chute continue de l’activité économique. Le taux de croissance annuel moyen du PIB en termes réels qui était de 5,8% de 1970 à 1980 est passé à 2,4% de 1980 à 1995. Cette baisse du PIB s’est renforcée ces dernières années avec des taux négatifs en termes réels : -1,2% en 1994 et – 4,9% en 1995 ; en valeur nominale, par contre, la croissance a été de 17,3% en 1994 à cause de la forte variation du Franc CFA. La croissance annuelle du PIB par habitant a été de –0,8% de 1980 à 1992. avec un taux de croissance démographique de 3%. La situation s’est dégradée davantage en 1993 et 1994 ; la production intérieure par habitant a diminué respectivement de 4,2% et de 7,9%. L’agriculture ne représente qu’une portion infime du produit intérieur brut. Elle ne se pratique que sur 2% des terres arables (2.000.000 hectares). Elle est essentiellement biologique et les femmes représentent près de 64% des actifs agricoles. Elles utilisent des moyens archaïques qui accentuent la pénibilité du travail. Les femmes contribuent à près de 100% dans la transformation artisanale des produits agricoles. Les performances actuelles du secteur agricole justifient le recours à des importations très coûteuses de produits alimentaires (en moyenne 100.milliards FCFA/an).</w:t>
      </w:r>
    </w:p>
    <w:p w:rsidR="00000000" w:rsidRDefault="00000000">
      <w:pPr>
        <w:jc w:val="both"/>
        <w:rPr>
          <w:sz w:val="22"/>
        </w:rPr>
      </w:pPr>
    </w:p>
    <w:p w:rsidR="00000000" w:rsidRDefault="00000000">
      <w:pPr>
        <w:jc w:val="both"/>
        <w:rPr>
          <w:sz w:val="22"/>
        </w:rPr>
      </w:pPr>
      <w:r>
        <w:rPr>
          <w:sz w:val="22"/>
        </w:rPr>
        <w:t>La forêt fait l’objet d’une nouvelle politique qui vise, entre autres, une gestion plus saine et durable de cette richesse, la transformation de la quasi totalité du bois au Congo et, l’exportation des produits à forte teneur de valeur ajoutée. Cette politique suppose notamment l’aménagement du cadre institutionnel (élaboration d’un nouveau code forestier, réorganisation du corps des eaux et forêts). Les aires protégées couvrent une superficie totale de 2.315.000 hectares, soit 6,95% du territoire national. Elles comprennent deux parcs nationaux, sept réserves et trois domaines de chasse. Le secteur industriel concerne essentiellement les industries agro-alimentaires (brasseries, scieries, boulangeries etc.) et pétrolières.</w:t>
      </w:r>
    </w:p>
    <w:p w:rsidR="00000000" w:rsidRDefault="00000000">
      <w:pPr>
        <w:jc w:val="both"/>
        <w:rPr>
          <w:sz w:val="22"/>
        </w:rPr>
      </w:pPr>
    </w:p>
    <w:p w:rsidR="00000000" w:rsidRDefault="00000000">
      <w:pPr>
        <w:jc w:val="both"/>
        <w:rPr>
          <w:sz w:val="22"/>
        </w:rPr>
      </w:pPr>
      <w:r>
        <w:rPr>
          <w:sz w:val="22"/>
        </w:rPr>
        <w:t>La répartition du PIB par secteur, en 1998, est la suivante :</w:t>
      </w:r>
    </w:p>
    <w:p w:rsidR="00000000" w:rsidRDefault="00000000">
      <w:pPr>
        <w:numPr>
          <w:ilvl w:val="0"/>
          <w:numId w:val="12"/>
        </w:numPr>
        <w:jc w:val="both"/>
        <w:rPr>
          <w:sz w:val="22"/>
        </w:rPr>
      </w:pPr>
      <w:r>
        <w:rPr>
          <w:sz w:val="22"/>
        </w:rPr>
        <w:t>secteur primaire, 10,7 %</w:t>
      </w:r>
    </w:p>
    <w:p w:rsidR="00000000" w:rsidRDefault="00000000">
      <w:pPr>
        <w:numPr>
          <w:ilvl w:val="0"/>
          <w:numId w:val="12"/>
        </w:numPr>
        <w:jc w:val="both"/>
        <w:rPr>
          <w:sz w:val="22"/>
        </w:rPr>
      </w:pPr>
      <w:r>
        <w:rPr>
          <w:sz w:val="22"/>
        </w:rPr>
        <w:t>secteur secondaire, 52,7% (dont pétrole 38,1%)</w:t>
      </w:r>
    </w:p>
    <w:p w:rsidR="00000000" w:rsidRDefault="00000000">
      <w:pPr>
        <w:numPr>
          <w:ilvl w:val="0"/>
          <w:numId w:val="12"/>
        </w:numPr>
        <w:jc w:val="both"/>
        <w:rPr>
          <w:sz w:val="22"/>
        </w:rPr>
      </w:pPr>
      <w:r>
        <w:rPr>
          <w:sz w:val="22"/>
        </w:rPr>
        <w:t>secteur tertiaire, 29,6%.</w:t>
      </w:r>
    </w:p>
    <w:p w:rsidR="00000000" w:rsidRDefault="00000000">
      <w:pPr>
        <w:jc w:val="both"/>
        <w:rPr>
          <w:sz w:val="22"/>
        </w:rPr>
      </w:pPr>
    </w:p>
    <w:p w:rsidR="00000000" w:rsidRDefault="00000000">
      <w:pPr>
        <w:jc w:val="both"/>
        <w:rPr>
          <w:sz w:val="22"/>
        </w:rPr>
      </w:pPr>
      <w:r>
        <w:rPr>
          <w:sz w:val="22"/>
        </w:rPr>
        <w:t>Le secteur informel occupe, aujourd’hui, une part prépondérante de la population féminine.</w:t>
      </w:r>
    </w:p>
    <w:p w:rsidR="00000000" w:rsidRDefault="00000000">
      <w:pPr>
        <w:jc w:val="both"/>
        <w:rPr>
          <w:sz w:val="22"/>
        </w:rPr>
      </w:pPr>
    </w:p>
    <w:p w:rsidR="00000000" w:rsidRDefault="00000000">
      <w:pPr>
        <w:jc w:val="both"/>
        <w:rPr>
          <w:sz w:val="22"/>
        </w:rPr>
      </w:pPr>
      <w:r>
        <w:rPr>
          <w:sz w:val="22"/>
        </w:rPr>
        <w:t>L’économie congolaise a été fragilisée ces dernières années par une série de facteurs. Il s’agit : de la dévaluation du franc CFA, de la baisse conjuguée du prix du baril de pétrole et du dollar et particulièrement, de l’impact négatif des différents conflits armés.</w:t>
      </w:r>
    </w:p>
    <w:p w:rsidR="00000000" w:rsidRDefault="00000000">
      <w:pPr>
        <w:jc w:val="both"/>
        <w:rPr>
          <w:sz w:val="22"/>
        </w:rPr>
      </w:pPr>
    </w:p>
    <w:p w:rsidR="00000000" w:rsidRDefault="00000000">
      <w:pPr>
        <w:jc w:val="both"/>
        <w:rPr>
          <w:sz w:val="22"/>
        </w:rPr>
      </w:pPr>
      <w:r>
        <w:rPr>
          <w:sz w:val="22"/>
        </w:rPr>
        <w:t>Les programmes d’ajustement structurel adoptés par le Gouvernement ont contribué à la diminution des dépenses sociales, ce qui a rendu encore plus vulnérables les femmes. Le Congo est classé parmi les pays pauvres très endettés. Le revenu par habitant est d’environ 600$ (données de 1997). Le produit intérieur brut est de 56,9 milliards de FCFA en 1998. Le taux d’inflation est d’environ 5%. Le taux de chômage est de 11,13</w:t>
      </w:r>
      <w:r>
        <w:rPr>
          <w:rStyle w:val="FootnoteReference"/>
          <w:sz w:val="22"/>
        </w:rPr>
        <w:footnoteReference w:id="2"/>
      </w:r>
      <w:r>
        <w:rPr>
          <w:sz w:val="22"/>
        </w:rPr>
        <w:t xml:space="preserve"> alors que la dette extérieure s’élève à 3 000 milliards de francs C.F.A.</w:t>
      </w:r>
    </w:p>
    <w:p w:rsidR="00000000" w:rsidRDefault="00000000">
      <w:pPr>
        <w:jc w:val="both"/>
        <w:rPr>
          <w:sz w:val="22"/>
        </w:rPr>
      </w:pPr>
    </w:p>
    <w:p w:rsidR="00000000" w:rsidRDefault="00000000">
      <w:pPr>
        <w:jc w:val="both"/>
        <w:rPr>
          <w:sz w:val="22"/>
        </w:rPr>
      </w:pPr>
      <w:r>
        <w:rPr>
          <w:b/>
          <w:sz w:val="22"/>
          <w:u w:val="single"/>
        </w:rPr>
        <w:t>SECTION</w:t>
      </w:r>
      <w:r>
        <w:rPr>
          <w:b/>
          <w:sz w:val="22"/>
        </w:rPr>
        <w:t xml:space="preserve"> II -  </w:t>
      </w:r>
      <w:r>
        <w:rPr>
          <w:b/>
          <w:sz w:val="22"/>
          <w:u w:val="single"/>
        </w:rPr>
        <w:t>LE SYSTEME JURIDIQUE, POLITIQUE ET ADMINISTRATIF</w:t>
      </w:r>
      <w:r>
        <w:rPr>
          <w:sz w:val="22"/>
        </w:rPr>
        <w:t xml:space="preserve"> </w:t>
      </w:r>
    </w:p>
    <w:p w:rsidR="00000000" w:rsidRDefault="00000000">
      <w:pPr>
        <w:jc w:val="both"/>
        <w:rPr>
          <w:sz w:val="22"/>
        </w:rPr>
      </w:pPr>
    </w:p>
    <w:p w:rsidR="00000000" w:rsidRDefault="00000000">
      <w:pPr>
        <w:jc w:val="both"/>
        <w:rPr>
          <w:sz w:val="22"/>
        </w:rPr>
      </w:pPr>
      <w:r>
        <w:rPr>
          <w:sz w:val="22"/>
        </w:rPr>
        <w:t>L’organisation politique, administrative et juridique du Congo est caractéristique des pays de colonisation française.</w:t>
      </w:r>
    </w:p>
    <w:p w:rsidR="00000000" w:rsidRDefault="00000000">
      <w:pPr>
        <w:jc w:val="both"/>
        <w:rPr>
          <w:sz w:val="22"/>
        </w:rPr>
      </w:pPr>
    </w:p>
    <w:p w:rsidR="00000000" w:rsidRDefault="00000000">
      <w:pPr>
        <w:jc w:val="both"/>
        <w:rPr>
          <w:b/>
          <w:sz w:val="22"/>
          <w:u w:val="single"/>
        </w:rPr>
      </w:pPr>
      <w:r>
        <w:rPr>
          <w:b/>
          <w:sz w:val="22"/>
        </w:rPr>
        <w:t xml:space="preserve">I- </w:t>
      </w:r>
      <w:r>
        <w:rPr>
          <w:b/>
          <w:sz w:val="22"/>
          <w:u w:val="single"/>
        </w:rPr>
        <w:t>Le système juridique</w:t>
      </w:r>
    </w:p>
    <w:p w:rsidR="00000000" w:rsidRDefault="00000000">
      <w:pPr>
        <w:jc w:val="both"/>
        <w:rPr>
          <w:sz w:val="22"/>
        </w:rPr>
      </w:pPr>
    </w:p>
    <w:p w:rsidR="00000000" w:rsidRDefault="00000000">
      <w:pPr>
        <w:jc w:val="both"/>
        <w:rPr>
          <w:sz w:val="22"/>
        </w:rPr>
      </w:pPr>
      <w:r>
        <w:rPr>
          <w:sz w:val="22"/>
        </w:rPr>
        <w:t>La colonisation française qui intervient au XIX</w:t>
      </w:r>
      <w:r>
        <w:rPr>
          <w:sz w:val="22"/>
          <w:vertAlign w:val="superscript"/>
        </w:rPr>
        <w:t>ème</w:t>
      </w:r>
      <w:r>
        <w:rPr>
          <w:sz w:val="22"/>
        </w:rPr>
        <w:t xml:space="preserve">  siècle, va doter la République du Congo, qui accède à l’indépendance le 15 août 1960, d’un dualisme juridique.</w:t>
      </w:r>
    </w:p>
    <w:p w:rsidR="00000000" w:rsidRDefault="00000000">
      <w:pPr>
        <w:jc w:val="both"/>
        <w:rPr>
          <w:sz w:val="22"/>
        </w:rPr>
      </w:pPr>
      <w:r>
        <w:rPr>
          <w:sz w:val="22"/>
        </w:rPr>
        <w:t>Au droit coutumier qui existait jusque là, s’ajoute un droit moderne d’inspiration française. Ce dualisme subsiste et, il constitue encore de nos jours la règle.</w:t>
      </w:r>
    </w:p>
    <w:p w:rsidR="00000000" w:rsidRDefault="00000000">
      <w:pPr>
        <w:jc w:val="both"/>
        <w:rPr>
          <w:sz w:val="22"/>
        </w:rPr>
      </w:pPr>
      <w:r>
        <w:rPr>
          <w:sz w:val="22"/>
        </w:rPr>
        <w:t>L’ordre juridique congolais connaît l’application de règles de caractère international qui résultent de l’appartenance du Congo à des institutions d’intégration. Il s’agit en particulier du droit de la Communauté Economique et Monétaire de l’Afrique Centrale (CEMAC) et de l’organisation pour l’harmonisation du droit des affaires (OHADA). Ces dispositions présentent pour certaines un caractère supranational, d’autres visent l’harmonisation de la législation (dans le domaine du droit des affaires).</w:t>
      </w:r>
    </w:p>
    <w:p w:rsidR="00000000" w:rsidRDefault="00000000">
      <w:pPr>
        <w:jc w:val="both"/>
        <w:rPr>
          <w:sz w:val="22"/>
        </w:rPr>
      </w:pPr>
    </w:p>
    <w:p w:rsidR="00000000" w:rsidRDefault="00000000">
      <w:pPr>
        <w:jc w:val="both"/>
        <w:rPr>
          <w:b/>
          <w:sz w:val="22"/>
          <w:u w:val="single"/>
        </w:rPr>
      </w:pPr>
      <w:r>
        <w:rPr>
          <w:b/>
          <w:sz w:val="22"/>
        </w:rPr>
        <w:t xml:space="preserve">II- </w:t>
      </w:r>
      <w:r>
        <w:rPr>
          <w:b/>
          <w:sz w:val="22"/>
          <w:u w:val="single"/>
        </w:rPr>
        <w:t>le système politique</w:t>
      </w:r>
    </w:p>
    <w:p w:rsidR="00000000" w:rsidRDefault="00000000">
      <w:pPr>
        <w:jc w:val="both"/>
        <w:rPr>
          <w:sz w:val="22"/>
        </w:rPr>
      </w:pPr>
    </w:p>
    <w:p w:rsidR="00000000" w:rsidRDefault="00000000">
      <w:pPr>
        <w:jc w:val="both"/>
        <w:rPr>
          <w:sz w:val="22"/>
        </w:rPr>
      </w:pPr>
      <w:r>
        <w:rPr>
          <w:sz w:val="22"/>
        </w:rPr>
        <w:t>En accédant à la souveraineté, le Congo a pris en charge son destin. Plusieurs expériences ont été entreprises à savoir le monopartisme et le multipartisme. Au lendemain de la guerre du 05 juin 1997, un acte fondamental a été élaboré le 24 octobre 1997. Il organise les pouvoirs publics et l’État pendant la période de transition. L’exécutif se compose du Président de la République, Chef de l’État, Chef du Gouvernement et, du Gouvernement. Le pouvoir législatif est monocaméral  avec le Conseil National de Transition (CNT) et le pouvoir judiciaire est confié aux juridictions nationales. Le multipartisme constitue la règle et la liberté de la presse est garantie. Avec l’élaboration d’un avant projet de constitution, le Gouvernement s’attèle à l’organisation du processus électoral qui permettra au Congo d’avoir des organes démocratiquement élus.</w:t>
      </w:r>
    </w:p>
    <w:p w:rsidR="00000000" w:rsidRDefault="00000000">
      <w:pPr>
        <w:jc w:val="both"/>
        <w:rPr>
          <w:sz w:val="22"/>
        </w:rPr>
      </w:pPr>
    </w:p>
    <w:p w:rsidR="00000000" w:rsidRDefault="00000000">
      <w:pPr>
        <w:jc w:val="both"/>
        <w:rPr>
          <w:b/>
          <w:sz w:val="22"/>
          <w:u w:val="single"/>
        </w:rPr>
      </w:pPr>
      <w:r>
        <w:rPr>
          <w:b/>
          <w:sz w:val="22"/>
        </w:rPr>
        <w:t xml:space="preserve">III- </w:t>
      </w:r>
      <w:r>
        <w:rPr>
          <w:b/>
          <w:sz w:val="22"/>
          <w:u w:val="single"/>
        </w:rPr>
        <w:t>Le système administratif</w:t>
      </w:r>
    </w:p>
    <w:p w:rsidR="00000000" w:rsidRDefault="00000000">
      <w:pPr>
        <w:jc w:val="both"/>
        <w:rPr>
          <w:sz w:val="22"/>
        </w:rPr>
      </w:pPr>
    </w:p>
    <w:p w:rsidR="00000000" w:rsidRDefault="00000000">
      <w:pPr>
        <w:jc w:val="both"/>
        <w:rPr>
          <w:sz w:val="22"/>
        </w:rPr>
      </w:pPr>
      <w:r>
        <w:rPr>
          <w:sz w:val="22"/>
        </w:rPr>
        <w:t>Le système administratif se caractérise par la centralisation, la déconcentration et par la décentralisation. L’administration centrale est constituée par les différents départements ministériels qui sont créés et organisés par décret présidentiel. Aux termes du décret n° 99-1 du 12 janvier 1999, portant nomination des membres du Gouvernement, le Gouvernement actuel se compose de 25 membres. Les départements ministériels ont des services extérieurs établis dans les onze régions et dont l’activité est coordonnée par le préfet, représentant de l’État et du Gouvernement dans la région. Les régions se subdivisent en communes, en arrondissements et en districts.</w:t>
      </w:r>
    </w:p>
    <w:p w:rsidR="00000000" w:rsidRDefault="00000000">
      <w:pPr>
        <w:jc w:val="both"/>
        <w:rPr>
          <w:sz w:val="22"/>
        </w:rPr>
      </w:pPr>
    </w:p>
    <w:p w:rsidR="00000000" w:rsidRDefault="00000000">
      <w:pPr>
        <w:jc w:val="both"/>
        <w:rPr>
          <w:sz w:val="22"/>
        </w:rPr>
      </w:pPr>
      <w:r>
        <w:rPr>
          <w:sz w:val="22"/>
        </w:rPr>
        <w:t>La décentralisation est une option prise par les pouvoirs publics. Cependant, ce processus est timide. Il suppose le transfert de compétences, l’affectation de moyens appropriés, des organes élus, et la création d’une fonction publique territoriale. Il existe aussi plusieurs établissements publics de caractère administratif, industriel, commercial et culturel qui attestent de l’existence d’une décentralisation technique.</w:t>
      </w:r>
    </w:p>
    <w:p w:rsidR="00000000" w:rsidRDefault="00000000">
      <w:pPr>
        <w:jc w:val="both"/>
        <w:rPr>
          <w:sz w:val="22"/>
        </w:rPr>
      </w:pPr>
    </w:p>
    <w:p w:rsidR="00000000" w:rsidRDefault="00000000">
      <w:pPr>
        <w:ind w:left="1680" w:hanging="1680"/>
        <w:jc w:val="both"/>
        <w:rPr>
          <w:b/>
          <w:sz w:val="22"/>
          <w:u w:val="single"/>
        </w:rPr>
      </w:pPr>
      <w:r>
        <w:rPr>
          <w:b/>
          <w:sz w:val="22"/>
          <w:u w:val="single"/>
        </w:rPr>
        <w:t>SECTION</w:t>
      </w:r>
      <w:r>
        <w:rPr>
          <w:b/>
          <w:sz w:val="22"/>
        </w:rPr>
        <w:t xml:space="preserve"> III -</w:t>
      </w:r>
      <w:r>
        <w:rPr>
          <w:b/>
          <w:sz w:val="22"/>
        </w:rPr>
        <w:tab/>
      </w:r>
      <w:r>
        <w:rPr>
          <w:b/>
          <w:sz w:val="22"/>
          <w:u w:val="single"/>
        </w:rPr>
        <w:t>LES MECANISMES JURIDICTIONNELS DE PROTECTION DES DROITS HUMAINS</w:t>
      </w:r>
    </w:p>
    <w:p w:rsidR="00000000" w:rsidRDefault="00000000">
      <w:pPr>
        <w:jc w:val="both"/>
        <w:rPr>
          <w:b/>
          <w:sz w:val="22"/>
          <w:u w:val="single"/>
        </w:rPr>
      </w:pPr>
    </w:p>
    <w:p w:rsidR="00000000" w:rsidRDefault="00000000">
      <w:pPr>
        <w:jc w:val="both"/>
        <w:rPr>
          <w:sz w:val="22"/>
        </w:rPr>
      </w:pPr>
      <w:r>
        <w:rPr>
          <w:sz w:val="22"/>
        </w:rPr>
        <w:t>La préoccupation de l’État de veiller à la protection des droits humains s’est traduite par la ratification et l’adhésion à plusieurs conventions protectrices des droits humains. Il s’agit notamment de :</w:t>
      </w:r>
    </w:p>
    <w:p w:rsidR="00000000" w:rsidRDefault="00000000">
      <w:pPr>
        <w:numPr>
          <w:ilvl w:val="0"/>
          <w:numId w:val="14"/>
        </w:numPr>
        <w:jc w:val="both"/>
        <w:rPr>
          <w:sz w:val="22"/>
        </w:rPr>
      </w:pPr>
      <w:r>
        <w:rPr>
          <w:sz w:val="22"/>
        </w:rPr>
        <w:t>la convention sur l’élimination de toutes les formes de discrimination à l’égard de la femme ;</w:t>
      </w:r>
    </w:p>
    <w:p w:rsidR="00000000" w:rsidRDefault="00000000">
      <w:pPr>
        <w:numPr>
          <w:ilvl w:val="0"/>
          <w:numId w:val="14"/>
        </w:numPr>
        <w:jc w:val="both"/>
        <w:rPr>
          <w:sz w:val="22"/>
        </w:rPr>
      </w:pPr>
      <w:r>
        <w:rPr>
          <w:sz w:val="22"/>
        </w:rPr>
        <w:t>le pacte sur les droits civils et politiques ;</w:t>
      </w:r>
    </w:p>
    <w:p w:rsidR="00000000" w:rsidRDefault="00000000">
      <w:pPr>
        <w:numPr>
          <w:ilvl w:val="0"/>
          <w:numId w:val="14"/>
        </w:numPr>
        <w:jc w:val="both"/>
        <w:rPr>
          <w:sz w:val="22"/>
        </w:rPr>
      </w:pPr>
      <w:r>
        <w:rPr>
          <w:sz w:val="22"/>
        </w:rPr>
        <w:t>le pacte sur les droits économiques, sociaux et culturels ;</w:t>
      </w:r>
    </w:p>
    <w:p w:rsidR="00000000" w:rsidRDefault="00000000">
      <w:pPr>
        <w:numPr>
          <w:ilvl w:val="0"/>
          <w:numId w:val="14"/>
        </w:numPr>
        <w:jc w:val="both"/>
        <w:rPr>
          <w:sz w:val="22"/>
        </w:rPr>
      </w:pPr>
      <w:r>
        <w:rPr>
          <w:sz w:val="22"/>
        </w:rPr>
        <w:t>la charte africaine des droits de l’homme et des peuples ;</w:t>
      </w:r>
    </w:p>
    <w:p w:rsidR="00000000" w:rsidRDefault="00000000">
      <w:pPr>
        <w:numPr>
          <w:ilvl w:val="0"/>
          <w:numId w:val="14"/>
        </w:numPr>
        <w:jc w:val="both"/>
        <w:rPr>
          <w:sz w:val="22"/>
        </w:rPr>
      </w:pPr>
      <w:r>
        <w:rPr>
          <w:sz w:val="22"/>
        </w:rPr>
        <w:t>la convention sur la torture.</w:t>
      </w:r>
    </w:p>
    <w:p w:rsidR="00000000" w:rsidRDefault="00000000">
      <w:pPr>
        <w:jc w:val="both"/>
        <w:rPr>
          <w:sz w:val="22"/>
        </w:rPr>
      </w:pPr>
      <w:r>
        <w:rPr>
          <w:sz w:val="22"/>
        </w:rPr>
        <w:t>L’acte fondamental du 24 octobre 1997 rappelle l’attachement du peuple congolais aux principes de la démocratie et des droits de l’homme et affirme le caractère sacré de la personne humaine. Dans son titre II, il consacre les droits fondamentaux de la personne humaine qui est sacrée. Il s’agit entre autres : de la sûreté, de l’ inviolabilité du domicile, de l’égalité, de la liberté de réunion et d’association, du droit au travail et de la liberté syndicale. Toute personne lésée a la possibilité d’ester en justice. Les recours peuvent être intentés selon les hypothèses devant le juge civil, pénal ou administratif. Il existe trois niveaux de juridictions. Le premier est constitué par les juridictions de première instance (tribunal de grande instance ou tribunal d’instance). Le second niveau est celui des juridictions d’appel. Enfin, la cour suprême est l’institution qui est compétente en matière d’interprétation du droit. Elle n’intervient pas sur les faits.</w:t>
      </w:r>
    </w:p>
    <w:p w:rsidR="00000000" w:rsidRDefault="00000000">
      <w:pPr>
        <w:ind w:left="1701" w:hanging="1701"/>
        <w:jc w:val="both"/>
        <w:rPr>
          <w:b/>
          <w:sz w:val="22"/>
          <w:u w:val="single"/>
        </w:rPr>
      </w:pPr>
    </w:p>
    <w:p w:rsidR="00000000" w:rsidRDefault="00000000">
      <w:pPr>
        <w:ind w:left="1701" w:hanging="1701"/>
        <w:jc w:val="both"/>
        <w:rPr>
          <w:b/>
          <w:sz w:val="22"/>
          <w:u w:val="single"/>
        </w:rPr>
      </w:pPr>
    </w:p>
    <w:tbl>
      <w:tblPr>
        <w:tblW w:w="0" w:type="auto"/>
        <w:tblInd w:w="88" w:type="dxa"/>
        <w:tblLayout w:type="fixed"/>
        <w:tblCellMar>
          <w:left w:w="70" w:type="dxa"/>
          <w:right w:w="70" w:type="dxa"/>
        </w:tblCellMar>
        <w:tblLook w:val="0000" w:firstRow="0" w:lastRow="0" w:firstColumn="0" w:lastColumn="0" w:noHBand="0" w:noVBand="0"/>
      </w:tblPr>
      <w:tblGrid>
        <w:gridCol w:w="3027"/>
        <w:gridCol w:w="6792"/>
      </w:tblGrid>
      <w:tr w:rsidR="00000000">
        <w:tblPrEx>
          <w:tblCellMar>
            <w:top w:w="0" w:type="dxa"/>
            <w:bottom w:w="0" w:type="dxa"/>
          </w:tblCellMar>
        </w:tblPrEx>
        <w:tc>
          <w:tcPr>
            <w:tcW w:w="3027" w:type="dxa"/>
          </w:tcPr>
          <w:p w:rsidR="00000000" w:rsidRDefault="00000000">
            <w:pPr>
              <w:ind w:left="962"/>
              <w:jc w:val="both"/>
              <w:rPr>
                <w:b/>
                <w:sz w:val="24"/>
                <w:u w:val="single"/>
              </w:rPr>
            </w:pPr>
            <w:r>
              <w:rPr>
                <w:b/>
                <w:sz w:val="24"/>
                <w:u w:val="single"/>
              </w:rPr>
              <w:t>CHAPITRE II</w:t>
            </w:r>
            <w:r>
              <w:rPr>
                <w:b/>
                <w:sz w:val="24"/>
              </w:rPr>
              <w:t> :</w:t>
            </w:r>
          </w:p>
        </w:tc>
        <w:tc>
          <w:tcPr>
            <w:tcW w:w="6792" w:type="dxa"/>
          </w:tcPr>
          <w:p w:rsidR="00000000" w:rsidRDefault="00000000">
            <w:pPr>
              <w:rPr>
                <w:b/>
                <w:sz w:val="24"/>
                <w:u w:val="single"/>
              </w:rPr>
            </w:pPr>
            <w:r>
              <w:rPr>
                <w:b/>
                <w:sz w:val="24"/>
              </w:rPr>
              <w:t>LES MESURES JURIDIQUES, POLITIQUES ET ADMINISTRATIVES ADOPTEES DANS LE CADRE DE LA MISE EN ŒUVRE DE LA CONVENTION ET LEUR CONFORMITE AVEC LA LESGISLATION NATIONALE</w:t>
            </w:r>
          </w:p>
        </w:tc>
      </w:tr>
    </w:tbl>
    <w:p w:rsidR="00000000" w:rsidRDefault="00000000">
      <w:pPr>
        <w:ind w:left="1701" w:hanging="1701"/>
        <w:jc w:val="both"/>
        <w:rPr>
          <w:b/>
          <w:sz w:val="22"/>
          <w:u w:val="single"/>
        </w:rPr>
      </w:pPr>
    </w:p>
    <w:p w:rsidR="00000000" w:rsidRDefault="00000000">
      <w:pPr>
        <w:jc w:val="both"/>
        <w:rPr>
          <w:sz w:val="22"/>
        </w:rPr>
      </w:pPr>
    </w:p>
    <w:p w:rsidR="00000000" w:rsidRDefault="00000000">
      <w:pPr>
        <w:jc w:val="both"/>
        <w:rPr>
          <w:sz w:val="22"/>
        </w:rPr>
      </w:pPr>
      <w:r>
        <w:rPr>
          <w:sz w:val="22"/>
        </w:rPr>
        <w:t>Le Congo a signé la Convention le 29 juillet 1980 et mis en œuvre les procédures internes de ratification. Il fait partie de la Convention depuis le 26 juillet 1982.</w:t>
      </w:r>
    </w:p>
    <w:p w:rsidR="00000000" w:rsidRDefault="00000000">
      <w:pPr>
        <w:ind w:left="-1276"/>
        <w:jc w:val="both"/>
        <w:rPr>
          <w:sz w:val="22"/>
        </w:rPr>
      </w:pPr>
    </w:p>
    <w:p w:rsidR="00000000" w:rsidRDefault="00000000">
      <w:pPr>
        <w:jc w:val="both"/>
        <w:rPr>
          <w:b/>
          <w:sz w:val="22"/>
          <w:u w:val="single"/>
        </w:rPr>
      </w:pPr>
      <w:r>
        <w:rPr>
          <w:b/>
          <w:sz w:val="22"/>
          <w:u w:val="single"/>
        </w:rPr>
        <w:t>SECTION</w:t>
      </w:r>
      <w:r>
        <w:rPr>
          <w:b/>
          <w:sz w:val="22"/>
        </w:rPr>
        <w:t xml:space="preserve"> I - </w:t>
      </w:r>
      <w:r>
        <w:rPr>
          <w:b/>
          <w:sz w:val="22"/>
          <w:u w:val="single"/>
        </w:rPr>
        <w:t>LA PLACE DE LA CONVENTION DANS L’ORDRE JURIDIQUE INTERNE</w:t>
      </w:r>
    </w:p>
    <w:p w:rsidR="00000000" w:rsidRDefault="00000000">
      <w:pPr>
        <w:jc w:val="both"/>
        <w:rPr>
          <w:sz w:val="22"/>
        </w:rPr>
      </w:pPr>
    </w:p>
    <w:p w:rsidR="00000000" w:rsidRDefault="00000000">
      <w:pPr>
        <w:jc w:val="both"/>
        <w:rPr>
          <w:sz w:val="22"/>
        </w:rPr>
      </w:pPr>
      <w:r>
        <w:rPr>
          <w:sz w:val="22"/>
        </w:rPr>
        <w:t>Le Congo est un État qui reconnaît l’existence du droit international public. Et, les conventions ratifiées appartiennent à l’ordre juridique interne. Elles ont une valeur juridique équivalente à la loi (article 81 de l’Acte fondamental).</w:t>
      </w:r>
    </w:p>
    <w:p w:rsidR="00000000" w:rsidRDefault="00000000">
      <w:pPr>
        <w:jc w:val="both"/>
        <w:rPr>
          <w:sz w:val="22"/>
        </w:rPr>
      </w:pPr>
      <w:r>
        <w:rPr>
          <w:sz w:val="22"/>
        </w:rPr>
        <w:t>La Convention devient, en vertu de son introduction dans le droit interne congolais, une norme applicable dans l’ordre juridique congolais. Elle a la valeur juridique d’une loi dont les citoyens peuvent se prévaloir devant les juridictions congolaises.</w:t>
      </w:r>
    </w:p>
    <w:p w:rsidR="00000000" w:rsidRDefault="00000000">
      <w:pPr>
        <w:jc w:val="both"/>
        <w:rPr>
          <w:sz w:val="22"/>
        </w:rPr>
      </w:pPr>
    </w:p>
    <w:p w:rsidR="00000000" w:rsidRDefault="00000000">
      <w:pPr>
        <w:jc w:val="both"/>
        <w:rPr>
          <w:sz w:val="22"/>
        </w:rPr>
      </w:pPr>
      <w:r>
        <w:rPr>
          <w:sz w:val="22"/>
        </w:rPr>
        <w:t>Il faut, toutefois, déplorer la méconnaissance de ce texte par le juge congolais qui n’a pas encore  statué en se référant à cette source de droit.</w:t>
      </w:r>
    </w:p>
    <w:p w:rsidR="00000000" w:rsidRDefault="00000000">
      <w:pPr>
        <w:jc w:val="both"/>
        <w:rPr>
          <w:sz w:val="22"/>
        </w:rPr>
      </w:pPr>
    </w:p>
    <w:p w:rsidR="00000000" w:rsidRDefault="00000000">
      <w:pPr>
        <w:jc w:val="both"/>
        <w:rPr>
          <w:b/>
          <w:sz w:val="22"/>
          <w:u w:val="single"/>
        </w:rPr>
      </w:pPr>
      <w:r>
        <w:rPr>
          <w:b/>
          <w:sz w:val="22"/>
          <w:u w:val="single"/>
        </w:rPr>
        <w:t>SECTION</w:t>
      </w:r>
      <w:r>
        <w:rPr>
          <w:b/>
          <w:sz w:val="22"/>
        </w:rPr>
        <w:t xml:space="preserve"> II - </w:t>
      </w:r>
      <w:r>
        <w:rPr>
          <w:b/>
          <w:sz w:val="22"/>
          <w:u w:val="single"/>
        </w:rPr>
        <w:t>LES MECANISMES NATIONAUX DE PROMOTION DE LA FEMME</w:t>
      </w:r>
    </w:p>
    <w:p w:rsidR="00000000" w:rsidRDefault="00000000">
      <w:pPr>
        <w:jc w:val="both"/>
        <w:rPr>
          <w:sz w:val="22"/>
        </w:rPr>
      </w:pPr>
    </w:p>
    <w:p w:rsidR="00000000" w:rsidRDefault="00000000">
      <w:pPr>
        <w:jc w:val="both"/>
        <w:rPr>
          <w:sz w:val="22"/>
        </w:rPr>
      </w:pPr>
      <w:r>
        <w:rPr>
          <w:sz w:val="22"/>
        </w:rPr>
        <w:t>La promotion de la femme a été au départ la préoccupation de certaines individualités féminines et des groupements qui se sont ensuite regroupés au sein d’une organisation unique (structurée en unions catégorielles) avant que le Gouvernement ne décide d’instituer le ministère chargé de la promotion de la femme.</w:t>
      </w:r>
    </w:p>
    <w:p w:rsidR="00000000" w:rsidRDefault="00000000">
      <w:pPr>
        <w:jc w:val="both"/>
        <w:rPr>
          <w:sz w:val="22"/>
        </w:rPr>
      </w:pPr>
    </w:p>
    <w:p w:rsidR="00000000" w:rsidRDefault="00000000">
      <w:pPr>
        <w:jc w:val="both"/>
        <w:rPr>
          <w:b/>
          <w:sz w:val="22"/>
          <w:u w:val="single"/>
        </w:rPr>
      </w:pPr>
      <w:r>
        <w:rPr>
          <w:b/>
          <w:sz w:val="22"/>
        </w:rPr>
        <w:t xml:space="preserve">I – </w:t>
      </w:r>
      <w:r>
        <w:rPr>
          <w:b/>
          <w:sz w:val="22"/>
          <w:u w:val="single"/>
        </w:rPr>
        <w:t>Les pionnières du mouvement féminin congolais</w:t>
      </w:r>
    </w:p>
    <w:p w:rsidR="00000000" w:rsidRDefault="00000000">
      <w:pPr>
        <w:jc w:val="both"/>
        <w:rPr>
          <w:sz w:val="22"/>
        </w:rPr>
      </w:pPr>
    </w:p>
    <w:p w:rsidR="00000000" w:rsidRDefault="00000000">
      <w:pPr>
        <w:jc w:val="both"/>
        <w:rPr>
          <w:sz w:val="22"/>
        </w:rPr>
      </w:pPr>
      <w:r>
        <w:rPr>
          <w:sz w:val="22"/>
        </w:rPr>
        <w:t>Pendant la période précoloniale, certaines femmes s’illustrent de manière particulière. Il s’agit notamment de TCHIMPA-VITA et de la Reine NGALIFOUROU. TCIMPA-VITA, mène une lutte acharnée contre l’envahisseur pour libérer le Royaume Kongo dans le cadre d’un mouvement religieux dénommé les antonins. La Reine NGALIFOUROU joua le rôle de conseillère auprès de son mari le Roi MAKOKO.</w:t>
      </w:r>
    </w:p>
    <w:p w:rsidR="00000000" w:rsidRDefault="00000000">
      <w:pPr>
        <w:jc w:val="both"/>
        <w:rPr>
          <w:sz w:val="22"/>
        </w:rPr>
      </w:pPr>
    </w:p>
    <w:p w:rsidR="00000000" w:rsidRDefault="00000000">
      <w:pPr>
        <w:jc w:val="both"/>
        <w:rPr>
          <w:sz w:val="22"/>
        </w:rPr>
      </w:pPr>
      <w:r>
        <w:rPr>
          <w:sz w:val="22"/>
        </w:rPr>
        <w:t>Sous la colonisation, la femme est un être de second rang, elle est mère et épouse et reçoit une instruction sommaire. Dans les années 50, les femmes s’organisent au sein de diverses associations et affirment leur personnalité en tant qu’existentialistes.</w:t>
      </w:r>
    </w:p>
    <w:p w:rsidR="00000000" w:rsidRDefault="00000000">
      <w:pPr>
        <w:jc w:val="both"/>
        <w:rPr>
          <w:sz w:val="22"/>
        </w:rPr>
      </w:pPr>
    </w:p>
    <w:p w:rsidR="00000000" w:rsidRDefault="00000000">
      <w:pPr>
        <w:jc w:val="both"/>
        <w:rPr>
          <w:sz w:val="22"/>
        </w:rPr>
      </w:pPr>
      <w:r>
        <w:rPr>
          <w:sz w:val="22"/>
        </w:rPr>
        <w:t>Il s’agit :</w:t>
      </w:r>
    </w:p>
    <w:p w:rsidR="00000000" w:rsidRDefault="00000000">
      <w:pPr>
        <w:numPr>
          <w:ilvl w:val="0"/>
          <w:numId w:val="218"/>
        </w:numPr>
        <w:jc w:val="both"/>
        <w:rPr>
          <w:sz w:val="22"/>
        </w:rPr>
      </w:pPr>
      <w:r>
        <w:rPr>
          <w:sz w:val="22"/>
        </w:rPr>
        <w:t>des femmes caïmans affiliées à l’UDDIA de Fulbert  YOULOU;</w:t>
      </w:r>
    </w:p>
    <w:p w:rsidR="00000000" w:rsidRDefault="00000000">
      <w:pPr>
        <w:numPr>
          <w:ilvl w:val="0"/>
          <w:numId w:val="218"/>
        </w:numPr>
        <w:jc w:val="both"/>
        <w:rPr>
          <w:sz w:val="22"/>
        </w:rPr>
      </w:pPr>
      <w:r>
        <w:rPr>
          <w:sz w:val="22"/>
        </w:rPr>
        <w:t>des femmes du MSA, de Jacques OPANGAULT ;</w:t>
      </w:r>
    </w:p>
    <w:p w:rsidR="00000000" w:rsidRDefault="00000000">
      <w:pPr>
        <w:numPr>
          <w:ilvl w:val="0"/>
          <w:numId w:val="218"/>
        </w:numPr>
        <w:jc w:val="both"/>
        <w:rPr>
          <w:sz w:val="22"/>
        </w:rPr>
      </w:pPr>
      <w:r>
        <w:rPr>
          <w:sz w:val="22"/>
        </w:rPr>
        <w:t>des diamants ;</w:t>
      </w:r>
    </w:p>
    <w:p w:rsidR="00000000" w:rsidRDefault="00000000">
      <w:pPr>
        <w:numPr>
          <w:ilvl w:val="0"/>
          <w:numId w:val="218"/>
        </w:numPr>
        <w:jc w:val="both"/>
        <w:rPr>
          <w:sz w:val="22"/>
        </w:rPr>
      </w:pPr>
      <w:r>
        <w:rPr>
          <w:sz w:val="22"/>
        </w:rPr>
        <w:t>de la violette ;</w:t>
      </w:r>
    </w:p>
    <w:p w:rsidR="00000000" w:rsidRDefault="00000000">
      <w:pPr>
        <w:numPr>
          <w:ilvl w:val="0"/>
          <w:numId w:val="218"/>
        </w:numPr>
        <w:jc w:val="both"/>
        <w:rPr>
          <w:sz w:val="22"/>
        </w:rPr>
      </w:pPr>
      <w:r>
        <w:rPr>
          <w:sz w:val="22"/>
        </w:rPr>
        <w:t xml:space="preserve">de la pause ; </w:t>
      </w:r>
    </w:p>
    <w:p w:rsidR="00000000" w:rsidRDefault="00000000">
      <w:pPr>
        <w:numPr>
          <w:ilvl w:val="0"/>
          <w:numId w:val="218"/>
        </w:numPr>
        <w:jc w:val="both"/>
        <w:rPr>
          <w:sz w:val="22"/>
        </w:rPr>
      </w:pPr>
      <w:r>
        <w:rPr>
          <w:sz w:val="22"/>
        </w:rPr>
        <w:t>de la rose ;</w:t>
      </w:r>
    </w:p>
    <w:p w:rsidR="00000000" w:rsidRDefault="00000000">
      <w:pPr>
        <w:numPr>
          <w:ilvl w:val="0"/>
          <w:numId w:val="218"/>
        </w:numPr>
        <w:jc w:val="both"/>
        <w:rPr>
          <w:sz w:val="22"/>
        </w:rPr>
      </w:pPr>
      <w:r>
        <w:rPr>
          <w:sz w:val="22"/>
        </w:rPr>
        <w:t>de la rosette ;</w:t>
      </w:r>
    </w:p>
    <w:p w:rsidR="00000000" w:rsidRDefault="00000000">
      <w:pPr>
        <w:numPr>
          <w:ilvl w:val="0"/>
          <w:numId w:val="218"/>
        </w:numPr>
        <w:jc w:val="both"/>
        <w:rPr>
          <w:sz w:val="22"/>
        </w:rPr>
      </w:pPr>
      <w:r>
        <w:rPr>
          <w:sz w:val="22"/>
        </w:rPr>
        <w:t>de l’étoile brillante etc…</w:t>
      </w:r>
    </w:p>
    <w:p w:rsidR="00000000" w:rsidRDefault="00000000">
      <w:pPr>
        <w:jc w:val="both"/>
        <w:rPr>
          <w:sz w:val="22"/>
        </w:rPr>
      </w:pPr>
    </w:p>
    <w:p w:rsidR="00000000" w:rsidRDefault="00000000">
      <w:pPr>
        <w:jc w:val="both"/>
        <w:rPr>
          <w:sz w:val="22"/>
        </w:rPr>
      </w:pPr>
      <w:r>
        <w:rPr>
          <w:sz w:val="22"/>
        </w:rPr>
        <w:t xml:space="preserve">Plusieurs militantes s’illustrent par leurs revendications. Cet activisme vaut, à certaines d’entre elles, la prison. Avec l’accession du Congo à l’indépendance, le mouvement associatif féminin se développe et s’engage dans une dynamique de fusion. C’est ainsi que naissent l’union des femmes du Congo (UFC), l’union démocratique des femmes du Congo (UDFC) qui fusionnent en 1965, avec la création de l’Union Révolutionnaire des Femmes du Congo (URFC). </w:t>
      </w:r>
    </w:p>
    <w:p w:rsidR="00000000" w:rsidRDefault="00000000">
      <w:pPr>
        <w:jc w:val="both"/>
        <w:rPr>
          <w:sz w:val="22"/>
        </w:rPr>
      </w:pPr>
    </w:p>
    <w:p w:rsidR="00000000" w:rsidRDefault="00000000">
      <w:pPr>
        <w:jc w:val="both"/>
        <w:rPr>
          <w:sz w:val="22"/>
        </w:rPr>
      </w:pPr>
      <w:r>
        <w:rPr>
          <w:sz w:val="22"/>
        </w:rPr>
        <w:t>L’URFC est le mécanisme institutionnel chargé des questions féminines dans le cadre du parti État.</w:t>
      </w:r>
    </w:p>
    <w:p w:rsidR="00000000" w:rsidRDefault="00000000">
      <w:pPr>
        <w:jc w:val="both"/>
        <w:rPr>
          <w:sz w:val="22"/>
        </w:rPr>
      </w:pPr>
      <w:r>
        <w:rPr>
          <w:sz w:val="22"/>
        </w:rPr>
        <w:t>Elle est chargée de :</w:t>
      </w:r>
    </w:p>
    <w:p w:rsidR="00000000" w:rsidRDefault="00000000">
      <w:pPr>
        <w:numPr>
          <w:ilvl w:val="0"/>
          <w:numId w:val="219"/>
        </w:numPr>
        <w:jc w:val="both"/>
        <w:rPr>
          <w:sz w:val="22"/>
        </w:rPr>
      </w:pPr>
      <w:r>
        <w:rPr>
          <w:sz w:val="22"/>
        </w:rPr>
        <w:t>mobiliser et conscientiser les femmes sur la lutte qu’elles mènent au quotidien pour leur émancipation et leur promotion dans tous les domaines ;</w:t>
      </w:r>
    </w:p>
    <w:p w:rsidR="00000000" w:rsidRDefault="00000000">
      <w:pPr>
        <w:numPr>
          <w:ilvl w:val="0"/>
          <w:numId w:val="219"/>
        </w:numPr>
        <w:jc w:val="both"/>
        <w:rPr>
          <w:sz w:val="22"/>
        </w:rPr>
      </w:pPr>
      <w:r>
        <w:rPr>
          <w:sz w:val="22"/>
        </w:rPr>
        <w:t>mener des actions de solidarité à l’endroit des sœurs des pays en lutte pour leur indépendance et leur intégrité territoriale ;</w:t>
      </w:r>
    </w:p>
    <w:p w:rsidR="00000000" w:rsidRDefault="00000000">
      <w:pPr>
        <w:numPr>
          <w:ilvl w:val="0"/>
          <w:numId w:val="219"/>
        </w:numPr>
        <w:jc w:val="both"/>
        <w:rPr>
          <w:sz w:val="22"/>
        </w:rPr>
      </w:pPr>
      <w:r>
        <w:rPr>
          <w:sz w:val="22"/>
        </w:rPr>
        <w:t>établir les liens d’amitié et de coopération bilatérale et multilatérale avec les organisations féminines et internationales.</w:t>
      </w:r>
    </w:p>
    <w:p w:rsidR="00000000" w:rsidRDefault="00000000">
      <w:pPr>
        <w:jc w:val="both"/>
        <w:rPr>
          <w:sz w:val="22"/>
        </w:rPr>
      </w:pPr>
    </w:p>
    <w:p w:rsidR="00000000" w:rsidRDefault="00000000">
      <w:pPr>
        <w:jc w:val="both"/>
        <w:rPr>
          <w:sz w:val="22"/>
        </w:rPr>
      </w:pPr>
      <w:r>
        <w:rPr>
          <w:sz w:val="22"/>
        </w:rPr>
        <w:t>L’Union Révolutionnaire des Femmes du Congo (URFC) détenait le monopole de la représentation féminine au niveau national et international jusqu’en 1990. Dans le cadre de la lutte pour l’émancipation et l’intégration de la femme au processus de développement, elle a joué un rôle déterminant dans le cadre de ses rapports d’amitié, de solidarité et de coopération avec les organisations féminines au niveau africain et international.</w:t>
      </w:r>
    </w:p>
    <w:p w:rsidR="00000000" w:rsidRDefault="00000000">
      <w:pPr>
        <w:jc w:val="both"/>
        <w:rPr>
          <w:sz w:val="22"/>
        </w:rPr>
      </w:pPr>
    </w:p>
    <w:p w:rsidR="00000000" w:rsidRDefault="00000000">
      <w:pPr>
        <w:jc w:val="both"/>
        <w:rPr>
          <w:sz w:val="22"/>
        </w:rPr>
      </w:pPr>
      <w:r>
        <w:rPr>
          <w:sz w:val="22"/>
        </w:rPr>
        <w:t>On peut citer au niveau international :</w:t>
      </w:r>
    </w:p>
    <w:p w:rsidR="00000000" w:rsidRDefault="00000000">
      <w:pPr>
        <w:jc w:val="both"/>
        <w:rPr>
          <w:sz w:val="22"/>
        </w:rPr>
      </w:pPr>
    </w:p>
    <w:p w:rsidR="00000000" w:rsidRDefault="00000000">
      <w:pPr>
        <w:numPr>
          <w:ilvl w:val="0"/>
          <w:numId w:val="220"/>
        </w:numPr>
        <w:jc w:val="both"/>
        <w:rPr>
          <w:sz w:val="22"/>
        </w:rPr>
      </w:pPr>
      <w:r>
        <w:rPr>
          <w:sz w:val="22"/>
        </w:rPr>
        <w:t>le comité des femmes soviétiques ;</w:t>
      </w:r>
    </w:p>
    <w:p w:rsidR="00000000" w:rsidRDefault="00000000">
      <w:pPr>
        <w:numPr>
          <w:ilvl w:val="0"/>
          <w:numId w:val="220"/>
        </w:numPr>
        <w:jc w:val="both"/>
        <w:rPr>
          <w:sz w:val="22"/>
        </w:rPr>
      </w:pPr>
      <w:r>
        <w:rPr>
          <w:sz w:val="22"/>
        </w:rPr>
        <w:t>l’union démocratique des femmes allemandes ;</w:t>
      </w:r>
    </w:p>
    <w:p w:rsidR="00000000" w:rsidRDefault="00000000">
      <w:pPr>
        <w:numPr>
          <w:ilvl w:val="0"/>
          <w:numId w:val="220"/>
        </w:numPr>
        <w:jc w:val="both"/>
        <w:rPr>
          <w:sz w:val="22"/>
        </w:rPr>
      </w:pPr>
      <w:r>
        <w:rPr>
          <w:sz w:val="22"/>
        </w:rPr>
        <w:t>l’union tchécoslovaque des femmes ;</w:t>
      </w:r>
    </w:p>
    <w:p w:rsidR="00000000" w:rsidRDefault="00000000">
      <w:pPr>
        <w:numPr>
          <w:ilvl w:val="0"/>
          <w:numId w:val="220"/>
        </w:numPr>
        <w:jc w:val="both"/>
        <w:rPr>
          <w:sz w:val="22"/>
        </w:rPr>
      </w:pPr>
      <w:r>
        <w:rPr>
          <w:sz w:val="22"/>
        </w:rPr>
        <w:t>le comité des femmes bulgares ;</w:t>
      </w:r>
    </w:p>
    <w:p w:rsidR="00000000" w:rsidRDefault="00000000">
      <w:pPr>
        <w:numPr>
          <w:ilvl w:val="0"/>
          <w:numId w:val="220"/>
        </w:numPr>
        <w:jc w:val="both"/>
        <w:rPr>
          <w:sz w:val="22"/>
        </w:rPr>
      </w:pPr>
      <w:r>
        <w:rPr>
          <w:sz w:val="22"/>
        </w:rPr>
        <w:t>la fédération des femmes cubaines ;</w:t>
      </w:r>
    </w:p>
    <w:p w:rsidR="00000000" w:rsidRDefault="00000000">
      <w:pPr>
        <w:numPr>
          <w:ilvl w:val="0"/>
          <w:numId w:val="220"/>
        </w:numPr>
        <w:jc w:val="both"/>
        <w:rPr>
          <w:sz w:val="22"/>
        </w:rPr>
      </w:pPr>
      <w:r>
        <w:rPr>
          <w:sz w:val="22"/>
        </w:rPr>
        <w:t>l’organisation des femmes roumaines ;</w:t>
      </w:r>
    </w:p>
    <w:p w:rsidR="00000000" w:rsidRDefault="00000000">
      <w:pPr>
        <w:numPr>
          <w:ilvl w:val="0"/>
          <w:numId w:val="220"/>
        </w:numPr>
        <w:jc w:val="both"/>
        <w:rPr>
          <w:sz w:val="22"/>
        </w:rPr>
      </w:pPr>
      <w:r>
        <w:rPr>
          <w:sz w:val="22"/>
        </w:rPr>
        <w:t>la fédération des femmes hongroises ;</w:t>
      </w:r>
    </w:p>
    <w:p w:rsidR="00000000" w:rsidRDefault="00000000">
      <w:pPr>
        <w:numPr>
          <w:ilvl w:val="0"/>
          <w:numId w:val="220"/>
        </w:numPr>
        <w:jc w:val="both"/>
        <w:rPr>
          <w:sz w:val="22"/>
        </w:rPr>
      </w:pPr>
      <w:r>
        <w:rPr>
          <w:sz w:val="22"/>
        </w:rPr>
        <w:t>la fédération des femmes chinoises etc….</w:t>
      </w:r>
    </w:p>
    <w:p w:rsidR="00000000" w:rsidRDefault="00000000">
      <w:pPr>
        <w:jc w:val="both"/>
        <w:rPr>
          <w:sz w:val="22"/>
        </w:rPr>
      </w:pPr>
    </w:p>
    <w:p w:rsidR="00000000" w:rsidRDefault="00000000">
      <w:pPr>
        <w:jc w:val="both"/>
        <w:rPr>
          <w:sz w:val="22"/>
        </w:rPr>
      </w:pPr>
      <w:r>
        <w:rPr>
          <w:sz w:val="22"/>
        </w:rPr>
        <w:t>Au niveau continental :</w:t>
      </w:r>
    </w:p>
    <w:p w:rsidR="00000000" w:rsidRDefault="00000000">
      <w:pPr>
        <w:numPr>
          <w:ilvl w:val="0"/>
          <w:numId w:val="221"/>
        </w:numPr>
        <w:jc w:val="both"/>
        <w:rPr>
          <w:sz w:val="22"/>
        </w:rPr>
      </w:pPr>
      <w:r>
        <w:rPr>
          <w:sz w:val="22"/>
        </w:rPr>
        <w:t>l’union national des femmes algériennes ;</w:t>
      </w:r>
    </w:p>
    <w:p w:rsidR="00000000" w:rsidRDefault="00000000">
      <w:pPr>
        <w:numPr>
          <w:ilvl w:val="0"/>
          <w:numId w:val="221"/>
        </w:numPr>
        <w:jc w:val="both"/>
        <w:rPr>
          <w:sz w:val="22"/>
        </w:rPr>
      </w:pPr>
      <w:r>
        <w:rPr>
          <w:sz w:val="22"/>
        </w:rPr>
        <w:t>l’union des femmes angolaises ;</w:t>
      </w:r>
    </w:p>
    <w:p w:rsidR="00000000" w:rsidRDefault="00000000">
      <w:pPr>
        <w:numPr>
          <w:ilvl w:val="0"/>
          <w:numId w:val="221"/>
        </w:numPr>
        <w:jc w:val="both"/>
        <w:rPr>
          <w:sz w:val="22"/>
        </w:rPr>
      </w:pPr>
      <w:r>
        <w:rPr>
          <w:sz w:val="22"/>
        </w:rPr>
        <w:t>l’organisation de l’union nationale des femmes camerounaises ;</w:t>
      </w:r>
    </w:p>
    <w:p w:rsidR="00000000" w:rsidRDefault="00000000">
      <w:pPr>
        <w:numPr>
          <w:ilvl w:val="0"/>
          <w:numId w:val="221"/>
        </w:numPr>
        <w:jc w:val="both"/>
        <w:rPr>
          <w:sz w:val="22"/>
        </w:rPr>
      </w:pPr>
      <w:r>
        <w:rPr>
          <w:sz w:val="22"/>
        </w:rPr>
        <w:t>l’organisation des femmes mozambicaines.</w:t>
      </w:r>
    </w:p>
    <w:p w:rsidR="00000000" w:rsidRDefault="00000000">
      <w:pPr>
        <w:jc w:val="both"/>
        <w:rPr>
          <w:sz w:val="22"/>
        </w:rPr>
      </w:pPr>
    </w:p>
    <w:p w:rsidR="00000000" w:rsidRDefault="00000000">
      <w:pPr>
        <w:jc w:val="both"/>
        <w:rPr>
          <w:sz w:val="22"/>
        </w:rPr>
      </w:pPr>
      <w:r>
        <w:rPr>
          <w:sz w:val="22"/>
        </w:rPr>
        <w:t>Dans le cadre de la promotion de la paix et de la coopération internationale, l’URFC a participé aux rencontres internationales en ce qui concerne la lutte contre le désarmement pour la sauvegarde de la paix mondiale aux côtés des organisations sous-régionales, régionales et internationales telles que le comité des femmes soviétiques, la fédération des femmes cubaines, l’OMA (l’organisation des femmes angolaises), l’OPF (organisation panafricaine des femmes), la FDIF (fédération démocratique internationale des femmes), le MULPOC de Yaoundé. L’union révolutionnaire des femmes du Congo, a étroitement coopéré avec le MULPOC, le centre africain de recherche et de formation de la femme (CARFF) en leur qualité d’organes subsidiaires de la commission économique pour l’Afrique (CEA).</w:t>
      </w:r>
    </w:p>
    <w:p w:rsidR="00000000" w:rsidRDefault="00000000">
      <w:pPr>
        <w:jc w:val="both"/>
        <w:rPr>
          <w:sz w:val="22"/>
        </w:rPr>
      </w:pPr>
    </w:p>
    <w:p w:rsidR="00000000" w:rsidRDefault="00000000">
      <w:pPr>
        <w:jc w:val="both"/>
        <w:rPr>
          <w:sz w:val="22"/>
        </w:rPr>
      </w:pPr>
      <w:r>
        <w:rPr>
          <w:sz w:val="22"/>
        </w:rPr>
        <w:t>Pour toutes ces actions, l’union révolutionnaire des femmes du Congo, a occupé les postes de secrétaire permanent de la Fédération Démocratique Internationale des Femmes (FDIF) en RDA, de représentant Résident de la FDIF auprès de l’UNESCO ainsi que celui de vice-Présidente à l’OPF au niveau du comité régional africain de coordination (CRAC) pour l’intégration de la femme au développement.</w:t>
      </w:r>
    </w:p>
    <w:p w:rsidR="00000000" w:rsidRDefault="00000000">
      <w:pPr>
        <w:jc w:val="both"/>
        <w:rPr>
          <w:sz w:val="22"/>
        </w:rPr>
      </w:pPr>
    </w:p>
    <w:p w:rsidR="00000000" w:rsidRDefault="00000000">
      <w:pPr>
        <w:jc w:val="both"/>
        <w:rPr>
          <w:sz w:val="22"/>
        </w:rPr>
      </w:pPr>
      <w:r>
        <w:rPr>
          <w:sz w:val="22"/>
        </w:rPr>
        <w:t>Avec la Conférence Nationale Souveraine, le Congo accède au multipartisme et on assiste à l’éclatement de l’URFC et à la naissance de plusieurs associations famines. Aujourd’hui, on recense 412 associations, organisations non gouvernementales et groupements féminins au niveau national.</w:t>
      </w:r>
    </w:p>
    <w:p w:rsidR="00000000" w:rsidRDefault="00000000">
      <w:pPr>
        <w:jc w:val="both"/>
        <w:rPr>
          <w:sz w:val="22"/>
        </w:rPr>
      </w:pPr>
    </w:p>
    <w:p w:rsidR="00000000" w:rsidRDefault="00000000">
      <w:pPr>
        <w:jc w:val="both"/>
        <w:rPr>
          <w:sz w:val="22"/>
        </w:rPr>
      </w:pPr>
      <w:r>
        <w:rPr>
          <w:b/>
          <w:sz w:val="22"/>
        </w:rPr>
        <w:t xml:space="preserve">II- </w:t>
      </w:r>
      <w:r>
        <w:rPr>
          <w:b/>
          <w:sz w:val="22"/>
          <w:u w:val="single"/>
        </w:rPr>
        <w:t>La création du Ministère chargé de la promotion de la femme</w:t>
      </w:r>
    </w:p>
    <w:p w:rsidR="00000000" w:rsidRDefault="00000000">
      <w:pPr>
        <w:jc w:val="both"/>
        <w:rPr>
          <w:sz w:val="22"/>
        </w:rPr>
      </w:pPr>
    </w:p>
    <w:p w:rsidR="00000000" w:rsidRDefault="00000000">
      <w:pPr>
        <w:pStyle w:val="BodyText"/>
        <w:rPr>
          <w:sz w:val="22"/>
        </w:rPr>
      </w:pPr>
      <w:r>
        <w:rPr>
          <w:sz w:val="22"/>
        </w:rPr>
        <w:t>L’engagement des femmes congolaises va conduire à la création en 1990, de la direction de l’intégration de la femme au développement (DIFD) et en 1992, du ministère délégué de l’intégration de la femme au développement. En 1997, est institué le ministère de la famille chargé de l’intégration de la femme au développement. Et, en janvier 1999, pour des raisons économiques, le département de la promotion de la femme est rattaché au ministère de la fonction publique et des réformes administratives.</w:t>
      </w:r>
    </w:p>
    <w:p w:rsidR="00000000" w:rsidRDefault="00000000">
      <w:pPr>
        <w:pStyle w:val="BodyText"/>
        <w:spacing w:line="120" w:lineRule="exact"/>
        <w:rPr>
          <w:sz w:val="10"/>
        </w:rPr>
      </w:pPr>
    </w:p>
    <w:p w:rsidR="00000000" w:rsidRDefault="00000000">
      <w:pPr>
        <w:pStyle w:val="BodyText"/>
        <w:rPr>
          <w:sz w:val="22"/>
        </w:rPr>
      </w:pPr>
      <w:r>
        <w:rPr>
          <w:sz w:val="22"/>
        </w:rPr>
        <w:t>Le département de la promotion de la femme est chargé notamment d’assurer :</w:t>
      </w:r>
    </w:p>
    <w:p w:rsidR="00000000" w:rsidRDefault="00000000">
      <w:pPr>
        <w:pStyle w:val="BodyText"/>
        <w:spacing w:line="120" w:lineRule="exact"/>
        <w:rPr>
          <w:sz w:val="10"/>
        </w:rPr>
      </w:pPr>
    </w:p>
    <w:p w:rsidR="00000000" w:rsidRDefault="00000000">
      <w:pPr>
        <w:pStyle w:val="BodyText"/>
        <w:numPr>
          <w:ilvl w:val="0"/>
          <w:numId w:val="15"/>
        </w:numPr>
        <w:rPr>
          <w:sz w:val="22"/>
        </w:rPr>
      </w:pPr>
      <w:r>
        <w:rPr>
          <w:sz w:val="22"/>
        </w:rPr>
        <w:t>la mise en œuvre de la politique du Gouvernement en matière de promotion de la femme ;</w:t>
      </w:r>
    </w:p>
    <w:p w:rsidR="00000000" w:rsidRDefault="00000000">
      <w:pPr>
        <w:pStyle w:val="BodyText"/>
        <w:numPr>
          <w:ilvl w:val="0"/>
          <w:numId w:val="15"/>
        </w:numPr>
        <w:rPr>
          <w:sz w:val="22"/>
        </w:rPr>
      </w:pPr>
      <w:r>
        <w:rPr>
          <w:sz w:val="22"/>
        </w:rPr>
        <w:t>l’égalité entre l’homme et la femme et un meilleur appui à la promotion de la femme ;</w:t>
      </w:r>
    </w:p>
    <w:p w:rsidR="00000000" w:rsidRDefault="00000000">
      <w:pPr>
        <w:pStyle w:val="BodyText"/>
        <w:numPr>
          <w:ilvl w:val="0"/>
          <w:numId w:val="15"/>
        </w:numPr>
        <w:rPr>
          <w:sz w:val="22"/>
        </w:rPr>
      </w:pPr>
      <w:r>
        <w:rPr>
          <w:sz w:val="22"/>
        </w:rPr>
        <w:t>la collecte et la diffusion de l’information nationale et internationale relative au rôle de la femme</w:t>
      </w:r>
    </w:p>
    <w:p w:rsidR="00000000" w:rsidRDefault="00000000">
      <w:pPr>
        <w:pStyle w:val="BodyText"/>
        <w:numPr>
          <w:ilvl w:val="0"/>
          <w:numId w:val="15"/>
        </w:numPr>
        <w:rPr>
          <w:sz w:val="22"/>
        </w:rPr>
      </w:pPr>
      <w:r>
        <w:rPr>
          <w:sz w:val="22"/>
        </w:rPr>
        <w:t>la conception et le suivi des lois, des mesures et autres dispositions ;</w:t>
      </w:r>
    </w:p>
    <w:p w:rsidR="00000000" w:rsidRDefault="00000000">
      <w:pPr>
        <w:pStyle w:val="BodyText"/>
        <w:numPr>
          <w:ilvl w:val="0"/>
          <w:numId w:val="15"/>
        </w:numPr>
        <w:rPr>
          <w:sz w:val="22"/>
        </w:rPr>
      </w:pPr>
      <w:r>
        <w:rPr>
          <w:sz w:val="22"/>
        </w:rPr>
        <w:t>la conception et le suivi de l’ensemble des mesures et des dispositions susceptibles de favoriser la participation de la femme à la vie politique, économique et socioculturelle ;</w:t>
      </w:r>
    </w:p>
    <w:p w:rsidR="00000000" w:rsidRDefault="00000000">
      <w:pPr>
        <w:pStyle w:val="BodyText"/>
        <w:numPr>
          <w:ilvl w:val="0"/>
          <w:numId w:val="15"/>
        </w:numPr>
        <w:rPr>
          <w:sz w:val="22"/>
        </w:rPr>
      </w:pPr>
      <w:r>
        <w:rPr>
          <w:sz w:val="22"/>
        </w:rPr>
        <w:t>la mise en œuvre, de concert avec les administrations intéressées, une politique pour un meilleur appui à la famille, à sa stabilité, et à son bien-être ;</w:t>
      </w:r>
    </w:p>
    <w:p w:rsidR="00000000" w:rsidRDefault="00000000">
      <w:pPr>
        <w:pStyle w:val="BodyText"/>
        <w:numPr>
          <w:ilvl w:val="0"/>
          <w:numId w:val="15"/>
        </w:numPr>
        <w:rPr>
          <w:sz w:val="22"/>
        </w:rPr>
      </w:pPr>
      <w:r>
        <w:rPr>
          <w:sz w:val="22"/>
        </w:rPr>
        <w:t>la collaboration avec les associations et les organisations non gouvernementales féminines ;</w:t>
      </w:r>
    </w:p>
    <w:p w:rsidR="00000000" w:rsidRDefault="00000000">
      <w:pPr>
        <w:pStyle w:val="BodyText"/>
        <w:numPr>
          <w:ilvl w:val="0"/>
          <w:numId w:val="15"/>
        </w:numPr>
        <w:rPr>
          <w:sz w:val="22"/>
        </w:rPr>
      </w:pPr>
      <w:r>
        <w:rPr>
          <w:sz w:val="22"/>
        </w:rPr>
        <w:t>la prise en compte de la composante femme dans les programmes et les politiques des autres départements ministériels ;</w:t>
      </w:r>
    </w:p>
    <w:p w:rsidR="00000000" w:rsidRDefault="00000000">
      <w:pPr>
        <w:pStyle w:val="BodyText"/>
        <w:numPr>
          <w:ilvl w:val="0"/>
          <w:numId w:val="15"/>
        </w:numPr>
        <w:rPr>
          <w:sz w:val="22"/>
        </w:rPr>
      </w:pPr>
      <w:r>
        <w:rPr>
          <w:sz w:val="22"/>
        </w:rPr>
        <w:t>l’élaboration des projets de textes législatifs et réglementaires garantissant les droits et les libertés de la femme ;</w:t>
      </w:r>
    </w:p>
    <w:p w:rsidR="00000000" w:rsidRDefault="00000000">
      <w:pPr>
        <w:pStyle w:val="BodyText"/>
        <w:numPr>
          <w:ilvl w:val="0"/>
          <w:numId w:val="15"/>
        </w:numPr>
        <w:rPr>
          <w:sz w:val="22"/>
        </w:rPr>
      </w:pPr>
      <w:r>
        <w:rPr>
          <w:sz w:val="22"/>
        </w:rPr>
        <w:t>la vulgarisation des traités, des accords et des conventions internationaux sur les droits de la femme et veiller à leur application ;</w:t>
      </w:r>
    </w:p>
    <w:p w:rsidR="00000000" w:rsidRDefault="00000000">
      <w:pPr>
        <w:pStyle w:val="BodyText"/>
        <w:numPr>
          <w:ilvl w:val="0"/>
          <w:numId w:val="15"/>
        </w:numPr>
        <w:rPr>
          <w:sz w:val="22"/>
        </w:rPr>
      </w:pPr>
      <w:r>
        <w:rPr>
          <w:sz w:val="22"/>
        </w:rPr>
        <w:t>la lutte pour l’intégration pleine et entière au processus du développement intégral national.</w:t>
      </w:r>
    </w:p>
    <w:p w:rsidR="00000000" w:rsidRDefault="00000000">
      <w:pPr>
        <w:pStyle w:val="BodyText"/>
        <w:rPr>
          <w:sz w:val="22"/>
        </w:rPr>
      </w:pPr>
    </w:p>
    <w:p w:rsidR="00000000" w:rsidRDefault="00000000">
      <w:pPr>
        <w:pStyle w:val="BodyText"/>
        <w:rPr>
          <w:b/>
          <w:sz w:val="22"/>
          <w:u w:val="single"/>
        </w:rPr>
      </w:pPr>
      <w:r>
        <w:rPr>
          <w:b/>
          <w:sz w:val="22"/>
        </w:rPr>
        <w:t xml:space="preserve">III- </w:t>
      </w:r>
      <w:r>
        <w:rPr>
          <w:b/>
          <w:sz w:val="22"/>
          <w:u w:val="single"/>
        </w:rPr>
        <w:t>Le rôle des autres départements ministériels</w:t>
      </w:r>
    </w:p>
    <w:p w:rsidR="00000000" w:rsidRDefault="00000000">
      <w:pPr>
        <w:pStyle w:val="BodyText"/>
        <w:spacing w:line="120" w:lineRule="exact"/>
        <w:rPr>
          <w:sz w:val="10"/>
        </w:rPr>
      </w:pPr>
    </w:p>
    <w:p w:rsidR="00000000" w:rsidRDefault="00000000">
      <w:pPr>
        <w:pStyle w:val="BodyText"/>
        <w:rPr>
          <w:sz w:val="22"/>
        </w:rPr>
      </w:pPr>
      <w:r>
        <w:rPr>
          <w:sz w:val="22"/>
        </w:rPr>
        <w:t>Le ministère chargé de la promotion de la femme joue un rôle transversal qui le met en relation avec tous les autres départements ministériels qui, dans leurs activités quotidiennes, assurent diverses prestations aux femmes. Le département de la promotion de la femme veille, à chaque fois, à la prise en compte de la dimension genre dans les différents plans et programmes.</w:t>
      </w:r>
    </w:p>
    <w:p w:rsidR="00000000" w:rsidRDefault="00000000">
      <w:pPr>
        <w:pStyle w:val="BodyText"/>
        <w:spacing w:line="120" w:lineRule="exact"/>
        <w:rPr>
          <w:sz w:val="10"/>
        </w:rPr>
      </w:pPr>
    </w:p>
    <w:p w:rsidR="00000000" w:rsidRDefault="00000000">
      <w:pPr>
        <w:pStyle w:val="BodyText"/>
        <w:rPr>
          <w:sz w:val="22"/>
        </w:rPr>
      </w:pPr>
      <w:r>
        <w:rPr>
          <w:sz w:val="22"/>
        </w:rPr>
        <w:t>On peut citer, entre autres :</w:t>
      </w:r>
    </w:p>
    <w:p w:rsidR="00000000" w:rsidRDefault="00000000">
      <w:pPr>
        <w:pStyle w:val="BodyText"/>
        <w:numPr>
          <w:ilvl w:val="0"/>
          <w:numId w:val="16"/>
        </w:numPr>
        <w:rPr>
          <w:sz w:val="22"/>
        </w:rPr>
      </w:pPr>
      <w:r>
        <w:rPr>
          <w:sz w:val="22"/>
        </w:rPr>
        <w:t>le ministère de la santé et des affaires sociales ;</w:t>
      </w:r>
    </w:p>
    <w:p w:rsidR="00000000" w:rsidRDefault="00000000">
      <w:pPr>
        <w:pStyle w:val="BodyText"/>
        <w:numPr>
          <w:ilvl w:val="0"/>
          <w:numId w:val="16"/>
        </w:numPr>
        <w:rPr>
          <w:sz w:val="22"/>
        </w:rPr>
      </w:pPr>
      <w:r>
        <w:rPr>
          <w:sz w:val="22"/>
        </w:rPr>
        <w:t>le ministère de l’agriculture et de l’élevage ;</w:t>
      </w:r>
    </w:p>
    <w:p w:rsidR="00000000" w:rsidRDefault="00000000">
      <w:pPr>
        <w:pStyle w:val="BodyText"/>
        <w:numPr>
          <w:ilvl w:val="0"/>
          <w:numId w:val="16"/>
        </w:numPr>
        <w:rPr>
          <w:sz w:val="22"/>
        </w:rPr>
      </w:pPr>
      <w:r>
        <w:rPr>
          <w:sz w:val="22"/>
        </w:rPr>
        <w:t>le ministère du commerce ;</w:t>
      </w:r>
    </w:p>
    <w:p w:rsidR="00000000" w:rsidRDefault="00000000">
      <w:pPr>
        <w:pStyle w:val="BodyText"/>
        <w:numPr>
          <w:ilvl w:val="0"/>
          <w:numId w:val="16"/>
        </w:numPr>
        <w:rPr>
          <w:sz w:val="22"/>
        </w:rPr>
      </w:pPr>
      <w:r>
        <w:rPr>
          <w:sz w:val="22"/>
        </w:rPr>
        <w:t>le ministère de l’éducation ;</w:t>
      </w:r>
    </w:p>
    <w:p w:rsidR="00000000" w:rsidRDefault="00000000">
      <w:pPr>
        <w:pStyle w:val="BodyText"/>
        <w:numPr>
          <w:ilvl w:val="0"/>
          <w:numId w:val="16"/>
        </w:numPr>
        <w:rPr>
          <w:sz w:val="22"/>
        </w:rPr>
      </w:pPr>
      <w:r>
        <w:rPr>
          <w:sz w:val="22"/>
        </w:rPr>
        <w:t>le ministère de la culture et des arts ;</w:t>
      </w:r>
    </w:p>
    <w:p w:rsidR="00000000" w:rsidRDefault="00000000">
      <w:pPr>
        <w:pStyle w:val="BodyText"/>
        <w:numPr>
          <w:ilvl w:val="0"/>
          <w:numId w:val="16"/>
        </w:numPr>
        <w:rPr>
          <w:sz w:val="22"/>
        </w:rPr>
      </w:pPr>
      <w:r>
        <w:rPr>
          <w:sz w:val="22"/>
        </w:rPr>
        <w:t>le ministère de la justice.</w:t>
      </w:r>
    </w:p>
    <w:p w:rsidR="00000000" w:rsidRDefault="00000000">
      <w:pPr>
        <w:pStyle w:val="BodyText"/>
        <w:rPr>
          <w:sz w:val="22"/>
        </w:rPr>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pStyle w:val="BodyText"/>
        <w:rPr>
          <w:sz w:val="22"/>
        </w:rPr>
      </w:pPr>
    </w:p>
    <w:tbl>
      <w:tblPr>
        <w:tblW w:w="0" w:type="auto"/>
        <w:tblInd w:w="88" w:type="dxa"/>
        <w:tblLayout w:type="fixed"/>
        <w:tblCellMar>
          <w:left w:w="70" w:type="dxa"/>
          <w:right w:w="70" w:type="dxa"/>
        </w:tblCellMar>
        <w:tblLook w:val="0000" w:firstRow="0" w:lastRow="0" w:firstColumn="0" w:lastColumn="0" w:noHBand="0" w:noVBand="0"/>
      </w:tblPr>
      <w:tblGrid>
        <w:gridCol w:w="3243"/>
        <w:gridCol w:w="6576"/>
      </w:tblGrid>
      <w:tr w:rsidR="00000000">
        <w:tblPrEx>
          <w:tblCellMar>
            <w:top w:w="0" w:type="dxa"/>
            <w:bottom w:w="0" w:type="dxa"/>
          </w:tblCellMar>
        </w:tblPrEx>
        <w:tc>
          <w:tcPr>
            <w:tcW w:w="3243" w:type="dxa"/>
          </w:tcPr>
          <w:p w:rsidR="00000000" w:rsidRDefault="00000000">
            <w:pPr>
              <w:rPr>
                <w:b/>
                <w:sz w:val="28"/>
              </w:rPr>
            </w:pPr>
            <w:r>
              <w:rPr>
                <w:b/>
                <w:sz w:val="28"/>
                <w:u w:val="single"/>
              </w:rPr>
              <w:t>DEUXIEME PARTIE</w:t>
            </w:r>
            <w:r>
              <w:rPr>
                <w:b/>
                <w:sz w:val="28"/>
              </w:rPr>
              <w:t> :</w:t>
            </w:r>
          </w:p>
        </w:tc>
        <w:tc>
          <w:tcPr>
            <w:tcW w:w="6576" w:type="dxa"/>
          </w:tcPr>
          <w:p w:rsidR="00000000" w:rsidRDefault="00000000">
            <w:pPr>
              <w:rPr>
                <w:b/>
                <w:sz w:val="28"/>
              </w:rPr>
            </w:pPr>
            <w:r>
              <w:rPr>
                <w:b/>
                <w:sz w:val="28"/>
              </w:rPr>
              <w:t>LES RENSEIGNEMENTS SPECIFIQUES CONCERNANT CHAQUE DISPOSITION</w:t>
            </w:r>
            <w:r>
              <w:rPr>
                <w:b/>
                <w:sz w:val="28"/>
              </w:rPr>
              <w:br/>
              <w:t>DE LA CONVENTION</w:t>
            </w:r>
          </w:p>
        </w:tc>
      </w:tr>
    </w:tbl>
    <w:p w:rsidR="00000000" w:rsidRDefault="00000000">
      <w:pPr>
        <w:rPr>
          <w:b/>
          <w:sz w:val="28"/>
          <w:u w:val="single"/>
        </w:rPr>
      </w:pPr>
    </w:p>
    <w:p w:rsidR="00000000" w:rsidRDefault="00000000">
      <w:pPr>
        <w:rPr>
          <w:sz w:val="22"/>
        </w:rPr>
        <w:sectPr w:rsidR="00000000">
          <w:endnotePr>
            <w:numFmt w:val="decimal"/>
          </w:endnotePr>
          <w:pgSz w:w="12240" w:h="15840" w:code="1"/>
          <w:pgMar w:top="1742" w:right="1195" w:bottom="1901" w:left="1195" w:header="576" w:footer="1037" w:gutter="0"/>
          <w:cols w:space="720"/>
          <w:vAlign w:val="center"/>
          <w:noEndnote/>
          <w:docGrid w:linePitch="280"/>
        </w:sectPr>
      </w:pPr>
    </w:p>
    <w:p w:rsidR="00000000" w:rsidRDefault="00000000">
      <w:pPr>
        <w:rPr>
          <w:sz w:val="22"/>
        </w:rPr>
      </w:pPr>
    </w:p>
    <w:tbl>
      <w:tblPr>
        <w:tblW w:w="0" w:type="auto"/>
        <w:tblInd w:w="1120" w:type="dxa"/>
        <w:tblLayout w:type="fixed"/>
        <w:tblCellMar>
          <w:left w:w="70" w:type="dxa"/>
          <w:right w:w="70" w:type="dxa"/>
        </w:tblCellMar>
        <w:tblLook w:val="0000" w:firstRow="0" w:lastRow="0" w:firstColumn="0" w:lastColumn="0" w:noHBand="0" w:noVBand="0"/>
      </w:tblPr>
      <w:tblGrid>
        <w:gridCol w:w="2211"/>
        <w:gridCol w:w="6576"/>
      </w:tblGrid>
      <w:tr w:rsidR="00000000">
        <w:tblPrEx>
          <w:tblCellMar>
            <w:top w:w="0" w:type="dxa"/>
            <w:bottom w:w="0" w:type="dxa"/>
          </w:tblCellMar>
        </w:tblPrEx>
        <w:tc>
          <w:tcPr>
            <w:tcW w:w="2211" w:type="dxa"/>
          </w:tcPr>
          <w:p w:rsidR="00000000" w:rsidRDefault="00000000">
            <w:pPr>
              <w:jc w:val="both"/>
              <w:rPr>
                <w:b/>
                <w:sz w:val="24"/>
                <w:u w:val="single"/>
              </w:rPr>
            </w:pPr>
            <w:r>
              <w:rPr>
                <w:b/>
                <w:sz w:val="24"/>
                <w:u w:val="single"/>
              </w:rPr>
              <w:t>CHAPITRE  III</w:t>
            </w:r>
            <w:r>
              <w:rPr>
                <w:b/>
                <w:sz w:val="24"/>
              </w:rPr>
              <w:t> :</w:t>
            </w:r>
          </w:p>
        </w:tc>
        <w:tc>
          <w:tcPr>
            <w:tcW w:w="6576" w:type="dxa"/>
          </w:tcPr>
          <w:p w:rsidR="00000000" w:rsidRDefault="00000000">
            <w:pPr>
              <w:rPr>
                <w:b/>
                <w:sz w:val="24"/>
              </w:rPr>
            </w:pPr>
            <w:r>
              <w:rPr>
                <w:b/>
                <w:sz w:val="24"/>
              </w:rPr>
              <w:t>LE CADRE CONSTITUTIONNEL ET JURIDIQUE DE LA PROTECTION DES DROITS DE LA FEMME</w:t>
            </w:r>
          </w:p>
          <w:p w:rsidR="00000000" w:rsidRDefault="00000000">
            <w:pPr>
              <w:jc w:val="both"/>
              <w:rPr>
                <w:b/>
                <w:sz w:val="24"/>
              </w:rPr>
            </w:pPr>
            <w:r>
              <w:rPr>
                <w:b/>
                <w:sz w:val="24"/>
              </w:rPr>
              <w:t>(articles 1 à 3)</w:t>
            </w:r>
          </w:p>
        </w:tc>
      </w:tr>
    </w:tbl>
    <w:p w:rsidR="00000000" w:rsidRDefault="00000000">
      <w:pPr>
        <w:jc w:val="both"/>
        <w:rPr>
          <w:b/>
          <w:sz w:val="22"/>
          <w:u w:val="single"/>
        </w:rPr>
      </w:pPr>
    </w:p>
    <w:p w:rsidR="00000000" w:rsidRDefault="00000000">
      <w:pPr>
        <w:jc w:val="both"/>
        <w:rPr>
          <w:sz w:val="22"/>
          <w:u w:val="single"/>
        </w:rPr>
      </w:pPr>
      <w:r>
        <w:rPr>
          <w:sz w:val="22"/>
          <w:u w:val="single"/>
        </w:rPr>
        <w:t>Article 1</w:t>
      </w:r>
    </w:p>
    <w:p w:rsidR="00000000" w:rsidRDefault="00000000">
      <w:pPr>
        <w:jc w:val="both"/>
        <w:rPr>
          <w:sz w:val="22"/>
        </w:rPr>
      </w:pPr>
    </w:p>
    <w:p w:rsidR="00000000" w:rsidRDefault="00000000">
      <w:pPr>
        <w:jc w:val="both"/>
        <w:rPr>
          <w:i/>
          <w:sz w:val="22"/>
        </w:rPr>
      </w:pPr>
      <w:r>
        <w:rPr>
          <w:i/>
          <w:sz w:val="22"/>
        </w:rPr>
        <w:t>« 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tous les domaines politique et économique, social, culturel et civil, ou dans tout autre domaine ».</w:t>
      </w:r>
    </w:p>
    <w:p w:rsidR="00000000" w:rsidRDefault="00000000">
      <w:pPr>
        <w:jc w:val="both"/>
        <w:rPr>
          <w:i/>
          <w:sz w:val="22"/>
        </w:rPr>
      </w:pPr>
    </w:p>
    <w:p w:rsidR="00000000" w:rsidRDefault="00000000">
      <w:pPr>
        <w:jc w:val="both"/>
        <w:rPr>
          <w:sz w:val="22"/>
          <w:u w:val="single"/>
        </w:rPr>
      </w:pPr>
      <w:r>
        <w:rPr>
          <w:sz w:val="22"/>
          <w:u w:val="single"/>
        </w:rPr>
        <w:t>Article 2</w:t>
      </w:r>
    </w:p>
    <w:p w:rsidR="00000000" w:rsidRDefault="00000000">
      <w:pPr>
        <w:jc w:val="both"/>
        <w:rPr>
          <w:sz w:val="22"/>
        </w:rPr>
      </w:pPr>
    </w:p>
    <w:p w:rsidR="00000000" w:rsidRDefault="00000000">
      <w:pPr>
        <w:jc w:val="both"/>
        <w:rPr>
          <w:i/>
          <w:sz w:val="22"/>
        </w:rPr>
      </w:pPr>
      <w:r>
        <w:rPr>
          <w:i/>
          <w:sz w:val="22"/>
        </w:rPr>
        <w:t>« 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jc w:val="both"/>
        <w:rPr>
          <w:i/>
          <w:sz w:val="22"/>
        </w:rPr>
      </w:pPr>
    </w:p>
    <w:p w:rsidR="00000000" w:rsidRDefault="00000000">
      <w:pPr>
        <w:numPr>
          <w:ilvl w:val="0"/>
          <w:numId w:val="151"/>
        </w:numPr>
        <w:jc w:val="both"/>
        <w:rPr>
          <w:i/>
          <w:sz w:val="22"/>
        </w:rPr>
      </w:pPr>
      <w:r>
        <w:rPr>
          <w:i/>
          <w:sz w:val="22"/>
        </w:rPr>
        <w:t>Inscrire dans leur constitution nationale ou toute autre disposition législative appropriée le principe de l’égalité des hommes et des femmes, si ce n’est déjà fait, et assurer par voie de législation ou par d’autres moyens appropriés l’application effective dudit principe ;</w:t>
      </w:r>
    </w:p>
    <w:p w:rsidR="00000000" w:rsidRDefault="00000000">
      <w:pPr>
        <w:numPr>
          <w:ilvl w:val="0"/>
          <w:numId w:val="151"/>
        </w:numPr>
        <w:jc w:val="both"/>
        <w:rPr>
          <w:i/>
          <w:sz w:val="22"/>
        </w:rPr>
      </w:pPr>
      <w:r>
        <w:rPr>
          <w:i/>
          <w:sz w:val="22"/>
        </w:rPr>
        <w:t>Adopter des mesures législatives et d’autres mesures appropriées assorties, y compris des sanctions en cas de besoin, interdisant toute discrimination à l’égard des femmes ;</w:t>
      </w:r>
    </w:p>
    <w:p w:rsidR="00000000" w:rsidRDefault="00000000">
      <w:pPr>
        <w:numPr>
          <w:ilvl w:val="0"/>
          <w:numId w:val="151"/>
        </w:numPr>
        <w:jc w:val="both"/>
        <w:rPr>
          <w:i/>
          <w:sz w:val="22"/>
        </w:rPr>
      </w:pPr>
      <w:r>
        <w:rPr>
          <w:i/>
          <w:sz w:val="22"/>
        </w:rPr>
        <w:t>Instaurer une protection juridictionnelle des droits des femmes sur un pied d’égalité avec les hommes et garantir, par le truchement des tribunaux nationaux compétents et d’autres institutions publiques, la protection effective des femmes contre tout acte discriminatoire ;</w:t>
      </w:r>
    </w:p>
    <w:p w:rsidR="00000000" w:rsidRDefault="00000000">
      <w:pPr>
        <w:numPr>
          <w:ilvl w:val="0"/>
          <w:numId w:val="151"/>
        </w:numPr>
        <w:jc w:val="both"/>
        <w:rPr>
          <w:i/>
          <w:sz w:val="22"/>
        </w:rPr>
      </w:pPr>
      <w:r>
        <w:rPr>
          <w:i/>
          <w:sz w:val="22"/>
        </w:rPr>
        <w:t>S’abstenir de tout acte ou pratique discriminatoire à l’égard des femmes et faire en sorte que les autorités publiques et les institutions publiques se conforment à cette obligation ;</w:t>
      </w:r>
    </w:p>
    <w:p w:rsidR="00000000" w:rsidRDefault="00000000">
      <w:pPr>
        <w:numPr>
          <w:ilvl w:val="0"/>
          <w:numId w:val="151"/>
        </w:numPr>
        <w:jc w:val="both"/>
        <w:rPr>
          <w:i/>
          <w:sz w:val="22"/>
        </w:rPr>
      </w:pPr>
      <w:r>
        <w:rPr>
          <w:i/>
          <w:sz w:val="22"/>
        </w:rPr>
        <w:t>Prendre toutes mesures appropriées pour éliminer la discrimination pratiquée à l’égard des femmes par une personne, une organisation ou une entreprise quelconque ;</w:t>
      </w:r>
    </w:p>
    <w:p w:rsidR="00000000" w:rsidRDefault="00000000">
      <w:pPr>
        <w:numPr>
          <w:ilvl w:val="0"/>
          <w:numId w:val="151"/>
        </w:numPr>
        <w:jc w:val="both"/>
        <w:rPr>
          <w:i/>
          <w:sz w:val="22"/>
        </w:rPr>
      </w:pPr>
      <w:r>
        <w:rPr>
          <w:i/>
          <w:sz w:val="22"/>
        </w:rPr>
        <w:t>Prendre toutes les mesures appropriées, y compris des dispositions législatives, pour modifier ou abroger toute loi, disposition réglementaire, coutume ou pratique qui constitue une discrimination à l’égard des femmes ;</w:t>
      </w:r>
    </w:p>
    <w:p w:rsidR="00000000" w:rsidRDefault="00000000">
      <w:pPr>
        <w:numPr>
          <w:ilvl w:val="0"/>
          <w:numId w:val="151"/>
        </w:numPr>
        <w:jc w:val="both"/>
        <w:rPr>
          <w:i/>
          <w:sz w:val="22"/>
        </w:rPr>
      </w:pPr>
      <w:r>
        <w:rPr>
          <w:i/>
          <w:sz w:val="22"/>
        </w:rPr>
        <w:t>Abroger toutes les dispositions pénales qui constituent une discrimination à l’égard des femmes ».</w:t>
      </w:r>
    </w:p>
    <w:p w:rsidR="00000000" w:rsidRDefault="00000000">
      <w:pPr>
        <w:jc w:val="both"/>
        <w:rPr>
          <w:i/>
          <w:sz w:val="22"/>
        </w:rPr>
      </w:pPr>
    </w:p>
    <w:p w:rsidR="00000000" w:rsidRDefault="00000000">
      <w:pPr>
        <w:jc w:val="both"/>
        <w:rPr>
          <w:sz w:val="22"/>
        </w:rPr>
      </w:pPr>
      <w:r>
        <w:rPr>
          <w:sz w:val="22"/>
          <w:u w:val="single"/>
        </w:rPr>
        <w:t>Article 3</w:t>
      </w:r>
    </w:p>
    <w:p w:rsidR="00000000" w:rsidRDefault="00000000">
      <w:pPr>
        <w:jc w:val="both"/>
        <w:rPr>
          <w:sz w:val="22"/>
        </w:rPr>
      </w:pPr>
    </w:p>
    <w:p w:rsidR="00000000" w:rsidRDefault="00000000">
      <w:pPr>
        <w:jc w:val="both"/>
        <w:rPr>
          <w:i/>
          <w:sz w:val="22"/>
        </w:rPr>
      </w:pPr>
      <w:r>
        <w:rPr>
          <w:i/>
          <w:sz w:val="22"/>
        </w:rPr>
        <w:t>« 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000000" w:rsidRDefault="00000000">
      <w:pPr>
        <w:jc w:val="both"/>
        <w:rPr>
          <w:sz w:val="22"/>
        </w:rPr>
      </w:pPr>
    </w:p>
    <w:p w:rsidR="00000000" w:rsidRDefault="00000000">
      <w:pPr>
        <w:jc w:val="both"/>
        <w:rPr>
          <w:sz w:val="22"/>
        </w:rPr>
      </w:pPr>
    </w:p>
    <w:p w:rsidR="00000000" w:rsidRDefault="00000000">
      <w:pPr>
        <w:ind w:left="1425" w:hanging="1425"/>
        <w:rPr>
          <w:b/>
          <w:caps/>
          <w:sz w:val="22"/>
        </w:rPr>
      </w:pPr>
      <w:r>
        <w:rPr>
          <w:b/>
          <w:caps/>
          <w:sz w:val="22"/>
          <w:u w:val="single"/>
        </w:rPr>
        <w:br w:type="page"/>
        <w:t>SECTION</w:t>
      </w:r>
      <w:r>
        <w:rPr>
          <w:b/>
          <w:caps/>
          <w:sz w:val="22"/>
        </w:rPr>
        <w:t xml:space="preserve"> I -</w:t>
      </w:r>
      <w:r>
        <w:rPr>
          <w:b/>
          <w:caps/>
          <w:sz w:val="22"/>
        </w:rPr>
        <w:tab/>
      </w:r>
      <w:r>
        <w:rPr>
          <w:b/>
          <w:caps/>
          <w:sz w:val="22"/>
          <w:u w:val="single"/>
        </w:rPr>
        <w:t>LA conseCRation du principe de l’égalité entre les hommes et les femmes et l’interdiction générale de la discrimination</w:t>
      </w:r>
    </w:p>
    <w:p w:rsidR="00000000" w:rsidRDefault="00000000">
      <w:pPr>
        <w:jc w:val="both"/>
        <w:rPr>
          <w:b/>
          <w:sz w:val="22"/>
        </w:rPr>
      </w:pPr>
    </w:p>
    <w:p w:rsidR="00000000" w:rsidRDefault="00000000">
      <w:pPr>
        <w:jc w:val="both"/>
        <w:rPr>
          <w:b/>
          <w:sz w:val="22"/>
          <w:u w:val="single"/>
        </w:rPr>
      </w:pPr>
      <w:r>
        <w:rPr>
          <w:b/>
          <w:sz w:val="22"/>
        </w:rPr>
        <w:t xml:space="preserve">I- </w:t>
      </w:r>
      <w:r>
        <w:rPr>
          <w:b/>
          <w:sz w:val="22"/>
          <w:u w:val="single"/>
        </w:rPr>
        <w:t>Une reconnaissance traditionnelle</w:t>
      </w:r>
    </w:p>
    <w:p w:rsidR="00000000" w:rsidRDefault="00000000">
      <w:pPr>
        <w:jc w:val="both"/>
        <w:rPr>
          <w:sz w:val="22"/>
        </w:rPr>
      </w:pPr>
    </w:p>
    <w:p w:rsidR="00000000" w:rsidRDefault="00000000">
      <w:pPr>
        <w:jc w:val="both"/>
        <w:rPr>
          <w:sz w:val="22"/>
        </w:rPr>
      </w:pPr>
      <w:r>
        <w:rPr>
          <w:sz w:val="22"/>
        </w:rPr>
        <w:t>Le principe de l’égalité juridique des hommes et des femmes est consacré par les textes nationaux depuis plusieurs décennies.</w:t>
      </w:r>
    </w:p>
    <w:p w:rsidR="00000000" w:rsidRDefault="00000000">
      <w:pPr>
        <w:jc w:val="both"/>
        <w:rPr>
          <w:sz w:val="22"/>
        </w:rPr>
      </w:pPr>
    </w:p>
    <w:p w:rsidR="00000000" w:rsidRDefault="00000000">
      <w:pPr>
        <w:pStyle w:val="BodyText"/>
        <w:rPr>
          <w:sz w:val="22"/>
        </w:rPr>
      </w:pPr>
      <w:r>
        <w:rPr>
          <w:sz w:val="22"/>
        </w:rPr>
        <w:t>La constitution  du 2 mars 1961 se réfère, dans son préambule, à la déclaration de 1789 sur les droits de l’homme et du citoyen et à la déclaration universelle du 10 décembre 1948 qui consacrent l’égalité formelle de l’homme et de la femme. Toutefois, l’article 1 se contente d’assurer « </w:t>
      </w:r>
      <w:r>
        <w:rPr>
          <w:i/>
          <w:sz w:val="22"/>
        </w:rPr>
        <w:t>l’égalité devant la loi de tous les citoyens, sans distinction d’origine, de race ou de religion.</w:t>
      </w:r>
      <w:r>
        <w:rPr>
          <w:sz w:val="22"/>
        </w:rPr>
        <w:t xml:space="preserve"> » Au delà de cette affirmation générale, seule l’égalité entre les sexes en matière de suffrage est reconnue. </w:t>
      </w:r>
    </w:p>
    <w:p w:rsidR="00000000" w:rsidRDefault="00000000">
      <w:pPr>
        <w:pStyle w:val="BodyText"/>
        <w:rPr>
          <w:sz w:val="22"/>
        </w:rPr>
      </w:pPr>
    </w:p>
    <w:p w:rsidR="00000000" w:rsidRDefault="00000000">
      <w:pPr>
        <w:pStyle w:val="BodyText"/>
        <w:rPr>
          <w:sz w:val="22"/>
        </w:rPr>
      </w:pPr>
      <w:r>
        <w:rPr>
          <w:sz w:val="22"/>
        </w:rPr>
        <w:t>L’article 4 de la constitution du 2 mars 1961 stipule :</w:t>
      </w:r>
    </w:p>
    <w:p w:rsidR="00000000" w:rsidRDefault="00000000">
      <w:pPr>
        <w:jc w:val="both"/>
        <w:rPr>
          <w:sz w:val="22"/>
        </w:rPr>
      </w:pPr>
    </w:p>
    <w:p w:rsidR="00000000" w:rsidRDefault="00000000">
      <w:pPr>
        <w:jc w:val="both"/>
        <w:rPr>
          <w:i/>
          <w:sz w:val="22"/>
        </w:rPr>
      </w:pPr>
      <w:r>
        <w:rPr>
          <w:i/>
          <w:sz w:val="22"/>
        </w:rPr>
        <w:t>« Le suffrage est universel, direct, égal et secret. Sont électeurs dans les conditions déterminées par la loi, les nationaux congolais majeurs des deux sexes, jouissant de leurs droits civils et politiques ».</w:t>
      </w:r>
    </w:p>
    <w:p w:rsidR="00000000" w:rsidRDefault="00000000">
      <w:pPr>
        <w:jc w:val="both"/>
        <w:rPr>
          <w:sz w:val="22"/>
        </w:rPr>
      </w:pPr>
    </w:p>
    <w:p w:rsidR="00000000" w:rsidRDefault="00000000">
      <w:pPr>
        <w:jc w:val="both"/>
        <w:rPr>
          <w:sz w:val="22"/>
        </w:rPr>
      </w:pPr>
      <w:r>
        <w:rPr>
          <w:sz w:val="22"/>
        </w:rPr>
        <w:t>La constitution du 8 décembre 1963 « </w:t>
      </w:r>
      <w:r>
        <w:rPr>
          <w:i/>
          <w:sz w:val="22"/>
        </w:rPr>
        <w:t>assure l’égalité devant la loi de tous les citoyens, sans distinction d’origine, de race ou de religion</w:t>
      </w:r>
      <w:r>
        <w:rPr>
          <w:sz w:val="22"/>
        </w:rPr>
        <w:t> » et « </w:t>
      </w:r>
      <w:r>
        <w:rPr>
          <w:i/>
          <w:sz w:val="22"/>
        </w:rPr>
        <w:t>elle garantit à la femme des droits égaux à ceux de l’homme</w:t>
      </w:r>
      <w:r>
        <w:rPr>
          <w:sz w:val="22"/>
        </w:rPr>
        <w:t> »  (article 1). C’est la première fois dans l’histoire constitutionnelle congolaise, qu’un texte consacre formellement l’égalité de l’homme et de la femme. A compter de cette date, tous les textes qui suivront affirmeront l’égalité des sexes dans les domaines de la vie privée, politique et sociale.</w:t>
      </w:r>
    </w:p>
    <w:p w:rsidR="00000000" w:rsidRDefault="00000000">
      <w:pPr>
        <w:jc w:val="both"/>
        <w:rPr>
          <w:sz w:val="22"/>
        </w:rPr>
      </w:pPr>
    </w:p>
    <w:p w:rsidR="00000000" w:rsidRDefault="00000000">
      <w:pPr>
        <w:jc w:val="both"/>
        <w:rPr>
          <w:sz w:val="22"/>
        </w:rPr>
      </w:pPr>
      <w:r>
        <w:rPr>
          <w:sz w:val="22"/>
        </w:rPr>
        <w:t>L’article 18 de la constitution du 30 décembre 1969 dispose : « </w:t>
      </w:r>
      <w:r>
        <w:rPr>
          <w:i/>
          <w:sz w:val="22"/>
        </w:rPr>
        <w:t>la femme a les mêmes droits que l’homme dans les domaines de la vie privée, politique et sociale. Pour un travail égal, la femme a droit au même salaire que l’homme. Elle jouit du même droit en matière d’assurance sociale.</w:t>
      </w:r>
      <w:r>
        <w:rPr>
          <w:sz w:val="22"/>
        </w:rPr>
        <w:t> »</w:t>
      </w:r>
    </w:p>
    <w:p w:rsidR="00000000" w:rsidRDefault="00000000">
      <w:pPr>
        <w:jc w:val="both"/>
        <w:rPr>
          <w:sz w:val="22"/>
        </w:rPr>
      </w:pPr>
      <w:r>
        <w:rPr>
          <w:sz w:val="22"/>
        </w:rPr>
        <w:t>Les articles 17 de la constitution du 24 juin 1973 et de la constitution du 8 juillet 1979 reprennent la même disposition.</w:t>
      </w:r>
    </w:p>
    <w:p w:rsidR="00000000" w:rsidRDefault="00000000">
      <w:pPr>
        <w:jc w:val="both"/>
        <w:rPr>
          <w:sz w:val="22"/>
        </w:rPr>
      </w:pPr>
    </w:p>
    <w:p w:rsidR="00000000" w:rsidRDefault="00000000">
      <w:pPr>
        <w:jc w:val="both"/>
        <w:rPr>
          <w:sz w:val="22"/>
        </w:rPr>
      </w:pPr>
      <w:r>
        <w:rPr>
          <w:sz w:val="22"/>
        </w:rPr>
        <w:t>Aujourd’hui, l’Acte Fondamental du 24 octobre 1997, qui régit les pouvoirs publics pendant la période de transition, maintient cette tradition constitutionnelle.</w:t>
      </w:r>
    </w:p>
    <w:p w:rsidR="00000000" w:rsidRDefault="00000000">
      <w:pPr>
        <w:jc w:val="both"/>
        <w:rPr>
          <w:sz w:val="22"/>
        </w:rPr>
      </w:pPr>
      <w:r>
        <w:rPr>
          <w:sz w:val="22"/>
        </w:rPr>
        <w:t>Article 14 de l’Acte Fondamental</w:t>
      </w:r>
    </w:p>
    <w:p w:rsidR="00000000" w:rsidRDefault="00000000">
      <w:pPr>
        <w:jc w:val="both"/>
        <w:rPr>
          <w:sz w:val="22"/>
        </w:rPr>
      </w:pPr>
      <w:r>
        <w:rPr>
          <w:i/>
          <w:sz w:val="22"/>
        </w:rPr>
        <w:t>« Tous les citoyens congolais sont égaux en droit. Tout acte qui accorde des privilèges à des nationaux ou limite leurs droits en raison de l’origine ethnique ou régionale, de l’opinion politique ou philosophique, de la religion, du sexe ou de l’état physique est contraire au présent Acte Fondamental et puni des peines prévues par la loi. »</w:t>
      </w:r>
    </w:p>
    <w:p w:rsidR="00000000" w:rsidRDefault="00000000">
      <w:pPr>
        <w:jc w:val="both"/>
        <w:rPr>
          <w:sz w:val="22"/>
        </w:rPr>
      </w:pPr>
    </w:p>
    <w:p w:rsidR="00000000" w:rsidRDefault="00000000">
      <w:pPr>
        <w:jc w:val="both"/>
        <w:rPr>
          <w:sz w:val="22"/>
        </w:rPr>
      </w:pPr>
      <w:r>
        <w:rPr>
          <w:sz w:val="22"/>
        </w:rPr>
        <w:t>Article 23 de l’Acte Fondamental</w:t>
      </w:r>
    </w:p>
    <w:p w:rsidR="00000000" w:rsidRDefault="00000000">
      <w:pPr>
        <w:jc w:val="both"/>
        <w:rPr>
          <w:i/>
          <w:sz w:val="22"/>
        </w:rPr>
      </w:pPr>
      <w:r>
        <w:rPr>
          <w:i/>
          <w:sz w:val="22"/>
        </w:rPr>
        <w:t>« La femme a les mêmes droits que l’homme dans les domaines de la vie politique et sociale. Pour un travail égal, la femme a droit au même salaire que l’homme. »</w:t>
      </w:r>
    </w:p>
    <w:p w:rsidR="00000000" w:rsidRDefault="00000000">
      <w:pPr>
        <w:jc w:val="both"/>
        <w:rPr>
          <w:sz w:val="22"/>
        </w:rPr>
      </w:pPr>
    </w:p>
    <w:p w:rsidR="00000000" w:rsidRDefault="00000000">
      <w:pPr>
        <w:jc w:val="both"/>
        <w:rPr>
          <w:sz w:val="22"/>
        </w:rPr>
      </w:pPr>
      <w:r>
        <w:rPr>
          <w:sz w:val="22"/>
        </w:rPr>
        <w:t>L’égalité juridique est aussi consacrée par les textes législatifs et réglementaires :</w:t>
      </w:r>
    </w:p>
    <w:p w:rsidR="00000000" w:rsidRDefault="00000000">
      <w:pPr>
        <w:numPr>
          <w:ilvl w:val="0"/>
          <w:numId w:val="18"/>
        </w:numPr>
        <w:jc w:val="both"/>
        <w:rPr>
          <w:sz w:val="22"/>
        </w:rPr>
      </w:pPr>
      <w:r>
        <w:rPr>
          <w:sz w:val="22"/>
        </w:rPr>
        <w:t>le statut général de la fonction publique :</w:t>
      </w:r>
    </w:p>
    <w:p w:rsidR="00000000" w:rsidRDefault="00000000">
      <w:pPr>
        <w:numPr>
          <w:ilvl w:val="0"/>
          <w:numId w:val="18"/>
        </w:numPr>
        <w:jc w:val="both"/>
        <w:rPr>
          <w:sz w:val="22"/>
        </w:rPr>
      </w:pPr>
      <w:r>
        <w:rPr>
          <w:sz w:val="22"/>
        </w:rPr>
        <w:t>la convention collective de 1960 pour les contractuels ;</w:t>
      </w:r>
    </w:p>
    <w:p w:rsidR="00000000" w:rsidRDefault="00000000">
      <w:pPr>
        <w:pStyle w:val="BodyText"/>
        <w:numPr>
          <w:ilvl w:val="0"/>
          <w:numId w:val="19"/>
        </w:numPr>
        <w:rPr>
          <w:sz w:val="22"/>
        </w:rPr>
      </w:pPr>
      <w:r>
        <w:rPr>
          <w:sz w:val="22"/>
        </w:rPr>
        <w:t>le code de sécurité sociale ;</w:t>
      </w:r>
    </w:p>
    <w:p w:rsidR="00000000" w:rsidRDefault="00000000">
      <w:pPr>
        <w:pStyle w:val="BodyText"/>
        <w:numPr>
          <w:ilvl w:val="0"/>
          <w:numId w:val="19"/>
        </w:numPr>
        <w:rPr>
          <w:sz w:val="22"/>
        </w:rPr>
      </w:pPr>
      <w:r>
        <w:rPr>
          <w:sz w:val="22"/>
        </w:rPr>
        <w:t>le code du travail ;</w:t>
      </w:r>
    </w:p>
    <w:p w:rsidR="00000000" w:rsidRDefault="00000000">
      <w:pPr>
        <w:pStyle w:val="BodyText"/>
        <w:numPr>
          <w:ilvl w:val="0"/>
          <w:numId w:val="19"/>
        </w:numPr>
        <w:rPr>
          <w:sz w:val="22"/>
        </w:rPr>
      </w:pPr>
      <w:r>
        <w:rPr>
          <w:sz w:val="22"/>
        </w:rPr>
        <w:t>le code pénal.</w:t>
      </w:r>
    </w:p>
    <w:p w:rsidR="00000000" w:rsidRDefault="00000000">
      <w:pPr>
        <w:pStyle w:val="BodyText"/>
        <w:rPr>
          <w:sz w:val="22"/>
        </w:rPr>
      </w:pPr>
      <w:r>
        <w:rPr>
          <w:sz w:val="22"/>
        </w:rPr>
        <w:t>La loi n° 021-89 du 14 novembre 1989 portant refonte du statut général de la fonction publique à titre d’exemple, s’applique aux fonctionnaires et agents de l’État sans qu’aucune distinction ne soit établie entre l’homme et la  femme (ceci sous réserve des dispositions spécifiques au congé de maternité) ;</w:t>
      </w:r>
    </w:p>
    <w:p w:rsidR="00000000" w:rsidRDefault="00000000">
      <w:pPr>
        <w:pStyle w:val="BodyText"/>
        <w:rPr>
          <w:sz w:val="22"/>
        </w:rPr>
      </w:pPr>
    </w:p>
    <w:p w:rsidR="00000000" w:rsidRDefault="00000000">
      <w:pPr>
        <w:pStyle w:val="BodyText"/>
        <w:rPr>
          <w:sz w:val="22"/>
        </w:rPr>
      </w:pPr>
      <w:r>
        <w:rPr>
          <w:sz w:val="22"/>
        </w:rPr>
        <w:t>Le principe de l’égalité des sexes et l’interdiction de la discrimination ne résultent pas uniquement de la législation nationale.</w:t>
      </w:r>
    </w:p>
    <w:p w:rsidR="00000000" w:rsidRDefault="00000000">
      <w:pPr>
        <w:pStyle w:val="BodyText"/>
        <w:rPr>
          <w:sz w:val="22"/>
        </w:rPr>
      </w:pPr>
      <w:r>
        <w:rPr>
          <w:sz w:val="22"/>
        </w:rPr>
        <w:t>Les conventions internationales ratifiées par le Congo ont une valeur juridique équivalente à la loi. Par conséquent, elles appartiennent au bloc de légalité et s’appliquent dans l’ordre juridique interne. Les femmes peuvent s’en prévaloir.</w:t>
      </w:r>
    </w:p>
    <w:p w:rsidR="00000000" w:rsidRDefault="00000000">
      <w:pPr>
        <w:pStyle w:val="BodyText"/>
        <w:rPr>
          <w:sz w:val="22"/>
        </w:rPr>
      </w:pPr>
    </w:p>
    <w:p w:rsidR="00000000" w:rsidRDefault="00000000">
      <w:pPr>
        <w:pStyle w:val="BodyText"/>
        <w:rPr>
          <w:sz w:val="22"/>
        </w:rPr>
      </w:pPr>
      <w:r>
        <w:rPr>
          <w:sz w:val="22"/>
        </w:rPr>
        <w:t>Article 81 de l’Acte Fondamental du 24 octobre 1997</w:t>
      </w:r>
    </w:p>
    <w:p w:rsidR="00000000" w:rsidRDefault="00000000">
      <w:pPr>
        <w:pStyle w:val="BodyText"/>
        <w:rPr>
          <w:sz w:val="22"/>
        </w:rPr>
      </w:pPr>
      <w:r>
        <w:rPr>
          <w:i/>
          <w:sz w:val="22"/>
        </w:rPr>
        <w:t>« Les traités ou les accords régulièrement ratifiés ont, dès leur publication, force de loi, sous réserve, pour chaque accord ou traité, de son application par l’autre partie. »</w:t>
      </w:r>
    </w:p>
    <w:p w:rsidR="00000000" w:rsidRDefault="00000000">
      <w:pPr>
        <w:pStyle w:val="BodyText"/>
        <w:rPr>
          <w:sz w:val="22"/>
        </w:rPr>
      </w:pPr>
    </w:p>
    <w:p w:rsidR="00000000" w:rsidRDefault="00000000">
      <w:pPr>
        <w:jc w:val="both"/>
        <w:rPr>
          <w:sz w:val="22"/>
        </w:rPr>
      </w:pPr>
      <w:r>
        <w:rPr>
          <w:sz w:val="22"/>
        </w:rPr>
        <w:t>Ainsi l’affirmation de l’égalité des hommes et des femmes est un acquis indéniable. Elle a pour corollaire l’interdiction  générale de toute inégalité de traitement. Toutefois, on déplore la persistance de discriminations légales auxquelles s’ajoutent des inégalités de fait.</w:t>
      </w:r>
    </w:p>
    <w:p w:rsidR="00000000" w:rsidRDefault="00000000">
      <w:pPr>
        <w:jc w:val="both"/>
        <w:rPr>
          <w:sz w:val="22"/>
        </w:rPr>
      </w:pPr>
    </w:p>
    <w:p w:rsidR="00000000" w:rsidRDefault="00000000">
      <w:pPr>
        <w:jc w:val="both"/>
        <w:rPr>
          <w:b/>
          <w:sz w:val="22"/>
        </w:rPr>
      </w:pPr>
      <w:r>
        <w:rPr>
          <w:b/>
          <w:sz w:val="22"/>
        </w:rPr>
        <w:t xml:space="preserve">II- </w:t>
      </w:r>
      <w:r>
        <w:rPr>
          <w:b/>
          <w:sz w:val="22"/>
          <w:u w:val="single"/>
        </w:rPr>
        <w:t>La persistance des discriminations légales</w:t>
      </w:r>
    </w:p>
    <w:p w:rsidR="00000000" w:rsidRDefault="00000000">
      <w:pPr>
        <w:jc w:val="both"/>
        <w:rPr>
          <w:sz w:val="22"/>
        </w:rPr>
      </w:pPr>
    </w:p>
    <w:p w:rsidR="00000000" w:rsidRDefault="00000000">
      <w:pPr>
        <w:pStyle w:val="BodyText"/>
        <w:rPr>
          <w:sz w:val="22"/>
        </w:rPr>
      </w:pPr>
      <w:r>
        <w:rPr>
          <w:sz w:val="22"/>
        </w:rPr>
        <w:t>Des inégalités juridiques existent en matière de droit du travail, fiscale, pénale et de droit de la famille.</w:t>
      </w:r>
    </w:p>
    <w:p w:rsidR="00000000" w:rsidRDefault="00000000">
      <w:pPr>
        <w:pStyle w:val="BodyText"/>
        <w:rPr>
          <w:sz w:val="22"/>
        </w:rPr>
      </w:pPr>
    </w:p>
    <w:p w:rsidR="00000000" w:rsidRDefault="00000000">
      <w:pPr>
        <w:pStyle w:val="BodyText"/>
        <w:rPr>
          <w:b/>
          <w:sz w:val="22"/>
          <w:u w:val="single"/>
        </w:rPr>
      </w:pPr>
      <w:r>
        <w:rPr>
          <w:b/>
          <w:sz w:val="22"/>
        </w:rPr>
        <w:t xml:space="preserve">A-  </w:t>
      </w:r>
      <w:r>
        <w:rPr>
          <w:b/>
          <w:sz w:val="22"/>
          <w:u w:val="single"/>
        </w:rPr>
        <w:t>Le statut particulier des femmes dans le code du travail</w:t>
      </w:r>
    </w:p>
    <w:p w:rsidR="00000000" w:rsidRDefault="00000000">
      <w:pPr>
        <w:pStyle w:val="BodyText"/>
        <w:rPr>
          <w:sz w:val="22"/>
        </w:rPr>
      </w:pPr>
    </w:p>
    <w:p w:rsidR="00000000" w:rsidRDefault="00000000">
      <w:pPr>
        <w:pStyle w:val="BodyText"/>
        <w:rPr>
          <w:sz w:val="22"/>
        </w:rPr>
      </w:pPr>
      <w:r>
        <w:rPr>
          <w:sz w:val="22"/>
        </w:rPr>
        <w:t>La législation du travail réglemente le travail de nuit des femmes ainsi que leur période de repos.</w:t>
      </w:r>
    </w:p>
    <w:p w:rsidR="00000000" w:rsidRDefault="00000000">
      <w:pPr>
        <w:pStyle w:val="BodyText"/>
        <w:rPr>
          <w:sz w:val="22"/>
        </w:rPr>
      </w:pPr>
    </w:p>
    <w:p w:rsidR="00000000" w:rsidRDefault="00000000">
      <w:pPr>
        <w:pStyle w:val="BodyText"/>
        <w:rPr>
          <w:sz w:val="22"/>
        </w:rPr>
      </w:pPr>
      <w:r>
        <w:rPr>
          <w:b/>
          <w:sz w:val="22"/>
        </w:rPr>
        <w:t xml:space="preserve">1.  </w:t>
      </w:r>
      <w:r>
        <w:rPr>
          <w:b/>
          <w:sz w:val="22"/>
          <w:u w:val="single"/>
        </w:rPr>
        <w:t>Le travail de nuit des femmes</w:t>
      </w:r>
    </w:p>
    <w:p w:rsidR="00000000" w:rsidRDefault="00000000">
      <w:pPr>
        <w:pStyle w:val="BodyText"/>
        <w:rPr>
          <w:sz w:val="22"/>
        </w:rPr>
      </w:pPr>
    </w:p>
    <w:p w:rsidR="00000000" w:rsidRDefault="00000000">
      <w:pPr>
        <w:pStyle w:val="BodyText"/>
        <w:rPr>
          <w:sz w:val="22"/>
        </w:rPr>
      </w:pPr>
      <w:r>
        <w:rPr>
          <w:sz w:val="22"/>
        </w:rPr>
        <w:t>En principe, les femmes ne peuvent être employées dans un travail de nuit. Toutefois, en raison de certaines circonstances, le ministère du travail pourra, après consultation des organisations les plus représentatives d’employeurs et de travailleurs, suspendre cette interdiction (article 108 du code du travail).</w:t>
      </w:r>
    </w:p>
    <w:p w:rsidR="00000000" w:rsidRDefault="00000000">
      <w:pPr>
        <w:pStyle w:val="BodyText"/>
        <w:rPr>
          <w:sz w:val="22"/>
        </w:rPr>
      </w:pPr>
    </w:p>
    <w:p w:rsidR="00000000" w:rsidRDefault="00000000">
      <w:pPr>
        <w:pStyle w:val="BodyText"/>
        <w:rPr>
          <w:b/>
          <w:sz w:val="22"/>
          <w:u w:val="single"/>
        </w:rPr>
      </w:pPr>
      <w:r>
        <w:rPr>
          <w:b/>
          <w:sz w:val="22"/>
        </w:rPr>
        <w:t xml:space="preserve">2.  </w:t>
      </w:r>
      <w:r>
        <w:rPr>
          <w:b/>
          <w:sz w:val="22"/>
          <w:u w:val="single"/>
        </w:rPr>
        <w:t>Le droit au repos des femmes</w:t>
      </w:r>
    </w:p>
    <w:p w:rsidR="00000000" w:rsidRDefault="00000000">
      <w:pPr>
        <w:pStyle w:val="BodyText"/>
        <w:rPr>
          <w:sz w:val="22"/>
        </w:rPr>
      </w:pPr>
    </w:p>
    <w:p w:rsidR="00000000" w:rsidRDefault="00000000">
      <w:pPr>
        <w:pStyle w:val="BodyText"/>
        <w:rPr>
          <w:sz w:val="22"/>
        </w:rPr>
      </w:pPr>
      <w:r>
        <w:rPr>
          <w:sz w:val="22"/>
        </w:rPr>
        <w:t>Les femmes ont droit à un repos journalier qui doit avoir une durée de 11 heures consécutives au moins. Cette période de repos court à partir de 20 heures. Des dérogations sont admises pour les femmes travaillant dans les services d’hygiène, du bien-être et qui n’effectuent pas normalement un travail manuel (article 109 du code du travail).</w:t>
      </w:r>
    </w:p>
    <w:p w:rsidR="00000000" w:rsidRDefault="00000000">
      <w:pPr>
        <w:pStyle w:val="BodyText"/>
        <w:rPr>
          <w:sz w:val="22"/>
        </w:rPr>
      </w:pPr>
    </w:p>
    <w:p w:rsidR="00000000" w:rsidRDefault="00000000">
      <w:pPr>
        <w:pStyle w:val="BodyText"/>
        <w:rPr>
          <w:b/>
          <w:sz w:val="22"/>
          <w:u w:val="single"/>
        </w:rPr>
      </w:pPr>
      <w:r>
        <w:rPr>
          <w:b/>
          <w:sz w:val="22"/>
        </w:rPr>
        <w:t xml:space="preserve">B-  </w:t>
      </w:r>
      <w:r>
        <w:rPr>
          <w:b/>
          <w:sz w:val="22"/>
          <w:u w:val="single"/>
        </w:rPr>
        <w:t>Le droit de la famille</w:t>
      </w:r>
    </w:p>
    <w:p w:rsidR="00000000" w:rsidRDefault="00000000">
      <w:pPr>
        <w:pStyle w:val="BodyText"/>
        <w:rPr>
          <w:sz w:val="22"/>
        </w:rPr>
      </w:pPr>
    </w:p>
    <w:p w:rsidR="00000000" w:rsidRDefault="00000000">
      <w:pPr>
        <w:pStyle w:val="BodyText"/>
        <w:rPr>
          <w:sz w:val="22"/>
        </w:rPr>
      </w:pPr>
      <w:r>
        <w:rPr>
          <w:sz w:val="22"/>
        </w:rPr>
        <w:t>Le droit congolais de la famille est le résultat d’une évolution qui a permis à la femme de passer du statut d’incapable majeur à celui de majeur (voir supra). Plusieurs discriminations demeurent, cependant. Le domicile conjugal est choisi par les deux époux. Toutefois, en cas de désaccord, le choix de l’époux prédominera (article 171 du code de la famille). Survivance de plusieurs siècles de supériorité de l’homme sur la femme, l’homme demeure le chef de famille. La femme peut exercer librement l’activité de son choix. Cependant, l’époux peut lorsque l’intérêt du ménage l’exige, obtenir du juge l’interdiction d’exercer une activité. La pré-mariée qui a décidé de cohabiter avec le pré-marié n’intervient pas dans le choix du domicile. Il lui est imposé par son partenaire.</w:t>
      </w:r>
    </w:p>
    <w:p w:rsidR="00000000" w:rsidRDefault="00000000">
      <w:pPr>
        <w:pStyle w:val="BodyText"/>
        <w:rPr>
          <w:sz w:val="22"/>
        </w:rPr>
      </w:pPr>
    </w:p>
    <w:p w:rsidR="00000000" w:rsidRDefault="00000000">
      <w:pPr>
        <w:pStyle w:val="BodyText"/>
        <w:rPr>
          <w:b/>
          <w:sz w:val="22"/>
          <w:u w:val="single"/>
        </w:rPr>
      </w:pPr>
      <w:r>
        <w:rPr>
          <w:b/>
          <w:sz w:val="22"/>
        </w:rPr>
        <w:t xml:space="preserve">C-  </w:t>
      </w:r>
      <w:r>
        <w:rPr>
          <w:b/>
          <w:sz w:val="22"/>
          <w:u w:val="single"/>
        </w:rPr>
        <w:t>Le droit pénal</w:t>
      </w:r>
    </w:p>
    <w:p w:rsidR="00000000" w:rsidRDefault="00000000">
      <w:pPr>
        <w:pStyle w:val="BodyText"/>
        <w:rPr>
          <w:sz w:val="22"/>
        </w:rPr>
      </w:pPr>
    </w:p>
    <w:p w:rsidR="00000000" w:rsidRDefault="00000000">
      <w:pPr>
        <w:pStyle w:val="BodyText"/>
        <w:rPr>
          <w:sz w:val="22"/>
        </w:rPr>
      </w:pPr>
      <w:r>
        <w:rPr>
          <w:sz w:val="22"/>
        </w:rPr>
        <w:t>Les dispositions relatives à l’adultère sont de nature discriminatoire pour la femme.</w:t>
      </w:r>
    </w:p>
    <w:p w:rsidR="00000000" w:rsidRDefault="00000000">
      <w:pPr>
        <w:pStyle w:val="BodyText"/>
        <w:rPr>
          <w:sz w:val="22"/>
        </w:rPr>
      </w:pPr>
    </w:p>
    <w:p w:rsidR="00000000" w:rsidRDefault="00000000">
      <w:pPr>
        <w:pStyle w:val="BodyText"/>
        <w:rPr>
          <w:sz w:val="22"/>
        </w:rPr>
      </w:pPr>
      <w:r>
        <w:rPr>
          <w:b/>
          <w:sz w:val="22"/>
        </w:rPr>
        <w:t xml:space="preserve">1.  </w:t>
      </w:r>
      <w:r>
        <w:rPr>
          <w:b/>
          <w:sz w:val="22"/>
          <w:u w:val="single"/>
        </w:rPr>
        <w:t>L’incrimination de l’adultère</w:t>
      </w:r>
    </w:p>
    <w:p w:rsidR="00000000" w:rsidRDefault="00000000">
      <w:pPr>
        <w:pStyle w:val="BodyText"/>
        <w:rPr>
          <w:sz w:val="22"/>
        </w:rPr>
      </w:pPr>
    </w:p>
    <w:p w:rsidR="00000000" w:rsidRDefault="00000000">
      <w:pPr>
        <w:pStyle w:val="BodyText"/>
        <w:rPr>
          <w:sz w:val="22"/>
        </w:rPr>
      </w:pPr>
      <w:r>
        <w:rPr>
          <w:sz w:val="22"/>
        </w:rPr>
        <w:t>Plusieurs discriminations existent en matière pénale. Elles sont relatives à l’adultère.</w:t>
      </w:r>
    </w:p>
    <w:p w:rsidR="00000000" w:rsidRDefault="00000000">
      <w:pPr>
        <w:pStyle w:val="BodyText"/>
        <w:rPr>
          <w:sz w:val="22"/>
        </w:rPr>
      </w:pPr>
      <w:r>
        <w:rPr>
          <w:sz w:val="22"/>
        </w:rPr>
        <w:t>Le code pénal traite différemment l’adultère de l’époux et de l’épouse. La femme est convaincue d’adultère dès lors qu’elle entretient des relations extraconjugales. Tandis que pour l’homme, il faut qu’il entretienne une concubine dans le domicile conjugal (article 336 du code pénal). Toutefois, dans le cadre d’ « un ménage polygame, les relations extraconjugales peuvent être assimilées à des recherches tendant à contracter des mariages » (Cour suprême, n° 28 du 16 avril 1971 MILANDOU Zéphirin contre DIANGOUAYA Germaine).</w:t>
      </w:r>
    </w:p>
    <w:p w:rsidR="00000000" w:rsidRDefault="00000000">
      <w:pPr>
        <w:pStyle w:val="BodyText"/>
        <w:rPr>
          <w:sz w:val="22"/>
        </w:rPr>
      </w:pPr>
    </w:p>
    <w:p w:rsidR="00000000" w:rsidRDefault="00000000">
      <w:pPr>
        <w:pStyle w:val="BodyText"/>
        <w:rPr>
          <w:b/>
          <w:sz w:val="22"/>
          <w:u w:val="single"/>
        </w:rPr>
      </w:pPr>
      <w:r>
        <w:rPr>
          <w:b/>
          <w:sz w:val="22"/>
        </w:rPr>
        <w:t xml:space="preserve">2.  </w:t>
      </w:r>
      <w:r>
        <w:rPr>
          <w:b/>
          <w:sz w:val="22"/>
          <w:u w:val="single"/>
        </w:rPr>
        <w:t>L’assassinat de l’épouse adultère</w:t>
      </w:r>
    </w:p>
    <w:p w:rsidR="00000000" w:rsidRDefault="00000000">
      <w:pPr>
        <w:pStyle w:val="BodyText"/>
        <w:rPr>
          <w:sz w:val="22"/>
        </w:rPr>
      </w:pPr>
    </w:p>
    <w:p w:rsidR="00000000" w:rsidRDefault="00000000">
      <w:pPr>
        <w:pStyle w:val="BodyText"/>
        <w:rPr>
          <w:sz w:val="22"/>
        </w:rPr>
      </w:pPr>
      <w:r>
        <w:rPr>
          <w:sz w:val="22"/>
        </w:rPr>
        <w:t>Le code pénal libère l’époux de sa responsabilité en cas de meurtre commis sur l’épouse adultérienne et sur son amant dans l’hypothèse d’un flagrant délit survenu dans le domicile conjugal (article 334 du code pénal). Cette infraction ne bénéficie nullement à l’épouse qui commet une infraction identique. Ceci a pour conséquence que l’épouse qui réalise un tel acte est responsable d’homicide. Sa responsabilité n’est pas susceptible d’être levée. Elle est, par conséquent, soumise à un régime plus sévère.</w:t>
      </w:r>
    </w:p>
    <w:p w:rsidR="00000000" w:rsidRDefault="00000000">
      <w:pPr>
        <w:pStyle w:val="BodyText"/>
        <w:rPr>
          <w:sz w:val="22"/>
        </w:rPr>
      </w:pPr>
    </w:p>
    <w:p w:rsidR="00000000" w:rsidRDefault="00000000">
      <w:pPr>
        <w:pStyle w:val="BodyText"/>
        <w:rPr>
          <w:b/>
          <w:sz w:val="22"/>
          <w:u w:val="single"/>
        </w:rPr>
      </w:pPr>
      <w:r>
        <w:rPr>
          <w:b/>
          <w:sz w:val="22"/>
        </w:rPr>
        <w:t xml:space="preserve">D-  </w:t>
      </w:r>
      <w:r>
        <w:rPr>
          <w:b/>
          <w:sz w:val="22"/>
          <w:u w:val="single"/>
        </w:rPr>
        <w:t>Les discriminations en matière fiscale</w:t>
      </w:r>
    </w:p>
    <w:p w:rsidR="00000000" w:rsidRDefault="00000000">
      <w:pPr>
        <w:pStyle w:val="BodyText"/>
        <w:rPr>
          <w:sz w:val="22"/>
        </w:rPr>
      </w:pPr>
    </w:p>
    <w:p w:rsidR="00000000" w:rsidRDefault="00000000">
      <w:pPr>
        <w:pStyle w:val="BodyText"/>
        <w:rPr>
          <w:sz w:val="22"/>
        </w:rPr>
      </w:pPr>
      <w:r>
        <w:rPr>
          <w:sz w:val="22"/>
        </w:rPr>
        <w:t>De manière générale, le code général des impôts consacre l’égalité en matière d’imposition. Toutefois, l’on note la persistance de l’inégalité en ce qui concerne l’imposition du couple. En l’absence de mariage, chacun est imposé en qualité de célibataire. Dans le cadre du mariage, la femme est considérée comme une incapable majeure en matière fiscale. Les inégalités de fait qui viennent s’ajouter aux discriminations légales limitent l’effectivité du principe d’égalité.</w:t>
      </w:r>
    </w:p>
    <w:p w:rsidR="00000000" w:rsidRDefault="00000000">
      <w:pPr>
        <w:pStyle w:val="BodyText"/>
        <w:rPr>
          <w:sz w:val="22"/>
        </w:rPr>
      </w:pPr>
    </w:p>
    <w:p w:rsidR="00000000" w:rsidRDefault="00000000">
      <w:pPr>
        <w:pStyle w:val="BodyText"/>
        <w:rPr>
          <w:b/>
          <w:sz w:val="22"/>
          <w:u w:val="single"/>
        </w:rPr>
      </w:pPr>
      <w:r>
        <w:rPr>
          <w:b/>
          <w:sz w:val="22"/>
        </w:rPr>
        <w:t xml:space="preserve">III-  </w:t>
      </w:r>
      <w:r>
        <w:rPr>
          <w:b/>
          <w:sz w:val="22"/>
          <w:u w:val="single"/>
        </w:rPr>
        <w:t>Les inégalités de fait</w:t>
      </w:r>
    </w:p>
    <w:p w:rsidR="00000000" w:rsidRDefault="00000000">
      <w:pPr>
        <w:pStyle w:val="BodyText"/>
        <w:rPr>
          <w:sz w:val="22"/>
        </w:rPr>
      </w:pPr>
    </w:p>
    <w:p w:rsidR="00000000" w:rsidRDefault="00000000">
      <w:pPr>
        <w:pStyle w:val="BodyText"/>
        <w:rPr>
          <w:sz w:val="22"/>
        </w:rPr>
      </w:pPr>
      <w:r>
        <w:rPr>
          <w:sz w:val="22"/>
        </w:rPr>
        <w:t>Les coutumes congolaises continuent de s’appliquer en dépit de l’existence d’un système juridique moderne et de leur abrogation formelle. Ce dualisme juridique contribue à la persistance de certaines normes coutumières défavorables à la femme. A cela s’ajoute le poids des préjugés et d’une culture patriarcale basée sur l’inégalité entre les sexes et sur la supériorité des hommes sur les femmes. Ces pratiques illégales sont néfastes, elles ne contribuent pas à la promotion et à l’émancipation des femmes.</w:t>
      </w:r>
    </w:p>
    <w:p w:rsidR="00000000" w:rsidRDefault="00000000">
      <w:pPr>
        <w:pStyle w:val="BodyText"/>
        <w:rPr>
          <w:sz w:val="22"/>
        </w:rPr>
      </w:pPr>
    </w:p>
    <w:p w:rsidR="00000000" w:rsidRDefault="00000000">
      <w:pPr>
        <w:pStyle w:val="BodyText"/>
        <w:rPr>
          <w:sz w:val="22"/>
        </w:rPr>
      </w:pPr>
      <w:r>
        <w:rPr>
          <w:sz w:val="22"/>
        </w:rPr>
        <w:t>Parmi celles-ci, on peut citer :</w:t>
      </w:r>
    </w:p>
    <w:p w:rsidR="00000000" w:rsidRDefault="00000000">
      <w:pPr>
        <w:pStyle w:val="BodyText"/>
        <w:numPr>
          <w:ilvl w:val="0"/>
          <w:numId w:val="23"/>
        </w:numPr>
        <w:rPr>
          <w:sz w:val="22"/>
        </w:rPr>
      </w:pPr>
      <w:r>
        <w:rPr>
          <w:sz w:val="22"/>
        </w:rPr>
        <w:t>les tabous et interdits alimentaires ;</w:t>
      </w:r>
    </w:p>
    <w:p w:rsidR="00000000" w:rsidRDefault="00000000">
      <w:pPr>
        <w:pStyle w:val="BodyText"/>
        <w:numPr>
          <w:ilvl w:val="0"/>
          <w:numId w:val="23"/>
        </w:numPr>
        <w:rPr>
          <w:sz w:val="22"/>
        </w:rPr>
      </w:pPr>
      <w:r>
        <w:rPr>
          <w:sz w:val="22"/>
        </w:rPr>
        <w:t>les rites de veuvage abusifs ;</w:t>
      </w:r>
    </w:p>
    <w:p w:rsidR="00000000" w:rsidRDefault="00000000">
      <w:pPr>
        <w:pStyle w:val="BodyText"/>
        <w:numPr>
          <w:ilvl w:val="0"/>
          <w:numId w:val="23"/>
        </w:numPr>
        <w:rPr>
          <w:sz w:val="22"/>
        </w:rPr>
      </w:pPr>
      <w:r>
        <w:rPr>
          <w:sz w:val="22"/>
        </w:rPr>
        <w:t>l’assujettissement de la femme en matière sexuelle et en matière de santé de la reproduction ;</w:t>
      </w:r>
    </w:p>
    <w:p w:rsidR="00000000" w:rsidRDefault="00000000">
      <w:pPr>
        <w:pStyle w:val="BodyText"/>
        <w:numPr>
          <w:ilvl w:val="0"/>
          <w:numId w:val="23"/>
        </w:numPr>
        <w:rPr>
          <w:sz w:val="22"/>
        </w:rPr>
      </w:pPr>
      <w:r>
        <w:rPr>
          <w:sz w:val="22"/>
        </w:rPr>
        <w:t xml:space="preserve">les difficultés d’accès à la succession ; </w:t>
      </w:r>
    </w:p>
    <w:p w:rsidR="00000000" w:rsidRDefault="00000000">
      <w:pPr>
        <w:pStyle w:val="BodyText"/>
        <w:numPr>
          <w:ilvl w:val="0"/>
          <w:numId w:val="23"/>
        </w:numPr>
        <w:rPr>
          <w:sz w:val="22"/>
        </w:rPr>
      </w:pPr>
      <w:r>
        <w:rPr>
          <w:sz w:val="22"/>
        </w:rPr>
        <w:t>le lévirat ;</w:t>
      </w:r>
    </w:p>
    <w:p w:rsidR="00000000" w:rsidRDefault="00000000">
      <w:pPr>
        <w:pStyle w:val="BodyText"/>
        <w:numPr>
          <w:ilvl w:val="0"/>
          <w:numId w:val="23"/>
        </w:numPr>
        <w:rPr>
          <w:sz w:val="22"/>
        </w:rPr>
      </w:pPr>
      <w:r>
        <w:rPr>
          <w:sz w:val="22"/>
        </w:rPr>
        <w:t xml:space="preserve">les violences ; </w:t>
      </w:r>
    </w:p>
    <w:p w:rsidR="00000000" w:rsidRDefault="00000000">
      <w:pPr>
        <w:pStyle w:val="BodyText"/>
        <w:numPr>
          <w:ilvl w:val="0"/>
          <w:numId w:val="23"/>
        </w:numPr>
        <w:rPr>
          <w:sz w:val="22"/>
        </w:rPr>
      </w:pPr>
      <w:r>
        <w:rPr>
          <w:sz w:val="22"/>
        </w:rPr>
        <w:t>les difficultés d’accès au crédit.</w:t>
      </w:r>
    </w:p>
    <w:p w:rsidR="00000000" w:rsidRDefault="00000000">
      <w:pPr>
        <w:tabs>
          <w:tab w:val="left" w:pos="1521"/>
        </w:tabs>
        <w:ind w:left="1521" w:hanging="1521"/>
        <w:jc w:val="both"/>
        <w:rPr>
          <w:b/>
          <w:sz w:val="22"/>
          <w:u w:val="single"/>
        </w:rPr>
      </w:pPr>
      <w:r>
        <w:rPr>
          <w:b/>
          <w:sz w:val="22"/>
          <w:u w:val="single"/>
        </w:rPr>
        <w:t>SECTION</w:t>
      </w:r>
      <w:r>
        <w:rPr>
          <w:b/>
          <w:sz w:val="22"/>
        </w:rPr>
        <w:t xml:space="preserve"> II -</w:t>
      </w:r>
      <w:r>
        <w:rPr>
          <w:b/>
          <w:sz w:val="22"/>
        </w:rPr>
        <w:tab/>
      </w:r>
      <w:r>
        <w:rPr>
          <w:b/>
          <w:sz w:val="22"/>
          <w:u w:val="single"/>
        </w:rPr>
        <w:t>LES MESURES POLITIQUES, SOCIALES ET ECONOMIQUES VISANT A ASSURER LA PROMOTION DES FEMMES</w:t>
      </w:r>
    </w:p>
    <w:p w:rsidR="00000000" w:rsidRDefault="00000000">
      <w:pPr>
        <w:pStyle w:val="BodyText"/>
        <w:rPr>
          <w:sz w:val="22"/>
        </w:rPr>
      </w:pPr>
    </w:p>
    <w:p w:rsidR="00000000" w:rsidRDefault="00000000">
      <w:pPr>
        <w:pStyle w:val="BodyText"/>
        <w:rPr>
          <w:sz w:val="22"/>
        </w:rPr>
      </w:pPr>
      <w:r>
        <w:rPr>
          <w:sz w:val="22"/>
        </w:rPr>
        <w:t>Conscientes de leurs responsabilités, les femmes se sont très tôt organisées en associations. Le 05 mars 1965, elles créent l’Union Révolutionnaire des Femmes du Congo (URFC) qui sera, jusqu’en 1990, dans le cadre du parti État, l’organisation compétente en matière de promotion de la femme. A partir de 1990, on assiste à la multiplication des organisations non gouvernementales et associations féminines. Avant la création du département chargé de la promotion de la femme en 1990, l’Union Révolutionnaire des Femmes du Congo (URFC) et le Ministère des Affaires Sociales étaient les seules institutions compétentes en matière d’intégration de la femme au développement.</w:t>
      </w:r>
    </w:p>
    <w:p w:rsidR="00000000" w:rsidRDefault="00000000">
      <w:pPr>
        <w:pStyle w:val="BodyText"/>
        <w:rPr>
          <w:sz w:val="22"/>
        </w:rPr>
      </w:pPr>
    </w:p>
    <w:p w:rsidR="00000000" w:rsidRDefault="00000000">
      <w:pPr>
        <w:pStyle w:val="BodyText"/>
        <w:rPr>
          <w:b/>
          <w:sz w:val="22"/>
          <w:u w:val="single"/>
        </w:rPr>
      </w:pPr>
      <w:r>
        <w:rPr>
          <w:b/>
          <w:sz w:val="22"/>
        </w:rPr>
        <w:t xml:space="preserve">I- </w:t>
      </w:r>
      <w:r>
        <w:rPr>
          <w:b/>
          <w:sz w:val="22"/>
          <w:u w:val="single"/>
        </w:rPr>
        <w:t>Les mécanismes institutionnels avant 1990</w:t>
      </w:r>
    </w:p>
    <w:p w:rsidR="00000000" w:rsidRDefault="00000000">
      <w:pPr>
        <w:pStyle w:val="BodyText"/>
        <w:rPr>
          <w:sz w:val="22"/>
        </w:rPr>
      </w:pPr>
    </w:p>
    <w:p w:rsidR="00000000" w:rsidRDefault="00000000">
      <w:pPr>
        <w:pStyle w:val="BodyText"/>
        <w:rPr>
          <w:sz w:val="22"/>
        </w:rPr>
      </w:pPr>
      <w:r>
        <w:rPr>
          <w:sz w:val="22"/>
        </w:rPr>
        <w:t>Avant 1990, l’Union Révolutionnaire des Femmes du Congo (URFC) et la Direction Générale des Affaires Sociales (DGAS) rattachée au Ministère des Affaires Sociales, intervenaient en matière de promotion de la femme.</w:t>
      </w:r>
    </w:p>
    <w:p w:rsidR="00000000" w:rsidRDefault="00000000">
      <w:pPr>
        <w:pStyle w:val="BodyText"/>
        <w:rPr>
          <w:sz w:val="22"/>
        </w:rPr>
      </w:pPr>
    </w:p>
    <w:p w:rsidR="00000000" w:rsidRDefault="00000000">
      <w:pPr>
        <w:pStyle w:val="BodyText"/>
        <w:rPr>
          <w:sz w:val="22"/>
        </w:rPr>
      </w:pPr>
    </w:p>
    <w:p w:rsidR="00000000" w:rsidRDefault="00000000">
      <w:pPr>
        <w:pStyle w:val="BodyText"/>
        <w:rPr>
          <w:sz w:val="22"/>
        </w:rPr>
      </w:pPr>
      <w:r>
        <w:rPr>
          <w:b/>
          <w:sz w:val="22"/>
        </w:rPr>
        <w:t xml:space="preserve">A- </w:t>
      </w:r>
      <w:r>
        <w:rPr>
          <w:b/>
          <w:sz w:val="22"/>
          <w:u w:val="single"/>
        </w:rPr>
        <w:t xml:space="preserve">L’Union Révolutionnaire des Femmes du Congo </w:t>
      </w:r>
    </w:p>
    <w:p w:rsidR="00000000" w:rsidRDefault="00000000">
      <w:pPr>
        <w:pStyle w:val="BodyText"/>
        <w:rPr>
          <w:sz w:val="22"/>
        </w:rPr>
      </w:pPr>
    </w:p>
    <w:p w:rsidR="00000000" w:rsidRDefault="00000000">
      <w:pPr>
        <w:pStyle w:val="BodyText"/>
        <w:rPr>
          <w:sz w:val="22"/>
        </w:rPr>
      </w:pPr>
      <w:r>
        <w:rPr>
          <w:sz w:val="22"/>
        </w:rPr>
        <w:t>Dans le cadre du parti-Etat, la représentation des intérêts des femmes et la promotion de leurs droits relevaient, à titre principal, de l’Union Révolutionnaire des Femmes du Congo (URFC). Cette institution va, par la suite, devenir l’organisation féminine du Parti Congolais du Travail (PCT). A partir de 1986, elle est structurée en unions catégorielles réparties en quatre sections afin de mobiliser les couches féminines en fonction de leur intérêt.</w:t>
      </w:r>
    </w:p>
    <w:p w:rsidR="00000000" w:rsidRDefault="00000000">
      <w:pPr>
        <w:pStyle w:val="BodyText"/>
        <w:rPr>
          <w:sz w:val="22"/>
        </w:rPr>
      </w:pPr>
    </w:p>
    <w:p w:rsidR="00000000" w:rsidRDefault="00000000">
      <w:pPr>
        <w:pStyle w:val="BodyText"/>
        <w:numPr>
          <w:ilvl w:val="0"/>
          <w:numId w:val="24"/>
        </w:numPr>
        <w:rPr>
          <w:sz w:val="22"/>
        </w:rPr>
      </w:pPr>
      <w:r>
        <w:rPr>
          <w:sz w:val="22"/>
        </w:rPr>
        <w:t>l’Union des Femmes Travailleuses (UFT) ;</w:t>
      </w:r>
    </w:p>
    <w:p w:rsidR="00000000" w:rsidRDefault="00000000">
      <w:pPr>
        <w:pStyle w:val="BodyText"/>
        <w:numPr>
          <w:ilvl w:val="0"/>
          <w:numId w:val="24"/>
        </w:numPr>
        <w:rPr>
          <w:sz w:val="22"/>
        </w:rPr>
      </w:pPr>
      <w:r>
        <w:rPr>
          <w:sz w:val="22"/>
        </w:rPr>
        <w:t>l’Union des Femmes Paysannes (UFP) ;</w:t>
      </w:r>
    </w:p>
    <w:p w:rsidR="00000000" w:rsidRDefault="00000000">
      <w:pPr>
        <w:pStyle w:val="BodyText"/>
        <w:numPr>
          <w:ilvl w:val="0"/>
          <w:numId w:val="24"/>
        </w:numPr>
        <w:rPr>
          <w:sz w:val="22"/>
        </w:rPr>
      </w:pPr>
      <w:r>
        <w:rPr>
          <w:sz w:val="22"/>
        </w:rPr>
        <w:t>l’Union des Femmes Commerçantes, Vendeuses et  Artisanes (UFCVA) ;</w:t>
      </w:r>
    </w:p>
    <w:p w:rsidR="00000000" w:rsidRDefault="00000000">
      <w:pPr>
        <w:pStyle w:val="BodyText"/>
        <w:numPr>
          <w:ilvl w:val="0"/>
          <w:numId w:val="24"/>
        </w:numPr>
        <w:rPr>
          <w:sz w:val="22"/>
        </w:rPr>
      </w:pPr>
      <w:r>
        <w:rPr>
          <w:sz w:val="22"/>
        </w:rPr>
        <w:t>l’Union des Femmes Ménagères et des  Mutualistes (UFMM).</w:t>
      </w:r>
    </w:p>
    <w:p w:rsidR="00000000" w:rsidRDefault="00000000">
      <w:pPr>
        <w:pStyle w:val="BodyText"/>
        <w:rPr>
          <w:sz w:val="22"/>
        </w:rPr>
      </w:pPr>
    </w:p>
    <w:p w:rsidR="00000000" w:rsidRDefault="00000000">
      <w:pPr>
        <w:pStyle w:val="BodyText"/>
        <w:rPr>
          <w:b/>
          <w:sz w:val="22"/>
          <w:u w:val="single"/>
        </w:rPr>
      </w:pPr>
      <w:r>
        <w:rPr>
          <w:b/>
          <w:sz w:val="22"/>
        </w:rPr>
        <w:t xml:space="preserve">B- </w:t>
      </w:r>
      <w:r>
        <w:rPr>
          <w:b/>
          <w:sz w:val="22"/>
          <w:u w:val="single"/>
        </w:rPr>
        <w:t xml:space="preserve">La Direction Générale des Affaires Sociales </w:t>
      </w:r>
    </w:p>
    <w:p w:rsidR="00000000" w:rsidRDefault="00000000">
      <w:pPr>
        <w:pStyle w:val="BodyText"/>
        <w:rPr>
          <w:sz w:val="22"/>
        </w:rPr>
      </w:pPr>
    </w:p>
    <w:p w:rsidR="00000000" w:rsidRDefault="00000000">
      <w:pPr>
        <w:pStyle w:val="BodyText"/>
        <w:rPr>
          <w:sz w:val="22"/>
        </w:rPr>
      </w:pPr>
      <w:r>
        <w:rPr>
          <w:sz w:val="22"/>
        </w:rPr>
        <w:t xml:space="preserve">La Direction Générale des Affaires Sociales (DGAS), relevant de la tutelle du Ministère des Affaires Sociales, avait notamment pour mission de promouvoir l’autonomie des personnes et des communautés, en particulier celles qui se trouvent en difficulté, afin d’assurer leur intégration au processus de développement national. Elle intervenait par le biais de la direction de la promotion de la femme instituée en son sein. L’URFC et la DGAS ont joué un rôle déterminant dans le processus de l’émancipation de la femme congolaise. Toutefois, avec la disparition du monopartisme et l’installation du multipartisme, de nouvelles organisations féminines vont  voir le jour. </w:t>
      </w:r>
    </w:p>
    <w:p w:rsidR="00000000" w:rsidRDefault="00000000">
      <w:pPr>
        <w:pStyle w:val="BodyText"/>
        <w:rPr>
          <w:b/>
          <w:sz w:val="22"/>
        </w:rPr>
      </w:pPr>
    </w:p>
    <w:p w:rsidR="00000000" w:rsidRDefault="00000000">
      <w:pPr>
        <w:pStyle w:val="BodyText"/>
        <w:rPr>
          <w:b/>
          <w:sz w:val="22"/>
          <w:u w:val="single"/>
        </w:rPr>
      </w:pPr>
      <w:r>
        <w:rPr>
          <w:b/>
          <w:sz w:val="22"/>
        </w:rPr>
        <w:t xml:space="preserve">II- </w:t>
      </w:r>
      <w:r>
        <w:rPr>
          <w:b/>
          <w:sz w:val="22"/>
          <w:u w:val="single"/>
        </w:rPr>
        <w:t>La multiplication des associations et organisations non gouvernementales féminines</w:t>
      </w:r>
    </w:p>
    <w:p w:rsidR="00000000" w:rsidRDefault="00000000">
      <w:pPr>
        <w:pStyle w:val="BodyText"/>
        <w:rPr>
          <w:sz w:val="22"/>
        </w:rPr>
      </w:pPr>
    </w:p>
    <w:p w:rsidR="00000000" w:rsidRDefault="00000000">
      <w:pPr>
        <w:pStyle w:val="BodyText"/>
        <w:rPr>
          <w:sz w:val="22"/>
        </w:rPr>
      </w:pPr>
      <w:r>
        <w:rPr>
          <w:sz w:val="22"/>
        </w:rPr>
        <w:t>A la faveur du multipartisme, l’on assiste, à partir de 1990, à la création de plusieurs organisations non gouvernementales et associations féminines. Plus de 400 organisations non gouvernementales sont recensées et elles interviennent dans divers domaines notamment :</w:t>
      </w:r>
    </w:p>
    <w:p w:rsidR="00000000" w:rsidRDefault="00000000">
      <w:pPr>
        <w:pStyle w:val="BodyText"/>
        <w:rPr>
          <w:sz w:val="22"/>
        </w:rPr>
      </w:pPr>
    </w:p>
    <w:p w:rsidR="00000000" w:rsidRDefault="00000000">
      <w:pPr>
        <w:pStyle w:val="BodyText"/>
        <w:numPr>
          <w:ilvl w:val="0"/>
          <w:numId w:val="25"/>
        </w:numPr>
        <w:rPr>
          <w:sz w:val="22"/>
        </w:rPr>
      </w:pPr>
      <w:r>
        <w:rPr>
          <w:sz w:val="22"/>
        </w:rPr>
        <w:t>la paix ;</w:t>
      </w:r>
    </w:p>
    <w:p w:rsidR="00000000" w:rsidRDefault="00000000">
      <w:pPr>
        <w:pStyle w:val="BodyText"/>
        <w:numPr>
          <w:ilvl w:val="0"/>
          <w:numId w:val="25"/>
        </w:numPr>
        <w:rPr>
          <w:sz w:val="22"/>
        </w:rPr>
      </w:pPr>
      <w:r>
        <w:rPr>
          <w:sz w:val="22"/>
        </w:rPr>
        <w:t>le développement économique ;</w:t>
      </w:r>
    </w:p>
    <w:p w:rsidR="00000000" w:rsidRDefault="00000000">
      <w:pPr>
        <w:pStyle w:val="BodyText"/>
        <w:numPr>
          <w:ilvl w:val="0"/>
          <w:numId w:val="25"/>
        </w:numPr>
        <w:rPr>
          <w:sz w:val="22"/>
        </w:rPr>
      </w:pPr>
      <w:r>
        <w:rPr>
          <w:sz w:val="22"/>
        </w:rPr>
        <w:t>la santé ;</w:t>
      </w:r>
    </w:p>
    <w:p w:rsidR="00000000" w:rsidRDefault="00000000">
      <w:pPr>
        <w:pStyle w:val="BodyText"/>
        <w:numPr>
          <w:ilvl w:val="0"/>
          <w:numId w:val="25"/>
        </w:numPr>
        <w:rPr>
          <w:sz w:val="22"/>
        </w:rPr>
      </w:pPr>
      <w:r>
        <w:rPr>
          <w:sz w:val="22"/>
        </w:rPr>
        <w:t>le droit ;</w:t>
      </w:r>
    </w:p>
    <w:p w:rsidR="00000000" w:rsidRDefault="00000000">
      <w:pPr>
        <w:pStyle w:val="BodyText"/>
        <w:numPr>
          <w:ilvl w:val="0"/>
          <w:numId w:val="25"/>
        </w:numPr>
        <w:rPr>
          <w:sz w:val="22"/>
        </w:rPr>
      </w:pPr>
      <w:r>
        <w:rPr>
          <w:sz w:val="22"/>
        </w:rPr>
        <w:t>l’éducation ;</w:t>
      </w:r>
    </w:p>
    <w:p w:rsidR="00000000" w:rsidRDefault="00000000">
      <w:pPr>
        <w:pStyle w:val="BodyText"/>
        <w:numPr>
          <w:ilvl w:val="0"/>
          <w:numId w:val="25"/>
        </w:numPr>
        <w:rPr>
          <w:sz w:val="22"/>
        </w:rPr>
      </w:pPr>
      <w:r>
        <w:rPr>
          <w:sz w:val="22"/>
        </w:rPr>
        <w:t>l’assistance aux enfants en détresse ;</w:t>
      </w:r>
    </w:p>
    <w:p w:rsidR="00000000" w:rsidRDefault="00000000">
      <w:pPr>
        <w:pStyle w:val="BodyText"/>
        <w:numPr>
          <w:ilvl w:val="0"/>
          <w:numId w:val="25"/>
        </w:numPr>
        <w:rPr>
          <w:sz w:val="22"/>
        </w:rPr>
      </w:pPr>
      <w:r>
        <w:rPr>
          <w:sz w:val="22"/>
        </w:rPr>
        <w:t>les personnes handicapées.</w:t>
      </w:r>
    </w:p>
    <w:p w:rsidR="00000000" w:rsidRDefault="00000000">
      <w:pPr>
        <w:pStyle w:val="BodyText"/>
        <w:rPr>
          <w:sz w:val="22"/>
        </w:rPr>
      </w:pPr>
    </w:p>
    <w:p w:rsidR="00000000" w:rsidRDefault="00000000">
      <w:pPr>
        <w:pStyle w:val="BodyText"/>
        <w:rPr>
          <w:sz w:val="22"/>
        </w:rPr>
      </w:pPr>
      <w:r>
        <w:rPr>
          <w:sz w:val="22"/>
        </w:rPr>
        <w:t>La multiplication du nombre des organisations non gouvernementales et des associations féminines traduit le dynamisme et la solidarité croissante des femmes. Les organisations non gouvernementales et les associations se sont regroupées en réseaux qui sont des institutions qui assurent le lobbying des activités des femmes. Il s’agit notamment de :</w:t>
      </w:r>
    </w:p>
    <w:p w:rsidR="00000000" w:rsidRDefault="00000000">
      <w:pPr>
        <w:pStyle w:val="BodyText"/>
        <w:rPr>
          <w:sz w:val="22"/>
        </w:rPr>
      </w:pPr>
    </w:p>
    <w:p w:rsidR="00000000" w:rsidRDefault="00000000">
      <w:pPr>
        <w:pStyle w:val="BodyText"/>
        <w:numPr>
          <w:ilvl w:val="0"/>
          <w:numId w:val="26"/>
        </w:numPr>
        <w:rPr>
          <w:sz w:val="22"/>
        </w:rPr>
      </w:pPr>
      <w:r>
        <w:rPr>
          <w:sz w:val="22"/>
        </w:rPr>
        <w:t>Coordination des ONGs féminines ;</w:t>
      </w:r>
    </w:p>
    <w:p w:rsidR="00000000" w:rsidRDefault="00000000">
      <w:pPr>
        <w:pStyle w:val="BodyText"/>
        <w:numPr>
          <w:ilvl w:val="0"/>
          <w:numId w:val="26"/>
        </w:numPr>
        <w:rPr>
          <w:sz w:val="22"/>
        </w:rPr>
      </w:pPr>
      <w:r>
        <w:rPr>
          <w:sz w:val="22"/>
        </w:rPr>
        <w:t>Réseau Femmes et Paix ;</w:t>
      </w:r>
    </w:p>
    <w:p w:rsidR="00000000" w:rsidRDefault="00000000">
      <w:pPr>
        <w:pStyle w:val="BodyText"/>
        <w:numPr>
          <w:ilvl w:val="0"/>
          <w:numId w:val="26"/>
        </w:numPr>
        <w:rPr>
          <w:sz w:val="22"/>
        </w:rPr>
      </w:pPr>
      <w:r>
        <w:rPr>
          <w:sz w:val="22"/>
        </w:rPr>
        <w:t>Réseau africain de Soutien à l’Entreprenariat Féminin (RASEF) ;</w:t>
      </w:r>
    </w:p>
    <w:p w:rsidR="00000000" w:rsidRDefault="00000000">
      <w:pPr>
        <w:pStyle w:val="BodyText"/>
        <w:numPr>
          <w:ilvl w:val="0"/>
          <w:numId w:val="26"/>
        </w:numPr>
        <w:rPr>
          <w:sz w:val="22"/>
        </w:rPr>
      </w:pPr>
      <w:r>
        <w:rPr>
          <w:sz w:val="22"/>
        </w:rPr>
        <w:t>Réseau UNESCO – Relais Femme ;</w:t>
      </w:r>
    </w:p>
    <w:p w:rsidR="00000000" w:rsidRDefault="00000000">
      <w:pPr>
        <w:pStyle w:val="BodyText"/>
        <w:numPr>
          <w:ilvl w:val="0"/>
          <w:numId w:val="26"/>
        </w:numPr>
        <w:rPr>
          <w:sz w:val="22"/>
        </w:rPr>
      </w:pPr>
      <w:r>
        <w:rPr>
          <w:sz w:val="22"/>
        </w:rPr>
        <w:t>Réseau des Femmes de l’Afrique Centrale (RESEFAC) ;</w:t>
      </w:r>
    </w:p>
    <w:p w:rsidR="00000000" w:rsidRDefault="00000000">
      <w:pPr>
        <w:pStyle w:val="BodyText"/>
        <w:numPr>
          <w:ilvl w:val="0"/>
          <w:numId w:val="26"/>
        </w:numPr>
        <w:rPr>
          <w:sz w:val="22"/>
        </w:rPr>
      </w:pPr>
      <w:r>
        <w:rPr>
          <w:sz w:val="22"/>
        </w:rPr>
        <w:t>Association des femmes ministres et parlementaires.</w:t>
      </w:r>
    </w:p>
    <w:p w:rsidR="00000000" w:rsidRDefault="00000000">
      <w:pPr>
        <w:pStyle w:val="BodyText"/>
        <w:rPr>
          <w:sz w:val="22"/>
        </w:rPr>
      </w:pPr>
    </w:p>
    <w:p w:rsidR="00000000" w:rsidRDefault="00000000">
      <w:pPr>
        <w:pStyle w:val="BodyText"/>
        <w:rPr>
          <w:sz w:val="22"/>
        </w:rPr>
      </w:pPr>
    </w:p>
    <w:p w:rsidR="00000000" w:rsidRDefault="00000000">
      <w:pPr>
        <w:pStyle w:val="BodyText"/>
        <w:rPr>
          <w:b/>
          <w:sz w:val="22"/>
          <w:u w:val="single"/>
        </w:rPr>
      </w:pPr>
      <w:r>
        <w:rPr>
          <w:b/>
          <w:sz w:val="22"/>
        </w:rPr>
        <w:t xml:space="preserve">III- </w:t>
      </w:r>
      <w:r>
        <w:rPr>
          <w:b/>
          <w:sz w:val="22"/>
          <w:u w:val="single"/>
        </w:rPr>
        <w:t>L’institutionnalisation du département chargé de la promotion de la femme</w:t>
      </w:r>
    </w:p>
    <w:p w:rsidR="00000000" w:rsidRDefault="00000000">
      <w:pPr>
        <w:pStyle w:val="BodyText"/>
        <w:rPr>
          <w:sz w:val="22"/>
        </w:rPr>
      </w:pPr>
    </w:p>
    <w:p w:rsidR="00000000" w:rsidRDefault="00000000">
      <w:pPr>
        <w:pStyle w:val="BodyText"/>
        <w:rPr>
          <w:sz w:val="22"/>
        </w:rPr>
      </w:pPr>
      <w:r>
        <w:rPr>
          <w:sz w:val="22"/>
        </w:rPr>
        <w:t>La création de la direction de l’intégration de la femme au développement (DIFD), en 1990, a précédé celle du Ministère en charge de l’intégration de la femme au développement, en 1992.</w:t>
      </w:r>
    </w:p>
    <w:p w:rsidR="00000000" w:rsidRDefault="00000000">
      <w:pPr>
        <w:pStyle w:val="BodyText"/>
        <w:rPr>
          <w:sz w:val="22"/>
        </w:rPr>
      </w:pPr>
    </w:p>
    <w:p w:rsidR="00000000" w:rsidRDefault="00000000">
      <w:pPr>
        <w:pStyle w:val="BodyText"/>
        <w:rPr>
          <w:b/>
          <w:sz w:val="22"/>
        </w:rPr>
      </w:pPr>
      <w:r>
        <w:rPr>
          <w:b/>
          <w:sz w:val="22"/>
        </w:rPr>
        <w:t xml:space="preserve">A- </w:t>
      </w:r>
      <w:r>
        <w:rPr>
          <w:b/>
          <w:sz w:val="22"/>
          <w:u w:val="single"/>
        </w:rPr>
        <w:t>La direction de l’intégration de la femme au développement</w:t>
      </w:r>
    </w:p>
    <w:p w:rsidR="00000000" w:rsidRDefault="00000000">
      <w:pPr>
        <w:pStyle w:val="BodyText"/>
        <w:rPr>
          <w:sz w:val="22"/>
        </w:rPr>
      </w:pPr>
    </w:p>
    <w:p w:rsidR="00000000" w:rsidRDefault="00000000">
      <w:pPr>
        <w:pStyle w:val="BodyText"/>
        <w:rPr>
          <w:sz w:val="22"/>
        </w:rPr>
      </w:pPr>
      <w:r>
        <w:rPr>
          <w:sz w:val="22"/>
        </w:rPr>
        <w:t>La direction de l’intégration de la femme au développement (DIFD) est créée au sein du Ministère du Plan et de l’Economie avec l’appui du Programme des Nations Unies pour le Développement (PNUD). Elle est chargée d’une part, de déterminer et d’exécuter la politique de l’intégration de la femme au développement et de coordonner des projets d’assistance, d’autre part. La direction de l’intégration de la femme au développement (DIFD) va jouer un rôle décisif. Elle contribuera à faire des questions de genre, une priorité au niveau des pouvoirs publics et à susciter de nombreux projets qui auront un impact réel sur les femmes. Malheureusement, simple direction centrale, elle ne disposait pas de l’autorité nécessaire. Ces limites justifient la création du Ministère de l’Intégration de la Femme au Développement (MIFD) en 1992.</w:t>
      </w:r>
    </w:p>
    <w:p w:rsidR="00000000" w:rsidRDefault="00000000">
      <w:pPr>
        <w:pStyle w:val="BodyText"/>
        <w:rPr>
          <w:sz w:val="22"/>
        </w:rPr>
      </w:pPr>
    </w:p>
    <w:p w:rsidR="00000000" w:rsidRDefault="00000000">
      <w:pPr>
        <w:pStyle w:val="BodyText"/>
        <w:rPr>
          <w:sz w:val="22"/>
        </w:rPr>
      </w:pPr>
      <w:r>
        <w:rPr>
          <w:b/>
          <w:sz w:val="22"/>
        </w:rPr>
        <w:t xml:space="preserve">B- </w:t>
      </w:r>
      <w:r>
        <w:rPr>
          <w:b/>
          <w:sz w:val="22"/>
          <w:u w:val="single"/>
        </w:rPr>
        <w:t>Le Ministère chargé de l’Intégration de la Femme au Développement</w:t>
      </w:r>
    </w:p>
    <w:p w:rsidR="00000000" w:rsidRDefault="00000000">
      <w:pPr>
        <w:pStyle w:val="BodyText"/>
        <w:rPr>
          <w:sz w:val="22"/>
        </w:rPr>
      </w:pPr>
    </w:p>
    <w:p w:rsidR="00000000" w:rsidRDefault="00000000">
      <w:pPr>
        <w:pStyle w:val="BodyText"/>
        <w:rPr>
          <w:sz w:val="22"/>
        </w:rPr>
      </w:pPr>
      <w:r>
        <w:rPr>
          <w:sz w:val="22"/>
        </w:rPr>
        <w:t>Pour la première fois au Congo, un département ministériel à part entière est chargé des questions de femmes. Ce dispositif institutionnel vient consacrer les efforts entrepris par tant de personnes engagées au service de la promotion de la femme.</w:t>
      </w:r>
    </w:p>
    <w:p w:rsidR="00000000" w:rsidRDefault="00000000">
      <w:pPr>
        <w:pStyle w:val="BodyText"/>
        <w:rPr>
          <w:sz w:val="22"/>
        </w:rPr>
      </w:pPr>
    </w:p>
    <w:p w:rsidR="00000000" w:rsidRDefault="00000000">
      <w:pPr>
        <w:pStyle w:val="BodyText"/>
        <w:rPr>
          <w:sz w:val="22"/>
        </w:rPr>
      </w:pPr>
      <w:r>
        <w:rPr>
          <w:sz w:val="22"/>
        </w:rPr>
        <w:t>Aujourd’hui, suite au réaménagement gouvernemental opéré, le département de la promotion de la femme est rattaché au Ministère de la Fonction Publique et des Réformes Administratives (Décret n° 99-212 du 31 octobre 1999). En son sein, la Direction Générale de la Promotion de la Femme (DGPF) est l’organe chargé de la mise en œuvre de la politique nationale en matière de promotion de la femme (Décret    n° 99-211 du 31 octobre 1999). Elle est structurée ainsi qu’il suit :</w:t>
      </w:r>
    </w:p>
    <w:p w:rsidR="00000000" w:rsidRDefault="00000000">
      <w:pPr>
        <w:pStyle w:val="BodyText"/>
        <w:rPr>
          <w:sz w:val="22"/>
        </w:rPr>
      </w:pPr>
    </w:p>
    <w:p w:rsidR="00000000" w:rsidRDefault="00000000">
      <w:pPr>
        <w:pStyle w:val="BodyText"/>
        <w:numPr>
          <w:ilvl w:val="0"/>
          <w:numId w:val="27"/>
        </w:numPr>
        <w:rPr>
          <w:sz w:val="22"/>
        </w:rPr>
      </w:pPr>
      <w:r>
        <w:rPr>
          <w:sz w:val="22"/>
        </w:rPr>
        <w:t>la direction de la promotion de la femme ;</w:t>
      </w:r>
    </w:p>
    <w:p w:rsidR="00000000" w:rsidRDefault="00000000">
      <w:pPr>
        <w:pStyle w:val="BodyText"/>
        <w:numPr>
          <w:ilvl w:val="0"/>
          <w:numId w:val="27"/>
        </w:numPr>
        <w:rPr>
          <w:sz w:val="22"/>
        </w:rPr>
      </w:pPr>
      <w:r>
        <w:rPr>
          <w:sz w:val="22"/>
        </w:rPr>
        <w:t>la direction de la formation, de l’animation et de la vulgarisation ;</w:t>
      </w:r>
    </w:p>
    <w:p w:rsidR="00000000" w:rsidRDefault="00000000">
      <w:pPr>
        <w:pStyle w:val="BodyText"/>
        <w:numPr>
          <w:ilvl w:val="0"/>
          <w:numId w:val="27"/>
        </w:numPr>
        <w:rPr>
          <w:sz w:val="22"/>
        </w:rPr>
      </w:pPr>
      <w:r>
        <w:rPr>
          <w:sz w:val="22"/>
        </w:rPr>
        <w:t>la direction de la famille ;</w:t>
      </w:r>
    </w:p>
    <w:p w:rsidR="00000000" w:rsidRDefault="00000000">
      <w:pPr>
        <w:pStyle w:val="BodyText"/>
        <w:numPr>
          <w:ilvl w:val="0"/>
          <w:numId w:val="27"/>
        </w:numPr>
        <w:rPr>
          <w:sz w:val="22"/>
        </w:rPr>
      </w:pPr>
      <w:r>
        <w:rPr>
          <w:sz w:val="22"/>
        </w:rPr>
        <w:t>la direction administrative et financière ;</w:t>
      </w:r>
    </w:p>
    <w:p w:rsidR="00000000" w:rsidRDefault="00000000">
      <w:pPr>
        <w:pStyle w:val="BodyText"/>
        <w:numPr>
          <w:ilvl w:val="0"/>
          <w:numId w:val="27"/>
        </w:numPr>
        <w:rPr>
          <w:sz w:val="22"/>
        </w:rPr>
      </w:pPr>
      <w:r>
        <w:rPr>
          <w:sz w:val="22"/>
        </w:rPr>
        <w:t>les directions régionales de la promotion de la femme, qui lui sont rattachées.</w:t>
      </w:r>
    </w:p>
    <w:p w:rsidR="00000000" w:rsidRDefault="00000000">
      <w:pPr>
        <w:pStyle w:val="BodyText"/>
        <w:rPr>
          <w:sz w:val="22"/>
        </w:rPr>
      </w:pPr>
    </w:p>
    <w:p w:rsidR="00000000" w:rsidRDefault="00000000">
      <w:pPr>
        <w:pStyle w:val="BodyText"/>
        <w:rPr>
          <w:sz w:val="22"/>
        </w:rPr>
      </w:pPr>
      <w:r>
        <w:rPr>
          <w:sz w:val="22"/>
        </w:rPr>
        <w:t>Les directions régionales de la promotion de la femme permettent de tenir compte des besoins spécifiques des femmes de l’hinterland notamment des femmes rurales. La Direction de la Coopération et la Direction des Etudes et de la Planification sont rattachées directement au Cabinet. La Direction Générale de la Promotion de la Femme a exécuté de nombreuses activités retenues par les ministères successifs chargés de la promotion de la femme.</w:t>
      </w:r>
    </w:p>
    <w:p w:rsidR="00000000" w:rsidRDefault="00000000">
      <w:pPr>
        <w:pStyle w:val="BodyText"/>
        <w:rPr>
          <w:sz w:val="22"/>
        </w:rPr>
      </w:pPr>
    </w:p>
    <w:p w:rsidR="00000000" w:rsidRDefault="00000000">
      <w:pPr>
        <w:pStyle w:val="BodyText"/>
        <w:ind w:left="284" w:hanging="284"/>
        <w:rPr>
          <w:b/>
          <w:sz w:val="22"/>
          <w:u w:val="single"/>
        </w:rPr>
      </w:pPr>
      <w:r>
        <w:rPr>
          <w:b/>
          <w:sz w:val="22"/>
        </w:rPr>
        <w:t xml:space="preserve">IV- </w:t>
      </w:r>
      <w:r>
        <w:rPr>
          <w:b/>
          <w:sz w:val="22"/>
          <w:u w:val="single"/>
        </w:rPr>
        <w:t xml:space="preserve">Bilan des activités réalisées par le ministère chargé de la Promotion de la Femme </w:t>
      </w:r>
    </w:p>
    <w:p w:rsidR="00000000" w:rsidRDefault="00000000">
      <w:pPr>
        <w:pStyle w:val="BodyText"/>
        <w:rPr>
          <w:sz w:val="22"/>
        </w:rPr>
      </w:pPr>
    </w:p>
    <w:p w:rsidR="00000000" w:rsidRDefault="00000000">
      <w:pPr>
        <w:pStyle w:val="BodyText"/>
        <w:rPr>
          <w:sz w:val="22"/>
        </w:rPr>
      </w:pPr>
      <w:r>
        <w:rPr>
          <w:sz w:val="22"/>
        </w:rPr>
        <w:t>Le ministère chargé de la Promotion de la Femme a à son actif plusieurs réalisations. Celles-ci ont été exécutées sur le budget de l’Etat avec l’appui des agences de développement :</w:t>
      </w:r>
    </w:p>
    <w:p w:rsidR="00000000" w:rsidRDefault="00000000">
      <w:pPr>
        <w:pStyle w:val="BodyText"/>
        <w:rPr>
          <w:sz w:val="22"/>
        </w:rPr>
      </w:pPr>
    </w:p>
    <w:p w:rsidR="00000000" w:rsidRDefault="00000000">
      <w:pPr>
        <w:pStyle w:val="BodyText"/>
        <w:numPr>
          <w:ilvl w:val="0"/>
          <w:numId w:val="28"/>
        </w:numPr>
        <w:rPr>
          <w:sz w:val="22"/>
        </w:rPr>
      </w:pPr>
      <w:r>
        <w:rPr>
          <w:sz w:val="22"/>
        </w:rPr>
        <w:t>Le projet renforcement des capacités nationales en genre et développement (PRC/94/001) concerne les structures gouvernementales et les organisations non gouvernementales et associations. Il vise la prise en compte des besoins et des intérêts des femmes dans les projets et les programmes de développement par le biais, notamment, de la formation et dans le cadre de la maison de la femme. Plusieurs activités de formation ont été assurées dans ce cadre. Il s’agit de :</w:t>
      </w:r>
    </w:p>
    <w:p w:rsidR="00000000" w:rsidRDefault="00000000">
      <w:pPr>
        <w:pStyle w:val="BodyText"/>
        <w:numPr>
          <w:ilvl w:val="0"/>
          <w:numId w:val="29"/>
        </w:numPr>
        <w:ind w:left="475" w:hanging="135"/>
        <w:rPr>
          <w:sz w:val="22"/>
        </w:rPr>
      </w:pPr>
      <w:r>
        <w:rPr>
          <w:sz w:val="22"/>
        </w:rPr>
        <w:t>un atelier de formation en genre et développement au cours duquel 32 responsables d’associations et de groupements ont été formés ainsi que 7 cadres du ministère chargé de la promotion de la femme ;</w:t>
      </w:r>
    </w:p>
    <w:p w:rsidR="00000000" w:rsidRDefault="00000000">
      <w:pPr>
        <w:pStyle w:val="BodyText"/>
        <w:numPr>
          <w:ilvl w:val="0"/>
          <w:numId w:val="29"/>
        </w:numPr>
        <w:ind w:left="475" w:hanging="135"/>
        <w:rPr>
          <w:sz w:val="22"/>
        </w:rPr>
      </w:pPr>
      <w:r>
        <w:rPr>
          <w:sz w:val="22"/>
        </w:rPr>
        <w:t>la formation des organisations non gouvernementales et groupements en technique d’élaboration de projet ;</w:t>
      </w:r>
    </w:p>
    <w:p w:rsidR="00000000" w:rsidRDefault="00000000">
      <w:pPr>
        <w:pStyle w:val="BodyText"/>
        <w:rPr>
          <w:sz w:val="22"/>
        </w:rPr>
      </w:pPr>
    </w:p>
    <w:p w:rsidR="00000000" w:rsidRDefault="00000000">
      <w:pPr>
        <w:pStyle w:val="BodyText"/>
        <w:numPr>
          <w:ilvl w:val="0"/>
          <w:numId w:val="31"/>
        </w:numPr>
        <w:rPr>
          <w:sz w:val="22"/>
        </w:rPr>
      </w:pPr>
      <w:r>
        <w:rPr>
          <w:sz w:val="22"/>
        </w:rPr>
        <w:t>Le projet d’appui au système de crédit pour les femmes du secteur informel (PRC/93/002) vise la mise en place d’un système de crédit adapté aux besoins des femmes du secteur informel et des  agricultrices. Ce projet a été réalisé à Brazzaville, Mindouli, Pointe-Noire, Dolisie, Sibiti et Owando.</w:t>
      </w:r>
    </w:p>
    <w:p w:rsidR="00000000" w:rsidRDefault="00000000">
      <w:pPr>
        <w:pStyle w:val="BodyText"/>
        <w:rPr>
          <w:sz w:val="22"/>
        </w:rPr>
      </w:pPr>
    </w:p>
    <w:p w:rsidR="00000000" w:rsidRDefault="00000000">
      <w:pPr>
        <w:pStyle w:val="BodyText"/>
        <w:rPr>
          <w:sz w:val="22"/>
        </w:rPr>
      </w:pPr>
      <w:r>
        <w:rPr>
          <w:sz w:val="22"/>
        </w:rPr>
        <w:t>Les animatrices des caisses de Brazzaville et de Mindouli ont été formées par un volontaire des Nations Unies (ONU). Les directrices des caisses de Pointe-Noire, Dolisie, Owando et Sibiti ont été initiées aux techniques de gestion d’une caisse. Quatre vingt et une (81) femmes ont été formées à Mindouli et, 104 femmes à Brazzaville, en matière de gestion d’une micro activité ;</w:t>
      </w:r>
    </w:p>
    <w:p w:rsidR="00000000" w:rsidRDefault="00000000">
      <w:pPr>
        <w:pStyle w:val="BodyText"/>
        <w:rPr>
          <w:sz w:val="22"/>
        </w:rPr>
      </w:pPr>
    </w:p>
    <w:p w:rsidR="00000000" w:rsidRDefault="00000000">
      <w:pPr>
        <w:pStyle w:val="BodyText"/>
        <w:numPr>
          <w:ilvl w:val="0"/>
          <w:numId w:val="32"/>
        </w:numPr>
        <w:rPr>
          <w:sz w:val="22"/>
        </w:rPr>
      </w:pPr>
      <w:r>
        <w:rPr>
          <w:sz w:val="22"/>
        </w:rPr>
        <w:t>Le stage de perfectionnement sur le développement communautaire et les micro-projets réalisé en mai 1997 à Brazzaville, avait pour objectif le perfectionnement des connaissances théoriques et pratiques en matière de planification des projets communautaires lucratifs. Ce stage a été organisé avec le soutien de l’État d’Israël, il a duré trois semaines. Trente (30) femmes ont été formées aux techniques d’élaboration des projets et à la gestion de ceux-ci ;</w:t>
      </w:r>
    </w:p>
    <w:p w:rsidR="00000000" w:rsidRDefault="00000000">
      <w:pPr>
        <w:pStyle w:val="BodyText"/>
        <w:rPr>
          <w:sz w:val="22"/>
        </w:rPr>
      </w:pPr>
    </w:p>
    <w:p w:rsidR="00000000" w:rsidRDefault="00000000">
      <w:pPr>
        <w:pStyle w:val="BodyText"/>
        <w:numPr>
          <w:ilvl w:val="0"/>
          <w:numId w:val="35"/>
        </w:numPr>
        <w:rPr>
          <w:sz w:val="22"/>
        </w:rPr>
      </w:pPr>
      <w:r>
        <w:rPr>
          <w:sz w:val="22"/>
        </w:rPr>
        <w:t>Le projet d’appui à la promotion et à l’intégration des femmes dans le développement rural (TCP/PRC/4452 (A)) a été financé par la FAO. Il a permis de former une centaine de cadres et de responsables d’organisations non gouvernementales en analyse différentielle du genre à Brazzaville et dans quatre (4) régions. En outre, six (6) études de faisabilité de micro-projet ont été faites. Ce projet aura contribué à la maîtrise des nombreuses contraintes qui limitent le développement des activités des femmes rurales. Il a débouché sur l’élaboration d’un « Plan d’Action pour l’intégration des femmes dans le développement agricole et rural » ;</w:t>
      </w:r>
    </w:p>
    <w:p w:rsidR="00000000" w:rsidRDefault="00000000">
      <w:pPr>
        <w:pStyle w:val="BodyText"/>
        <w:rPr>
          <w:sz w:val="22"/>
        </w:rPr>
      </w:pPr>
    </w:p>
    <w:p w:rsidR="00000000" w:rsidRDefault="00000000">
      <w:pPr>
        <w:pStyle w:val="BodyText"/>
        <w:numPr>
          <w:ilvl w:val="0"/>
          <w:numId w:val="33"/>
        </w:numPr>
        <w:rPr>
          <w:sz w:val="22"/>
        </w:rPr>
      </w:pPr>
      <w:r>
        <w:rPr>
          <w:sz w:val="22"/>
        </w:rPr>
        <w:t xml:space="preserve">L’appui aux associations féminines pour la production de semences de cultures vivrières </w:t>
      </w:r>
    </w:p>
    <w:p w:rsidR="00000000" w:rsidRDefault="00000000">
      <w:pPr>
        <w:pStyle w:val="BodyText"/>
        <w:ind w:left="426"/>
        <w:rPr>
          <w:sz w:val="22"/>
        </w:rPr>
      </w:pPr>
      <w:r>
        <w:rPr>
          <w:sz w:val="22"/>
        </w:rPr>
        <w:t>( TCP/PRC/6611).</w:t>
      </w:r>
    </w:p>
    <w:p w:rsidR="00000000" w:rsidRDefault="00000000">
      <w:pPr>
        <w:pStyle w:val="BodyText"/>
        <w:rPr>
          <w:sz w:val="22"/>
        </w:rPr>
      </w:pPr>
    </w:p>
    <w:p w:rsidR="00000000" w:rsidRDefault="00000000">
      <w:pPr>
        <w:pStyle w:val="BodyText"/>
        <w:rPr>
          <w:sz w:val="22"/>
        </w:rPr>
      </w:pPr>
      <w:r>
        <w:rPr>
          <w:sz w:val="22"/>
        </w:rPr>
        <w:t>Cette activité a pour objectif la relance de l’approvisionnement des semences améliorées des groupements producteurs des cultures vivrières à travers un appui à la production des semences par les associations féminines dans les régions de la Bouenza, du Pool et des Plateaux. Une session de formation à l’endroit de cinquante (50) paysannes multiplicatrices, d’animatrices, de responsables des groupements féminins et de cadres de terrain a été organisée.</w:t>
      </w:r>
    </w:p>
    <w:p w:rsidR="00000000" w:rsidRDefault="00000000">
      <w:pPr>
        <w:pStyle w:val="BodyText"/>
        <w:rPr>
          <w:sz w:val="22"/>
        </w:rPr>
      </w:pPr>
    </w:p>
    <w:p w:rsidR="00000000" w:rsidRDefault="00000000">
      <w:pPr>
        <w:pStyle w:val="BodyText"/>
        <w:rPr>
          <w:sz w:val="22"/>
        </w:rPr>
      </w:pPr>
      <w:r>
        <w:rPr>
          <w:sz w:val="22"/>
        </w:rPr>
        <w:t>Des semences ont été distribuées au profit de :</w:t>
      </w:r>
    </w:p>
    <w:p w:rsidR="00000000" w:rsidRDefault="00000000">
      <w:pPr>
        <w:pStyle w:val="BodyText"/>
        <w:numPr>
          <w:ilvl w:val="0"/>
          <w:numId w:val="34"/>
        </w:numPr>
        <w:rPr>
          <w:sz w:val="22"/>
        </w:rPr>
      </w:pPr>
      <w:r>
        <w:rPr>
          <w:sz w:val="22"/>
        </w:rPr>
        <w:t>16 femmes à Kimpalanga (Bouenza) ;</w:t>
      </w:r>
    </w:p>
    <w:p w:rsidR="00000000" w:rsidRDefault="00000000">
      <w:pPr>
        <w:pStyle w:val="BodyText"/>
        <w:numPr>
          <w:ilvl w:val="0"/>
          <w:numId w:val="34"/>
        </w:numPr>
        <w:rPr>
          <w:sz w:val="22"/>
        </w:rPr>
      </w:pPr>
      <w:r>
        <w:rPr>
          <w:sz w:val="22"/>
        </w:rPr>
        <w:t>10 femmes à Madiadia (Bouenza) ;</w:t>
      </w:r>
    </w:p>
    <w:p w:rsidR="00000000" w:rsidRDefault="00000000">
      <w:pPr>
        <w:pStyle w:val="BodyText"/>
        <w:numPr>
          <w:ilvl w:val="0"/>
          <w:numId w:val="34"/>
        </w:numPr>
        <w:rPr>
          <w:sz w:val="22"/>
        </w:rPr>
      </w:pPr>
      <w:r>
        <w:rPr>
          <w:sz w:val="22"/>
        </w:rPr>
        <w:t>6 hommes à Kimpalanga (Bouenza) ;</w:t>
      </w:r>
    </w:p>
    <w:p w:rsidR="00000000" w:rsidRDefault="00000000">
      <w:pPr>
        <w:pStyle w:val="BodyText"/>
        <w:numPr>
          <w:ilvl w:val="0"/>
          <w:numId w:val="34"/>
        </w:numPr>
        <w:rPr>
          <w:sz w:val="22"/>
        </w:rPr>
      </w:pPr>
      <w:r>
        <w:rPr>
          <w:sz w:val="22"/>
        </w:rPr>
        <w:t>10 hommes à Moukeko (Sangha) ;</w:t>
      </w:r>
    </w:p>
    <w:p w:rsidR="00000000" w:rsidRDefault="00000000">
      <w:pPr>
        <w:pStyle w:val="BodyText"/>
        <w:numPr>
          <w:ilvl w:val="0"/>
          <w:numId w:val="34"/>
        </w:numPr>
        <w:rPr>
          <w:sz w:val="22"/>
        </w:rPr>
      </w:pPr>
      <w:r>
        <w:rPr>
          <w:sz w:val="22"/>
        </w:rPr>
        <w:t>10 femmes à Mathy (Pool) et</w:t>
      </w:r>
    </w:p>
    <w:p w:rsidR="00000000" w:rsidRDefault="00000000">
      <w:pPr>
        <w:pStyle w:val="BodyText"/>
        <w:numPr>
          <w:ilvl w:val="0"/>
          <w:numId w:val="34"/>
        </w:numPr>
        <w:rPr>
          <w:sz w:val="22"/>
        </w:rPr>
      </w:pPr>
      <w:r>
        <w:rPr>
          <w:sz w:val="22"/>
        </w:rPr>
        <w:t>les religieuses de Linzolo (Pool) ;</w:t>
      </w:r>
    </w:p>
    <w:p w:rsidR="00000000" w:rsidRDefault="00000000">
      <w:pPr>
        <w:pStyle w:val="BodyText"/>
        <w:rPr>
          <w:sz w:val="22"/>
        </w:rPr>
      </w:pPr>
    </w:p>
    <w:p w:rsidR="00000000" w:rsidRDefault="00000000">
      <w:pPr>
        <w:pStyle w:val="BodyText"/>
        <w:numPr>
          <w:ilvl w:val="0"/>
          <w:numId w:val="36"/>
        </w:numPr>
        <w:rPr>
          <w:sz w:val="22"/>
        </w:rPr>
      </w:pPr>
      <w:r>
        <w:rPr>
          <w:sz w:val="22"/>
        </w:rPr>
        <w:t>Le projet renforcement des capacités nationales de mise en œuvre des activités de la femme (PRC/96/PO1) poursuit l’amélioration du bien-être familial ainsi que l’intégration des femmes au développement. Ce projet reçoit l’appui du FNUAP, il a à son actif plusieurs réalisations. Il s’agit de :</w:t>
      </w:r>
    </w:p>
    <w:p w:rsidR="00000000" w:rsidRDefault="00000000">
      <w:pPr>
        <w:pStyle w:val="BodyText"/>
        <w:rPr>
          <w:sz w:val="22"/>
        </w:rPr>
      </w:pPr>
    </w:p>
    <w:p w:rsidR="00000000" w:rsidRDefault="00000000">
      <w:pPr>
        <w:pStyle w:val="BodyText"/>
        <w:numPr>
          <w:ilvl w:val="0"/>
          <w:numId w:val="37"/>
        </w:numPr>
        <w:ind w:left="475" w:hanging="135"/>
        <w:rPr>
          <w:sz w:val="22"/>
        </w:rPr>
      </w:pPr>
      <w:r>
        <w:rPr>
          <w:sz w:val="22"/>
        </w:rPr>
        <w:t>la formation de 7 femmes à Abidjan, Lomé et Tunis en IEC en matière de santé de la reproduction, de santé sexuelle et de planification familiale ;</w:t>
      </w:r>
    </w:p>
    <w:p w:rsidR="00000000" w:rsidRDefault="00000000">
      <w:pPr>
        <w:pStyle w:val="BodyText"/>
        <w:numPr>
          <w:ilvl w:val="0"/>
          <w:numId w:val="37"/>
        </w:numPr>
        <w:ind w:left="475" w:hanging="135"/>
        <w:rPr>
          <w:sz w:val="22"/>
        </w:rPr>
      </w:pPr>
      <w:r>
        <w:rPr>
          <w:sz w:val="22"/>
        </w:rPr>
        <w:t>la réalisation d’une étude sur les droits de la femme congolaise ;</w:t>
      </w:r>
    </w:p>
    <w:p w:rsidR="00000000" w:rsidRDefault="00000000">
      <w:pPr>
        <w:pStyle w:val="BodyText"/>
        <w:numPr>
          <w:ilvl w:val="0"/>
          <w:numId w:val="37"/>
        </w:numPr>
        <w:ind w:left="475" w:hanging="135"/>
        <w:rPr>
          <w:sz w:val="22"/>
        </w:rPr>
      </w:pPr>
      <w:r>
        <w:rPr>
          <w:sz w:val="22"/>
        </w:rPr>
        <w:t>la tenue d’un séminaire sur la création du Centre d’Information et de Documentation sur la Femme (novembre 1998) ;</w:t>
      </w:r>
    </w:p>
    <w:p w:rsidR="00000000" w:rsidRDefault="00000000">
      <w:pPr>
        <w:pStyle w:val="BodyText"/>
        <w:numPr>
          <w:ilvl w:val="0"/>
          <w:numId w:val="37"/>
        </w:numPr>
        <w:ind w:left="475" w:hanging="135"/>
        <w:rPr>
          <w:sz w:val="22"/>
        </w:rPr>
      </w:pPr>
      <w:r>
        <w:rPr>
          <w:sz w:val="22"/>
        </w:rPr>
        <w:t>la tenue d’un séminaire sur l’égalité des droits de la femme (août 1998) ;</w:t>
      </w:r>
    </w:p>
    <w:p w:rsidR="00000000" w:rsidRDefault="00000000">
      <w:pPr>
        <w:pStyle w:val="BodyText"/>
        <w:numPr>
          <w:ilvl w:val="0"/>
          <w:numId w:val="37"/>
        </w:numPr>
        <w:ind w:left="475" w:hanging="135"/>
        <w:rPr>
          <w:sz w:val="22"/>
        </w:rPr>
      </w:pPr>
      <w:r>
        <w:rPr>
          <w:sz w:val="22"/>
        </w:rPr>
        <w:t>le séminaire sur la vulgarisation des droits de la femme, sur la santé de la reproduction et la santé sexuelle ;</w:t>
      </w:r>
    </w:p>
    <w:p w:rsidR="00000000" w:rsidRDefault="00000000">
      <w:pPr>
        <w:pStyle w:val="BodyText"/>
        <w:numPr>
          <w:ilvl w:val="0"/>
          <w:numId w:val="37"/>
        </w:numPr>
        <w:ind w:left="475" w:hanging="135"/>
        <w:rPr>
          <w:sz w:val="22"/>
        </w:rPr>
      </w:pPr>
      <w:r>
        <w:rPr>
          <w:sz w:val="22"/>
        </w:rPr>
        <w:t>la distribution de 8000 condoms ;</w:t>
      </w:r>
    </w:p>
    <w:p w:rsidR="00000000" w:rsidRDefault="00000000">
      <w:pPr>
        <w:pStyle w:val="BodyText"/>
        <w:numPr>
          <w:ilvl w:val="0"/>
          <w:numId w:val="37"/>
        </w:numPr>
        <w:ind w:left="475" w:hanging="135"/>
        <w:rPr>
          <w:sz w:val="22"/>
        </w:rPr>
      </w:pPr>
      <w:r>
        <w:rPr>
          <w:sz w:val="22"/>
        </w:rPr>
        <w:t>la production et la diffusion de 18 émissions à la radio liberté, radio Brazzaville et à la radio rurale sur les droits des femmes en SR/SS/PF ;</w:t>
      </w:r>
    </w:p>
    <w:p w:rsidR="00000000" w:rsidRDefault="00000000">
      <w:pPr>
        <w:pStyle w:val="BodyText"/>
        <w:numPr>
          <w:ilvl w:val="0"/>
          <w:numId w:val="37"/>
        </w:numPr>
        <w:ind w:left="475" w:hanging="135"/>
        <w:rPr>
          <w:sz w:val="22"/>
        </w:rPr>
      </w:pPr>
      <w:r>
        <w:rPr>
          <w:sz w:val="22"/>
        </w:rPr>
        <w:t>la publication de 5 articles dans la presse écrite nationale ;</w:t>
      </w:r>
    </w:p>
    <w:p w:rsidR="00000000" w:rsidRDefault="00000000">
      <w:pPr>
        <w:pStyle w:val="BodyText"/>
        <w:numPr>
          <w:ilvl w:val="0"/>
          <w:numId w:val="37"/>
        </w:numPr>
        <w:ind w:left="700"/>
        <w:rPr>
          <w:sz w:val="22"/>
        </w:rPr>
      </w:pPr>
      <w:r>
        <w:rPr>
          <w:sz w:val="22"/>
        </w:rPr>
        <w:t>la réalisation de 2 cassettes vidéos sur les activités menées au niveau des communautés de base ;</w:t>
      </w:r>
    </w:p>
    <w:p w:rsidR="00000000" w:rsidRDefault="00000000">
      <w:pPr>
        <w:pStyle w:val="BodyText"/>
        <w:numPr>
          <w:ilvl w:val="0"/>
          <w:numId w:val="37"/>
        </w:numPr>
        <w:ind w:left="700"/>
        <w:rPr>
          <w:sz w:val="22"/>
        </w:rPr>
      </w:pPr>
      <w:r>
        <w:rPr>
          <w:sz w:val="22"/>
        </w:rPr>
        <w:t>l’acquisition de 34 bicyclettes ;</w:t>
      </w:r>
    </w:p>
    <w:p w:rsidR="00000000" w:rsidRDefault="00000000">
      <w:pPr>
        <w:pStyle w:val="BodyText"/>
        <w:numPr>
          <w:ilvl w:val="0"/>
          <w:numId w:val="37"/>
        </w:numPr>
        <w:ind w:left="475" w:hanging="135"/>
        <w:rPr>
          <w:sz w:val="22"/>
        </w:rPr>
      </w:pPr>
      <w:r>
        <w:rPr>
          <w:sz w:val="22"/>
        </w:rPr>
        <w:t>l’organisation de campagnes d’information, d’éducation et de sensibilisation sur la SR/PF/SS et sur les violences sexuelles à Brazzaville (2084 participants dont 424 hommes, 1155 femmes, 505 jeunes), à Pointe-Noire (667 participants dont 159 hommes, 285 femmes et 223 jeunes), à Owando (80 participants dont 8 hommes, 42 femmes, 30 jeunes), à Oyo (46 participants dont 4 hommes, 32 femmes, et 10 hommes, 18 femmes, 12 jeunes), à Lekana (15 participants dont 3 hommes, 7 femmes et 5 jeunes) et à Ouesso (40 participants dont 4 hommes, 16 femmes, 20 jeunes) ;</w:t>
      </w:r>
    </w:p>
    <w:p w:rsidR="00000000" w:rsidRDefault="00000000">
      <w:pPr>
        <w:pStyle w:val="BodyText"/>
        <w:numPr>
          <w:ilvl w:val="0"/>
          <w:numId w:val="37"/>
        </w:numPr>
        <w:ind w:left="475" w:hanging="135"/>
        <w:rPr>
          <w:sz w:val="22"/>
        </w:rPr>
      </w:pPr>
      <w:r>
        <w:rPr>
          <w:sz w:val="22"/>
        </w:rPr>
        <w:t>l’organisation de missions de suivi et de supervision des activités du projet. Plusieurs femmes ont bénéficié d’un recyclage à Pointe-Noire (45 animatrices), à Ouesso (35 animatrices) et à Lekana (20 animatrices) ;</w:t>
      </w:r>
    </w:p>
    <w:p w:rsidR="00000000" w:rsidRDefault="00000000">
      <w:pPr>
        <w:pStyle w:val="BodyText"/>
        <w:numPr>
          <w:ilvl w:val="0"/>
          <w:numId w:val="37"/>
        </w:numPr>
        <w:ind w:left="475" w:hanging="135"/>
        <w:rPr>
          <w:sz w:val="22"/>
        </w:rPr>
      </w:pPr>
      <w:r>
        <w:rPr>
          <w:sz w:val="22"/>
        </w:rPr>
        <w:t>l’organisation des campagnes de sensibilisation sur les violences sexuelles à Brazzaville, Pointe-Noire, Owando, Ngoko, Lekana et Ouesso.</w:t>
      </w:r>
    </w:p>
    <w:p w:rsidR="00000000" w:rsidRDefault="00000000">
      <w:pPr>
        <w:pStyle w:val="BodyText"/>
        <w:rPr>
          <w:sz w:val="22"/>
        </w:rPr>
      </w:pPr>
    </w:p>
    <w:p w:rsidR="00000000" w:rsidRDefault="00000000">
      <w:pPr>
        <w:pStyle w:val="BodyText"/>
        <w:numPr>
          <w:ilvl w:val="0"/>
          <w:numId w:val="38"/>
        </w:numPr>
        <w:rPr>
          <w:sz w:val="22"/>
        </w:rPr>
      </w:pPr>
      <w:r>
        <w:rPr>
          <w:sz w:val="22"/>
        </w:rPr>
        <w:t>Le projet « promotion de l’équité entre les femmes et les hommes, Assistance Préparatoire », vise à impliquer davantage la femme dans le processus de consolidation de la paix et de développement (PRC/98/008).</w:t>
      </w:r>
    </w:p>
    <w:p w:rsidR="00000000" w:rsidRDefault="00000000">
      <w:pPr>
        <w:pStyle w:val="BodyText"/>
        <w:rPr>
          <w:sz w:val="22"/>
        </w:rPr>
      </w:pPr>
    </w:p>
    <w:p w:rsidR="00000000" w:rsidRDefault="00000000">
      <w:pPr>
        <w:pStyle w:val="BodyText"/>
        <w:rPr>
          <w:sz w:val="22"/>
        </w:rPr>
      </w:pPr>
      <w:r>
        <w:rPr>
          <w:sz w:val="22"/>
        </w:rPr>
        <w:t>Il comprend les composantes suivantes :</w:t>
      </w:r>
    </w:p>
    <w:p w:rsidR="00000000" w:rsidRDefault="00000000">
      <w:pPr>
        <w:pStyle w:val="BodyText"/>
        <w:numPr>
          <w:ilvl w:val="0"/>
          <w:numId w:val="39"/>
        </w:numPr>
        <w:rPr>
          <w:sz w:val="22"/>
        </w:rPr>
      </w:pPr>
      <w:r>
        <w:rPr>
          <w:sz w:val="22"/>
        </w:rPr>
        <w:t>restauration et consolidation de la paix au Congo ;</w:t>
      </w:r>
    </w:p>
    <w:p w:rsidR="00000000" w:rsidRDefault="00000000">
      <w:pPr>
        <w:pStyle w:val="BodyText"/>
        <w:numPr>
          <w:ilvl w:val="0"/>
          <w:numId w:val="39"/>
        </w:numPr>
        <w:rPr>
          <w:sz w:val="22"/>
        </w:rPr>
      </w:pPr>
      <w:r>
        <w:rPr>
          <w:sz w:val="22"/>
        </w:rPr>
        <w:t>soutien aux activités génératrices de revenus ;</w:t>
      </w:r>
    </w:p>
    <w:p w:rsidR="00000000" w:rsidRDefault="00000000">
      <w:pPr>
        <w:pStyle w:val="BodyText"/>
        <w:numPr>
          <w:ilvl w:val="0"/>
          <w:numId w:val="39"/>
        </w:numPr>
        <w:rPr>
          <w:sz w:val="22"/>
        </w:rPr>
      </w:pPr>
      <w:r>
        <w:rPr>
          <w:sz w:val="22"/>
        </w:rPr>
        <w:t>prévention et lutte contre les violences à l’égard de la femme.</w:t>
      </w:r>
    </w:p>
    <w:p w:rsidR="00000000" w:rsidRDefault="00000000">
      <w:pPr>
        <w:pStyle w:val="BodyText"/>
        <w:rPr>
          <w:sz w:val="22"/>
        </w:rPr>
      </w:pPr>
    </w:p>
    <w:p w:rsidR="00000000" w:rsidRDefault="00000000">
      <w:pPr>
        <w:pStyle w:val="BodyText"/>
        <w:rPr>
          <w:sz w:val="22"/>
        </w:rPr>
      </w:pPr>
      <w:r>
        <w:rPr>
          <w:sz w:val="22"/>
        </w:rPr>
        <w:t>Ce projet est financé par le PNUD et il est exécuté au Centre de Recherche, d’Information et de Documentation sur la Femme (CRIDF).</w:t>
      </w:r>
    </w:p>
    <w:p w:rsidR="00000000" w:rsidRDefault="00000000">
      <w:pPr>
        <w:pStyle w:val="BodyText"/>
        <w:rPr>
          <w:sz w:val="22"/>
        </w:rPr>
      </w:pPr>
    </w:p>
    <w:p w:rsidR="00000000" w:rsidRDefault="00000000">
      <w:pPr>
        <w:pStyle w:val="BodyText"/>
        <w:rPr>
          <w:sz w:val="22"/>
        </w:rPr>
      </w:pPr>
      <w:r>
        <w:rPr>
          <w:sz w:val="22"/>
        </w:rPr>
        <w:t>Durant les années 2000-2001 quatre volets ont été développés :</w:t>
      </w:r>
    </w:p>
    <w:p w:rsidR="00000000" w:rsidRDefault="00000000">
      <w:pPr>
        <w:pStyle w:val="BodyText"/>
        <w:numPr>
          <w:ilvl w:val="0"/>
          <w:numId w:val="204"/>
        </w:numPr>
        <w:rPr>
          <w:sz w:val="22"/>
        </w:rPr>
      </w:pPr>
      <w:r>
        <w:rPr>
          <w:sz w:val="22"/>
        </w:rPr>
        <w:t>la promotion des activités génératrices de revenus des femmes et des jeunes ;</w:t>
      </w:r>
    </w:p>
    <w:p w:rsidR="00000000" w:rsidRDefault="00000000">
      <w:pPr>
        <w:pStyle w:val="BodyText"/>
        <w:numPr>
          <w:ilvl w:val="0"/>
          <w:numId w:val="204"/>
        </w:numPr>
        <w:rPr>
          <w:sz w:val="22"/>
        </w:rPr>
      </w:pPr>
      <w:r>
        <w:rPr>
          <w:sz w:val="22"/>
        </w:rPr>
        <w:t>la sensibilisation des femmes et des jeunes sur la nécessité de restaurer la paix ;</w:t>
      </w:r>
    </w:p>
    <w:p w:rsidR="00000000" w:rsidRDefault="00000000">
      <w:pPr>
        <w:pStyle w:val="BodyText"/>
        <w:numPr>
          <w:ilvl w:val="0"/>
          <w:numId w:val="204"/>
        </w:numPr>
        <w:rPr>
          <w:sz w:val="22"/>
        </w:rPr>
      </w:pPr>
      <w:r>
        <w:rPr>
          <w:sz w:val="22"/>
        </w:rPr>
        <w:t>la promotion des droits de la femme et de la famille ;</w:t>
      </w:r>
    </w:p>
    <w:p w:rsidR="00000000" w:rsidRDefault="00000000">
      <w:pPr>
        <w:pStyle w:val="BodyText"/>
        <w:numPr>
          <w:ilvl w:val="0"/>
          <w:numId w:val="204"/>
        </w:numPr>
        <w:rPr>
          <w:sz w:val="22"/>
        </w:rPr>
      </w:pPr>
      <w:r>
        <w:rPr>
          <w:sz w:val="22"/>
        </w:rPr>
        <w:t>le renforcement des capacités.</w:t>
      </w:r>
    </w:p>
    <w:p w:rsidR="00000000" w:rsidRDefault="00000000">
      <w:pPr>
        <w:pStyle w:val="BodyText"/>
        <w:rPr>
          <w:sz w:val="22"/>
        </w:rPr>
      </w:pPr>
    </w:p>
    <w:p w:rsidR="00000000" w:rsidRDefault="00000000">
      <w:pPr>
        <w:pStyle w:val="BodyText"/>
        <w:numPr>
          <w:ilvl w:val="0"/>
          <w:numId w:val="206"/>
        </w:numPr>
        <w:rPr>
          <w:sz w:val="22"/>
        </w:rPr>
      </w:pPr>
      <w:r>
        <w:rPr>
          <w:sz w:val="22"/>
        </w:rPr>
        <w:t>97 micro-projets ont été financés, ils concernent 4080 personnes. Ils ont permis aux femmes ex-déplacées du fait de la guerre de réintégrer leur milieu, de reprendre leurs activités économiques dans le domaine de l’agriculture, du petit commerce et de la restauration. Seize unités de production ont été appuyées dans les domaines de la savonnerie (10 personnes formées), de la restauration, de la boulangerie (10 personnes) et de la petite pâtisserie, teinturerie (21 personnes) 20 femmes et filles victimes de violences sexuelles ont obtenu, après une formation en gestion des micro-activités, un appui financier.</w:t>
      </w:r>
    </w:p>
    <w:p w:rsidR="00000000" w:rsidRDefault="00000000">
      <w:pPr>
        <w:pStyle w:val="BodyText"/>
        <w:numPr>
          <w:ilvl w:val="0"/>
          <w:numId w:val="206"/>
        </w:numPr>
        <w:rPr>
          <w:sz w:val="22"/>
        </w:rPr>
      </w:pPr>
      <w:r>
        <w:rPr>
          <w:sz w:val="22"/>
        </w:rPr>
        <w:t>85.000 femmes et jeunes ont été sensibilisés sur l’importance et la nécessité de la paix pour un développement durable à Brazzaville, Sibiti et Dolisie.</w:t>
      </w:r>
    </w:p>
    <w:p w:rsidR="00000000" w:rsidRDefault="00000000">
      <w:pPr>
        <w:pStyle w:val="BodyText"/>
        <w:numPr>
          <w:ilvl w:val="0"/>
          <w:numId w:val="206"/>
        </w:numPr>
        <w:rPr>
          <w:sz w:val="22"/>
        </w:rPr>
      </w:pPr>
      <w:r>
        <w:rPr>
          <w:sz w:val="22"/>
        </w:rPr>
        <w:t>73 femmes juristes et membres d’ONG et d’associations féminines ont bénéficié d’une formation assurée par d’éminents praticiens du droit qui ont passé en revue le code de la famille, la procédure civile, pénale, le code pénal et les techniques de communication. Cette formation s’est inscrite dans le processus d’installation du centre d’Aide et d’Assistance Juridique (CAAJ) aujourd’hui fonctionnel. Le CAAJ fournit de l’information juridique gratuite aux femmes. Il est animé par l’association des femmes juristes du Congo (AFJC). Il bénéficie, en outre, du financement de l’US AID au titre de l’année 2001.</w:t>
      </w:r>
    </w:p>
    <w:p w:rsidR="00000000" w:rsidRDefault="00000000">
      <w:pPr>
        <w:pStyle w:val="BodyText"/>
        <w:numPr>
          <w:ilvl w:val="0"/>
          <w:numId w:val="206"/>
        </w:numPr>
        <w:rPr>
          <w:sz w:val="22"/>
        </w:rPr>
      </w:pPr>
      <w:r>
        <w:rPr>
          <w:sz w:val="22"/>
        </w:rPr>
        <w:t>Le renforcement des capacités des ONG a contribué à l’organisation d’un système de sous-traitance. Des formations de formateurs ont été assurées en matière de gestion de micro-activités (20 personnes), de caisse d’épargne féminine et de crédit (42 personnes) et en maraîchage. (70 femmes ex-déplacées et 100 personnes chef de famille). Un mécanisme de collaboration et d’échange d’expérience entre les ONG sous-traitantes a été mis en place.</w:t>
      </w:r>
    </w:p>
    <w:p w:rsidR="00000000" w:rsidRDefault="00000000">
      <w:pPr>
        <w:pStyle w:val="BodyText"/>
        <w:rPr>
          <w:sz w:val="22"/>
        </w:rPr>
      </w:pPr>
    </w:p>
    <w:p w:rsidR="00000000" w:rsidRDefault="00000000">
      <w:pPr>
        <w:pStyle w:val="BodyText"/>
        <w:rPr>
          <w:sz w:val="22"/>
        </w:rPr>
      </w:pPr>
      <w:r>
        <w:rPr>
          <w:b/>
          <w:sz w:val="22"/>
        </w:rPr>
        <w:t xml:space="preserve">V- </w:t>
      </w:r>
      <w:r>
        <w:rPr>
          <w:b/>
          <w:sz w:val="22"/>
          <w:u w:val="single"/>
        </w:rPr>
        <w:t xml:space="preserve">Le Centre de Recherche, d’Information et de Documentation sur la Femme </w:t>
      </w:r>
    </w:p>
    <w:p w:rsidR="00000000" w:rsidRDefault="00000000">
      <w:pPr>
        <w:pStyle w:val="BodyText"/>
        <w:rPr>
          <w:sz w:val="22"/>
        </w:rPr>
      </w:pPr>
    </w:p>
    <w:p w:rsidR="00000000" w:rsidRDefault="00000000">
      <w:pPr>
        <w:pStyle w:val="BodyText"/>
        <w:rPr>
          <w:sz w:val="22"/>
        </w:rPr>
      </w:pPr>
      <w:r>
        <w:rPr>
          <w:sz w:val="22"/>
        </w:rPr>
        <w:t>Le Centre de Recherche, d’Information et de Documentation sur la Femme (CRIDF) est un lieu d’accueil, de rencontres, d’échanges, d’informations, d’éducation et de communication, de formation, d’orientation et de promotion socio-économique de la femme (Décret n° 99-299 du 31 décembre 1999).</w:t>
      </w:r>
    </w:p>
    <w:p w:rsidR="00000000" w:rsidRDefault="00000000">
      <w:pPr>
        <w:pStyle w:val="BodyText"/>
        <w:rPr>
          <w:sz w:val="22"/>
        </w:rPr>
      </w:pPr>
    </w:p>
    <w:p w:rsidR="00000000" w:rsidRDefault="00000000">
      <w:pPr>
        <w:pStyle w:val="BodyText"/>
        <w:rPr>
          <w:sz w:val="22"/>
        </w:rPr>
      </w:pPr>
      <w:r>
        <w:rPr>
          <w:sz w:val="22"/>
        </w:rPr>
        <w:t>Cet établissement public est placé sous la tutelle du Ministère chargé de la promotion de la femme. Il est dirigé par un directeur général et comprend les départements suivants :</w:t>
      </w:r>
    </w:p>
    <w:p w:rsidR="00000000" w:rsidRDefault="00000000">
      <w:pPr>
        <w:pStyle w:val="BodyText"/>
        <w:rPr>
          <w:sz w:val="22"/>
        </w:rPr>
      </w:pPr>
    </w:p>
    <w:p w:rsidR="00000000" w:rsidRDefault="00000000">
      <w:pPr>
        <w:pStyle w:val="BodyText"/>
        <w:numPr>
          <w:ilvl w:val="0"/>
          <w:numId w:val="41"/>
        </w:numPr>
        <w:rPr>
          <w:sz w:val="22"/>
        </w:rPr>
      </w:pPr>
      <w:r>
        <w:rPr>
          <w:sz w:val="22"/>
        </w:rPr>
        <w:t>le département de la femme et des droits fondamentaux ;</w:t>
      </w:r>
    </w:p>
    <w:p w:rsidR="00000000" w:rsidRDefault="00000000">
      <w:pPr>
        <w:pStyle w:val="BodyText"/>
        <w:numPr>
          <w:ilvl w:val="0"/>
          <w:numId w:val="41"/>
        </w:numPr>
        <w:rPr>
          <w:sz w:val="22"/>
        </w:rPr>
      </w:pPr>
      <w:r>
        <w:rPr>
          <w:sz w:val="22"/>
        </w:rPr>
        <w:t>le département de la femme, de la santé et des affaires sociales ;</w:t>
      </w:r>
    </w:p>
    <w:p w:rsidR="00000000" w:rsidRDefault="00000000">
      <w:pPr>
        <w:pStyle w:val="BodyText"/>
        <w:numPr>
          <w:ilvl w:val="0"/>
          <w:numId w:val="41"/>
        </w:numPr>
        <w:rPr>
          <w:sz w:val="22"/>
        </w:rPr>
      </w:pPr>
      <w:r>
        <w:rPr>
          <w:sz w:val="22"/>
        </w:rPr>
        <w:t>le département de la formation, de l’éducation et des loisirs ;</w:t>
      </w:r>
    </w:p>
    <w:p w:rsidR="00000000" w:rsidRDefault="00000000">
      <w:pPr>
        <w:pStyle w:val="BodyText"/>
        <w:numPr>
          <w:ilvl w:val="0"/>
          <w:numId w:val="41"/>
        </w:numPr>
        <w:rPr>
          <w:sz w:val="22"/>
        </w:rPr>
      </w:pPr>
      <w:r>
        <w:rPr>
          <w:sz w:val="22"/>
        </w:rPr>
        <w:t>le département de la femme et de l’économie ;</w:t>
      </w:r>
    </w:p>
    <w:p w:rsidR="00000000" w:rsidRDefault="00000000">
      <w:pPr>
        <w:pStyle w:val="BodyText"/>
        <w:numPr>
          <w:ilvl w:val="0"/>
          <w:numId w:val="41"/>
        </w:numPr>
        <w:rPr>
          <w:sz w:val="22"/>
        </w:rPr>
      </w:pPr>
      <w:r>
        <w:rPr>
          <w:sz w:val="22"/>
        </w:rPr>
        <w:t>le département du tourisme et de l’environnement ;</w:t>
      </w:r>
    </w:p>
    <w:p w:rsidR="00000000" w:rsidRDefault="00000000">
      <w:pPr>
        <w:pStyle w:val="BodyText"/>
        <w:numPr>
          <w:ilvl w:val="0"/>
          <w:numId w:val="41"/>
        </w:numPr>
        <w:rPr>
          <w:sz w:val="22"/>
        </w:rPr>
      </w:pPr>
      <w:r>
        <w:rPr>
          <w:sz w:val="22"/>
        </w:rPr>
        <w:t>le département de la petite fille ;</w:t>
      </w:r>
    </w:p>
    <w:p w:rsidR="00000000" w:rsidRDefault="00000000">
      <w:pPr>
        <w:pStyle w:val="BodyText"/>
        <w:numPr>
          <w:ilvl w:val="0"/>
          <w:numId w:val="41"/>
        </w:numPr>
        <w:rPr>
          <w:sz w:val="22"/>
        </w:rPr>
      </w:pPr>
      <w:r>
        <w:rPr>
          <w:sz w:val="22"/>
        </w:rPr>
        <w:t>le centre d’information, de communication et de documentation.</w:t>
      </w:r>
    </w:p>
    <w:p w:rsidR="00000000" w:rsidRDefault="00000000">
      <w:pPr>
        <w:pStyle w:val="BodyText"/>
        <w:rPr>
          <w:sz w:val="22"/>
        </w:rPr>
      </w:pPr>
    </w:p>
    <w:p w:rsidR="00000000" w:rsidRDefault="00000000">
      <w:pPr>
        <w:pStyle w:val="BodyText"/>
        <w:rPr>
          <w:sz w:val="22"/>
        </w:rPr>
      </w:pPr>
      <w:r>
        <w:rPr>
          <w:sz w:val="22"/>
        </w:rPr>
        <w:t>Des antennes régionales et locales seront instituées le cas échéant.</w:t>
      </w:r>
    </w:p>
    <w:p w:rsidR="00000000" w:rsidRDefault="00000000">
      <w:pPr>
        <w:pStyle w:val="BodyText"/>
        <w:rPr>
          <w:sz w:val="22"/>
        </w:rPr>
      </w:pPr>
    </w:p>
    <w:p w:rsidR="00000000" w:rsidRDefault="00000000">
      <w:pPr>
        <w:pStyle w:val="BodyText"/>
        <w:rPr>
          <w:b/>
          <w:sz w:val="22"/>
          <w:u w:val="single"/>
        </w:rPr>
      </w:pPr>
      <w:r>
        <w:rPr>
          <w:b/>
          <w:sz w:val="22"/>
        </w:rPr>
        <w:t xml:space="preserve">VI- </w:t>
      </w:r>
      <w:r>
        <w:rPr>
          <w:b/>
          <w:sz w:val="22"/>
          <w:u w:val="single"/>
        </w:rPr>
        <w:t>Les autres départements ministériels compétents en matière de promotion de la femme</w:t>
      </w:r>
    </w:p>
    <w:p w:rsidR="00000000" w:rsidRDefault="00000000">
      <w:pPr>
        <w:pStyle w:val="BodyText"/>
        <w:rPr>
          <w:sz w:val="22"/>
        </w:rPr>
      </w:pPr>
    </w:p>
    <w:p w:rsidR="00000000" w:rsidRDefault="00000000">
      <w:pPr>
        <w:pStyle w:val="BodyText"/>
        <w:rPr>
          <w:sz w:val="22"/>
        </w:rPr>
      </w:pPr>
      <w:r>
        <w:rPr>
          <w:sz w:val="22"/>
        </w:rPr>
        <w:t>Au sein de l’administration publique congolaise, d’autres ministères interviennent aussi dans la gestion des questions relatives à la femme et à l’enfant. On peut citer, entre autres : le ministère de l’agriculture et de l’élevage, le ministère de la justice, le ministère de l’économie, des finances et du budget, le ministère de la santé, de la solidarité et de l’action humanitaire, le ministère de l’enseignement et, le ministère du commerce. Des actions conjointes avec le département de la promotion de la femme sont entreprises afin que la dimension genre soit prise en compte dans leurs programmes respectifs.</w:t>
      </w:r>
    </w:p>
    <w:p w:rsidR="00000000" w:rsidRDefault="00000000">
      <w:pPr>
        <w:pStyle w:val="BodyText"/>
        <w:rPr>
          <w:sz w:val="22"/>
        </w:rPr>
      </w:pPr>
    </w:p>
    <w:p w:rsidR="00000000" w:rsidRDefault="00000000">
      <w:pPr>
        <w:pStyle w:val="BodyText"/>
        <w:rPr>
          <w:b/>
          <w:sz w:val="22"/>
          <w:u w:val="single"/>
        </w:rPr>
      </w:pPr>
      <w:r>
        <w:rPr>
          <w:b/>
          <w:sz w:val="22"/>
        </w:rPr>
        <w:t xml:space="preserve">VII- </w:t>
      </w:r>
      <w:r>
        <w:rPr>
          <w:b/>
          <w:sz w:val="22"/>
          <w:u w:val="single"/>
        </w:rPr>
        <w:t>La politique de la promotion de la femme et le plan d’action</w:t>
      </w:r>
    </w:p>
    <w:p w:rsidR="00000000" w:rsidRDefault="00000000">
      <w:pPr>
        <w:pStyle w:val="BodyText"/>
        <w:rPr>
          <w:sz w:val="22"/>
        </w:rPr>
      </w:pPr>
    </w:p>
    <w:p w:rsidR="00000000" w:rsidRDefault="00000000">
      <w:pPr>
        <w:pStyle w:val="BodyText"/>
        <w:rPr>
          <w:sz w:val="22"/>
        </w:rPr>
      </w:pPr>
      <w:r>
        <w:rPr>
          <w:sz w:val="22"/>
        </w:rPr>
        <w:t>Pour la première fois au Congo, la promotion de la femme se trouve dotée d’un document de politique assorti d’un plan d’action triennal. Cet instrument a été adopté par le Gouvernement le 15 septembre 1999. Il gouverne l’ensemble des choix qui seront retenus en matière de promotion de la femme à l’échelon national. Il implique l’État, les organisations non gouvernementales, les associations, le secteur privé et les agences de développement.</w:t>
      </w:r>
    </w:p>
    <w:p w:rsidR="00000000" w:rsidRDefault="00000000">
      <w:pPr>
        <w:pStyle w:val="BodyText"/>
        <w:rPr>
          <w:sz w:val="22"/>
        </w:rPr>
      </w:pPr>
    </w:p>
    <w:p w:rsidR="00000000" w:rsidRDefault="00000000">
      <w:pPr>
        <w:pStyle w:val="BodyText"/>
        <w:rPr>
          <w:b/>
          <w:sz w:val="22"/>
          <w:u w:val="single"/>
        </w:rPr>
      </w:pPr>
      <w:r>
        <w:rPr>
          <w:b/>
          <w:sz w:val="22"/>
        </w:rPr>
        <w:t xml:space="preserve">A- </w:t>
      </w:r>
      <w:r>
        <w:rPr>
          <w:b/>
          <w:sz w:val="22"/>
          <w:u w:val="single"/>
        </w:rPr>
        <w:t>La politique nationale de la promotion de la femme</w:t>
      </w:r>
    </w:p>
    <w:p w:rsidR="00000000" w:rsidRDefault="00000000">
      <w:pPr>
        <w:pStyle w:val="BodyText"/>
        <w:rPr>
          <w:b/>
          <w:sz w:val="22"/>
          <w:u w:val="single"/>
        </w:rPr>
      </w:pPr>
    </w:p>
    <w:p w:rsidR="00000000" w:rsidRDefault="00000000">
      <w:pPr>
        <w:pStyle w:val="BodyText"/>
        <w:rPr>
          <w:sz w:val="22"/>
        </w:rPr>
      </w:pPr>
      <w:r>
        <w:rPr>
          <w:sz w:val="22"/>
        </w:rPr>
        <w:t>La politique nationale de promotion de la femme poursuit quatre objectifs essentiels, à savoir :</w:t>
      </w:r>
    </w:p>
    <w:p w:rsidR="00000000" w:rsidRDefault="00000000">
      <w:pPr>
        <w:pStyle w:val="BodyText"/>
        <w:numPr>
          <w:ilvl w:val="0"/>
          <w:numId w:val="42"/>
        </w:numPr>
        <w:rPr>
          <w:sz w:val="22"/>
        </w:rPr>
      </w:pPr>
      <w:r>
        <w:rPr>
          <w:sz w:val="22"/>
        </w:rPr>
        <w:t>promouvoir et protéger les droits de la femme et de la jeune fille ;</w:t>
      </w:r>
    </w:p>
    <w:p w:rsidR="00000000" w:rsidRDefault="00000000">
      <w:pPr>
        <w:pStyle w:val="BodyText"/>
        <w:numPr>
          <w:ilvl w:val="0"/>
          <w:numId w:val="42"/>
        </w:numPr>
        <w:rPr>
          <w:sz w:val="22"/>
        </w:rPr>
      </w:pPr>
      <w:r>
        <w:rPr>
          <w:sz w:val="22"/>
        </w:rPr>
        <w:t>créer les organes de suivi et de contrôle ;</w:t>
      </w:r>
    </w:p>
    <w:p w:rsidR="00000000" w:rsidRDefault="00000000">
      <w:pPr>
        <w:pStyle w:val="BodyText"/>
        <w:numPr>
          <w:ilvl w:val="0"/>
          <w:numId w:val="42"/>
        </w:numPr>
        <w:rPr>
          <w:sz w:val="22"/>
        </w:rPr>
      </w:pPr>
      <w:r>
        <w:rPr>
          <w:sz w:val="22"/>
        </w:rPr>
        <w:t>développer le potentiel économique des femmes ;</w:t>
      </w:r>
    </w:p>
    <w:p w:rsidR="00000000" w:rsidRDefault="00000000">
      <w:pPr>
        <w:pStyle w:val="BodyText"/>
        <w:numPr>
          <w:ilvl w:val="0"/>
          <w:numId w:val="42"/>
        </w:numPr>
        <w:rPr>
          <w:sz w:val="22"/>
        </w:rPr>
      </w:pPr>
      <w:r>
        <w:rPr>
          <w:sz w:val="22"/>
        </w:rPr>
        <w:t>améliorer les conditions et le cadre de vie de la femme congolaise.</w:t>
      </w:r>
    </w:p>
    <w:p w:rsidR="00000000" w:rsidRDefault="00000000">
      <w:pPr>
        <w:pStyle w:val="BodyText"/>
        <w:rPr>
          <w:sz w:val="22"/>
        </w:rPr>
      </w:pPr>
    </w:p>
    <w:p w:rsidR="00000000" w:rsidRDefault="00000000">
      <w:pPr>
        <w:pStyle w:val="BodyText"/>
        <w:rPr>
          <w:sz w:val="22"/>
        </w:rPr>
      </w:pPr>
      <w:r>
        <w:rPr>
          <w:sz w:val="22"/>
        </w:rPr>
        <w:t>Ceux-ci vont être réalisés au moyen de stratégies d’action dans les domaines :</w:t>
      </w:r>
    </w:p>
    <w:p w:rsidR="00000000" w:rsidRDefault="00000000">
      <w:pPr>
        <w:pStyle w:val="BodyText"/>
        <w:numPr>
          <w:ilvl w:val="0"/>
          <w:numId w:val="43"/>
        </w:numPr>
        <w:rPr>
          <w:sz w:val="22"/>
        </w:rPr>
      </w:pPr>
      <w:r>
        <w:rPr>
          <w:sz w:val="22"/>
        </w:rPr>
        <w:t>du statut juridique et politique ;</w:t>
      </w:r>
    </w:p>
    <w:p w:rsidR="00000000" w:rsidRDefault="00000000">
      <w:pPr>
        <w:pStyle w:val="BodyText"/>
        <w:numPr>
          <w:ilvl w:val="0"/>
          <w:numId w:val="43"/>
        </w:numPr>
        <w:rPr>
          <w:sz w:val="22"/>
        </w:rPr>
      </w:pPr>
      <w:r>
        <w:rPr>
          <w:sz w:val="22"/>
        </w:rPr>
        <w:t>de l’emploi dans le secteur formel ;</w:t>
      </w:r>
    </w:p>
    <w:p w:rsidR="00000000" w:rsidRDefault="00000000">
      <w:pPr>
        <w:pStyle w:val="BodyText"/>
        <w:numPr>
          <w:ilvl w:val="0"/>
          <w:numId w:val="43"/>
        </w:numPr>
        <w:rPr>
          <w:sz w:val="22"/>
        </w:rPr>
      </w:pPr>
      <w:r>
        <w:rPr>
          <w:sz w:val="22"/>
        </w:rPr>
        <w:t>du secteur informel ;</w:t>
      </w:r>
    </w:p>
    <w:p w:rsidR="00000000" w:rsidRDefault="00000000">
      <w:pPr>
        <w:pStyle w:val="BodyText"/>
        <w:numPr>
          <w:ilvl w:val="0"/>
          <w:numId w:val="43"/>
        </w:numPr>
        <w:rPr>
          <w:sz w:val="22"/>
        </w:rPr>
      </w:pPr>
      <w:r>
        <w:rPr>
          <w:sz w:val="22"/>
        </w:rPr>
        <w:t>de la santé ;</w:t>
      </w:r>
    </w:p>
    <w:p w:rsidR="00000000" w:rsidRDefault="00000000">
      <w:pPr>
        <w:pStyle w:val="BodyText"/>
        <w:numPr>
          <w:ilvl w:val="0"/>
          <w:numId w:val="43"/>
        </w:numPr>
        <w:rPr>
          <w:sz w:val="22"/>
        </w:rPr>
      </w:pPr>
      <w:r>
        <w:rPr>
          <w:sz w:val="22"/>
        </w:rPr>
        <w:t>des violences à l’égard des femmes ;</w:t>
      </w:r>
    </w:p>
    <w:p w:rsidR="00000000" w:rsidRDefault="00000000">
      <w:pPr>
        <w:pStyle w:val="BodyText"/>
        <w:numPr>
          <w:ilvl w:val="0"/>
          <w:numId w:val="43"/>
        </w:numPr>
        <w:rPr>
          <w:sz w:val="22"/>
        </w:rPr>
      </w:pPr>
      <w:r>
        <w:rPr>
          <w:sz w:val="22"/>
        </w:rPr>
        <w:t>de l’éducation ;</w:t>
      </w:r>
    </w:p>
    <w:p w:rsidR="00000000" w:rsidRDefault="00000000">
      <w:pPr>
        <w:pStyle w:val="BodyText"/>
        <w:numPr>
          <w:ilvl w:val="0"/>
          <w:numId w:val="43"/>
        </w:numPr>
        <w:rPr>
          <w:sz w:val="22"/>
        </w:rPr>
      </w:pPr>
      <w:r>
        <w:rPr>
          <w:sz w:val="22"/>
        </w:rPr>
        <w:t>de l’eau, de l’environnement et de l’assainissement.</w:t>
      </w:r>
    </w:p>
    <w:p w:rsidR="00000000" w:rsidRDefault="00000000">
      <w:pPr>
        <w:pStyle w:val="BodyText"/>
        <w:rPr>
          <w:sz w:val="22"/>
        </w:rPr>
      </w:pPr>
    </w:p>
    <w:p w:rsidR="00000000" w:rsidRDefault="00000000">
      <w:pPr>
        <w:pStyle w:val="BodyText"/>
        <w:keepNext/>
        <w:rPr>
          <w:b/>
          <w:sz w:val="22"/>
          <w:u w:val="single"/>
        </w:rPr>
      </w:pPr>
      <w:r>
        <w:rPr>
          <w:b/>
          <w:sz w:val="22"/>
        </w:rPr>
        <w:t xml:space="preserve">B- </w:t>
      </w:r>
      <w:r>
        <w:rPr>
          <w:b/>
          <w:sz w:val="22"/>
          <w:u w:val="single"/>
        </w:rPr>
        <w:t>Le plan d’action en matière de promotion de la femme</w:t>
      </w:r>
    </w:p>
    <w:p w:rsidR="00000000" w:rsidRDefault="00000000">
      <w:pPr>
        <w:pStyle w:val="BodyText"/>
        <w:rPr>
          <w:sz w:val="22"/>
        </w:rPr>
      </w:pPr>
    </w:p>
    <w:p w:rsidR="00000000" w:rsidRDefault="00000000">
      <w:pPr>
        <w:pStyle w:val="BodyText"/>
        <w:rPr>
          <w:sz w:val="22"/>
        </w:rPr>
      </w:pPr>
      <w:r>
        <w:rPr>
          <w:sz w:val="22"/>
        </w:rPr>
        <w:t>Le plan d’action en matière de promotion de la femme (PNPF) 2000-2002 comprend quatre sous-programmes, il s’agit :</w:t>
      </w:r>
    </w:p>
    <w:p w:rsidR="00000000" w:rsidRDefault="00000000">
      <w:pPr>
        <w:pStyle w:val="BodyText"/>
        <w:rPr>
          <w:sz w:val="22"/>
        </w:rPr>
      </w:pPr>
    </w:p>
    <w:p w:rsidR="00000000" w:rsidRDefault="00000000">
      <w:pPr>
        <w:pStyle w:val="BodyText"/>
        <w:numPr>
          <w:ilvl w:val="0"/>
          <w:numId w:val="44"/>
        </w:numPr>
        <w:rPr>
          <w:sz w:val="22"/>
        </w:rPr>
      </w:pPr>
      <w:r>
        <w:rPr>
          <w:sz w:val="22"/>
        </w:rPr>
        <w:t>des droits de la femme et de la petite fille et l’accès de la femme à la prise de décision ;</w:t>
      </w:r>
    </w:p>
    <w:p w:rsidR="00000000" w:rsidRDefault="00000000">
      <w:pPr>
        <w:pStyle w:val="BodyText"/>
        <w:numPr>
          <w:ilvl w:val="0"/>
          <w:numId w:val="44"/>
        </w:numPr>
        <w:rPr>
          <w:sz w:val="22"/>
        </w:rPr>
      </w:pPr>
      <w:r>
        <w:rPr>
          <w:sz w:val="22"/>
        </w:rPr>
        <w:t>des violences à l’égard des femmes ;</w:t>
      </w:r>
    </w:p>
    <w:p w:rsidR="00000000" w:rsidRDefault="00000000">
      <w:pPr>
        <w:pStyle w:val="BodyText"/>
        <w:numPr>
          <w:ilvl w:val="0"/>
          <w:numId w:val="44"/>
        </w:numPr>
        <w:rPr>
          <w:sz w:val="22"/>
        </w:rPr>
      </w:pPr>
      <w:r>
        <w:rPr>
          <w:sz w:val="22"/>
        </w:rPr>
        <w:t>de l’accès aux revenus ;</w:t>
      </w:r>
    </w:p>
    <w:p w:rsidR="00000000" w:rsidRDefault="00000000">
      <w:pPr>
        <w:pStyle w:val="BodyText"/>
        <w:numPr>
          <w:ilvl w:val="0"/>
          <w:numId w:val="44"/>
        </w:numPr>
        <w:rPr>
          <w:sz w:val="22"/>
        </w:rPr>
      </w:pPr>
      <w:r>
        <w:rPr>
          <w:sz w:val="22"/>
        </w:rPr>
        <w:t>de la santé et l’environnement.</w:t>
      </w:r>
    </w:p>
    <w:p w:rsidR="00000000" w:rsidRDefault="00000000">
      <w:pPr>
        <w:pStyle w:val="BodyText"/>
        <w:rPr>
          <w:sz w:val="22"/>
        </w:rPr>
      </w:pPr>
    </w:p>
    <w:p w:rsidR="00000000" w:rsidRDefault="00000000">
      <w:pPr>
        <w:pStyle w:val="BodyText"/>
        <w:rPr>
          <w:sz w:val="22"/>
        </w:rPr>
      </w:pPr>
      <w:r>
        <w:rPr>
          <w:sz w:val="22"/>
        </w:rPr>
        <w:t>Il est estimé globalement à 1.989.850.000 Fcfa.</w:t>
      </w:r>
    </w:p>
    <w:p w:rsidR="00000000" w:rsidRDefault="00000000">
      <w:pPr>
        <w:pStyle w:val="BodyText"/>
        <w:rPr>
          <w:sz w:val="22"/>
        </w:rPr>
      </w:pPr>
    </w:p>
    <w:p w:rsidR="00000000" w:rsidRDefault="00000000">
      <w:pPr>
        <w:pStyle w:val="BodyText"/>
        <w:rPr>
          <w:sz w:val="22"/>
        </w:rPr>
      </w:pPr>
      <w:r>
        <w:rPr>
          <w:sz w:val="22"/>
        </w:rPr>
        <w:t>Le suivi et l’évaluation du plan national d’action de la promotion de la femme sont assurés, au plan national, par un comité de pilotage et un comité technique ; et au plan régional, par un comité régional de pilotage, présidé par le préfet. L’État, les partenaires du développement (coopération bilatérale et multilatérale), les organisations non gouvernementales et les associations contribuent au financement, à un niveau déterminé, ainsi qu’à l’exécution du plan d’action.</w:t>
      </w:r>
    </w:p>
    <w:p w:rsidR="00000000" w:rsidRDefault="00000000">
      <w:pPr>
        <w:pStyle w:val="BodyText"/>
        <w:rPr>
          <w:sz w:val="22"/>
        </w:rPr>
      </w:pPr>
    </w:p>
    <w:p w:rsidR="00000000" w:rsidRDefault="00000000">
      <w:pPr>
        <w:tabs>
          <w:tab w:val="left" w:pos="1680"/>
        </w:tabs>
        <w:ind w:left="1680" w:hanging="1680"/>
        <w:jc w:val="both"/>
        <w:rPr>
          <w:b/>
          <w:sz w:val="22"/>
        </w:rPr>
      </w:pPr>
      <w:r>
        <w:rPr>
          <w:b/>
          <w:sz w:val="22"/>
          <w:u w:val="single"/>
        </w:rPr>
        <w:t>SECTION</w:t>
      </w:r>
      <w:r>
        <w:rPr>
          <w:b/>
          <w:sz w:val="22"/>
        </w:rPr>
        <w:t xml:space="preserve"> III -</w:t>
      </w:r>
      <w:r>
        <w:rPr>
          <w:b/>
          <w:sz w:val="22"/>
        </w:rPr>
        <w:tab/>
      </w:r>
      <w:r>
        <w:rPr>
          <w:b/>
          <w:sz w:val="22"/>
          <w:u w:val="single"/>
        </w:rPr>
        <w:t>LES MECANISMES JURIDICTIONNELS DE PROTECTION DES DROITS DE LA FEMME</w:t>
      </w:r>
      <w:r>
        <w:rPr>
          <w:b/>
          <w:sz w:val="22"/>
        </w:rPr>
        <w:t xml:space="preserve">  (article 2-c)</w:t>
      </w:r>
    </w:p>
    <w:p w:rsidR="00000000" w:rsidRDefault="00000000">
      <w:pPr>
        <w:pStyle w:val="BodyText"/>
        <w:rPr>
          <w:sz w:val="22"/>
        </w:rPr>
      </w:pPr>
    </w:p>
    <w:p w:rsidR="00000000" w:rsidRDefault="00000000">
      <w:pPr>
        <w:pStyle w:val="BodyText"/>
        <w:rPr>
          <w:sz w:val="22"/>
        </w:rPr>
      </w:pPr>
      <w:r>
        <w:rPr>
          <w:sz w:val="22"/>
        </w:rPr>
        <w:t>La législation congolaise permet à la femme en sa qualité d’être humain et de sujet de droit d’ester en justice. En fonction de la nature du dommage, et de l’infraction subie, la femme peut faire prévaloir sa cause devant les juridictions civiles, pénales et administratives. Il existe, sur ce point, une réelle égalité entre l’homme et la femme. Par ailleurs, les droits de la femme qui sont appréciés par les juges ne résultent pas uniquement de la législation nationale. Les conventions ratifiées par le Congo sont applicables dans l’ordre juridique congolais car elles ont une valeur juridique équivalente à la loi. Ceci signifie que les juges peuvent s’y référer pour déterminer le statut légal de la femme. Et, ils peuvent rendre la justice en constatant la violation d’une norme consacrée par une convention internationale applicable en vertu de la ratification et de la publication. Ces normes deviennent, par conséquent, des sources de droits auxquelles les juges sont tenus de se référer. Même si en pratique, tel n’est pas le cas. On constate en effet que du fait de la conjonction de plusieurs facteurs notamment, la méconnaissance des conventions, les juges n’appliquent pas les normes internationales introduites dans le bloc de légalité interne. La méconnaissance des textes internationaux n’est pas, toutefois, le simple fait des juges.</w:t>
      </w:r>
    </w:p>
    <w:p w:rsidR="00000000" w:rsidRDefault="00000000">
      <w:pPr>
        <w:pStyle w:val="BodyText"/>
        <w:rPr>
          <w:sz w:val="22"/>
        </w:rPr>
      </w:pPr>
    </w:p>
    <w:p w:rsidR="00000000" w:rsidRDefault="00000000">
      <w:pPr>
        <w:pStyle w:val="BodyText"/>
        <w:rPr>
          <w:sz w:val="22"/>
        </w:rPr>
      </w:pPr>
      <w:r>
        <w:rPr>
          <w:sz w:val="22"/>
        </w:rPr>
        <w:t>Les hommes et les femmes ne connaissent pas la législation nationale ainsi que les traités internationaux. Il en résulte l’absence de recours devant les juridictions afin de faire valoir leurs droits. Il faut, toutefois, préciser que l’absence de recours s’explique aussi par la crainte des représailles. Une femme victime de spoliation, même informée des recours qu’elle peut entreprendre n’osera pas aller devant le juge par crainte de la sorcellerie qui risque de la frapper ainsi que ses enfants, de la répudiation ou du divorce.</w:t>
      </w:r>
    </w:p>
    <w:p w:rsidR="00000000" w:rsidRDefault="00000000">
      <w:pPr>
        <w:pStyle w:val="BodyText"/>
        <w:rPr>
          <w:sz w:val="22"/>
        </w:rPr>
      </w:pPr>
    </w:p>
    <w:p w:rsidR="00000000" w:rsidRDefault="00000000">
      <w:pPr>
        <w:pStyle w:val="BodyText"/>
        <w:rPr>
          <w:sz w:val="22"/>
        </w:rPr>
      </w:pPr>
      <w:r>
        <w:rPr>
          <w:sz w:val="22"/>
        </w:rPr>
        <w:t>Ainsi, si d’un point de vue formel, plusieurs mécanismes juridictionnels sont mis à la disposition des femmes, la méconnaissance des textes et des procédures ainsi que la peur de la sorcellerie limitent le progrès réalisé.</w:t>
      </w:r>
    </w:p>
    <w:p w:rsidR="00000000" w:rsidRDefault="00000000">
      <w:pPr>
        <w:pStyle w:val="BodyText"/>
        <w:rPr>
          <w:sz w:val="22"/>
        </w:rPr>
      </w:pPr>
    </w:p>
    <w:p w:rsidR="00000000" w:rsidRDefault="00000000">
      <w:pPr>
        <w:pStyle w:val="BodyText"/>
        <w:rPr>
          <w:sz w:val="22"/>
        </w:rPr>
      </w:pPr>
      <w:r>
        <w:rPr>
          <w:sz w:val="22"/>
        </w:rPr>
        <w:t>A cet effet, plusieurs recommandations peuvent être formulées en matière de droits de la femme. Il s’agit de :</w:t>
      </w:r>
    </w:p>
    <w:p w:rsidR="00000000" w:rsidRDefault="00000000">
      <w:pPr>
        <w:pStyle w:val="BodyText"/>
        <w:rPr>
          <w:sz w:val="22"/>
        </w:rPr>
      </w:pPr>
    </w:p>
    <w:p w:rsidR="00000000" w:rsidRDefault="00000000">
      <w:pPr>
        <w:pStyle w:val="BodyText"/>
        <w:numPr>
          <w:ilvl w:val="0"/>
          <w:numId w:val="44"/>
        </w:numPr>
        <w:rPr>
          <w:sz w:val="22"/>
        </w:rPr>
      </w:pPr>
      <w:r>
        <w:rPr>
          <w:sz w:val="22"/>
        </w:rPr>
        <w:t>l’identification et la revalorisation des coutumes positives ;</w:t>
      </w:r>
    </w:p>
    <w:p w:rsidR="00000000" w:rsidRDefault="00000000">
      <w:pPr>
        <w:pStyle w:val="BodyText"/>
        <w:numPr>
          <w:ilvl w:val="0"/>
          <w:numId w:val="44"/>
        </w:numPr>
        <w:rPr>
          <w:sz w:val="22"/>
        </w:rPr>
      </w:pPr>
      <w:r>
        <w:rPr>
          <w:sz w:val="22"/>
        </w:rPr>
        <w:t>la réforme des dispositions du code pénal sur l’adultère, le viol, l’interdiction de la pédophilie et du harcèlement sexuel ;</w:t>
      </w:r>
    </w:p>
    <w:p w:rsidR="00000000" w:rsidRDefault="00000000">
      <w:pPr>
        <w:pStyle w:val="BodyText"/>
        <w:numPr>
          <w:ilvl w:val="0"/>
          <w:numId w:val="44"/>
        </w:numPr>
        <w:rPr>
          <w:sz w:val="22"/>
        </w:rPr>
      </w:pPr>
      <w:r>
        <w:rPr>
          <w:sz w:val="22"/>
        </w:rPr>
        <w:t>la réforme du système d’imposition de la femme mariée ;</w:t>
      </w:r>
    </w:p>
    <w:p w:rsidR="00000000" w:rsidRDefault="00000000">
      <w:pPr>
        <w:pStyle w:val="BodyText"/>
        <w:numPr>
          <w:ilvl w:val="0"/>
          <w:numId w:val="44"/>
        </w:numPr>
        <w:rPr>
          <w:sz w:val="22"/>
        </w:rPr>
      </w:pPr>
      <w:r>
        <w:rPr>
          <w:sz w:val="22"/>
        </w:rPr>
        <w:t>l’organisation de séminaires d’information et de formation à l’intention de l’ensemble de la société et des juges sur les droits de la femme ;</w:t>
      </w:r>
    </w:p>
    <w:p w:rsidR="00000000" w:rsidRDefault="00000000">
      <w:pPr>
        <w:pStyle w:val="BodyText"/>
        <w:numPr>
          <w:ilvl w:val="0"/>
          <w:numId w:val="44"/>
        </w:numPr>
        <w:rPr>
          <w:sz w:val="22"/>
        </w:rPr>
      </w:pPr>
      <w:r>
        <w:rPr>
          <w:sz w:val="22"/>
        </w:rPr>
        <w:t>l’organisation d’activités d’IEC sur les droits de la femme ;</w:t>
      </w:r>
    </w:p>
    <w:p w:rsidR="00000000" w:rsidRDefault="00000000">
      <w:pPr>
        <w:pStyle w:val="BodyText"/>
        <w:numPr>
          <w:ilvl w:val="0"/>
          <w:numId w:val="44"/>
        </w:numPr>
        <w:rPr>
          <w:sz w:val="22"/>
        </w:rPr>
      </w:pPr>
      <w:r>
        <w:rPr>
          <w:sz w:val="22"/>
        </w:rPr>
        <w:t>la réflexion sur l’harmonisation des textes nationaux avec les conventions ratifiées par le Congo ;</w:t>
      </w:r>
    </w:p>
    <w:p w:rsidR="00000000" w:rsidRDefault="00000000">
      <w:pPr>
        <w:pStyle w:val="BodyText"/>
        <w:numPr>
          <w:ilvl w:val="0"/>
          <w:numId w:val="44"/>
        </w:numPr>
        <w:rPr>
          <w:sz w:val="22"/>
        </w:rPr>
      </w:pPr>
      <w:r>
        <w:rPr>
          <w:sz w:val="22"/>
        </w:rPr>
        <w:t>l’élimination des discriminations légales ;</w:t>
      </w:r>
    </w:p>
    <w:p w:rsidR="00000000" w:rsidRDefault="00000000">
      <w:pPr>
        <w:pStyle w:val="BodyText"/>
        <w:numPr>
          <w:ilvl w:val="0"/>
          <w:numId w:val="44"/>
        </w:numPr>
        <w:rPr>
          <w:sz w:val="22"/>
        </w:rPr>
      </w:pPr>
      <w:r>
        <w:rPr>
          <w:sz w:val="22"/>
        </w:rPr>
        <w:t>la disparition des coutumes rétrogrades persistantes ;</w:t>
      </w:r>
    </w:p>
    <w:p w:rsidR="00000000" w:rsidRDefault="00000000">
      <w:pPr>
        <w:pStyle w:val="BodyText"/>
        <w:numPr>
          <w:ilvl w:val="0"/>
          <w:numId w:val="44"/>
        </w:numPr>
        <w:rPr>
          <w:sz w:val="22"/>
        </w:rPr>
      </w:pPr>
      <w:r>
        <w:rPr>
          <w:sz w:val="22"/>
        </w:rPr>
        <w:t>la traduction de la législation nationale et des conventions internationales en langues vernaculaires (lingala, kituba).</w:t>
      </w:r>
    </w:p>
    <w:p w:rsidR="00000000" w:rsidRDefault="00000000">
      <w:pPr>
        <w:pStyle w:val="BodyText"/>
        <w:rPr>
          <w:sz w:val="22"/>
        </w:rPr>
      </w:pPr>
    </w:p>
    <w:p w:rsidR="00000000" w:rsidRDefault="00000000">
      <w:pPr>
        <w:pStyle w:val="BodyText"/>
        <w:rPr>
          <w:sz w:val="22"/>
        </w:rPr>
      </w:pPr>
    </w:p>
    <w:p w:rsidR="00000000" w:rsidRDefault="00000000">
      <w:pPr>
        <w:pStyle w:val="BodyText"/>
        <w:rPr>
          <w:sz w:val="22"/>
        </w:rPr>
      </w:pPr>
    </w:p>
    <w:tbl>
      <w:tblPr>
        <w:tblW w:w="0" w:type="auto"/>
        <w:tblInd w:w="910" w:type="dxa"/>
        <w:tblLayout w:type="fixed"/>
        <w:tblCellMar>
          <w:left w:w="70" w:type="dxa"/>
          <w:right w:w="70" w:type="dxa"/>
        </w:tblCellMar>
        <w:tblLook w:val="0000" w:firstRow="0" w:lastRow="0" w:firstColumn="0" w:lastColumn="0" w:noHBand="0" w:noVBand="0"/>
      </w:tblPr>
      <w:tblGrid>
        <w:gridCol w:w="2279"/>
        <w:gridCol w:w="6718"/>
      </w:tblGrid>
      <w:tr w:rsidR="00000000">
        <w:tblPrEx>
          <w:tblCellMar>
            <w:top w:w="0" w:type="dxa"/>
            <w:bottom w:w="0" w:type="dxa"/>
          </w:tblCellMar>
        </w:tblPrEx>
        <w:tc>
          <w:tcPr>
            <w:tcW w:w="2279" w:type="dxa"/>
          </w:tcPr>
          <w:p w:rsidR="00000000" w:rsidRDefault="00000000">
            <w:pPr>
              <w:pStyle w:val="BodyText"/>
            </w:pPr>
            <w:r>
              <w:rPr>
                <w:b/>
                <w:u w:val="single"/>
              </w:rPr>
              <w:t>CHAPITRE IV</w:t>
            </w:r>
            <w:r>
              <w:rPr>
                <w:b/>
              </w:rPr>
              <w:t> :</w:t>
            </w:r>
          </w:p>
        </w:tc>
        <w:tc>
          <w:tcPr>
            <w:tcW w:w="6718" w:type="dxa"/>
          </w:tcPr>
          <w:p w:rsidR="00000000" w:rsidRDefault="00000000">
            <w:pPr>
              <w:pStyle w:val="BodyText"/>
              <w:jc w:val="left"/>
            </w:pPr>
            <w:r>
              <w:rPr>
                <w:b/>
                <w:u w:val="single"/>
              </w:rPr>
              <w:t>LES MECANISMES TEMPORAIRES SPECIALISES VISANT A</w:t>
            </w:r>
            <w:r>
              <w:rPr>
                <w:b/>
              </w:rPr>
              <w:t xml:space="preserve"> </w:t>
            </w:r>
            <w:r>
              <w:rPr>
                <w:b/>
                <w:caps/>
                <w:u w:val="single"/>
              </w:rPr>
              <w:t>ACCELERER  l’instauration d’une égalité de fait homme/femme</w:t>
            </w:r>
            <w:r>
              <w:rPr>
                <w:b/>
              </w:rPr>
              <w:t xml:space="preserve"> (article 4)</w:t>
            </w:r>
          </w:p>
        </w:tc>
      </w:tr>
    </w:tbl>
    <w:p w:rsidR="00000000" w:rsidRDefault="00000000">
      <w:pPr>
        <w:pStyle w:val="BodyText"/>
        <w:rPr>
          <w:sz w:val="22"/>
          <w:u w:val="single"/>
        </w:rPr>
      </w:pPr>
    </w:p>
    <w:p w:rsidR="00000000" w:rsidRDefault="00000000">
      <w:pPr>
        <w:pStyle w:val="BodyText"/>
        <w:rPr>
          <w:sz w:val="22"/>
          <w:u w:val="single"/>
        </w:rPr>
      </w:pPr>
      <w:r>
        <w:rPr>
          <w:sz w:val="22"/>
          <w:u w:val="single"/>
        </w:rPr>
        <w:t>Article 4</w:t>
      </w:r>
    </w:p>
    <w:p w:rsidR="00000000" w:rsidRDefault="00000000">
      <w:pPr>
        <w:pStyle w:val="BodyText"/>
        <w:rPr>
          <w:sz w:val="22"/>
        </w:rPr>
      </w:pPr>
    </w:p>
    <w:tbl>
      <w:tblPr>
        <w:tblW w:w="0" w:type="auto"/>
        <w:tblLayout w:type="fixed"/>
        <w:tblCellMar>
          <w:left w:w="70" w:type="dxa"/>
          <w:right w:w="70" w:type="dxa"/>
        </w:tblCellMar>
        <w:tblLook w:val="0000" w:firstRow="0" w:lastRow="0" w:firstColumn="0" w:lastColumn="0" w:noHBand="0" w:noVBand="0"/>
      </w:tblPr>
      <w:tblGrid>
        <w:gridCol w:w="496"/>
        <w:gridCol w:w="9393"/>
      </w:tblGrid>
      <w:tr w:rsidR="00000000">
        <w:tblPrEx>
          <w:tblCellMar>
            <w:top w:w="0" w:type="dxa"/>
            <w:bottom w:w="0" w:type="dxa"/>
          </w:tblCellMar>
        </w:tblPrEx>
        <w:tc>
          <w:tcPr>
            <w:tcW w:w="496" w:type="dxa"/>
          </w:tcPr>
          <w:p w:rsidR="00000000" w:rsidRDefault="00000000">
            <w:pPr>
              <w:pStyle w:val="BodyText"/>
              <w:rPr>
                <w:sz w:val="22"/>
              </w:rPr>
            </w:pPr>
            <w:r>
              <w:rPr>
                <w:sz w:val="22"/>
              </w:rPr>
              <w:t>« a-</w:t>
            </w:r>
          </w:p>
        </w:tc>
        <w:tc>
          <w:tcPr>
            <w:tcW w:w="9393" w:type="dxa"/>
          </w:tcPr>
          <w:p w:rsidR="00000000" w:rsidRDefault="00000000">
            <w:pPr>
              <w:pStyle w:val="BodyText"/>
              <w:rPr>
                <w:sz w:val="22"/>
              </w:rPr>
            </w:pPr>
            <w:r>
              <w:rPr>
                <w:i/>
                <w:sz w:val="22"/>
              </w:rPr>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tc>
      </w:tr>
      <w:tr w:rsidR="00000000">
        <w:tblPrEx>
          <w:tblCellMar>
            <w:top w:w="0" w:type="dxa"/>
            <w:bottom w:w="0" w:type="dxa"/>
          </w:tblCellMar>
        </w:tblPrEx>
        <w:tc>
          <w:tcPr>
            <w:tcW w:w="496" w:type="dxa"/>
          </w:tcPr>
          <w:p w:rsidR="00000000" w:rsidRDefault="00000000">
            <w:pPr>
              <w:pStyle w:val="BodyText"/>
              <w:jc w:val="right"/>
              <w:rPr>
                <w:sz w:val="22"/>
              </w:rPr>
            </w:pPr>
            <w:r>
              <w:rPr>
                <w:sz w:val="22"/>
              </w:rPr>
              <w:t>b-</w:t>
            </w:r>
          </w:p>
        </w:tc>
        <w:tc>
          <w:tcPr>
            <w:tcW w:w="9393" w:type="dxa"/>
          </w:tcPr>
          <w:p w:rsidR="00000000" w:rsidRDefault="00000000">
            <w:pPr>
              <w:pStyle w:val="BodyText"/>
              <w:rPr>
                <w:sz w:val="22"/>
              </w:rPr>
            </w:pPr>
            <w:r>
              <w:rPr>
                <w:i/>
                <w:sz w:val="22"/>
              </w:rPr>
              <w:t>L’adoption, par les États parties, de mesures spéciales, y compris de mesures prévues dans la présente Convention, qui visent à protéger la maternité n’est pas considérée comme un acte discriminatoire. »</w:t>
            </w:r>
          </w:p>
        </w:tc>
      </w:tr>
    </w:tbl>
    <w:p w:rsidR="00000000" w:rsidRDefault="00000000">
      <w:pPr>
        <w:pStyle w:val="BodyText"/>
        <w:rPr>
          <w:sz w:val="22"/>
        </w:rPr>
      </w:pPr>
    </w:p>
    <w:p w:rsidR="00000000" w:rsidRDefault="00000000">
      <w:pPr>
        <w:pStyle w:val="BodyText"/>
        <w:rPr>
          <w:sz w:val="22"/>
        </w:rPr>
      </w:pPr>
      <w:r>
        <w:rPr>
          <w:sz w:val="22"/>
        </w:rPr>
        <w:t>La législation congolaise soumet en général l’homme et la femme à un régime juridique identique.</w:t>
      </w:r>
    </w:p>
    <w:p w:rsidR="00000000" w:rsidRDefault="00000000">
      <w:pPr>
        <w:pStyle w:val="BodyText"/>
        <w:ind w:left="1985" w:hanging="1985"/>
        <w:rPr>
          <w:sz w:val="22"/>
        </w:rPr>
      </w:pPr>
    </w:p>
    <w:p w:rsidR="00000000" w:rsidRDefault="00000000">
      <w:pPr>
        <w:pStyle w:val="BodyText"/>
        <w:rPr>
          <w:sz w:val="22"/>
        </w:rPr>
      </w:pPr>
      <w:r>
        <w:rPr>
          <w:sz w:val="22"/>
        </w:rPr>
        <w:t>Il existe actuellement des dispositions particulières qui établissent des actions positives, c’est-à-dire des mesures temporaires et spéciales destinées à accélérer l’instauration de l’égalité de fait et qui soumettent les femmes à un traitement plus favorable que celui réservé aux hommes.</w:t>
      </w:r>
    </w:p>
    <w:p w:rsidR="00000000" w:rsidRDefault="00000000">
      <w:pPr>
        <w:pStyle w:val="BodyText"/>
        <w:rPr>
          <w:sz w:val="22"/>
        </w:rPr>
      </w:pPr>
    </w:p>
    <w:p w:rsidR="00000000" w:rsidRDefault="00000000">
      <w:pPr>
        <w:pStyle w:val="BodyText"/>
        <w:rPr>
          <w:sz w:val="22"/>
        </w:rPr>
      </w:pPr>
      <w:r>
        <w:rPr>
          <w:sz w:val="22"/>
        </w:rPr>
        <w:t>Les femmes enceintes et les nourrices bénéficient, en outre, d’un traitement particulier.</w:t>
      </w:r>
    </w:p>
    <w:p w:rsidR="00000000" w:rsidRDefault="00000000">
      <w:pPr>
        <w:pStyle w:val="BodyText"/>
        <w:rPr>
          <w:sz w:val="22"/>
        </w:rPr>
      </w:pPr>
    </w:p>
    <w:p w:rsidR="00000000" w:rsidRDefault="00000000">
      <w:pPr>
        <w:pStyle w:val="BodyText"/>
        <w:rPr>
          <w:sz w:val="22"/>
        </w:rPr>
      </w:pPr>
      <w:r>
        <w:rPr>
          <w:sz w:val="22"/>
        </w:rPr>
        <w:t>Le Congo a ratifié bon nombre de conventions qui organisent la protection de la maternité. On peut citer notamment : la CEDAW/CEDEF), le pacte international relatif aux droits économiques, sociaux et culturels et la convention de l’Organisation Internationale du Travail sur le travail des femmes avant et après l’accouchement.</w:t>
      </w:r>
    </w:p>
    <w:p w:rsidR="00000000" w:rsidRDefault="00000000">
      <w:pPr>
        <w:pStyle w:val="BodyText"/>
        <w:rPr>
          <w:sz w:val="22"/>
        </w:rPr>
      </w:pPr>
    </w:p>
    <w:p w:rsidR="00000000" w:rsidRDefault="00000000">
      <w:pPr>
        <w:pStyle w:val="BodyText"/>
        <w:rPr>
          <w:sz w:val="22"/>
        </w:rPr>
      </w:pPr>
      <w:r>
        <w:rPr>
          <w:sz w:val="22"/>
        </w:rPr>
        <w:t>Les mesures de protection concernent aussi bien le secteur public que le secteur privé.</w:t>
      </w:r>
    </w:p>
    <w:p w:rsidR="00000000" w:rsidRDefault="00000000">
      <w:pPr>
        <w:pStyle w:val="BodyText"/>
        <w:rPr>
          <w:sz w:val="22"/>
        </w:rPr>
      </w:pPr>
    </w:p>
    <w:p w:rsidR="00000000" w:rsidRDefault="00000000">
      <w:pPr>
        <w:pStyle w:val="BodyText"/>
        <w:rPr>
          <w:sz w:val="22"/>
        </w:rPr>
      </w:pPr>
    </w:p>
    <w:p w:rsidR="00000000" w:rsidRDefault="00000000">
      <w:pPr>
        <w:tabs>
          <w:tab w:val="left" w:pos="1680"/>
        </w:tabs>
        <w:ind w:left="1680" w:hanging="1680"/>
        <w:jc w:val="both"/>
        <w:rPr>
          <w:b/>
          <w:sz w:val="22"/>
        </w:rPr>
      </w:pPr>
      <w:r>
        <w:rPr>
          <w:b/>
          <w:caps/>
          <w:sz w:val="22"/>
          <w:u w:val="single"/>
        </w:rPr>
        <w:br w:type="page"/>
        <w:t>SECTION</w:t>
      </w:r>
      <w:r>
        <w:rPr>
          <w:b/>
          <w:caps/>
          <w:sz w:val="22"/>
        </w:rPr>
        <w:t xml:space="preserve"> I - </w:t>
      </w:r>
      <w:r>
        <w:rPr>
          <w:b/>
          <w:caps/>
          <w:sz w:val="22"/>
          <w:u w:val="single"/>
        </w:rPr>
        <w:t>La protection des femmes enceintes dans le secteur public</w:t>
      </w:r>
    </w:p>
    <w:p w:rsidR="00000000" w:rsidRDefault="00000000">
      <w:pPr>
        <w:pStyle w:val="BodyText"/>
        <w:rPr>
          <w:b/>
          <w:sz w:val="22"/>
        </w:rPr>
      </w:pPr>
    </w:p>
    <w:p w:rsidR="00000000" w:rsidRDefault="00000000">
      <w:pPr>
        <w:pStyle w:val="BodyText"/>
        <w:rPr>
          <w:sz w:val="22"/>
        </w:rPr>
      </w:pPr>
      <w:r>
        <w:rPr>
          <w:sz w:val="22"/>
        </w:rPr>
        <w:t>La loi n° 021-89 du 14 novembre 1989 portant refonte du statut général de la fonction publique, les statuts particuliers et les textes d’application organisent, entre autres, la protection des femmes enceintes et des mères allaitantes dans le secteur public. Le congé de maternité est réglementé par les articles 127 et 129. Il permet à « un fonctionnaire de sexe féminin d’obtenir la suspension de ses obligations de service à l’occasion  d’une naissance. » Le congé de maternité est un droit statutaire pour la femme. Elle ne peut ni y renoncer ni en être privé. Pendant  toute la durée du congé de maternité, la femme perçoit l’intégralité de son salaire. Le congé de maternité dure 15 semaines consécutives dont 9 semaines postérieures à la délivrance. Il court, au plus tôt, six semaines et, au plus tard, deux semaines avant l’accouchement. Si à l’expiration du délai de quinze semaines, la femme n’est pas en état de reprendre ses fonctions, elle peut bénéficier, sur production d’un certificat médical délivré par un médecin assermenté, d’un congé de maladie.</w:t>
      </w:r>
    </w:p>
    <w:p w:rsidR="00000000" w:rsidRDefault="00000000">
      <w:pPr>
        <w:pStyle w:val="BodyText"/>
        <w:rPr>
          <w:sz w:val="22"/>
        </w:rPr>
      </w:pPr>
    </w:p>
    <w:p w:rsidR="00000000" w:rsidRDefault="00000000">
      <w:pPr>
        <w:pStyle w:val="BodyText"/>
        <w:rPr>
          <w:sz w:val="22"/>
        </w:rPr>
      </w:pPr>
      <w:r>
        <w:rPr>
          <w:sz w:val="22"/>
        </w:rPr>
        <w:t>Le congé de maternité ne peut être cumulé avec le congé administratif (article 9 du décret n° 86/067 du 16 janvier 1986 fixant le régime des congés des fonctionnaires des cadres de la République Populaire du Congo). Les statuts particuliers de la fonction publique en vigueur organisent tous le congé de maternité. Celui-ci est, toutefois, soumis à des modalités particulières souvent plus favorables à la femme.</w:t>
      </w:r>
    </w:p>
    <w:p w:rsidR="00000000" w:rsidRDefault="00000000">
      <w:pPr>
        <w:pStyle w:val="BodyText"/>
        <w:rPr>
          <w:sz w:val="22"/>
        </w:rPr>
      </w:pPr>
    </w:p>
    <w:p w:rsidR="00000000" w:rsidRDefault="00000000">
      <w:pPr>
        <w:pStyle w:val="BodyText"/>
        <w:rPr>
          <w:sz w:val="22"/>
          <w:u w:val="single"/>
        </w:rPr>
      </w:pPr>
      <w:r>
        <w:rPr>
          <w:sz w:val="22"/>
          <w:u w:val="single"/>
        </w:rPr>
        <w:t>Exemple</w:t>
      </w:r>
    </w:p>
    <w:p w:rsidR="00000000" w:rsidRDefault="00000000">
      <w:pPr>
        <w:pStyle w:val="BodyText"/>
        <w:rPr>
          <w:sz w:val="22"/>
        </w:rPr>
      </w:pPr>
    </w:p>
    <w:p w:rsidR="00000000" w:rsidRDefault="00000000">
      <w:pPr>
        <w:pStyle w:val="BodyText"/>
        <w:rPr>
          <w:sz w:val="22"/>
        </w:rPr>
      </w:pPr>
      <w:r>
        <w:rPr>
          <w:sz w:val="22"/>
        </w:rPr>
        <w:t>Le statut de l’Université Marien NGOUABI prévoit une durée de 20 semaines pour le congé de maternité contre 15 semaines dans le statut général de la fonction publique.</w:t>
      </w:r>
    </w:p>
    <w:p w:rsidR="00000000" w:rsidRDefault="00000000">
      <w:pPr>
        <w:pStyle w:val="BodyText"/>
        <w:rPr>
          <w:sz w:val="22"/>
        </w:rPr>
      </w:pPr>
    </w:p>
    <w:p w:rsidR="00000000" w:rsidRDefault="00000000">
      <w:pPr>
        <w:pStyle w:val="BodyText"/>
        <w:rPr>
          <w:sz w:val="22"/>
        </w:rPr>
      </w:pPr>
    </w:p>
    <w:p w:rsidR="00000000" w:rsidRDefault="00000000">
      <w:pPr>
        <w:tabs>
          <w:tab w:val="left" w:pos="1680"/>
        </w:tabs>
        <w:ind w:left="1680" w:hanging="1680"/>
        <w:jc w:val="both"/>
        <w:rPr>
          <w:b/>
          <w:sz w:val="22"/>
        </w:rPr>
      </w:pPr>
      <w:r>
        <w:rPr>
          <w:b/>
          <w:sz w:val="22"/>
          <w:u w:val="single"/>
        </w:rPr>
        <w:t>SECTION</w:t>
      </w:r>
      <w:r>
        <w:rPr>
          <w:b/>
          <w:sz w:val="22"/>
        </w:rPr>
        <w:t xml:space="preserve"> II</w:t>
      </w:r>
      <w:r>
        <w:rPr>
          <w:b/>
          <w:caps/>
          <w:sz w:val="22"/>
        </w:rPr>
        <w:t xml:space="preserve"> - </w:t>
      </w:r>
      <w:r>
        <w:rPr>
          <w:b/>
          <w:caps/>
          <w:sz w:val="22"/>
          <w:u w:val="single"/>
        </w:rPr>
        <w:t>La protection des femmes enceintes dans le secteur privé</w:t>
      </w:r>
    </w:p>
    <w:p w:rsidR="00000000" w:rsidRDefault="00000000">
      <w:pPr>
        <w:pStyle w:val="BodyText"/>
        <w:rPr>
          <w:sz w:val="22"/>
        </w:rPr>
      </w:pPr>
    </w:p>
    <w:p w:rsidR="00000000" w:rsidRDefault="00000000">
      <w:pPr>
        <w:pStyle w:val="BodyText"/>
        <w:rPr>
          <w:sz w:val="22"/>
        </w:rPr>
      </w:pPr>
      <w:r>
        <w:rPr>
          <w:sz w:val="22"/>
        </w:rPr>
        <w:t>Le code du travail prévoit le congé de maternité au bénéfice de la femme enceinte. Pendant cette période, l’employeur ne peut résilier son contrat de travail. La femme enceinte dont l’état est constaté médicalement peut quitter le travail sans préavis et sans avoir à payer l’indemnité de rupture de contrat. La femme perçoit la moitié de son salaire versé par l’employeur et, la caisse nationale de sécurité sociale (CNSS) verse l’autre moitié. Elle a droit aux soins gratuits. La femme peut cesser son travail avant la période de congé légale si sa santé l’exige. Dans la pratique, l’on observe la réticence des employeurs du secteur privé à recruter des femmes au motif qu’elles se caractériseraient par un absentéisme avéré du fait des congés de maternité. Ce qui limiterait les objectifs de rendement fixés par l’entreprise. Cette pratique contribue à instaurer une réelle discrimination à l’égard de la femme et à l’exclure du monde du travail. Elle conduit aussi à des licenciements abusifs en cas de grossesse.</w:t>
      </w:r>
    </w:p>
    <w:p w:rsidR="00000000" w:rsidRDefault="00000000">
      <w:pPr>
        <w:pStyle w:val="BodyText"/>
        <w:rPr>
          <w:sz w:val="22"/>
        </w:rPr>
      </w:pPr>
    </w:p>
    <w:p w:rsidR="00000000" w:rsidRDefault="00000000">
      <w:pPr>
        <w:pStyle w:val="BodyText"/>
        <w:rPr>
          <w:sz w:val="22"/>
        </w:rPr>
      </w:pPr>
      <w:r>
        <w:rPr>
          <w:sz w:val="22"/>
        </w:rPr>
        <w:t>Aussi, la connaissance de la législation devrait permettre aux femmes de dénoncer tout licenciement abusif .</w:t>
      </w:r>
    </w:p>
    <w:p w:rsidR="00000000" w:rsidRDefault="00000000">
      <w:pPr>
        <w:pStyle w:val="BodyText"/>
        <w:rPr>
          <w:sz w:val="22"/>
        </w:rPr>
      </w:pPr>
    </w:p>
    <w:p w:rsidR="00000000" w:rsidRDefault="00000000">
      <w:pPr>
        <w:pStyle w:val="BodyText"/>
        <w:ind w:left="2375" w:hanging="1850"/>
        <w:jc w:val="left"/>
        <w:rPr>
          <w:b/>
          <w:bCs/>
        </w:rPr>
      </w:pPr>
      <w:r>
        <w:br w:type="page"/>
      </w:r>
      <w:r>
        <w:rPr>
          <w:b/>
          <w:bCs/>
        </w:rPr>
        <w:t xml:space="preserve">CHAPITRE V : </w:t>
      </w:r>
      <w:r>
        <w:rPr>
          <w:b/>
          <w:bCs/>
        </w:rPr>
        <w:tab/>
        <w:t>ELIMINATION DES IDEES STEREOTYPEES DE NATURE SEXISTE (article 5)</w:t>
      </w:r>
    </w:p>
    <w:p w:rsidR="00000000" w:rsidRDefault="00000000">
      <w:pPr>
        <w:pStyle w:val="BodyText"/>
        <w:ind w:left="475" w:hanging="475"/>
        <w:rPr>
          <w:sz w:val="22"/>
        </w:rPr>
      </w:pPr>
    </w:p>
    <w:p w:rsidR="00000000" w:rsidRDefault="00000000">
      <w:pPr>
        <w:pStyle w:val="BodyText"/>
        <w:rPr>
          <w:sz w:val="22"/>
        </w:rPr>
      </w:pPr>
      <w:r>
        <w:rPr>
          <w:sz w:val="22"/>
        </w:rPr>
        <w:t>Au titre des perspectives, une réflexion pourrait être conduite afin de formuler des actions positives susceptibles de contribuer à la promotion de la femme.</w:t>
      </w:r>
    </w:p>
    <w:p w:rsidR="00000000" w:rsidRDefault="00000000">
      <w:pPr>
        <w:pStyle w:val="BodyText"/>
        <w:rPr>
          <w:sz w:val="22"/>
        </w:rPr>
      </w:pPr>
    </w:p>
    <w:p w:rsidR="00000000" w:rsidRDefault="00000000">
      <w:pPr>
        <w:pStyle w:val="BodyText"/>
        <w:rPr>
          <w:sz w:val="22"/>
          <w:u w:val="single"/>
        </w:rPr>
      </w:pPr>
      <w:r>
        <w:rPr>
          <w:sz w:val="22"/>
          <w:u w:val="single"/>
        </w:rPr>
        <w:t>Article 5</w:t>
      </w:r>
    </w:p>
    <w:p w:rsidR="00000000" w:rsidRDefault="00000000">
      <w:pPr>
        <w:pStyle w:val="BodyText"/>
        <w:rPr>
          <w:sz w:val="22"/>
        </w:rPr>
      </w:pPr>
    </w:p>
    <w:p w:rsidR="00000000" w:rsidRDefault="00000000">
      <w:pPr>
        <w:pStyle w:val="BodyText"/>
        <w:rPr>
          <w:i/>
          <w:sz w:val="22"/>
        </w:rPr>
      </w:pPr>
      <w:r>
        <w:rPr>
          <w:i/>
          <w:sz w:val="22"/>
        </w:rPr>
        <w:t>« Les États parties prennent toutes les mesures appropriées pour :</w:t>
      </w:r>
    </w:p>
    <w:p w:rsidR="00000000" w:rsidRDefault="00000000">
      <w:pPr>
        <w:pStyle w:val="BodyText"/>
        <w:rPr>
          <w:i/>
          <w:sz w:val="22"/>
        </w:rPr>
      </w:pPr>
    </w:p>
    <w:p w:rsidR="00000000" w:rsidRDefault="00000000">
      <w:pPr>
        <w:pStyle w:val="BodyText"/>
        <w:numPr>
          <w:ilvl w:val="0"/>
          <w:numId w:val="153"/>
        </w:numPr>
        <w:rPr>
          <w:i/>
          <w:sz w:val="22"/>
        </w:rPr>
      </w:pPr>
      <w:r>
        <w:rPr>
          <w:i/>
          <w:sz w:val="22"/>
        </w:rPr>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 ;</w:t>
      </w:r>
    </w:p>
    <w:p w:rsidR="00000000" w:rsidRDefault="00000000">
      <w:pPr>
        <w:pStyle w:val="BodyText"/>
        <w:numPr>
          <w:ilvl w:val="0"/>
          <w:numId w:val="153"/>
        </w:numPr>
        <w:rPr>
          <w:i/>
          <w:sz w:val="22"/>
        </w:rPr>
      </w:pPr>
      <w:r>
        <w:rPr>
          <w:i/>
          <w:sz w:val="22"/>
        </w:rPr>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 »</w:t>
      </w:r>
    </w:p>
    <w:p w:rsidR="00000000" w:rsidRDefault="00000000">
      <w:pPr>
        <w:pStyle w:val="BodyText"/>
        <w:rPr>
          <w:i/>
          <w:sz w:val="22"/>
        </w:rPr>
      </w:pPr>
    </w:p>
    <w:p w:rsidR="00000000" w:rsidRDefault="00000000">
      <w:pPr>
        <w:pStyle w:val="BodyText"/>
        <w:rPr>
          <w:sz w:val="22"/>
        </w:rPr>
      </w:pPr>
      <w:r>
        <w:rPr>
          <w:sz w:val="22"/>
        </w:rPr>
        <w:t>Les stéréotypes sexistes existent au sein de la famille, dans l’éducation et dans le travail.</w:t>
      </w:r>
    </w:p>
    <w:p w:rsidR="00000000" w:rsidRDefault="00000000">
      <w:pPr>
        <w:pStyle w:val="BodyText"/>
        <w:rPr>
          <w:sz w:val="22"/>
        </w:rPr>
      </w:pPr>
    </w:p>
    <w:p w:rsidR="00000000" w:rsidRDefault="00000000">
      <w:pPr>
        <w:tabs>
          <w:tab w:val="left" w:pos="1680"/>
        </w:tabs>
        <w:ind w:left="1680" w:hanging="1680"/>
        <w:jc w:val="both"/>
        <w:rPr>
          <w:b/>
          <w:sz w:val="22"/>
        </w:rPr>
      </w:pPr>
      <w:r>
        <w:rPr>
          <w:b/>
          <w:caps/>
          <w:sz w:val="22"/>
          <w:u w:val="single"/>
        </w:rPr>
        <w:t>SECTION</w:t>
      </w:r>
      <w:r>
        <w:rPr>
          <w:b/>
          <w:caps/>
          <w:sz w:val="22"/>
        </w:rPr>
        <w:t xml:space="preserve"> I -</w:t>
      </w:r>
      <w:r>
        <w:rPr>
          <w:b/>
          <w:caps/>
          <w:sz w:val="22"/>
          <w:u w:val="single"/>
        </w:rPr>
        <w:t>Les stéréotypes au sein de la famille</w:t>
      </w:r>
    </w:p>
    <w:p w:rsidR="00000000" w:rsidRDefault="00000000">
      <w:pPr>
        <w:pStyle w:val="BodyText"/>
        <w:rPr>
          <w:sz w:val="22"/>
        </w:rPr>
      </w:pPr>
    </w:p>
    <w:p w:rsidR="00000000" w:rsidRDefault="00000000">
      <w:pPr>
        <w:pStyle w:val="BodyText"/>
        <w:rPr>
          <w:sz w:val="22"/>
        </w:rPr>
      </w:pPr>
      <w:r>
        <w:rPr>
          <w:sz w:val="22"/>
        </w:rPr>
        <w:t>Au sein de la famille, on observe divers stéréotypes de nature sexiste. Ils ont pour effet d’assigner à l’homme et à la femme des tâches et des rôles bien précis. Ils déterminent l’éducation que l’un et l’autre reçoivent dès leur petite enfance. Les jeunes filles exécutent les tâches ménagères, relativement pénibles, pendant que les garçons jouent.</w:t>
      </w:r>
    </w:p>
    <w:p w:rsidR="00000000" w:rsidRDefault="00000000">
      <w:pPr>
        <w:pStyle w:val="BodyText"/>
        <w:rPr>
          <w:sz w:val="22"/>
        </w:rPr>
      </w:pPr>
    </w:p>
    <w:p w:rsidR="00000000" w:rsidRDefault="00000000">
      <w:pPr>
        <w:pStyle w:val="BodyText"/>
        <w:rPr>
          <w:sz w:val="22"/>
        </w:rPr>
      </w:pPr>
      <w:r>
        <w:rPr>
          <w:sz w:val="22"/>
        </w:rPr>
        <w:t>Dans la société traditionnelle, le sexe de l’enfant détermine ses comportements à l’égard de sa famille et de l’ensemble de la société à son égard. Pendant la petite enfance, l’enfant grandit sous l’ombre protectrice de sa mère. Après le sevrage, il intègre progressivement le monde masculin ou l’univers féminin où il est préparé à ses futures responsabilités d’homme ou de mère de famille. C’est ainsi que le petit garçon est formé à la chasse, à la pêche et à son futur rôle de chef de famille tandis que la petite fille apprend à faire la cuisine, à travailler aux champs et à devenir une mère et épouse obéissante qui doit du respect à son mari. A la fin de cette période, l’enfant subit les différents rites d’initiation qui marquent son entrée dans le monde des adultes.</w:t>
      </w:r>
    </w:p>
    <w:p w:rsidR="00000000" w:rsidRDefault="00000000">
      <w:pPr>
        <w:pStyle w:val="BodyText"/>
        <w:rPr>
          <w:sz w:val="22"/>
        </w:rPr>
      </w:pPr>
    </w:p>
    <w:p w:rsidR="00000000" w:rsidRDefault="00000000">
      <w:pPr>
        <w:pStyle w:val="BodyText"/>
        <w:rPr>
          <w:sz w:val="22"/>
        </w:rPr>
      </w:pPr>
      <w:r>
        <w:rPr>
          <w:sz w:val="22"/>
        </w:rPr>
        <w:t>Ces stéréotypes, hérités de nos traditions continuent de marquer les comportements. En dépit de l’évolution notable observée au niveau des idées, on note qu’il existe toujours, au sein de la famille, une certaine répartition des rôles. Les enfants reçoivent une éducation qui confine les filles dans des tâches bien précises (ménage, cuisine, garde des frères et sœurs, travaux champêtres etc…) alors que les petits garçons sont la plupart du temps oisifs. Quand ils ne vont pas aux champs, ils jouent. Il ne saurait être question qu’ils participent à certaines corvées considérées comme spécifiquement féminines. Et les mères participent à la reproduction de ces modes de pensée. Mais une nette évolution s’observe depuis quelques années et s’accélère avec les nombreux conflits que le pays a connus. En effet, de plus en plus de jeunes gens et d’hommes s’investissent dans les activités agricoles.</w:t>
      </w:r>
    </w:p>
    <w:p w:rsidR="00000000" w:rsidRDefault="00000000">
      <w:pPr>
        <w:pStyle w:val="BodyText"/>
        <w:rPr>
          <w:b/>
          <w:sz w:val="22"/>
        </w:rPr>
      </w:pPr>
    </w:p>
    <w:p w:rsidR="00000000" w:rsidRDefault="00000000">
      <w:pPr>
        <w:keepNext/>
        <w:tabs>
          <w:tab w:val="left" w:pos="1680"/>
        </w:tabs>
        <w:ind w:left="1685" w:hanging="1685"/>
        <w:jc w:val="both"/>
        <w:rPr>
          <w:b/>
          <w:sz w:val="22"/>
          <w:u w:val="single"/>
        </w:rPr>
      </w:pPr>
      <w:r>
        <w:rPr>
          <w:b/>
          <w:sz w:val="22"/>
          <w:u w:val="single"/>
        </w:rPr>
        <w:t>SECTION</w:t>
      </w:r>
      <w:r>
        <w:rPr>
          <w:b/>
          <w:sz w:val="22"/>
        </w:rPr>
        <w:t xml:space="preserve"> II - </w:t>
      </w:r>
      <w:r>
        <w:rPr>
          <w:b/>
          <w:sz w:val="22"/>
          <w:u w:val="single"/>
        </w:rPr>
        <w:t>LES STEREOTYPES DANS L’EDUCATION</w:t>
      </w:r>
    </w:p>
    <w:p w:rsidR="00000000" w:rsidRDefault="00000000">
      <w:pPr>
        <w:keepNext/>
        <w:tabs>
          <w:tab w:val="left" w:pos="1680"/>
        </w:tabs>
        <w:ind w:left="1685" w:hanging="1685"/>
        <w:jc w:val="both"/>
        <w:rPr>
          <w:b/>
          <w:sz w:val="22"/>
        </w:rPr>
      </w:pPr>
    </w:p>
    <w:p w:rsidR="00000000" w:rsidRDefault="00000000">
      <w:pPr>
        <w:pStyle w:val="BodyText"/>
        <w:rPr>
          <w:sz w:val="22"/>
        </w:rPr>
      </w:pPr>
      <w:r>
        <w:rPr>
          <w:sz w:val="22"/>
        </w:rPr>
        <w:t>Les filles accèdent dans les mêmes conditions que les garçons à l’éducation formelle. Les statistiques démontrent qu’elles sont majoritaires dans les premiers cycles, même si par la suite, on observe un taux élevé de déperdition scolaire. Dans le cadre de la formation dispensée, on constate que le contenu des manuels tend à reproduire la division sexuée du travail qui tend à reléguer la femme dans les tâches ménagères ou à l’orienter vers des filières bien déterminées. Ainsi sont traditionnellement réservés aux femmes, les métiers de l’enseignement général, le secrétariat, la santé et, aux garçons, les carrières scientifiques ou technologiques.</w:t>
      </w:r>
    </w:p>
    <w:p w:rsidR="00000000" w:rsidRDefault="00000000">
      <w:pPr>
        <w:pStyle w:val="BodyText"/>
        <w:rPr>
          <w:sz w:val="22"/>
        </w:rPr>
      </w:pPr>
    </w:p>
    <w:p w:rsidR="00000000" w:rsidRDefault="00000000">
      <w:pPr>
        <w:tabs>
          <w:tab w:val="left" w:pos="1680"/>
        </w:tabs>
        <w:ind w:left="1680" w:hanging="1680"/>
        <w:jc w:val="both"/>
        <w:rPr>
          <w:b/>
          <w:sz w:val="22"/>
        </w:rPr>
      </w:pPr>
      <w:r>
        <w:rPr>
          <w:b/>
          <w:sz w:val="22"/>
          <w:u w:val="single"/>
        </w:rPr>
        <w:t>SECTION</w:t>
      </w:r>
      <w:r>
        <w:rPr>
          <w:b/>
          <w:sz w:val="22"/>
        </w:rPr>
        <w:t xml:space="preserve"> III - </w:t>
      </w:r>
      <w:r>
        <w:rPr>
          <w:b/>
          <w:sz w:val="22"/>
          <w:u w:val="single"/>
        </w:rPr>
        <w:t>LES STEREOTYPES DANS LE TRAVAIL</w:t>
      </w:r>
    </w:p>
    <w:p w:rsidR="00000000" w:rsidRDefault="00000000">
      <w:pPr>
        <w:pStyle w:val="BodyText"/>
        <w:rPr>
          <w:sz w:val="22"/>
        </w:rPr>
      </w:pPr>
    </w:p>
    <w:p w:rsidR="00000000" w:rsidRDefault="00000000">
      <w:pPr>
        <w:pStyle w:val="BodyText"/>
        <w:rPr>
          <w:sz w:val="22"/>
        </w:rPr>
      </w:pPr>
      <w:r>
        <w:rPr>
          <w:sz w:val="22"/>
        </w:rPr>
        <w:t>On retrouve de nombreux stéréotypes dans le monde du travail. Les femmes sont concentrées dans des secteurs de prédilection (enseignement, santé, agriculture, commerce etc..). Elles constituent la majorité des actifs agricoles et, elles sont essentiellement des cadres moyens. Il existe peu de cadres supérieurs ; et celles  qui émergent sont souvent considérées soit comme asexuées, soit comme légères. La promotion d’une femme est souvent perçue par l’opinion comme résultant des faveurs ou des largesses dont elle aurait bénéficié et non pas de sa compétence. Alors que de brillantes élèves, étudiantes et stagiaires se sont distinguées au cours de leur formation.</w:t>
      </w:r>
    </w:p>
    <w:p w:rsidR="00000000" w:rsidRDefault="00000000">
      <w:pPr>
        <w:pStyle w:val="BodyText"/>
        <w:rPr>
          <w:sz w:val="22"/>
        </w:rPr>
      </w:pPr>
    </w:p>
    <w:p w:rsidR="00000000" w:rsidRDefault="00000000">
      <w:pPr>
        <w:pStyle w:val="BodyText"/>
        <w:rPr>
          <w:sz w:val="22"/>
        </w:rPr>
      </w:pPr>
      <w:r>
        <w:rPr>
          <w:sz w:val="22"/>
        </w:rPr>
        <w:t>L’ouverture de l’armée aux femmes en 1974 mérite d’être inscrite à l’actif de l’Union Révolutionnaire des Femmes du Congo (URFC) qui a soutenu constamment que les femmes congolaises peuvent aussi intégrer les forces armées congolaises (FAC). Depuis cette date, le nombre de femmes militaires s’est accru. Aujourd’hui,  deux femmes sont colonels dans l’Armée Congolaise, une femme colonel dans la police et, de nombreuses femmes sont des officiers dans ces institutions.</w:t>
      </w:r>
    </w:p>
    <w:p w:rsidR="00000000" w:rsidRDefault="00000000">
      <w:pPr>
        <w:pStyle w:val="BodyText"/>
        <w:rPr>
          <w:sz w:val="22"/>
        </w:rPr>
      </w:pPr>
    </w:p>
    <w:p w:rsidR="00000000" w:rsidRDefault="00000000">
      <w:pPr>
        <w:pStyle w:val="BodyText"/>
        <w:rPr>
          <w:b/>
          <w:sz w:val="22"/>
          <w:u w:val="single"/>
        </w:rPr>
      </w:pPr>
      <w:r>
        <w:rPr>
          <w:b/>
          <w:sz w:val="22"/>
        </w:rPr>
        <w:t xml:space="preserve">I- </w:t>
      </w:r>
      <w:r>
        <w:rPr>
          <w:b/>
          <w:sz w:val="22"/>
          <w:u w:val="single"/>
        </w:rPr>
        <w:t>Le harcèlement sexuel</w:t>
      </w:r>
    </w:p>
    <w:p w:rsidR="00000000" w:rsidRDefault="00000000">
      <w:pPr>
        <w:pStyle w:val="BodyText"/>
        <w:rPr>
          <w:sz w:val="22"/>
        </w:rPr>
      </w:pPr>
    </w:p>
    <w:p w:rsidR="00000000" w:rsidRDefault="00000000">
      <w:pPr>
        <w:pStyle w:val="BodyText"/>
        <w:rPr>
          <w:sz w:val="22"/>
        </w:rPr>
      </w:pPr>
      <w:r>
        <w:rPr>
          <w:sz w:val="22"/>
        </w:rPr>
        <w:t>Dans leur milieu professionnel, les femmes sont souvent victimes du harcèlement sexuel. Certaines y consentent et obtiennent en échange des faveurs, tandis que d’autres réagissent avec rigueur à ce qui apparaît comme la négation de leurs droits et de leurs compétences. La législation ne définit ni ne réprime le harcèlement sexuel. Il semble que les mentalités soient tournées vers une certaine tolérance de ces comportements qui assurent à certaines femmes une illusoire promotion sociale. Les idées ne sont pas encore prêtes pour que le harcèlement sexuel, dans le cadre professionnel et dans la société, devienne un délit, bien que souvent des sketchs les dénoncent.</w:t>
      </w:r>
    </w:p>
    <w:p w:rsidR="00000000" w:rsidRDefault="00000000">
      <w:pPr>
        <w:pStyle w:val="BodyText"/>
        <w:rPr>
          <w:sz w:val="22"/>
        </w:rPr>
      </w:pPr>
    </w:p>
    <w:p w:rsidR="00000000" w:rsidRDefault="00000000">
      <w:pPr>
        <w:pStyle w:val="BodyText"/>
        <w:rPr>
          <w:b/>
          <w:sz w:val="22"/>
          <w:u w:val="single"/>
        </w:rPr>
      </w:pPr>
      <w:r>
        <w:rPr>
          <w:b/>
          <w:sz w:val="22"/>
        </w:rPr>
        <w:t xml:space="preserve">II - </w:t>
      </w:r>
      <w:r>
        <w:rPr>
          <w:b/>
          <w:sz w:val="22"/>
          <w:u w:val="single"/>
        </w:rPr>
        <w:t>LA FEMME ET LES MEDIAS*</w:t>
      </w:r>
    </w:p>
    <w:p w:rsidR="00000000" w:rsidRDefault="00000000">
      <w:pPr>
        <w:pStyle w:val="BodyText"/>
        <w:rPr>
          <w:sz w:val="22"/>
        </w:rPr>
      </w:pPr>
    </w:p>
    <w:p w:rsidR="00000000" w:rsidRDefault="00000000">
      <w:pPr>
        <w:pStyle w:val="BodyText"/>
        <w:rPr>
          <w:sz w:val="22"/>
        </w:rPr>
      </w:pPr>
      <w:r>
        <w:rPr>
          <w:sz w:val="22"/>
        </w:rPr>
        <w:t>Pour des raisons économiques et techniques, la télévision et la radio d’État n’assurent que la couverture d’une partie du territoire national, essentiellement Brazzaville et Pointe-Noire. Il en résulte notamment, que les femmes rurales n’accèdent pas à l’information diffusée par ces organes. En outre, la proximité avec la République Démocratique du Congo (RDC) permet aux auditeurs et aux téléspectateurs congolais de bénéficier des émissions produites par les médias de cet État. Les médias tant nationaux qu’étrangers diffusent de l’information qui tend à reproduire des stéréotypes sexistes défavorables à l’image de la femme. Cette situation résulte principalement du fait que les femmes sont minoritaires dans ce corps de métiers, insuffisamment formées et, elles n’occupent pas de poste de responsabilité.</w:t>
      </w:r>
    </w:p>
    <w:p w:rsidR="00000000" w:rsidRDefault="00000000">
      <w:pPr>
        <w:pStyle w:val="BodyText"/>
        <w:rPr>
          <w:sz w:val="22"/>
        </w:rPr>
      </w:pPr>
    </w:p>
    <w:p w:rsidR="00000000" w:rsidRDefault="00000000">
      <w:pPr>
        <w:pStyle w:val="BodyText"/>
        <w:keepNext/>
        <w:rPr>
          <w:b/>
          <w:sz w:val="22"/>
          <w:u w:val="single"/>
        </w:rPr>
      </w:pPr>
      <w:r>
        <w:rPr>
          <w:b/>
          <w:sz w:val="22"/>
        </w:rPr>
        <w:t xml:space="preserve">A- </w:t>
      </w:r>
      <w:r>
        <w:rPr>
          <w:b/>
          <w:sz w:val="22"/>
          <w:u w:val="single"/>
        </w:rPr>
        <w:t>La place de la femme dans les médias</w:t>
      </w:r>
    </w:p>
    <w:p w:rsidR="00000000" w:rsidRDefault="00000000">
      <w:pPr>
        <w:pStyle w:val="BodyText"/>
        <w:keepNext/>
        <w:rPr>
          <w:sz w:val="22"/>
        </w:rPr>
      </w:pPr>
    </w:p>
    <w:p w:rsidR="00000000" w:rsidRDefault="00000000">
      <w:pPr>
        <w:pStyle w:val="BodyText"/>
        <w:rPr>
          <w:sz w:val="22"/>
        </w:rPr>
      </w:pPr>
      <w:r>
        <w:rPr>
          <w:sz w:val="22"/>
        </w:rPr>
        <w:t>Selon les données obtenues en octobre 1999, les femmes sont minoritaires dans les médias d’État. On enregistre 183 femmes journalistes contre 412 hommes journalistes. Les femmes journalistes sont sous représentées à la tête des organes de presse publique et privée. A ce jour, une seule femme a été nommée Directrice Générale de la Radio Nationale. En outre, elle ne provenait pas des corps de l’information. Cette situation résulte, pour partie, de leur qualification insuffisante qui ne leur permet pas de figurer dans l’encadrement. On constate, en effet, que les femmes journalistes représentent 7,74% des journalistes de niveau III, 14,76% des journalistes de niveau II, 1/3 de la catégorie B1. Elles sont majoritaires dans les catégories subalternes.</w:t>
      </w:r>
    </w:p>
    <w:p w:rsidR="00000000" w:rsidRDefault="00000000">
      <w:pPr>
        <w:pStyle w:val="BodyText"/>
        <w:rPr>
          <w:sz w:val="22"/>
        </w:rPr>
      </w:pPr>
    </w:p>
    <w:p w:rsidR="00000000" w:rsidRDefault="00000000">
      <w:pPr>
        <w:pStyle w:val="BodyText"/>
        <w:rPr>
          <w:sz w:val="22"/>
        </w:rPr>
      </w:pPr>
      <w:r>
        <w:rPr>
          <w:sz w:val="22"/>
        </w:rPr>
        <w:t>Cette présence minoritaire ne permet pas aux femmes journalistes d’une part, d’influencer les choix arrêtés en matière de programme et d’autre part, ne contribue à la diffusion d’une image valorisante de la femme.</w:t>
      </w:r>
    </w:p>
    <w:p w:rsidR="00000000" w:rsidRDefault="00000000">
      <w:pPr>
        <w:pStyle w:val="BodyText"/>
        <w:rPr>
          <w:sz w:val="22"/>
        </w:rPr>
      </w:pPr>
    </w:p>
    <w:p w:rsidR="00000000" w:rsidRDefault="00000000">
      <w:pPr>
        <w:pStyle w:val="BodyText"/>
        <w:rPr>
          <w:sz w:val="20"/>
        </w:rPr>
      </w:pPr>
      <w:r>
        <w:rPr>
          <w:sz w:val="22"/>
        </w:rPr>
        <w:t xml:space="preserve">*  </w:t>
      </w:r>
      <w:r>
        <w:rPr>
          <w:sz w:val="20"/>
        </w:rPr>
        <w:t>Au moment où ce rapport est sous presse, la couverture nationale en matière de communication est devenue totale par le système (voir NGOMBE)</w:t>
      </w:r>
    </w:p>
    <w:p w:rsidR="00000000" w:rsidRDefault="00000000">
      <w:pPr>
        <w:pStyle w:val="BodyText"/>
        <w:rPr>
          <w:b/>
          <w:sz w:val="22"/>
        </w:rPr>
      </w:pPr>
      <w:r>
        <w:rPr>
          <w:b/>
          <w:sz w:val="22"/>
          <w:u w:val="single"/>
        </w:rPr>
        <w:t>Tableau n° 1 </w:t>
      </w:r>
      <w:r>
        <w:rPr>
          <w:b/>
          <w:sz w:val="22"/>
        </w:rPr>
        <w:t xml:space="preserve">: </w:t>
      </w:r>
      <w:r>
        <w:rPr>
          <w:b/>
          <w:sz w:val="22"/>
          <w:u w:val="single"/>
        </w:rPr>
        <w:t>Les journalistes en poste au Ministère de la Communication</w:t>
      </w:r>
    </w:p>
    <w:p w:rsidR="00000000" w:rsidRDefault="00000000">
      <w:pPr>
        <w:pStyle w:val="BodyText"/>
        <w:rPr>
          <w:sz w:val="22"/>
        </w:rPr>
      </w:pPr>
      <w:r>
        <w:rPr>
          <w:noProof/>
          <w:sz w:val="20"/>
          <w:lang w:val="en-US" w:eastAsia="en-US"/>
        </w:rPr>
        <w:pict>
          <v:line id="_x0000_s2061" style="position:absolute;left:0;text-align:left;z-index:10" from=".25pt,13pt" to="136.25pt,50pt">
            <w10:anchorlock/>
          </v:line>
        </w:pict>
      </w: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12"/>
        <w:gridCol w:w="2369"/>
        <w:gridCol w:w="2369"/>
        <w:gridCol w:w="2370"/>
      </w:tblGrid>
      <w:tr w:rsidR="00000000">
        <w:tblPrEx>
          <w:tblCellMar>
            <w:top w:w="0" w:type="dxa"/>
            <w:bottom w:w="0" w:type="dxa"/>
          </w:tblCellMar>
        </w:tblPrEx>
        <w:tc>
          <w:tcPr>
            <w:tcW w:w="2712" w:type="dxa"/>
          </w:tcPr>
          <w:p w:rsidR="00000000" w:rsidRDefault="00000000">
            <w:pPr>
              <w:pStyle w:val="BodyText"/>
              <w:jc w:val="right"/>
              <w:rPr>
                <w:sz w:val="22"/>
              </w:rPr>
            </w:pPr>
            <w:r>
              <w:rPr>
                <w:sz w:val="22"/>
              </w:rPr>
              <w:t>Sexes</w:t>
            </w:r>
          </w:p>
          <w:p w:rsidR="00000000" w:rsidRDefault="00000000">
            <w:pPr>
              <w:pStyle w:val="BodyText"/>
              <w:jc w:val="center"/>
              <w:rPr>
                <w:sz w:val="22"/>
              </w:rPr>
            </w:pPr>
          </w:p>
          <w:p w:rsidR="00000000" w:rsidRDefault="00000000">
            <w:pPr>
              <w:pStyle w:val="BodyText"/>
              <w:jc w:val="left"/>
              <w:rPr>
                <w:sz w:val="22"/>
              </w:rPr>
            </w:pPr>
            <w:r>
              <w:rPr>
                <w:sz w:val="22"/>
              </w:rPr>
              <w:t>Catégories et grades</w:t>
            </w:r>
          </w:p>
        </w:tc>
        <w:tc>
          <w:tcPr>
            <w:tcW w:w="2369" w:type="dxa"/>
          </w:tcPr>
          <w:p w:rsidR="00000000" w:rsidRDefault="00000000">
            <w:pPr>
              <w:pStyle w:val="BodyText"/>
              <w:jc w:val="center"/>
              <w:rPr>
                <w:sz w:val="22"/>
              </w:rPr>
            </w:pPr>
          </w:p>
          <w:p w:rsidR="00000000" w:rsidRDefault="00000000">
            <w:pPr>
              <w:pStyle w:val="BodyText"/>
              <w:jc w:val="center"/>
              <w:rPr>
                <w:sz w:val="22"/>
              </w:rPr>
            </w:pPr>
            <w:r>
              <w:rPr>
                <w:sz w:val="22"/>
              </w:rPr>
              <w:t>Hommes</w:t>
            </w:r>
          </w:p>
        </w:tc>
        <w:tc>
          <w:tcPr>
            <w:tcW w:w="2369" w:type="dxa"/>
          </w:tcPr>
          <w:p w:rsidR="00000000" w:rsidRDefault="00000000">
            <w:pPr>
              <w:pStyle w:val="BodyText"/>
              <w:jc w:val="center"/>
              <w:rPr>
                <w:sz w:val="22"/>
              </w:rPr>
            </w:pPr>
          </w:p>
          <w:p w:rsidR="00000000" w:rsidRDefault="00000000">
            <w:pPr>
              <w:pStyle w:val="BodyText"/>
              <w:jc w:val="center"/>
              <w:rPr>
                <w:sz w:val="22"/>
              </w:rPr>
            </w:pPr>
            <w:r>
              <w:rPr>
                <w:sz w:val="22"/>
              </w:rPr>
              <w:t>Femmes</w:t>
            </w:r>
          </w:p>
        </w:tc>
        <w:tc>
          <w:tcPr>
            <w:tcW w:w="2370" w:type="dxa"/>
          </w:tcPr>
          <w:p w:rsidR="00000000" w:rsidRDefault="00000000">
            <w:pPr>
              <w:pStyle w:val="BodyText"/>
              <w:jc w:val="center"/>
              <w:rPr>
                <w:sz w:val="22"/>
              </w:rPr>
            </w:pPr>
          </w:p>
          <w:p w:rsidR="00000000" w:rsidRDefault="00000000">
            <w:pPr>
              <w:pStyle w:val="BodyText"/>
              <w:jc w:val="center"/>
              <w:rPr>
                <w:sz w:val="22"/>
              </w:rPr>
            </w:pPr>
            <w:r>
              <w:rPr>
                <w:sz w:val="22"/>
              </w:rPr>
              <w:t xml:space="preserve">Total </w:t>
            </w:r>
          </w:p>
        </w:tc>
      </w:tr>
      <w:tr w:rsidR="00000000">
        <w:tblPrEx>
          <w:tblCellMar>
            <w:top w:w="0" w:type="dxa"/>
            <w:bottom w:w="0" w:type="dxa"/>
          </w:tblCellMar>
        </w:tblPrEx>
        <w:tc>
          <w:tcPr>
            <w:tcW w:w="2712" w:type="dxa"/>
          </w:tcPr>
          <w:p w:rsidR="00000000" w:rsidRDefault="00000000">
            <w:pPr>
              <w:pStyle w:val="BodyText"/>
              <w:jc w:val="center"/>
              <w:rPr>
                <w:sz w:val="22"/>
              </w:rPr>
            </w:pPr>
            <w:r>
              <w:rPr>
                <w:sz w:val="22"/>
              </w:rPr>
              <w:t>AI</w:t>
            </w:r>
          </w:p>
          <w:p w:rsidR="00000000" w:rsidRDefault="00000000">
            <w:pPr>
              <w:pStyle w:val="BodyText"/>
              <w:rPr>
                <w:sz w:val="22"/>
              </w:rPr>
            </w:pPr>
            <w:r>
              <w:rPr>
                <w:sz w:val="22"/>
              </w:rPr>
              <w:t>Journalistes niveau III</w:t>
            </w:r>
          </w:p>
        </w:tc>
        <w:tc>
          <w:tcPr>
            <w:tcW w:w="2369" w:type="dxa"/>
          </w:tcPr>
          <w:p w:rsidR="00000000" w:rsidRDefault="00000000">
            <w:pPr>
              <w:pStyle w:val="BodyText"/>
              <w:ind w:right="1134"/>
              <w:jc w:val="right"/>
              <w:rPr>
                <w:sz w:val="22"/>
              </w:rPr>
            </w:pPr>
          </w:p>
          <w:p w:rsidR="00000000" w:rsidRDefault="00000000">
            <w:pPr>
              <w:pStyle w:val="BodyText"/>
              <w:ind w:right="1134"/>
              <w:jc w:val="right"/>
              <w:rPr>
                <w:sz w:val="22"/>
              </w:rPr>
            </w:pPr>
            <w:r>
              <w:rPr>
                <w:sz w:val="22"/>
              </w:rPr>
              <w:t>176</w:t>
            </w:r>
          </w:p>
        </w:tc>
        <w:tc>
          <w:tcPr>
            <w:tcW w:w="2369" w:type="dxa"/>
          </w:tcPr>
          <w:p w:rsidR="00000000" w:rsidRDefault="00000000">
            <w:pPr>
              <w:pStyle w:val="BodyText"/>
              <w:ind w:right="1134"/>
              <w:jc w:val="right"/>
              <w:rPr>
                <w:sz w:val="22"/>
              </w:rPr>
            </w:pPr>
          </w:p>
          <w:p w:rsidR="00000000" w:rsidRDefault="00000000">
            <w:pPr>
              <w:pStyle w:val="BodyText"/>
              <w:ind w:right="1134"/>
              <w:jc w:val="right"/>
              <w:rPr>
                <w:sz w:val="22"/>
              </w:rPr>
            </w:pPr>
            <w:r>
              <w:rPr>
                <w:sz w:val="22"/>
              </w:rPr>
              <w:t>15</w:t>
            </w:r>
          </w:p>
        </w:tc>
        <w:tc>
          <w:tcPr>
            <w:tcW w:w="2370" w:type="dxa"/>
          </w:tcPr>
          <w:p w:rsidR="00000000" w:rsidRDefault="00000000">
            <w:pPr>
              <w:pStyle w:val="BodyText"/>
              <w:ind w:right="1134"/>
              <w:jc w:val="right"/>
              <w:rPr>
                <w:sz w:val="22"/>
              </w:rPr>
            </w:pPr>
          </w:p>
          <w:p w:rsidR="00000000" w:rsidRDefault="00000000">
            <w:pPr>
              <w:pStyle w:val="BodyText"/>
              <w:ind w:right="1134"/>
              <w:jc w:val="right"/>
              <w:rPr>
                <w:sz w:val="22"/>
              </w:rPr>
            </w:pPr>
            <w:r>
              <w:rPr>
                <w:sz w:val="22"/>
              </w:rPr>
              <w:t>191</w:t>
            </w:r>
          </w:p>
        </w:tc>
      </w:tr>
      <w:tr w:rsidR="00000000">
        <w:tblPrEx>
          <w:tblCellMar>
            <w:top w:w="0" w:type="dxa"/>
            <w:bottom w:w="0" w:type="dxa"/>
          </w:tblCellMar>
        </w:tblPrEx>
        <w:tc>
          <w:tcPr>
            <w:tcW w:w="2712" w:type="dxa"/>
          </w:tcPr>
          <w:p w:rsidR="00000000" w:rsidRDefault="00000000">
            <w:pPr>
              <w:pStyle w:val="BodyText"/>
              <w:jc w:val="center"/>
              <w:rPr>
                <w:sz w:val="22"/>
              </w:rPr>
            </w:pPr>
            <w:r>
              <w:rPr>
                <w:sz w:val="22"/>
              </w:rPr>
              <w:t>AII</w:t>
            </w:r>
          </w:p>
          <w:p w:rsidR="00000000" w:rsidRDefault="00000000">
            <w:pPr>
              <w:pStyle w:val="BodyText"/>
              <w:rPr>
                <w:sz w:val="22"/>
              </w:rPr>
            </w:pPr>
            <w:r>
              <w:rPr>
                <w:sz w:val="22"/>
              </w:rPr>
              <w:t>Journalistes niveau II</w:t>
            </w:r>
          </w:p>
        </w:tc>
        <w:tc>
          <w:tcPr>
            <w:tcW w:w="2369" w:type="dxa"/>
          </w:tcPr>
          <w:p w:rsidR="00000000" w:rsidRDefault="00000000">
            <w:pPr>
              <w:pStyle w:val="BodyText"/>
              <w:ind w:right="1134"/>
              <w:jc w:val="right"/>
              <w:rPr>
                <w:sz w:val="22"/>
              </w:rPr>
            </w:pPr>
          </w:p>
          <w:p w:rsidR="00000000" w:rsidRDefault="00000000">
            <w:pPr>
              <w:pStyle w:val="BodyText"/>
              <w:ind w:right="1134"/>
              <w:jc w:val="right"/>
              <w:rPr>
                <w:sz w:val="22"/>
              </w:rPr>
            </w:pPr>
            <w:r>
              <w:rPr>
                <w:sz w:val="22"/>
              </w:rPr>
              <w:t>52</w:t>
            </w:r>
          </w:p>
        </w:tc>
        <w:tc>
          <w:tcPr>
            <w:tcW w:w="2369" w:type="dxa"/>
          </w:tcPr>
          <w:p w:rsidR="00000000" w:rsidRDefault="00000000">
            <w:pPr>
              <w:pStyle w:val="BodyText"/>
              <w:ind w:right="1134"/>
              <w:jc w:val="right"/>
              <w:rPr>
                <w:sz w:val="22"/>
              </w:rPr>
            </w:pPr>
          </w:p>
          <w:p w:rsidR="00000000" w:rsidRDefault="00000000">
            <w:pPr>
              <w:pStyle w:val="BodyText"/>
              <w:ind w:right="1134"/>
              <w:jc w:val="right"/>
              <w:rPr>
                <w:sz w:val="22"/>
              </w:rPr>
            </w:pPr>
            <w:r>
              <w:rPr>
                <w:sz w:val="22"/>
              </w:rPr>
              <w:t>9</w:t>
            </w:r>
          </w:p>
        </w:tc>
        <w:tc>
          <w:tcPr>
            <w:tcW w:w="2370" w:type="dxa"/>
          </w:tcPr>
          <w:p w:rsidR="00000000" w:rsidRDefault="00000000">
            <w:pPr>
              <w:pStyle w:val="BodyText"/>
              <w:ind w:right="1134"/>
              <w:jc w:val="right"/>
              <w:rPr>
                <w:sz w:val="22"/>
              </w:rPr>
            </w:pPr>
          </w:p>
          <w:p w:rsidR="00000000" w:rsidRDefault="00000000">
            <w:pPr>
              <w:pStyle w:val="BodyText"/>
              <w:ind w:right="1134"/>
              <w:jc w:val="right"/>
              <w:rPr>
                <w:sz w:val="22"/>
              </w:rPr>
            </w:pPr>
            <w:r>
              <w:rPr>
                <w:sz w:val="22"/>
              </w:rPr>
              <w:t>61</w:t>
            </w:r>
          </w:p>
        </w:tc>
      </w:tr>
      <w:tr w:rsidR="00000000">
        <w:tblPrEx>
          <w:tblCellMar>
            <w:top w:w="0" w:type="dxa"/>
            <w:bottom w:w="0" w:type="dxa"/>
          </w:tblCellMar>
        </w:tblPrEx>
        <w:tc>
          <w:tcPr>
            <w:tcW w:w="2712" w:type="dxa"/>
          </w:tcPr>
          <w:p w:rsidR="00000000" w:rsidRDefault="00000000">
            <w:pPr>
              <w:pStyle w:val="BodyText"/>
              <w:jc w:val="center"/>
              <w:rPr>
                <w:sz w:val="22"/>
              </w:rPr>
            </w:pPr>
            <w:r>
              <w:rPr>
                <w:sz w:val="22"/>
              </w:rPr>
              <w:t>BI</w:t>
            </w:r>
          </w:p>
          <w:p w:rsidR="00000000" w:rsidRDefault="00000000">
            <w:pPr>
              <w:pStyle w:val="BodyText"/>
              <w:rPr>
                <w:sz w:val="22"/>
              </w:rPr>
            </w:pPr>
            <w:r>
              <w:rPr>
                <w:sz w:val="22"/>
              </w:rPr>
              <w:t>Journalistes niveau I</w:t>
            </w:r>
          </w:p>
        </w:tc>
        <w:tc>
          <w:tcPr>
            <w:tcW w:w="2369" w:type="dxa"/>
          </w:tcPr>
          <w:p w:rsidR="00000000" w:rsidRDefault="00000000">
            <w:pPr>
              <w:pStyle w:val="BodyText"/>
              <w:ind w:right="1134"/>
              <w:jc w:val="right"/>
              <w:rPr>
                <w:sz w:val="22"/>
              </w:rPr>
            </w:pPr>
          </w:p>
          <w:p w:rsidR="00000000" w:rsidRDefault="00000000">
            <w:pPr>
              <w:pStyle w:val="BodyText"/>
              <w:ind w:right="1134"/>
              <w:jc w:val="right"/>
              <w:rPr>
                <w:sz w:val="22"/>
              </w:rPr>
            </w:pPr>
            <w:r>
              <w:rPr>
                <w:sz w:val="22"/>
              </w:rPr>
              <w:t>126</w:t>
            </w:r>
          </w:p>
        </w:tc>
        <w:tc>
          <w:tcPr>
            <w:tcW w:w="2369" w:type="dxa"/>
          </w:tcPr>
          <w:p w:rsidR="00000000" w:rsidRDefault="00000000">
            <w:pPr>
              <w:pStyle w:val="BodyText"/>
              <w:ind w:right="1134"/>
              <w:jc w:val="right"/>
              <w:rPr>
                <w:sz w:val="22"/>
              </w:rPr>
            </w:pPr>
          </w:p>
          <w:p w:rsidR="00000000" w:rsidRDefault="00000000">
            <w:pPr>
              <w:pStyle w:val="BodyText"/>
              <w:ind w:right="1134"/>
              <w:jc w:val="right"/>
              <w:rPr>
                <w:sz w:val="22"/>
              </w:rPr>
            </w:pPr>
            <w:r>
              <w:rPr>
                <w:sz w:val="22"/>
              </w:rPr>
              <w:t>55</w:t>
            </w:r>
          </w:p>
        </w:tc>
        <w:tc>
          <w:tcPr>
            <w:tcW w:w="2370" w:type="dxa"/>
          </w:tcPr>
          <w:p w:rsidR="00000000" w:rsidRDefault="00000000">
            <w:pPr>
              <w:pStyle w:val="BodyText"/>
              <w:ind w:right="1134"/>
              <w:jc w:val="right"/>
              <w:rPr>
                <w:sz w:val="22"/>
              </w:rPr>
            </w:pPr>
          </w:p>
          <w:p w:rsidR="00000000" w:rsidRDefault="00000000">
            <w:pPr>
              <w:pStyle w:val="BodyText"/>
              <w:ind w:right="1134"/>
              <w:jc w:val="right"/>
              <w:rPr>
                <w:sz w:val="22"/>
              </w:rPr>
            </w:pPr>
            <w:r>
              <w:rPr>
                <w:sz w:val="22"/>
              </w:rPr>
              <w:t>181</w:t>
            </w:r>
          </w:p>
        </w:tc>
      </w:tr>
      <w:tr w:rsidR="00000000">
        <w:tblPrEx>
          <w:tblCellMar>
            <w:top w:w="0" w:type="dxa"/>
            <w:bottom w:w="0" w:type="dxa"/>
          </w:tblCellMar>
        </w:tblPrEx>
        <w:tc>
          <w:tcPr>
            <w:tcW w:w="2712" w:type="dxa"/>
          </w:tcPr>
          <w:p w:rsidR="00000000" w:rsidRDefault="00000000">
            <w:pPr>
              <w:pStyle w:val="BodyText"/>
              <w:jc w:val="center"/>
              <w:rPr>
                <w:sz w:val="22"/>
              </w:rPr>
            </w:pPr>
            <w:r>
              <w:rPr>
                <w:sz w:val="22"/>
              </w:rPr>
              <w:t>CI</w:t>
            </w:r>
          </w:p>
          <w:p w:rsidR="00000000" w:rsidRDefault="00000000">
            <w:pPr>
              <w:pStyle w:val="BodyText"/>
              <w:rPr>
                <w:sz w:val="22"/>
              </w:rPr>
            </w:pPr>
            <w:r>
              <w:rPr>
                <w:sz w:val="22"/>
              </w:rPr>
              <w:t>Journalistes</w:t>
            </w:r>
          </w:p>
        </w:tc>
        <w:tc>
          <w:tcPr>
            <w:tcW w:w="2369" w:type="dxa"/>
          </w:tcPr>
          <w:p w:rsidR="00000000" w:rsidRDefault="00000000">
            <w:pPr>
              <w:pStyle w:val="BodyText"/>
              <w:ind w:right="1134"/>
              <w:jc w:val="right"/>
              <w:rPr>
                <w:sz w:val="22"/>
              </w:rPr>
            </w:pPr>
          </w:p>
          <w:p w:rsidR="00000000" w:rsidRDefault="00000000">
            <w:pPr>
              <w:pStyle w:val="BodyText"/>
              <w:ind w:right="1134"/>
              <w:jc w:val="right"/>
              <w:rPr>
                <w:sz w:val="22"/>
              </w:rPr>
            </w:pPr>
            <w:r>
              <w:rPr>
                <w:sz w:val="22"/>
              </w:rPr>
              <w:t>38</w:t>
            </w:r>
          </w:p>
        </w:tc>
        <w:tc>
          <w:tcPr>
            <w:tcW w:w="2369" w:type="dxa"/>
          </w:tcPr>
          <w:p w:rsidR="00000000" w:rsidRDefault="00000000">
            <w:pPr>
              <w:pStyle w:val="BodyText"/>
              <w:ind w:right="1134"/>
              <w:jc w:val="right"/>
              <w:rPr>
                <w:sz w:val="22"/>
              </w:rPr>
            </w:pPr>
          </w:p>
          <w:p w:rsidR="00000000" w:rsidRDefault="00000000">
            <w:pPr>
              <w:pStyle w:val="BodyText"/>
              <w:ind w:right="1134"/>
              <w:jc w:val="right"/>
              <w:rPr>
                <w:sz w:val="22"/>
              </w:rPr>
            </w:pPr>
            <w:r>
              <w:rPr>
                <w:sz w:val="22"/>
              </w:rPr>
              <w:t>78</w:t>
            </w:r>
          </w:p>
        </w:tc>
        <w:tc>
          <w:tcPr>
            <w:tcW w:w="2370" w:type="dxa"/>
          </w:tcPr>
          <w:p w:rsidR="00000000" w:rsidRDefault="00000000">
            <w:pPr>
              <w:pStyle w:val="BodyText"/>
              <w:ind w:right="1134"/>
              <w:jc w:val="right"/>
              <w:rPr>
                <w:sz w:val="22"/>
              </w:rPr>
            </w:pPr>
          </w:p>
          <w:p w:rsidR="00000000" w:rsidRDefault="00000000">
            <w:pPr>
              <w:pStyle w:val="BodyText"/>
              <w:ind w:right="1134"/>
              <w:jc w:val="right"/>
              <w:rPr>
                <w:sz w:val="22"/>
              </w:rPr>
            </w:pPr>
            <w:r>
              <w:rPr>
                <w:sz w:val="22"/>
              </w:rPr>
              <w:t>116</w:t>
            </w:r>
          </w:p>
        </w:tc>
      </w:tr>
      <w:tr w:rsidR="00000000">
        <w:tblPrEx>
          <w:tblCellMar>
            <w:top w:w="0" w:type="dxa"/>
            <w:bottom w:w="0" w:type="dxa"/>
          </w:tblCellMar>
        </w:tblPrEx>
        <w:tc>
          <w:tcPr>
            <w:tcW w:w="2712" w:type="dxa"/>
          </w:tcPr>
          <w:p w:rsidR="00000000" w:rsidRDefault="00000000">
            <w:pPr>
              <w:pStyle w:val="BodyText"/>
              <w:jc w:val="center"/>
              <w:rPr>
                <w:sz w:val="22"/>
              </w:rPr>
            </w:pPr>
            <w:r>
              <w:rPr>
                <w:sz w:val="22"/>
              </w:rPr>
              <w:t>DI</w:t>
            </w:r>
          </w:p>
          <w:p w:rsidR="00000000" w:rsidRDefault="00000000">
            <w:pPr>
              <w:pStyle w:val="BodyText"/>
              <w:rPr>
                <w:sz w:val="22"/>
              </w:rPr>
            </w:pPr>
            <w:r>
              <w:rPr>
                <w:sz w:val="22"/>
              </w:rPr>
              <w:t>Journalistes auxiliaires</w:t>
            </w:r>
          </w:p>
        </w:tc>
        <w:tc>
          <w:tcPr>
            <w:tcW w:w="2369" w:type="dxa"/>
          </w:tcPr>
          <w:p w:rsidR="00000000" w:rsidRDefault="00000000">
            <w:pPr>
              <w:pStyle w:val="BodyText"/>
              <w:ind w:right="1134"/>
              <w:jc w:val="right"/>
              <w:rPr>
                <w:sz w:val="22"/>
              </w:rPr>
            </w:pPr>
          </w:p>
          <w:p w:rsidR="00000000" w:rsidRDefault="00000000">
            <w:pPr>
              <w:pStyle w:val="BodyText"/>
              <w:ind w:right="1134"/>
              <w:jc w:val="right"/>
              <w:rPr>
                <w:sz w:val="22"/>
              </w:rPr>
            </w:pPr>
            <w:r>
              <w:rPr>
                <w:sz w:val="22"/>
              </w:rPr>
              <w:t>20</w:t>
            </w:r>
          </w:p>
        </w:tc>
        <w:tc>
          <w:tcPr>
            <w:tcW w:w="2369" w:type="dxa"/>
          </w:tcPr>
          <w:p w:rsidR="00000000" w:rsidRDefault="00000000">
            <w:pPr>
              <w:pStyle w:val="BodyText"/>
              <w:ind w:right="1134"/>
              <w:jc w:val="right"/>
              <w:rPr>
                <w:sz w:val="22"/>
              </w:rPr>
            </w:pPr>
          </w:p>
          <w:p w:rsidR="00000000" w:rsidRDefault="00000000">
            <w:pPr>
              <w:pStyle w:val="BodyText"/>
              <w:ind w:right="1134"/>
              <w:jc w:val="right"/>
              <w:rPr>
                <w:sz w:val="22"/>
              </w:rPr>
            </w:pPr>
            <w:r>
              <w:rPr>
                <w:sz w:val="22"/>
              </w:rPr>
              <w:t>26</w:t>
            </w:r>
          </w:p>
        </w:tc>
        <w:tc>
          <w:tcPr>
            <w:tcW w:w="2370" w:type="dxa"/>
          </w:tcPr>
          <w:p w:rsidR="00000000" w:rsidRDefault="00000000">
            <w:pPr>
              <w:pStyle w:val="BodyText"/>
              <w:ind w:right="1134"/>
              <w:jc w:val="right"/>
              <w:rPr>
                <w:sz w:val="22"/>
              </w:rPr>
            </w:pPr>
          </w:p>
          <w:p w:rsidR="00000000" w:rsidRDefault="00000000">
            <w:pPr>
              <w:pStyle w:val="BodyText"/>
              <w:ind w:right="1134"/>
              <w:jc w:val="right"/>
              <w:rPr>
                <w:sz w:val="22"/>
              </w:rPr>
            </w:pPr>
            <w:r>
              <w:rPr>
                <w:sz w:val="22"/>
              </w:rPr>
              <w:t>46</w:t>
            </w:r>
          </w:p>
        </w:tc>
      </w:tr>
      <w:tr w:rsidR="00000000">
        <w:tblPrEx>
          <w:tblCellMar>
            <w:top w:w="0" w:type="dxa"/>
            <w:bottom w:w="0" w:type="dxa"/>
          </w:tblCellMar>
        </w:tblPrEx>
        <w:tc>
          <w:tcPr>
            <w:tcW w:w="2712" w:type="dxa"/>
          </w:tcPr>
          <w:p w:rsidR="00000000" w:rsidRDefault="00000000">
            <w:pPr>
              <w:pStyle w:val="BodyText"/>
              <w:rPr>
                <w:sz w:val="22"/>
              </w:rPr>
            </w:pPr>
            <w:r>
              <w:rPr>
                <w:sz w:val="22"/>
              </w:rPr>
              <w:t>Total</w:t>
            </w:r>
          </w:p>
        </w:tc>
        <w:tc>
          <w:tcPr>
            <w:tcW w:w="2369" w:type="dxa"/>
          </w:tcPr>
          <w:p w:rsidR="00000000" w:rsidRDefault="00000000">
            <w:pPr>
              <w:pStyle w:val="BodyText"/>
              <w:ind w:right="1134"/>
              <w:jc w:val="right"/>
              <w:rPr>
                <w:sz w:val="22"/>
              </w:rPr>
            </w:pPr>
            <w:r>
              <w:rPr>
                <w:sz w:val="22"/>
              </w:rPr>
              <w:t>412</w:t>
            </w:r>
          </w:p>
        </w:tc>
        <w:tc>
          <w:tcPr>
            <w:tcW w:w="2369" w:type="dxa"/>
          </w:tcPr>
          <w:p w:rsidR="00000000" w:rsidRDefault="00000000">
            <w:pPr>
              <w:pStyle w:val="BodyText"/>
              <w:ind w:right="1134"/>
              <w:jc w:val="right"/>
              <w:rPr>
                <w:sz w:val="22"/>
              </w:rPr>
            </w:pPr>
            <w:r>
              <w:rPr>
                <w:sz w:val="22"/>
              </w:rPr>
              <w:t>183</w:t>
            </w:r>
          </w:p>
        </w:tc>
        <w:tc>
          <w:tcPr>
            <w:tcW w:w="2370" w:type="dxa"/>
          </w:tcPr>
          <w:p w:rsidR="00000000" w:rsidRDefault="00000000">
            <w:pPr>
              <w:pStyle w:val="BodyText"/>
              <w:ind w:right="1134"/>
              <w:jc w:val="right"/>
              <w:rPr>
                <w:sz w:val="22"/>
              </w:rPr>
            </w:pPr>
            <w:r>
              <w:rPr>
                <w:sz w:val="22"/>
              </w:rPr>
              <w:t>595</w:t>
            </w:r>
          </w:p>
        </w:tc>
      </w:tr>
    </w:tbl>
    <w:p w:rsidR="00000000" w:rsidRDefault="00000000">
      <w:pPr>
        <w:pStyle w:val="BodyText"/>
        <w:rPr>
          <w:sz w:val="22"/>
        </w:rPr>
      </w:pPr>
    </w:p>
    <w:p w:rsidR="00000000" w:rsidRDefault="00000000">
      <w:pPr>
        <w:pStyle w:val="BodyText"/>
        <w:rPr>
          <w:i/>
          <w:sz w:val="22"/>
        </w:rPr>
      </w:pPr>
      <w:r>
        <w:rPr>
          <w:i/>
          <w:sz w:val="22"/>
        </w:rPr>
        <w:t>Source : Ministère de la Communication, 1999</w:t>
      </w:r>
    </w:p>
    <w:p w:rsidR="00000000" w:rsidRDefault="00000000">
      <w:pPr>
        <w:pStyle w:val="BodyText"/>
        <w:rPr>
          <w:sz w:val="22"/>
        </w:rPr>
      </w:pPr>
    </w:p>
    <w:p w:rsidR="00000000" w:rsidRDefault="00000000">
      <w:pPr>
        <w:pStyle w:val="BodyText"/>
        <w:rPr>
          <w:b/>
          <w:sz w:val="22"/>
          <w:u w:val="single"/>
        </w:rPr>
      </w:pPr>
      <w:r>
        <w:rPr>
          <w:b/>
          <w:sz w:val="22"/>
        </w:rPr>
        <w:t xml:space="preserve">B- </w:t>
      </w:r>
      <w:r>
        <w:rPr>
          <w:b/>
          <w:sz w:val="22"/>
          <w:u w:val="single"/>
        </w:rPr>
        <w:t>L’image de la femme dans les médias</w:t>
      </w:r>
    </w:p>
    <w:p w:rsidR="00000000" w:rsidRDefault="00000000">
      <w:pPr>
        <w:pStyle w:val="BodyText"/>
        <w:rPr>
          <w:sz w:val="22"/>
        </w:rPr>
      </w:pPr>
    </w:p>
    <w:p w:rsidR="00000000" w:rsidRDefault="00000000">
      <w:pPr>
        <w:pStyle w:val="BodyText"/>
        <w:rPr>
          <w:sz w:val="22"/>
        </w:rPr>
      </w:pPr>
      <w:r>
        <w:rPr>
          <w:sz w:val="22"/>
        </w:rPr>
        <w:t>L’image de la femme, véhiculée par les médias, contribue à la reproduction des stéréotypes sexistes. La femme est présentée comme une séductrice dont les avantages permettent d’assurer la commercialisation de tel ou tel produit. Cette approche est partagée par la majorité des annonceurs et dans les messages publicitaires diffusés par les médias. La femme est aussi présentée dans son rôle de maîtresse de maison, d’épouse ou de fille. Et, la répartition des tâches entre l’homme et la femme tend à reproduire la division traditionnelle du travail à savoir les corvées pour la femme et, le pouvoir de représentation et de décision pour l’homme.</w:t>
      </w:r>
    </w:p>
    <w:p w:rsidR="00000000" w:rsidRDefault="00000000">
      <w:pPr>
        <w:pStyle w:val="BodyText"/>
        <w:rPr>
          <w:sz w:val="22"/>
        </w:rPr>
      </w:pPr>
    </w:p>
    <w:p w:rsidR="00000000" w:rsidRDefault="00000000">
      <w:pPr>
        <w:pStyle w:val="BodyText"/>
        <w:rPr>
          <w:b/>
          <w:sz w:val="22"/>
          <w:u w:val="single"/>
        </w:rPr>
      </w:pPr>
      <w:r>
        <w:rPr>
          <w:b/>
          <w:sz w:val="22"/>
        </w:rPr>
        <w:t xml:space="preserve">III- </w:t>
      </w:r>
      <w:r>
        <w:rPr>
          <w:b/>
          <w:sz w:val="22"/>
          <w:u w:val="single"/>
        </w:rPr>
        <w:t>Les diverses formes de violences infligées aux femmes</w:t>
      </w:r>
    </w:p>
    <w:p w:rsidR="00000000" w:rsidRDefault="00000000">
      <w:pPr>
        <w:pStyle w:val="BodyText"/>
        <w:rPr>
          <w:sz w:val="22"/>
        </w:rPr>
      </w:pPr>
    </w:p>
    <w:p w:rsidR="00000000" w:rsidRDefault="00000000">
      <w:pPr>
        <w:pStyle w:val="BodyText"/>
        <w:rPr>
          <w:sz w:val="22"/>
        </w:rPr>
      </w:pPr>
      <w:r>
        <w:rPr>
          <w:sz w:val="22"/>
        </w:rPr>
        <w:t>Les pratiques traditionnelles et le droit moderne qui font de l’homme le chef de famille, sont perçus comme lui conférant un droit de correction à l’endroit de son épouse. Dans la sphère privée, les femmes sont victimes de sévices multiples à intensité variable. Ces actes sont couverts sous le sceau du silence et ils sont généralement considérés comme étant normaux. Les femmes sont des victimes silencieuses à qui il ne viendrait jamais l’idée de dénoncer tel ou tel acte commis par l’époux, le père ou le frère. Ce comportement tend à se perpétuer de nos jours, ce qui explique notamment le peu de recours judiciaires enregistrés à ce jour. A cela s’ajoutent les limites de la législation qui ne retient pas l’infraction de viol commis par un époux sur son épouse.</w:t>
      </w:r>
    </w:p>
    <w:p w:rsidR="00000000" w:rsidRDefault="00000000">
      <w:pPr>
        <w:pStyle w:val="BodyText"/>
        <w:rPr>
          <w:sz w:val="22"/>
        </w:rPr>
      </w:pPr>
      <w:r>
        <w:rPr>
          <w:sz w:val="22"/>
        </w:rPr>
        <w:t>Le code pénal prévoit plusieurs cas de violences infligées aux femmes. A ceux-là s’ajoutent les violences commises pendant les conflits armés.</w:t>
      </w:r>
    </w:p>
    <w:p w:rsidR="00000000" w:rsidRDefault="00000000">
      <w:pPr>
        <w:pStyle w:val="BodyText"/>
        <w:rPr>
          <w:b/>
          <w:caps/>
          <w:u w:val="single"/>
        </w:rPr>
      </w:pPr>
    </w:p>
    <w:p w:rsidR="00000000" w:rsidRDefault="00000000">
      <w:pPr>
        <w:pStyle w:val="BodyText"/>
        <w:rPr>
          <w:b/>
          <w:caps/>
          <w:u w:val="single"/>
        </w:rPr>
      </w:pPr>
    </w:p>
    <w:p w:rsidR="00000000" w:rsidRDefault="00000000">
      <w:pPr>
        <w:pStyle w:val="BodyText"/>
        <w:rPr>
          <w:b/>
          <w:caps/>
        </w:rPr>
      </w:pPr>
      <w:r>
        <w:rPr>
          <w:b/>
          <w:caps/>
        </w:rPr>
        <w:tab/>
      </w:r>
      <w:r>
        <w:rPr>
          <w:b/>
          <w:caps/>
          <w:u w:val="single"/>
        </w:rPr>
        <w:t>CHAPITRE Vi</w:t>
      </w:r>
      <w:r>
        <w:rPr>
          <w:b/>
          <w:caps/>
        </w:rPr>
        <w:t xml:space="preserve"> :  </w:t>
      </w:r>
      <w:r>
        <w:rPr>
          <w:b/>
          <w:caps/>
          <w:u w:val="single"/>
        </w:rPr>
        <w:t>La suppression de l’exploitation des femmes</w:t>
      </w:r>
      <w:r>
        <w:rPr>
          <w:b/>
          <w:caps/>
        </w:rPr>
        <w:t xml:space="preserve"> (</w:t>
      </w:r>
      <w:r>
        <w:rPr>
          <w:b/>
        </w:rPr>
        <w:t>article 6)</w:t>
      </w:r>
    </w:p>
    <w:p w:rsidR="00000000" w:rsidRDefault="00000000">
      <w:pPr>
        <w:pStyle w:val="BodyText"/>
        <w:rPr>
          <w:sz w:val="22"/>
        </w:rPr>
      </w:pPr>
    </w:p>
    <w:p w:rsidR="00000000" w:rsidRDefault="00000000">
      <w:pPr>
        <w:pStyle w:val="BodyText"/>
        <w:rPr>
          <w:sz w:val="22"/>
          <w:u w:val="single"/>
        </w:rPr>
      </w:pPr>
      <w:r>
        <w:rPr>
          <w:sz w:val="22"/>
          <w:u w:val="single"/>
        </w:rPr>
        <w:t>Article 6</w:t>
      </w:r>
    </w:p>
    <w:p w:rsidR="00000000" w:rsidRDefault="00000000">
      <w:pPr>
        <w:pStyle w:val="BodyText"/>
        <w:rPr>
          <w:sz w:val="22"/>
        </w:rPr>
      </w:pPr>
    </w:p>
    <w:p w:rsidR="00000000" w:rsidRDefault="00000000">
      <w:pPr>
        <w:pStyle w:val="BodyText"/>
        <w:rPr>
          <w:i/>
          <w:sz w:val="22"/>
        </w:rPr>
      </w:pPr>
      <w:r>
        <w:rPr>
          <w:i/>
          <w:sz w:val="22"/>
        </w:rPr>
        <w:t>« Les États parties prennent toutes les mesures appropriées, y compris des dispositions législatives, pour réprimer, sous toutes leurs formes, le trafic des femmes et l’exploitation de la prostitution des femmes ».</w:t>
      </w:r>
    </w:p>
    <w:p w:rsidR="00000000" w:rsidRDefault="00000000">
      <w:pPr>
        <w:pStyle w:val="BodyText"/>
        <w:rPr>
          <w:sz w:val="22"/>
        </w:rPr>
      </w:pPr>
    </w:p>
    <w:p w:rsidR="00000000" w:rsidRDefault="00000000">
      <w:pPr>
        <w:pStyle w:val="BodyText"/>
        <w:rPr>
          <w:sz w:val="22"/>
        </w:rPr>
      </w:pPr>
      <w:r>
        <w:rPr>
          <w:sz w:val="22"/>
        </w:rPr>
        <w:t>La prostitution constitue une réalité en dépit de son interdiction par la loi.</w:t>
      </w:r>
    </w:p>
    <w:p w:rsidR="00000000" w:rsidRDefault="00000000">
      <w:pPr>
        <w:pStyle w:val="BodyText"/>
        <w:rPr>
          <w:sz w:val="22"/>
        </w:rPr>
      </w:pPr>
    </w:p>
    <w:p w:rsidR="00000000" w:rsidRDefault="00000000">
      <w:pPr>
        <w:tabs>
          <w:tab w:val="left" w:pos="1680"/>
        </w:tabs>
        <w:ind w:left="1680" w:hanging="1680"/>
        <w:jc w:val="both"/>
        <w:rPr>
          <w:b/>
          <w:sz w:val="22"/>
        </w:rPr>
      </w:pPr>
      <w:r>
        <w:rPr>
          <w:b/>
          <w:sz w:val="22"/>
        </w:rPr>
        <w:t xml:space="preserve">SECTION I - </w:t>
      </w:r>
      <w:r>
        <w:rPr>
          <w:b/>
          <w:sz w:val="22"/>
          <w:u w:val="single"/>
        </w:rPr>
        <w:t>LA PROSTITUTION : UNE REALITE</w:t>
      </w:r>
    </w:p>
    <w:p w:rsidR="00000000" w:rsidRDefault="00000000">
      <w:pPr>
        <w:pStyle w:val="BodyText"/>
        <w:rPr>
          <w:b/>
          <w:sz w:val="22"/>
        </w:rPr>
      </w:pPr>
    </w:p>
    <w:p w:rsidR="00000000" w:rsidRDefault="00000000">
      <w:pPr>
        <w:pStyle w:val="BodyText"/>
        <w:rPr>
          <w:sz w:val="22"/>
        </w:rPr>
      </w:pPr>
      <w:r>
        <w:rPr>
          <w:sz w:val="22"/>
        </w:rPr>
        <w:t>La prostitution est un phénomène social qui existe aussi bien en milieu urbain que rural. En l’absence d’investigations et d’études permettant d’en établir l’étendue et les manifestations, il apparaît, cependant, que ce phénomène est très répandu en milieu urbain. La prostitution se pratique notamment sur la voie publique, dans les grands hôtels</w:t>
      </w:r>
      <w:r>
        <w:rPr>
          <w:b/>
          <w:sz w:val="22"/>
        </w:rPr>
        <w:t xml:space="preserve">, </w:t>
      </w:r>
      <w:r>
        <w:rPr>
          <w:sz w:val="22"/>
        </w:rPr>
        <w:t>les night-club et les bars. Les mini hôtels, hôtels de passe, constituent le lieu de prédilection de ces pratiques. Il convient de noter que les femmes et les jeunes femmes identifiées viennent des pays voisin le plus souvent.</w:t>
      </w:r>
    </w:p>
    <w:p w:rsidR="00000000" w:rsidRDefault="00000000">
      <w:pPr>
        <w:pStyle w:val="BodyText"/>
        <w:rPr>
          <w:sz w:val="22"/>
        </w:rPr>
      </w:pPr>
    </w:p>
    <w:p w:rsidR="00000000" w:rsidRDefault="00000000">
      <w:pPr>
        <w:pStyle w:val="BodyText"/>
        <w:rPr>
          <w:sz w:val="22"/>
        </w:rPr>
      </w:pPr>
      <w:r>
        <w:rPr>
          <w:sz w:val="22"/>
        </w:rPr>
        <w:t>Ces multiples comportements s’expliquent par plusieurs facteurs en particulier :</w:t>
      </w:r>
    </w:p>
    <w:p w:rsidR="00000000" w:rsidRDefault="00000000">
      <w:pPr>
        <w:pStyle w:val="BodyText"/>
        <w:numPr>
          <w:ilvl w:val="0"/>
          <w:numId w:val="46"/>
        </w:numPr>
        <w:rPr>
          <w:sz w:val="22"/>
        </w:rPr>
      </w:pPr>
      <w:r>
        <w:rPr>
          <w:sz w:val="22"/>
        </w:rPr>
        <w:t>la crise économique et ses conséquences ;</w:t>
      </w:r>
    </w:p>
    <w:p w:rsidR="00000000" w:rsidRDefault="00000000">
      <w:pPr>
        <w:pStyle w:val="BodyText"/>
        <w:numPr>
          <w:ilvl w:val="0"/>
          <w:numId w:val="46"/>
        </w:numPr>
        <w:rPr>
          <w:sz w:val="22"/>
        </w:rPr>
      </w:pPr>
      <w:r>
        <w:rPr>
          <w:sz w:val="22"/>
        </w:rPr>
        <w:t>la dépravation des mœurs ;</w:t>
      </w:r>
    </w:p>
    <w:p w:rsidR="00000000" w:rsidRDefault="00000000">
      <w:pPr>
        <w:pStyle w:val="BodyText"/>
        <w:numPr>
          <w:ilvl w:val="0"/>
          <w:numId w:val="46"/>
        </w:numPr>
        <w:rPr>
          <w:sz w:val="22"/>
        </w:rPr>
      </w:pPr>
      <w:r>
        <w:rPr>
          <w:sz w:val="22"/>
        </w:rPr>
        <w:t>la crise des valeurs ;</w:t>
      </w:r>
    </w:p>
    <w:p w:rsidR="00000000" w:rsidRDefault="00000000">
      <w:pPr>
        <w:pStyle w:val="BodyText"/>
        <w:numPr>
          <w:ilvl w:val="0"/>
          <w:numId w:val="46"/>
        </w:numPr>
        <w:rPr>
          <w:sz w:val="22"/>
        </w:rPr>
      </w:pPr>
      <w:r>
        <w:rPr>
          <w:sz w:val="22"/>
        </w:rPr>
        <w:t>la démission des parents face à leurs responsabilités ;</w:t>
      </w:r>
    </w:p>
    <w:p w:rsidR="00000000" w:rsidRDefault="00000000">
      <w:pPr>
        <w:pStyle w:val="BodyText"/>
        <w:numPr>
          <w:ilvl w:val="0"/>
          <w:numId w:val="46"/>
        </w:numPr>
        <w:rPr>
          <w:sz w:val="22"/>
        </w:rPr>
      </w:pPr>
      <w:r>
        <w:rPr>
          <w:sz w:val="22"/>
        </w:rPr>
        <w:t>les violences familiales ;</w:t>
      </w:r>
    </w:p>
    <w:p w:rsidR="00000000" w:rsidRDefault="00000000">
      <w:pPr>
        <w:pStyle w:val="BodyText"/>
        <w:numPr>
          <w:ilvl w:val="0"/>
          <w:numId w:val="46"/>
        </w:numPr>
        <w:rPr>
          <w:sz w:val="22"/>
        </w:rPr>
      </w:pPr>
      <w:r>
        <w:rPr>
          <w:sz w:val="22"/>
        </w:rPr>
        <w:t>l’éclatement de la cellule familiale.</w:t>
      </w:r>
    </w:p>
    <w:p w:rsidR="00000000" w:rsidRDefault="00000000">
      <w:pPr>
        <w:pStyle w:val="BodyText"/>
        <w:rPr>
          <w:sz w:val="22"/>
        </w:rPr>
      </w:pPr>
    </w:p>
    <w:p w:rsidR="00000000" w:rsidRDefault="00000000">
      <w:pPr>
        <w:pStyle w:val="BodyText"/>
        <w:rPr>
          <w:sz w:val="22"/>
        </w:rPr>
      </w:pPr>
      <w:r>
        <w:rPr>
          <w:sz w:val="22"/>
        </w:rPr>
        <w:t>Ces pratiques sexuelles se déroulent dans un contexte caractérisé par la prévalence des IST et du  VIH/SIDA. Les prostituées entretiennent généralement des relations non protégées, ce qui accroît les risques de propagation de la pandémie du VIH/SIDA et de grossesses non désirées.</w:t>
      </w:r>
    </w:p>
    <w:p w:rsidR="00000000" w:rsidRDefault="00000000">
      <w:pPr>
        <w:pStyle w:val="BodyText"/>
        <w:rPr>
          <w:sz w:val="22"/>
        </w:rPr>
      </w:pPr>
    </w:p>
    <w:p w:rsidR="00000000" w:rsidRDefault="00000000">
      <w:pPr>
        <w:tabs>
          <w:tab w:val="left" w:pos="1680"/>
        </w:tabs>
        <w:ind w:left="1680" w:hanging="1680"/>
        <w:rPr>
          <w:b/>
          <w:sz w:val="22"/>
        </w:rPr>
      </w:pPr>
      <w:r>
        <w:rPr>
          <w:b/>
          <w:sz w:val="22"/>
        </w:rPr>
        <w:t xml:space="preserve">SECTION </w:t>
      </w:r>
      <w:r>
        <w:rPr>
          <w:b/>
          <w:caps/>
          <w:sz w:val="22"/>
        </w:rPr>
        <w:t xml:space="preserve">II - </w:t>
      </w:r>
      <w:r>
        <w:rPr>
          <w:b/>
          <w:caps/>
          <w:sz w:val="22"/>
        </w:rPr>
        <w:tab/>
      </w:r>
      <w:r>
        <w:rPr>
          <w:b/>
          <w:caps/>
          <w:sz w:val="22"/>
          <w:u w:val="single"/>
        </w:rPr>
        <w:t>L’interdiction légale de la prostitution et ses conséquences</w:t>
      </w:r>
    </w:p>
    <w:p w:rsidR="00000000" w:rsidRDefault="00000000">
      <w:pPr>
        <w:pStyle w:val="BodyText"/>
        <w:rPr>
          <w:sz w:val="22"/>
        </w:rPr>
      </w:pPr>
    </w:p>
    <w:p w:rsidR="00000000" w:rsidRDefault="00000000">
      <w:pPr>
        <w:pStyle w:val="BodyText"/>
        <w:rPr>
          <w:sz w:val="22"/>
        </w:rPr>
      </w:pPr>
      <w:r>
        <w:rPr>
          <w:sz w:val="22"/>
        </w:rPr>
        <w:t>Le code pénal interdit la prostitution et punit sévèrement les prostituées et les proxénètes.</w:t>
      </w:r>
    </w:p>
    <w:p w:rsidR="00000000" w:rsidRDefault="00000000">
      <w:pPr>
        <w:pStyle w:val="BodyText"/>
        <w:rPr>
          <w:sz w:val="22"/>
        </w:rPr>
      </w:pPr>
    </w:p>
    <w:p w:rsidR="00000000" w:rsidRDefault="00000000">
      <w:pPr>
        <w:pStyle w:val="BodyText"/>
        <w:rPr>
          <w:b/>
          <w:sz w:val="22"/>
          <w:u w:val="single"/>
        </w:rPr>
      </w:pPr>
      <w:r>
        <w:rPr>
          <w:b/>
          <w:sz w:val="22"/>
        </w:rPr>
        <w:t xml:space="preserve">I-  </w:t>
      </w:r>
      <w:r>
        <w:rPr>
          <w:b/>
          <w:sz w:val="22"/>
          <w:u w:val="single"/>
        </w:rPr>
        <w:t>L’interdiction de la prostitution</w:t>
      </w:r>
    </w:p>
    <w:p w:rsidR="00000000" w:rsidRDefault="00000000">
      <w:pPr>
        <w:pStyle w:val="BodyText"/>
        <w:rPr>
          <w:b/>
          <w:sz w:val="22"/>
          <w:u w:val="single"/>
        </w:rPr>
      </w:pPr>
    </w:p>
    <w:p w:rsidR="00000000" w:rsidRDefault="00000000">
      <w:pPr>
        <w:pStyle w:val="BodyText"/>
        <w:rPr>
          <w:sz w:val="22"/>
        </w:rPr>
      </w:pPr>
      <w:r>
        <w:rPr>
          <w:sz w:val="22"/>
        </w:rPr>
        <w:t>Le code pénal interdit formellement la prostitution qui constitue une atteinte aux mœurs. Ce phénomène est perçu à travers le proxénétisme qui est un délit.</w:t>
      </w:r>
    </w:p>
    <w:p w:rsidR="00000000" w:rsidRDefault="00000000">
      <w:pPr>
        <w:pStyle w:val="BodyText"/>
        <w:rPr>
          <w:b/>
          <w:sz w:val="22"/>
          <w:u w:val="single"/>
        </w:rPr>
      </w:pPr>
      <w:r>
        <w:rPr>
          <w:b/>
          <w:sz w:val="22"/>
        </w:rPr>
        <w:t xml:space="preserve">II- </w:t>
      </w:r>
      <w:r>
        <w:rPr>
          <w:b/>
          <w:sz w:val="22"/>
          <w:u w:val="single"/>
        </w:rPr>
        <w:t>L’interdiction du proxénétisme</w:t>
      </w:r>
    </w:p>
    <w:p w:rsidR="00000000" w:rsidRDefault="00000000">
      <w:pPr>
        <w:pStyle w:val="BodyText"/>
        <w:rPr>
          <w:sz w:val="22"/>
        </w:rPr>
      </w:pPr>
    </w:p>
    <w:p w:rsidR="00000000" w:rsidRDefault="00000000">
      <w:pPr>
        <w:pStyle w:val="BodyText"/>
        <w:rPr>
          <w:sz w:val="22"/>
        </w:rPr>
      </w:pPr>
      <w:r>
        <w:rPr>
          <w:sz w:val="22"/>
        </w:rPr>
        <w:t>Le code pénal définit le proxénète comme celui qui :</w:t>
      </w:r>
    </w:p>
    <w:p w:rsidR="00000000" w:rsidRDefault="00000000">
      <w:pPr>
        <w:pStyle w:val="BodyText"/>
        <w:numPr>
          <w:ilvl w:val="0"/>
          <w:numId w:val="48"/>
        </w:numPr>
        <w:rPr>
          <w:sz w:val="22"/>
        </w:rPr>
      </w:pPr>
      <w:r>
        <w:rPr>
          <w:sz w:val="22"/>
        </w:rPr>
        <w:t>aide, assiste ou protège une personne qui se livre à la prostitution ;</w:t>
      </w:r>
    </w:p>
    <w:p w:rsidR="00000000" w:rsidRDefault="00000000">
      <w:pPr>
        <w:pStyle w:val="BodyText"/>
        <w:numPr>
          <w:ilvl w:val="0"/>
          <w:numId w:val="48"/>
        </w:numPr>
        <w:rPr>
          <w:sz w:val="22"/>
        </w:rPr>
      </w:pPr>
      <w:r>
        <w:rPr>
          <w:sz w:val="22"/>
        </w:rPr>
        <w:t>partage les produits de la prostitution d’autrui ;</w:t>
      </w:r>
    </w:p>
    <w:p w:rsidR="00000000" w:rsidRDefault="00000000">
      <w:pPr>
        <w:pStyle w:val="BodyText"/>
        <w:numPr>
          <w:ilvl w:val="0"/>
          <w:numId w:val="48"/>
        </w:numPr>
        <w:rPr>
          <w:sz w:val="22"/>
        </w:rPr>
      </w:pPr>
      <w:r>
        <w:rPr>
          <w:sz w:val="22"/>
        </w:rPr>
        <w:t>embauche, entraîne ou entretient une personne majeure en vue de la prostitution ;</w:t>
      </w:r>
    </w:p>
    <w:p w:rsidR="00000000" w:rsidRDefault="00000000">
      <w:pPr>
        <w:pStyle w:val="BodyText"/>
        <w:numPr>
          <w:ilvl w:val="0"/>
          <w:numId w:val="48"/>
        </w:numPr>
        <w:rPr>
          <w:sz w:val="22"/>
        </w:rPr>
      </w:pPr>
      <w:r>
        <w:rPr>
          <w:sz w:val="22"/>
        </w:rPr>
        <w:t>sert d’intermédiaire entre des personnes qui se livrent à la prostitution ou à la débauche.</w:t>
      </w:r>
    </w:p>
    <w:p w:rsidR="00000000" w:rsidRDefault="00000000">
      <w:pPr>
        <w:pStyle w:val="BodyText"/>
        <w:rPr>
          <w:sz w:val="22"/>
        </w:rPr>
      </w:pPr>
    </w:p>
    <w:p w:rsidR="00000000" w:rsidRDefault="00000000">
      <w:pPr>
        <w:pStyle w:val="BodyText"/>
        <w:rPr>
          <w:sz w:val="22"/>
        </w:rPr>
      </w:pPr>
      <w:r>
        <w:rPr>
          <w:sz w:val="22"/>
        </w:rPr>
        <w:t>Le proxénète encourt un emprisonnement de six mois à 2 ans et une amende de 400.000 à 4.000.000 Fcfa (article 334 du code pénal). Cette peine passe de 2 ans à 5 ans d’emprisonnement et d’une amende de 1.000.000 à 10.000.000 de francs si le délit est commis à l’égard d’un mineur, sous le coup de la contrainte, de l’abus d’autorité ou de la loi ;</w:t>
      </w:r>
    </w:p>
    <w:p w:rsidR="00000000" w:rsidRDefault="00000000">
      <w:pPr>
        <w:pStyle w:val="BodyText"/>
        <w:numPr>
          <w:ilvl w:val="0"/>
          <w:numId w:val="49"/>
        </w:numPr>
        <w:rPr>
          <w:sz w:val="22"/>
        </w:rPr>
      </w:pPr>
      <w:r>
        <w:rPr>
          <w:sz w:val="22"/>
        </w:rPr>
        <w:t>par l’époux, la mère ou le tuteur de la victime ;</w:t>
      </w:r>
    </w:p>
    <w:p w:rsidR="00000000" w:rsidRDefault="00000000">
      <w:pPr>
        <w:pStyle w:val="BodyText"/>
        <w:numPr>
          <w:ilvl w:val="0"/>
          <w:numId w:val="49"/>
        </w:numPr>
        <w:rPr>
          <w:sz w:val="22"/>
        </w:rPr>
      </w:pPr>
      <w:r>
        <w:rPr>
          <w:sz w:val="22"/>
        </w:rPr>
        <w:t>par un représentant de la loi ou de l’ordre public.</w:t>
      </w:r>
    </w:p>
    <w:p w:rsidR="00000000" w:rsidRDefault="00000000">
      <w:pPr>
        <w:pStyle w:val="BodyText"/>
        <w:rPr>
          <w:b/>
          <w:sz w:val="22"/>
          <w:u w:val="single"/>
        </w:rPr>
      </w:pPr>
      <w:r>
        <w:rPr>
          <w:b/>
          <w:sz w:val="22"/>
        </w:rPr>
        <w:t xml:space="preserve">III- </w:t>
      </w:r>
      <w:r>
        <w:rPr>
          <w:b/>
          <w:sz w:val="22"/>
          <w:u w:val="single"/>
        </w:rPr>
        <w:t>L’interdiction des maisons closes</w:t>
      </w:r>
    </w:p>
    <w:p w:rsidR="00000000" w:rsidRDefault="00000000">
      <w:pPr>
        <w:pStyle w:val="BodyText"/>
        <w:rPr>
          <w:sz w:val="22"/>
        </w:rPr>
      </w:pPr>
    </w:p>
    <w:p w:rsidR="00000000" w:rsidRDefault="00000000">
      <w:pPr>
        <w:pStyle w:val="BodyText"/>
        <w:rPr>
          <w:sz w:val="22"/>
        </w:rPr>
      </w:pPr>
      <w:r>
        <w:rPr>
          <w:sz w:val="22"/>
        </w:rPr>
        <w:t>Le code pénal interdit l’ouverture de maisons closes. A cet effet, il frappe de peines les plus lourdes « tout individu qui détient, directement ou par personne interposée, qui gère, dirige ou fait fonctionner un établissement de prostitution ou qui tolère habituellement la présence d’une ou plusieurs personnes se livrant à la prostitution à l’intérieur d’un hôtel, maison meublée, pensionnat, débit de boissons, club, cercle, dancing ou lieu de spectacle ou leurs annexes ou lieu quelconque ouvert au public ou utilisé par le public et dont il est le détenteur, le gérant ou le préposé. » (article 335 du code pénal).</w:t>
      </w:r>
    </w:p>
    <w:p w:rsidR="00000000" w:rsidRDefault="00000000">
      <w:pPr>
        <w:pStyle w:val="BodyText"/>
        <w:rPr>
          <w:sz w:val="22"/>
        </w:rPr>
      </w:pPr>
    </w:p>
    <w:p w:rsidR="00000000" w:rsidRDefault="00000000">
      <w:pPr>
        <w:pStyle w:val="BodyText"/>
        <w:rPr>
          <w:sz w:val="22"/>
        </w:rPr>
      </w:pPr>
      <w:r>
        <w:rPr>
          <w:sz w:val="22"/>
        </w:rPr>
        <w:t>En cas d’infraction caractérisée, le détenteur, le gérant ou le préposé subit le retrait de sa licence, il encourt le risque de la fermeture définitive de son établissement. Il est, en outre interdit de tutelle ou de curatelle.</w:t>
      </w:r>
    </w:p>
    <w:p w:rsidR="00000000" w:rsidRDefault="00000000">
      <w:pPr>
        <w:pStyle w:val="BodyText"/>
        <w:rPr>
          <w:sz w:val="22"/>
        </w:rPr>
      </w:pPr>
    </w:p>
    <w:p w:rsidR="00000000" w:rsidRDefault="00000000">
      <w:pPr>
        <w:pStyle w:val="BodyText"/>
        <w:rPr>
          <w:sz w:val="22"/>
        </w:rPr>
      </w:pPr>
      <w:r>
        <w:rPr>
          <w:sz w:val="22"/>
        </w:rPr>
        <w:t>La réalité est en effet contraire aux textes : les dispositions légales ne sont pas appliquées, les lieux de perdition sont nombreux, et il n’existe pas réellement de mesures de répression à l’égard des prostituées, des proxénètes ou des propriétaires ou gérants de maisons closes.</w:t>
      </w:r>
    </w:p>
    <w:p w:rsidR="00000000" w:rsidRDefault="00000000">
      <w:pPr>
        <w:pStyle w:val="BodyText"/>
        <w:rPr>
          <w:sz w:val="22"/>
        </w:rPr>
      </w:pPr>
    </w:p>
    <w:p w:rsidR="00000000" w:rsidRDefault="00000000">
      <w:pPr>
        <w:pStyle w:val="BodyText"/>
        <w:rPr>
          <w:sz w:val="22"/>
        </w:rPr>
      </w:pPr>
      <w:r>
        <w:rPr>
          <w:sz w:val="22"/>
        </w:rPr>
        <w:t>Il faut, en outre, déplorer l’insuffisance des mesures de prévention.</w:t>
      </w:r>
    </w:p>
    <w:p w:rsidR="00000000" w:rsidRDefault="00000000">
      <w:pPr>
        <w:pStyle w:val="BodyText"/>
        <w:rPr>
          <w:sz w:val="22"/>
        </w:rPr>
      </w:pPr>
    </w:p>
    <w:p w:rsidR="00000000" w:rsidRDefault="00000000">
      <w:pPr>
        <w:pStyle w:val="BodyText"/>
        <w:rPr>
          <w:sz w:val="22"/>
        </w:rPr>
      </w:pPr>
      <w:r>
        <w:rPr>
          <w:sz w:val="22"/>
        </w:rPr>
        <w:t>Au titre des perspectives, plusieurs mesures devraient être entreprises afin de protéger les victimes de la prostitution. Parmi celles-ci on peut citer :</w:t>
      </w:r>
    </w:p>
    <w:p w:rsidR="00000000" w:rsidRDefault="00000000">
      <w:pPr>
        <w:pStyle w:val="BodyText"/>
        <w:rPr>
          <w:sz w:val="22"/>
        </w:rPr>
      </w:pPr>
    </w:p>
    <w:p w:rsidR="00000000" w:rsidRDefault="00000000">
      <w:pPr>
        <w:pStyle w:val="BodyText"/>
        <w:numPr>
          <w:ilvl w:val="0"/>
          <w:numId w:val="50"/>
        </w:numPr>
        <w:rPr>
          <w:sz w:val="22"/>
        </w:rPr>
      </w:pPr>
      <w:r>
        <w:rPr>
          <w:sz w:val="22"/>
        </w:rPr>
        <w:t>l’évaluation de la prostitution sous toutes ses formes par des études ;</w:t>
      </w:r>
    </w:p>
    <w:p w:rsidR="00000000" w:rsidRDefault="00000000">
      <w:pPr>
        <w:pStyle w:val="BodyText"/>
        <w:numPr>
          <w:ilvl w:val="0"/>
          <w:numId w:val="50"/>
        </w:numPr>
        <w:rPr>
          <w:sz w:val="22"/>
        </w:rPr>
      </w:pPr>
      <w:r>
        <w:rPr>
          <w:sz w:val="22"/>
        </w:rPr>
        <w:t>les mesures d’IEC afin de sensibiliser les prostituées et l’ensemble de la société sur les risques que présente cette pratique ;</w:t>
      </w:r>
    </w:p>
    <w:p w:rsidR="00000000" w:rsidRDefault="00000000">
      <w:pPr>
        <w:pStyle w:val="BodyText"/>
        <w:numPr>
          <w:ilvl w:val="0"/>
          <w:numId w:val="50"/>
        </w:numPr>
        <w:rPr>
          <w:sz w:val="22"/>
        </w:rPr>
      </w:pPr>
      <w:r>
        <w:rPr>
          <w:sz w:val="22"/>
        </w:rPr>
        <w:t>l’implication du Programme National de Lutte contre le Sida (PNLS) dans la prévention et la prise en charge des prostituées ;</w:t>
      </w:r>
    </w:p>
    <w:p w:rsidR="00000000" w:rsidRDefault="00000000">
      <w:pPr>
        <w:pStyle w:val="BodyText"/>
        <w:numPr>
          <w:ilvl w:val="0"/>
          <w:numId w:val="50"/>
        </w:numPr>
        <w:rPr>
          <w:sz w:val="22"/>
        </w:rPr>
      </w:pPr>
      <w:r>
        <w:rPr>
          <w:sz w:val="22"/>
        </w:rPr>
        <w:t>l’application des textes répressifs ;</w:t>
      </w:r>
    </w:p>
    <w:p w:rsidR="00000000" w:rsidRDefault="00000000">
      <w:pPr>
        <w:pStyle w:val="BodyText"/>
        <w:numPr>
          <w:ilvl w:val="0"/>
          <w:numId w:val="50"/>
        </w:numPr>
        <w:rPr>
          <w:sz w:val="22"/>
        </w:rPr>
      </w:pPr>
      <w:r>
        <w:rPr>
          <w:sz w:val="22"/>
        </w:rPr>
        <w:t>l’implication de la société civile dans la problématique de la prostitution ;</w:t>
      </w:r>
    </w:p>
    <w:p w:rsidR="00000000" w:rsidRDefault="00000000">
      <w:pPr>
        <w:pStyle w:val="BodyText"/>
        <w:numPr>
          <w:ilvl w:val="0"/>
          <w:numId w:val="50"/>
        </w:numPr>
        <w:rPr>
          <w:sz w:val="22"/>
        </w:rPr>
      </w:pPr>
      <w:r>
        <w:rPr>
          <w:sz w:val="22"/>
        </w:rPr>
        <w:t>la sensibilisation des parents sur leurs responsabilités à l’endroit de leurs enfants ;</w:t>
      </w:r>
    </w:p>
    <w:p w:rsidR="00000000" w:rsidRDefault="00000000">
      <w:pPr>
        <w:pStyle w:val="BodyText"/>
        <w:numPr>
          <w:ilvl w:val="0"/>
          <w:numId w:val="50"/>
        </w:numPr>
        <w:rPr>
          <w:sz w:val="22"/>
        </w:rPr>
      </w:pPr>
      <w:r>
        <w:rPr>
          <w:sz w:val="22"/>
        </w:rPr>
        <w:t>la lutte contre la pauvreté ;</w:t>
      </w:r>
    </w:p>
    <w:p w:rsidR="00000000" w:rsidRDefault="00000000">
      <w:pPr>
        <w:pStyle w:val="BodyText"/>
        <w:numPr>
          <w:ilvl w:val="0"/>
          <w:numId w:val="50"/>
        </w:numPr>
        <w:rPr>
          <w:sz w:val="22"/>
        </w:rPr>
      </w:pPr>
      <w:r>
        <w:rPr>
          <w:sz w:val="22"/>
        </w:rPr>
        <w:t>l’internationalisation de la législation en la matière et la coopération continentale.</w:t>
      </w:r>
    </w:p>
    <w:p w:rsidR="00000000" w:rsidRDefault="00000000">
      <w:pPr>
        <w:pStyle w:val="BodyText"/>
        <w:rPr>
          <w:sz w:val="22"/>
        </w:rPr>
      </w:pPr>
    </w:p>
    <w:p w:rsidR="00000000" w:rsidRDefault="00000000">
      <w:pPr>
        <w:pStyle w:val="BodyText"/>
        <w:keepNext/>
        <w:rPr>
          <w:sz w:val="22"/>
          <w:u w:val="single"/>
        </w:rPr>
      </w:pPr>
      <w:r>
        <w:rPr>
          <w:b/>
          <w:sz w:val="22"/>
        </w:rPr>
        <w:t xml:space="preserve">IV- </w:t>
      </w:r>
      <w:r>
        <w:rPr>
          <w:b/>
          <w:sz w:val="22"/>
          <w:u w:val="single"/>
        </w:rPr>
        <w:t>La protection de la jeunesse</w:t>
      </w:r>
    </w:p>
    <w:p w:rsidR="00000000" w:rsidRDefault="00000000">
      <w:pPr>
        <w:pStyle w:val="BodyText"/>
        <w:keepNext/>
        <w:rPr>
          <w:sz w:val="22"/>
          <w:u w:val="single"/>
        </w:rPr>
      </w:pPr>
    </w:p>
    <w:p w:rsidR="00000000" w:rsidRDefault="00000000">
      <w:pPr>
        <w:pStyle w:val="BodyText"/>
        <w:rPr>
          <w:sz w:val="22"/>
        </w:rPr>
      </w:pPr>
      <w:r>
        <w:rPr>
          <w:sz w:val="22"/>
        </w:rPr>
        <w:t>Le code pénal sanctionne les actes visant à favoriser la débauche des personnes des deux sexes âgées de moins de 21 ans et de mineurs âgés de moins de 16 ans. Les auteurs de ces actes encourent les plus fortes sanctions quel que soit le lieu de commission des différents éléments de l’infraction (article 334 bis du code pénal).</w:t>
      </w:r>
    </w:p>
    <w:p w:rsidR="00000000" w:rsidRDefault="00000000">
      <w:pPr>
        <w:pStyle w:val="BodyText"/>
        <w:rPr>
          <w:sz w:val="22"/>
        </w:rPr>
      </w:pPr>
    </w:p>
    <w:p w:rsidR="00000000" w:rsidRDefault="00000000">
      <w:pPr>
        <w:pStyle w:val="BodyText"/>
        <w:rPr>
          <w:sz w:val="22"/>
        </w:rPr>
      </w:pPr>
    </w:p>
    <w:tbl>
      <w:tblPr>
        <w:tblW w:w="0" w:type="auto"/>
        <w:tblInd w:w="700" w:type="dxa"/>
        <w:tblLayout w:type="fixed"/>
        <w:tblCellMar>
          <w:left w:w="70" w:type="dxa"/>
          <w:right w:w="70" w:type="dxa"/>
        </w:tblCellMar>
        <w:tblLook w:val="0000" w:firstRow="0" w:lastRow="0" w:firstColumn="0" w:lastColumn="0" w:noHBand="0" w:noVBand="0"/>
      </w:tblPr>
      <w:tblGrid>
        <w:gridCol w:w="2064"/>
        <w:gridCol w:w="6446"/>
      </w:tblGrid>
      <w:tr w:rsidR="00000000">
        <w:tblPrEx>
          <w:tblCellMar>
            <w:top w:w="0" w:type="dxa"/>
            <w:bottom w:w="0" w:type="dxa"/>
          </w:tblCellMar>
        </w:tblPrEx>
        <w:tc>
          <w:tcPr>
            <w:tcW w:w="2064" w:type="dxa"/>
          </w:tcPr>
          <w:p w:rsidR="00000000" w:rsidRDefault="00000000">
            <w:pPr>
              <w:pStyle w:val="BodyText"/>
              <w:rPr>
                <w:sz w:val="22"/>
              </w:rPr>
            </w:pPr>
            <w:r>
              <w:rPr>
                <w:b/>
                <w:sz w:val="22"/>
                <w:u w:val="single"/>
              </w:rPr>
              <w:t>CHAPITRE  VII</w:t>
            </w:r>
            <w:r>
              <w:rPr>
                <w:b/>
                <w:sz w:val="22"/>
              </w:rPr>
              <w:t> :</w:t>
            </w:r>
          </w:p>
        </w:tc>
        <w:tc>
          <w:tcPr>
            <w:tcW w:w="6446" w:type="dxa"/>
          </w:tcPr>
          <w:p w:rsidR="00000000" w:rsidRDefault="00000000">
            <w:pPr>
              <w:pStyle w:val="BodyText"/>
              <w:rPr>
                <w:sz w:val="22"/>
              </w:rPr>
            </w:pPr>
            <w:r>
              <w:rPr>
                <w:b/>
                <w:caps/>
                <w:sz w:val="22"/>
                <w:u w:val="single"/>
              </w:rPr>
              <w:t>La participation de la femme à la vie politique et publique</w:t>
            </w:r>
            <w:r>
              <w:rPr>
                <w:b/>
                <w:sz w:val="22"/>
              </w:rPr>
              <w:t xml:space="preserve"> (article 7)</w:t>
            </w:r>
          </w:p>
        </w:tc>
      </w:tr>
    </w:tbl>
    <w:p w:rsidR="00000000" w:rsidRDefault="00000000">
      <w:pPr>
        <w:pStyle w:val="BodyText"/>
        <w:rPr>
          <w:sz w:val="22"/>
        </w:rPr>
      </w:pPr>
    </w:p>
    <w:p w:rsidR="00000000" w:rsidRDefault="00000000">
      <w:pPr>
        <w:pStyle w:val="BodyText"/>
        <w:rPr>
          <w:sz w:val="22"/>
          <w:u w:val="single"/>
        </w:rPr>
      </w:pPr>
      <w:r>
        <w:rPr>
          <w:sz w:val="22"/>
          <w:u w:val="single"/>
        </w:rPr>
        <w:t>Article  7</w:t>
      </w:r>
    </w:p>
    <w:p w:rsidR="00000000" w:rsidRDefault="00000000">
      <w:pPr>
        <w:pStyle w:val="BodyText"/>
        <w:rPr>
          <w:sz w:val="22"/>
        </w:rPr>
      </w:pPr>
      <w:r>
        <w:rPr>
          <w:sz w:val="22"/>
        </w:rPr>
        <w:t xml:space="preserve"> </w:t>
      </w:r>
    </w:p>
    <w:p w:rsidR="00000000" w:rsidRDefault="00000000">
      <w:pPr>
        <w:pStyle w:val="BodyText"/>
        <w:rPr>
          <w:i/>
          <w:sz w:val="22"/>
        </w:rPr>
      </w:pPr>
      <w:r>
        <w:rPr>
          <w:i/>
          <w:sz w:val="22"/>
        </w:rPr>
        <w:t>« Les États parties prennent toutes les mesures appropriées pour éliminer la discrimination à l’égard des femmes dans la vie politique et publique du pays et, en particulier, leur assurent, dans les conditions d’égalité avec les hommes, les droits :</w:t>
      </w:r>
    </w:p>
    <w:p w:rsidR="00000000" w:rsidRDefault="00000000">
      <w:pPr>
        <w:jc w:val="both"/>
        <w:rPr>
          <w:i/>
          <w:sz w:val="22"/>
        </w:rPr>
      </w:pPr>
    </w:p>
    <w:p w:rsidR="00000000" w:rsidRDefault="00000000">
      <w:pPr>
        <w:numPr>
          <w:ilvl w:val="0"/>
          <w:numId w:val="154"/>
        </w:numPr>
        <w:jc w:val="both"/>
        <w:rPr>
          <w:i/>
          <w:sz w:val="22"/>
        </w:rPr>
      </w:pPr>
      <w:r>
        <w:rPr>
          <w:i/>
          <w:sz w:val="22"/>
        </w:rPr>
        <w:t xml:space="preserve">de voter à toutes les élections et dans tous les referendums publics et d’être éligibles à tous les organismes publiquement élus ; </w:t>
      </w:r>
    </w:p>
    <w:p w:rsidR="00000000" w:rsidRDefault="00000000">
      <w:pPr>
        <w:ind w:left="360"/>
        <w:jc w:val="both"/>
        <w:rPr>
          <w:sz w:val="22"/>
        </w:rPr>
      </w:pPr>
    </w:p>
    <w:p w:rsidR="00000000" w:rsidRDefault="00000000">
      <w:pPr>
        <w:numPr>
          <w:ilvl w:val="0"/>
          <w:numId w:val="154"/>
        </w:numPr>
        <w:jc w:val="both"/>
        <w:rPr>
          <w:i/>
          <w:sz w:val="22"/>
        </w:rPr>
      </w:pPr>
      <w:r>
        <w:rPr>
          <w:i/>
          <w:sz w:val="22"/>
        </w:rPr>
        <w:t>de prendre part à l’élaboration de la politique de l’État et à son exécution, d’occuper des emplois publics et d’exercer toutes les fonctions publiques à tous les échelons du Gouvernement ;</w:t>
      </w:r>
    </w:p>
    <w:p w:rsidR="00000000" w:rsidRDefault="00000000">
      <w:pPr>
        <w:numPr>
          <w:ilvl w:val="0"/>
          <w:numId w:val="154"/>
        </w:numPr>
        <w:jc w:val="both"/>
        <w:rPr>
          <w:i/>
          <w:sz w:val="22"/>
        </w:rPr>
      </w:pPr>
      <w:r>
        <w:rPr>
          <w:i/>
          <w:sz w:val="22"/>
        </w:rPr>
        <w:t xml:space="preserve">de participer aux organisations et associations non Gouvernementales s’occupant de la vie publique et politique du pays ». </w:t>
      </w:r>
    </w:p>
    <w:p w:rsidR="00000000" w:rsidRDefault="00000000">
      <w:pPr>
        <w:rPr>
          <w:sz w:val="22"/>
        </w:rPr>
      </w:pPr>
    </w:p>
    <w:p w:rsidR="00000000" w:rsidRDefault="00000000">
      <w:pPr>
        <w:jc w:val="both"/>
        <w:rPr>
          <w:sz w:val="22"/>
        </w:rPr>
      </w:pPr>
      <w:r>
        <w:rPr>
          <w:sz w:val="22"/>
        </w:rPr>
        <w:t>Au Congo, les femmes représentent plus de la moitié de la population (52%) et contribuent pour une grande part à l’économie du pays, surtout dans l’agriculture où elles constituent 70% de la main d’œuvre et assurent 60 à 80% de la production vivrière et presque 100% de la transformation traditionnelle des produits agricoles. Elles sont les supports du système de santé et leur rôle dans l’éducation des enfants est reconnu comme étant très important.</w:t>
      </w:r>
      <w:r>
        <w:t xml:space="preserve"> </w:t>
      </w:r>
      <w:r>
        <w:rPr>
          <w:sz w:val="22"/>
        </w:rPr>
        <w:t>Cependant, leur contribution est limitée en raison d’une diversité d’obstacles socio-économiques, culturels et juridiques. Mais étant donné leur pourcentage dans la population totale, on ne saurait parler de développement sans leur accès aux ressources, sans leur prise en compte dans les politiques et stratégies en tant qu’agents et bénéficiaires du développement et sans leur participation à la prise de décision, à la vie politique et publique de leur pays.</w:t>
      </w:r>
    </w:p>
    <w:p w:rsidR="00000000" w:rsidRDefault="00000000">
      <w:pPr>
        <w:ind w:left="360"/>
        <w:jc w:val="center"/>
        <w:rPr>
          <w:b/>
          <w:u w:val="single"/>
        </w:rPr>
      </w:pPr>
    </w:p>
    <w:p w:rsidR="00000000" w:rsidRDefault="00000000">
      <w:pPr>
        <w:jc w:val="both"/>
        <w:rPr>
          <w:sz w:val="22"/>
        </w:rPr>
      </w:pPr>
      <w:r>
        <w:rPr>
          <w:sz w:val="22"/>
        </w:rPr>
        <w:t>La femme dans les sociétés anciennes : Latine,  Grecque, Éthiopienne, Congolaise….etc. a toujours joué un rôle de premier plan en tant que reine, mère et conseillère. Au Congo, deux femmes  s’illustrent parmi tant d’autres ; il s’agit de :</w:t>
      </w:r>
    </w:p>
    <w:p w:rsidR="00000000" w:rsidRDefault="00000000">
      <w:pPr>
        <w:ind w:left="360"/>
        <w:jc w:val="both"/>
        <w:rPr>
          <w:sz w:val="22"/>
        </w:rPr>
      </w:pPr>
    </w:p>
    <w:p w:rsidR="00000000" w:rsidRDefault="00000000">
      <w:pPr>
        <w:numPr>
          <w:ilvl w:val="0"/>
          <w:numId w:val="155"/>
        </w:numPr>
        <w:jc w:val="both"/>
        <w:rPr>
          <w:sz w:val="22"/>
        </w:rPr>
      </w:pPr>
      <w:r>
        <w:rPr>
          <w:sz w:val="22"/>
        </w:rPr>
        <w:t>TCHIMPA VITA : qui à l’instar de JEANNE D’ARC a pris les armes pour défendre son Royaume ;</w:t>
      </w:r>
    </w:p>
    <w:p w:rsidR="00000000" w:rsidRDefault="00000000">
      <w:pPr>
        <w:numPr>
          <w:ilvl w:val="0"/>
          <w:numId w:val="155"/>
        </w:numPr>
        <w:jc w:val="both"/>
        <w:rPr>
          <w:sz w:val="22"/>
        </w:rPr>
      </w:pPr>
      <w:r>
        <w:rPr>
          <w:sz w:val="22"/>
        </w:rPr>
        <w:t>La Reine NGALIFOUROU qui a été la conseillère de premier rang de son mari : le roi MAKOKO. A la mort du Roi, la Reine lui succède et exerce avec courage et dignité ses prérogatives de manière à conserver à son Royaume sa grandeur et sa dignité.</w:t>
      </w:r>
    </w:p>
    <w:p w:rsidR="00000000" w:rsidRDefault="00000000">
      <w:pPr>
        <w:ind w:left="360"/>
        <w:jc w:val="both"/>
        <w:rPr>
          <w:sz w:val="22"/>
        </w:rPr>
      </w:pPr>
    </w:p>
    <w:p w:rsidR="00000000" w:rsidRDefault="00000000">
      <w:pPr>
        <w:jc w:val="both"/>
        <w:rPr>
          <w:sz w:val="22"/>
        </w:rPr>
      </w:pPr>
      <w:r>
        <w:rPr>
          <w:sz w:val="22"/>
        </w:rPr>
        <w:t>Ainsi,  traditionnellement, la femme n’a jamais été mise en marge de l’activité politique. Détentrice du patrimoine culturel ancestral, elle est réceptive des valeurs nouvelles. C’est à ce titre qu’elle est la charnière de deux sociétés : la société traditionnelle et la société moderne, mais le passage de la société traditionnelle à la société moderne a constitué un fléchissement dans sa participation à la vie politique et publique. Par atavisme, nos sociétés ont relégué la femme au second plan. Dans le monde entier la femme est souvent considérée comme un être inférieur sinon mineur, un être qui passe de la tutelle parentale à la tutelle maritale. Cependant le constat empirique qui résulte du fonctionnement de notre société montre que les femmes sont investies d’un grand pouvoir dans l’encadrement social et le processus de socialisation. Leur avoir confié cette responsabilité est la reconnaissance de leurs aptitudes de pédagogues et de psychologues.</w:t>
      </w:r>
    </w:p>
    <w:p w:rsidR="00000000" w:rsidRDefault="00000000">
      <w:pPr>
        <w:ind w:left="360"/>
        <w:jc w:val="both"/>
        <w:rPr>
          <w:sz w:val="22"/>
        </w:rPr>
      </w:pPr>
    </w:p>
    <w:p w:rsidR="00000000" w:rsidRDefault="00000000">
      <w:pPr>
        <w:tabs>
          <w:tab w:val="left" w:pos="1680"/>
        </w:tabs>
        <w:ind w:left="1680" w:hanging="1680"/>
        <w:jc w:val="both"/>
        <w:rPr>
          <w:b/>
          <w:sz w:val="22"/>
        </w:rPr>
      </w:pPr>
      <w:r>
        <w:rPr>
          <w:b/>
          <w:sz w:val="22"/>
        </w:rPr>
        <w:t xml:space="preserve">SECTION I - </w:t>
      </w:r>
      <w:r>
        <w:rPr>
          <w:b/>
          <w:sz w:val="22"/>
          <w:u w:val="single"/>
        </w:rPr>
        <w:t>LA GENESE DU MOUVEMENT FEMININ CONGOLAIS</w:t>
      </w:r>
    </w:p>
    <w:p w:rsidR="00000000" w:rsidRDefault="00000000">
      <w:pPr>
        <w:ind w:left="360"/>
        <w:jc w:val="both"/>
      </w:pPr>
    </w:p>
    <w:p w:rsidR="00000000" w:rsidRDefault="00000000">
      <w:pPr>
        <w:jc w:val="both"/>
        <w:rPr>
          <w:sz w:val="22"/>
        </w:rPr>
      </w:pPr>
      <w:r>
        <w:rPr>
          <w:sz w:val="22"/>
        </w:rPr>
        <w:t>Vers la fin de l’époque coloniale, notamment avant et pendant l’indépendance (1960) les femmes Congolaises ont commencé à s’organiser en associations, penser à leur émancipation et épanouissement et revendiquer leurs droits. Ainsi plusieurs associations vont naître ; ce sont entre autres : la Violette, la Pause, la Rose, la Rosette, Diamant, Alliance du Niari, Femmes Caïman, Étoile brillante etc. Ces associations à caractère social et culturel ont une action basée essentiellement sur les domaines suivants : cuisine, couture, broderie, alphabétisation, sport, théâtre, danses traditionnelles, entraide mutuelle. Outre ces associations, il a été créé à Brazzaville, en 1959, l’Union des Femmes Française (A F U F) sous la présidence de l’épouse du Haut Commissaire de l’Afrique Equatoriale Française. Elle a pour but d’éduquer les femmes Congolaises sur les plans socioculturel et économique.</w:t>
      </w:r>
    </w:p>
    <w:p w:rsidR="00000000" w:rsidRDefault="00000000">
      <w:pPr>
        <w:pStyle w:val="BodyTextIndent3"/>
        <w:ind w:left="0" w:firstLine="0"/>
        <w:rPr>
          <w:sz w:val="22"/>
        </w:rPr>
      </w:pPr>
      <w:r>
        <w:rPr>
          <w:sz w:val="22"/>
        </w:rPr>
        <w:t>En 1960, une autre association voit le jour à Pointe-Noire : l’Association des femmes Africaines (A F A) affiliée au Comité International des Femmes ; dont l’objectif principal est l’émancipation de la femme et sa participation au développement social, économique et culturel de la nation.</w:t>
      </w:r>
    </w:p>
    <w:p w:rsidR="00000000" w:rsidRDefault="00000000">
      <w:pPr>
        <w:pStyle w:val="BodyTextIndent3"/>
        <w:rPr>
          <w:sz w:val="22"/>
        </w:rPr>
      </w:pPr>
    </w:p>
    <w:p w:rsidR="00000000" w:rsidRDefault="00000000">
      <w:pPr>
        <w:jc w:val="both"/>
        <w:rPr>
          <w:sz w:val="22"/>
        </w:rPr>
      </w:pPr>
      <w:r>
        <w:rPr>
          <w:sz w:val="22"/>
        </w:rPr>
        <w:t>En 1961, naît, toujours à Pointe-Noire, l’Union pour l’émancipation de la femme Africaine (U.E.F.A) ayant pour objectif d’amener la femme à une prise de conscience réelle pour le plein épanouissement de sa personnalité et de son autonomie en vue de sa participation effective dans tous les domaines de l’activité nationale. Cette association deviendra plus tard, l’Union des femmes du Congo (U.F.C). En 1964, toutes les associations se regroupent pour former un front de lutte pour l’émancipation et les droits des femmes ; il s’agit de l’Union Nationale des Femmes du Congo (U.N.F.C) qui à l’issue, d’une grande assemblée générale devient l’Union Démocratique des Femmes du Congo (U.D.F.C).</w:t>
      </w:r>
    </w:p>
    <w:p w:rsidR="00000000" w:rsidRDefault="00000000">
      <w:pPr>
        <w:jc w:val="both"/>
        <w:rPr>
          <w:sz w:val="22"/>
        </w:rPr>
      </w:pPr>
      <w:r>
        <w:rPr>
          <w:sz w:val="22"/>
        </w:rPr>
        <w:t>Au Congrès de Mars 1965, l’UDFC devient l’Union Révolutionnaire des Femmes du Congo (URFC) qui avait pour mission :</w:t>
      </w:r>
    </w:p>
    <w:p w:rsidR="00000000" w:rsidRDefault="00000000">
      <w:pPr>
        <w:numPr>
          <w:ilvl w:val="1"/>
          <w:numId w:val="155"/>
        </w:numPr>
        <w:jc w:val="both"/>
        <w:rPr>
          <w:sz w:val="22"/>
        </w:rPr>
      </w:pPr>
      <w:r>
        <w:rPr>
          <w:sz w:val="22"/>
        </w:rPr>
        <w:t>l’organisation , la mobilisation, l’éducation, l’encadrement politique des femmes en vue de leur participation effective au processus de développement national.</w:t>
      </w:r>
    </w:p>
    <w:p w:rsidR="00000000" w:rsidRDefault="00000000">
      <w:pPr>
        <w:numPr>
          <w:ilvl w:val="1"/>
          <w:numId w:val="155"/>
        </w:numPr>
        <w:jc w:val="both"/>
        <w:rPr>
          <w:sz w:val="22"/>
        </w:rPr>
      </w:pPr>
      <w:r>
        <w:rPr>
          <w:sz w:val="22"/>
        </w:rPr>
        <w:t>la consolidation et l’intensification des liens d’amitié et de solidarité avec toutes les femmes du monde éprises de paix et de justice en général et en particulier avec les organisations féminines nationales, sous-régionales et internationales poursuivant les mêmes objectifs que l’URFC.</w:t>
      </w:r>
    </w:p>
    <w:p w:rsidR="00000000" w:rsidRDefault="00000000">
      <w:pPr>
        <w:rPr>
          <w:sz w:val="22"/>
        </w:rPr>
      </w:pPr>
    </w:p>
    <w:p w:rsidR="00000000" w:rsidRDefault="00000000">
      <w:pPr>
        <w:jc w:val="both"/>
        <w:rPr>
          <w:sz w:val="22"/>
        </w:rPr>
      </w:pPr>
      <w:r>
        <w:rPr>
          <w:sz w:val="22"/>
        </w:rPr>
        <w:t>A partir de 1976, l’URFC intègre les structures administratives dans lesquelles la femme siège à la trilogie déterminante qui statue sur la vie des administrations ou des entreprises</w:t>
      </w:r>
    </w:p>
    <w:p w:rsidR="00000000" w:rsidRDefault="00000000">
      <w:pPr>
        <w:jc w:val="both"/>
        <w:rPr>
          <w:sz w:val="22"/>
        </w:rPr>
      </w:pPr>
    </w:p>
    <w:p w:rsidR="00000000" w:rsidRDefault="00000000">
      <w:pPr>
        <w:jc w:val="both"/>
        <w:rPr>
          <w:sz w:val="22"/>
        </w:rPr>
      </w:pPr>
      <w:r>
        <w:rPr>
          <w:sz w:val="22"/>
        </w:rPr>
        <w:t>Dans le cadre de l’application des stratégies prospectives adoptées par la Conférence des Femmes de Nairobi (1985) sur l’intégration de la femme au Développement, l’URFC va procéder à la restructuration de ses organes intermédiaires et de base à partir de 1986. Les femmes sont organisées et mobilisées sur la base de leurs intérêts spécifiques.</w:t>
      </w:r>
    </w:p>
    <w:p w:rsidR="00000000" w:rsidRDefault="00000000">
      <w:pPr>
        <w:jc w:val="both"/>
        <w:rPr>
          <w:sz w:val="22"/>
        </w:rPr>
      </w:pPr>
      <w:r>
        <w:rPr>
          <w:sz w:val="22"/>
        </w:rPr>
        <w:t xml:space="preserve">   </w:t>
      </w:r>
    </w:p>
    <w:p w:rsidR="00000000" w:rsidRDefault="00000000">
      <w:pPr>
        <w:jc w:val="both"/>
        <w:rPr>
          <w:sz w:val="22"/>
        </w:rPr>
      </w:pPr>
      <w:r>
        <w:rPr>
          <w:sz w:val="22"/>
        </w:rPr>
        <w:t>Aussi quatre (4) Unions Catégorielles seront mises en place au 7</w:t>
      </w:r>
      <w:r>
        <w:rPr>
          <w:sz w:val="22"/>
          <w:vertAlign w:val="superscript"/>
        </w:rPr>
        <w:t>e</w:t>
      </w:r>
      <w:r>
        <w:rPr>
          <w:sz w:val="22"/>
        </w:rPr>
        <w:t xml:space="preserve"> Congrès de l’URFC en 1986 ; il s’agit de : </w:t>
      </w:r>
    </w:p>
    <w:p w:rsidR="00000000" w:rsidRDefault="00000000">
      <w:pPr>
        <w:rPr>
          <w:sz w:val="22"/>
        </w:rPr>
      </w:pPr>
    </w:p>
    <w:p w:rsidR="00000000" w:rsidRDefault="00000000">
      <w:pPr>
        <w:numPr>
          <w:ilvl w:val="0"/>
          <w:numId w:val="155"/>
        </w:numPr>
        <w:rPr>
          <w:sz w:val="22"/>
        </w:rPr>
      </w:pPr>
      <w:r>
        <w:rPr>
          <w:sz w:val="22"/>
        </w:rPr>
        <w:t>l’Union des Femmes Travailleuses (UFT) ;</w:t>
      </w:r>
    </w:p>
    <w:p w:rsidR="00000000" w:rsidRDefault="00000000">
      <w:pPr>
        <w:numPr>
          <w:ilvl w:val="0"/>
          <w:numId w:val="155"/>
        </w:numPr>
        <w:rPr>
          <w:sz w:val="22"/>
        </w:rPr>
      </w:pPr>
      <w:r>
        <w:rPr>
          <w:sz w:val="22"/>
        </w:rPr>
        <w:t>l’Union des Femmes Paysannes (UFP) ;</w:t>
      </w:r>
    </w:p>
    <w:p w:rsidR="00000000" w:rsidRDefault="00000000">
      <w:pPr>
        <w:numPr>
          <w:ilvl w:val="0"/>
          <w:numId w:val="155"/>
        </w:numPr>
        <w:rPr>
          <w:sz w:val="22"/>
        </w:rPr>
      </w:pPr>
      <w:r>
        <w:rPr>
          <w:sz w:val="22"/>
        </w:rPr>
        <w:t>l’Union des Femmes Commerçantes et Artisanes (U.F.C.V.A) ;</w:t>
      </w:r>
    </w:p>
    <w:p w:rsidR="00000000" w:rsidRDefault="00000000">
      <w:pPr>
        <w:numPr>
          <w:ilvl w:val="0"/>
          <w:numId w:val="155"/>
        </w:numPr>
        <w:rPr>
          <w:sz w:val="22"/>
        </w:rPr>
      </w:pPr>
      <w:r>
        <w:rPr>
          <w:sz w:val="22"/>
        </w:rPr>
        <w:t>l’Union des Femmes des Mutualités et Ménagères (U.F.M.M).</w:t>
      </w:r>
    </w:p>
    <w:p w:rsidR="00000000" w:rsidRDefault="00000000">
      <w:pPr>
        <w:rPr>
          <w:sz w:val="22"/>
        </w:rPr>
      </w:pPr>
    </w:p>
    <w:p w:rsidR="00000000" w:rsidRDefault="00000000">
      <w:pPr>
        <w:jc w:val="both"/>
        <w:rPr>
          <w:sz w:val="22"/>
        </w:rPr>
      </w:pPr>
      <w:r>
        <w:rPr>
          <w:sz w:val="22"/>
        </w:rPr>
        <w:t>A partir de 1990, peu après la Conférence Nationale Souveraine et avec l’avènement de la démocratie au Congo, il y a prolifération des O N G et Associations Féminines qui interviennent dans tous les domaines de la vie publique et associative.</w:t>
      </w:r>
    </w:p>
    <w:p w:rsidR="00000000" w:rsidRDefault="00000000">
      <w:pPr>
        <w:jc w:val="both"/>
        <w:rPr>
          <w:sz w:val="22"/>
        </w:rPr>
      </w:pPr>
    </w:p>
    <w:p w:rsidR="00000000" w:rsidRDefault="00000000">
      <w:pPr>
        <w:jc w:val="both"/>
        <w:rPr>
          <w:sz w:val="22"/>
        </w:rPr>
      </w:pPr>
      <w:r>
        <w:rPr>
          <w:sz w:val="22"/>
        </w:rPr>
        <w:t>Le Congo compte aujourd’hui près de 412 ONG et Associations féminines.</w:t>
      </w:r>
    </w:p>
    <w:p w:rsidR="00000000" w:rsidRDefault="00000000">
      <w:pPr>
        <w:jc w:val="both"/>
        <w:rPr>
          <w:sz w:val="22"/>
        </w:rPr>
      </w:pPr>
    </w:p>
    <w:p w:rsidR="00000000" w:rsidRDefault="00000000">
      <w:pPr>
        <w:jc w:val="both"/>
        <w:rPr>
          <w:sz w:val="22"/>
        </w:rPr>
      </w:pPr>
      <w:r>
        <w:rPr>
          <w:sz w:val="22"/>
        </w:rPr>
        <w:t>L’absence d’un cadre institutionnel cohérent pour l’orientation et la mise en œuvre d’une politique d’intégration de la femme au Développement a amené le Gouvernement à créer, en 1990, au sein du Ministère du Plan et avec l’appui du PNUD, une Direction de l’Intégration de la Femme au Développement érigée par la suite en Ministère en 1992 : le Ministère de l’Intégration de la Femme au Développement, devenu, après la guerre de 1997, le Ministère de la Famille et de l’Intégration de la Femme au Développement. En 1998, ce Ministère fut rattaché au Ministère de la Fonction Publique, des Réformes Administratives et de la Promotion de la Femme. Notons que ces différents ministères ayant en charge les questions féminines ont toujours été  animés par un haut cadre féminin.</w:t>
      </w:r>
    </w:p>
    <w:p w:rsidR="00000000" w:rsidRDefault="00000000">
      <w:pPr>
        <w:pStyle w:val="BodyText3"/>
        <w:rPr>
          <w:sz w:val="22"/>
        </w:rPr>
      </w:pPr>
      <w:r>
        <w:rPr>
          <w:sz w:val="22"/>
        </w:rPr>
        <w:t>Malgré les nombreux acquis des femmes sur le plan juridique, dans la pratique, la réalité est toute autre. La femme demeure jusqu’alors sous-représentée au niveau des instances de décision dans la vie publique.</w:t>
      </w:r>
    </w:p>
    <w:p w:rsidR="00000000" w:rsidRDefault="00000000">
      <w:pPr>
        <w:rPr>
          <w:sz w:val="22"/>
        </w:rPr>
      </w:pPr>
    </w:p>
    <w:p w:rsidR="00000000" w:rsidRDefault="00000000">
      <w:pPr>
        <w:tabs>
          <w:tab w:val="left" w:pos="1680"/>
        </w:tabs>
        <w:ind w:left="1680" w:hanging="1680"/>
        <w:jc w:val="both"/>
        <w:rPr>
          <w:b/>
          <w:bCs/>
          <w:sz w:val="22"/>
        </w:rPr>
      </w:pPr>
      <w:r>
        <w:rPr>
          <w:b/>
          <w:bCs/>
          <w:sz w:val="22"/>
        </w:rPr>
        <w:t xml:space="preserve">SECTION II - </w:t>
      </w:r>
      <w:r>
        <w:rPr>
          <w:b/>
          <w:bCs/>
          <w:sz w:val="22"/>
          <w:u w:val="single"/>
        </w:rPr>
        <w:t>LA REPRÉSENTATIVITÉ DE LA FEMME CONGOLAISE</w:t>
      </w:r>
    </w:p>
    <w:p w:rsidR="00000000" w:rsidRDefault="00000000">
      <w:pPr>
        <w:rPr>
          <w:sz w:val="22"/>
        </w:rPr>
      </w:pPr>
    </w:p>
    <w:p w:rsidR="00000000" w:rsidRDefault="00000000">
      <w:pPr>
        <w:rPr>
          <w:sz w:val="22"/>
        </w:rPr>
      </w:pPr>
      <w:r>
        <w:rPr>
          <w:sz w:val="22"/>
        </w:rPr>
        <w:t xml:space="preserve">Les femmes ont toujours été sous représentées dans les instances de décision. Cette situation caractérise aussi bien le parlement, l’administration que le pouvoir judiciaire. </w:t>
      </w:r>
    </w:p>
    <w:p w:rsidR="00000000" w:rsidRDefault="00000000">
      <w:pPr>
        <w:rPr>
          <w:sz w:val="22"/>
        </w:rPr>
      </w:pPr>
    </w:p>
    <w:p w:rsidR="00000000" w:rsidRDefault="00000000">
      <w:pPr>
        <w:pStyle w:val="BodyText2"/>
      </w:pPr>
      <w:r>
        <w:t xml:space="preserve">A – </w:t>
      </w:r>
      <w:r>
        <w:rPr>
          <w:u w:val="single"/>
        </w:rPr>
        <w:t>La représentativité de la femme au parlement</w:t>
      </w:r>
      <w:r>
        <w:t>.</w:t>
      </w:r>
    </w:p>
    <w:p w:rsidR="00000000" w:rsidRDefault="00000000">
      <w:pPr>
        <w:rPr>
          <w:sz w:val="22"/>
        </w:rPr>
      </w:pPr>
    </w:p>
    <w:p w:rsidR="00000000" w:rsidRDefault="00000000">
      <w:pPr>
        <w:rPr>
          <w:sz w:val="22"/>
        </w:rPr>
      </w:pPr>
      <w:r>
        <w:rPr>
          <w:sz w:val="22"/>
        </w:rPr>
        <w:t>De façon constante, la représentativité de la femme au parlement est insignifiante. Ce constat apparaît à la lumière de toutes les législatures.</w:t>
      </w:r>
    </w:p>
    <w:p w:rsidR="00000000" w:rsidRDefault="00000000">
      <w:pPr>
        <w:rPr>
          <w:sz w:val="22"/>
        </w:rPr>
      </w:pPr>
      <w:r>
        <w:rPr>
          <w:sz w:val="22"/>
          <w:u w:val="single"/>
        </w:rPr>
        <w:t>Scrutin de 1963</w:t>
      </w:r>
      <w:r>
        <w:rPr>
          <w:sz w:val="22"/>
        </w:rPr>
        <w:t> : trois (3) femmes parlementaires</w:t>
      </w:r>
    </w:p>
    <w:p w:rsidR="00000000" w:rsidRDefault="00000000">
      <w:pPr>
        <w:rPr>
          <w:sz w:val="22"/>
        </w:rPr>
      </w:pPr>
      <w:r>
        <w:rPr>
          <w:sz w:val="22"/>
        </w:rPr>
        <w:t>Total de députés : 52 hommes et 3 femmes</w:t>
      </w:r>
    </w:p>
    <w:p w:rsidR="00000000" w:rsidRDefault="00000000">
      <w:pPr>
        <w:rPr>
          <w:sz w:val="22"/>
        </w:rPr>
      </w:pPr>
    </w:p>
    <w:p w:rsidR="00000000" w:rsidRDefault="00000000">
      <w:pPr>
        <w:rPr>
          <w:sz w:val="22"/>
          <w:u w:val="single"/>
        </w:rPr>
      </w:pPr>
      <w:r>
        <w:rPr>
          <w:sz w:val="22"/>
          <w:u w:val="single"/>
        </w:rPr>
        <w:t>Scrutin de 1973 </w:t>
      </w:r>
    </w:p>
    <w:p w:rsidR="00000000" w:rsidRDefault="00000000">
      <w:pPr>
        <w:rPr>
          <w:sz w:val="22"/>
        </w:rPr>
      </w:pPr>
      <w:r>
        <w:rPr>
          <w:sz w:val="22"/>
        </w:rPr>
        <w:t>Total de députés : 117 hommes et 8 femmes</w:t>
      </w:r>
    </w:p>
    <w:p w:rsidR="00000000" w:rsidRDefault="00000000">
      <w:pPr>
        <w:rPr>
          <w:sz w:val="22"/>
        </w:rPr>
      </w:pPr>
    </w:p>
    <w:p w:rsidR="00000000" w:rsidRDefault="00000000">
      <w:pPr>
        <w:rPr>
          <w:sz w:val="22"/>
          <w:u w:val="single"/>
        </w:rPr>
      </w:pPr>
      <w:r>
        <w:rPr>
          <w:sz w:val="22"/>
          <w:u w:val="single"/>
        </w:rPr>
        <w:t>Scrutin du 8 Juillet 1979 : 4</w:t>
      </w:r>
      <w:r>
        <w:rPr>
          <w:sz w:val="22"/>
          <w:u w:val="single"/>
          <w:vertAlign w:val="superscript"/>
        </w:rPr>
        <w:t>e</w:t>
      </w:r>
      <w:r>
        <w:rPr>
          <w:sz w:val="22"/>
          <w:u w:val="single"/>
        </w:rPr>
        <w:t xml:space="preserve"> Législature</w:t>
      </w:r>
    </w:p>
    <w:p w:rsidR="00000000" w:rsidRDefault="00000000">
      <w:pPr>
        <w:rPr>
          <w:sz w:val="22"/>
        </w:rPr>
      </w:pPr>
    </w:p>
    <w:p w:rsidR="00000000" w:rsidRDefault="00000000">
      <w:pPr>
        <w:rPr>
          <w:sz w:val="22"/>
        </w:rPr>
      </w:pPr>
      <w:r>
        <w:rPr>
          <w:sz w:val="22"/>
        </w:rPr>
        <w:t>Total de députés : 139 Hommes et 13 Femmes</w:t>
      </w:r>
    </w:p>
    <w:p w:rsidR="00000000" w:rsidRDefault="00000000">
      <w:pPr>
        <w:rPr>
          <w:sz w:val="22"/>
        </w:rPr>
      </w:pPr>
      <w:r>
        <w:rPr>
          <w:sz w:val="22"/>
        </w:rPr>
        <w:t>Composition du bureau : 5 membres</w:t>
      </w:r>
    </w:p>
    <w:p w:rsidR="00000000" w:rsidRDefault="00000000">
      <w:pPr>
        <w:rPr>
          <w:sz w:val="22"/>
        </w:rPr>
      </w:pPr>
      <w:r>
        <w:rPr>
          <w:sz w:val="22"/>
        </w:rPr>
        <w:t>4 hommes et 1 femme</w:t>
      </w:r>
    </w:p>
    <w:p w:rsidR="00000000" w:rsidRDefault="00000000">
      <w:pPr>
        <w:rPr>
          <w:sz w:val="22"/>
        </w:rPr>
      </w:pPr>
    </w:p>
    <w:p w:rsidR="00000000" w:rsidRDefault="00000000">
      <w:pPr>
        <w:rPr>
          <w:sz w:val="22"/>
          <w:u w:val="single"/>
        </w:rPr>
      </w:pPr>
      <w:r>
        <w:rPr>
          <w:sz w:val="22"/>
          <w:u w:val="single"/>
        </w:rPr>
        <w:t>Scrutin du 24 Septembre 1984 : 5</w:t>
      </w:r>
      <w:r>
        <w:rPr>
          <w:sz w:val="22"/>
          <w:u w:val="single"/>
          <w:vertAlign w:val="superscript"/>
        </w:rPr>
        <w:t>e</w:t>
      </w:r>
      <w:r>
        <w:rPr>
          <w:sz w:val="22"/>
          <w:u w:val="single"/>
        </w:rPr>
        <w:t xml:space="preserve"> Législature</w:t>
      </w:r>
    </w:p>
    <w:p w:rsidR="00000000" w:rsidRDefault="00000000">
      <w:pPr>
        <w:rPr>
          <w:sz w:val="22"/>
        </w:rPr>
      </w:pPr>
    </w:p>
    <w:p w:rsidR="00000000" w:rsidRDefault="00000000">
      <w:pPr>
        <w:rPr>
          <w:sz w:val="22"/>
        </w:rPr>
      </w:pPr>
      <w:r>
        <w:rPr>
          <w:sz w:val="22"/>
        </w:rPr>
        <w:t>Total de députés : Hommes 138 ; Femmes 15</w:t>
      </w:r>
    </w:p>
    <w:p w:rsidR="00000000" w:rsidRDefault="00000000">
      <w:pPr>
        <w:rPr>
          <w:sz w:val="22"/>
        </w:rPr>
      </w:pPr>
      <w:r>
        <w:rPr>
          <w:sz w:val="22"/>
        </w:rPr>
        <w:t>Bureau : 4 membres :   4 hommes ; 0 femme</w:t>
      </w:r>
    </w:p>
    <w:p w:rsidR="00000000" w:rsidRDefault="00000000">
      <w:pPr>
        <w:ind w:left="360"/>
        <w:rPr>
          <w:sz w:val="22"/>
        </w:rPr>
      </w:pPr>
    </w:p>
    <w:p w:rsidR="00000000" w:rsidRDefault="00000000">
      <w:pPr>
        <w:rPr>
          <w:sz w:val="22"/>
          <w:u w:val="single"/>
        </w:rPr>
      </w:pPr>
      <w:r>
        <w:rPr>
          <w:sz w:val="22"/>
          <w:u w:val="single"/>
        </w:rPr>
        <w:t>Scrutin du 24 Septembre 1989 : 6</w:t>
      </w:r>
      <w:r>
        <w:rPr>
          <w:sz w:val="22"/>
          <w:u w:val="single"/>
          <w:vertAlign w:val="superscript"/>
        </w:rPr>
        <w:t>e</w:t>
      </w:r>
      <w:r>
        <w:rPr>
          <w:sz w:val="22"/>
          <w:u w:val="single"/>
        </w:rPr>
        <w:t xml:space="preserve"> Législature</w:t>
      </w:r>
    </w:p>
    <w:p w:rsidR="00000000" w:rsidRDefault="00000000">
      <w:pPr>
        <w:rPr>
          <w:sz w:val="22"/>
        </w:rPr>
      </w:pPr>
    </w:p>
    <w:p w:rsidR="00000000" w:rsidRDefault="00000000">
      <w:pPr>
        <w:keepNext/>
        <w:rPr>
          <w:sz w:val="22"/>
        </w:rPr>
      </w:pPr>
      <w:r>
        <w:rPr>
          <w:sz w:val="22"/>
        </w:rPr>
        <w:t>Total des députés : 133</w:t>
      </w:r>
    </w:p>
    <w:p w:rsidR="00000000" w:rsidRDefault="00000000">
      <w:pPr>
        <w:rPr>
          <w:sz w:val="22"/>
        </w:rPr>
      </w:pPr>
      <w:r>
        <w:rPr>
          <w:sz w:val="22"/>
        </w:rPr>
        <w:t>114 hommes ; 19 femmes</w:t>
      </w:r>
    </w:p>
    <w:p w:rsidR="00000000" w:rsidRDefault="00000000">
      <w:pPr>
        <w:rPr>
          <w:sz w:val="22"/>
        </w:rPr>
      </w:pPr>
      <w:r>
        <w:rPr>
          <w:sz w:val="22"/>
        </w:rPr>
        <w:t>Bureau : 5 membres</w:t>
      </w:r>
    </w:p>
    <w:p w:rsidR="00000000" w:rsidRDefault="00000000">
      <w:pPr>
        <w:rPr>
          <w:sz w:val="22"/>
        </w:rPr>
      </w:pPr>
      <w:r>
        <w:rPr>
          <w:sz w:val="22"/>
        </w:rPr>
        <w:t>4 hommes ; 1 femme</w:t>
      </w:r>
    </w:p>
    <w:p w:rsidR="00000000" w:rsidRDefault="00000000">
      <w:pPr>
        <w:rPr>
          <w:sz w:val="22"/>
        </w:rPr>
      </w:pPr>
    </w:p>
    <w:p w:rsidR="00000000" w:rsidRDefault="00000000">
      <w:pPr>
        <w:rPr>
          <w:sz w:val="22"/>
        </w:rPr>
      </w:pPr>
      <w:r>
        <w:rPr>
          <w:sz w:val="22"/>
          <w:u w:val="single"/>
        </w:rPr>
        <w:t>Scrutin issu de la Conférence Nationale Souveraine Juin 1991 : 7</w:t>
      </w:r>
      <w:r>
        <w:rPr>
          <w:sz w:val="22"/>
          <w:u w:val="single"/>
          <w:vertAlign w:val="superscript"/>
        </w:rPr>
        <w:t>e</w:t>
      </w:r>
      <w:r>
        <w:rPr>
          <w:sz w:val="22"/>
          <w:u w:val="single"/>
        </w:rPr>
        <w:t xml:space="preserve"> Législature</w:t>
      </w:r>
    </w:p>
    <w:p w:rsidR="00000000" w:rsidRDefault="00000000">
      <w:pPr>
        <w:rPr>
          <w:sz w:val="22"/>
        </w:rPr>
      </w:pPr>
    </w:p>
    <w:p w:rsidR="00000000" w:rsidRDefault="00000000">
      <w:pPr>
        <w:rPr>
          <w:sz w:val="22"/>
        </w:rPr>
      </w:pPr>
      <w:r>
        <w:rPr>
          <w:sz w:val="22"/>
        </w:rPr>
        <w:t>Total des députés : 153 membres</w:t>
      </w:r>
    </w:p>
    <w:p w:rsidR="00000000" w:rsidRDefault="00000000">
      <w:pPr>
        <w:rPr>
          <w:sz w:val="22"/>
        </w:rPr>
      </w:pPr>
      <w:r>
        <w:rPr>
          <w:sz w:val="22"/>
        </w:rPr>
        <w:t>138 hommes ; 15 femmes</w:t>
      </w:r>
    </w:p>
    <w:p w:rsidR="00000000" w:rsidRDefault="00000000">
      <w:pPr>
        <w:rPr>
          <w:sz w:val="22"/>
        </w:rPr>
      </w:pPr>
      <w:r>
        <w:rPr>
          <w:sz w:val="22"/>
        </w:rPr>
        <w:t>Bureau : 9 membres</w:t>
      </w:r>
    </w:p>
    <w:p w:rsidR="00000000" w:rsidRDefault="00000000">
      <w:pPr>
        <w:rPr>
          <w:sz w:val="22"/>
        </w:rPr>
      </w:pPr>
      <w:r>
        <w:rPr>
          <w:sz w:val="22"/>
        </w:rPr>
        <w:t>7 hommes ; 2 femmes</w:t>
      </w:r>
    </w:p>
    <w:p w:rsidR="00000000" w:rsidRDefault="00000000">
      <w:pPr>
        <w:rPr>
          <w:sz w:val="22"/>
        </w:rPr>
      </w:pPr>
    </w:p>
    <w:p w:rsidR="00000000" w:rsidRDefault="00000000">
      <w:pPr>
        <w:rPr>
          <w:sz w:val="22"/>
          <w:u w:val="single"/>
        </w:rPr>
      </w:pPr>
      <w:r>
        <w:rPr>
          <w:sz w:val="22"/>
          <w:u w:val="single"/>
        </w:rPr>
        <w:t>Scrutin du 24 Juillet 1992 : 8</w:t>
      </w:r>
      <w:r>
        <w:rPr>
          <w:sz w:val="22"/>
          <w:u w:val="single"/>
          <w:vertAlign w:val="superscript"/>
        </w:rPr>
        <w:t>e</w:t>
      </w:r>
      <w:r>
        <w:rPr>
          <w:sz w:val="22"/>
          <w:u w:val="single"/>
        </w:rPr>
        <w:t xml:space="preserve"> Législature</w:t>
      </w:r>
    </w:p>
    <w:p w:rsidR="00000000" w:rsidRDefault="00000000">
      <w:pPr>
        <w:rPr>
          <w:sz w:val="22"/>
        </w:rPr>
      </w:pPr>
    </w:p>
    <w:p w:rsidR="00000000" w:rsidRDefault="00000000">
      <w:pPr>
        <w:rPr>
          <w:sz w:val="22"/>
        </w:rPr>
      </w:pPr>
      <w:r>
        <w:rPr>
          <w:sz w:val="22"/>
        </w:rPr>
        <w:t>Total des députés : 125</w:t>
      </w:r>
    </w:p>
    <w:p w:rsidR="00000000" w:rsidRDefault="00000000">
      <w:pPr>
        <w:rPr>
          <w:sz w:val="22"/>
        </w:rPr>
      </w:pPr>
      <w:r>
        <w:rPr>
          <w:sz w:val="22"/>
        </w:rPr>
        <w:t>123 hommes ; 2 femmes</w:t>
      </w:r>
    </w:p>
    <w:p w:rsidR="00000000" w:rsidRDefault="00000000">
      <w:pPr>
        <w:rPr>
          <w:sz w:val="22"/>
        </w:rPr>
      </w:pPr>
      <w:r>
        <w:rPr>
          <w:sz w:val="22"/>
        </w:rPr>
        <w:t>Bureau : 7 membres : 7 hommes ; 0 femme</w:t>
      </w:r>
    </w:p>
    <w:p w:rsidR="00000000" w:rsidRDefault="00000000">
      <w:pPr>
        <w:rPr>
          <w:sz w:val="22"/>
        </w:rPr>
      </w:pPr>
      <w:r>
        <w:rPr>
          <w:sz w:val="22"/>
        </w:rPr>
        <w:t>Sénat : Total : 60 membres</w:t>
      </w:r>
    </w:p>
    <w:p w:rsidR="00000000" w:rsidRDefault="00000000">
      <w:pPr>
        <w:rPr>
          <w:sz w:val="22"/>
        </w:rPr>
      </w:pPr>
      <w:r>
        <w:rPr>
          <w:sz w:val="22"/>
        </w:rPr>
        <w:t xml:space="preserve">             58 hommes ; 2 femmes</w:t>
      </w:r>
    </w:p>
    <w:p w:rsidR="00000000" w:rsidRDefault="00000000">
      <w:pPr>
        <w:rPr>
          <w:sz w:val="22"/>
        </w:rPr>
      </w:pPr>
      <w:r>
        <w:rPr>
          <w:sz w:val="22"/>
        </w:rPr>
        <w:t>Bureau : 7 membres : 7 hommes ; 0 femme</w:t>
      </w:r>
    </w:p>
    <w:p w:rsidR="00000000" w:rsidRDefault="00000000">
      <w:pPr>
        <w:ind w:left="360"/>
        <w:rPr>
          <w:sz w:val="22"/>
        </w:rPr>
      </w:pPr>
    </w:p>
    <w:p w:rsidR="00000000" w:rsidRDefault="00000000">
      <w:pPr>
        <w:rPr>
          <w:sz w:val="22"/>
          <w:u w:val="single"/>
        </w:rPr>
      </w:pPr>
      <w:r>
        <w:rPr>
          <w:sz w:val="22"/>
          <w:u w:val="single"/>
        </w:rPr>
        <w:t>Scrutin du 6 Juin 1993 : 9</w:t>
      </w:r>
      <w:r>
        <w:rPr>
          <w:sz w:val="22"/>
          <w:u w:val="single"/>
          <w:vertAlign w:val="superscript"/>
        </w:rPr>
        <w:t>e</w:t>
      </w:r>
      <w:r>
        <w:rPr>
          <w:sz w:val="22"/>
          <w:u w:val="single"/>
        </w:rPr>
        <w:t xml:space="preserve"> Législature</w:t>
      </w:r>
    </w:p>
    <w:p w:rsidR="00000000" w:rsidRDefault="00000000">
      <w:pPr>
        <w:rPr>
          <w:sz w:val="22"/>
        </w:rPr>
      </w:pPr>
    </w:p>
    <w:p w:rsidR="00000000" w:rsidRDefault="00000000">
      <w:pPr>
        <w:rPr>
          <w:sz w:val="22"/>
        </w:rPr>
      </w:pPr>
      <w:r>
        <w:rPr>
          <w:sz w:val="22"/>
        </w:rPr>
        <w:t>Total : 125 membres</w:t>
      </w:r>
    </w:p>
    <w:p w:rsidR="00000000" w:rsidRDefault="00000000">
      <w:pPr>
        <w:rPr>
          <w:sz w:val="22"/>
        </w:rPr>
      </w:pPr>
      <w:r>
        <w:rPr>
          <w:sz w:val="22"/>
        </w:rPr>
        <w:t>123 hommes ; 2 femmes</w:t>
      </w:r>
    </w:p>
    <w:p w:rsidR="00000000" w:rsidRDefault="00000000">
      <w:pPr>
        <w:rPr>
          <w:sz w:val="22"/>
        </w:rPr>
      </w:pPr>
      <w:r>
        <w:rPr>
          <w:sz w:val="22"/>
        </w:rPr>
        <w:t>Bureau : 7 hommes ; 0 femme</w:t>
      </w:r>
    </w:p>
    <w:p w:rsidR="00000000" w:rsidRDefault="00000000">
      <w:pPr>
        <w:rPr>
          <w:sz w:val="22"/>
          <w:u w:val="single"/>
        </w:rPr>
      </w:pPr>
    </w:p>
    <w:p w:rsidR="00000000" w:rsidRDefault="00000000">
      <w:pPr>
        <w:rPr>
          <w:sz w:val="22"/>
          <w:u w:val="single"/>
        </w:rPr>
      </w:pPr>
      <w:r>
        <w:rPr>
          <w:sz w:val="22"/>
          <w:u w:val="single"/>
        </w:rPr>
        <w:t>10</w:t>
      </w:r>
      <w:r>
        <w:rPr>
          <w:sz w:val="22"/>
          <w:u w:val="single"/>
          <w:vertAlign w:val="superscript"/>
        </w:rPr>
        <w:t>e</w:t>
      </w:r>
      <w:r>
        <w:rPr>
          <w:sz w:val="22"/>
          <w:u w:val="single"/>
        </w:rPr>
        <w:t xml:space="preserve"> Législature issue du Conseil National de Transition 1998</w:t>
      </w:r>
    </w:p>
    <w:p w:rsidR="00000000" w:rsidRDefault="00000000">
      <w:pPr>
        <w:rPr>
          <w:sz w:val="22"/>
          <w:u w:val="single"/>
        </w:rPr>
      </w:pPr>
    </w:p>
    <w:p w:rsidR="00000000" w:rsidRDefault="00000000">
      <w:pPr>
        <w:rPr>
          <w:sz w:val="22"/>
        </w:rPr>
      </w:pPr>
      <w:r>
        <w:rPr>
          <w:sz w:val="22"/>
        </w:rPr>
        <w:t>Total des Conseillers : 75</w:t>
      </w:r>
    </w:p>
    <w:p w:rsidR="00000000" w:rsidRDefault="00000000">
      <w:pPr>
        <w:rPr>
          <w:sz w:val="22"/>
        </w:rPr>
      </w:pPr>
      <w:r>
        <w:rPr>
          <w:sz w:val="22"/>
        </w:rPr>
        <w:t>66 hommes ; 9 femmes</w:t>
      </w:r>
    </w:p>
    <w:p w:rsidR="00000000" w:rsidRDefault="00000000">
      <w:pPr>
        <w:rPr>
          <w:sz w:val="22"/>
        </w:rPr>
      </w:pPr>
      <w:r>
        <w:rPr>
          <w:sz w:val="22"/>
        </w:rPr>
        <w:t>Bureau : 5 hommes ; 2 femmes</w:t>
      </w:r>
    </w:p>
    <w:p w:rsidR="00000000" w:rsidRDefault="00000000">
      <w:pPr>
        <w:rPr>
          <w:sz w:val="22"/>
        </w:rPr>
      </w:pPr>
    </w:p>
    <w:p w:rsidR="00000000" w:rsidRDefault="00000000">
      <w:pPr>
        <w:rPr>
          <w:sz w:val="22"/>
        </w:rPr>
      </w:pPr>
    </w:p>
    <w:p w:rsidR="00000000" w:rsidRDefault="00000000">
      <w:pPr>
        <w:pStyle w:val="Heading1"/>
        <w:jc w:val="center"/>
      </w:pPr>
      <w:r>
        <w:rPr>
          <w:u w:val="single"/>
        </w:rPr>
        <w:t>Tableau n° 2</w:t>
      </w:r>
      <w:r>
        <w:t xml:space="preserve"> : répartition des  parlementaires par législature et par sexe </w:t>
      </w:r>
    </w:p>
    <w:p w:rsidR="00000000" w:rsidRDefault="00000000">
      <w:pPr>
        <w:pStyle w:val="Heading1"/>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3119"/>
        <w:gridCol w:w="1055"/>
        <w:gridCol w:w="1055"/>
        <w:gridCol w:w="1055"/>
        <w:gridCol w:w="1055"/>
      </w:tblGrid>
      <w:tr w:rsidR="00000000">
        <w:tblPrEx>
          <w:tblCellMar>
            <w:top w:w="0" w:type="dxa"/>
            <w:bottom w:w="0" w:type="dxa"/>
          </w:tblCellMar>
        </w:tblPrEx>
        <w:trPr>
          <w:cantSplit/>
        </w:trPr>
        <w:tc>
          <w:tcPr>
            <w:tcW w:w="2480" w:type="dxa"/>
            <w:vMerge w:val="restart"/>
          </w:tcPr>
          <w:p w:rsidR="00000000" w:rsidRDefault="00000000">
            <w:pPr>
              <w:pStyle w:val="Heading1"/>
              <w:jc w:val="center"/>
              <w:rPr>
                <w:b w:val="0"/>
              </w:rPr>
            </w:pPr>
            <w:r>
              <w:rPr>
                <w:b w:val="0"/>
              </w:rPr>
              <w:t>Date de scrutins</w:t>
            </w:r>
          </w:p>
        </w:tc>
        <w:tc>
          <w:tcPr>
            <w:tcW w:w="3119" w:type="dxa"/>
            <w:vMerge w:val="restart"/>
          </w:tcPr>
          <w:p w:rsidR="00000000" w:rsidRDefault="00000000">
            <w:pPr>
              <w:pStyle w:val="Heading1"/>
              <w:jc w:val="center"/>
              <w:rPr>
                <w:b w:val="0"/>
              </w:rPr>
            </w:pPr>
            <w:r>
              <w:rPr>
                <w:b w:val="0"/>
              </w:rPr>
              <w:t>Sièges</w:t>
            </w:r>
          </w:p>
        </w:tc>
        <w:tc>
          <w:tcPr>
            <w:tcW w:w="2110" w:type="dxa"/>
            <w:gridSpan w:val="2"/>
          </w:tcPr>
          <w:p w:rsidR="00000000" w:rsidRDefault="00000000">
            <w:pPr>
              <w:pStyle w:val="Heading1"/>
              <w:jc w:val="center"/>
              <w:rPr>
                <w:b w:val="0"/>
              </w:rPr>
            </w:pPr>
            <w:r>
              <w:rPr>
                <w:b w:val="0"/>
              </w:rPr>
              <w:t>Hommes</w:t>
            </w:r>
          </w:p>
        </w:tc>
        <w:tc>
          <w:tcPr>
            <w:tcW w:w="2110" w:type="dxa"/>
            <w:gridSpan w:val="2"/>
          </w:tcPr>
          <w:p w:rsidR="00000000" w:rsidRDefault="00000000">
            <w:pPr>
              <w:pStyle w:val="Heading1"/>
              <w:jc w:val="center"/>
              <w:rPr>
                <w:b w:val="0"/>
              </w:rPr>
            </w:pPr>
            <w:r>
              <w:rPr>
                <w:b w:val="0"/>
              </w:rPr>
              <w:t>Femmes</w:t>
            </w:r>
          </w:p>
        </w:tc>
      </w:tr>
      <w:tr w:rsidR="00000000">
        <w:tblPrEx>
          <w:tblCellMar>
            <w:top w:w="0" w:type="dxa"/>
            <w:bottom w:w="0" w:type="dxa"/>
          </w:tblCellMar>
        </w:tblPrEx>
        <w:trPr>
          <w:cantSplit/>
        </w:trPr>
        <w:tc>
          <w:tcPr>
            <w:tcW w:w="2480" w:type="dxa"/>
            <w:vMerge/>
          </w:tcPr>
          <w:p w:rsidR="00000000" w:rsidRDefault="00000000">
            <w:pPr>
              <w:pStyle w:val="Heading1"/>
            </w:pPr>
          </w:p>
        </w:tc>
        <w:tc>
          <w:tcPr>
            <w:tcW w:w="3119" w:type="dxa"/>
            <w:vMerge/>
          </w:tcPr>
          <w:p w:rsidR="00000000" w:rsidRDefault="00000000">
            <w:pPr>
              <w:pStyle w:val="Heading1"/>
            </w:pPr>
          </w:p>
        </w:tc>
        <w:tc>
          <w:tcPr>
            <w:tcW w:w="1055" w:type="dxa"/>
          </w:tcPr>
          <w:p w:rsidR="00000000" w:rsidRDefault="00000000">
            <w:pPr>
              <w:pStyle w:val="Heading1"/>
              <w:rPr>
                <w:b w:val="0"/>
              </w:rPr>
            </w:pPr>
            <w:r>
              <w:rPr>
                <w:b w:val="0"/>
              </w:rPr>
              <w:t>Nombre</w:t>
            </w:r>
          </w:p>
        </w:tc>
        <w:tc>
          <w:tcPr>
            <w:tcW w:w="1055" w:type="dxa"/>
          </w:tcPr>
          <w:p w:rsidR="00000000" w:rsidRDefault="00000000">
            <w:pPr>
              <w:pStyle w:val="Heading1"/>
              <w:rPr>
                <w:b w:val="0"/>
              </w:rPr>
            </w:pPr>
            <w:r>
              <w:rPr>
                <w:b w:val="0"/>
              </w:rPr>
              <w:t>%</w:t>
            </w:r>
          </w:p>
        </w:tc>
        <w:tc>
          <w:tcPr>
            <w:tcW w:w="1055" w:type="dxa"/>
          </w:tcPr>
          <w:p w:rsidR="00000000" w:rsidRDefault="00000000">
            <w:pPr>
              <w:pStyle w:val="Heading1"/>
              <w:rPr>
                <w:b w:val="0"/>
              </w:rPr>
            </w:pPr>
            <w:r>
              <w:rPr>
                <w:b w:val="0"/>
              </w:rPr>
              <w:t>Nombre</w:t>
            </w:r>
          </w:p>
        </w:tc>
        <w:tc>
          <w:tcPr>
            <w:tcW w:w="1055" w:type="dxa"/>
          </w:tcPr>
          <w:p w:rsidR="00000000" w:rsidRDefault="00000000">
            <w:pPr>
              <w:pStyle w:val="Heading1"/>
              <w:rPr>
                <w:b w:val="0"/>
              </w:rPr>
            </w:pPr>
            <w:r>
              <w:rPr>
                <w:b w:val="0"/>
              </w:rPr>
              <w:t>%</w:t>
            </w:r>
          </w:p>
        </w:tc>
      </w:tr>
      <w:tr w:rsidR="00000000">
        <w:tblPrEx>
          <w:tblCellMar>
            <w:top w:w="0" w:type="dxa"/>
            <w:bottom w:w="0" w:type="dxa"/>
          </w:tblCellMar>
        </w:tblPrEx>
        <w:tc>
          <w:tcPr>
            <w:tcW w:w="2480" w:type="dxa"/>
          </w:tcPr>
          <w:p w:rsidR="00000000" w:rsidRDefault="00000000">
            <w:pPr>
              <w:pStyle w:val="Heading1"/>
              <w:rPr>
                <w:b w:val="0"/>
              </w:rPr>
            </w:pPr>
            <w:r>
              <w:rPr>
                <w:b w:val="0"/>
              </w:rPr>
              <w:t>14/6/59</w:t>
            </w:r>
          </w:p>
        </w:tc>
        <w:tc>
          <w:tcPr>
            <w:tcW w:w="3119" w:type="dxa"/>
          </w:tcPr>
          <w:p w:rsidR="00000000" w:rsidRDefault="00000000">
            <w:pPr>
              <w:pStyle w:val="Heading1"/>
              <w:jc w:val="right"/>
              <w:rPr>
                <w:b w:val="0"/>
              </w:rPr>
            </w:pPr>
            <w:r>
              <w:rPr>
                <w:b w:val="0"/>
              </w:rPr>
              <w:t>61</w:t>
            </w:r>
          </w:p>
        </w:tc>
        <w:tc>
          <w:tcPr>
            <w:tcW w:w="1055" w:type="dxa"/>
          </w:tcPr>
          <w:p w:rsidR="00000000" w:rsidRDefault="00000000">
            <w:pPr>
              <w:pStyle w:val="Heading1"/>
              <w:jc w:val="right"/>
              <w:rPr>
                <w:b w:val="0"/>
              </w:rPr>
            </w:pPr>
            <w:r>
              <w:rPr>
                <w:b w:val="0"/>
              </w:rPr>
              <w:t>61</w:t>
            </w:r>
          </w:p>
        </w:tc>
        <w:tc>
          <w:tcPr>
            <w:tcW w:w="1055" w:type="dxa"/>
          </w:tcPr>
          <w:p w:rsidR="00000000" w:rsidRDefault="00000000">
            <w:pPr>
              <w:pStyle w:val="Heading1"/>
              <w:jc w:val="right"/>
              <w:rPr>
                <w:b w:val="0"/>
              </w:rPr>
            </w:pPr>
            <w:r>
              <w:rPr>
                <w:b w:val="0"/>
              </w:rPr>
              <w:t>100</w:t>
            </w:r>
          </w:p>
        </w:tc>
        <w:tc>
          <w:tcPr>
            <w:tcW w:w="1055" w:type="dxa"/>
          </w:tcPr>
          <w:p w:rsidR="00000000" w:rsidRDefault="00000000">
            <w:pPr>
              <w:pStyle w:val="Heading1"/>
              <w:jc w:val="right"/>
              <w:rPr>
                <w:b w:val="0"/>
              </w:rPr>
            </w:pPr>
            <w:r>
              <w:rPr>
                <w:b w:val="0"/>
              </w:rPr>
              <w:t>0</w:t>
            </w:r>
          </w:p>
        </w:tc>
        <w:tc>
          <w:tcPr>
            <w:tcW w:w="1055" w:type="dxa"/>
          </w:tcPr>
          <w:p w:rsidR="00000000" w:rsidRDefault="00000000">
            <w:pPr>
              <w:pStyle w:val="Heading1"/>
              <w:jc w:val="right"/>
              <w:rPr>
                <w:b w:val="0"/>
              </w:rPr>
            </w:pPr>
            <w:r>
              <w:rPr>
                <w:b w:val="0"/>
              </w:rPr>
              <w:t>0</w:t>
            </w:r>
          </w:p>
        </w:tc>
      </w:tr>
      <w:tr w:rsidR="00000000">
        <w:tblPrEx>
          <w:tblCellMar>
            <w:top w:w="0" w:type="dxa"/>
            <w:bottom w:w="0" w:type="dxa"/>
          </w:tblCellMar>
        </w:tblPrEx>
        <w:tc>
          <w:tcPr>
            <w:tcW w:w="2480" w:type="dxa"/>
          </w:tcPr>
          <w:p w:rsidR="00000000" w:rsidRDefault="00000000">
            <w:pPr>
              <w:pStyle w:val="Heading1"/>
              <w:rPr>
                <w:b w:val="0"/>
              </w:rPr>
            </w:pPr>
            <w:r>
              <w:rPr>
                <w:b w:val="0"/>
              </w:rPr>
              <w:t>8/12/63</w:t>
            </w:r>
          </w:p>
        </w:tc>
        <w:tc>
          <w:tcPr>
            <w:tcW w:w="3119" w:type="dxa"/>
          </w:tcPr>
          <w:p w:rsidR="00000000" w:rsidRDefault="00000000">
            <w:pPr>
              <w:pStyle w:val="Heading1"/>
              <w:jc w:val="right"/>
              <w:rPr>
                <w:b w:val="0"/>
              </w:rPr>
            </w:pPr>
            <w:r>
              <w:rPr>
                <w:b w:val="0"/>
              </w:rPr>
              <w:t>55</w:t>
            </w:r>
          </w:p>
        </w:tc>
        <w:tc>
          <w:tcPr>
            <w:tcW w:w="1055" w:type="dxa"/>
          </w:tcPr>
          <w:p w:rsidR="00000000" w:rsidRDefault="00000000">
            <w:pPr>
              <w:pStyle w:val="Heading1"/>
              <w:jc w:val="right"/>
              <w:rPr>
                <w:b w:val="0"/>
              </w:rPr>
            </w:pPr>
            <w:r>
              <w:rPr>
                <w:b w:val="0"/>
              </w:rPr>
              <w:t>52</w:t>
            </w:r>
          </w:p>
        </w:tc>
        <w:tc>
          <w:tcPr>
            <w:tcW w:w="1055" w:type="dxa"/>
          </w:tcPr>
          <w:p w:rsidR="00000000" w:rsidRDefault="00000000">
            <w:pPr>
              <w:pStyle w:val="Heading1"/>
              <w:jc w:val="right"/>
              <w:rPr>
                <w:b w:val="0"/>
              </w:rPr>
            </w:pPr>
            <w:r>
              <w:rPr>
                <w:b w:val="0"/>
              </w:rPr>
              <w:t>94,6</w:t>
            </w:r>
          </w:p>
        </w:tc>
        <w:tc>
          <w:tcPr>
            <w:tcW w:w="1055" w:type="dxa"/>
          </w:tcPr>
          <w:p w:rsidR="00000000" w:rsidRDefault="00000000">
            <w:pPr>
              <w:pStyle w:val="Heading1"/>
              <w:jc w:val="right"/>
              <w:rPr>
                <w:b w:val="0"/>
              </w:rPr>
            </w:pPr>
            <w:r>
              <w:rPr>
                <w:b w:val="0"/>
              </w:rPr>
              <w:t>03</w:t>
            </w:r>
          </w:p>
        </w:tc>
        <w:tc>
          <w:tcPr>
            <w:tcW w:w="1055" w:type="dxa"/>
          </w:tcPr>
          <w:p w:rsidR="00000000" w:rsidRDefault="00000000">
            <w:pPr>
              <w:pStyle w:val="Heading1"/>
              <w:jc w:val="right"/>
              <w:rPr>
                <w:b w:val="0"/>
              </w:rPr>
            </w:pPr>
            <w:r>
              <w:rPr>
                <w:b w:val="0"/>
              </w:rPr>
              <w:t>5,4</w:t>
            </w:r>
          </w:p>
        </w:tc>
      </w:tr>
      <w:tr w:rsidR="00000000">
        <w:tblPrEx>
          <w:tblCellMar>
            <w:top w:w="0" w:type="dxa"/>
            <w:bottom w:w="0" w:type="dxa"/>
          </w:tblCellMar>
        </w:tblPrEx>
        <w:tc>
          <w:tcPr>
            <w:tcW w:w="2480" w:type="dxa"/>
          </w:tcPr>
          <w:p w:rsidR="00000000" w:rsidRDefault="00000000">
            <w:pPr>
              <w:pStyle w:val="Heading1"/>
              <w:rPr>
                <w:b w:val="0"/>
              </w:rPr>
            </w:pPr>
            <w:r>
              <w:rPr>
                <w:b w:val="0"/>
              </w:rPr>
              <w:t>24/6/73</w:t>
            </w:r>
          </w:p>
        </w:tc>
        <w:tc>
          <w:tcPr>
            <w:tcW w:w="3119" w:type="dxa"/>
          </w:tcPr>
          <w:p w:rsidR="00000000" w:rsidRDefault="00000000">
            <w:pPr>
              <w:pStyle w:val="Heading1"/>
              <w:jc w:val="right"/>
              <w:rPr>
                <w:b w:val="0"/>
              </w:rPr>
            </w:pPr>
            <w:r>
              <w:rPr>
                <w:b w:val="0"/>
              </w:rPr>
              <w:t>125</w:t>
            </w:r>
          </w:p>
        </w:tc>
        <w:tc>
          <w:tcPr>
            <w:tcW w:w="1055" w:type="dxa"/>
          </w:tcPr>
          <w:p w:rsidR="00000000" w:rsidRDefault="00000000">
            <w:pPr>
              <w:pStyle w:val="Heading1"/>
              <w:jc w:val="right"/>
              <w:rPr>
                <w:b w:val="0"/>
              </w:rPr>
            </w:pPr>
            <w:r>
              <w:rPr>
                <w:b w:val="0"/>
              </w:rPr>
              <w:t>111</w:t>
            </w:r>
          </w:p>
        </w:tc>
        <w:tc>
          <w:tcPr>
            <w:tcW w:w="1055" w:type="dxa"/>
          </w:tcPr>
          <w:p w:rsidR="00000000" w:rsidRDefault="00000000">
            <w:pPr>
              <w:pStyle w:val="Heading1"/>
              <w:jc w:val="right"/>
              <w:rPr>
                <w:b w:val="0"/>
              </w:rPr>
            </w:pPr>
            <w:r>
              <w:rPr>
                <w:b w:val="0"/>
              </w:rPr>
              <w:t>88,8</w:t>
            </w:r>
          </w:p>
        </w:tc>
        <w:tc>
          <w:tcPr>
            <w:tcW w:w="1055" w:type="dxa"/>
          </w:tcPr>
          <w:p w:rsidR="00000000" w:rsidRDefault="00000000">
            <w:pPr>
              <w:pStyle w:val="Heading1"/>
              <w:jc w:val="right"/>
              <w:rPr>
                <w:b w:val="0"/>
              </w:rPr>
            </w:pPr>
            <w:r>
              <w:rPr>
                <w:b w:val="0"/>
              </w:rPr>
              <w:t>14</w:t>
            </w:r>
          </w:p>
        </w:tc>
        <w:tc>
          <w:tcPr>
            <w:tcW w:w="1055" w:type="dxa"/>
          </w:tcPr>
          <w:p w:rsidR="00000000" w:rsidRDefault="00000000">
            <w:pPr>
              <w:pStyle w:val="Heading1"/>
              <w:jc w:val="right"/>
              <w:rPr>
                <w:b w:val="0"/>
              </w:rPr>
            </w:pPr>
            <w:r>
              <w:rPr>
                <w:b w:val="0"/>
              </w:rPr>
              <w:t>11,2</w:t>
            </w:r>
          </w:p>
        </w:tc>
      </w:tr>
      <w:tr w:rsidR="00000000">
        <w:tblPrEx>
          <w:tblCellMar>
            <w:top w:w="0" w:type="dxa"/>
            <w:bottom w:w="0" w:type="dxa"/>
          </w:tblCellMar>
        </w:tblPrEx>
        <w:tc>
          <w:tcPr>
            <w:tcW w:w="2480" w:type="dxa"/>
          </w:tcPr>
          <w:p w:rsidR="00000000" w:rsidRDefault="00000000">
            <w:pPr>
              <w:pStyle w:val="Heading1"/>
              <w:rPr>
                <w:b w:val="0"/>
              </w:rPr>
            </w:pPr>
            <w:r>
              <w:rPr>
                <w:b w:val="0"/>
              </w:rPr>
              <w:t>8/8/79</w:t>
            </w:r>
          </w:p>
        </w:tc>
        <w:tc>
          <w:tcPr>
            <w:tcW w:w="3119" w:type="dxa"/>
          </w:tcPr>
          <w:p w:rsidR="00000000" w:rsidRDefault="00000000">
            <w:pPr>
              <w:pStyle w:val="Heading1"/>
              <w:jc w:val="right"/>
              <w:rPr>
                <w:b w:val="0"/>
              </w:rPr>
            </w:pPr>
            <w:r>
              <w:rPr>
                <w:b w:val="0"/>
              </w:rPr>
              <w:t>152</w:t>
            </w:r>
          </w:p>
        </w:tc>
        <w:tc>
          <w:tcPr>
            <w:tcW w:w="1055" w:type="dxa"/>
          </w:tcPr>
          <w:p w:rsidR="00000000" w:rsidRDefault="00000000">
            <w:pPr>
              <w:pStyle w:val="Heading1"/>
              <w:jc w:val="right"/>
              <w:rPr>
                <w:b w:val="0"/>
              </w:rPr>
            </w:pPr>
            <w:r>
              <w:rPr>
                <w:b w:val="0"/>
              </w:rPr>
              <w:t>139</w:t>
            </w:r>
          </w:p>
        </w:tc>
        <w:tc>
          <w:tcPr>
            <w:tcW w:w="1055" w:type="dxa"/>
          </w:tcPr>
          <w:p w:rsidR="00000000" w:rsidRDefault="00000000">
            <w:pPr>
              <w:pStyle w:val="Heading1"/>
              <w:jc w:val="right"/>
              <w:rPr>
                <w:b w:val="0"/>
              </w:rPr>
            </w:pPr>
            <w:r>
              <w:rPr>
                <w:b w:val="0"/>
              </w:rPr>
              <w:t>91,4</w:t>
            </w:r>
          </w:p>
        </w:tc>
        <w:tc>
          <w:tcPr>
            <w:tcW w:w="1055" w:type="dxa"/>
          </w:tcPr>
          <w:p w:rsidR="00000000" w:rsidRDefault="00000000">
            <w:pPr>
              <w:pStyle w:val="Heading1"/>
              <w:jc w:val="right"/>
              <w:rPr>
                <w:b w:val="0"/>
              </w:rPr>
            </w:pPr>
            <w:r>
              <w:rPr>
                <w:b w:val="0"/>
              </w:rPr>
              <w:t>13</w:t>
            </w:r>
          </w:p>
        </w:tc>
        <w:tc>
          <w:tcPr>
            <w:tcW w:w="1055" w:type="dxa"/>
          </w:tcPr>
          <w:p w:rsidR="00000000" w:rsidRDefault="00000000">
            <w:pPr>
              <w:pStyle w:val="Heading1"/>
              <w:jc w:val="right"/>
              <w:rPr>
                <w:b w:val="0"/>
              </w:rPr>
            </w:pPr>
            <w:r>
              <w:rPr>
                <w:b w:val="0"/>
              </w:rPr>
              <w:t>9,1</w:t>
            </w:r>
          </w:p>
        </w:tc>
      </w:tr>
      <w:tr w:rsidR="00000000">
        <w:tblPrEx>
          <w:tblCellMar>
            <w:top w:w="0" w:type="dxa"/>
            <w:bottom w:w="0" w:type="dxa"/>
          </w:tblCellMar>
        </w:tblPrEx>
        <w:tc>
          <w:tcPr>
            <w:tcW w:w="2480" w:type="dxa"/>
          </w:tcPr>
          <w:p w:rsidR="00000000" w:rsidRDefault="00000000">
            <w:pPr>
              <w:pStyle w:val="Heading1"/>
              <w:rPr>
                <w:b w:val="0"/>
              </w:rPr>
            </w:pPr>
            <w:r>
              <w:rPr>
                <w:b w:val="0"/>
              </w:rPr>
              <w:t>23/9/84</w:t>
            </w:r>
          </w:p>
        </w:tc>
        <w:tc>
          <w:tcPr>
            <w:tcW w:w="3119" w:type="dxa"/>
          </w:tcPr>
          <w:p w:rsidR="00000000" w:rsidRDefault="00000000">
            <w:pPr>
              <w:pStyle w:val="Heading1"/>
              <w:jc w:val="right"/>
              <w:rPr>
                <w:b w:val="0"/>
              </w:rPr>
            </w:pPr>
            <w:r>
              <w:rPr>
                <w:b w:val="0"/>
              </w:rPr>
              <w:t>153</w:t>
            </w:r>
          </w:p>
        </w:tc>
        <w:tc>
          <w:tcPr>
            <w:tcW w:w="1055" w:type="dxa"/>
          </w:tcPr>
          <w:p w:rsidR="00000000" w:rsidRDefault="00000000">
            <w:pPr>
              <w:pStyle w:val="Heading1"/>
              <w:jc w:val="right"/>
              <w:rPr>
                <w:b w:val="0"/>
              </w:rPr>
            </w:pPr>
            <w:r>
              <w:rPr>
                <w:b w:val="0"/>
              </w:rPr>
              <w:t>138</w:t>
            </w:r>
          </w:p>
        </w:tc>
        <w:tc>
          <w:tcPr>
            <w:tcW w:w="1055" w:type="dxa"/>
          </w:tcPr>
          <w:p w:rsidR="00000000" w:rsidRDefault="00000000">
            <w:pPr>
              <w:pStyle w:val="Heading1"/>
              <w:jc w:val="right"/>
              <w:rPr>
                <w:b w:val="0"/>
              </w:rPr>
            </w:pPr>
            <w:r>
              <w:rPr>
                <w:b w:val="0"/>
              </w:rPr>
              <w:t>90,1</w:t>
            </w:r>
          </w:p>
        </w:tc>
        <w:tc>
          <w:tcPr>
            <w:tcW w:w="1055" w:type="dxa"/>
          </w:tcPr>
          <w:p w:rsidR="00000000" w:rsidRDefault="00000000">
            <w:pPr>
              <w:pStyle w:val="Heading1"/>
              <w:jc w:val="right"/>
              <w:rPr>
                <w:b w:val="0"/>
              </w:rPr>
            </w:pPr>
            <w:r>
              <w:rPr>
                <w:b w:val="0"/>
              </w:rPr>
              <w:t>15</w:t>
            </w:r>
          </w:p>
        </w:tc>
        <w:tc>
          <w:tcPr>
            <w:tcW w:w="1055" w:type="dxa"/>
          </w:tcPr>
          <w:p w:rsidR="00000000" w:rsidRDefault="00000000">
            <w:pPr>
              <w:pStyle w:val="Heading1"/>
              <w:jc w:val="right"/>
              <w:rPr>
                <w:b w:val="0"/>
              </w:rPr>
            </w:pPr>
            <w:r>
              <w:rPr>
                <w:b w:val="0"/>
              </w:rPr>
              <w:t>9,9</w:t>
            </w:r>
          </w:p>
        </w:tc>
      </w:tr>
      <w:tr w:rsidR="00000000">
        <w:tblPrEx>
          <w:tblCellMar>
            <w:top w:w="0" w:type="dxa"/>
            <w:bottom w:w="0" w:type="dxa"/>
          </w:tblCellMar>
        </w:tblPrEx>
        <w:tc>
          <w:tcPr>
            <w:tcW w:w="2480" w:type="dxa"/>
          </w:tcPr>
          <w:p w:rsidR="00000000" w:rsidRDefault="00000000">
            <w:pPr>
              <w:pStyle w:val="Heading1"/>
              <w:rPr>
                <w:b w:val="0"/>
              </w:rPr>
            </w:pPr>
            <w:r>
              <w:rPr>
                <w:b w:val="0"/>
              </w:rPr>
              <w:t>13/6/89</w:t>
            </w:r>
          </w:p>
        </w:tc>
        <w:tc>
          <w:tcPr>
            <w:tcW w:w="3119" w:type="dxa"/>
          </w:tcPr>
          <w:p w:rsidR="00000000" w:rsidRDefault="00000000">
            <w:pPr>
              <w:pStyle w:val="Heading1"/>
              <w:jc w:val="right"/>
              <w:rPr>
                <w:b w:val="0"/>
              </w:rPr>
            </w:pPr>
            <w:r>
              <w:rPr>
                <w:b w:val="0"/>
              </w:rPr>
              <w:t>133</w:t>
            </w:r>
          </w:p>
        </w:tc>
        <w:tc>
          <w:tcPr>
            <w:tcW w:w="1055" w:type="dxa"/>
          </w:tcPr>
          <w:p w:rsidR="00000000" w:rsidRDefault="00000000">
            <w:pPr>
              <w:pStyle w:val="Heading1"/>
              <w:jc w:val="right"/>
              <w:rPr>
                <w:b w:val="0"/>
              </w:rPr>
            </w:pPr>
            <w:r>
              <w:rPr>
                <w:b w:val="0"/>
              </w:rPr>
              <w:t>114</w:t>
            </w:r>
          </w:p>
        </w:tc>
        <w:tc>
          <w:tcPr>
            <w:tcW w:w="1055" w:type="dxa"/>
          </w:tcPr>
          <w:p w:rsidR="00000000" w:rsidRDefault="00000000">
            <w:pPr>
              <w:pStyle w:val="Heading1"/>
              <w:jc w:val="right"/>
              <w:rPr>
                <w:b w:val="0"/>
              </w:rPr>
            </w:pPr>
            <w:r>
              <w:rPr>
                <w:b w:val="0"/>
              </w:rPr>
              <w:t>85,8</w:t>
            </w:r>
          </w:p>
        </w:tc>
        <w:tc>
          <w:tcPr>
            <w:tcW w:w="1055" w:type="dxa"/>
          </w:tcPr>
          <w:p w:rsidR="00000000" w:rsidRDefault="00000000">
            <w:pPr>
              <w:pStyle w:val="Heading1"/>
              <w:jc w:val="right"/>
              <w:rPr>
                <w:b w:val="0"/>
              </w:rPr>
            </w:pPr>
            <w:r>
              <w:rPr>
                <w:b w:val="0"/>
              </w:rPr>
              <w:t>19</w:t>
            </w:r>
          </w:p>
        </w:tc>
        <w:tc>
          <w:tcPr>
            <w:tcW w:w="1055" w:type="dxa"/>
          </w:tcPr>
          <w:p w:rsidR="00000000" w:rsidRDefault="00000000">
            <w:pPr>
              <w:pStyle w:val="Heading1"/>
              <w:jc w:val="right"/>
              <w:rPr>
                <w:b w:val="0"/>
              </w:rPr>
            </w:pPr>
            <w:r>
              <w:rPr>
                <w:b w:val="0"/>
              </w:rPr>
              <w:t>14,2</w:t>
            </w:r>
          </w:p>
        </w:tc>
      </w:tr>
      <w:tr w:rsidR="00000000">
        <w:tblPrEx>
          <w:tblCellMar>
            <w:top w:w="0" w:type="dxa"/>
            <w:bottom w:w="0" w:type="dxa"/>
          </w:tblCellMar>
        </w:tblPrEx>
        <w:tc>
          <w:tcPr>
            <w:tcW w:w="2480" w:type="dxa"/>
          </w:tcPr>
          <w:p w:rsidR="00000000" w:rsidRDefault="00000000">
            <w:pPr>
              <w:pStyle w:val="Heading1"/>
              <w:rPr>
                <w:b w:val="0"/>
              </w:rPr>
            </w:pPr>
            <w:r>
              <w:rPr>
                <w:b w:val="0"/>
              </w:rPr>
              <w:t>24/9/91</w:t>
            </w:r>
          </w:p>
        </w:tc>
        <w:tc>
          <w:tcPr>
            <w:tcW w:w="3119" w:type="dxa"/>
          </w:tcPr>
          <w:p w:rsidR="00000000" w:rsidRDefault="00000000">
            <w:pPr>
              <w:pStyle w:val="Heading1"/>
              <w:jc w:val="right"/>
              <w:rPr>
                <w:b w:val="0"/>
              </w:rPr>
            </w:pPr>
            <w:r>
              <w:rPr>
                <w:b w:val="0"/>
              </w:rPr>
              <w:t>153</w:t>
            </w:r>
          </w:p>
        </w:tc>
        <w:tc>
          <w:tcPr>
            <w:tcW w:w="1055" w:type="dxa"/>
          </w:tcPr>
          <w:p w:rsidR="00000000" w:rsidRDefault="00000000">
            <w:pPr>
              <w:pStyle w:val="Heading1"/>
              <w:jc w:val="right"/>
              <w:rPr>
                <w:b w:val="0"/>
              </w:rPr>
            </w:pPr>
            <w:r>
              <w:rPr>
                <w:b w:val="0"/>
              </w:rPr>
              <w:t>141</w:t>
            </w:r>
          </w:p>
        </w:tc>
        <w:tc>
          <w:tcPr>
            <w:tcW w:w="1055" w:type="dxa"/>
          </w:tcPr>
          <w:p w:rsidR="00000000" w:rsidRDefault="00000000">
            <w:pPr>
              <w:pStyle w:val="Heading1"/>
              <w:jc w:val="right"/>
              <w:rPr>
                <w:b w:val="0"/>
              </w:rPr>
            </w:pPr>
            <w:r>
              <w:rPr>
                <w:b w:val="0"/>
              </w:rPr>
              <w:t>92,1</w:t>
            </w:r>
          </w:p>
        </w:tc>
        <w:tc>
          <w:tcPr>
            <w:tcW w:w="1055" w:type="dxa"/>
          </w:tcPr>
          <w:p w:rsidR="00000000" w:rsidRDefault="00000000">
            <w:pPr>
              <w:pStyle w:val="Heading1"/>
              <w:jc w:val="right"/>
              <w:rPr>
                <w:b w:val="0"/>
              </w:rPr>
            </w:pPr>
            <w:r>
              <w:rPr>
                <w:b w:val="0"/>
              </w:rPr>
              <w:t>12</w:t>
            </w:r>
          </w:p>
        </w:tc>
        <w:tc>
          <w:tcPr>
            <w:tcW w:w="1055" w:type="dxa"/>
          </w:tcPr>
          <w:p w:rsidR="00000000" w:rsidRDefault="00000000">
            <w:pPr>
              <w:pStyle w:val="Heading1"/>
              <w:jc w:val="right"/>
              <w:rPr>
                <w:b w:val="0"/>
              </w:rPr>
            </w:pPr>
            <w:r>
              <w:rPr>
                <w:b w:val="0"/>
              </w:rPr>
              <w:t>7,9</w:t>
            </w:r>
          </w:p>
        </w:tc>
      </w:tr>
      <w:tr w:rsidR="00000000">
        <w:tblPrEx>
          <w:tblCellMar>
            <w:top w:w="0" w:type="dxa"/>
            <w:bottom w:w="0" w:type="dxa"/>
          </w:tblCellMar>
        </w:tblPrEx>
        <w:tc>
          <w:tcPr>
            <w:tcW w:w="2480" w:type="dxa"/>
          </w:tcPr>
          <w:p w:rsidR="00000000" w:rsidRDefault="00000000">
            <w:pPr>
              <w:pStyle w:val="Heading1"/>
              <w:rPr>
                <w:b w:val="0"/>
              </w:rPr>
            </w:pPr>
            <w:r>
              <w:rPr>
                <w:b w:val="0"/>
              </w:rPr>
              <w:t>24/6/92</w:t>
            </w:r>
          </w:p>
        </w:tc>
        <w:tc>
          <w:tcPr>
            <w:tcW w:w="3119" w:type="dxa"/>
          </w:tcPr>
          <w:p w:rsidR="00000000" w:rsidRDefault="00000000">
            <w:pPr>
              <w:pStyle w:val="Heading1"/>
              <w:jc w:val="both"/>
              <w:rPr>
                <w:b w:val="0"/>
              </w:rPr>
            </w:pPr>
            <w:r>
              <w:rPr>
                <w:b w:val="0"/>
              </w:rPr>
              <w:t>SENAT                                     60</w:t>
            </w:r>
          </w:p>
        </w:tc>
        <w:tc>
          <w:tcPr>
            <w:tcW w:w="1055" w:type="dxa"/>
          </w:tcPr>
          <w:p w:rsidR="00000000" w:rsidRDefault="00000000">
            <w:pPr>
              <w:pStyle w:val="Heading1"/>
              <w:jc w:val="right"/>
              <w:rPr>
                <w:b w:val="0"/>
              </w:rPr>
            </w:pPr>
            <w:r>
              <w:rPr>
                <w:b w:val="0"/>
              </w:rPr>
              <w:t>58</w:t>
            </w:r>
          </w:p>
        </w:tc>
        <w:tc>
          <w:tcPr>
            <w:tcW w:w="1055" w:type="dxa"/>
          </w:tcPr>
          <w:p w:rsidR="00000000" w:rsidRDefault="00000000">
            <w:pPr>
              <w:pStyle w:val="Heading1"/>
              <w:jc w:val="right"/>
              <w:rPr>
                <w:b w:val="0"/>
              </w:rPr>
            </w:pPr>
            <w:r>
              <w:rPr>
                <w:b w:val="0"/>
              </w:rPr>
              <w:t>96,6</w:t>
            </w:r>
          </w:p>
        </w:tc>
        <w:tc>
          <w:tcPr>
            <w:tcW w:w="1055" w:type="dxa"/>
          </w:tcPr>
          <w:p w:rsidR="00000000" w:rsidRDefault="00000000">
            <w:pPr>
              <w:pStyle w:val="Heading1"/>
              <w:jc w:val="right"/>
              <w:rPr>
                <w:b w:val="0"/>
              </w:rPr>
            </w:pPr>
            <w:r>
              <w:rPr>
                <w:b w:val="0"/>
              </w:rPr>
              <w:t>24</w:t>
            </w:r>
          </w:p>
        </w:tc>
        <w:tc>
          <w:tcPr>
            <w:tcW w:w="1055" w:type="dxa"/>
          </w:tcPr>
          <w:p w:rsidR="00000000" w:rsidRDefault="00000000">
            <w:pPr>
              <w:pStyle w:val="Heading1"/>
              <w:jc w:val="right"/>
              <w:rPr>
                <w:b w:val="0"/>
              </w:rPr>
            </w:pPr>
            <w:r>
              <w:rPr>
                <w:b w:val="0"/>
              </w:rPr>
              <w:t>3,4</w:t>
            </w:r>
          </w:p>
        </w:tc>
      </w:tr>
      <w:tr w:rsidR="00000000">
        <w:tblPrEx>
          <w:tblCellMar>
            <w:top w:w="0" w:type="dxa"/>
            <w:bottom w:w="0" w:type="dxa"/>
          </w:tblCellMar>
        </w:tblPrEx>
        <w:tc>
          <w:tcPr>
            <w:tcW w:w="2480" w:type="dxa"/>
          </w:tcPr>
          <w:p w:rsidR="00000000" w:rsidRDefault="00000000">
            <w:pPr>
              <w:pStyle w:val="Heading1"/>
              <w:rPr>
                <w:b w:val="0"/>
              </w:rPr>
            </w:pPr>
            <w:r>
              <w:rPr>
                <w:b w:val="0"/>
              </w:rPr>
              <w:t>19/7/92</w:t>
            </w:r>
          </w:p>
        </w:tc>
        <w:tc>
          <w:tcPr>
            <w:tcW w:w="3119" w:type="dxa"/>
          </w:tcPr>
          <w:p w:rsidR="00000000" w:rsidRDefault="00000000">
            <w:pPr>
              <w:pStyle w:val="Heading1"/>
              <w:jc w:val="both"/>
              <w:rPr>
                <w:b w:val="0"/>
              </w:rPr>
            </w:pPr>
            <w:r>
              <w:rPr>
                <w:b w:val="0"/>
              </w:rPr>
              <w:t>Assemblée Nationale              125</w:t>
            </w:r>
          </w:p>
        </w:tc>
        <w:tc>
          <w:tcPr>
            <w:tcW w:w="1055" w:type="dxa"/>
          </w:tcPr>
          <w:p w:rsidR="00000000" w:rsidRDefault="00000000">
            <w:pPr>
              <w:pStyle w:val="Heading1"/>
              <w:jc w:val="right"/>
              <w:rPr>
                <w:b w:val="0"/>
              </w:rPr>
            </w:pPr>
            <w:r>
              <w:rPr>
                <w:b w:val="0"/>
              </w:rPr>
              <w:t>120</w:t>
            </w:r>
          </w:p>
        </w:tc>
        <w:tc>
          <w:tcPr>
            <w:tcW w:w="1055" w:type="dxa"/>
          </w:tcPr>
          <w:p w:rsidR="00000000" w:rsidRDefault="00000000">
            <w:pPr>
              <w:pStyle w:val="Heading1"/>
              <w:jc w:val="right"/>
              <w:rPr>
                <w:b w:val="0"/>
              </w:rPr>
            </w:pPr>
            <w:r>
              <w:rPr>
                <w:b w:val="0"/>
              </w:rPr>
              <w:t>95,9</w:t>
            </w:r>
          </w:p>
        </w:tc>
        <w:tc>
          <w:tcPr>
            <w:tcW w:w="1055" w:type="dxa"/>
          </w:tcPr>
          <w:p w:rsidR="00000000" w:rsidRDefault="00000000">
            <w:pPr>
              <w:pStyle w:val="Heading1"/>
              <w:jc w:val="right"/>
              <w:rPr>
                <w:b w:val="0"/>
              </w:rPr>
            </w:pPr>
            <w:r>
              <w:rPr>
                <w:b w:val="0"/>
              </w:rPr>
              <w:t>05</w:t>
            </w:r>
          </w:p>
        </w:tc>
        <w:tc>
          <w:tcPr>
            <w:tcW w:w="1055" w:type="dxa"/>
          </w:tcPr>
          <w:p w:rsidR="00000000" w:rsidRDefault="00000000">
            <w:pPr>
              <w:pStyle w:val="Heading1"/>
              <w:jc w:val="right"/>
              <w:rPr>
                <w:b w:val="0"/>
              </w:rPr>
            </w:pPr>
            <w:r>
              <w:rPr>
                <w:b w:val="0"/>
              </w:rPr>
              <w:t>4,1</w:t>
            </w:r>
          </w:p>
        </w:tc>
      </w:tr>
      <w:tr w:rsidR="00000000">
        <w:tblPrEx>
          <w:tblCellMar>
            <w:top w:w="0" w:type="dxa"/>
            <w:bottom w:w="0" w:type="dxa"/>
          </w:tblCellMar>
        </w:tblPrEx>
        <w:tc>
          <w:tcPr>
            <w:tcW w:w="2480" w:type="dxa"/>
          </w:tcPr>
          <w:p w:rsidR="00000000" w:rsidRDefault="00000000">
            <w:pPr>
              <w:pStyle w:val="Heading1"/>
              <w:rPr>
                <w:b w:val="0"/>
              </w:rPr>
            </w:pPr>
            <w:r>
              <w:rPr>
                <w:b w:val="0"/>
              </w:rPr>
              <w:t>14/1/98</w:t>
            </w:r>
          </w:p>
        </w:tc>
        <w:tc>
          <w:tcPr>
            <w:tcW w:w="3119" w:type="dxa"/>
          </w:tcPr>
          <w:p w:rsidR="00000000" w:rsidRDefault="00000000">
            <w:pPr>
              <w:pStyle w:val="Heading1"/>
              <w:jc w:val="both"/>
              <w:rPr>
                <w:b w:val="0"/>
              </w:rPr>
            </w:pPr>
            <w:r>
              <w:rPr>
                <w:b w:val="0"/>
              </w:rPr>
              <w:t xml:space="preserve">                                                 66</w:t>
            </w:r>
          </w:p>
        </w:tc>
        <w:tc>
          <w:tcPr>
            <w:tcW w:w="1055" w:type="dxa"/>
          </w:tcPr>
          <w:p w:rsidR="00000000" w:rsidRDefault="00000000">
            <w:pPr>
              <w:pStyle w:val="Heading1"/>
              <w:jc w:val="right"/>
              <w:rPr>
                <w:b w:val="0"/>
              </w:rPr>
            </w:pPr>
            <w:r>
              <w:rPr>
                <w:b w:val="0"/>
              </w:rPr>
              <w:t>64</w:t>
            </w:r>
          </w:p>
        </w:tc>
        <w:tc>
          <w:tcPr>
            <w:tcW w:w="1055" w:type="dxa"/>
          </w:tcPr>
          <w:p w:rsidR="00000000" w:rsidRDefault="00000000">
            <w:pPr>
              <w:pStyle w:val="Heading1"/>
              <w:jc w:val="right"/>
              <w:rPr>
                <w:b w:val="0"/>
              </w:rPr>
            </w:pPr>
            <w:r>
              <w:rPr>
                <w:b w:val="0"/>
              </w:rPr>
              <w:t>88</w:t>
            </w:r>
          </w:p>
        </w:tc>
        <w:tc>
          <w:tcPr>
            <w:tcW w:w="1055" w:type="dxa"/>
          </w:tcPr>
          <w:p w:rsidR="00000000" w:rsidRDefault="00000000">
            <w:pPr>
              <w:pStyle w:val="Heading1"/>
              <w:jc w:val="right"/>
              <w:rPr>
                <w:b w:val="0"/>
              </w:rPr>
            </w:pPr>
            <w:r>
              <w:rPr>
                <w:b w:val="0"/>
              </w:rPr>
              <w:t>09</w:t>
            </w:r>
          </w:p>
        </w:tc>
        <w:tc>
          <w:tcPr>
            <w:tcW w:w="1055" w:type="dxa"/>
          </w:tcPr>
          <w:p w:rsidR="00000000" w:rsidRDefault="00000000">
            <w:pPr>
              <w:pStyle w:val="Heading1"/>
              <w:jc w:val="right"/>
              <w:rPr>
                <w:b w:val="0"/>
              </w:rPr>
            </w:pPr>
            <w:r>
              <w:rPr>
                <w:b w:val="0"/>
              </w:rPr>
              <w:t>12</w:t>
            </w:r>
          </w:p>
        </w:tc>
      </w:tr>
    </w:tbl>
    <w:p w:rsidR="00000000" w:rsidRDefault="00000000">
      <w:pPr>
        <w:pStyle w:val="Heading1"/>
        <w:keepNext w:val="0"/>
      </w:pPr>
    </w:p>
    <w:p w:rsidR="00000000" w:rsidRDefault="00000000">
      <w:pPr>
        <w:pStyle w:val="Heading1"/>
        <w:keepNext w:val="0"/>
        <w:jc w:val="center"/>
      </w:pPr>
      <w:r>
        <w:rPr>
          <w:u w:val="single"/>
        </w:rPr>
        <w:t>Tableau n° 3</w:t>
      </w:r>
      <w:r>
        <w:t xml:space="preserve"> : répartition des conseillers régionaux </w:t>
      </w:r>
    </w:p>
    <w:p w:rsidR="00000000" w:rsidRDefault="00000000">
      <w:pPr>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6"/>
        <w:gridCol w:w="327"/>
        <w:gridCol w:w="1310"/>
        <w:gridCol w:w="654"/>
        <w:gridCol w:w="982"/>
        <w:gridCol w:w="982"/>
        <w:gridCol w:w="655"/>
        <w:gridCol w:w="1309"/>
        <w:gridCol w:w="327"/>
        <w:gridCol w:w="1637"/>
      </w:tblGrid>
      <w:tr w:rsidR="00000000">
        <w:tblPrEx>
          <w:tblCellMar>
            <w:top w:w="0" w:type="dxa"/>
            <w:bottom w:w="0" w:type="dxa"/>
          </w:tblCellMar>
        </w:tblPrEx>
        <w:trPr>
          <w:cantSplit/>
        </w:trPr>
        <w:tc>
          <w:tcPr>
            <w:tcW w:w="1963" w:type="dxa"/>
            <w:gridSpan w:val="2"/>
          </w:tcPr>
          <w:p w:rsidR="00000000" w:rsidRDefault="00000000">
            <w:pPr>
              <w:rPr>
                <w:sz w:val="22"/>
              </w:rPr>
            </w:pPr>
            <w:r>
              <w:rPr>
                <w:sz w:val="22"/>
              </w:rPr>
              <w:t xml:space="preserve">Période                  </w:t>
            </w:r>
          </w:p>
        </w:tc>
        <w:tc>
          <w:tcPr>
            <w:tcW w:w="1964" w:type="dxa"/>
            <w:gridSpan w:val="2"/>
          </w:tcPr>
          <w:p w:rsidR="00000000" w:rsidRDefault="00000000">
            <w:pPr>
              <w:rPr>
                <w:sz w:val="22"/>
              </w:rPr>
            </w:pPr>
            <w:r>
              <w:rPr>
                <w:sz w:val="22"/>
              </w:rPr>
              <w:t>Total</w:t>
            </w:r>
          </w:p>
        </w:tc>
        <w:tc>
          <w:tcPr>
            <w:tcW w:w="1964" w:type="dxa"/>
            <w:gridSpan w:val="2"/>
          </w:tcPr>
          <w:p w:rsidR="00000000" w:rsidRDefault="00000000">
            <w:pPr>
              <w:rPr>
                <w:sz w:val="22"/>
              </w:rPr>
            </w:pPr>
            <w:r>
              <w:rPr>
                <w:sz w:val="22"/>
              </w:rPr>
              <w:t xml:space="preserve">  Hommes         </w:t>
            </w:r>
          </w:p>
        </w:tc>
        <w:tc>
          <w:tcPr>
            <w:tcW w:w="1964" w:type="dxa"/>
            <w:gridSpan w:val="2"/>
          </w:tcPr>
          <w:p w:rsidR="00000000" w:rsidRDefault="00000000">
            <w:pPr>
              <w:rPr>
                <w:sz w:val="22"/>
              </w:rPr>
            </w:pPr>
            <w:r>
              <w:rPr>
                <w:sz w:val="22"/>
              </w:rPr>
              <w:t xml:space="preserve">      Femmes </w:t>
            </w:r>
          </w:p>
        </w:tc>
        <w:tc>
          <w:tcPr>
            <w:tcW w:w="1964" w:type="dxa"/>
            <w:gridSpan w:val="2"/>
          </w:tcPr>
          <w:p w:rsidR="00000000" w:rsidRDefault="00000000">
            <w:pPr>
              <w:rPr>
                <w:sz w:val="22"/>
              </w:rPr>
            </w:pPr>
          </w:p>
        </w:tc>
      </w:tr>
      <w:tr w:rsidR="00000000">
        <w:tblPrEx>
          <w:tblCellMar>
            <w:top w:w="0" w:type="dxa"/>
            <w:bottom w:w="0" w:type="dxa"/>
          </w:tblCellMar>
        </w:tblPrEx>
        <w:trPr>
          <w:cantSplit/>
        </w:trPr>
        <w:tc>
          <w:tcPr>
            <w:tcW w:w="1636" w:type="dxa"/>
          </w:tcPr>
          <w:p w:rsidR="00000000" w:rsidRDefault="00000000">
            <w:pPr>
              <w:rPr>
                <w:sz w:val="22"/>
              </w:rPr>
            </w:pPr>
            <w:r>
              <w:rPr>
                <w:sz w:val="22"/>
              </w:rPr>
              <w:t>1979-1984</w:t>
            </w:r>
          </w:p>
        </w:tc>
        <w:tc>
          <w:tcPr>
            <w:tcW w:w="1637" w:type="dxa"/>
            <w:gridSpan w:val="2"/>
          </w:tcPr>
          <w:p w:rsidR="00000000" w:rsidRDefault="00000000">
            <w:pPr>
              <w:rPr>
                <w:sz w:val="22"/>
              </w:rPr>
            </w:pPr>
          </w:p>
        </w:tc>
        <w:tc>
          <w:tcPr>
            <w:tcW w:w="1636" w:type="dxa"/>
            <w:gridSpan w:val="2"/>
          </w:tcPr>
          <w:p w:rsidR="00000000" w:rsidRDefault="00000000">
            <w:pPr>
              <w:rPr>
                <w:sz w:val="22"/>
              </w:rPr>
            </w:pPr>
            <w:r>
              <w:rPr>
                <w:sz w:val="22"/>
              </w:rPr>
              <w:t xml:space="preserve">Nombre </w:t>
            </w:r>
          </w:p>
        </w:tc>
        <w:tc>
          <w:tcPr>
            <w:tcW w:w="1637" w:type="dxa"/>
            <w:gridSpan w:val="2"/>
          </w:tcPr>
          <w:p w:rsidR="00000000" w:rsidRDefault="00000000">
            <w:pPr>
              <w:rPr>
                <w:sz w:val="22"/>
              </w:rPr>
            </w:pPr>
            <w:r>
              <w:rPr>
                <w:sz w:val="22"/>
              </w:rPr>
              <w:t xml:space="preserve">%   </w:t>
            </w:r>
          </w:p>
        </w:tc>
        <w:tc>
          <w:tcPr>
            <w:tcW w:w="1636" w:type="dxa"/>
            <w:gridSpan w:val="2"/>
          </w:tcPr>
          <w:p w:rsidR="00000000" w:rsidRDefault="00000000">
            <w:pPr>
              <w:rPr>
                <w:sz w:val="22"/>
              </w:rPr>
            </w:pPr>
            <w:r>
              <w:rPr>
                <w:sz w:val="22"/>
              </w:rPr>
              <w:t xml:space="preserve">       Nombre </w:t>
            </w:r>
          </w:p>
        </w:tc>
        <w:tc>
          <w:tcPr>
            <w:tcW w:w="1637" w:type="dxa"/>
          </w:tcPr>
          <w:p w:rsidR="00000000" w:rsidRDefault="00000000">
            <w:pPr>
              <w:rPr>
                <w:sz w:val="22"/>
              </w:rPr>
            </w:pPr>
            <w:r>
              <w:rPr>
                <w:sz w:val="22"/>
              </w:rPr>
              <w:t>%</w:t>
            </w:r>
          </w:p>
        </w:tc>
      </w:tr>
      <w:tr w:rsidR="00000000">
        <w:tblPrEx>
          <w:tblCellMar>
            <w:top w:w="0" w:type="dxa"/>
            <w:bottom w:w="0" w:type="dxa"/>
          </w:tblCellMar>
        </w:tblPrEx>
        <w:trPr>
          <w:cantSplit/>
        </w:trPr>
        <w:tc>
          <w:tcPr>
            <w:tcW w:w="1636" w:type="dxa"/>
          </w:tcPr>
          <w:p w:rsidR="00000000" w:rsidRDefault="00000000">
            <w:pPr>
              <w:rPr>
                <w:sz w:val="22"/>
              </w:rPr>
            </w:pPr>
          </w:p>
        </w:tc>
        <w:tc>
          <w:tcPr>
            <w:tcW w:w="1637" w:type="dxa"/>
            <w:gridSpan w:val="2"/>
          </w:tcPr>
          <w:p w:rsidR="00000000" w:rsidRDefault="00000000">
            <w:pPr>
              <w:jc w:val="right"/>
              <w:rPr>
                <w:sz w:val="22"/>
              </w:rPr>
            </w:pPr>
            <w:r>
              <w:rPr>
                <w:sz w:val="22"/>
              </w:rPr>
              <w:t>486</w:t>
            </w:r>
          </w:p>
        </w:tc>
        <w:tc>
          <w:tcPr>
            <w:tcW w:w="1636" w:type="dxa"/>
            <w:gridSpan w:val="2"/>
          </w:tcPr>
          <w:p w:rsidR="00000000" w:rsidRDefault="00000000">
            <w:pPr>
              <w:jc w:val="right"/>
              <w:rPr>
                <w:sz w:val="22"/>
              </w:rPr>
            </w:pPr>
            <w:r>
              <w:rPr>
                <w:sz w:val="22"/>
              </w:rPr>
              <w:t>431</w:t>
            </w:r>
          </w:p>
        </w:tc>
        <w:tc>
          <w:tcPr>
            <w:tcW w:w="1637" w:type="dxa"/>
            <w:gridSpan w:val="2"/>
          </w:tcPr>
          <w:p w:rsidR="00000000" w:rsidRDefault="00000000">
            <w:pPr>
              <w:jc w:val="right"/>
              <w:rPr>
                <w:sz w:val="22"/>
              </w:rPr>
            </w:pPr>
            <w:r>
              <w:rPr>
                <w:sz w:val="22"/>
              </w:rPr>
              <w:t>84,7</w:t>
            </w:r>
          </w:p>
        </w:tc>
        <w:tc>
          <w:tcPr>
            <w:tcW w:w="1636" w:type="dxa"/>
            <w:gridSpan w:val="2"/>
          </w:tcPr>
          <w:p w:rsidR="00000000" w:rsidRDefault="00000000">
            <w:pPr>
              <w:jc w:val="right"/>
              <w:rPr>
                <w:sz w:val="22"/>
              </w:rPr>
            </w:pPr>
            <w:r>
              <w:rPr>
                <w:sz w:val="22"/>
              </w:rPr>
              <w:t>55</w:t>
            </w:r>
          </w:p>
        </w:tc>
        <w:tc>
          <w:tcPr>
            <w:tcW w:w="1637" w:type="dxa"/>
          </w:tcPr>
          <w:p w:rsidR="00000000" w:rsidRDefault="00000000">
            <w:pPr>
              <w:jc w:val="right"/>
              <w:rPr>
                <w:sz w:val="22"/>
              </w:rPr>
            </w:pPr>
            <w:r>
              <w:rPr>
                <w:sz w:val="22"/>
              </w:rPr>
              <w:t>11,3</w:t>
            </w:r>
          </w:p>
        </w:tc>
      </w:tr>
      <w:tr w:rsidR="00000000">
        <w:tblPrEx>
          <w:tblCellMar>
            <w:top w:w="0" w:type="dxa"/>
            <w:bottom w:w="0" w:type="dxa"/>
          </w:tblCellMar>
        </w:tblPrEx>
        <w:trPr>
          <w:cantSplit/>
        </w:trPr>
        <w:tc>
          <w:tcPr>
            <w:tcW w:w="1636" w:type="dxa"/>
          </w:tcPr>
          <w:p w:rsidR="00000000" w:rsidRDefault="00000000">
            <w:pPr>
              <w:rPr>
                <w:sz w:val="22"/>
              </w:rPr>
            </w:pPr>
            <w:r>
              <w:rPr>
                <w:sz w:val="22"/>
              </w:rPr>
              <w:t>1984-1989</w:t>
            </w:r>
          </w:p>
        </w:tc>
        <w:tc>
          <w:tcPr>
            <w:tcW w:w="1637" w:type="dxa"/>
            <w:gridSpan w:val="2"/>
          </w:tcPr>
          <w:p w:rsidR="00000000" w:rsidRDefault="00000000">
            <w:pPr>
              <w:jc w:val="right"/>
              <w:rPr>
                <w:sz w:val="22"/>
              </w:rPr>
            </w:pPr>
            <w:r>
              <w:rPr>
                <w:sz w:val="22"/>
              </w:rPr>
              <w:t>555</w:t>
            </w:r>
          </w:p>
        </w:tc>
        <w:tc>
          <w:tcPr>
            <w:tcW w:w="1636" w:type="dxa"/>
            <w:gridSpan w:val="2"/>
          </w:tcPr>
          <w:p w:rsidR="00000000" w:rsidRDefault="00000000">
            <w:pPr>
              <w:jc w:val="right"/>
              <w:rPr>
                <w:sz w:val="22"/>
              </w:rPr>
            </w:pPr>
            <w:r>
              <w:rPr>
                <w:sz w:val="22"/>
              </w:rPr>
              <w:t>506</w:t>
            </w:r>
          </w:p>
        </w:tc>
        <w:tc>
          <w:tcPr>
            <w:tcW w:w="1637" w:type="dxa"/>
            <w:gridSpan w:val="2"/>
          </w:tcPr>
          <w:p w:rsidR="00000000" w:rsidRDefault="00000000">
            <w:pPr>
              <w:jc w:val="right"/>
              <w:rPr>
                <w:sz w:val="22"/>
              </w:rPr>
            </w:pPr>
            <w:r>
              <w:rPr>
                <w:sz w:val="22"/>
              </w:rPr>
              <w:t>91,2</w:t>
            </w:r>
          </w:p>
        </w:tc>
        <w:tc>
          <w:tcPr>
            <w:tcW w:w="1636" w:type="dxa"/>
            <w:gridSpan w:val="2"/>
          </w:tcPr>
          <w:p w:rsidR="00000000" w:rsidRDefault="00000000">
            <w:pPr>
              <w:jc w:val="right"/>
              <w:rPr>
                <w:sz w:val="22"/>
              </w:rPr>
            </w:pPr>
            <w:r>
              <w:rPr>
                <w:sz w:val="22"/>
              </w:rPr>
              <w:t xml:space="preserve">        49</w:t>
            </w:r>
          </w:p>
        </w:tc>
        <w:tc>
          <w:tcPr>
            <w:tcW w:w="1637" w:type="dxa"/>
          </w:tcPr>
          <w:p w:rsidR="00000000" w:rsidRDefault="00000000">
            <w:pPr>
              <w:jc w:val="right"/>
              <w:rPr>
                <w:sz w:val="22"/>
              </w:rPr>
            </w:pPr>
            <w:r>
              <w:rPr>
                <w:sz w:val="22"/>
              </w:rPr>
              <w:t>8,8</w:t>
            </w:r>
          </w:p>
        </w:tc>
      </w:tr>
      <w:tr w:rsidR="00000000">
        <w:tblPrEx>
          <w:tblCellMar>
            <w:top w:w="0" w:type="dxa"/>
            <w:bottom w:w="0" w:type="dxa"/>
          </w:tblCellMar>
        </w:tblPrEx>
        <w:trPr>
          <w:cantSplit/>
        </w:trPr>
        <w:tc>
          <w:tcPr>
            <w:tcW w:w="1636" w:type="dxa"/>
          </w:tcPr>
          <w:p w:rsidR="00000000" w:rsidRDefault="00000000">
            <w:pPr>
              <w:rPr>
                <w:sz w:val="22"/>
              </w:rPr>
            </w:pPr>
            <w:r>
              <w:rPr>
                <w:sz w:val="22"/>
              </w:rPr>
              <w:t>1992</w:t>
            </w:r>
          </w:p>
        </w:tc>
        <w:tc>
          <w:tcPr>
            <w:tcW w:w="1637" w:type="dxa"/>
            <w:gridSpan w:val="2"/>
          </w:tcPr>
          <w:p w:rsidR="00000000" w:rsidRDefault="00000000">
            <w:pPr>
              <w:jc w:val="right"/>
              <w:rPr>
                <w:sz w:val="22"/>
              </w:rPr>
            </w:pPr>
            <w:r>
              <w:rPr>
                <w:sz w:val="22"/>
              </w:rPr>
              <w:t>426</w:t>
            </w:r>
          </w:p>
        </w:tc>
        <w:tc>
          <w:tcPr>
            <w:tcW w:w="1636" w:type="dxa"/>
            <w:gridSpan w:val="2"/>
          </w:tcPr>
          <w:p w:rsidR="00000000" w:rsidRDefault="00000000">
            <w:pPr>
              <w:jc w:val="right"/>
              <w:rPr>
                <w:sz w:val="22"/>
              </w:rPr>
            </w:pPr>
            <w:r>
              <w:rPr>
                <w:sz w:val="22"/>
              </w:rPr>
              <w:t>411</w:t>
            </w:r>
          </w:p>
        </w:tc>
        <w:tc>
          <w:tcPr>
            <w:tcW w:w="1637" w:type="dxa"/>
            <w:gridSpan w:val="2"/>
          </w:tcPr>
          <w:p w:rsidR="00000000" w:rsidRDefault="00000000">
            <w:pPr>
              <w:jc w:val="right"/>
              <w:rPr>
                <w:sz w:val="22"/>
              </w:rPr>
            </w:pPr>
            <w:r>
              <w:rPr>
                <w:sz w:val="22"/>
              </w:rPr>
              <w:t>96,5</w:t>
            </w:r>
          </w:p>
        </w:tc>
        <w:tc>
          <w:tcPr>
            <w:tcW w:w="1636" w:type="dxa"/>
            <w:gridSpan w:val="2"/>
          </w:tcPr>
          <w:p w:rsidR="00000000" w:rsidRDefault="00000000">
            <w:pPr>
              <w:jc w:val="right"/>
              <w:rPr>
                <w:sz w:val="22"/>
              </w:rPr>
            </w:pPr>
            <w:r>
              <w:rPr>
                <w:sz w:val="22"/>
              </w:rPr>
              <w:t xml:space="preserve">        15</w:t>
            </w:r>
          </w:p>
        </w:tc>
        <w:tc>
          <w:tcPr>
            <w:tcW w:w="1637" w:type="dxa"/>
          </w:tcPr>
          <w:p w:rsidR="00000000" w:rsidRDefault="00000000">
            <w:pPr>
              <w:jc w:val="right"/>
              <w:rPr>
                <w:sz w:val="22"/>
              </w:rPr>
            </w:pPr>
            <w:r>
              <w:rPr>
                <w:sz w:val="22"/>
              </w:rPr>
              <w:t>3,5</w:t>
            </w:r>
          </w:p>
        </w:tc>
      </w:tr>
    </w:tbl>
    <w:p w:rsidR="00000000" w:rsidRDefault="00000000">
      <w:pPr>
        <w:rPr>
          <w:sz w:val="22"/>
        </w:rPr>
      </w:pPr>
    </w:p>
    <w:p w:rsidR="00000000" w:rsidRDefault="00000000">
      <w:pPr>
        <w:pStyle w:val="Heading9"/>
        <w:jc w:val="center"/>
        <w:rPr>
          <w:b/>
          <w:bCs/>
        </w:rPr>
      </w:pPr>
      <w:r>
        <w:rPr>
          <w:b/>
          <w:bCs/>
          <w:u w:val="single"/>
        </w:rPr>
        <w:t>Tableau n° 4</w:t>
      </w:r>
      <w:r>
        <w:rPr>
          <w:b/>
          <w:bCs/>
        </w:rPr>
        <w:t> : répartition des conseillers de districts et d’arrondissements</w:t>
      </w:r>
    </w:p>
    <w:p w:rsidR="00000000" w:rsidRDefault="00000000"/>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6"/>
        <w:gridCol w:w="327"/>
        <w:gridCol w:w="1310"/>
        <w:gridCol w:w="654"/>
        <w:gridCol w:w="982"/>
        <w:gridCol w:w="982"/>
        <w:gridCol w:w="655"/>
        <w:gridCol w:w="1309"/>
        <w:gridCol w:w="327"/>
        <w:gridCol w:w="1637"/>
      </w:tblGrid>
      <w:tr w:rsidR="00000000">
        <w:tblPrEx>
          <w:tblCellMar>
            <w:top w:w="0" w:type="dxa"/>
            <w:bottom w:w="0" w:type="dxa"/>
          </w:tblCellMar>
        </w:tblPrEx>
        <w:trPr>
          <w:cantSplit/>
        </w:trPr>
        <w:tc>
          <w:tcPr>
            <w:tcW w:w="1963" w:type="dxa"/>
            <w:gridSpan w:val="2"/>
          </w:tcPr>
          <w:p w:rsidR="00000000" w:rsidRDefault="00000000">
            <w:pPr>
              <w:rPr>
                <w:sz w:val="22"/>
              </w:rPr>
            </w:pPr>
            <w:r>
              <w:rPr>
                <w:sz w:val="22"/>
              </w:rPr>
              <w:t xml:space="preserve">Période                  </w:t>
            </w:r>
          </w:p>
        </w:tc>
        <w:tc>
          <w:tcPr>
            <w:tcW w:w="1964" w:type="dxa"/>
            <w:gridSpan w:val="2"/>
          </w:tcPr>
          <w:p w:rsidR="00000000" w:rsidRDefault="00000000">
            <w:pPr>
              <w:rPr>
                <w:sz w:val="22"/>
              </w:rPr>
            </w:pPr>
            <w:r>
              <w:rPr>
                <w:sz w:val="22"/>
              </w:rPr>
              <w:t>Total</w:t>
            </w:r>
          </w:p>
        </w:tc>
        <w:tc>
          <w:tcPr>
            <w:tcW w:w="1964" w:type="dxa"/>
            <w:gridSpan w:val="2"/>
          </w:tcPr>
          <w:p w:rsidR="00000000" w:rsidRDefault="00000000">
            <w:pPr>
              <w:rPr>
                <w:sz w:val="22"/>
              </w:rPr>
            </w:pPr>
            <w:r>
              <w:rPr>
                <w:sz w:val="22"/>
              </w:rPr>
              <w:t xml:space="preserve">  Hommes         </w:t>
            </w:r>
          </w:p>
        </w:tc>
        <w:tc>
          <w:tcPr>
            <w:tcW w:w="1964" w:type="dxa"/>
            <w:gridSpan w:val="2"/>
          </w:tcPr>
          <w:p w:rsidR="00000000" w:rsidRDefault="00000000">
            <w:pPr>
              <w:rPr>
                <w:sz w:val="22"/>
              </w:rPr>
            </w:pPr>
            <w:r>
              <w:rPr>
                <w:sz w:val="22"/>
              </w:rPr>
              <w:t xml:space="preserve">      Femmes </w:t>
            </w:r>
          </w:p>
        </w:tc>
        <w:tc>
          <w:tcPr>
            <w:tcW w:w="1964" w:type="dxa"/>
            <w:gridSpan w:val="2"/>
          </w:tcPr>
          <w:p w:rsidR="00000000" w:rsidRDefault="00000000">
            <w:pPr>
              <w:rPr>
                <w:sz w:val="22"/>
              </w:rPr>
            </w:pPr>
          </w:p>
        </w:tc>
      </w:tr>
      <w:tr w:rsidR="00000000">
        <w:tblPrEx>
          <w:tblCellMar>
            <w:top w:w="0" w:type="dxa"/>
            <w:bottom w:w="0" w:type="dxa"/>
          </w:tblCellMar>
        </w:tblPrEx>
        <w:trPr>
          <w:cantSplit/>
        </w:trPr>
        <w:tc>
          <w:tcPr>
            <w:tcW w:w="1636" w:type="dxa"/>
          </w:tcPr>
          <w:p w:rsidR="00000000" w:rsidRDefault="00000000">
            <w:pPr>
              <w:rPr>
                <w:sz w:val="22"/>
              </w:rPr>
            </w:pPr>
          </w:p>
        </w:tc>
        <w:tc>
          <w:tcPr>
            <w:tcW w:w="1637" w:type="dxa"/>
            <w:gridSpan w:val="2"/>
          </w:tcPr>
          <w:p w:rsidR="00000000" w:rsidRDefault="00000000">
            <w:pPr>
              <w:rPr>
                <w:sz w:val="22"/>
              </w:rPr>
            </w:pPr>
          </w:p>
        </w:tc>
        <w:tc>
          <w:tcPr>
            <w:tcW w:w="1636" w:type="dxa"/>
            <w:gridSpan w:val="2"/>
          </w:tcPr>
          <w:p w:rsidR="00000000" w:rsidRDefault="00000000">
            <w:pPr>
              <w:rPr>
                <w:sz w:val="22"/>
              </w:rPr>
            </w:pPr>
            <w:r>
              <w:rPr>
                <w:sz w:val="22"/>
              </w:rPr>
              <w:t xml:space="preserve">Nombre </w:t>
            </w:r>
          </w:p>
        </w:tc>
        <w:tc>
          <w:tcPr>
            <w:tcW w:w="1637" w:type="dxa"/>
            <w:gridSpan w:val="2"/>
          </w:tcPr>
          <w:p w:rsidR="00000000" w:rsidRDefault="00000000">
            <w:pPr>
              <w:rPr>
                <w:sz w:val="22"/>
              </w:rPr>
            </w:pPr>
            <w:r>
              <w:rPr>
                <w:sz w:val="22"/>
              </w:rPr>
              <w:t xml:space="preserve">%   </w:t>
            </w:r>
          </w:p>
        </w:tc>
        <w:tc>
          <w:tcPr>
            <w:tcW w:w="1636" w:type="dxa"/>
            <w:gridSpan w:val="2"/>
          </w:tcPr>
          <w:p w:rsidR="00000000" w:rsidRDefault="00000000">
            <w:pPr>
              <w:rPr>
                <w:sz w:val="22"/>
              </w:rPr>
            </w:pPr>
            <w:r>
              <w:rPr>
                <w:sz w:val="22"/>
              </w:rPr>
              <w:t xml:space="preserve">       Nombre </w:t>
            </w:r>
          </w:p>
        </w:tc>
        <w:tc>
          <w:tcPr>
            <w:tcW w:w="1637" w:type="dxa"/>
          </w:tcPr>
          <w:p w:rsidR="00000000" w:rsidRDefault="00000000">
            <w:pPr>
              <w:rPr>
                <w:sz w:val="22"/>
              </w:rPr>
            </w:pPr>
            <w:r>
              <w:rPr>
                <w:sz w:val="22"/>
              </w:rPr>
              <w:t>%</w:t>
            </w:r>
          </w:p>
        </w:tc>
      </w:tr>
      <w:tr w:rsidR="00000000">
        <w:tblPrEx>
          <w:tblCellMar>
            <w:top w:w="0" w:type="dxa"/>
            <w:bottom w:w="0" w:type="dxa"/>
          </w:tblCellMar>
        </w:tblPrEx>
        <w:trPr>
          <w:cantSplit/>
        </w:trPr>
        <w:tc>
          <w:tcPr>
            <w:tcW w:w="1636" w:type="dxa"/>
          </w:tcPr>
          <w:p w:rsidR="00000000" w:rsidRDefault="00000000">
            <w:pPr>
              <w:rPr>
                <w:sz w:val="22"/>
              </w:rPr>
            </w:pPr>
            <w:r>
              <w:rPr>
                <w:sz w:val="22"/>
              </w:rPr>
              <w:t>1979-1984</w:t>
            </w:r>
          </w:p>
        </w:tc>
        <w:tc>
          <w:tcPr>
            <w:tcW w:w="1637" w:type="dxa"/>
            <w:gridSpan w:val="2"/>
          </w:tcPr>
          <w:p w:rsidR="00000000" w:rsidRDefault="00000000">
            <w:pPr>
              <w:jc w:val="right"/>
              <w:rPr>
                <w:sz w:val="22"/>
              </w:rPr>
            </w:pPr>
            <w:r>
              <w:rPr>
                <w:sz w:val="22"/>
              </w:rPr>
              <w:t>1050</w:t>
            </w:r>
          </w:p>
        </w:tc>
        <w:tc>
          <w:tcPr>
            <w:tcW w:w="1636" w:type="dxa"/>
            <w:gridSpan w:val="2"/>
          </w:tcPr>
          <w:p w:rsidR="00000000" w:rsidRDefault="00000000">
            <w:pPr>
              <w:jc w:val="right"/>
              <w:rPr>
                <w:sz w:val="22"/>
              </w:rPr>
            </w:pPr>
            <w:r>
              <w:rPr>
                <w:sz w:val="22"/>
              </w:rPr>
              <w:t>959</w:t>
            </w:r>
          </w:p>
        </w:tc>
        <w:tc>
          <w:tcPr>
            <w:tcW w:w="1637" w:type="dxa"/>
            <w:gridSpan w:val="2"/>
          </w:tcPr>
          <w:p w:rsidR="00000000" w:rsidRDefault="00000000">
            <w:pPr>
              <w:jc w:val="right"/>
              <w:rPr>
                <w:sz w:val="22"/>
              </w:rPr>
            </w:pPr>
            <w:r>
              <w:rPr>
                <w:sz w:val="22"/>
              </w:rPr>
              <w:t>91,3</w:t>
            </w:r>
          </w:p>
        </w:tc>
        <w:tc>
          <w:tcPr>
            <w:tcW w:w="1636" w:type="dxa"/>
            <w:gridSpan w:val="2"/>
          </w:tcPr>
          <w:p w:rsidR="00000000" w:rsidRDefault="00000000">
            <w:pPr>
              <w:jc w:val="right"/>
              <w:rPr>
                <w:sz w:val="22"/>
              </w:rPr>
            </w:pPr>
            <w:r>
              <w:rPr>
                <w:sz w:val="22"/>
              </w:rPr>
              <w:t xml:space="preserve">          91</w:t>
            </w:r>
          </w:p>
        </w:tc>
        <w:tc>
          <w:tcPr>
            <w:tcW w:w="1637" w:type="dxa"/>
          </w:tcPr>
          <w:p w:rsidR="00000000" w:rsidRDefault="00000000">
            <w:pPr>
              <w:jc w:val="right"/>
              <w:rPr>
                <w:sz w:val="22"/>
              </w:rPr>
            </w:pPr>
            <w:r>
              <w:rPr>
                <w:sz w:val="22"/>
              </w:rPr>
              <w:t>8,7</w:t>
            </w:r>
          </w:p>
        </w:tc>
      </w:tr>
      <w:tr w:rsidR="00000000">
        <w:tblPrEx>
          <w:tblCellMar>
            <w:top w:w="0" w:type="dxa"/>
            <w:bottom w:w="0" w:type="dxa"/>
          </w:tblCellMar>
        </w:tblPrEx>
        <w:trPr>
          <w:cantSplit/>
        </w:trPr>
        <w:tc>
          <w:tcPr>
            <w:tcW w:w="1636" w:type="dxa"/>
          </w:tcPr>
          <w:p w:rsidR="00000000" w:rsidRDefault="00000000">
            <w:pPr>
              <w:rPr>
                <w:sz w:val="22"/>
              </w:rPr>
            </w:pPr>
            <w:r>
              <w:rPr>
                <w:sz w:val="22"/>
              </w:rPr>
              <w:t>1984-1989</w:t>
            </w:r>
          </w:p>
        </w:tc>
        <w:tc>
          <w:tcPr>
            <w:tcW w:w="1637" w:type="dxa"/>
            <w:gridSpan w:val="2"/>
          </w:tcPr>
          <w:p w:rsidR="00000000" w:rsidRDefault="00000000">
            <w:pPr>
              <w:jc w:val="right"/>
              <w:rPr>
                <w:sz w:val="22"/>
              </w:rPr>
            </w:pPr>
            <w:r>
              <w:rPr>
                <w:sz w:val="22"/>
              </w:rPr>
              <w:t>1566</w:t>
            </w:r>
          </w:p>
        </w:tc>
        <w:tc>
          <w:tcPr>
            <w:tcW w:w="1636" w:type="dxa"/>
            <w:gridSpan w:val="2"/>
          </w:tcPr>
          <w:p w:rsidR="00000000" w:rsidRDefault="00000000">
            <w:pPr>
              <w:jc w:val="right"/>
              <w:rPr>
                <w:sz w:val="22"/>
              </w:rPr>
            </w:pPr>
            <w:r>
              <w:rPr>
                <w:sz w:val="22"/>
              </w:rPr>
              <w:t xml:space="preserve">   1.421</w:t>
            </w:r>
          </w:p>
        </w:tc>
        <w:tc>
          <w:tcPr>
            <w:tcW w:w="1637" w:type="dxa"/>
            <w:gridSpan w:val="2"/>
          </w:tcPr>
          <w:p w:rsidR="00000000" w:rsidRDefault="00000000">
            <w:pPr>
              <w:jc w:val="right"/>
              <w:rPr>
                <w:sz w:val="22"/>
              </w:rPr>
            </w:pPr>
            <w:r>
              <w:rPr>
                <w:sz w:val="22"/>
              </w:rPr>
              <w:t>90,75</w:t>
            </w:r>
          </w:p>
        </w:tc>
        <w:tc>
          <w:tcPr>
            <w:tcW w:w="1636" w:type="dxa"/>
            <w:gridSpan w:val="2"/>
          </w:tcPr>
          <w:p w:rsidR="00000000" w:rsidRDefault="00000000">
            <w:pPr>
              <w:jc w:val="right"/>
              <w:rPr>
                <w:sz w:val="22"/>
              </w:rPr>
            </w:pPr>
            <w:r>
              <w:rPr>
                <w:sz w:val="22"/>
              </w:rPr>
              <w:t xml:space="preserve">        145</w:t>
            </w:r>
          </w:p>
        </w:tc>
        <w:tc>
          <w:tcPr>
            <w:tcW w:w="1637" w:type="dxa"/>
          </w:tcPr>
          <w:p w:rsidR="00000000" w:rsidRDefault="00000000">
            <w:pPr>
              <w:jc w:val="right"/>
              <w:rPr>
                <w:sz w:val="22"/>
              </w:rPr>
            </w:pPr>
            <w:r>
              <w:rPr>
                <w:sz w:val="22"/>
              </w:rPr>
              <w:t>9,25</w:t>
            </w:r>
          </w:p>
        </w:tc>
      </w:tr>
      <w:tr w:rsidR="00000000">
        <w:tblPrEx>
          <w:tblCellMar>
            <w:top w:w="0" w:type="dxa"/>
            <w:bottom w:w="0" w:type="dxa"/>
          </w:tblCellMar>
        </w:tblPrEx>
        <w:trPr>
          <w:cantSplit/>
        </w:trPr>
        <w:tc>
          <w:tcPr>
            <w:tcW w:w="1636" w:type="dxa"/>
          </w:tcPr>
          <w:p w:rsidR="00000000" w:rsidRDefault="00000000">
            <w:pPr>
              <w:rPr>
                <w:sz w:val="22"/>
              </w:rPr>
            </w:pPr>
            <w:r>
              <w:rPr>
                <w:sz w:val="22"/>
              </w:rPr>
              <w:t>1992</w:t>
            </w:r>
          </w:p>
        </w:tc>
        <w:tc>
          <w:tcPr>
            <w:tcW w:w="1637" w:type="dxa"/>
            <w:gridSpan w:val="2"/>
          </w:tcPr>
          <w:p w:rsidR="00000000" w:rsidRDefault="00000000">
            <w:pPr>
              <w:jc w:val="right"/>
              <w:rPr>
                <w:sz w:val="22"/>
              </w:rPr>
            </w:pPr>
            <w:r>
              <w:rPr>
                <w:sz w:val="22"/>
              </w:rPr>
              <w:t>1016</w:t>
            </w:r>
          </w:p>
        </w:tc>
        <w:tc>
          <w:tcPr>
            <w:tcW w:w="1636" w:type="dxa"/>
            <w:gridSpan w:val="2"/>
          </w:tcPr>
          <w:p w:rsidR="00000000" w:rsidRDefault="00000000">
            <w:pPr>
              <w:jc w:val="right"/>
              <w:rPr>
                <w:sz w:val="22"/>
              </w:rPr>
            </w:pPr>
            <w:r>
              <w:rPr>
                <w:sz w:val="22"/>
              </w:rPr>
              <w:t xml:space="preserve">             979</w:t>
            </w:r>
          </w:p>
        </w:tc>
        <w:tc>
          <w:tcPr>
            <w:tcW w:w="1637" w:type="dxa"/>
            <w:gridSpan w:val="2"/>
          </w:tcPr>
          <w:p w:rsidR="00000000" w:rsidRDefault="00000000">
            <w:pPr>
              <w:jc w:val="right"/>
              <w:rPr>
                <w:sz w:val="22"/>
              </w:rPr>
            </w:pPr>
            <w:r>
              <w:rPr>
                <w:sz w:val="22"/>
              </w:rPr>
              <w:t>96,4</w:t>
            </w:r>
          </w:p>
        </w:tc>
        <w:tc>
          <w:tcPr>
            <w:tcW w:w="1636" w:type="dxa"/>
            <w:gridSpan w:val="2"/>
          </w:tcPr>
          <w:p w:rsidR="00000000" w:rsidRDefault="00000000">
            <w:pPr>
              <w:jc w:val="right"/>
              <w:rPr>
                <w:sz w:val="22"/>
              </w:rPr>
            </w:pPr>
            <w:r>
              <w:rPr>
                <w:sz w:val="22"/>
              </w:rPr>
              <w:t>37</w:t>
            </w:r>
          </w:p>
        </w:tc>
        <w:tc>
          <w:tcPr>
            <w:tcW w:w="1637" w:type="dxa"/>
          </w:tcPr>
          <w:p w:rsidR="00000000" w:rsidRDefault="00000000">
            <w:pPr>
              <w:jc w:val="right"/>
              <w:rPr>
                <w:sz w:val="22"/>
              </w:rPr>
            </w:pPr>
            <w:r>
              <w:rPr>
                <w:sz w:val="22"/>
              </w:rPr>
              <w:t>3,6</w:t>
            </w:r>
          </w:p>
        </w:tc>
      </w:tr>
    </w:tbl>
    <w:p w:rsidR="00000000" w:rsidRDefault="00000000">
      <w:pPr>
        <w:rPr>
          <w:sz w:val="22"/>
        </w:rPr>
      </w:pPr>
    </w:p>
    <w:p w:rsidR="00000000" w:rsidRDefault="00000000">
      <w:pPr>
        <w:pStyle w:val="BodyText3"/>
        <w:rPr>
          <w:sz w:val="22"/>
        </w:rPr>
      </w:pPr>
      <w:r>
        <w:rPr>
          <w:sz w:val="22"/>
        </w:rPr>
        <w:t>L’examen de ces données révèle que pendant le monopartisme, la présence féminine à l’Assemblée Nationale était assez remarquable entre 1984 et 1989 ; cette tendance a paradoxalement fléchi dès l’entrée du Congo dans l’ère démocratique, du fait que les femmes n’ont pas été suffisamment soutenues par leurs Partis Politiques et par leurs consœurs. A l’issue des élections législatives, sénatoriales et municipales, la présence féminine s’avère dérisoire malgré l’importance numérique de l’électorat féminin. Au niveau des organes locaux, la représentativité féminine répond au même schéma illustré plus haut.</w:t>
      </w:r>
    </w:p>
    <w:p w:rsidR="00000000" w:rsidRDefault="00000000">
      <w:pPr>
        <w:jc w:val="both"/>
        <w:rPr>
          <w:sz w:val="22"/>
        </w:rPr>
      </w:pPr>
    </w:p>
    <w:p w:rsidR="00000000" w:rsidRDefault="00000000">
      <w:pPr>
        <w:rPr>
          <w:sz w:val="22"/>
        </w:rPr>
      </w:pPr>
      <w:r>
        <w:rPr>
          <w:b/>
          <w:sz w:val="22"/>
        </w:rPr>
        <w:t xml:space="preserve">B – </w:t>
      </w:r>
      <w:r>
        <w:rPr>
          <w:b/>
          <w:sz w:val="22"/>
          <w:u w:val="single"/>
        </w:rPr>
        <w:t>LA REPRESENTATIVITE DE LA FEMME AU SEIN DE L’ADMINISTRATION</w:t>
      </w:r>
    </w:p>
    <w:p w:rsidR="00000000" w:rsidRDefault="00000000">
      <w:pPr>
        <w:ind w:left="360"/>
        <w:rPr>
          <w:sz w:val="22"/>
        </w:rPr>
      </w:pPr>
    </w:p>
    <w:p w:rsidR="00000000" w:rsidRDefault="00000000">
      <w:pPr>
        <w:pStyle w:val="BodyTextIndent"/>
        <w:ind w:firstLine="0"/>
        <w:jc w:val="both"/>
        <w:rPr>
          <w:sz w:val="22"/>
        </w:rPr>
      </w:pPr>
      <w:r>
        <w:rPr>
          <w:sz w:val="22"/>
        </w:rPr>
        <w:t xml:space="preserve">Quarante (40) ans après l’indépendance, quelques femmes seulement occupent des postes de responsabilité au niveau de l’administration Publique. C’est en 1975, année internationale de la femme que la première femme ministre est nommée au Congo. Elle est chargée des affaires sociales. En 1984, la seconde femme à occuper cette fonction est désignée et elle occupe le portefeuille de l’enseignement fondamental. En 1989, une femme est membre du Gouvernement, au poste de Ministre du travail et de la sécurité sociale. En 1991, le département des affaires sociales revient à une femme. En 1992, celui de la communication, des postes et télécommunication, porte parole du Gouvernement est confié à une dame. En 1996, trois femmes sont ministres elles sont chargées respectivement de l’intégration de la femme au développement, des postes et télécommunications et, des affaires sociales et de l’insertion sociale. En 1997, pendant quelques mois, le portefeuille des droits de l’homme revient à une femme. Après la guerre du 5 juin 1997, trois femmes entrent au Gouvernement. Elles sont à la tête de : </w:t>
      </w:r>
    </w:p>
    <w:p w:rsidR="00000000" w:rsidRDefault="00000000">
      <w:pPr>
        <w:pStyle w:val="BodyTextIndent"/>
        <w:numPr>
          <w:ilvl w:val="0"/>
          <w:numId w:val="222"/>
        </w:numPr>
        <w:jc w:val="both"/>
        <w:rPr>
          <w:sz w:val="22"/>
        </w:rPr>
      </w:pPr>
      <w:r>
        <w:rPr>
          <w:sz w:val="22"/>
        </w:rPr>
        <w:t>la fonction publique et des réformes administratives ;</w:t>
      </w:r>
    </w:p>
    <w:p w:rsidR="00000000" w:rsidRDefault="00000000">
      <w:pPr>
        <w:pStyle w:val="BodyTextIndent"/>
        <w:numPr>
          <w:ilvl w:val="0"/>
          <w:numId w:val="222"/>
        </w:numPr>
        <w:jc w:val="both"/>
        <w:rPr>
          <w:sz w:val="22"/>
        </w:rPr>
      </w:pPr>
      <w:r>
        <w:rPr>
          <w:sz w:val="22"/>
        </w:rPr>
        <w:t xml:space="preserve">la culture et arts chargé de la francophonie ; </w:t>
      </w:r>
    </w:p>
    <w:p w:rsidR="00000000" w:rsidRDefault="00000000">
      <w:pPr>
        <w:pStyle w:val="BodyTextIndent"/>
        <w:numPr>
          <w:ilvl w:val="0"/>
          <w:numId w:val="222"/>
        </w:numPr>
        <w:jc w:val="both"/>
        <w:rPr>
          <w:sz w:val="22"/>
        </w:rPr>
      </w:pPr>
      <w:r>
        <w:rPr>
          <w:sz w:val="22"/>
        </w:rPr>
        <w:t>et de l’intégration de la femme au développement.</w:t>
      </w:r>
    </w:p>
    <w:p w:rsidR="00000000" w:rsidRDefault="00000000">
      <w:pPr>
        <w:pStyle w:val="BodyTextIndent"/>
        <w:ind w:firstLine="0"/>
        <w:jc w:val="both"/>
        <w:rPr>
          <w:sz w:val="22"/>
        </w:rPr>
      </w:pPr>
    </w:p>
    <w:p w:rsidR="00000000" w:rsidRDefault="00000000">
      <w:pPr>
        <w:pStyle w:val="BodyTextIndent"/>
        <w:ind w:firstLine="0"/>
        <w:jc w:val="both"/>
        <w:rPr>
          <w:sz w:val="22"/>
        </w:rPr>
      </w:pPr>
      <w:r>
        <w:rPr>
          <w:sz w:val="22"/>
        </w:rPr>
        <w:t>En janvier 1999, deux femmes participent au Gouvernement, elles sont chargées l’une de la fonction publique, des réformes administratives et de la promotion de la femme et l’autre de la culture, arts et du tourisme. Depuis 1998, une dame est nommée au poste de secrétaire général du conseil national de transition (CNT), parlement de transition.</w:t>
      </w:r>
    </w:p>
    <w:p w:rsidR="00000000" w:rsidRDefault="00000000">
      <w:pPr>
        <w:pStyle w:val="BodyTextIndent"/>
        <w:ind w:firstLine="0"/>
        <w:jc w:val="both"/>
        <w:rPr>
          <w:sz w:val="22"/>
        </w:rPr>
      </w:pPr>
    </w:p>
    <w:p w:rsidR="00000000" w:rsidRDefault="00000000">
      <w:pPr>
        <w:pStyle w:val="Heading2"/>
        <w:rPr>
          <w:i w:val="0"/>
        </w:rPr>
      </w:pPr>
      <w:r>
        <w:rPr>
          <w:i w:val="0"/>
        </w:rPr>
        <w:t>Le tableau ci-après indique la participation des femmes au gouvernement de 1975 à 2000.</w:t>
      </w:r>
    </w:p>
    <w:p w:rsidR="00000000" w:rsidRDefault="00000000"/>
    <w:p w:rsidR="00000000" w:rsidRDefault="00000000">
      <w:pPr>
        <w:pStyle w:val="Heading2"/>
        <w:jc w:val="center"/>
        <w:rPr>
          <w:b/>
        </w:rPr>
      </w:pPr>
      <w:r>
        <w:rPr>
          <w:b/>
          <w:i w:val="0"/>
          <w:u w:val="single"/>
        </w:rPr>
        <w:t>Tableau n° 5 </w:t>
      </w:r>
      <w:r>
        <w:rPr>
          <w:b/>
          <w:i w:val="0"/>
        </w:rPr>
        <w:t>: Participation des femmes au Gouvernement</w:t>
      </w:r>
    </w:p>
    <w:p w:rsidR="00000000" w:rsidRDefault="00000000">
      <w:pPr>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6"/>
        <w:gridCol w:w="1637"/>
        <w:gridCol w:w="1636"/>
        <w:gridCol w:w="1637"/>
        <w:gridCol w:w="1636"/>
        <w:gridCol w:w="1637"/>
      </w:tblGrid>
      <w:tr w:rsidR="00000000">
        <w:tblPrEx>
          <w:tblCellMar>
            <w:top w:w="0" w:type="dxa"/>
            <w:bottom w:w="0" w:type="dxa"/>
          </w:tblCellMar>
        </w:tblPrEx>
        <w:trPr>
          <w:cantSplit/>
        </w:trPr>
        <w:tc>
          <w:tcPr>
            <w:tcW w:w="1636" w:type="dxa"/>
          </w:tcPr>
          <w:p w:rsidR="00000000" w:rsidRDefault="00000000">
            <w:pPr>
              <w:jc w:val="center"/>
              <w:rPr>
                <w:b/>
                <w:sz w:val="22"/>
              </w:rPr>
            </w:pPr>
            <w:r>
              <w:rPr>
                <w:b/>
                <w:sz w:val="22"/>
              </w:rPr>
              <w:t>Période</w:t>
            </w:r>
          </w:p>
        </w:tc>
        <w:tc>
          <w:tcPr>
            <w:tcW w:w="1637" w:type="dxa"/>
          </w:tcPr>
          <w:p w:rsidR="00000000" w:rsidRDefault="00000000">
            <w:pPr>
              <w:pStyle w:val="Heading9"/>
            </w:pPr>
            <w:r>
              <w:t>Total</w:t>
            </w:r>
          </w:p>
        </w:tc>
        <w:tc>
          <w:tcPr>
            <w:tcW w:w="1636" w:type="dxa"/>
          </w:tcPr>
          <w:p w:rsidR="00000000" w:rsidRDefault="00000000">
            <w:pPr>
              <w:jc w:val="center"/>
              <w:rPr>
                <w:b/>
                <w:sz w:val="22"/>
              </w:rPr>
            </w:pPr>
            <w:r>
              <w:rPr>
                <w:b/>
                <w:sz w:val="22"/>
              </w:rPr>
              <w:t>Hommes</w:t>
            </w:r>
          </w:p>
        </w:tc>
        <w:tc>
          <w:tcPr>
            <w:tcW w:w="1637" w:type="dxa"/>
          </w:tcPr>
          <w:p w:rsidR="00000000" w:rsidRDefault="00000000">
            <w:pPr>
              <w:jc w:val="center"/>
              <w:rPr>
                <w:b/>
                <w:sz w:val="22"/>
              </w:rPr>
            </w:pPr>
            <w:r>
              <w:rPr>
                <w:b/>
                <w:sz w:val="22"/>
              </w:rPr>
              <w:t>%</w:t>
            </w:r>
          </w:p>
        </w:tc>
        <w:tc>
          <w:tcPr>
            <w:tcW w:w="1636" w:type="dxa"/>
          </w:tcPr>
          <w:p w:rsidR="00000000" w:rsidRDefault="00000000">
            <w:pPr>
              <w:jc w:val="center"/>
              <w:rPr>
                <w:b/>
                <w:sz w:val="22"/>
              </w:rPr>
            </w:pPr>
            <w:r>
              <w:rPr>
                <w:b/>
                <w:sz w:val="22"/>
              </w:rPr>
              <w:t>Femmes</w:t>
            </w:r>
          </w:p>
        </w:tc>
        <w:tc>
          <w:tcPr>
            <w:tcW w:w="1637" w:type="dxa"/>
          </w:tcPr>
          <w:p w:rsidR="00000000" w:rsidRDefault="00000000">
            <w:pPr>
              <w:jc w:val="center"/>
              <w:rPr>
                <w:b/>
                <w:sz w:val="22"/>
              </w:rPr>
            </w:pPr>
            <w:r>
              <w:rPr>
                <w:b/>
                <w:sz w:val="22"/>
              </w:rPr>
              <w:t>%</w:t>
            </w:r>
          </w:p>
        </w:tc>
      </w:tr>
      <w:tr w:rsidR="00000000">
        <w:tblPrEx>
          <w:tblCellMar>
            <w:top w:w="0" w:type="dxa"/>
            <w:bottom w:w="0" w:type="dxa"/>
          </w:tblCellMar>
        </w:tblPrEx>
        <w:tc>
          <w:tcPr>
            <w:tcW w:w="1636" w:type="dxa"/>
          </w:tcPr>
          <w:p w:rsidR="00000000" w:rsidRDefault="00000000">
            <w:pPr>
              <w:jc w:val="right"/>
              <w:rPr>
                <w:sz w:val="22"/>
              </w:rPr>
            </w:pPr>
            <w:r>
              <w:rPr>
                <w:sz w:val="22"/>
              </w:rPr>
              <w:t>1975</w:t>
            </w:r>
          </w:p>
        </w:tc>
        <w:tc>
          <w:tcPr>
            <w:tcW w:w="1637" w:type="dxa"/>
          </w:tcPr>
          <w:p w:rsidR="00000000" w:rsidRDefault="00000000">
            <w:pPr>
              <w:jc w:val="right"/>
              <w:rPr>
                <w:sz w:val="22"/>
              </w:rPr>
            </w:pPr>
            <w:r>
              <w:rPr>
                <w:sz w:val="22"/>
              </w:rPr>
              <w:t>17</w:t>
            </w:r>
          </w:p>
        </w:tc>
        <w:tc>
          <w:tcPr>
            <w:tcW w:w="1636" w:type="dxa"/>
          </w:tcPr>
          <w:p w:rsidR="00000000" w:rsidRDefault="00000000">
            <w:pPr>
              <w:jc w:val="right"/>
              <w:rPr>
                <w:sz w:val="22"/>
              </w:rPr>
            </w:pPr>
            <w:r>
              <w:rPr>
                <w:sz w:val="22"/>
              </w:rPr>
              <w:t>16</w:t>
            </w:r>
          </w:p>
        </w:tc>
        <w:tc>
          <w:tcPr>
            <w:tcW w:w="1637" w:type="dxa"/>
          </w:tcPr>
          <w:p w:rsidR="00000000" w:rsidRDefault="00000000">
            <w:pPr>
              <w:jc w:val="right"/>
              <w:rPr>
                <w:sz w:val="22"/>
              </w:rPr>
            </w:pPr>
            <w:r>
              <w:rPr>
                <w:sz w:val="22"/>
              </w:rPr>
              <w:t>94,1</w:t>
            </w:r>
          </w:p>
        </w:tc>
        <w:tc>
          <w:tcPr>
            <w:tcW w:w="1636" w:type="dxa"/>
          </w:tcPr>
          <w:p w:rsidR="00000000" w:rsidRDefault="00000000">
            <w:pPr>
              <w:jc w:val="right"/>
              <w:rPr>
                <w:sz w:val="22"/>
              </w:rPr>
            </w:pPr>
            <w:r>
              <w:rPr>
                <w:sz w:val="22"/>
              </w:rPr>
              <w:t>1</w:t>
            </w:r>
          </w:p>
        </w:tc>
        <w:tc>
          <w:tcPr>
            <w:tcW w:w="1637" w:type="dxa"/>
          </w:tcPr>
          <w:p w:rsidR="00000000" w:rsidRDefault="00000000">
            <w:pPr>
              <w:jc w:val="right"/>
              <w:rPr>
                <w:sz w:val="22"/>
              </w:rPr>
            </w:pPr>
            <w:r>
              <w:rPr>
                <w:sz w:val="22"/>
              </w:rPr>
              <w:t>5,9</w:t>
            </w:r>
          </w:p>
        </w:tc>
      </w:tr>
      <w:tr w:rsidR="00000000">
        <w:tblPrEx>
          <w:tblCellMar>
            <w:top w:w="0" w:type="dxa"/>
            <w:bottom w:w="0" w:type="dxa"/>
          </w:tblCellMar>
        </w:tblPrEx>
        <w:tc>
          <w:tcPr>
            <w:tcW w:w="1636" w:type="dxa"/>
          </w:tcPr>
          <w:p w:rsidR="00000000" w:rsidRDefault="00000000">
            <w:pPr>
              <w:jc w:val="right"/>
              <w:rPr>
                <w:sz w:val="22"/>
              </w:rPr>
            </w:pPr>
            <w:r>
              <w:rPr>
                <w:sz w:val="22"/>
              </w:rPr>
              <w:t>1980</w:t>
            </w:r>
          </w:p>
        </w:tc>
        <w:tc>
          <w:tcPr>
            <w:tcW w:w="1637" w:type="dxa"/>
          </w:tcPr>
          <w:p w:rsidR="00000000" w:rsidRDefault="00000000">
            <w:pPr>
              <w:jc w:val="right"/>
              <w:rPr>
                <w:sz w:val="22"/>
              </w:rPr>
            </w:pPr>
            <w:r>
              <w:rPr>
                <w:sz w:val="22"/>
              </w:rPr>
              <w:t>22</w:t>
            </w:r>
          </w:p>
        </w:tc>
        <w:tc>
          <w:tcPr>
            <w:tcW w:w="1636" w:type="dxa"/>
          </w:tcPr>
          <w:p w:rsidR="00000000" w:rsidRDefault="00000000">
            <w:pPr>
              <w:jc w:val="right"/>
              <w:rPr>
                <w:sz w:val="22"/>
              </w:rPr>
            </w:pPr>
            <w:r>
              <w:rPr>
                <w:sz w:val="22"/>
              </w:rPr>
              <w:t>22</w:t>
            </w:r>
          </w:p>
        </w:tc>
        <w:tc>
          <w:tcPr>
            <w:tcW w:w="1637" w:type="dxa"/>
          </w:tcPr>
          <w:p w:rsidR="00000000" w:rsidRDefault="00000000">
            <w:pPr>
              <w:jc w:val="right"/>
              <w:rPr>
                <w:sz w:val="22"/>
              </w:rPr>
            </w:pPr>
            <w:r>
              <w:rPr>
                <w:sz w:val="22"/>
              </w:rPr>
              <w:t>100</w:t>
            </w:r>
          </w:p>
        </w:tc>
        <w:tc>
          <w:tcPr>
            <w:tcW w:w="1636" w:type="dxa"/>
          </w:tcPr>
          <w:p w:rsidR="00000000" w:rsidRDefault="00000000">
            <w:pPr>
              <w:jc w:val="right"/>
              <w:rPr>
                <w:sz w:val="22"/>
              </w:rPr>
            </w:pPr>
            <w:r>
              <w:rPr>
                <w:sz w:val="22"/>
              </w:rPr>
              <w:t>0</w:t>
            </w:r>
          </w:p>
        </w:tc>
        <w:tc>
          <w:tcPr>
            <w:tcW w:w="1637" w:type="dxa"/>
          </w:tcPr>
          <w:p w:rsidR="00000000" w:rsidRDefault="00000000">
            <w:pPr>
              <w:jc w:val="right"/>
              <w:rPr>
                <w:sz w:val="22"/>
              </w:rPr>
            </w:pPr>
            <w:r>
              <w:rPr>
                <w:sz w:val="22"/>
              </w:rPr>
              <w:t>0</w:t>
            </w:r>
          </w:p>
        </w:tc>
      </w:tr>
      <w:tr w:rsidR="00000000">
        <w:tblPrEx>
          <w:tblCellMar>
            <w:top w:w="0" w:type="dxa"/>
            <w:bottom w:w="0" w:type="dxa"/>
          </w:tblCellMar>
        </w:tblPrEx>
        <w:tc>
          <w:tcPr>
            <w:tcW w:w="1636" w:type="dxa"/>
          </w:tcPr>
          <w:p w:rsidR="00000000" w:rsidRDefault="00000000">
            <w:pPr>
              <w:jc w:val="right"/>
              <w:rPr>
                <w:sz w:val="22"/>
              </w:rPr>
            </w:pPr>
            <w:r>
              <w:rPr>
                <w:sz w:val="22"/>
              </w:rPr>
              <w:t>1985</w:t>
            </w:r>
          </w:p>
        </w:tc>
        <w:tc>
          <w:tcPr>
            <w:tcW w:w="1637" w:type="dxa"/>
          </w:tcPr>
          <w:p w:rsidR="00000000" w:rsidRDefault="00000000">
            <w:pPr>
              <w:jc w:val="right"/>
              <w:rPr>
                <w:sz w:val="22"/>
              </w:rPr>
            </w:pPr>
            <w:r>
              <w:rPr>
                <w:sz w:val="22"/>
              </w:rPr>
              <w:t>20</w:t>
            </w:r>
          </w:p>
        </w:tc>
        <w:tc>
          <w:tcPr>
            <w:tcW w:w="1636" w:type="dxa"/>
          </w:tcPr>
          <w:p w:rsidR="00000000" w:rsidRDefault="00000000">
            <w:pPr>
              <w:jc w:val="right"/>
              <w:rPr>
                <w:sz w:val="22"/>
              </w:rPr>
            </w:pPr>
            <w:r>
              <w:rPr>
                <w:sz w:val="22"/>
              </w:rPr>
              <w:t>19</w:t>
            </w:r>
          </w:p>
        </w:tc>
        <w:tc>
          <w:tcPr>
            <w:tcW w:w="1637" w:type="dxa"/>
          </w:tcPr>
          <w:p w:rsidR="00000000" w:rsidRDefault="00000000">
            <w:pPr>
              <w:jc w:val="right"/>
              <w:rPr>
                <w:sz w:val="22"/>
              </w:rPr>
            </w:pPr>
            <w:r>
              <w:rPr>
                <w:sz w:val="22"/>
              </w:rPr>
              <w:t>95</w:t>
            </w:r>
          </w:p>
        </w:tc>
        <w:tc>
          <w:tcPr>
            <w:tcW w:w="1636" w:type="dxa"/>
          </w:tcPr>
          <w:p w:rsidR="00000000" w:rsidRDefault="00000000">
            <w:pPr>
              <w:jc w:val="right"/>
              <w:rPr>
                <w:sz w:val="22"/>
              </w:rPr>
            </w:pPr>
            <w:r>
              <w:rPr>
                <w:sz w:val="22"/>
              </w:rPr>
              <w:t>1</w:t>
            </w:r>
          </w:p>
        </w:tc>
        <w:tc>
          <w:tcPr>
            <w:tcW w:w="1637" w:type="dxa"/>
          </w:tcPr>
          <w:p w:rsidR="00000000" w:rsidRDefault="00000000">
            <w:pPr>
              <w:jc w:val="right"/>
              <w:rPr>
                <w:sz w:val="22"/>
              </w:rPr>
            </w:pPr>
            <w:r>
              <w:rPr>
                <w:sz w:val="22"/>
              </w:rPr>
              <w:t>5</w:t>
            </w:r>
          </w:p>
        </w:tc>
      </w:tr>
      <w:tr w:rsidR="00000000">
        <w:tblPrEx>
          <w:tblCellMar>
            <w:top w:w="0" w:type="dxa"/>
            <w:bottom w:w="0" w:type="dxa"/>
          </w:tblCellMar>
        </w:tblPrEx>
        <w:tc>
          <w:tcPr>
            <w:tcW w:w="1636" w:type="dxa"/>
          </w:tcPr>
          <w:p w:rsidR="00000000" w:rsidRDefault="00000000">
            <w:pPr>
              <w:jc w:val="right"/>
              <w:rPr>
                <w:sz w:val="22"/>
              </w:rPr>
            </w:pPr>
            <w:r>
              <w:rPr>
                <w:sz w:val="22"/>
              </w:rPr>
              <w:t>1989</w:t>
            </w:r>
          </w:p>
        </w:tc>
        <w:tc>
          <w:tcPr>
            <w:tcW w:w="1637" w:type="dxa"/>
          </w:tcPr>
          <w:p w:rsidR="00000000" w:rsidRDefault="00000000">
            <w:pPr>
              <w:jc w:val="right"/>
              <w:rPr>
                <w:sz w:val="22"/>
              </w:rPr>
            </w:pPr>
            <w:r>
              <w:rPr>
                <w:sz w:val="22"/>
              </w:rPr>
              <w:t>22</w:t>
            </w:r>
          </w:p>
        </w:tc>
        <w:tc>
          <w:tcPr>
            <w:tcW w:w="1636" w:type="dxa"/>
          </w:tcPr>
          <w:p w:rsidR="00000000" w:rsidRDefault="00000000">
            <w:pPr>
              <w:jc w:val="right"/>
              <w:rPr>
                <w:sz w:val="22"/>
              </w:rPr>
            </w:pPr>
            <w:r>
              <w:rPr>
                <w:sz w:val="22"/>
              </w:rPr>
              <w:t>21</w:t>
            </w:r>
          </w:p>
        </w:tc>
        <w:tc>
          <w:tcPr>
            <w:tcW w:w="1637" w:type="dxa"/>
          </w:tcPr>
          <w:p w:rsidR="00000000" w:rsidRDefault="00000000">
            <w:pPr>
              <w:jc w:val="right"/>
              <w:rPr>
                <w:sz w:val="22"/>
              </w:rPr>
            </w:pPr>
            <w:r>
              <w:rPr>
                <w:sz w:val="22"/>
              </w:rPr>
              <w:t>95,5</w:t>
            </w:r>
          </w:p>
        </w:tc>
        <w:tc>
          <w:tcPr>
            <w:tcW w:w="1636" w:type="dxa"/>
          </w:tcPr>
          <w:p w:rsidR="00000000" w:rsidRDefault="00000000">
            <w:pPr>
              <w:jc w:val="right"/>
              <w:rPr>
                <w:sz w:val="22"/>
              </w:rPr>
            </w:pPr>
            <w:r>
              <w:rPr>
                <w:sz w:val="22"/>
              </w:rPr>
              <w:t>1</w:t>
            </w:r>
          </w:p>
        </w:tc>
        <w:tc>
          <w:tcPr>
            <w:tcW w:w="1637" w:type="dxa"/>
          </w:tcPr>
          <w:p w:rsidR="00000000" w:rsidRDefault="00000000">
            <w:pPr>
              <w:jc w:val="right"/>
              <w:rPr>
                <w:sz w:val="22"/>
              </w:rPr>
            </w:pPr>
            <w:r>
              <w:rPr>
                <w:sz w:val="22"/>
              </w:rPr>
              <w:t>4,5</w:t>
            </w:r>
          </w:p>
        </w:tc>
      </w:tr>
      <w:tr w:rsidR="00000000">
        <w:tblPrEx>
          <w:tblCellMar>
            <w:top w:w="0" w:type="dxa"/>
            <w:bottom w:w="0" w:type="dxa"/>
          </w:tblCellMar>
        </w:tblPrEx>
        <w:tc>
          <w:tcPr>
            <w:tcW w:w="1636" w:type="dxa"/>
          </w:tcPr>
          <w:p w:rsidR="00000000" w:rsidRDefault="00000000">
            <w:pPr>
              <w:jc w:val="right"/>
              <w:rPr>
                <w:sz w:val="22"/>
              </w:rPr>
            </w:pPr>
            <w:r>
              <w:rPr>
                <w:sz w:val="22"/>
              </w:rPr>
              <w:t>1991</w:t>
            </w:r>
          </w:p>
        </w:tc>
        <w:tc>
          <w:tcPr>
            <w:tcW w:w="1637" w:type="dxa"/>
          </w:tcPr>
          <w:p w:rsidR="00000000" w:rsidRDefault="00000000">
            <w:pPr>
              <w:jc w:val="right"/>
              <w:rPr>
                <w:sz w:val="22"/>
              </w:rPr>
            </w:pPr>
            <w:r>
              <w:rPr>
                <w:sz w:val="22"/>
              </w:rPr>
              <w:t>21</w:t>
            </w:r>
          </w:p>
        </w:tc>
        <w:tc>
          <w:tcPr>
            <w:tcW w:w="1636" w:type="dxa"/>
          </w:tcPr>
          <w:p w:rsidR="00000000" w:rsidRDefault="00000000">
            <w:pPr>
              <w:jc w:val="right"/>
              <w:rPr>
                <w:sz w:val="22"/>
              </w:rPr>
            </w:pPr>
            <w:r>
              <w:rPr>
                <w:sz w:val="22"/>
              </w:rPr>
              <w:t>20</w:t>
            </w:r>
          </w:p>
        </w:tc>
        <w:tc>
          <w:tcPr>
            <w:tcW w:w="1637" w:type="dxa"/>
          </w:tcPr>
          <w:p w:rsidR="00000000" w:rsidRDefault="00000000">
            <w:pPr>
              <w:jc w:val="right"/>
              <w:rPr>
                <w:sz w:val="22"/>
              </w:rPr>
            </w:pPr>
            <w:r>
              <w:rPr>
                <w:sz w:val="22"/>
              </w:rPr>
              <w:t>95,2</w:t>
            </w:r>
          </w:p>
        </w:tc>
        <w:tc>
          <w:tcPr>
            <w:tcW w:w="1636" w:type="dxa"/>
          </w:tcPr>
          <w:p w:rsidR="00000000" w:rsidRDefault="00000000">
            <w:pPr>
              <w:jc w:val="right"/>
              <w:rPr>
                <w:sz w:val="22"/>
              </w:rPr>
            </w:pPr>
            <w:r>
              <w:rPr>
                <w:sz w:val="22"/>
              </w:rPr>
              <w:t>1</w:t>
            </w:r>
          </w:p>
        </w:tc>
        <w:tc>
          <w:tcPr>
            <w:tcW w:w="1637" w:type="dxa"/>
          </w:tcPr>
          <w:p w:rsidR="00000000" w:rsidRDefault="00000000">
            <w:pPr>
              <w:jc w:val="right"/>
              <w:rPr>
                <w:sz w:val="22"/>
              </w:rPr>
            </w:pPr>
            <w:r>
              <w:rPr>
                <w:sz w:val="22"/>
              </w:rPr>
              <w:t>4,8</w:t>
            </w:r>
          </w:p>
        </w:tc>
      </w:tr>
      <w:tr w:rsidR="00000000">
        <w:tblPrEx>
          <w:tblCellMar>
            <w:top w:w="0" w:type="dxa"/>
            <w:bottom w:w="0" w:type="dxa"/>
          </w:tblCellMar>
        </w:tblPrEx>
        <w:tc>
          <w:tcPr>
            <w:tcW w:w="1636" w:type="dxa"/>
          </w:tcPr>
          <w:p w:rsidR="00000000" w:rsidRDefault="00000000">
            <w:pPr>
              <w:jc w:val="right"/>
              <w:rPr>
                <w:sz w:val="22"/>
              </w:rPr>
            </w:pPr>
            <w:r>
              <w:rPr>
                <w:sz w:val="22"/>
              </w:rPr>
              <w:t>1993</w:t>
            </w:r>
          </w:p>
        </w:tc>
        <w:tc>
          <w:tcPr>
            <w:tcW w:w="1637" w:type="dxa"/>
          </w:tcPr>
          <w:p w:rsidR="00000000" w:rsidRDefault="00000000">
            <w:pPr>
              <w:jc w:val="right"/>
              <w:rPr>
                <w:sz w:val="22"/>
              </w:rPr>
            </w:pPr>
            <w:r>
              <w:rPr>
                <w:sz w:val="22"/>
              </w:rPr>
              <w:t>34</w:t>
            </w:r>
          </w:p>
        </w:tc>
        <w:tc>
          <w:tcPr>
            <w:tcW w:w="1636" w:type="dxa"/>
          </w:tcPr>
          <w:p w:rsidR="00000000" w:rsidRDefault="00000000">
            <w:pPr>
              <w:jc w:val="right"/>
              <w:rPr>
                <w:sz w:val="22"/>
              </w:rPr>
            </w:pPr>
            <w:r>
              <w:rPr>
                <w:sz w:val="22"/>
              </w:rPr>
              <w:t>32</w:t>
            </w:r>
          </w:p>
        </w:tc>
        <w:tc>
          <w:tcPr>
            <w:tcW w:w="1637" w:type="dxa"/>
          </w:tcPr>
          <w:p w:rsidR="00000000" w:rsidRDefault="00000000">
            <w:pPr>
              <w:jc w:val="right"/>
              <w:rPr>
                <w:sz w:val="22"/>
              </w:rPr>
            </w:pPr>
            <w:r>
              <w:rPr>
                <w:sz w:val="22"/>
              </w:rPr>
              <w:t>94,1</w:t>
            </w:r>
          </w:p>
        </w:tc>
        <w:tc>
          <w:tcPr>
            <w:tcW w:w="1636" w:type="dxa"/>
          </w:tcPr>
          <w:p w:rsidR="00000000" w:rsidRDefault="00000000">
            <w:pPr>
              <w:jc w:val="right"/>
              <w:rPr>
                <w:sz w:val="22"/>
              </w:rPr>
            </w:pPr>
            <w:r>
              <w:rPr>
                <w:sz w:val="22"/>
              </w:rPr>
              <w:t>2</w:t>
            </w:r>
          </w:p>
        </w:tc>
        <w:tc>
          <w:tcPr>
            <w:tcW w:w="1637" w:type="dxa"/>
          </w:tcPr>
          <w:p w:rsidR="00000000" w:rsidRDefault="00000000">
            <w:pPr>
              <w:jc w:val="right"/>
              <w:rPr>
                <w:sz w:val="22"/>
              </w:rPr>
            </w:pPr>
            <w:r>
              <w:rPr>
                <w:sz w:val="22"/>
              </w:rPr>
              <w:t>5,9</w:t>
            </w:r>
          </w:p>
        </w:tc>
      </w:tr>
      <w:tr w:rsidR="00000000">
        <w:tblPrEx>
          <w:tblCellMar>
            <w:top w:w="0" w:type="dxa"/>
            <w:bottom w:w="0" w:type="dxa"/>
          </w:tblCellMar>
        </w:tblPrEx>
        <w:tc>
          <w:tcPr>
            <w:tcW w:w="1636" w:type="dxa"/>
          </w:tcPr>
          <w:p w:rsidR="00000000" w:rsidRDefault="00000000">
            <w:pPr>
              <w:jc w:val="right"/>
              <w:rPr>
                <w:sz w:val="22"/>
              </w:rPr>
            </w:pPr>
            <w:r>
              <w:rPr>
                <w:sz w:val="22"/>
              </w:rPr>
              <w:t>1995</w:t>
            </w:r>
          </w:p>
        </w:tc>
        <w:tc>
          <w:tcPr>
            <w:tcW w:w="1637" w:type="dxa"/>
          </w:tcPr>
          <w:p w:rsidR="00000000" w:rsidRDefault="00000000">
            <w:pPr>
              <w:jc w:val="right"/>
              <w:rPr>
                <w:sz w:val="22"/>
              </w:rPr>
            </w:pPr>
            <w:r>
              <w:rPr>
                <w:sz w:val="22"/>
              </w:rPr>
              <w:t>35</w:t>
            </w:r>
          </w:p>
        </w:tc>
        <w:tc>
          <w:tcPr>
            <w:tcW w:w="1636" w:type="dxa"/>
          </w:tcPr>
          <w:p w:rsidR="00000000" w:rsidRDefault="00000000">
            <w:pPr>
              <w:jc w:val="right"/>
              <w:rPr>
                <w:sz w:val="22"/>
              </w:rPr>
            </w:pPr>
            <w:r>
              <w:rPr>
                <w:sz w:val="22"/>
              </w:rPr>
              <w:t>32</w:t>
            </w:r>
          </w:p>
        </w:tc>
        <w:tc>
          <w:tcPr>
            <w:tcW w:w="1637" w:type="dxa"/>
          </w:tcPr>
          <w:p w:rsidR="00000000" w:rsidRDefault="00000000">
            <w:pPr>
              <w:jc w:val="right"/>
              <w:rPr>
                <w:sz w:val="22"/>
              </w:rPr>
            </w:pPr>
            <w:r>
              <w:rPr>
                <w:sz w:val="22"/>
              </w:rPr>
              <w:t>91,4</w:t>
            </w:r>
          </w:p>
        </w:tc>
        <w:tc>
          <w:tcPr>
            <w:tcW w:w="1636" w:type="dxa"/>
          </w:tcPr>
          <w:p w:rsidR="00000000" w:rsidRDefault="00000000">
            <w:pPr>
              <w:jc w:val="right"/>
              <w:rPr>
                <w:sz w:val="22"/>
              </w:rPr>
            </w:pPr>
            <w:r>
              <w:rPr>
                <w:sz w:val="22"/>
              </w:rPr>
              <w:t>3</w:t>
            </w:r>
          </w:p>
        </w:tc>
        <w:tc>
          <w:tcPr>
            <w:tcW w:w="1637" w:type="dxa"/>
          </w:tcPr>
          <w:p w:rsidR="00000000" w:rsidRDefault="00000000">
            <w:pPr>
              <w:jc w:val="right"/>
              <w:rPr>
                <w:sz w:val="22"/>
              </w:rPr>
            </w:pPr>
            <w:r>
              <w:rPr>
                <w:sz w:val="22"/>
              </w:rPr>
              <w:t>8,6</w:t>
            </w:r>
          </w:p>
        </w:tc>
      </w:tr>
      <w:tr w:rsidR="00000000">
        <w:tblPrEx>
          <w:tblCellMar>
            <w:top w:w="0" w:type="dxa"/>
            <w:bottom w:w="0" w:type="dxa"/>
          </w:tblCellMar>
        </w:tblPrEx>
        <w:tc>
          <w:tcPr>
            <w:tcW w:w="1636" w:type="dxa"/>
          </w:tcPr>
          <w:p w:rsidR="00000000" w:rsidRDefault="00000000">
            <w:pPr>
              <w:jc w:val="right"/>
              <w:rPr>
                <w:sz w:val="22"/>
              </w:rPr>
            </w:pPr>
            <w:r>
              <w:rPr>
                <w:sz w:val="22"/>
              </w:rPr>
              <w:t>1997</w:t>
            </w:r>
          </w:p>
        </w:tc>
        <w:tc>
          <w:tcPr>
            <w:tcW w:w="1637" w:type="dxa"/>
          </w:tcPr>
          <w:p w:rsidR="00000000" w:rsidRDefault="00000000">
            <w:pPr>
              <w:jc w:val="right"/>
              <w:rPr>
                <w:sz w:val="22"/>
              </w:rPr>
            </w:pPr>
            <w:r>
              <w:rPr>
                <w:sz w:val="22"/>
              </w:rPr>
              <w:t>* 35</w:t>
            </w:r>
          </w:p>
        </w:tc>
        <w:tc>
          <w:tcPr>
            <w:tcW w:w="1636" w:type="dxa"/>
          </w:tcPr>
          <w:p w:rsidR="00000000" w:rsidRDefault="00000000">
            <w:pPr>
              <w:jc w:val="right"/>
              <w:rPr>
                <w:sz w:val="22"/>
              </w:rPr>
            </w:pPr>
            <w:r>
              <w:rPr>
                <w:sz w:val="22"/>
              </w:rPr>
              <w:t>32</w:t>
            </w:r>
          </w:p>
        </w:tc>
        <w:tc>
          <w:tcPr>
            <w:tcW w:w="1637" w:type="dxa"/>
          </w:tcPr>
          <w:p w:rsidR="00000000" w:rsidRDefault="00000000">
            <w:pPr>
              <w:jc w:val="right"/>
              <w:rPr>
                <w:sz w:val="22"/>
              </w:rPr>
            </w:pPr>
            <w:r>
              <w:rPr>
                <w:sz w:val="22"/>
              </w:rPr>
              <w:t>91,4</w:t>
            </w:r>
          </w:p>
        </w:tc>
        <w:tc>
          <w:tcPr>
            <w:tcW w:w="1636" w:type="dxa"/>
          </w:tcPr>
          <w:p w:rsidR="00000000" w:rsidRDefault="00000000">
            <w:pPr>
              <w:jc w:val="right"/>
              <w:rPr>
                <w:sz w:val="22"/>
              </w:rPr>
            </w:pPr>
            <w:r>
              <w:rPr>
                <w:sz w:val="22"/>
              </w:rPr>
              <w:t>3</w:t>
            </w:r>
          </w:p>
        </w:tc>
        <w:tc>
          <w:tcPr>
            <w:tcW w:w="1637" w:type="dxa"/>
          </w:tcPr>
          <w:p w:rsidR="00000000" w:rsidRDefault="00000000">
            <w:pPr>
              <w:jc w:val="right"/>
              <w:rPr>
                <w:sz w:val="22"/>
              </w:rPr>
            </w:pPr>
            <w:r>
              <w:rPr>
                <w:sz w:val="22"/>
              </w:rPr>
              <w:t>8,5</w:t>
            </w:r>
          </w:p>
        </w:tc>
      </w:tr>
      <w:tr w:rsidR="00000000">
        <w:tblPrEx>
          <w:tblCellMar>
            <w:top w:w="0" w:type="dxa"/>
            <w:bottom w:w="0" w:type="dxa"/>
          </w:tblCellMar>
        </w:tblPrEx>
        <w:tc>
          <w:tcPr>
            <w:tcW w:w="1636" w:type="dxa"/>
          </w:tcPr>
          <w:p w:rsidR="00000000" w:rsidRDefault="00000000">
            <w:pPr>
              <w:jc w:val="right"/>
              <w:rPr>
                <w:sz w:val="22"/>
              </w:rPr>
            </w:pPr>
            <w:r>
              <w:rPr>
                <w:sz w:val="22"/>
              </w:rPr>
              <w:t>1997</w:t>
            </w:r>
          </w:p>
        </w:tc>
        <w:tc>
          <w:tcPr>
            <w:tcW w:w="1637" w:type="dxa"/>
          </w:tcPr>
          <w:p w:rsidR="00000000" w:rsidRDefault="00000000">
            <w:pPr>
              <w:jc w:val="right"/>
              <w:rPr>
                <w:sz w:val="22"/>
              </w:rPr>
            </w:pPr>
            <w:r>
              <w:rPr>
                <w:sz w:val="22"/>
              </w:rPr>
              <w:t>**</w:t>
            </w:r>
          </w:p>
        </w:tc>
        <w:tc>
          <w:tcPr>
            <w:tcW w:w="1636" w:type="dxa"/>
          </w:tcPr>
          <w:p w:rsidR="00000000" w:rsidRDefault="00000000">
            <w:pPr>
              <w:jc w:val="right"/>
              <w:rPr>
                <w:sz w:val="22"/>
              </w:rPr>
            </w:pPr>
          </w:p>
        </w:tc>
        <w:tc>
          <w:tcPr>
            <w:tcW w:w="1637" w:type="dxa"/>
          </w:tcPr>
          <w:p w:rsidR="00000000" w:rsidRDefault="00000000">
            <w:pPr>
              <w:jc w:val="right"/>
              <w:rPr>
                <w:sz w:val="22"/>
              </w:rPr>
            </w:pPr>
          </w:p>
        </w:tc>
        <w:tc>
          <w:tcPr>
            <w:tcW w:w="1636" w:type="dxa"/>
          </w:tcPr>
          <w:p w:rsidR="00000000" w:rsidRDefault="00000000">
            <w:pPr>
              <w:jc w:val="right"/>
              <w:rPr>
                <w:sz w:val="22"/>
              </w:rPr>
            </w:pPr>
            <w:r>
              <w:rPr>
                <w:sz w:val="22"/>
              </w:rPr>
              <w:t>3 après guerre</w:t>
            </w:r>
          </w:p>
        </w:tc>
        <w:tc>
          <w:tcPr>
            <w:tcW w:w="1637" w:type="dxa"/>
          </w:tcPr>
          <w:p w:rsidR="00000000" w:rsidRDefault="00000000">
            <w:pPr>
              <w:jc w:val="right"/>
              <w:rPr>
                <w:sz w:val="22"/>
              </w:rPr>
            </w:pPr>
          </w:p>
        </w:tc>
      </w:tr>
      <w:tr w:rsidR="00000000">
        <w:tblPrEx>
          <w:tblCellMar>
            <w:top w:w="0" w:type="dxa"/>
            <w:bottom w:w="0" w:type="dxa"/>
          </w:tblCellMar>
        </w:tblPrEx>
        <w:tc>
          <w:tcPr>
            <w:tcW w:w="1636" w:type="dxa"/>
          </w:tcPr>
          <w:p w:rsidR="00000000" w:rsidRDefault="00000000">
            <w:pPr>
              <w:jc w:val="right"/>
              <w:rPr>
                <w:sz w:val="22"/>
              </w:rPr>
            </w:pPr>
            <w:r>
              <w:rPr>
                <w:sz w:val="22"/>
              </w:rPr>
              <w:t>1997-1998</w:t>
            </w:r>
          </w:p>
        </w:tc>
        <w:tc>
          <w:tcPr>
            <w:tcW w:w="1637" w:type="dxa"/>
          </w:tcPr>
          <w:p w:rsidR="00000000" w:rsidRDefault="00000000">
            <w:pPr>
              <w:jc w:val="right"/>
              <w:rPr>
                <w:sz w:val="22"/>
              </w:rPr>
            </w:pPr>
            <w:r>
              <w:rPr>
                <w:sz w:val="22"/>
              </w:rPr>
              <w:t>35</w:t>
            </w:r>
          </w:p>
        </w:tc>
        <w:tc>
          <w:tcPr>
            <w:tcW w:w="1636" w:type="dxa"/>
          </w:tcPr>
          <w:p w:rsidR="00000000" w:rsidRDefault="00000000">
            <w:pPr>
              <w:jc w:val="right"/>
              <w:rPr>
                <w:sz w:val="22"/>
              </w:rPr>
            </w:pPr>
            <w:r>
              <w:rPr>
                <w:sz w:val="22"/>
              </w:rPr>
              <w:t>32</w:t>
            </w:r>
          </w:p>
        </w:tc>
        <w:tc>
          <w:tcPr>
            <w:tcW w:w="1637" w:type="dxa"/>
          </w:tcPr>
          <w:p w:rsidR="00000000" w:rsidRDefault="00000000">
            <w:pPr>
              <w:jc w:val="right"/>
              <w:rPr>
                <w:sz w:val="22"/>
              </w:rPr>
            </w:pPr>
            <w:r>
              <w:rPr>
                <w:sz w:val="22"/>
              </w:rPr>
              <w:t>91,4</w:t>
            </w:r>
          </w:p>
        </w:tc>
        <w:tc>
          <w:tcPr>
            <w:tcW w:w="1636" w:type="dxa"/>
          </w:tcPr>
          <w:p w:rsidR="00000000" w:rsidRDefault="00000000">
            <w:pPr>
              <w:jc w:val="right"/>
              <w:rPr>
                <w:sz w:val="22"/>
              </w:rPr>
            </w:pPr>
            <w:r>
              <w:rPr>
                <w:sz w:val="22"/>
              </w:rPr>
              <w:t>3</w:t>
            </w:r>
          </w:p>
        </w:tc>
        <w:tc>
          <w:tcPr>
            <w:tcW w:w="1637" w:type="dxa"/>
          </w:tcPr>
          <w:p w:rsidR="00000000" w:rsidRDefault="00000000">
            <w:pPr>
              <w:jc w:val="right"/>
              <w:rPr>
                <w:sz w:val="22"/>
              </w:rPr>
            </w:pPr>
            <w:r>
              <w:rPr>
                <w:sz w:val="22"/>
              </w:rPr>
              <w:t>8,6</w:t>
            </w:r>
          </w:p>
        </w:tc>
      </w:tr>
      <w:tr w:rsidR="00000000">
        <w:tblPrEx>
          <w:tblCellMar>
            <w:top w:w="0" w:type="dxa"/>
            <w:bottom w:w="0" w:type="dxa"/>
          </w:tblCellMar>
        </w:tblPrEx>
        <w:tc>
          <w:tcPr>
            <w:tcW w:w="1636" w:type="dxa"/>
          </w:tcPr>
          <w:p w:rsidR="00000000" w:rsidRDefault="00000000">
            <w:pPr>
              <w:jc w:val="right"/>
              <w:rPr>
                <w:sz w:val="22"/>
              </w:rPr>
            </w:pPr>
            <w:r>
              <w:rPr>
                <w:sz w:val="22"/>
              </w:rPr>
              <w:t>1999-2000</w:t>
            </w:r>
          </w:p>
        </w:tc>
        <w:tc>
          <w:tcPr>
            <w:tcW w:w="1637" w:type="dxa"/>
          </w:tcPr>
          <w:p w:rsidR="00000000" w:rsidRDefault="00000000">
            <w:pPr>
              <w:jc w:val="right"/>
              <w:rPr>
                <w:sz w:val="22"/>
              </w:rPr>
            </w:pPr>
            <w:r>
              <w:rPr>
                <w:sz w:val="22"/>
              </w:rPr>
              <w:t>25</w:t>
            </w:r>
          </w:p>
        </w:tc>
        <w:tc>
          <w:tcPr>
            <w:tcW w:w="1636" w:type="dxa"/>
          </w:tcPr>
          <w:p w:rsidR="00000000" w:rsidRDefault="00000000">
            <w:pPr>
              <w:jc w:val="right"/>
              <w:rPr>
                <w:sz w:val="22"/>
              </w:rPr>
            </w:pPr>
            <w:r>
              <w:rPr>
                <w:sz w:val="22"/>
              </w:rPr>
              <w:t>23</w:t>
            </w:r>
          </w:p>
        </w:tc>
        <w:tc>
          <w:tcPr>
            <w:tcW w:w="1637" w:type="dxa"/>
          </w:tcPr>
          <w:p w:rsidR="00000000" w:rsidRDefault="00000000">
            <w:pPr>
              <w:jc w:val="right"/>
              <w:rPr>
                <w:sz w:val="22"/>
              </w:rPr>
            </w:pPr>
            <w:r>
              <w:rPr>
                <w:sz w:val="22"/>
              </w:rPr>
              <w:t>92</w:t>
            </w:r>
          </w:p>
        </w:tc>
        <w:tc>
          <w:tcPr>
            <w:tcW w:w="1636" w:type="dxa"/>
          </w:tcPr>
          <w:p w:rsidR="00000000" w:rsidRDefault="00000000">
            <w:pPr>
              <w:jc w:val="right"/>
              <w:rPr>
                <w:sz w:val="22"/>
              </w:rPr>
            </w:pPr>
            <w:r>
              <w:rPr>
                <w:sz w:val="22"/>
              </w:rPr>
              <w:t>2</w:t>
            </w:r>
          </w:p>
        </w:tc>
        <w:tc>
          <w:tcPr>
            <w:tcW w:w="1637" w:type="dxa"/>
          </w:tcPr>
          <w:p w:rsidR="00000000" w:rsidRDefault="00000000">
            <w:pPr>
              <w:jc w:val="right"/>
              <w:rPr>
                <w:sz w:val="22"/>
              </w:rPr>
            </w:pPr>
            <w:r>
              <w:rPr>
                <w:sz w:val="22"/>
              </w:rPr>
              <w:t>8</w:t>
            </w:r>
          </w:p>
        </w:tc>
      </w:tr>
    </w:tbl>
    <w:p w:rsidR="00000000" w:rsidRDefault="00000000">
      <w:pPr>
        <w:pStyle w:val="BodyText2"/>
        <w:jc w:val="center"/>
      </w:pPr>
    </w:p>
    <w:p w:rsidR="00000000" w:rsidRDefault="00000000">
      <w:pPr>
        <w:jc w:val="both"/>
        <w:rPr>
          <w:sz w:val="22"/>
        </w:rPr>
      </w:pPr>
      <w:r>
        <w:rPr>
          <w:sz w:val="22"/>
        </w:rPr>
        <w:t>Au plan administratif, le sort des femmes n’est guère meilleur. Si les résultats du recensement général de la population et de l’habitat de 1984, révèlent une présence féminine de 3,9 % aux postes de direction, aujourd’hui, on constate un fléchissement de cette représentativité.</w:t>
      </w:r>
    </w:p>
    <w:p w:rsidR="00000000" w:rsidRDefault="00000000">
      <w:pPr>
        <w:jc w:val="both"/>
        <w:rPr>
          <w:sz w:val="22"/>
        </w:rPr>
      </w:pPr>
      <w:r>
        <w:rPr>
          <w:sz w:val="22"/>
        </w:rPr>
        <w:t>L’étude menée en 1991 sur le potentiel femme dans le secteur moderne à Brazzaville confirme cette tendance tant au niveau des secteurs public, mixte que privé.</w:t>
      </w:r>
    </w:p>
    <w:p w:rsidR="00000000" w:rsidRDefault="00000000">
      <w:pPr>
        <w:pStyle w:val="Heading1"/>
        <w:jc w:val="both"/>
      </w:pPr>
    </w:p>
    <w:p w:rsidR="00000000" w:rsidRDefault="00000000">
      <w:pPr>
        <w:pStyle w:val="Heading1"/>
        <w:jc w:val="both"/>
      </w:pPr>
      <w:r>
        <w:rPr>
          <w:u w:val="single"/>
        </w:rPr>
        <w:t>Tableau n° 6</w:t>
      </w:r>
      <w:r>
        <w:t> : Occupation des postes de direction en 1991</w:t>
      </w:r>
    </w:p>
    <w:p w:rsidR="00000000" w:rsidRDefault="00000000"/>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3261"/>
        <w:gridCol w:w="3261"/>
      </w:tblGrid>
      <w:tr w:rsidR="00000000">
        <w:tblPrEx>
          <w:tblCellMar>
            <w:top w:w="0" w:type="dxa"/>
            <w:bottom w:w="0" w:type="dxa"/>
          </w:tblCellMar>
        </w:tblPrEx>
        <w:trPr>
          <w:trHeight w:val="614"/>
        </w:trPr>
        <w:tc>
          <w:tcPr>
            <w:tcW w:w="3261" w:type="dxa"/>
          </w:tcPr>
          <w:p w:rsidR="00000000" w:rsidRDefault="00000000">
            <w:pPr>
              <w:pStyle w:val="BodyText2"/>
            </w:pPr>
            <w:r>
              <w:rPr>
                <w:noProof/>
              </w:rPr>
              <w:pict>
                <v:line id="_x0000_s2052" style="position:absolute;z-index:2" from="1.1pt,7.05pt" to="145.1pt,28.65pt" o:allowincell="f"/>
              </w:pict>
            </w:r>
            <w:r>
              <w:t xml:space="preserve">                    Sexe </w:t>
            </w:r>
          </w:p>
          <w:p w:rsidR="00000000" w:rsidRDefault="00000000">
            <w:pPr>
              <w:pStyle w:val="BodyText2"/>
            </w:pPr>
            <w:r>
              <w:t>Poste</w:t>
            </w:r>
          </w:p>
        </w:tc>
        <w:tc>
          <w:tcPr>
            <w:tcW w:w="3261" w:type="dxa"/>
          </w:tcPr>
          <w:p w:rsidR="00000000" w:rsidRDefault="00000000">
            <w:pPr>
              <w:pStyle w:val="BodyText2"/>
              <w:jc w:val="center"/>
            </w:pPr>
            <w:r>
              <w:t xml:space="preserve">Hommes </w:t>
            </w:r>
          </w:p>
        </w:tc>
        <w:tc>
          <w:tcPr>
            <w:tcW w:w="3261" w:type="dxa"/>
          </w:tcPr>
          <w:p w:rsidR="00000000" w:rsidRDefault="00000000">
            <w:pPr>
              <w:pStyle w:val="BodyText2"/>
              <w:jc w:val="center"/>
            </w:pPr>
            <w:r>
              <w:t xml:space="preserve">Femmes </w:t>
            </w:r>
          </w:p>
        </w:tc>
      </w:tr>
      <w:tr w:rsidR="00000000">
        <w:tblPrEx>
          <w:tblCellMar>
            <w:top w:w="0" w:type="dxa"/>
            <w:bottom w:w="0" w:type="dxa"/>
          </w:tblCellMar>
        </w:tblPrEx>
        <w:tc>
          <w:tcPr>
            <w:tcW w:w="3261" w:type="dxa"/>
          </w:tcPr>
          <w:p w:rsidR="00000000" w:rsidRDefault="00000000">
            <w:pPr>
              <w:pStyle w:val="BodyText2"/>
              <w:jc w:val="both"/>
              <w:rPr>
                <w:b w:val="0"/>
              </w:rPr>
            </w:pPr>
            <w:r>
              <w:rPr>
                <w:b w:val="0"/>
              </w:rPr>
              <w:t>Directeur Général</w:t>
            </w:r>
          </w:p>
        </w:tc>
        <w:tc>
          <w:tcPr>
            <w:tcW w:w="3261" w:type="dxa"/>
          </w:tcPr>
          <w:p w:rsidR="00000000" w:rsidRDefault="00000000">
            <w:pPr>
              <w:pStyle w:val="BodyText2"/>
              <w:jc w:val="right"/>
              <w:rPr>
                <w:b w:val="0"/>
              </w:rPr>
            </w:pPr>
            <w:r>
              <w:rPr>
                <w:b w:val="0"/>
              </w:rPr>
              <w:t>127</w:t>
            </w:r>
          </w:p>
        </w:tc>
        <w:tc>
          <w:tcPr>
            <w:tcW w:w="3261" w:type="dxa"/>
          </w:tcPr>
          <w:p w:rsidR="00000000" w:rsidRDefault="00000000">
            <w:pPr>
              <w:pStyle w:val="BodyText2"/>
              <w:jc w:val="right"/>
              <w:rPr>
                <w:b w:val="0"/>
              </w:rPr>
            </w:pPr>
            <w:r>
              <w:rPr>
                <w:b w:val="0"/>
              </w:rPr>
              <w:t>3</w:t>
            </w:r>
          </w:p>
        </w:tc>
      </w:tr>
      <w:tr w:rsidR="00000000">
        <w:tblPrEx>
          <w:tblCellMar>
            <w:top w:w="0" w:type="dxa"/>
            <w:bottom w:w="0" w:type="dxa"/>
          </w:tblCellMar>
        </w:tblPrEx>
        <w:tc>
          <w:tcPr>
            <w:tcW w:w="3261" w:type="dxa"/>
          </w:tcPr>
          <w:p w:rsidR="00000000" w:rsidRDefault="00000000">
            <w:pPr>
              <w:pStyle w:val="BodyText2"/>
              <w:jc w:val="both"/>
              <w:rPr>
                <w:b w:val="0"/>
              </w:rPr>
            </w:pPr>
            <w:r>
              <w:rPr>
                <w:b w:val="0"/>
              </w:rPr>
              <w:t>Conseiller</w:t>
            </w:r>
          </w:p>
        </w:tc>
        <w:tc>
          <w:tcPr>
            <w:tcW w:w="3261" w:type="dxa"/>
          </w:tcPr>
          <w:p w:rsidR="00000000" w:rsidRDefault="00000000">
            <w:pPr>
              <w:pStyle w:val="BodyText2"/>
              <w:jc w:val="right"/>
              <w:rPr>
                <w:b w:val="0"/>
              </w:rPr>
            </w:pPr>
            <w:r>
              <w:rPr>
                <w:b w:val="0"/>
              </w:rPr>
              <w:t>162</w:t>
            </w:r>
          </w:p>
        </w:tc>
        <w:tc>
          <w:tcPr>
            <w:tcW w:w="3261" w:type="dxa"/>
          </w:tcPr>
          <w:p w:rsidR="00000000" w:rsidRDefault="00000000">
            <w:pPr>
              <w:pStyle w:val="BodyText2"/>
              <w:jc w:val="right"/>
              <w:rPr>
                <w:b w:val="0"/>
              </w:rPr>
            </w:pPr>
            <w:r>
              <w:rPr>
                <w:b w:val="0"/>
              </w:rPr>
              <w:t>15</w:t>
            </w:r>
          </w:p>
        </w:tc>
      </w:tr>
      <w:tr w:rsidR="00000000">
        <w:tblPrEx>
          <w:tblCellMar>
            <w:top w:w="0" w:type="dxa"/>
            <w:bottom w:w="0" w:type="dxa"/>
          </w:tblCellMar>
        </w:tblPrEx>
        <w:tc>
          <w:tcPr>
            <w:tcW w:w="3261" w:type="dxa"/>
          </w:tcPr>
          <w:p w:rsidR="00000000" w:rsidRDefault="00000000">
            <w:pPr>
              <w:pStyle w:val="BodyText2"/>
              <w:jc w:val="both"/>
              <w:rPr>
                <w:b w:val="0"/>
              </w:rPr>
            </w:pPr>
            <w:r>
              <w:rPr>
                <w:b w:val="0"/>
              </w:rPr>
              <w:t>Directeur Central</w:t>
            </w:r>
          </w:p>
        </w:tc>
        <w:tc>
          <w:tcPr>
            <w:tcW w:w="3261" w:type="dxa"/>
          </w:tcPr>
          <w:p w:rsidR="00000000" w:rsidRDefault="00000000">
            <w:pPr>
              <w:pStyle w:val="BodyText2"/>
              <w:jc w:val="right"/>
              <w:rPr>
                <w:b w:val="0"/>
              </w:rPr>
            </w:pPr>
            <w:r>
              <w:rPr>
                <w:b w:val="0"/>
              </w:rPr>
              <w:t>593</w:t>
            </w:r>
          </w:p>
        </w:tc>
        <w:tc>
          <w:tcPr>
            <w:tcW w:w="3261" w:type="dxa"/>
          </w:tcPr>
          <w:p w:rsidR="00000000" w:rsidRDefault="00000000">
            <w:pPr>
              <w:pStyle w:val="BodyText2"/>
              <w:jc w:val="right"/>
              <w:rPr>
                <w:b w:val="0"/>
              </w:rPr>
            </w:pPr>
            <w:r>
              <w:rPr>
                <w:b w:val="0"/>
              </w:rPr>
              <w:t>74</w:t>
            </w:r>
          </w:p>
        </w:tc>
      </w:tr>
      <w:tr w:rsidR="00000000">
        <w:tblPrEx>
          <w:tblCellMar>
            <w:top w:w="0" w:type="dxa"/>
            <w:bottom w:w="0" w:type="dxa"/>
          </w:tblCellMar>
        </w:tblPrEx>
        <w:tc>
          <w:tcPr>
            <w:tcW w:w="3261" w:type="dxa"/>
          </w:tcPr>
          <w:p w:rsidR="00000000" w:rsidRDefault="00000000">
            <w:pPr>
              <w:pStyle w:val="BodyText2"/>
              <w:jc w:val="both"/>
              <w:rPr>
                <w:b w:val="0"/>
              </w:rPr>
            </w:pPr>
            <w:r>
              <w:rPr>
                <w:b w:val="0"/>
              </w:rPr>
              <w:t>Attaché</w:t>
            </w:r>
          </w:p>
        </w:tc>
        <w:tc>
          <w:tcPr>
            <w:tcW w:w="3261" w:type="dxa"/>
          </w:tcPr>
          <w:p w:rsidR="00000000" w:rsidRDefault="00000000">
            <w:pPr>
              <w:pStyle w:val="BodyText2"/>
              <w:jc w:val="right"/>
              <w:rPr>
                <w:b w:val="0"/>
              </w:rPr>
            </w:pPr>
            <w:r>
              <w:rPr>
                <w:b w:val="0"/>
              </w:rPr>
              <w:t>120</w:t>
            </w:r>
          </w:p>
        </w:tc>
        <w:tc>
          <w:tcPr>
            <w:tcW w:w="3261" w:type="dxa"/>
          </w:tcPr>
          <w:p w:rsidR="00000000" w:rsidRDefault="00000000">
            <w:pPr>
              <w:pStyle w:val="BodyText2"/>
              <w:jc w:val="right"/>
              <w:rPr>
                <w:b w:val="0"/>
              </w:rPr>
            </w:pPr>
            <w:r>
              <w:rPr>
                <w:b w:val="0"/>
              </w:rPr>
              <w:t>32</w:t>
            </w:r>
          </w:p>
        </w:tc>
      </w:tr>
      <w:tr w:rsidR="00000000">
        <w:tblPrEx>
          <w:tblCellMar>
            <w:top w:w="0" w:type="dxa"/>
            <w:bottom w:w="0" w:type="dxa"/>
          </w:tblCellMar>
        </w:tblPrEx>
        <w:tc>
          <w:tcPr>
            <w:tcW w:w="3261" w:type="dxa"/>
          </w:tcPr>
          <w:p w:rsidR="00000000" w:rsidRDefault="00000000">
            <w:pPr>
              <w:pStyle w:val="BodyText2"/>
              <w:jc w:val="both"/>
              <w:rPr>
                <w:b w:val="0"/>
              </w:rPr>
            </w:pPr>
            <w:r>
              <w:rPr>
                <w:b w:val="0"/>
              </w:rPr>
              <w:t>Chef de service</w:t>
            </w:r>
          </w:p>
        </w:tc>
        <w:tc>
          <w:tcPr>
            <w:tcW w:w="3261" w:type="dxa"/>
          </w:tcPr>
          <w:p w:rsidR="00000000" w:rsidRDefault="00000000">
            <w:pPr>
              <w:pStyle w:val="BodyText2"/>
              <w:jc w:val="right"/>
              <w:rPr>
                <w:b w:val="0"/>
              </w:rPr>
            </w:pPr>
            <w:r>
              <w:rPr>
                <w:b w:val="0"/>
              </w:rPr>
              <w:t>1428</w:t>
            </w:r>
          </w:p>
        </w:tc>
        <w:tc>
          <w:tcPr>
            <w:tcW w:w="3261" w:type="dxa"/>
          </w:tcPr>
          <w:p w:rsidR="00000000" w:rsidRDefault="00000000">
            <w:pPr>
              <w:pStyle w:val="BodyText2"/>
              <w:jc w:val="right"/>
              <w:rPr>
                <w:b w:val="0"/>
              </w:rPr>
            </w:pPr>
            <w:r>
              <w:rPr>
                <w:b w:val="0"/>
              </w:rPr>
              <w:t>242</w:t>
            </w:r>
          </w:p>
        </w:tc>
      </w:tr>
    </w:tbl>
    <w:p w:rsidR="00000000" w:rsidRDefault="00000000">
      <w:pPr>
        <w:pStyle w:val="Heading3"/>
        <w:jc w:val="both"/>
        <w:rPr>
          <w:b w:val="0"/>
          <w:sz w:val="22"/>
        </w:rPr>
      </w:pPr>
    </w:p>
    <w:p w:rsidR="00000000" w:rsidRDefault="00000000">
      <w:pPr>
        <w:pStyle w:val="Heading3"/>
        <w:jc w:val="both"/>
        <w:rPr>
          <w:b w:val="0"/>
          <w:sz w:val="22"/>
        </w:rPr>
      </w:pPr>
      <w:r>
        <w:rPr>
          <w:b w:val="0"/>
          <w:sz w:val="22"/>
        </w:rPr>
        <w:t>Les cabinets ministériels se caractérisent par la sous représentativité des femmes.</w:t>
      </w:r>
    </w:p>
    <w:p w:rsidR="00000000" w:rsidRDefault="00000000"/>
    <w:p w:rsidR="00000000" w:rsidRDefault="00000000">
      <w:pPr>
        <w:pStyle w:val="Heading3"/>
        <w:spacing w:line="120" w:lineRule="exact"/>
        <w:rPr>
          <w:sz w:val="10"/>
          <w:u w:val="single"/>
        </w:rPr>
      </w:pPr>
    </w:p>
    <w:p w:rsidR="00000000" w:rsidRDefault="00000000">
      <w:pPr>
        <w:pStyle w:val="Heading3"/>
        <w:rPr>
          <w:sz w:val="22"/>
        </w:rPr>
      </w:pPr>
      <w:r>
        <w:rPr>
          <w:sz w:val="22"/>
          <w:u w:val="single"/>
        </w:rPr>
        <w:t>Tableau n° 7</w:t>
      </w:r>
      <w:r>
        <w:rPr>
          <w:sz w:val="22"/>
        </w:rPr>
        <w:t> : Occupation du poste de Directeur de Cabinet</w:t>
      </w:r>
    </w:p>
    <w:p w:rsidR="00000000" w:rsidRDefault="00000000">
      <w:pPr>
        <w:rPr>
          <w:b/>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00"/>
        <w:gridCol w:w="713"/>
        <w:gridCol w:w="714"/>
        <w:gridCol w:w="714"/>
        <w:gridCol w:w="713"/>
        <w:gridCol w:w="714"/>
        <w:gridCol w:w="714"/>
        <w:gridCol w:w="713"/>
        <w:gridCol w:w="714"/>
        <w:gridCol w:w="714"/>
        <w:gridCol w:w="714"/>
      </w:tblGrid>
      <w:tr w:rsidR="00000000">
        <w:tblPrEx>
          <w:tblCellMar>
            <w:top w:w="0" w:type="dxa"/>
            <w:bottom w:w="0" w:type="dxa"/>
          </w:tblCellMar>
        </w:tblPrEx>
        <w:trPr>
          <w:cantSplit/>
        </w:trPr>
        <w:tc>
          <w:tcPr>
            <w:tcW w:w="2700" w:type="dxa"/>
            <w:vMerge w:val="restart"/>
          </w:tcPr>
          <w:p w:rsidR="00000000" w:rsidRDefault="00000000">
            <w:pPr>
              <w:pStyle w:val="Heading3"/>
              <w:jc w:val="center"/>
              <w:rPr>
                <w:sz w:val="22"/>
              </w:rPr>
            </w:pPr>
            <w:r>
              <w:rPr>
                <w:sz w:val="22"/>
              </w:rPr>
              <w:t>Année</w:t>
            </w:r>
          </w:p>
        </w:tc>
        <w:tc>
          <w:tcPr>
            <w:tcW w:w="1427" w:type="dxa"/>
            <w:gridSpan w:val="2"/>
          </w:tcPr>
          <w:p w:rsidR="00000000" w:rsidRDefault="00000000">
            <w:pPr>
              <w:pStyle w:val="Heading9"/>
            </w:pPr>
            <w:r>
              <w:t>Présidence</w:t>
            </w:r>
          </w:p>
        </w:tc>
        <w:tc>
          <w:tcPr>
            <w:tcW w:w="1427" w:type="dxa"/>
            <w:gridSpan w:val="2"/>
          </w:tcPr>
          <w:p w:rsidR="00000000" w:rsidRDefault="00000000">
            <w:pPr>
              <w:jc w:val="center"/>
              <w:rPr>
                <w:b/>
                <w:sz w:val="22"/>
              </w:rPr>
            </w:pPr>
            <w:r>
              <w:rPr>
                <w:b/>
                <w:sz w:val="22"/>
              </w:rPr>
              <w:t>Assemblée Nationale</w:t>
            </w:r>
          </w:p>
        </w:tc>
        <w:tc>
          <w:tcPr>
            <w:tcW w:w="1428" w:type="dxa"/>
            <w:gridSpan w:val="2"/>
          </w:tcPr>
          <w:p w:rsidR="00000000" w:rsidRDefault="00000000">
            <w:pPr>
              <w:jc w:val="center"/>
              <w:rPr>
                <w:b/>
                <w:sz w:val="22"/>
              </w:rPr>
            </w:pPr>
            <w:r>
              <w:rPr>
                <w:b/>
                <w:sz w:val="22"/>
              </w:rPr>
              <w:t>Sénat</w:t>
            </w:r>
          </w:p>
        </w:tc>
        <w:tc>
          <w:tcPr>
            <w:tcW w:w="1427" w:type="dxa"/>
            <w:gridSpan w:val="2"/>
          </w:tcPr>
          <w:p w:rsidR="00000000" w:rsidRDefault="00000000">
            <w:pPr>
              <w:jc w:val="center"/>
              <w:rPr>
                <w:b/>
                <w:sz w:val="22"/>
              </w:rPr>
            </w:pPr>
            <w:r>
              <w:rPr>
                <w:b/>
                <w:sz w:val="22"/>
              </w:rPr>
              <w:t>Primature</w:t>
            </w:r>
          </w:p>
        </w:tc>
        <w:tc>
          <w:tcPr>
            <w:tcW w:w="1428" w:type="dxa"/>
            <w:gridSpan w:val="2"/>
          </w:tcPr>
          <w:p w:rsidR="00000000" w:rsidRDefault="00000000">
            <w:pPr>
              <w:jc w:val="center"/>
              <w:rPr>
                <w:b/>
                <w:sz w:val="22"/>
              </w:rPr>
            </w:pPr>
            <w:r>
              <w:rPr>
                <w:b/>
                <w:sz w:val="22"/>
              </w:rPr>
              <w:t>Ministres</w:t>
            </w:r>
          </w:p>
        </w:tc>
      </w:tr>
      <w:tr w:rsidR="00000000">
        <w:tblPrEx>
          <w:tblCellMar>
            <w:top w:w="0" w:type="dxa"/>
            <w:bottom w:w="0" w:type="dxa"/>
          </w:tblCellMar>
        </w:tblPrEx>
        <w:trPr>
          <w:cantSplit/>
        </w:trPr>
        <w:tc>
          <w:tcPr>
            <w:tcW w:w="2700" w:type="dxa"/>
            <w:vMerge/>
          </w:tcPr>
          <w:p w:rsidR="00000000" w:rsidRDefault="00000000">
            <w:pPr>
              <w:rPr>
                <w:sz w:val="22"/>
              </w:rPr>
            </w:pPr>
          </w:p>
        </w:tc>
        <w:tc>
          <w:tcPr>
            <w:tcW w:w="713" w:type="dxa"/>
          </w:tcPr>
          <w:p w:rsidR="00000000" w:rsidRDefault="00000000">
            <w:pPr>
              <w:jc w:val="center"/>
              <w:rPr>
                <w:b/>
                <w:sz w:val="22"/>
                <w:lang w:val="en-GB"/>
              </w:rPr>
            </w:pPr>
            <w:r>
              <w:rPr>
                <w:b/>
                <w:sz w:val="22"/>
                <w:lang w:val="en-GB"/>
              </w:rPr>
              <w:t>H</w:t>
            </w:r>
          </w:p>
        </w:tc>
        <w:tc>
          <w:tcPr>
            <w:tcW w:w="714" w:type="dxa"/>
          </w:tcPr>
          <w:p w:rsidR="00000000" w:rsidRDefault="00000000">
            <w:pPr>
              <w:jc w:val="center"/>
              <w:rPr>
                <w:b/>
                <w:sz w:val="22"/>
                <w:lang w:val="en-GB"/>
              </w:rPr>
            </w:pPr>
            <w:r>
              <w:rPr>
                <w:b/>
                <w:sz w:val="22"/>
                <w:lang w:val="en-GB"/>
              </w:rPr>
              <w:t>F</w:t>
            </w:r>
          </w:p>
        </w:tc>
        <w:tc>
          <w:tcPr>
            <w:tcW w:w="714" w:type="dxa"/>
          </w:tcPr>
          <w:p w:rsidR="00000000" w:rsidRDefault="00000000">
            <w:pPr>
              <w:jc w:val="center"/>
              <w:rPr>
                <w:b/>
                <w:sz w:val="22"/>
                <w:lang w:val="en-GB"/>
              </w:rPr>
            </w:pPr>
            <w:r>
              <w:rPr>
                <w:b/>
                <w:sz w:val="22"/>
                <w:lang w:val="en-GB"/>
              </w:rPr>
              <w:t>H</w:t>
            </w:r>
          </w:p>
        </w:tc>
        <w:tc>
          <w:tcPr>
            <w:tcW w:w="713" w:type="dxa"/>
          </w:tcPr>
          <w:p w:rsidR="00000000" w:rsidRDefault="00000000">
            <w:pPr>
              <w:jc w:val="center"/>
              <w:rPr>
                <w:b/>
                <w:sz w:val="22"/>
                <w:lang w:val="en-GB"/>
              </w:rPr>
            </w:pPr>
            <w:r>
              <w:rPr>
                <w:b/>
                <w:sz w:val="22"/>
                <w:lang w:val="en-GB"/>
              </w:rPr>
              <w:t>F</w:t>
            </w:r>
          </w:p>
        </w:tc>
        <w:tc>
          <w:tcPr>
            <w:tcW w:w="714" w:type="dxa"/>
          </w:tcPr>
          <w:p w:rsidR="00000000" w:rsidRDefault="00000000">
            <w:pPr>
              <w:jc w:val="center"/>
              <w:rPr>
                <w:b/>
                <w:sz w:val="22"/>
                <w:lang w:val="en-GB"/>
              </w:rPr>
            </w:pPr>
            <w:r>
              <w:rPr>
                <w:b/>
                <w:sz w:val="22"/>
                <w:lang w:val="en-GB"/>
              </w:rPr>
              <w:t>H</w:t>
            </w:r>
          </w:p>
        </w:tc>
        <w:tc>
          <w:tcPr>
            <w:tcW w:w="714" w:type="dxa"/>
          </w:tcPr>
          <w:p w:rsidR="00000000" w:rsidRDefault="00000000">
            <w:pPr>
              <w:jc w:val="center"/>
              <w:rPr>
                <w:b/>
                <w:sz w:val="22"/>
                <w:lang w:val="en-GB"/>
              </w:rPr>
            </w:pPr>
            <w:r>
              <w:rPr>
                <w:b/>
                <w:sz w:val="22"/>
                <w:lang w:val="en-GB"/>
              </w:rPr>
              <w:t>F</w:t>
            </w:r>
          </w:p>
        </w:tc>
        <w:tc>
          <w:tcPr>
            <w:tcW w:w="713" w:type="dxa"/>
          </w:tcPr>
          <w:p w:rsidR="00000000" w:rsidRDefault="00000000">
            <w:pPr>
              <w:jc w:val="center"/>
              <w:rPr>
                <w:b/>
                <w:sz w:val="22"/>
                <w:lang w:val="en-GB"/>
              </w:rPr>
            </w:pPr>
            <w:r>
              <w:rPr>
                <w:b/>
                <w:sz w:val="22"/>
                <w:lang w:val="en-GB"/>
              </w:rPr>
              <w:t>H</w:t>
            </w:r>
          </w:p>
        </w:tc>
        <w:tc>
          <w:tcPr>
            <w:tcW w:w="714" w:type="dxa"/>
          </w:tcPr>
          <w:p w:rsidR="00000000" w:rsidRDefault="00000000">
            <w:pPr>
              <w:jc w:val="center"/>
              <w:rPr>
                <w:b/>
                <w:sz w:val="22"/>
                <w:lang w:val="en-GB"/>
              </w:rPr>
            </w:pPr>
            <w:r>
              <w:rPr>
                <w:b/>
                <w:sz w:val="22"/>
                <w:lang w:val="en-GB"/>
              </w:rPr>
              <w:t>F</w:t>
            </w:r>
          </w:p>
        </w:tc>
        <w:tc>
          <w:tcPr>
            <w:tcW w:w="714" w:type="dxa"/>
          </w:tcPr>
          <w:p w:rsidR="00000000" w:rsidRDefault="00000000">
            <w:pPr>
              <w:jc w:val="center"/>
              <w:rPr>
                <w:b/>
                <w:sz w:val="22"/>
                <w:lang w:val="en-GB"/>
              </w:rPr>
            </w:pPr>
            <w:r>
              <w:rPr>
                <w:b/>
                <w:sz w:val="22"/>
                <w:lang w:val="en-GB"/>
              </w:rPr>
              <w:t>H</w:t>
            </w:r>
          </w:p>
        </w:tc>
        <w:tc>
          <w:tcPr>
            <w:tcW w:w="714" w:type="dxa"/>
          </w:tcPr>
          <w:p w:rsidR="00000000" w:rsidRDefault="00000000">
            <w:pPr>
              <w:jc w:val="center"/>
              <w:rPr>
                <w:b/>
                <w:sz w:val="22"/>
              </w:rPr>
            </w:pPr>
            <w:r>
              <w:rPr>
                <w:b/>
                <w:sz w:val="22"/>
              </w:rPr>
              <w:t>F</w:t>
            </w:r>
          </w:p>
        </w:tc>
      </w:tr>
      <w:tr w:rsidR="00000000">
        <w:tblPrEx>
          <w:tblCellMar>
            <w:top w:w="0" w:type="dxa"/>
            <w:bottom w:w="0" w:type="dxa"/>
          </w:tblCellMar>
        </w:tblPrEx>
        <w:tc>
          <w:tcPr>
            <w:tcW w:w="2700" w:type="dxa"/>
          </w:tcPr>
          <w:p w:rsidR="00000000" w:rsidRDefault="00000000">
            <w:pPr>
              <w:rPr>
                <w:sz w:val="22"/>
              </w:rPr>
            </w:pPr>
            <w:r>
              <w:rPr>
                <w:sz w:val="22"/>
              </w:rPr>
              <w:t>1992</w:t>
            </w:r>
          </w:p>
        </w:tc>
        <w:tc>
          <w:tcPr>
            <w:tcW w:w="713" w:type="dxa"/>
          </w:tcPr>
          <w:p w:rsidR="00000000" w:rsidRDefault="00000000">
            <w:pPr>
              <w:rPr>
                <w:sz w:val="22"/>
              </w:rPr>
            </w:pPr>
            <w:r>
              <w:rPr>
                <w:sz w:val="22"/>
              </w:rPr>
              <w:t>1</w:t>
            </w:r>
          </w:p>
        </w:tc>
        <w:tc>
          <w:tcPr>
            <w:tcW w:w="714" w:type="dxa"/>
          </w:tcPr>
          <w:p w:rsidR="00000000" w:rsidRDefault="00000000">
            <w:pPr>
              <w:rPr>
                <w:sz w:val="22"/>
              </w:rPr>
            </w:pPr>
            <w:r>
              <w:rPr>
                <w:sz w:val="22"/>
              </w:rPr>
              <w:t>1</w:t>
            </w:r>
          </w:p>
        </w:tc>
        <w:tc>
          <w:tcPr>
            <w:tcW w:w="714" w:type="dxa"/>
          </w:tcPr>
          <w:p w:rsidR="00000000" w:rsidRDefault="00000000">
            <w:pPr>
              <w:rPr>
                <w:sz w:val="22"/>
              </w:rPr>
            </w:pPr>
            <w:r>
              <w:rPr>
                <w:sz w:val="22"/>
              </w:rPr>
              <w:t>1</w:t>
            </w:r>
          </w:p>
        </w:tc>
        <w:tc>
          <w:tcPr>
            <w:tcW w:w="713" w:type="dxa"/>
          </w:tcPr>
          <w:p w:rsidR="00000000" w:rsidRDefault="00000000">
            <w:pPr>
              <w:rPr>
                <w:sz w:val="22"/>
              </w:rPr>
            </w:pPr>
            <w:r>
              <w:rPr>
                <w:sz w:val="22"/>
              </w:rPr>
              <w:t>0</w:t>
            </w:r>
          </w:p>
        </w:tc>
        <w:tc>
          <w:tcPr>
            <w:tcW w:w="714" w:type="dxa"/>
          </w:tcPr>
          <w:p w:rsidR="00000000" w:rsidRDefault="00000000">
            <w:pPr>
              <w:rPr>
                <w:sz w:val="22"/>
              </w:rPr>
            </w:pPr>
            <w:r>
              <w:rPr>
                <w:sz w:val="22"/>
              </w:rPr>
              <w:t>1</w:t>
            </w:r>
          </w:p>
        </w:tc>
        <w:tc>
          <w:tcPr>
            <w:tcW w:w="714" w:type="dxa"/>
          </w:tcPr>
          <w:p w:rsidR="00000000" w:rsidRDefault="00000000">
            <w:pPr>
              <w:rPr>
                <w:sz w:val="22"/>
              </w:rPr>
            </w:pPr>
            <w:r>
              <w:rPr>
                <w:sz w:val="22"/>
              </w:rPr>
              <w:t>0</w:t>
            </w:r>
          </w:p>
        </w:tc>
        <w:tc>
          <w:tcPr>
            <w:tcW w:w="713" w:type="dxa"/>
          </w:tcPr>
          <w:p w:rsidR="00000000" w:rsidRDefault="00000000">
            <w:pPr>
              <w:rPr>
                <w:sz w:val="22"/>
              </w:rPr>
            </w:pPr>
            <w:r>
              <w:rPr>
                <w:sz w:val="22"/>
              </w:rPr>
              <w:t>1</w:t>
            </w:r>
          </w:p>
        </w:tc>
        <w:tc>
          <w:tcPr>
            <w:tcW w:w="714" w:type="dxa"/>
          </w:tcPr>
          <w:p w:rsidR="00000000" w:rsidRDefault="00000000">
            <w:pPr>
              <w:rPr>
                <w:sz w:val="22"/>
              </w:rPr>
            </w:pPr>
            <w:r>
              <w:rPr>
                <w:sz w:val="22"/>
              </w:rPr>
              <w:t>0</w:t>
            </w:r>
          </w:p>
        </w:tc>
        <w:tc>
          <w:tcPr>
            <w:tcW w:w="714" w:type="dxa"/>
          </w:tcPr>
          <w:p w:rsidR="00000000" w:rsidRDefault="00000000">
            <w:pPr>
              <w:rPr>
                <w:sz w:val="22"/>
              </w:rPr>
            </w:pPr>
            <w:r>
              <w:rPr>
                <w:sz w:val="22"/>
              </w:rPr>
              <w:t>33</w:t>
            </w:r>
          </w:p>
        </w:tc>
        <w:tc>
          <w:tcPr>
            <w:tcW w:w="714" w:type="dxa"/>
          </w:tcPr>
          <w:p w:rsidR="00000000" w:rsidRDefault="00000000">
            <w:pPr>
              <w:rPr>
                <w:sz w:val="22"/>
              </w:rPr>
            </w:pPr>
            <w:r>
              <w:rPr>
                <w:sz w:val="22"/>
              </w:rPr>
              <w:t>0</w:t>
            </w:r>
          </w:p>
        </w:tc>
      </w:tr>
      <w:tr w:rsidR="00000000">
        <w:tblPrEx>
          <w:tblCellMar>
            <w:top w:w="0" w:type="dxa"/>
            <w:bottom w:w="0" w:type="dxa"/>
          </w:tblCellMar>
        </w:tblPrEx>
        <w:tc>
          <w:tcPr>
            <w:tcW w:w="2700" w:type="dxa"/>
          </w:tcPr>
          <w:p w:rsidR="00000000" w:rsidRDefault="00000000">
            <w:pPr>
              <w:rPr>
                <w:sz w:val="22"/>
              </w:rPr>
            </w:pPr>
            <w:r>
              <w:rPr>
                <w:sz w:val="22"/>
              </w:rPr>
              <w:t>1994</w:t>
            </w:r>
          </w:p>
        </w:tc>
        <w:tc>
          <w:tcPr>
            <w:tcW w:w="713" w:type="dxa"/>
          </w:tcPr>
          <w:p w:rsidR="00000000" w:rsidRDefault="00000000">
            <w:pPr>
              <w:rPr>
                <w:sz w:val="22"/>
              </w:rPr>
            </w:pPr>
            <w:r>
              <w:rPr>
                <w:sz w:val="22"/>
              </w:rPr>
              <w:t>0</w:t>
            </w:r>
          </w:p>
        </w:tc>
        <w:tc>
          <w:tcPr>
            <w:tcW w:w="714" w:type="dxa"/>
          </w:tcPr>
          <w:p w:rsidR="00000000" w:rsidRDefault="00000000">
            <w:pPr>
              <w:rPr>
                <w:sz w:val="22"/>
              </w:rPr>
            </w:pPr>
            <w:r>
              <w:rPr>
                <w:sz w:val="22"/>
              </w:rPr>
              <w:t>0</w:t>
            </w:r>
          </w:p>
        </w:tc>
        <w:tc>
          <w:tcPr>
            <w:tcW w:w="714" w:type="dxa"/>
          </w:tcPr>
          <w:p w:rsidR="00000000" w:rsidRDefault="00000000">
            <w:pPr>
              <w:rPr>
                <w:sz w:val="22"/>
              </w:rPr>
            </w:pPr>
            <w:r>
              <w:rPr>
                <w:sz w:val="22"/>
              </w:rPr>
              <w:t>1</w:t>
            </w:r>
          </w:p>
        </w:tc>
        <w:tc>
          <w:tcPr>
            <w:tcW w:w="713" w:type="dxa"/>
          </w:tcPr>
          <w:p w:rsidR="00000000" w:rsidRDefault="00000000">
            <w:pPr>
              <w:rPr>
                <w:sz w:val="22"/>
              </w:rPr>
            </w:pPr>
            <w:r>
              <w:rPr>
                <w:sz w:val="22"/>
              </w:rPr>
              <w:t>0</w:t>
            </w:r>
          </w:p>
        </w:tc>
        <w:tc>
          <w:tcPr>
            <w:tcW w:w="714" w:type="dxa"/>
          </w:tcPr>
          <w:p w:rsidR="00000000" w:rsidRDefault="00000000">
            <w:pPr>
              <w:rPr>
                <w:sz w:val="22"/>
              </w:rPr>
            </w:pPr>
            <w:r>
              <w:rPr>
                <w:sz w:val="22"/>
              </w:rPr>
              <w:t>1</w:t>
            </w:r>
          </w:p>
        </w:tc>
        <w:tc>
          <w:tcPr>
            <w:tcW w:w="714" w:type="dxa"/>
          </w:tcPr>
          <w:p w:rsidR="00000000" w:rsidRDefault="00000000">
            <w:pPr>
              <w:rPr>
                <w:sz w:val="22"/>
              </w:rPr>
            </w:pPr>
            <w:r>
              <w:rPr>
                <w:sz w:val="22"/>
              </w:rPr>
              <w:t>0</w:t>
            </w:r>
          </w:p>
        </w:tc>
        <w:tc>
          <w:tcPr>
            <w:tcW w:w="713" w:type="dxa"/>
          </w:tcPr>
          <w:p w:rsidR="00000000" w:rsidRDefault="00000000">
            <w:pPr>
              <w:rPr>
                <w:sz w:val="22"/>
              </w:rPr>
            </w:pPr>
            <w:r>
              <w:rPr>
                <w:sz w:val="22"/>
              </w:rPr>
              <w:t>1</w:t>
            </w:r>
          </w:p>
        </w:tc>
        <w:tc>
          <w:tcPr>
            <w:tcW w:w="714" w:type="dxa"/>
          </w:tcPr>
          <w:p w:rsidR="00000000" w:rsidRDefault="00000000">
            <w:pPr>
              <w:rPr>
                <w:sz w:val="22"/>
              </w:rPr>
            </w:pPr>
            <w:r>
              <w:rPr>
                <w:sz w:val="22"/>
              </w:rPr>
              <w:t>0</w:t>
            </w:r>
          </w:p>
        </w:tc>
        <w:tc>
          <w:tcPr>
            <w:tcW w:w="714" w:type="dxa"/>
          </w:tcPr>
          <w:p w:rsidR="00000000" w:rsidRDefault="00000000">
            <w:pPr>
              <w:rPr>
                <w:sz w:val="22"/>
              </w:rPr>
            </w:pPr>
            <w:r>
              <w:rPr>
                <w:sz w:val="22"/>
              </w:rPr>
              <w:t>33</w:t>
            </w:r>
          </w:p>
        </w:tc>
        <w:tc>
          <w:tcPr>
            <w:tcW w:w="714" w:type="dxa"/>
          </w:tcPr>
          <w:p w:rsidR="00000000" w:rsidRDefault="00000000">
            <w:pPr>
              <w:rPr>
                <w:sz w:val="22"/>
              </w:rPr>
            </w:pPr>
            <w:r>
              <w:rPr>
                <w:sz w:val="22"/>
              </w:rPr>
              <w:t>2</w:t>
            </w:r>
          </w:p>
        </w:tc>
      </w:tr>
      <w:tr w:rsidR="00000000">
        <w:tblPrEx>
          <w:tblCellMar>
            <w:top w:w="0" w:type="dxa"/>
            <w:bottom w:w="0" w:type="dxa"/>
          </w:tblCellMar>
        </w:tblPrEx>
        <w:tc>
          <w:tcPr>
            <w:tcW w:w="2700" w:type="dxa"/>
          </w:tcPr>
          <w:p w:rsidR="00000000" w:rsidRDefault="00000000">
            <w:pPr>
              <w:rPr>
                <w:sz w:val="22"/>
              </w:rPr>
            </w:pPr>
            <w:r>
              <w:rPr>
                <w:sz w:val="22"/>
              </w:rPr>
              <w:t>1997 *</w:t>
            </w:r>
          </w:p>
        </w:tc>
        <w:tc>
          <w:tcPr>
            <w:tcW w:w="713" w:type="dxa"/>
          </w:tcPr>
          <w:p w:rsidR="00000000" w:rsidRDefault="00000000">
            <w:pPr>
              <w:rPr>
                <w:sz w:val="22"/>
              </w:rPr>
            </w:pPr>
            <w:r>
              <w:rPr>
                <w:sz w:val="22"/>
              </w:rPr>
              <w:t>1</w:t>
            </w:r>
          </w:p>
        </w:tc>
        <w:tc>
          <w:tcPr>
            <w:tcW w:w="714" w:type="dxa"/>
          </w:tcPr>
          <w:p w:rsidR="00000000" w:rsidRDefault="00000000">
            <w:pPr>
              <w:rPr>
                <w:sz w:val="22"/>
              </w:rPr>
            </w:pPr>
            <w:r>
              <w:rPr>
                <w:sz w:val="22"/>
              </w:rPr>
              <w:t>1</w:t>
            </w:r>
          </w:p>
        </w:tc>
        <w:tc>
          <w:tcPr>
            <w:tcW w:w="714" w:type="dxa"/>
          </w:tcPr>
          <w:p w:rsidR="00000000" w:rsidRDefault="00000000">
            <w:pPr>
              <w:rPr>
                <w:sz w:val="22"/>
              </w:rPr>
            </w:pPr>
            <w:r>
              <w:rPr>
                <w:sz w:val="22"/>
              </w:rPr>
              <w:t>1</w:t>
            </w:r>
          </w:p>
        </w:tc>
        <w:tc>
          <w:tcPr>
            <w:tcW w:w="713" w:type="dxa"/>
          </w:tcPr>
          <w:p w:rsidR="00000000" w:rsidRDefault="00000000">
            <w:pPr>
              <w:rPr>
                <w:sz w:val="22"/>
              </w:rPr>
            </w:pPr>
            <w:r>
              <w:rPr>
                <w:sz w:val="22"/>
              </w:rPr>
              <w:t>0</w:t>
            </w:r>
          </w:p>
        </w:tc>
        <w:tc>
          <w:tcPr>
            <w:tcW w:w="714" w:type="dxa"/>
          </w:tcPr>
          <w:p w:rsidR="00000000" w:rsidRDefault="00000000">
            <w:pPr>
              <w:rPr>
                <w:sz w:val="22"/>
              </w:rPr>
            </w:pPr>
            <w:r>
              <w:rPr>
                <w:sz w:val="22"/>
              </w:rPr>
              <w:t>1</w:t>
            </w:r>
          </w:p>
        </w:tc>
        <w:tc>
          <w:tcPr>
            <w:tcW w:w="714" w:type="dxa"/>
          </w:tcPr>
          <w:p w:rsidR="00000000" w:rsidRDefault="00000000">
            <w:pPr>
              <w:rPr>
                <w:sz w:val="22"/>
              </w:rPr>
            </w:pPr>
            <w:r>
              <w:rPr>
                <w:sz w:val="22"/>
              </w:rPr>
              <w:t>0</w:t>
            </w:r>
          </w:p>
        </w:tc>
        <w:tc>
          <w:tcPr>
            <w:tcW w:w="713" w:type="dxa"/>
          </w:tcPr>
          <w:p w:rsidR="00000000" w:rsidRDefault="00000000">
            <w:pPr>
              <w:rPr>
                <w:sz w:val="22"/>
              </w:rPr>
            </w:pPr>
            <w:r>
              <w:rPr>
                <w:sz w:val="22"/>
              </w:rPr>
              <w:t>1</w:t>
            </w:r>
          </w:p>
        </w:tc>
        <w:tc>
          <w:tcPr>
            <w:tcW w:w="714" w:type="dxa"/>
          </w:tcPr>
          <w:p w:rsidR="00000000" w:rsidRDefault="00000000">
            <w:pPr>
              <w:rPr>
                <w:sz w:val="22"/>
              </w:rPr>
            </w:pPr>
            <w:r>
              <w:rPr>
                <w:sz w:val="22"/>
              </w:rPr>
              <w:t>0</w:t>
            </w:r>
          </w:p>
        </w:tc>
        <w:tc>
          <w:tcPr>
            <w:tcW w:w="714" w:type="dxa"/>
          </w:tcPr>
          <w:p w:rsidR="00000000" w:rsidRDefault="00000000">
            <w:pPr>
              <w:rPr>
                <w:sz w:val="22"/>
              </w:rPr>
            </w:pPr>
            <w:r>
              <w:rPr>
                <w:sz w:val="22"/>
              </w:rPr>
              <w:t>32</w:t>
            </w:r>
          </w:p>
        </w:tc>
        <w:tc>
          <w:tcPr>
            <w:tcW w:w="714" w:type="dxa"/>
          </w:tcPr>
          <w:p w:rsidR="00000000" w:rsidRDefault="00000000">
            <w:pPr>
              <w:rPr>
                <w:sz w:val="22"/>
              </w:rPr>
            </w:pPr>
            <w:r>
              <w:rPr>
                <w:sz w:val="22"/>
              </w:rPr>
              <w:t>1</w:t>
            </w:r>
          </w:p>
        </w:tc>
      </w:tr>
      <w:tr w:rsidR="00000000">
        <w:tblPrEx>
          <w:tblCellMar>
            <w:top w:w="0" w:type="dxa"/>
            <w:bottom w:w="0" w:type="dxa"/>
          </w:tblCellMar>
        </w:tblPrEx>
        <w:tc>
          <w:tcPr>
            <w:tcW w:w="2700" w:type="dxa"/>
          </w:tcPr>
          <w:p w:rsidR="00000000" w:rsidRDefault="00000000">
            <w:pPr>
              <w:rPr>
                <w:sz w:val="22"/>
              </w:rPr>
            </w:pPr>
            <w:r>
              <w:rPr>
                <w:sz w:val="22"/>
              </w:rPr>
              <w:t>1997 après la guerre **</w:t>
            </w:r>
          </w:p>
        </w:tc>
        <w:tc>
          <w:tcPr>
            <w:tcW w:w="713" w:type="dxa"/>
          </w:tcPr>
          <w:p w:rsidR="00000000" w:rsidRDefault="00000000">
            <w:pPr>
              <w:rPr>
                <w:sz w:val="22"/>
              </w:rPr>
            </w:pPr>
            <w:r>
              <w:rPr>
                <w:sz w:val="22"/>
              </w:rPr>
              <w:t>1</w:t>
            </w:r>
          </w:p>
        </w:tc>
        <w:tc>
          <w:tcPr>
            <w:tcW w:w="714" w:type="dxa"/>
          </w:tcPr>
          <w:p w:rsidR="00000000" w:rsidRDefault="00000000">
            <w:pPr>
              <w:rPr>
                <w:sz w:val="22"/>
              </w:rPr>
            </w:pPr>
            <w:r>
              <w:rPr>
                <w:sz w:val="22"/>
              </w:rPr>
              <w:t>0</w:t>
            </w:r>
          </w:p>
        </w:tc>
        <w:tc>
          <w:tcPr>
            <w:tcW w:w="714" w:type="dxa"/>
          </w:tcPr>
          <w:p w:rsidR="00000000" w:rsidRDefault="00000000">
            <w:pPr>
              <w:rPr>
                <w:sz w:val="22"/>
              </w:rPr>
            </w:pPr>
            <w:r>
              <w:rPr>
                <w:sz w:val="22"/>
              </w:rPr>
              <w:t>1</w:t>
            </w:r>
          </w:p>
        </w:tc>
        <w:tc>
          <w:tcPr>
            <w:tcW w:w="713" w:type="dxa"/>
          </w:tcPr>
          <w:p w:rsidR="00000000" w:rsidRDefault="00000000">
            <w:pPr>
              <w:rPr>
                <w:sz w:val="22"/>
              </w:rPr>
            </w:pPr>
            <w:r>
              <w:rPr>
                <w:sz w:val="22"/>
              </w:rPr>
              <w:t>0</w:t>
            </w:r>
          </w:p>
        </w:tc>
        <w:tc>
          <w:tcPr>
            <w:tcW w:w="714" w:type="dxa"/>
          </w:tcPr>
          <w:p w:rsidR="00000000" w:rsidRDefault="00000000">
            <w:pPr>
              <w:rPr>
                <w:sz w:val="22"/>
              </w:rPr>
            </w:pPr>
            <w:r>
              <w:rPr>
                <w:sz w:val="22"/>
              </w:rPr>
              <w:t>0</w:t>
            </w:r>
          </w:p>
        </w:tc>
        <w:tc>
          <w:tcPr>
            <w:tcW w:w="714" w:type="dxa"/>
          </w:tcPr>
          <w:p w:rsidR="00000000" w:rsidRDefault="00000000">
            <w:pPr>
              <w:rPr>
                <w:sz w:val="22"/>
              </w:rPr>
            </w:pPr>
            <w:r>
              <w:rPr>
                <w:sz w:val="22"/>
              </w:rPr>
              <w:t>0</w:t>
            </w:r>
          </w:p>
        </w:tc>
        <w:tc>
          <w:tcPr>
            <w:tcW w:w="713" w:type="dxa"/>
          </w:tcPr>
          <w:p w:rsidR="00000000" w:rsidRDefault="00000000">
            <w:pPr>
              <w:rPr>
                <w:sz w:val="22"/>
              </w:rPr>
            </w:pPr>
            <w:r>
              <w:rPr>
                <w:sz w:val="22"/>
              </w:rPr>
              <w:t>0</w:t>
            </w:r>
          </w:p>
        </w:tc>
        <w:tc>
          <w:tcPr>
            <w:tcW w:w="714" w:type="dxa"/>
          </w:tcPr>
          <w:p w:rsidR="00000000" w:rsidRDefault="00000000">
            <w:pPr>
              <w:rPr>
                <w:sz w:val="22"/>
              </w:rPr>
            </w:pPr>
            <w:r>
              <w:rPr>
                <w:sz w:val="22"/>
              </w:rPr>
              <w:t>0</w:t>
            </w:r>
          </w:p>
        </w:tc>
        <w:tc>
          <w:tcPr>
            <w:tcW w:w="714" w:type="dxa"/>
          </w:tcPr>
          <w:p w:rsidR="00000000" w:rsidRDefault="00000000">
            <w:pPr>
              <w:rPr>
                <w:sz w:val="22"/>
              </w:rPr>
            </w:pPr>
            <w:r>
              <w:rPr>
                <w:sz w:val="22"/>
              </w:rPr>
              <w:t>24</w:t>
            </w:r>
          </w:p>
        </w:tc>
        <w:tc>
          <w:tcPr>
            <w:tcW w:w="714" w:type="dxa"/>
          </w:tcPr>
          <w:p w:rsidR="00000000" w:rsidRDefault="00000000">
            <w:pPr>
              <w:rPr>
                <w:sz w:val="22"/>
              </w:rPr>
            </w:pPr>
            <w:r>
              <w:rPr>
                <w:sz w:val="22"/>
              </w:rPr>
              <w:t>2</w:t>
            </w:r>
          </w:p>
        </w:tc>
      </w:tr>
      <w:tr w:rsidR="00000000">
        <w:tblPrEx>
          <w:tblCellMar>
            <w:top w:w="0" w:type="dxa"/>
            <w:bottom w:w="0" w:type="dxa"/>
          </w:tblCellMar>
        </w:tblPrEx>
        <w:tc>
          <w:tcPr>
            <w:tcW w:w="2700" w:type="dxa"/>
          </w:tcPr>
          <w:p w:rsidR="00000000" w:rsidRDefault="00000000">
            <w:pPr>
              <w:rPr>
                <w:sz w:val="22"/>
              </w:rPr>
            </w:pPr>
            <w:r>
              <w:rPr>
                <w:sz w:val="22"/>
              </w:rPr>
              <w:t>1998</w:t>
            </w:r>
          </w:p>
        </w:tc>
        <w:tc>
          <w:tcPr>
            <w:tcW w:w="713" w:type="dxa"/>
          </w:tcPr>
          <w:p w:rsidR="00000000" w:rsidRDefault="00000000">
            <w:pPr>
              <w:rPr>
                <w:sz w:val="22"/>
              </w:rPr>
            </w:pPr>
            <w:r>
              <w:rPr>
                <w:sz w:val="22"/>
              </w:rPr>
              <w:t>1</w:t>
            </w:r>
          </w:p>
        </w:tc>
        <w:tc>
          <w:tcPr>
            <w:tcW w:w="714" w:type="dxa"/>
          </w:tcPr>
          <w:p w:rsidR="00000000" w:rsidRDefault="00000000">
            <w:pPr>
              <w:rPr>
                <w:sz w:val="22"/>
              </w:rPr>
            </w:pPr>
            <w:r>
              <w:rPr>
                <w:sz w:val="22"/>
              </w:rPr>
              <w:t>0</w:t>
            </w:r>
          </w:p>
        </w:tc>
        <w:tc>
          <w:tcPr>
            <w:tcW w:w="714" w:type="dxa"/>
          </w:tcPr>
          <w:p w:rsidR="00000000" w:rsidRDefault="00000000">
            <w:pPr>
              <w:rPr>
                <w:sz w:val="22"/>
              </w:rPr>
            </w:pPr>
            <w:r>
              <w:rPr>
                <w:sz w:val="22"/>
              </w:rPr>
              <w:t>1</w:t>
            </w:r>
          </w:p>
        </w:tc>
        <w:tc>
          <w:tcPr>
            <w:tcW w:w="713" w:type="dxa"/>
          </w:tcPr>
          <w:p w:rsidR="00000000" w:rsidRDefault="00000000">
            <w:pPr>
              <w:rPr>
                <w:sz w:val="22"/>
              </w:rPr>
            </w:pPr>
            <w:r>
              <w:rPr>
                <w:sz w:val="22"/>
              </w:rPr>
              <w:t>0</w:t>
            </w:r>
          </w:p>
        </w:tc>
        <w:tc>
          <w:tcPr>
            <w:tcW w:w="714" w:type="dxa"/>
          </w:tcPr>
          <w:p w:rsidR="00000000" w:rsidRDefault="00000000">
            <w:pPr>
              <w:rPr>
                <w:sz w:val="22"/>
              </w:rPr>
            </w:pPr>
            <w:r>
              <w:rPr>
                <w:sz w:val="22"/>
              </w:rPr>
              <w:t>0</w:t>
            </w:r>
          </w:p>
        </w:tc>
        <w:tc>
          <w:tcPr>
            <w:tcW w:w="714" w:type="dxa"/>
          </w:tcPr>
          <w:p w:rsidR="00000000" w:rsidRDefault="00000000">
            <w:pPr>
              <w:rPr>
                <w:sz w:val="22"/>
              </w:rPr>
            </w:pPr>
            <w:r>
              <w:rPr>
                <w:sz w:val="22"/>
              </w:rPr>
              <w:t>0</w:t>
            </w:r>
          </w:p>
        </w:tc>
        <w:tc>
          <w:tcPr>
            <w:tcW w:w="713" w:type="dxa"/>
          </w:tcPr>
          <w:p w:rsidR="00000000" w:rsidRDefault="00000000">
            <w:pPr>
              <w:rPr>
                <w:sz w:val="22"/>
              </w:rPr>
            </w:pPr>
            <w:r>
              <w:rPr>
                <w:sz w:val="22"/>
              </w:rPr>
              <w:t>0</w:t>
            </w:r>
          </w:p>
        </w:tc>
        <w:tc>
          <w:tcPr>
            <w:tcW w:w="714" w:type="dxa"/>
          </w:tcPr>
          <w:p w:rsidR="00000000" w:rsidRDefault="00000000">
            <w:pPr>
              <w:rPr>
                <w:sz w:val="22"/>
              </w:rPr>
            </w:pPr>
            <w:r>
              <w:rPr>
                <w:sz w:val="22"/>
              </w:rPr>
              <w:t>0</w:t>
            </w:r>
          </w:p>
        </w:tc>
        <w:tc>
          <w:tcPr>
            <w:tcW w:w="714" w:type="dxa"/>
          </w:tcPr>
          <w:p w:rsidR="00000000" w:rsidRDefault="00000000">
            <w:pPr>
              <w:rPr>
                <w:sz w:val="22"/>
              </w:rPr>
            </w:pPr>
            <w:r>
              <w:rPr>
                <w:sz w:val="22"/>
              </w:rPr>
              <w:t>24</w:t>
            </w:r>
          </w:p>
        </w:tc>
        <w:tc>
          <w:tcPr>
            <w:tcW w:w="714" w:type="dxa"/>
          </w:tcPr>
          <w:p w:rsidR="00000000" w:rsidRDefault="00000000">
            <w:pPr>
              <w:rPr>
                <w:sz w:val="22"/>
              </w:rPr>
            </w:pPr>
            <w:r>
              <w:rPr>
                <w:sz w:val="22"/>
              </w:rPr>
              <w:t>3</w:t>
            </w:r>
          </w:p>
        </w:tc>
      </w:tr>
      <w:tr w:rsidR="00000000">
        <w:tblPrEx>
          <w:tblCellMar>
            <w:top w:w="0" w:type="dxa"/>
            <w:bottom w:w="0" w:type="dxa"/>
          </w:tblCellMar>
        </w:tblPrEx>
        <w:tc>
          <w:tcPr>
            <w:tcW w:w="2700" w:type="dxa"/>
          </w:tcPr>
          <w:p w:rsidR="00000000" w:rsidRDefault="00000000">
            <w:pPr>
              <w:rPr>
                <w:sz w:val="22"/>
              </w:rPr>
            </w:pPr>
            <w:r>
              <w:rPr>
                <w:sz w:val="22"/>
              </w:rPr>
              <w:t>1999</w:t>
            </w:r>
          </w:p>
        </w:tc>
        <w:tc>
          <w:tcPr>
            <w:tcW w:w="713" w:type="dxa"/>
          </w:tcPr>
          <w:p w:rsidR="00000000" w:rsidRDefault="00000000">
            <w:pPr>
              <w:rPr>
                <w:sz w:val="22"/>
              </w:rPr>
            </w:pPr>
            <w:r>
              <w:rPr>
                <w:sz w:val="22"/>
              </w:rPr>
              <w:t>1</w:t>
            </w:r>
          </w:p>
        </w:tc>
        <w:tc>
          <w:tcPr>
            <w:tcW w:w="714" w:type="dxa"/>
          </w:tcPr>
          <w:p w:rsidR="00000000" w:rsidRDefault="00000000">
            <w:pPr>
              <w:rPr>
                <w:sz w:val="22"/>
              </w:rPr>
            </w:pPr>
            <w:r>
              <w:rPr>
                <w:sz w:val="22"/>
              </w:rPr>
              <w:t>0</w:t>
            </w:r>
          </w:p>
        </w:tc>
        <w:tc>
          <w:tcPr>
            <w:tcW w:w="714" w:type="dxa"/>
          </w:tcPr>
          <w:p w:rsidR="00000000" w:rsidRDefault="00000000">
            <w:pPr>
              <w:rPr>
                <w:sz w:val="22"/>
              </w:rPr>
            </w:pPr>
            <w:r>
              <w:rPr>
                <w:sz w:val="22"/>
              </w:rPr>
              <w:t>1</w:t>
            </w:r>
          </w:p>
        </w:tc>
        <w:tc>
          <w:tcPr>
            <w:tcW w:w="713" w:type="dxa"/>
          </w:tcPr>
          <w:p w:rsidR="00000000" w:rsidRDefault="00000000">
            <w:pPr>
              <w:rPr>
                <w:sz w:val="22"/>
              </w:rPr>
            </w:pPr>
            <w:r>
              <w:rPr>
                <w:sz w:val="22"/>
              </w:rPr>
              <w:t>0</w:t>
            </w:r>
          </w:p>
        </w:tc>
        <w:tc>
          <w:tcPr>
            <w:tcW w:w="714" w:type="dxa"/>
          </w:tcPr>
          <w:p w:rsidR="00000000" w:rsidRDefault="00000000">
            <w:pPr>
              <w:rPr>
                <w:sz w:val="22"/>
              </w:rPr>
            </w:pPr>
            <w:r>
              <w:rPr>
                <w:sz w:val="22"/>
              </w:rPr>
              <w:t>0</w:t>
            </w:r>
          </w:p>
        </w:tc>
        <w:tc>
          <w:tcPr>
            <w:tcW w:w="714" w:type="dxa"/>
          </w:tcPr>
          <w:p w:rsidR="00000000" w:rsidRDefault="00000000">
            <w:pPr>
              <w:rPr>
                <w:sz w:val="22"/>
              </w:rPr>
            </w:pPr>
            <w:r>
              <w:rPr>
                <w:sz w:val="22"/>
              </w:rPr>
              <w:t>0</w:t>
            </w:r>
          </w:p>
        </w:tc>
        <w:tc>
          <w:tcPr>
            <w:tcW w:w="713" w:type="dxa"/>
          </w:tcPr>
          <w:p w:rsidR="00000000" w:rsidRDefault="00000000">
            <w:pPr>
              <w:rPr>
                <w:sz w:val="22"/>
              </w:rPr>
            </w:pPr>
            <w:r>
              <w:rPr>
                <w:sz w:val="22"/>
              </w:rPr>
              <w:t>0</w:t>
            </w:r>
          </w:p>
        </w:tc>
        <w:tc>
          <w:tcPr>
            <w:tcW w:w="714" w:type="dxa"/>
          </w:tcPr>
          <w:p w:rsidR="00000000" w:rsidRDefault="00000000">
            <w:pPr>
              <w:rPr>
                <w:sz w:val="22"/>
              </w:rPr>
            </w:pPr>
          </w:p>
        </w:tc>
        <w:tc>
          <w:tcPr>
            <w:tcW w:w="714" w:type="dxa"/>
          </w:tcPr>
          <w:p w:rsidR="00000000" w:rsidRDefault="00000000">
            <w:pPr>
              <w:rPr>
                <w:sz w:val="22"/>
              </w:rPr>
            </w:pPr>
            <w:r>
              <w:rPr>
                <w:sz w:val="22"/>
              </w:rPr>
              <w:t>2</w:t>
            </w:r>
          </w:p>
        </w:tc>
        <w:tc>
          <w:tcPr>
            <w:tcW w:w="714" w:type="dxa"/>
          </w:tcPr>
          <w:p w:rsidR="00000000" w:rsidRDefault="00000000">
            <w:pPr>
              <w:rPr>
                <w:sz w:val="22"/>
              </w:rPr>
            </w:pPr>
            <w:r>
              <w:rPr>
                <w:sz w:val="22"/>
              </w:rPr>
              <w:t>1</w:t>
            </w:r>
          </w:p>
        </w:tc>
      </w:tr>
    </w:tbl>
    <w:p w:rsidR="00000000" w:rsidRDefault="00000000">
      <w:pPr>
        <w:pStyle w:val="BodyTextIndent"/>
        <w:ind w:firstLine="0"/>
        <w:jc w:val="both"/>
        <w:rPr>
          <w:sz w:val="22"/>
        </w:rPr>
      </w:pPr>
    </w:p>
    <w:p w:rsidR="00000000" w:rsidRDefault="00000000">
      <w:pPr>
        <w:pStyle w:val="BodyTextIndent"/>
        <w:ind w:firstLine="0"/>
        <w:jc w:val="both"/>
        <w:rPr>
          <w:sz w:val="22"/>
        </w:rPr>
      </w:pPr>
      <w:r>
        <w:rPr>
          <w:sz w:val="22"/>
        </w:rPr>
        <w:t>Très peu de femmes occupent les fonctions de conseiller et d’attaché dans les cabinets ministériels.</w:t>
      </w:r>
    </w:p>
    <w:p w:rsidR="00000000" w:rsidRDefault="00000000">
      <w:pPr>
        <w:pStyle w:val="Heading1"/>
      </w:pPr>
      <w:r>
        <w:rPr>
          <w:u w:val="single"/>
        </w:rPr>
        <w:t>Tableau n° 8</w:t>
      </w:r>
      <w:r>
        <w:t> : Occupation du poste de Conseiller</w:t>
      </w:r>
    </w:p>
    <w:p w:rsidR="00000000" w:rsidRDefault="00000000">
      <w:pPr>
        <w:rPr>
          <w:b/>
          <w:sz w:val="22"/>
          <w:u w:val="singl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3"/>
        <w:gridCol w:w="1082"/>
        <w:gridCol w:w="1082"/>
        <w:gridCol w:w="1082"/>
        <w:gridCol w:w="1083"/>
        <w:gridCol w:w="1082"/>
        <w:gridCol w:w="1082"/>
        <w:gridCol w:w="1082"/>
        <w:gridCol w:w="1083"/>
      </w:tblGrid>
      <w:tr w:rsidR="00000000">
        <w:tblPrEx>
          <w:tblCellMar>
            <w:top w:w="0" w:type="dxa"/>
            <w:bottom w:w="0" w:type="dxa"/>
          </w:tblCellMar>
        </w:tblPrEx>
        <w:trPr>
          <w:cantSplit/>
        </w:trPr>
        <w:tc>
          <w:tcPr>
            <w:tcW w:w="1143" w:type="dxa"/>
          </w:tcPr>
          <w:p w:rsidR="00000000" w:rsidRDefault="00000000">
            <w:pPr>
              <w:pStyle w:val="Heading3"/>
              <w:jc w:val="center"/>
              <w:rPr>
                <w:sz w:val="22"/>
              </w:rPr>
            </w:pPr>
            <w:r>
              <w:rPr>
                <w:sz w:val="22"/>
              </w:rPr>
              <w:t>Année</w:t>
            </w:r>
          </w:p>
        </w:tc>
        <w:tc>
          <w:tcPr>
            <w:tcW w:w="2164" w:type="dxa"/>
            <w:gridSpan w:val="2"/>
          </w:tcPr>
          <w:p w:rsidR="00000000" w:rsidRDefault="00000000">
            <w:pPr>
              <w:jc w:val="center"/>
              <w:rPr>
                <w:b/>
                <w:sz w:val="22"/>
              </w:rPr>
            </w:pPr>
            <w:r>
              <w:rPr>
                <w:b/>
                <w:sz w:val="22"/>
              </w:rPr>
              <w:t>Présidence</w:t>
            </w:r>
          </w:p>
        </w:tc>
        <w:tc>
          <w:tcPr>
            <w:tcW w:w="2165" w:type="dxa"/>
            <w:gridSpan w:val="2"/>
          </w:tcPr>
          <w:p w:rsidR="00000000" w:rsidRDefault="00000000">
            <w:pPr>
              <w:jc w:val="center"/>
              <w:rPr>
                <w:b/>
                <w:sz w:val="22"/>
              </w:rPr>
            </w:pPr>
            <w:r>
              <w:rPr>
                <w:b/>
                <w:sz w:val="22"/>
              </w:rPr>
              <w:t>Assemblée</w:t>
            </w:r>
          </w:p>
        </w:tc>
        <w:tc>
          <w:tcPr>
            <w:tcW w:w="2164" w:type="dxa"/>
            <w:gridSpan w:val="2"/>
          </w:tcPr>
          <w:p w:rsidR="00000000" w:rsidRDefault="00000000">
            <w:pPr>
              <w:jc w:val="center"/>
              <w:rPr>
                <w:b/>
                <w:sz w:val="22"/>
              </w:rPr>
            </w:pPr>
            <w:r>
              <w:rPr>
                <w:b/>
                <w:sz w:val="22"/>
              </w:rPr>
              <w:t>Primature</w:t>
            </w:r>
          </w:p>
        </w:tc>
        <w:tc>
          <w:tcPr>
            <w:tcW w:w="2165" w:type="dxa"/>
            <w:gridSpan w:val="2"/>
          </w:tcPr>
          <w:p w:rsidR="00000000" w:rsidRDefault="00000000">
            <w:pPr>
              <w:jc w:val="center"/>
              <w:rPr>
                <w:b/>
                <w:sz w:val="22"/>
              </w:rPr>
            </w:pPr>
            <w:r>
              <w:rPr>
                <w:b/>
                <w:sz w:val="22"/>
              </w:rPr>
              <w:t>Ministres</w:t>
            </w:r>
          </w:p>
        </w:tc>
      </w:tr>
      <w:tr w:rsidR="00000000">
        <w:tblPrEx>
          <w:tblCellMar>
            <w:top w:w="0" w:type="dxa"/>
            <w:bottom w:w="0" w:type="dxa"/>
          </w:tblCellMar>
        </w:tblPrEx>
        <w:trPr>
          <w:cantSplit/>
        </w:trPr>
        <w:tc>
          <w:tcPr>
            <w:tcW w:w="1143" w:type="dxa"/>
            <w:vMerge w:val="restart"/>
          </w:tcPr>
          <w:p w:rsidR="00000000" w:rsidRDefault="00000000">
            <w:pPr>
              <w:jc w:val="center"/>
              <w:rPr>
                <w:sz w:val="22"/>
                <w:u w:val="single"/>
              </w:rPr>
            </w:pPr>
            <w:r>
              <w:rPr>
                <w:sz w:val="22"/>
              </w:rPr>
              <w:t>1992</w:t>
            </w:r>
          </w:p>
        </w:tc>
        <w:tc>
          <w:tcPr>
            <w:tcW w:w="1082" w:type="dxa"/>
          </w:tcPr>
          <w:p w:rsidR="00000000" w:rsidRDefault="00000000">
            <w:pPr>
              <w:jc w:val="center"/>
              <w:rPr>
                <w:b/>
                <w:sz w:val="22"/>
              </w:rPr>
            </w:pPr>
            <w:r>
              <w:rPr>
                <w:b/>
                <w:sz w:val="22"/>
              </w:rPr>
              <w:t>H</w:t>
            </w:r>
          </w:p>
        </w:tc>
        <w:tc>
          <w:tcPr>
            <w:tcW w:w="1082" w:type="dxa"/>
          </w:tcPr>
          <w:p w:rsidR="00000000" w:rsidRDefault="00000000">
            <w:pPr>
              <w:jc w:val="center"/>
              <w:rPr>
                <w:b/>
                <w:sz w:val="22"/>
                <w:lang w:val="en-GB"/>
              </w:rPr>
            </w:pPr>
            <w:r>
              <w:rPr>
                <w:b/>
                <w:sz w:val="22"/>
                <w:lang w:val="en-GB"/>
              </w:rPr>
              <w:t>F</w:t>
            </w:r>
          </w:p>
        </w:tc>
        <w:tc>
          <w:tcPr>
            <w:tcW w:w="1082" w:type="dxa"/>
          </w:tcPr>
          <w:p w:rsidR="00000000" w:rsidRDefault="00000000">
            <w:pPr>
              <w:jc w:val="center"/>
              <w:rPr>
                <w:b/>
                <w:sz w:val="22"/>
                <w:lang w:val="en-GB"/>
              </w:rPr>
            </w:pPr>
            <w:r>
              <w:rPr>
                <w:b/>
                <w:sz w:val="22"/>
                <w:lang w:val="en-GB"/>
              </w:rPr>
              <w:t>H</w:t>
            </w:r>
          </w:p>
        </w:tc>
        <w:tc>
          <w:tcPr>
            <w:tcW w:w="1083" w:type="dxa"/>
          </w:tcPr>
          <w:p w:rsidR="00000000" w:rsidRDefault="00000000">
            <w:pPr>
              <w:jc w:val="center"/>
              <w:rPr>
                <w:b/>
                <w:sz w:val="22"/>
                <w:lang w:val="en-GB"/>
              </w:rPr>
            </w:pPr>
            <w:r>
              <w:rPr>
                <w:b/>
                <w:sz w:val="22"/>
                <w:lang w:val="en-GB"/>
              </w:rPr>
              <w:t>F</w:t>
            </w:r>
          </w:p>
        </w:tc>
        <w:tc>
          <w:tcPr>
            <w:tcW w:w="1082" w:type="dxa"/>
          </w:tcPr>
          <w:p w:rsidR="00000000" w:rsidRDefault="00000000">
            <w:pPr>
              <w:jc w:val="center"/>
              <w:rPr>
                <w:b/>
                <w:sz w:val="22"/>
                <w:lang w:val="en-GB"/>
              </w:rPr>
            </w:pPr>
            <w:r>
              <w:rPr>
                <w:b/>
                <w:sz w:val="22"/>
                <w:lang w:val="en-GB"/>
              </w:rPr>
              <w:t>H</w:t>
            </w:r>
          </w:p>
        </w:tc>
        <w:tc>
          <w:tcPr>
            <w:tcW w:w="1082" w:type="dxa"/>
          </w:tcPr>
          <w:p w:rsidR="00000000" w:rsidRDefault="00000000">
            <w:pPr>
              <w:jc w:val="center"/>
              <w:rPr>
                <w:b/>
                <w:sz w:val="22"/>
                <w:lang w:val="en-GB"/>
              </w:rPr>
            </w:pPr>
            <w:r>
              <w:rPr>
                <w:b/>
                <w:sz w:val="22"/>
                <w:lang w:val="en-GB"/>
              </w:rPr>
              <w:t>F</w:t>
            </w:r>
          </w:p>
        </w:tc>
        <w:tc>
          <w:tcPr>
            <w:tcW w:w="1082" w:type="dxa"/>
          </w:tcPr>
          <w:p w:rsidR="00000000" w:rsidRDefault="00000000">
            <w:pPr>
              <w:jc w:val="center"/>
              <w:rPr>
                <w:b/>
                <w:sz w:val="22"/>
                <w:lang w:val="en-GB"/>
              </w:rPr>
            </w:pPr>
            <w:r>
              <w:rPr>
                <w:b/>
                <w:sz w:val="22"/>
                <w:lang w:val="en-GB"/>
              </w:rPr>
              <w:t>H</w:t>
            </w:r>
          </w:p>
        </w:tc>
        <w:tc>
          <w:tcPr>
            <w:tcW w:w="1083" w:type="dxa"/>
          </w:tcPr>
          <w:p w:rsidR="00000000" w:rsidRDefault="00000000">
            <w:pPr>
              <w:jc w:val="center"/>
              <w:rPr>
                <w:b/>
                <w:sz w:val="22"/>
              </w:rPr>
            </w:pPr>
            <w:r>
              <w:rPr>
                <w:b/>
                <w:sz w:val="22"/>
              </w:rPr>
              <w:t>F</w:t>
            </w:r>
          </w:p>
        </w:tc>
      </w:tr>
      <w:tr w:rsidR="00000000">
        <w:tblPrEx>
          <w:tblCellMar>
            <w:top w:w="0" w:type="dxa"/>
            <w:bottom w:w="0" w:type="dxa"/>
          </w:tblCellMar>
        </w:tblPrEx>
        <w:trPr>
          <w:cantSplit/>
        </w:trPr>
        <w:tc>
          <w:tcPr>
            <w:tcW w:w="1143" w:type="dxa"/>
            <w:vMerge/>
          </w:tcPr>
          <w:p w:rsidR="00000000" w:rsidRDefault="00000000">
            <w:pPr>
              <w:jc w:val="center"/>
              <w:rPr>
                <w:b/>
                <w:sz w:val="22"/>
                <w:u w:val="single"/>
              </w:rPr>
            </w:pPr>
          </w:p>
        </w:tc>
        <w:tc>
          <w:tcPr>
            <w:tcW w:w="1082" w:type="dxa"/>
          </w:tcPr>
          <w:p w:rsidR="00000000" w:rsidRDefault="00000000">
            <w:pPr>
              <w:jc w:val="center"/>
              <w:rPr>
                <w:sz w:val="22"/>
              </w:rPr>
            </w:pPr>
            <w:r>
              <w:rPr>
                <w:sz w:val="22"/>
              </w:rPr>
              <w:t>11</w:t>
            </w:r>
          </w:p>
        </w:tc>
        <w:tc>
          <w:tcPr>
            <w:tcW w:w="1082" w:type="dxa"/>
          </w:tcPr>
          <w:p w:rsidR="00000000" w:rsidRDefault="00000000">
            <w:pPr>
              <w:jc w:val="center"/>
              <w:rPr>
                <w:sz w:val="22"/>
              </w:rPr>
            </w:pPr>
            <w:r>
              <w:rPr>
                <w:sz w:val="22"/>
              </w:rPr>
              <w:t>1</w:t>
            </w:r>
          </w:p>
        </w:tc>
        <w:tc>
          <w:tcPr>
            <w:tcW w:w="1082" w:type="dxa"/>
          </w:tcPr>
          <w:p w:rsidR="00000000" w:rsidRDefault="00000000">
            <w:pPr>
              <w:jc w:val="center"/>
              <w:rPr>
                <w:sz w:val="22"/>
              </w:rPr>
            </w:pPr>
            <w:r>
              <w:rPr>
                <w:sz w:val="22"/>
              </w:rPr>
              <w:t>31</w:t>
            </w:r>
          </w:p>
        </w:tc>
        <w:tc>
          <w:tcPr>
            <w:tcW w:w="1083" w:type="dxa"/>
          </w:tcPr>
          <w:p w:rsidR="00000000" w:rsidRDefault="00000000">
            <w:pPr>
              <w:jc w:val="center"/>
              <w:rPr>
                <w:sz w:val="22"/>
              </w:rPr>
            </w:pPr>
            <w:r>
              <w:rPr>
                <w:sz w:val="22"/>
              </w:rPr>
              <w:t>3</w:t>
            </w:r>
          </w:p>
        </w:tc>
        <w:tc>
          <w:tcPr>
            <w:tcW w:w="1082" w:type="dxa"/>
          </w:tcPr>
          <w:p w:rsidR="00000000" w:rsidRDefault="00000000">
            <w:pPr>
              <w:jc w:val="center"/>
              <w:rPr>
                <w:sz w:val="22"/>
              </w:rPr>
            </w:pPr>
            <w:r>
              <w:rPr>
                <w:sz w:val="22"/>
              </w:rPr>
              <w:t>20</w:t>
            </w:r>
          </w:p>
        </w:tc>
        <w:tc>
          <w:tcPr>
            <w:tcW w:w="1082" w:type="dxa"/>
          </w:tcPr>
          <w:p w:rsidR="00000000" w:rsidRDefault="00000000">
            <w:pPr>
              <w:jc w:val="center"/>
              <w:rPr>
                <w:sz w:val="22"/>
              </w:rPr>
            </w:pPr>
            <w:r>
              <w:rPr>
                <w:sz w:val="22"/>
              </w:rPr>
              <w:t>21</w:t>
            </w:r>
          </w:p>
        </w:tc>
        <w:tc>
          <w:tcPr>
            <w:tcW w:w="1082" w:type="dxa"/>
          </w:tcPr>
          <w:p w:rsidR="00000000" w:rsidRDefault="00000000">
            <w:pPr>
              <w:jc w:val="center"/>
              <w:rPr>
                <w:sz w:val="22"/>
              </w:rPr>
            </w:pPr>
            <w:r>
              <w:rPr>
                <w:sz w:val="22"/>
              </w:rPr>
              <w:t>115</w:t>
            </w:r>
          </w:p>
        </w:tc>
        <w:tc>
          <w:tcPr>
            <w:tcW w:w="1083" w:type="dxa"/>
          </w:tcPr>
          <w:p w:rsidR="00000000" w:rsidRDefault="00000000">
            <w:pPr>
              <w:jc w:val="center"/>
              <w:rPr>
                <w:sz w:val="22"/>
              </w:rPr>
            </w:pPr>
            <w:r>
              <w:rPr>
                <w:sz w:val="22"/>
              </w:rPr>
              <w:t>13</w:t>
            </w:r>
          </w:p>
        </w:tc>
      </w:tr>
    </w:tbl>
    <w:p w:rsidR="00000000" w:rsidRDefault="00000000">
      <w:pPr>
        <w:pStyle w:val="Heading3"/>
        <w:rPr>
          <w:sz w:val="22"/>
          <w:u w:val="single"/>
        </w:rPr>
      </w:pPr>
    </w:p>
    <w:p w:rsidR="00000000" w:rsidRDefault="00000000">
      <w:pPr>
        <w:pStyle w:val="Heading3"/>
        <w:rPr>
          <w:sz w:val="22"/>
        </w:rPr>
      </w:pPr>
      <w:r>
        <w:rPr>
          <w:sz w:val="22"/>
          <w:u w:val="single"/>
        </w:rPr>
        <w:t>Tableau n° 9</w:t>
      </w:r>
      <w:r>
        <w:rPr>
          <w:sz w:val="22"/>
        </w:rPr>
        <w:t> : Poste  d’attaché</w:t>
      </w:r>
    </w:p>
    <w:p w:rsidR="00000000" w:rsidRDefault="00000000">
      <w:pPr>
        <w:rPr>
          <w:b/>
          <w:sz w:val="22"/>
          <w:u w:val="singl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61"/>
        <w:gridCol w:w="1080"/>
        <w:gridCol w:w="1080"/>
        <w:gridCol w:w="1080"/>
        <w:gridCol w:w="1080"/>
        <w:gridCol w:w="1080"/>
        <w:gridCol w:w="1080"/>
        <w:gridCol w:w="1080"/>
        <w:gridCol w:w="1080"/>
      </w:tblGrid>
      <w:tr w:rsidR="00000000">
        <w:tblPrEx>
          <w:tblCellMar>
            <w:top w:w="0" w:type="dxa"/>
            <w:bottom w:w="0" w:type="dxa"/>
          </w:tblCellMar>
        </w:tblPrEx>
        <w:trPr>
          <w:cantSplit/>
        </w:trPr>
        <w:tc>
          <w:tcPr>
            <w:tcW w:w="1161" w:type="dxa"/>
          </w:tcPr>
          <w:p w:rsidR="00000000" w:rsidRDefault="00000000">
            <w:pPr>
              <w:pStyle w:val="Heading3"/>
              <w:jc w:val="center"/>
              <w:rPr>
                <w:sz w:val="22"/>
                <w:u w:val="single"/>
              </w:rPr>
            </w:pPr>
            <w:r>
              <w:rPr>
                <w:sz w:val="22"/>
              </w:rPr>
              <w:t>Année</w:t>
            </w:r>
          </w:p>
        </w:tc>
        <w:tc>
          <w:tcPr>
            <w:tcW w:w="2160" w:type="dxa"/>
            <w:gridSpan w:val="2"/>
          </w:tcPr>
          <w:p w:rsidR="00000000" w:rsidRDefault="00000000">
            <w:pPr>
              <w:jc w:val="center"/>
              <w:rPr>
                <w:b/>
                <w:sz w:val="22"/>
                <w:u w:val="single"/>
              </w:rPr>
            </w:pPr>
            <w:r>
              <w:rPr>
                <w:b/>
                <w:sz w:val="22"/>
              </w:rPr>
              <w:t>Présidence</w:t>
            </w:r>
          </w:p>
        </w:tc>
        <w:tc>
          <w:tcPr>
            <w:tcW w:w="2160" w:type="dxa"/>
            <w:gridSpan w:val="2"/>
          </w:tcPr>
          <w:p w:rsidR="00000000" w:rsidRDefault="00000000">
            <w:pPr>
              <w:jc w:val="center"/>
              <w:rPr>
                <w:b/>
                <w:sz w:val="22"/>
                <w:u w:val="single"/>
              </w:rPr>
            </w:pPr>
            <w:r>
              <w:rPr>
                <w:b/>
                <w:sz w:val="22"/>
              </w:rPr>
              <w:t>Assemblée</w:t>
            </w:r>
          </w:p>
        </w:tc>
        <w:tc>
          <w:tcPr>
            <w:tcW w:w="2160" w:type="dxa"/>
            <w:gridSpan w:val="2"/>
          </w:tcPr>
          <w:p w:rsidR="00000000" w:rsidRDefault="00000000">
            <w:pPr>
              <w:jc w:val="center"/>
              <w:rPr>
                <w:b/>
                <w:sz w:val="22"/>
                <w:u w:val="single"/>
              </w:rPr>
            </w:pPr>
            <w:r>
              <w:rPr>
                <w:b/>
                <w:sz w:val="22"/>
              </w:rPr>
              <w:t>Primature</w:t>
            </w:r>
          </w:p>
        </w:tc>
        <w:tc>
          <w:tcPr>
            <w:tcW w:w="2160" w:type="dxa"/>
            <w:gridSpan w:val="2"/>
          </w:tcPr>
          <w:p w:rsidR="00000000" w:rsidRDefault="00000000">
            <w:pPr>
              <w:jc w:val="center"/>
              <w:rPr>
                <w:b/>
                <w:sz w:val="22"/>
                <w:u w:val="single"/>
              </w:rPr>
            </w:pPr>
            <w:r>
              <w:rPr>
                <w:b/>
                <w:sz w:val="22"/>
              </w:rPr>
              <w:t>Ministres</w:t>
            </w:r>
          </w:p>
        </w:tc>
      </w:tr>
      <w:tr w:rsidR="00000000">
        <w:tblPrEx>
          <w:tblCellMar>
            <w:top w:w="0" w:type="dxa"/>
            <w:bottom w:w="0" w:type="dxa"/>
          </w:tblCellMar>
        </w:tblPrEx>
        <w:trPr>
          <w:cantSplit/>
        </w:trPr>
        <w:tc>
          <w:tcPr>
            <w:tcW w:w="1161" w:type="dxa"/>
            <w:vMerge w:val="restart"/>
          </w:tcPr>
          <w:p w:rsidR="00000000" w:rsidRDefault="00000000">
            <w:pPr>
              <w:jc w:val="center"/>
              <w:rPr>
                <w:sz w:val="22"/>
              </w:rPr>
            </w:pPr>
            <w:r>
              <w:rPr>
                <w:sz w:val="22"/>
              </w:rPr>
              <w:t>1992</w:t>
            </w:r>
          </w:p>
        </w:tc>
        <w:tc>
          <w:tcPr>
            <w:tcW w:w="1080" w:type="dxa"/>
          </w:tcPr>
          <w:p w:rsidR="00000000" w:rsidRDefault="00000000">
            <w:pPr>
              <w:pStyle w:val="Heading3"/>
              <w:jc w:val="center"/>
              <w:rPr>
                <w:sz w:val="22"/>
              </w:rPr>
            </w:pPr>
            <w:r>
              <w:rPr>
                <w:sz w:val="22"/>
              </w:rPr>
              <w:t>H</w:t>
            </w:r>
          </w:p>
        </w:tc>
        <w:tc>
          <w:tcPr>
            <w:tcW w:w="1080" w:type="dxa"/>
          </w:tcPr>
          <w:p w:rsidR="00000000" w:rsidRDefault="00000000">
            <w:pPr>
              <w:jc w:val="center"/>
              <w:rPr>
                <w:b/>
                <w:sz w:val="22"/>
                <w:lang w:val="en-GB"/>
              </w:rPr>
            </w:pPr>
            <w:r>
              <w:rPr>
                <w:b/>
                <w:sz w:val="22"/>
                <w:lang w:val="en-GB"/>
              </w:rPr>
              <w:t>F</w:t>
            </w:r>
          </w:p>
        </w:tc>
        <w:tc>
          <w:tcPr>
            <w:tcW w:w="1080" w:type="dxa"/>
          </w:tcPr>
          <w:p w:rsidR="00000000" w:rsidRDefault="00000000">
            <w:pPr>
              <w:jc w:val="center"/>
              <w:rPr>
                <w:b/>
                <w:sz w:val="22"/>
                <w:lang w:val="en-GB"/>
              </w:rPr>
            </w:pPr>
            <w:r>
              <w:rPr>
                <w:b/>
                <w:sz w:val="22"/>
                <w:lang w:val="en-GB"/>
              </w:rPr>
              <w:t>H</w:t>
            </w:r>
          </w:p>
        </w:tc>
        <w:tc>
          <w:tcPr>
            <w:tcW w:w="1080" w:type="dxa"/>
          </w:tcPr>
          <w:p w:rsidR="00000000" w:rsidRDefault="00000000">
            <w:pPr>
              <w:jc w:val="center"/>
              <w:rPr>
                <w:b/>
                <w:sz w:val="22"/>
                <w:lang w:val="en-GB"/>
              </w:rPr>
            </w:pPr>
            <w:r>
              <w:rPr>
                <w:b/>
                <w:sz w:val="22"/>
                <w:lang w:val="en-GB"/>
              </w:rPr>
              <w:t>F</w:t>
            </w:r>
          </w:p>
        </w:tc>
        <w:tc>
          <w:tcPr>
            <w:tcW w:w="1080" w:type="dxa"/>
          </w:tcPr>
          <w:p w:rsidR="00000000" w:rsidRDefault="00000000">
            <w:pPr>
              <w:jc w:val="center"/>
              <w:rPr>
                <w:b/>
                <w:sz w:val="22"/>
                <w:lang w:val="en-GB"/>
              </w:rPr>
            </w:pPr>
            <w:r>
              <w:rPr>
                <w:b/>
                <w:sz w:val="22"/>
                <w:lang w:val="en-GB"/>
              </w:rPr>
              <w:t>H</w:t>
            </w:r>
          </w:p>
        </w:tc>
        <w:tc>
          <w:tcPr>
            <w:tcW w:w="1080" w:type="dxa"/>
          </w:tcPr>
          <w:p w:rsidR="00000000" w:rsidRDefault="00000000">
            <w:pPr>
              <w:jc w:val="center"/>
              <w:rPr>
                <w:b/>
                <w:sz w:val="22"/>
                <w:lang w:val="en-GB"/>
              </w:rPr>
            </w:pPr>
            <w:r>
              <w:rPr>
                <w:b/>
                <w:sz w:val="22"/>
                <w:lang w:val="en-GB"/>
              </w:rPr>
              <w:t>F</w:t>
            </w:r>
          </w:p>
        </w:tc>
        <w:tc>
          <w:tcPr>
            <w:tcW w:w="1080" w:type="dxa"/>
          </w:tcPr>
          <w:p w:rsidR="00000000" w:rsidRDefault="00000000">
            <w:pPr>
              <w:jc w:val="center"/>
              <w:rPr>
                <w:b/>
                <w:sz w:val="22"/>
                <w:lang w:val="en-GB"/>
              </w:rPr>
            </w:pPr>
            <w:r>
              <w:rPr>
                <w:b/>
                <w:sz w:val="22"/>
                <w:lang w:val="en-GB"/>
              </w:rPr>
              <w:t>H</w:t>
            </w:r>
          </w:p>
        </w:tc>
        <w:tc>
          <w:tcPr>
            <w:tcW w:w="1080" w:type="dxa"/>
          </w:tcPr>
          <w:p w:rsidR="00000000" w:rsidRDefault="00000000">
            <w:pPr>
              <w:jc w:val="center"/>
              <w:rPr>
                <w:b/>
                <w:sz w:val="22"/>
              </w:rPr>
            </w:pPr>
            <w:r>
              <w:rPr>
                <w:b/>
                <w:sz w:val="22"/>
              </w:rPr>
              <w:t>F</w:t>
            </w:r>
          </w:p>
        </w:tc>
      </w:tr>
      <w:tr w:rsidR="00000000">
        <w:tblPrEx>
          <w:tblCellMar>
            <w:top w:w="0" w:type="dxa"/>
            <w:bottom w:w="0" w:type="dxa"/>
          </w:tblCellMar>
        </w:tblPrEx>
        <w:trPr>
          <w:cantSplit/>
        </w:trPr>
        <w:tc>
          <w:tcPr>
            <w:tcW w:w="1161" w:type="dxa"/>
            <w:vMerge/>
          </w:tcPr>
          <w:p w:rsidR="00000000" w:rsidRDefault="00000000">
            <w:pPr>
              <w:jc w:val="center"/>
              <w:rPr>
                <w:sz w:val="22"/>
                <w:u w:val="single"/>
              </w:rPr>
            </w:pPr>
          </w:p>
        </w:tc>
        <w:tc>
          <w:tcPr>
            <w:tcW w:w="1080" w:type="dxa"/>
          </w:tcPr>
          <w:p w:rsidR="00000000" w:rsidRDefault="00000000">
            <w:pPr>
              <w:jc w:val="center"/>
              <w:rPr>
                <w:sz w:val="22"/>
              </w:rPr>
            </w:pPr>
            <w:r>
              <w:rPr>
                <w:sz w:val="22"/>
              </w:rPr>
              <w:t>23</w:t>
            </w:r>
          </w:p>
        </w:tc>
        <w:tc>
          <w:tcPr>
            <w:tcW w:w="1080" w:type="dxa"/>
          </w:tcPr>
          <w:p w:rsidR="00000000" w:rsidRDefault="00000000">
            <w:pPr>
              <w:jc w:val="center"/>
              <w:rPr>
                <w:sz w:val="22"/>
              </w:rPr>
            </w:pPr>
            <w:r>
              <w:rPr>
                <w:sz w:val="22"/>
              </w:rPr>
              <w:t>3</w:t>
            </w:r>
          </w:p>
        </w:tc>
        <w:tc>
          <w:tcPr>
            <w:tcW w:w="1080" w:type="dxa"/>
          </w:tcPr>
          <w:p w:rsidR="00000000" w:rsidRDefault="00000000">
            <w:pPr>
              <w:jc w:val="center"/>
              <w:rPr>
                <w:sz w:val="22"/>
              </w:rPr>
            </w:pPr>
            <w:r>
              <w:rPr>
                <w:sz w:val="22"/>
              </w:rPr>
              <w:t>44</w:t>
            </w:r>
          </w:p>
        </w:tc>
        <w:tc>
          <w:tcPr>
            <w:tcW w:w="1080" w:type="dxa"/>
          </w:tcPr>
          <w:p w:rsidR="00000000" w:rsidRDefault="00000000">
            <w:pPr>
              <w:jc w:val="center"/>
              <w:rPr>
                <w:sz w:val="22"/>
              </w:rPr>
            </w:pPr>
            <w:r>
              <w:rPr>
                <w:sz w:val="22"/>
              </w:rPr>
              <w:t>7</w:t>
            </w:r>
          </w:p>
        </w:tc>
        <w:tc>
          <w:tcPr>
            <w:tcW w:w="1080" w:type="dxa"/>
          </w:tcPr>
          <w:p w:rsidR="00000000" w:rsidRDefault="00000000">
            <w:pPr>
              <w:jc w:val="center"/>
              <w:rPr>
                <w:sz w:val="22"/>
              </w:rPr>
            </w:pPr>
            <w:r>
              <w:rPr>
                <w:sz w:val="22"/>
              </w:rPr>
              <w:t>28</w:t>
            </w:r>
          </w:p>
        </w:tc>
        <w:tc>
          <w:tcPr>
            <w:tcW w:w="1080" w:type="dxa"/>
          </w:tcPr>
          <w:p w:rsidR="00000000" w:rsidRDefault="00000000">
            <w:pPr>
              <w:jc w:val="center"/>
              <w:rPr>
                <w:sz w:val="22"/>
              </w:rPr>
            </w:pPr>
            <w:r>
              <w:rPr>
                <w:sz w:val="22"/>
              </w:rPr>
              <w:t>7</w:t>
            </w:r>
          </w:p>
        </w:tc>
        <w:tc>
          <w:tcPr>
            <w:tcW w:w="1080" w:type="dxa"/>
          </w:tcPr>
          <w:p w:rsidR="00000000" w:rsidRDefault="00000000">
            <w:pPr>
              <w:jc w:val="center"/>
              <w:rPr>
                <w:sz w:val="22"/>
              </w:rPr>
            </w:pPr>
            <w:r>
              <w:rPr>
                <w:sz w:val="22"/>
              </w:rPr>
              <w:t>100</w:t>
            </w:r>
          </w:p>
        </w:tc>
        <w:tc>
          <w:tcPr>
            <w:tcW w:w="1080" w:type="dxa"/>
          </w:tcPr>
          <w:p w:rsidR="00000000" w:rsidRDefault="00000000">
            <w:pPr>
              <w:jc w:val="center"/>
              <w:rPr>
                <w:sz w:val="22"/>
              </w:rPr>
            </w:pPr>
            <w:r>
              <w:rPr>
                <w:sz w:val="22"/>
              </w:rPr>
              <w:t>18</w:t>
            </w:r>
          </w:p>
        </w:tc>
      </w:tr>
    </w:tbl>
    <w:p w:rsidR="00000000" w:rsidRDefault="00000000">
      <w:pPr>
        <w:jc w:val="both"/>
        <w:rPr>
          <w:sz w:val="22"/>
          <w:u w:val="single"/>
        </w:rPr>
      </w:pPr>
    </w:p>
    <w:p w:rsidR="00000000" w:rsidRDefault="00000000">
      <w:pPr>
        <w:rPr>
          <w:sz w:val="22"/>
        </w:rPr>
      </w:pPr>
      <w:r>
        <w:rPr>
          <w:sz w:val="22"/>
        </w:rPr>
        <w:t>Au Ministère des finances et du budget en  1991 et actuellement un des trois Fondés de Pouvoir est une femme (3</w:t>
      </w:r>
      <w:r>
        <w:rPr>
          <w:sz w:val="22"/>
          <w:vertAlign w:val="superscript"/>
        </w:rPr>
        <w:t>e</w:t>
      </w:r>
      <w:r>
        <w:rPr>
          <w:sz w:val="22"/>
        </w:rPr>
        <w:t xml:space="preserve"> fondée de Pouvoir).</w:t>
      </w:r>
    </w:p>
    <w:p w:rsidR="00000000" w:rsidRDefault="00000000">
      <w:pPr>
        <w:rPr>
          <w:sz w:val="22"/>
        </w:rPr>
      </w:pPr>
    </w:p>
    <w:p w:rsidR="00000000" w:rsidRDefault="00000000">
      <w:pPr>
        <w:pStyle w:val="Heading1"/>
      </w:pPr>
      <w:r>
        <w:rPr>
          <w:u w:val="single"/>
        </w:rPr>
        <w:t>Tableau n° 10</w:t>
      </w:r>
      <w:r>
        <w:t> : Répartition des Préfets</w:t>
      </w:r>
    </w:p>
    <w:p w:rsidR="00000000" w:rsidRDefault="00000000">
      <w:pPr>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73"/>
        <w:gridCol w:w="3273"/>
        <w:gridCol w:w="3273"/>
      </w:tblGrid>
      <w:tr w:rsidR="00000000">
        <w:tblPrEx>
          <w:tblCellMar>
            <w:top w:w="0" w:type="dxa"/>
            <w:bottom w:w="0" w:type="dxa"/>
          </w:tblCellMar>
        </w:tblPrEx>
        <w:tc>
          <w:tcPr>
            <w:tcW w:w="3273" w:type="dxa"/>
          </w:tcPr>
          <w:p w:rsidR="00000000" w:rsidRDefault="00000000">
            <w:pPr>
              <w:jc w:val="center"/>
              <w:rPr>
                <w:sz w:val="22"/>
              </w:rPr>
            </w:pPr>
            <w:r>
              <w:rPr>
                <w:sz w:val="22"/>
              </w:rPr>
              <w:t>Année</w:t>
            </w:r>
          </w:p>
        </w:tc>
        <w:tc>
          <w:tcPr>
            <w:tcW w:w="3273" w:type="dxa"/>
          </w:tcPr>
          <w:p w:rsidR="00000000" w:rsidRDefault="00000000">
            <w:pPr>
              <w:jc w:val="center"/>
              <w:rPr>
                <w:sz w:val="22"/>
              </w:rPr>
            </w:pPr>
            <w:r>
              <w:rPr>
                <w:sz w:val="22"/>
              </w:rPr>
              <w:t>H</w:t>
            </w:r>
          </w:p>
        </w:tc>
        <w:tc>
          <w:tcPr>
            <w:tcW w:w="3273" w:type="dxa"/>
          </w:tcPr>
          <w:p w:rsidR="00000000" w:rsidRDefault="00000000">
            <w:pPr>
              <w:jc w:val="center"/>
              <w:rPr>
                <w:sz w:val="22"/>
              </w:rPr>
            </w:pPr>
            <w:r>
              <w:rPr>
                <w:sz w:val="22"/>
              </w:rPr>
              <w:t>F</w:t>
            </w:r>
          </w:p>
        </w:tc>
      </w:tr>
      <w:tr w:rsidR="00000000">
        <w:tblPrEx>
          <w:tblCellMar>
            <w:top w:w="0" w:type="dxa"/>
            <w:bottom w:w="0" w:type="dxa"/>
          </w:tblCellMar>
        </w:tblPrEx>
        <w:tc>
          <w:tcPr>
            <w:tcW w:w="3273" w:type="dxa"/>
          </w:tcPr>
          <w:p w:rsidR="00000000" w:rsidRDefault="00000000">
            <w:pPr>
              <w:jc w:val="center"/>
              <w:rPr>
                <w:sz w:val="22"/>
              </w:rPr>
            </w:pPr>
            <w:r>
              <w:rPr>
                <w:sz w:val="22"/>
              </w:rPr>
              <w:t>1980</w:t>
            </w:r>
          </w:p>
        </w:tc>
        <w:tc>
          <w:tcPr>
            <w:tcW w:w="3273" w:type="dxa"/>
          </w:tcPr>
          <w:p w:rsidR="00000000" w:rsidRDefault="00000000">
            <w:pPr>
              <w:jc w:val="center"/>
              <w:rPr>
                <w:sz w:val="22"/>
              </w:rPr>
            </w:pPr>
            <w:r>
              <w:rPr>
                <w:sz w:val="22"/>
              </w:rPr>
              <w:t>9</w:t>
            </w:r>
          </w:p>
        </w:tc>
        <w:tc>
          <w:tcPr>
            <w:tcW w:w="3273" w:type="dxa"/>
          </w:tcPr>
          <w:p w:rsidR="00000000" w:rsidRDefault="00000000">
            <w:pPr>
              <w:jc w:val="center"/>
              <w:rPr>
                <w:sz w:val="22"/>
              </w:rPr>
            </w:pPr>
            <w:r>
              <w:rPr>
                <w:sz w:val="22"/>
              </w:rPr>
              <w:t>0</w:t>
            </w:r>
          </w:p>
        </w:tc>
      </w:tr>
      <w:tr w:rsidR="00000000">
        <w:tblPrEx>
          <w:tblCellMar>
            <w:top w:w="0" w:type="dxa"/>
            <w:bottom w:w="0" w:type="dxa"/>
          </w:tblCellMar>
        </w:tblPrEx>
        <w:tc>
          <w:tcPr>
            <w:tcW w:w="3273" w:type="dxa"/>
          </w:tcPr>
          <w:p w:rsidR="00000000" w:rsidRDefault="00000000">
            <w:pPr>
              <w:jc w:val="center"/>
              <w:rPr>
                <w:sz w:val="22"/>
              </w:rPr>
            </w:pPr>
            <w:r>
              <w:rPr>
                <w:sz w:val="22"/>
              </w:rPr>
              <w:t>1985</w:t>
            </w:r>
          </w:p>
        </w:tc>
        <w:tc>
          <w:tcPr>
            <w:tcW w:w="3273" w:type="dxa"/>
          </w:tcPr>
          <w:p w:rsidR="00000000" w:rsidRDefault="00000000">
            <w:pPr>
              <w:jc w:val="center"/>
              <w:rPr>
                <w:sz w:val="22"/>
              </w:rPr>
            </w:pPr>
            <w:r>
              <w:rPr>
                <w:sz w:val="22"/>
              </w:rPr>
              <w:t>8</w:t>
            </w:r>
          </w:p>
        </w:tc>
        <w:tc>
          <w:tcPr>
            <w:tcW w:w="3273" w:type="dxa"/>
          </w:tcPr>
          <w:p w:rsidR="00000000" w:rsidRDefault="00000000">
            <w:pPr>
              <w:jc w:val="center"/>
              <w:rPr>
                <w:sz w:val="22"/>
              </w:rPr>
            </w:pPr>
            <w:r>
              <w:rPr>
                <w:sz w:val="22"/>
              </w:rPr>
              <w:t>1</w:t>
            </w:r>
          </w:p>
        </w:tc>
      </w:tr>
      <w:tr w:rsidR="00000000">
        <w:tblPrEx>
          <w:tblCellMar>
            <w:top w:w="0" w:type="dxa"/>
            <w:bottom w:w="0" w:type="dxa"/>
          </w:tblCellMar>
        </w:tblPrEx>
        <w:tc>
          <w:tcPr>
            <w:tcW w:w="3273" w:type="dxa"/>
          </w:tcPr>
          <w:p w:rsidR="00000000" w:rsidRDefault="00000000">
            <w:pPr>
              <w:jc w:val="center"/>
              <w:rPr>
                <w:sz w:val="22"/>
              </w:rPr>
            </w:pPr>
            <w:r>
              <w:rPr>
                <w:sz w:val="22"/>
              </w:rPr>
              <w:t>1993</w:t>
            </w:r>
          </w:p>
        </w:tc>
        <w:tc>
          <w:tcPr>
            <w:tcW w:w="3273" w:type="dxa"/>
          </w:tcPr>
          <w:p w:rsidR="00000000" w:rsidRDefault="00000000">
            <w:pPr>
              <w:jc w:val="center"/>
              <w:rPr>
                <w:sz w:val="22"/>
              </w:rPr>
            </w:pPr>
            <w:r>
              <w:rPr>
                <w:sz w:val="22"/>
              </w:rPr>
              <w:t>10</w:t>
            </w:r>
          </w:p>
        </w:tc>
        <w:tc>
          <w:tcPr>
            <w:tcW w:w="3273" w:type="dxa"/>
          </w:tcPr>
          <w:p w:rsidR="00000000" w:rsidRDefault="00000000">
            <w:pPr>
              <w:jc w:val="center"/>
              <w:rPr>
                <w:sz w:val="22"/>
              </w:rPr>
            </w:pPr>
            <w:r>
              <w:rPr>
                <w:sz w:val="22"/>
              </w:rPr>
              <w:t>0</w:t>
            </w:r>
          </w:p>
        </w:tc>
      </w:tr>
      <w:tr w:rsidR="00000000">
        <w:tblPrEx>
          <w:tblCellMar>
            <w:top w:w="0" w:type="dxa"/>
            <w:bottom w:w="0" w:type="dxa"/>
          </w:tblCellMar>
        </w:tblPrEx>
        <w:tc>
          <w:tcPr>
            <w:tcW w:w="3273" w:type="dxa"/>
          </w:tcPr>
          <w:p w:rsidR="00000000" w:rsidRDefault="00000000">
            <w:pPr>
              <w:jc w:val="center"/>
              <w:rPr>
                <w:sz w:val="22"/>
              </w:rPr>
            </w:pPr>
            <w:r>
              <w:rPr>
                <w:sz w:val="22"/>
              </w:rPr>
              <w:t>1999</w:t>
            </w:r>
          </w:p>
        </w:tc>
        <w:tc>
          <w:tcPr>
            <w:tcW w:w="3273" w:type="dxa"/>
          </w:tcPr>
          <w:p w:rsidR="00000000" w:rsidRDefault="00000000">
            <w:pPr>
              <w:jc w:val="center"/>
              <w:rPr>
                <w:sz w:val="22"/>
              </w:rPr>
            </w:pPr>
            <w:r>
              <w:rPr>
                <w:sz w:val="22"/>
              </w:rPr>
              <w:t>10</w:t>
            </w:r>
          </w:p>
        </w:tc>
        <w:tc>
          <w:tcPr>
            <w:tcW w:w="3273" w:type="dxa"/>
          </w:tcPr>
          <w:p w:rsidR="00000000" w:rsidRDefault="00000000">
            <w:pPr>
              <w:jc w:val="center"/>
              <w:rPr>
                <w:sz w:val="22"/>
              </w:rPr>
            </w:pPr>
            <w:r>
              <w:rPr>
                <w:sz w:val="22"/>
              </w:rPr>
              <w:t>0</w:t>
            </w:r>
          </w:p>
        </w:tc>
      </w:tr>
      <w:tr w:rsidR="00000000">
        <w:tblPrEx>
          <w:tblCellMar>
            <w:top w:w="0" w:type="dxa"/>
            <w:bottom w:w="0" w:type="dxa"/>
          </w:tblCellMar>
        </w:tblPrEx>
        <w:tc>
          <w:tcPr>
            <w:tcW w:w="3273" w:type="dxa"/>
          </w:tcPr>
          <w:p w:rsidR="00000000" w:rsidRDefault="00000000">
            <w:pPr>
              <w:jc w:val="center"/>
              <w:rPr>
                <w:sz w:val="22"/>
              </w:rPr>
            </w:pPr>
            <w:r>
              <w:rPr>
                <w:sz w:val="22"/>
              </w:rPr>
              <w:t>2000</w:t>
            </w:r>
          </w:p>
        </w:tc>
        <w:tc>
          <w:tcPr>
            <w:tcW w:w="3273" w:type="dxa"/>
          </w:tcPr>
          <w:p w:rsidR="00000000" w:rsidRDefault="00000000">
            <w:pPr>
              <w:jc w:val="center"/>
              <w:rPr>
                <w:sz w:val="22"/>
              </w:rPr>
            </w:pPr>
            <w:r>
              <w:rPr>
                <w:sz w:val="22"/>
              </w:rPr>
              <w:t>10</w:t>
            </w:r>
          </w:p>
        </w:tc>
        <w:tc>
          <w:tcPr>
            <w:tcW w:w="3273" w:type="dxa"/>
          </w:tcPr>
          <w:p w:rsidR="00000000" w:rsidRDefault="00000000">
            <w:pPr>
              <w:jc w:val="center"/>
              <w:rPr>
                <w:sz w:val="22"/>
              </w:rPr>
            </w:pPr>
            <w:r>
              <w:rPr>
                <w:sz w:val="22"/>
              </w:rPr>
              <w:t>0</w:t>
            </w:r>
          </w:p>
        </w:tc>
      </w:tr>
    </w:tbl>
    <w:p w:rsidR="00000000" w:rsidRDefault="00000000">
      <w:pPr>
        <w:rPr>
          <w:sz w:val="22"/>
        </w:rPr>
      </w:pPr>
      <w:r>
        <w:rPr>
          <w:sz w:val="22"/>
        </w:rPr>
        <w:t xml:space="preserve">    </w:t>
      </w:r>
    </w:p>
    <w:p w:rsidR="00000000" w:rsidRDefault="00000000">
      <w:pPr>
        <w:pStyle w:val="Heading1"/>
      </w:pPr>
      <w:r>
        <w:rPr>
          <w:u w:val="single"/>
        </w:rPr>
        <w:t>Tableau n° 11</w:t>
      </w:r>
      <w:r>
        <w:t xml:space="preserve"> : Répartition des Sous-Préfets </w:t>
      </w:r>
    </w:p>
    <w:p w:rsidR="00000000" w:rsidRDefault="00000000">
      <w:pPr>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73"/>
        <w:gridCol w:w="3273"/>
        <w:gridCol w:w="3273"/>
      </w:tblGrid>
      <w:tr w:rsidR="00000000">
        <w:tblPrEx>
          <w:tblCellMar>
            <w:top w:w="0" w:type="dxa"/>
            <w:bottom w:w="0" w:type="dxa"/>
          </w:tblCellMar>
        </w:tblPrEx>
        <w:tc>
          <w:tcPr>
            <w:tcW w:w="3273" w:type="dxa"/>
          </w:tcPr>
          <w:p w:rsidR="00000000" w:rsidRDefault="00000000">
            <w:pPr>
              <w:jc w:val="center"/>
              <w:rPr>
                <w:sz w:val="22"/>
              </w:rPr>
            </w:pPr>
            <w:r>
              <w:rPr>
                <w:b/>
                <w:sz w:val="22"/>
              </w:rPr>
              <w:t>Année</w:t>
            </w:r>
          </w:p>
        </w:tc>
        <w:tc>
          <w:tcPr>
            <w:tcW w:w="3273" w:type="dxa"/>
          </w:tcPr>
          <w:p w:rsidR="00000000" w:rsidRDefault="00000000">
            <w:pPr>
              <w:jc w:val="center"/>
              <w:rPr>
                <w:sz w:val="22"/>
              </w:rPr>
            </w:pPr>
            <w:r>
              <w:rPr>
                <w:b/>
                <w:sz w:val="22"/>
              </w:rPr>
              <w:t>H</w:t>
            </w:r>
          </w:p>
        </w:tc>
        <w:tc>
          <w:tcPr>
            <w:tcW w:w="3273" w:type="dxa"/>
          </w:tcPr>
          <w:p w:rsidR="00000000" w:rsidRDefault="00000000">
            <w:pPr>
              <w:jc w:val="center"/>
              <w:rPr>
                <w:sz w:val="22"/>
              </w:rPr>
            </w:pPr>
            <w:r>
              <w:rPr>
                <w:b/>
                <w:sz w:val="22"/>
              </w:rPr>
              <w:t>F</w:t>
            </w:r>
          </w:p>
        </w:tc>
      </w:tr>
      <w:tr w:rsidR="00000000">
        <w:tblPrEx>
          <w:tblCellMar>
            <w:top w:w="0" w:type="dxa"/>
            <w:bottom w:w="0" w:type="dxa"/>
          </w:tblCellMar>
        </w:tblPrEx>
        <w:tc>
          <w:tcPr>
            <w:tcW w:w="3273" w:type="dxa"/>
          </w:tcPr>
          <w:p w:rsidR="00000000" w:rsidRDefault="00000000">
            <w:pPr>
              <w:jc w:val="center"/>
              <w:rPr>
                <w:sz w:val="22"/>
              </w:rPr>
            </w:pPr>
            <w:r>
              <w:rPr>
                <w:sz w:val="22"/>
              </w:rPr>
              <w:t>1980</w:t>
            </w:r>
          </w:p>
        </w:tc>
        <w:tc>
          <w:tcPr>
            <w:tcW w:w="3273" w:type="dxa"/>
          </w:tcPr>
          <w:p w:rsidR="00000000" w:rsidRDefault="00000000">
            <w:pPr>
              <w:jc w:val="center"/>
              <w:rPr>
                <w:sz w:val="22"/>
              </w:rPr>
            </w:pPr>
            <w:r>
              <w:rPr>
                <w:sz w:val="22"/>
              </w:rPr>
              <w:t>47</w:t>
            </w:r>
          </w:p>
        </w:tc>
        <w:tc>
          <w:tcPr>
            <w:tcW w:w="3273" w:type="dxa"/>
          </w:tcPr>
          <w:p w:rsidR="00000000" w:rsidRDefault="00000000">
            <w:pPr>
              <w:jc w:val="center"/>
              <w:rPr>
                <w:sz w:val="22"/>
              </w:rPr>
            </w:pPr>
            <w:r>
              <w:rPr>
                <w:sz w:val="22"/>
              </w:rPr>
              <w:t>0</w:t>
            </w:r>
          </w:p>
        </w:tc>
      </w:tr>
      <w:tr w:rsidR="00000000">
        <w:tblPrEx>
          <w:tblCellMar>
            <w:top w:w="0" w:type="dxa"/>
            <w:bottom w:w="0" w:type="dxa"/>
          </w:tblCellMar>
        </w:tblPrEx>
        <w:tc>
          <w:tcPr>
            <w:tcW w:w="3273" w:type="dxa"/>
          </w:tcPr>
          <w:p w:rsidR="00000000" w:rsidRDefault="00000000">
            <w:pPr>
              <w:jc w:val="center"/>
              <w:rPr>
                <w:sz w:val="22"/>
              </w:rPr>
            </w:pPr>
            <w:r>
              <w:rPr>
                <w:sz w:val="22"/>
              </w:rPr>
              <w:t>1985</w:t>
            </w:r>
          </w:p>
        </w:tc>
        <w:tc>
          <w:tcPr>
            <w:tcW w:w="3273" w:type="dxa"/>
          </w:tcPr>
          <w:p w:rsidR="00000000" w:rsidRDefault="00000000">
            <w:pPr>
              <w:jc w:val="center"/>
              <w:rPr>
                <w:sz w:val="22"/>
              </w:rPr>
            </w:pPr>
            <w:r>
              <w:rPr>
                <w:sz w:val="22"/>
              </w:rPr>
              <w:t>47</w:t>
            </w:r>
          </w:p>
        </w:tc>
        <w:tc>
          <w:tcPr>
            <w:tcW w:w="3273" w:type="dxa"/>
          </w:tcPr>
          <w:p w:rsidR="00000000" w:rsidRDefault="00000000">
            <w:pPr>
              <w:jc w:val="center"/>
              <w:rPr>
                <w:sz w:val="22"/>
              </w:rPr>
            </w:pPr>
            <w:r>
              <w:rPr>
                <w:sz w:val="22"/>
              </w:rPr>
              <w:t>0</w:t>
            </w:r>
          </w:p>
        </w:tc>
      </w:tr>
      <w:tr w:rsidR="00000000">
        <w:tblPrEx>
          <w:tblCellMar>
            <w:top w:w="0" w:type="dxa"/>
            <w:bottom w:w="0" w:type="dxa"/>
          </w:tblCellMar>
        </w:tblPrEx>
        <w:tc>
          <w:tcPr>
            <w:tcW w:w="3273" w:type="dxa"/>
          </w:tcPr>
          <w:p w:rsidR="00000000" w:rsidRDefault="00000000">
            <w:pPr>
              <w:jc w:val="center"/>
              <w:rPr>
                <w:sz w:val="22"/>
              </w:rPr>
            </w:pPr>
            <w:r>
              <w:rPr>
                <w:sz w:val="22"/>
              </w:rPr>
              <w:t>1993</w:t>
            </w:r>
          </w:p>
        </w:tc>
        <w:tc>
          <w:tcPr>
            <w:tcW w:w="3273" w:type="dxa"/>
          </w:tcPr>
          <w:p w:rsidR="00000000" w:rsidRDefault="00000000">
            <w:pPr>
              <w:jc w:val="center"/>
              <w:rPr>
                <w:sz w:val="22"/>
              </w:rPr>
            </w:pPr>
            <w:r>
              <w:rPr>
                <w:sz w:val="22"/>
              </w:rPr>
              <w:t>47</w:t>
            </w:r>
          </w:p>
        </w:tc>
        <w:tc>
          <w:tcPr>
            <w:tcW w:w="3273" w:type="dxa"/>
          </w:tcPr>
          <w:p w:rsidR="00000000" w:rsidRDefault="00000000">
            <w:pPr>
              <w:jc w:val="center"/>
              <w:rPr>
                <w:sz w:val="22"/>
              </w:rPr>
            </w:pPr>
            <w:r>
              <w:rPr>
                <w:sz w:val="22"/>
              </w:rPr>
              <w:t>0</w:t>
            </w:r>
          </w:p>
        </w:tc>
      </w:tr>
      <w:tr w:rsidR="00000000">
        <w:tblPrEx>
          <w:tblCellMar>
            <w:top w:w="0" w:type="dxa"/>
            <w:bottom w:w="0" w:type="dxa"/>
          </w:tblCellMar>
        </w:tblPrEx>
        <w:tc>
          <w:tcPr>
            <w:tcW w:w="3273" w:type="dxa"/>
          </w:tcPr>
          <w:p w:rsidR="00000000" w:rsidRDefault="00000000">
            <w:pPr>
              <w:jc w:val="center"/>
              <w:rPr>
                <w:sz w:val="22"/>
              </w:rPr>
            </w:pPr>
            <w:r>
              <w:rPr>
                <w:sz w:val="22"/>
              </w:rPr>
              <w:t>1999 – 2000</w:t>
            </w:r>
          </w:p>
        </w:tc>
        <w:tc>
          <w:tcPr>
            <w:tcW w:w="3273" w:type="dxa"/>
          </w:tcPr>
          <w:p w:rsidR="00000000" w:rsidRDefault="00000000">
            <w:pPr>
              <w:jc w:val="center"/>
              <w:rPr>
                <w:sz w:val="22"/>
              </w:rPr>
            </w:pPr>
            <w:r>
              <w:rPr>
                <w:sz w:val="22"/>
              </w:rPr>
              <w:t>47</w:t>
            </w:r>
          </w:p>
        </w:tc>
        <w:tc>
          <w:tcPr>
            <w:tcW w:w="3273" w:type="dxa"/>
          </w:tcPr>
          <w:p w:rsidR="00000000" w:rsidRDefault="00000000">
            <w:pPr>
              <w:jc w:val="center"/>
              <w:rPr>
                <w:sz w:val="22"/>
              </w:rPr>
            </w:pPr>
            <w:r>
              <w:rPr>
                <w:sz w:val="22"/>
              </w:rPr>
              <w:t>0</w:t>
            </w:r>
          </w:p>
        </w:tc>
      </w:tr>
    </w:tbl>
    <w:p w:rsidR="00000000" w:rsidRDefault="00000000">
      <w:pPr>
        <w:rPr>
          <w:sz w:val="22"/>
        </w:rPr>
      </w:pPr>
      <w:r>
        <w:rPr>
          <w:sz w:val="22"/>
        </w:rPr>
        <w:t xml:space="preserve">   </w:t>
      </w:r>
    </w:p>
    <w:p w:rsidR="00000000" w:rsidRDefault="00000000">
      <w:pPr>
        <w:jc w:val="both"/>
        <w:rPr>
          <w:sz w:val="22"/>
        </w:rPr>
      </w:pPr>
      <w:r>
        <w:rPr>
          <w:sz w:val="22"/>
        </w:rPr>
        <w:t xml:space="preserve">Notons qu’actuellement une femme est secrétaire générale d’une préfecture et trois femmes chefs de district. </w:t>
      </w:r>
    </w:p>
    <w:p w:rsidR="00000000" w:rsidRDefault="00000000">
      <w:pPr>
        <w:pStyle w:val="BodyText3"/>
        <w:rPr>
          <w:sz w:val="22"/>
        </w:rPr>
      </w:pPr>
      <w:r>
        <w:rPr>
          <w:sz w:val="22"/>
        </w:rPr>
        <w:t>Il est à noter également que quatre (4) femmes ont été nommées : Maires d’Arrondissement de 1987 à l’an 2000, dans les Communes de Pointe-Noire, Dolisie et Brazzaville.</w:t>
      </w:r>
    </w:p>
    <w:p w:rsidR="00000000" w:rsidRDefault="00000000">
      <w:pPr>
        <w:pStyle w:val="BodyText2"/>
        <w:jc w:val="both"/>
      </w:pPr>
    </w:p>
    <w:p w:rsidR="00000000" w:rsidRDefault="00000000">
      <w:pPr>
        <w:pStyle w:val="BodyText2"/>
        <w:jc w:val="both"/>
      </w:pPr>
      <w:r>
        <w:t xml:space="preserve">C – </w:t>
      </w:r>
      <w:r>
        <w:rPr>
          <w:u w:val="single"/>
        </w:rPr>
        <w:t>La représentativité de la femme au sein du pouvoir judiciaire</w:t>
      </w:r>
      <w:r>
        <w:t xml:space="preserve">  </w:t>
      </w:r>
    </w:p>
    <w:p w:rsidR="00000000" w:rsidRDefault="00000000">
      <w:pPr>
        <w:pStyle w:val="BodyText2"/>
        <w:jc w:val="both"/>
        <w:rPr>
          <w:b w:val="0"/>
        </w:rPr>
      </w:pPr>
      <w:r>
        <w:t xml:space="preserve">   </w:t>
      </w:r>
    </w:p>
    <w:p w:rsidR="00000000" w:rsidRDefault="00000000">
      <w:pPr>
        <w:pStyle w:val="BodyText2"/>
        <w:jc w:val="both"/>
        <w:rPr>
          <w:b w:val="0"/>
        </w:rPr>
      </w:pPr>
      <w:r>
        <w:rPr>
          <w:b w:val="0"/>
        </w:rPr>
        <w:t xml:space="preserve">Le même constat s’opère au niveau du pouvoir judiciaire. Sur 23 membres de la Cour Suprême, 3 seulement sont des femmes. Au niveau des Cours d’Appel, sur quatre procureurs généraux, il y a une femme et aucune n’est présidente de juridiction. </w:t>
      </w:r>
    </w:p>
    <w:p w:rsidR="00000000" w:rsidRDefault="00000000">
      <w:pPr>
        <w:pStyle w:val="BodyText2"/>
        <w:jc w:val="both"/>
        <w:rPr>
          <w:b w:val="0"/>
        </w:rPr>
      </w:pPr>
    </w:p>
    <w:p w:rsidR="00000000" w:rsidRDefault="00000000">
      <w:pPr>
        <w:pStyle w:val="BodyText2"/>
        <w:jc w:val="both"/>
        <w:rPr>
          <w:b w:val="0"/>
        </w:rPr>
      </w:pPr>
      <w:r>
        <w:rPr>
          <w:b w:val="0"/>
        </w:rPr>
        <w:t>Sur huit tribunaux de Grande instance, une seule femme est présidente et aucune n’est procureur de la République. Sur six tribunaux d’instance à Brazzaville et à Pointe-Noire, une seule femme est Procureur de la République près le tribunal d’instance de Poto-Poto.</w:t>
      </w:r>
    </w:p>
    <w:p w:rsidR="00000000" w:rsidRDefault="00000000">
      <w:pPr>
        <w:pStyle w:val="BodyText2"/>
        <w:jc w:val="both"/>
        <w:rPr>
          <w:b w:val="0"/>
        </w:rPr>
      </w:pPr>
    </w:p>
    <w:p w:rsidR="00000000" w:rsidRDefault="00000000">
      <w:pPr>
        <w:pStyle w:val="BodyText2"/>
        <w:jc w:val="both"/>
      </w:pPr>
      <w:r>
        <w:t xml:space="preserve">     </w:t>
      </w:r>
      <w:r>
        <w:br w:type="page"/>
      </w:r>
      <w:r>
        <w:rPr>
          <w:u w:val="single"/>
        </w:rPr>
        <w:t>Tableau</w:t>
      </w:r>
      <w:r>
        <w:t xml:space="preserve"> n° 12 : Ministère de l’Urbanisme et de l’habitat</w:t>
      </w:r>
    </w:p>
    <w:p w:rsidR="00000000" w:rsidRDefault="00000000">
      <w:pPr>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65"/>
        <w:gridCol w:w="843"/>
        <w:gridCol w:w="844"/>
        <w:gridCol w:w="843"/>
        <w:gridCol w:w="844"/>
        <w:gridCol w:w="844"/>
        <w:gridCol w:w="843"/>
        <w:gridCol w:w="844"/>
        <w:gridCol w:w="843"/>
        <w:gridCol w:w="844"/>
        <w:gridCol w:w="844"/>
      </w:tblGrid>
      <w:tr w:rsidR="00000000">
        <w:tblPrEx>
          <w:tblCellMar>
            <w:top w:w="0" w:type="dxa"/>
            <w:bottom w:w="0" w:type="dxa"/>
          </w:tblCellMar>
        </w:tblPrEx>
        <w:trPr>
          <w:cantSplit/>
        </w:trPr>
        <w:tc>
          <w:tcPr>
            <w:tcW w:w="1365" w:type="dxa"/>
          </w:tcPr>
          <w:p w:rsidR="00000000" w:rsidRDefault="00000000">
            <w:pPr>
              <w:rPr>
                <w:sz w:val="22"/>
              </w:rPr>
            </w:pPr>
          </w:p>
        </w:tc>
        <w:tc>
          <w:tcPr>
            <w:tcW w:w="1687" w:type="dxa"/>
            <w:gridSpan w:val="2"/>
          </w:tcPr>
          <w:p w:rsidR="00000000" w:rsidRDefault="00000000">
            <w:pPr>
              <w:jc w:val="center"/>
              <w:rPr>
                <w:b/>
                <w:sz w:val="22"/>
              </w:rPr>
            </w:pPr>
            <w:r>
              <w:rPr>
                <w:b/>
                <w:sz w:val="22"/>
              </w:rPr>
              <w:t>Directeur de Cabinet</w:t>
            </w:r>
          </w:p>
        </w:tc>
        <w:tc>
          <w:tcPr>
            <w:tcW w:w="1687" w:type="dxa"/>
            <w:gridSpan w:val="2"/>
          </w:tcPr>
          <w:p w:rsidR="00000000" w:rsidRDefault="00000000">
            <w:pPr>
              <w:jc w:val="center"/>
              <w:rPr>
                <w:b/>
                <w:sz w:val="22"/>
              </w:rPr>
            </w:pPr>
            <w:r>
              <w:rPr>
                <w:b/>
                <w:sz w:val="22"/>
              </w:rPr>
              <w:t>Directeur Général</w:t>
            </w:r>
          </w:p>
        </w:tc>
        <w:tc>
          <w:tcPr>
            <w:tcW w:w="1687" w:type="dxa"/>
            <w:gridSpan w:val="2"/>
          </w:tcPr>
          <w:p w:rsidR="00000000" w:rsidRDefault="00000000">
            <w:pPr>
              <w:jc w:val="center"/>
              <w:rPr>
                <w:b/>
                <w:sz w:val="22"/>
              </w:rPr>
            </w:pPr>
            <w:r>
              <w:rPr>
                <w:b/>
                <w:sz w:val="22"/>
              </w:rPr>
              <w:t>Directeurs Centraux</w:t>
            </w:r>
          </w:p>
        </w:tc>
        <w:tc>
          <w:tcPr>
            <w:tcW w:w="1687" w:type="dxa"/>
            <w:gridSpan w:val="2"/>
          </w:tcPr>
          <w:p w:rsidR="00000000" w:rsidRDefault="00000000">
            <w:pPr>
              <w:jc w:val="center"/>
              <w:rPr>
                <w:b/>
                <w:sz w:val="22"/>
              </w:rPr>
            </w:pPr>
            <w:r>
              <w:rPr>
                <w:b/>
                <w:sz w:val="22"/>
              </w:rPr>
              <w:t>Chefs de Service</w:t>
            </w:r>
          </w:p>
        </w:tc>
        <w:tc>
          <w:tcPr>
            <w:tcW w:w="1688" w:type="dxa"/>
            <w:gridSpan w:val="2"/>
          </w:tcPr>
          <w:p w:rsidR="00000000" w:rsidRDefault="00000000">
            <w:pPr>
              <w:jc w:val="center"/>
              <w:rPr>
                <w:b/>
                <w:sz w:val="22"/>
              </w:rPr>
            </w:pPr>
            <w:r>
              <w:rPr>
                <w:b/>
                <w:sz w:val="22"/>
              </w:rPr>
              <w:t>Chefs de Bureau</w:t>
            </w:r>
          </w:p>
        </w:tc>
      </w:tr>
      <w:tr w:rsidR="00000000">
        <w:tblPrEx>
          <w:tblCellMar>
            <w:top w:w="0" w:type="dxa"/>
            <w:bottom w:w="0" w:type="dxa"/>
          </w:tblCellMar>
        </w:tblPrEx>
        <w:tc>
          <w:tcPr>
            <w:tcW w:w="1365" w:type="dxa"/>
          </w:tcPr>
          <w:p w:rsidR="00000000" w:rsidRDefault="00000000">
            <w:pPr>
              <w:jc w:val="center"/>
              <w:rPr>
                <w:b/>
                <w:sz w:val="22"/>
              </w:rPr>
            </w:pPr>
            <w:r>
              <w:rPr>
                <w:b/>
                <w:sz w:val="22"/>
              </w:rPr>
              <w:t>Année</w:t>
            </w:r>
          </w:p>
        </w:tc>
        <w:tc>
          <w:tcPr>
            <w:tcW w:w="843" w:type="dxa"/>
          </w:tcPr>
          <w:p w:rsidR="00000000" w:rsidRDefault="00000000">
            <w:pPr>
              <w:jc w:val="center"/>
              <w:rPr>
                <w:b/>
                <w:sz w:val="22"/>
              </w:rPr>
            </w:pPr>
            <w:r>
              <w:rPr>
                <w:b/>
                <w:sz w:val="22"/>
              </w:rPr>
              <w:t>H</w:t>
            </w:r>
          </w:p>
        </w:tc>
        <w:tc>
          <w:tcPr>
            <w:tcW w:w="844" w:type="dxa"/>
          </w:tcPr>
          <w:p w:rsidR="00000000" w:rsidRDefault="00000000">
            <w:pPr>
              <w:jc w:val="center"/>
              <w:rPr>
                <w:b/>
                <w:sz w:val="22"/>
              </w:rPr>
            </w:pPr>
            <w:r>
              <w:rPr>
                <w:b/>
                <w:sz w:val="22"/>
              </w:rPr>
              <w:t>F</w:t>
            </w:r>
          </w:p>
        </w:tc>
        <w:tc>
          <w:tcPr>
            <w:tcW w:w="843" w:type="dxa"/>
          </w:tcPr>
          <w:p w:rsidR="00000000" w:rsidRDefault="00000000">
            <w:pPr>
              <w:jc w:val="center"/>
              <w:rPr>
                <w:b/>
                <w:sz w:val="22"/>
                <w:lang w:val="en-GB"/>
              </w:rPr>
            </w:pPr>
            <w:r>
              <w:rPr>
                <w:b/>
                <w:sz w:val="22"/>
                <w:lang w:val="en-GB"/>
              </w:rPr>
              <w:t>H</w:t>
            </w:r>
          </w:p>
        </w:tc>
        <w:tc>
          <w:tcPr>
            <w:tcW w:w="844" w:type="dxa"/>
          </w:tcPr>
          <w:p w:rsidR="00000000" w:rsidRDefault="00000000">
            <w:pPr>
              <w:jc w:val="center"/>
              <w:rPr>
                <w:b/>
                <w:sz w:val="22"/>
                <w:lang w:val="en-GB"/>
              </w:rPr>
            </w:pPr>
            <w:r>
              <w:rPr>
                <w:b/>
                <w:sz w:val="22"/>
                <w:lang w:val="en-GB"/>
              </w:rPr>
              <w:t>F</w:t>
            </w:r>
          </w:p>
        </w:tc>
        <w:tc>
          <w:tcPr>
            <w:tcW w:w="844" w:type="dxa"/>
          </w:tcPr>
          <w:p w:rsidR="00000000" w:rsidRDefault="00000000">
            <w:pPr>
              <w:jc w:val="center"/>
              <w:rPr>
                <w:b/>
                <w:sz w:val="22"/>
                <w:lang w:val="en-GB"/>
              </w:rPr>
            </w:pPr>
            <w:r>
              <w:rPr>
                <w:b/>
                <w:sz w:val="22"/>
                <w:lang w:val="en-GB"/>
              </w:rPr>
              <w:t>H</w:t>
            </w:r>
          </w:p>
        </w:tc>
        <w:tc>
          <w:tcPr>
            <w:tcW w:w="843" w:type="dxa"/>
          </w:tcPr>
          <w:p w:rsidR="00000000" w:rsidRDefault="00000000">
            <w:pPr>
              <w:jc w:val="center"/>
              <w:rPr>
                <w:b/>
                <w:sz w:val="22"/>
                <w:lang w:val="en-GB"/>
              </w:rPr>
            </w:pPr>
            <w:r>
              <w:rPr>
                <w:b/>
                <w:sz w:val="22"/>
                <w:lang w:val="en-GB"/>
              </w:rPr>
              <w:t>F</w:t>
            </w:r>
          </w:p>
        </w:tc>
        <w:tc>
          <w:tcPr>
            <w:tcW w:w="844" w:type="dxa"/>
          </w:tcPr>
          <w:p w:rsidR="00000000" w:rsidRDefault="00000000">
            <w:pPr>
              <w:jc w:val="center"/>
              <w:rPr>
                <w:b/>
                <w:sz w:val="22"/>
                <w:lang w:val="en-GB"/>
              </w:rPr>
            </w:pPr>
            <w:r>
              <w:rPr>
                <w:b/>
                <w:sz w:val="22"/>
                <w:lang w:val="en-GB"/>
              </w:rPr>
              <w:t>H</w:t>
            </w:r>
          </w:p>
        </w:tc>
        <w:tc>
          <w:tcPr>
            <w:tcW w:w="843" w:type="dxa"/>
          </w:tcPr>
          <w:p w:rsidR="00000000" w:rsidRDefault="00000000">
            <w:pPr>
              <w:jc w:val="center"/>
              <w:rPr>
                <w:b/>
                <w:sz w:val="22"/>
                <w:lang w:val="en-GB"/>
              </w:rPr>
            </w:pPr>
            <w:r>
              <w:rPr>
                <w:b/>
                <w:sz w:val="22"/>
                <w:lang w:val="en-GB"/>
              </w:rPr>
              <w:t>F</w:t>
            </w:r>
          </w:p>
        </w:tc>
        <w:tc>
          <w:tcPr>
            <w:tcW w:w="844" w:type="dxa"/>
          </w:tcPr>
          <w:p w:rsidR="00000000" w:rsidRDefault="00000000">
            <w:pPr>
              <w:jc w:val="center"/>
              <w:rPr>
                <w:b/>
                <w:sz w:val="22"/>
              </w:rPr>
            </w:pPr>
            <w:r>
              <w:rPr>
                <w:b/>
                <w:sz w:val="22"/>
              </w:rPr>
              <w:t>H</w:t>
            </w:r>
          </w:p>
        </w:tc>
        <w:tc>
          <w:tcPr>
            <w:tcW w:w="844" w:type="dxa"/>
          </w:tcPr>
          <w:p w:rsidR="00000000" w:rsidRDefault="00000000">
            <w:pPr>
              <w:jc w:val="center"/>
              <w:rPr>
                <w:b/>
                <w:sz w:val="22"/>
              </w:rPr>
            </w:pPr>
            <w:r>
              <w:rPr>
                <w:b/>
                <w:sz w:val="22"/>
              </w:rPr>
              <w:t>F</w:t>
            </w:r>
          </w:p>
        </w:tc>
      </w:tr>
      <w:tr w:rsidR="00000000">
        <w:tblPrEx>
          <w:tblCellMar>
            <w:top w:w="0" w:type="dxa"/>
            <w:bottom w:w="0" w:type="dxa"/>
          </w:tblCellMar>
        </w:tblPrEx>
        <w:tc>
          <w:tcPr>
            <w:tcW w:w="1365" w:type="dxa"/>
          </w:tcPr>
          <w:p w:rsidR="00000000" w:rsidRDefault="00000000">
            <w:pPr>
              <w:jc w:val="center"/>
              <w:rPr>
                <w:sz w:val="22"/>
              </w:rPr>
            </w:pPr>
            <w:r>
              <w:rPr>
                <w:sz w:val="22"/>
              </w:rPr>
              <w:t>2000</w:t>
            </w:r>
          </w:p>
        </w:tc>
        <w:tc>
          <w:tcPr>
            <w:tcW w:w="843" w:type="dxa"/>
          </w:tcPr>
          <w:p w:rsidR="00000000" w:rsidRDefault="00000000">
            <w:pPr>
              <w:jc w:val="center"/>
              <w:rPr>
                <w:sz w:val="22"/>
              </w:rPr>
            </w:pPr>
            <w:r>
              <w:rPr>
                <w:sz w:val="22"/>
              </w:rPr>
              <w:t>1</w:t>
            </w:r>
          </w:p>
        </w:tc>
        <w:tc>
          <w:tcPr>
            <w:tcW w:w="844" w:type="dxa"/>
          </w:tcPr>
          <w:p w:rsidR="00000000" w:rsidRDefault="00000000">
            <w:pPr>
              <w:jc w:val="center"/>
              <w:rPr>
                <w:sz w:val="22"/>
              </w:rPr>
            </w:pPr>
          </w:p>
        </w:tc>
        <w:tc>
          <w:tcPr>
            <w:tcW w:w="843" w:type="dxa"/>
          </w:tcPr>
          <w:p w:rsidR="00000000" w:rsidRDefault="00000000">
            <w:pPr>
              <w:jc w:val="center"/>
              <w:rPr>
                <w:sz w:val="22"/>
              </w:rPr>
            </w:pPr>
            <w:r>
              <w:rPr>
                <w:sz w:val="22"/>
              </w:rPr>
              <w:t>1</w:t>
            </w:r>
          </w:p>
        </w:tc>
        <w:tc>
          <w:tcPr>
            <w:tcW w:w="844" w:type="dxa"/>
          </w:tcPr>
          <w:p w:rsidR="00000000" w:rsidRDefault="00000000">
            <w:pPr>
              <w:jc w:val="center"/>
              <w:rPr>
                <w:sz w:val="22"/>
              </w:rPr>
            </w:pPr>
          </w:p>
        </w:tc>
        <w:tc>
          <w:tcPr>
            <w:tcW w:w="844" w:type="dxa"/>
          </w:tcPr>
          <w:p w:rsidR="00000000" w:rsidRDefault="00000000">
            <w:pPr>
              <w:jc w:val="center"/>
              <w:rPr>
                <w:sz w:val="22"/>
              </w:rPr>
            </w:pPr>
            <w:r>
              <w:rPr>
                <w:sz w:val="22"/>
              </w:rPr>
              <w:t>2</w:t>
            </w:r>
          </w:p>
        </w:tc>
        <w:tc>
          <w:tcPr>
            <w:tcW w:w="843" w:type="dxa"/>
          </w:tcPr>
          <w:p w:rsidR="00000000" w:rsidRDefault="00000000">
            <w:pPr>
              <w:jc w:val="center"/>
              <w:rPr>
                <w:sz w:val="22"/>
              </w:rPr>
            </w:pPr>
          </w:p>
        </w:tc>
        <w:tc>
          <w:tcPr>
            <w:tcW w:w="844" w:type="dxa"/>
          </w:tcPr>
          <w:p w:rsidR="00000000" w:rsidRDefault="00000000">
            <w:pPr>
              <w:jc w:val="center"/>
              <w:rPr>
                <w:sz w:val="22"/>
              </w:rPr>
            </w:pPr>
            <w:r>
              <w:rPr>
                <w:sz w:val="22"/>
              </w:rPr>
              <w:t>6</w:t>
            </w:r>
          </w:p>
        </w:tc>
        <w:tc>
          <w:tcPr>
            <w:tcW w:w="843" w:type="dxa"/>
          </w:tcPr>
          <w:p w:rsidR="00000000" w:rsidRDefault="00000000">
            <w:pPr>
              <w:jc w:val="center"/>
              <w:rPr>
                <w:sz w:val="22"/>
              </w:rPr>
            </w:pPr>
            <w:r>
              <w:rPr>
                <w:sz w:val="22"/>
              </w:rPr>
              <w:t>2</w:t>
            </w:r>
          </w:p>
        </w:tc>
        <w:tc>
          <w:tcPr>
            <w:tcW w:w="844" w:type="dxa"/>
          </w:tcPr>
          <w:p w:rsidR="00000000" w:rsidRDefault="00000000">
            <w:pPr>
              <w:jc w:val="center"/>
              <w:rPr>
                <w:sz w:val="22"/>
              </w:rPr>
            </w:pPr>
            <w:r>
              <w:rPr>
                <w:sz w:val="22"/>
              </w:rPr>
              <w:t>5</w:t>
            </w:r>
          </w:p>
        </w:tc>
        <w:tc>
          <w:tcPr>
            <w:tcW w:w="844" w:type="dxa"/>
          </w:tcPr>
          <w:p w:rsidR="00000000" w:rsidRDefault="00000000">
            <w:pPr>
              <w:jc w:val="center"/>
              <w:rPr>
                <w:sz w:val="22"/>
              </w:rPr>
            </w:pPr>
            <w:r>
              <w:rPr>
                <w:sz w:val="22"/>
              </w:rPr>
              <w:t>7</w:t>
            </w:r>
          </w:p>
        </w:tc>
      </w:tr>
    </w:tbl>
    <w:p w:rsidR="00000000" w:rsidRDefault="00000000">
      <w:pPr>
        <w:rPr>
          <w:sz w:val="22"/>
        </w:rPr>
      </w:pPr>
    </w:p>
    <w:p w:rsidR="00000000" w:rsidRDefault="00000000">
      <w:pPr>
        <w:jc w:val="center"/>
        <w:rPr>
          <w:b/>
          <w:sz w:val="22"/>
        </w:rPr>
      </w:pPr>
      <w:r>
        <w:rPr>
          <w:b/>
          <w:u w:val="single"/>
        </w:rPr>
        <w:t>Tableau</w:t>
      </w:r>
      <w:r>
        <w:rPr>
          <w:b/>
        </w:rPr>
        <w:t xml:space="preserve"> n° 13 : </w:t>
      </w:r>
      <w:r>
        <w:rPr>
          <w:b/>
          <w:sz w:val="22"/>
        </w:rPr>
        <w:t>Ministère de la Culture, des Arts et du Tourisme</w:t>
      </w:r>
    </w:p>
    <w:p w:rsidR="00000000" w:rsidRDefault="00000000">
      <w:pPr>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1"/>
        <w:gridCol w:w="844"/>
        <w:gridCol w:w="844"/>
        <w:gridCol w:w="844"/>
        <w:gridCol w:w="844"/>
        <w:gridCol w:w="845"/>
        <w:gridCol w:w="844"/>
        <w:gridCol w:w="844"/>
        <w:gridCol w:w="844"/>
        <w:gridCol w:w="844"/>
        <w:gridCol w:w="845"/>
      </w:tblGrid>
      <w:tr w:rsidR="00000000">
        <w:tblPrEx>
          <w:tblCellMar>
            <w:top w:w="0" w:type="dxa"/>
            <w:bottom w:w="0" w:type="dxa"/>
          </w:tblCellMar>
        </w:tblPrEx>
        <w:trPr>
          <w:cantSplit/>
        </w:trPr>
        <w:tc>
          <w:tcPr>
            <w:tcW w:w="1341" w:type="dxa"/>
            <w:vMerge w:val="restart"/>
          </w:tcPr>
          <w:p w:rsidR="00000000" w:rsidRDefault="00000000">
            <w:pPr>
              <w:jc w:val="center"/>
              <w:rPr>
                <w:sz w:val="22"/>
              </w:rPr>
            </w:pPr>
          </w:p>
          <w:p w:rsidR="00000000" w:rsidRDefault="00000000">
            <w:pPr>
              <w:jc w:val="center"/>
              <w:rPr>
                <w:sz w:val="22"/>
              </w:rPr>
            </w:pPr>
            <w:r>
              <w:rPr>
                <w:b/>
                <w:sz w:val="22"/>
              </w:rPr>
              <w:t>Année</w:t>
            </w:r>
          </w:p>
        </w:tc>
        <w:tc>
          <w:tcPr>
            <w:tcW w:w="1688" w:type="dxa"/>
            <w:gridSpan w:val="2"/>
          </w:tcPr>
          <w:p w:rsidR="00000000" w:rsidRDefault="00000000">
            <w:pPr>
              <w:jc w:val="center"/>
              <w:rPr>
                <w:b/>
                <w:sz w:val="22"/>
              </w:rPr>
            </w:pPr>
            <w:r>
              <w:rPr>
                <w:b/>
                <w:sz w:val="22"/>
              </w:rPr>
              <w:t>Directeur de Cabinet</w:t>
            </w:r>
          </w:p>
        </w:tc>
        <w:tc>
          <w:tcPr>
            <w:tcW w:w="1688" w:type="dxa"/>
            <w:gridSpan w:val="2"/>
          </w:tcPr>
          <w:p w:rsidR="00000000" w:rsidRDefault="00000000">
            <w:pPr>
              <w:jc w:val="center"/>
              <w:rPr>
                <w:b/>
                <w:sz w:val="22"/>
              </w:rPr>
            </w:pPr>
            <w:r>
              <w:rPr>
                <w:b/>
                <w:sz w:val="22"/>
              </w:rPr>
              <w:t>Directeur Général</w:t>
            </w:r>
          </w:p>
        </w:tc>
        <w:tc>
          <w:tcPr>
            <w:tcW w:w="1689" w:type="dxa"/>
            <w:gridSpan w:val="2"/>
          </w:tcPr>
          <w:p w:rsidR="00000000" w:rsidRDefault="00000000">
            <w:pPr>
              <w:jc w:val="center"/>
              <w:rPr>
                <w:b/>
                <w:sz w:val="22"/>
              </w:rPr>
            </w:pPr>
            <w:r>
              <w:rPr>
                <w:b/>
                <w:sz w:val="22"/>
              </w:rPr>
              <w:t>Directeurs Centraux</w:t>
            </w:r>
          </w:p>
        </w:tc>
        <w:tc>
          <w:tcPr>
            <w:tcW w:w="1688" w:type="dxa"/>
            <w:gridSpan w:val="2"/>
          </w:tcPr>
          <w:p w:rsidR="00000000" w:rsidRDefault="00000000">
            <w:pPr>
              <w:jc w:val="center"/>
              <w:rPr>
                <w:b/>
                <w:sz w:val="22"/>
              </w:rPr>
            </w:pPr>
            <w:r>
              <w:rPr>
                <w:b/>
                <w:sz w:val="22"/>
              </w:rPr>
              <w:t>Chefs de Service</w:t>
            </w:r>
          </w:p>
        </w:tc>
        <w:tc>
          <w:tcPr>
            <w:tcW w:w="1689" w:type="dxa"/>
            <w:gridSpan w:val="2"/>
          </w:tcPr>
          <w:p w:rsidR="00000000" w:rsidRDefault="00000000">
            <w:pPr>
              <w:jc w:val="center"/>
              <w:rPr>
                <w:b/>
                <w:sz w:val="22"/>
              </w:rPr>
            </w:pPr>
            <w:r>
              <w:rPr>
                <w:b/>
                <w:sz w:val="22"/>
              </w:rPr>
              <w:t>Chefs de Bureau</w:t>
            </w:r>
          </w:p>
        </w:tc>
      </w:tr>
      <w:tr w:rsidR="00000000">
        <w:tblPrEx>
          <w:tblCellMar>
            <w:top w:w="0" w:type="dxa"/>
            <w:bottom w:w="0" w:type="dxa"/>
          </w:tblCellMar>
        </w:tblPrEx>
        <w:trPr>
          <w:cantSplit/>
        </w:trPr>
        <w:tc>
          <w:tcPr>
            <w:tcW w:w="1341" w:type="dxa"/>
            <w:vMerge/>
          </w:tcPr>
          <w:p w:rsidR="00000000" w:rsidRDefault="00000000">
            <w:pPr>
              <w:jc w:val="center"/>
              <w:rPr>
                <w:b/>
                <w:sz w:val="22"/>
              </w:rPr>
            </w:pPr>
          </w:p>
        </w:tc>
        <w:tc>
          <w:tcPr>
            <w:tcW w:w="844" w:type="dxa"/>
          </w:tcPr>
          <w:p w:rsidR="00000000" w:rsidRDefault="00000000">
            <w:pPr>
              <w:jc w:val="center"/>
              <w:rPr>
                <w:b/>
                <w:sz w:val="22"/>
                <w:lang w:val="en-GB"/>
              </w:rPr>
            </w:pPr>
            <w:r>
              <w:rPr>
                <w:b/>
                <w:sz w:val="22"/>
                <w:lang w:val="en-GB"/>
              </w:rPr>
              <w:t>H</w:t>
            </w:r>
          </w:p>
        </w:tc>
        <w:tc>
          <w:tcPr>
            <w:tcW w:w="844" w:type="dxa"/>
          </w:tcPr>
          <w:p w:rsidR="00000000" w:rsidRDefault="00000000">
            <w:pPr>
              <w:jc w:val="center"/>
              <w:rPr>
                <w:b/>
                <w:sz w:val="22"/>
                <w:lang w:val="en-GB"/>
              </w:rPr>
            </w:pPr>
            <w:r>
              <w:rPr>
                <w:b/>
                <w:sz w:val="22"/>
                <w:lang w:val="en-GB"/>
              </w:rPr>
              <w:t>F</w:t>
            </w:r>
          </w:p>
        </w:tc>
        <w:tc>
          <w:tcPr>
            <w:tcW w:w="844" w:type="dxa"/>
          </w:tcPr>
          <w:p w:rsidR="00000000" w:rsidRDefault="00000000">
            <w:pPr>
              <w:jc w:val="center"/>
              <w:rPr>
                <w:b/>
                <w:sz w:val="22"/>
                <w:lang w:val="en-GB"/>
              </w:rPr>
            </w:pPr>
            <w:r>
              <w:rPr>
                <w:b/>
                <w:sz w:val="22"/>
                <w:lang w:val="en-GB"/>
              </w:rPr>
              <w:t>H</w:t>
            </w:r>
          </w:p>
        </w:tc>
        <w:tc>
          <w:tcPr>
            <w:tcW w:w="844" w:type="dxa"/>
          </w:tcPr>
          <w:p w:rsidR="00000000" w:rsidRDefault="00000000">
            <w:pPr>
              <w:jc w:val="center"/>
              <w:rPr>
                <w:b/>
                <w:sz w:val="22"/>
                <w:lang w:val="en-GB"/>
              </w:rPr>
            </w:pPr>
            <w:r>
              <w:rPr>
                <w:b/>
                <w:sz w:val="22"/>
                <w:lang w:val="en-GB"/>
              </w:rPr>
              <w:t>F</w:t>
            </w:r>
          </w:p>
        </w:tc>
        <w:tc>
          <w:tcPr>
            <w:tcW w:w="845" w:type="dxa"/>
          </w:tcPr>
          <w:p w:rsidR="00000000" w:rsidRDefault="00000000">
            <w:pPr>
              <w:jc w:val="center"/>
              <w:rPr>
                <w:b/>
                <w:sz w:val="22"/>
                <w:lang w:val="en-GB"/>
              </w:rPr>
            </w:pPr>
            <w:r>
              <w:rPr>
                <w:b/>
                <w:sz w:val="22"/>
                <w:lang w:val="en-GB"/>
              </w:rPr>
              <w:t>H</w:t>
            </w:r>
          </w:p>
        </w:tc>
        <w:tc>
          <w:tcPr>
            <w:tcW w:w="844" w:type="dxa"/>
          </w:tcPr>
          <w:p w:rsidR="00000000" w:rsidRDefault="00000000">
            <w:pPr>
              <w:jc w:val="center"/>
              <w:rPr>
                <w:b/>
                <w:sz w:val="22"/>
                <w:lang w:val="en-GB"/>
              </w:rPr>
            </w:pPr>
            <w:r>
              <w:rPr>
                <w:b/>
                <w:sz w:val="22"/>
                <w:lang w:val="en-GB"/>
              </w:rPr>
              <w:t>F</w:t>
            </w:r>
          </w:p>
        </w:tc>
        <w:tc>
          <w:tcPr>
            <w:tcW w:w="844" w:type="dxa"/>
          </w:tcPr>
          <w:p w:rsidR="00000000" w:rsidRDefault="00000000">
            <w:pPr>
              <w:jc w:val="center"/>
              <w:rPr>
                <w:b/>
                <w:sz w:val="22"/>
                <w:lang w:val="en-GB"/>
              </w:rPr>
            </w:pPr>
            <w:r>
              <w:rPr>
                <w:b/>
                <w:sz w:val="22"/>
                <w:lang w:val="en-GB"/>
              </w:rPr>
              <w:t>H</w:t>
            </w:r>
          </w:p>
        </w:tc>
        <w:tc>
          <w:tcPr>
            <w:tcW w:w="844" w:type="dxa"/>
          </w:tcPr>
          <w:p w:rsidR="00000000" w:rsidRDefault="00000000">
            <w:pPr>
              <w:jc w:val="center"/>
              <w:rPr>
                <w:b/>
                <w:sz w:val="22"/>
                <w:lang w:val="en-GB"/>
              </w:rPr>
            </w:pPr>
            <w:r>
              <w:rPr>
                <w:b/>
                <w:sz w:val="22"/>
                <w:lang w:val="en-GB"/>
              </w:rPr>
              <w:t>F</w:t>
            </w:r>
          </w:p>
        </w:tc>
        <w:tc>
          <w:tcPr>
            <w:tcW w:w="844" w:type="dxa"/>
          </w:tcPr>
          <w:p w:rsidR="00000000" w:rsidRDefault="00000000">
            <w:pPr>
              <w:jc w:val="center"/>
              <w:rPr>
                <w:b/>
                <w:sz w:val="22"/>
                <w:lang w:val="en-GB"/>
              </w:rPr>
            </w:pPr>
            <w:r>
              <w:rPr>
                <w:b/>
                <w:sz w:val="22"/>
                <w:lang w:val="en-GB"/>
              </w:rPr>
              <w:t>H</w:t>
            </w:r>
          </w:p>
        </w:tc>
        <w:tc>
          <w:tcPr>
            <w:tcW w:w="845" w:type="dxa"/>
          </w:tcPr>
          <w:p w:rsidR="00000000" w:rsidRDefault="00000000">
            <w:pPr>
              <w:jc w:val="center"/>
              <w:rPr>
                <w:b/>
                <w:sz w:val="22"/>
              </w:rPr>
            </w:pPr>
            <w:r>
              <w:rPr>
                <w:b/>
                <w:sz w:val="22"/>
              </w:rPr>
              <w:t>F</w:t>
            </w:r>
          </w:p>
        </w:tc>
      </w:tr>
      <w:tr w:rsidR="00000000">
        <w:tblPrEx>
          <w:tblCellMar>
            <w:top w:w="0" w:type="dxa"/>
            <w:bottom w:w="0" w:type="dxa"/>
          </w:tblCellMar>
        </w:tblPrEx>
        <w:tc>
          <w:tcPr>
            <w:tcW w:w="1341" w:type="dxa"/>
          </w:tcPr>
          <w:p w:rsidR="00000000" w:rsidRDefault="00000000">
            <w:pPr>
              <w:jc w:val="center"/>
              <w:rPr>
                <w:sz w:val="22"/>
              </w:rPr>
            </w:pPr>
            <w:r>
              <w:rPr>
                <w:sz w:val="22"/>
              </w:rPr>
              <w:t>1979</w:t>
            </w:r>
          </w:p>
        </w:tc>
        <w:tc>
          <w:tcPr>
            <w:tcW w:w="844" w:type="dxa"/>
          </w:tcPr>
          <w:p w:rsidR="00000000" w:rsidRDefault="00000000">
            <w:pPr>
              <w:jc w:val="center"/>
              <w:rPr>
                <w:sz w:val="22"/>
              </w:rPr>
            </w:pPr>
            <w:r>
              <w:rPr>
                <w:sz w:val="22"/>
              </w:rPr>
              <w:t>1</w:t>
            </w:r>
          </w:p>
        </w:tc>
        <w:tc>
          <w:tcPr>
            <w:tcW w:w="844" w:type="dxa"/>
          </w:tcPr>
          <w:p w:rsidR="00000000" w:rsidRDefault="00000000">
            <w:pPr>
              <w:jc w:val="center"/>
              <w:rPr>
                <w:sz w:val="22"/>
              </w:rPr>
            </w:pPr>
            <w:r>
              <w:rPr>
                <w:sz w:val="22"/>
              </w:rPr>
              <w:t>0</w:t>
            </w: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5"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5" w:type="dxa"/>
          </w:tcPr>
          <w:p w:rsidR="00000000" w:rsidRDefault="00000000">
            <w:pPr>
              <w:jc w:val="center"/>
              <w:rPr>
                <w:sz w:val="22"/>
              </w:rPr>
            </w:pPr>
          </w:p>
        </w:tc>
      </w:tr>
      <w:tr w:rsidR="00000000">
        <w:tblPrEx>
          <w:tblCellMar>
            <w:top w:w="0" w:type="dxa"/>
            <w:bottom w:w="0" w:type="dxa"/>
          </w:tblCellMar>
        </w:tblPrEx>
        <w:tc>
          <w:tcPr>
            <w:tcW w:w="1341" w:type="dxa"/>
          </w:tcPr>
          <w:p w:rsidR="00000000" w:rsidRDefault="00000000">
            <w:pPr>
              <w:jc w:val="center"/>
              <w:rPr>
                <w:sz w:val="22"/>
              </w:rPr>
            </w:pPr>
            <w:r>
              <w:rPr>
                <w:sz w:val="22"/>
              </w:rPr>
              <w:t>1980</w:t>
            </w: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5" w:type="dxa"/>
          </w:tcPr>
          <w:p w:rsidR="00000000" w:rsidRDefault="00000000">
            <w:pPr>
              <w:jc w:val="center"/>
              <w:rPr>
                <w:sz w:val="22"/>
              </w:rPr>
            </w:pPr>
            <w:r>
              <w:rPr>
                <w:sz w:val="22"/>
              </w:rPr>
              <w:t>3</w:t>
            </w:r>
          </w:p>
        </w:tc>
        <w:tc>
          <w:tcPr>
            <w:tcW w:w="844" w:type="dxa"/>
          </w:tcPr>
          <w:p w:rsidR="00000000" w:rsidRDefault="00000000">
            <w:pPr>
              <w:jc w:val="center"/>
              <w:rPr>
                <w:sz w:val="22"/>
              </w:rPr>
            </w:pPr>
            <w:r>
              <w:rPr>
                <w:sz w:val="22"/>
              </w:rPr>
              <w:t>1</w:t>
            </w:r>
          </w:p>
        </w:tc>
        <w:tc>
          <w:tcPr>
            <w:tcW w:w="844" w:type="dxa"/>
          </w:tcPr>
          <w:p w:rsidR="00000000" w:rsidRDefault="00000000">
            <w:pPr>
              <w:jc w:val="center"/>
              <w:rPr>
                <w:sz w:val="22"/>
              </w:rPr>
            </w:pPr>
            <w:r>
              <w:rPr>
                <w:sz w:val="22"/>
              </w:rPr>
              <w:t>7</w:t>
            </w:r>
          </w:p>
        </w:tc>
        <w:tc>
          <w:tcPr>
            <w:tcW w:w="844" w:type="dxa"/>
          </w:tcPr>
          <w:p w:rsidR="00000000" w:rsidRDefault="00000000">
            <w:pPr>
              <w:jc w:val="center"/>
              <w:rPr>
                <w:sz w:val="22"/>
              </w:rPr>
            </w:pPr>
            <w:r>
              <w:rPr>
                <w:sz w:val="22"/>
              </w:rPr>
              <w:t>1</w:t>
            </w:r>
          </w:p>
        </w:tc>
        <w:tc>
          <w:tcPr>
            <w:tcW w:w="844" w:type="dxa"/>
          </w:tcPr>
          <w:p w:rsidR="00000000" w:rsidRDefault="00000000">
            <w:pPr>
              <w:jc w:val="center"/>
              <w:rPr>
                <w:sz w:val="22"/>
              </w:rPr>
            </w:pPr>
          </w:p>
        </w:tc>
        <w:tc>
          <w:tcPr>
            <w:tcW w:w="845" w:type="dxa"/>
          </w:tcPr>
          <w:p w:rsidR="00000000" w:rsidRDefault="00000000">
            <w:pPr>
              <w:jc w:val="center"/>
              <w:rPr>
                <w:sz w:val="22"/>
              </w:rPr>
            </w:pPr>
          </w:p>
        </w:tc>
      </w:tr>
      <w:tr w:rsidR="00000000">
        <w:tblPrEx>
          <w:tblCellMar>
            <w:top w:w="0" w:type="dxa"/>
            <w:bottom w:w="0" w:type="dxa"/>
          </w:tblCellMar>
        </w:tblPrEx>
        <w:tc>
          <w:tcPr>
            <w:tcW w:w="1341" w:type="dxa"/>
          </w:tcPr>
          <w:p w:rsidR="00000000" w:rsidRDefault="00000000">
            <w:pPr>
              <w:jc w:val="center"/>
              <w:rPr>
                <w:sz w:val="22"/>
              </w:rPr>
            </w:pPr>
            <w:r>
              <w:rPr>
                <w:sz w:val="22"/>
              </w:rPr>
              <w:t>1985</w:t>
            </w: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5"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5" w:type="dxa"/>
          </w:tcPr>
          <w:p w:rsidR="00000000" w:rsidRDefault="00000000">
            <w:pPr>
              <w:jc w:val="center"/>
              <w:rPr>
                <w:sz w:val="22"/>
              </w:rPr>
            </w:pPr>
            <w:r>
              <w:rPr>
                <w:sz w:val="22"/>
              </w:rPr>
              <w:t>1</w:t>
            </w:r>
          </w:p>
        </w:tc>
      </w:tr>
      <w:tr w:rsidR="00000000">
        <w:tblPrEx>
          <w:tblCellMar>
            <w:top w:w="0" w:type="dxa"/>
            <w:bottom w:w="0" w:type="dxa"/>
          </w:tblCellMar>
        </w:tblPrEx>
        <w:tc>
          <w:tcPr>
            <w:tcW w:w="1341" w:type="dxa"/>
          </w:tcPr>
          <w:p w:rsidR="00000000" w:rsidRDefault="00000000">
            <w:pPr>
              <w:jc w:val="center"/>
              <w:rPr>
                <w:sz w:val="22"/>
              </w:rPr>
            </w:pPr>
            <w:r>
              <w:rPr>
                <w:sz w:val="22"/>
              </w:rPr>
              <w:t>1989</w:t>
            </w: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5"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5" w:type="dxa"/>
          </w:tcPr>
          <w:p w:rsidR="00000000" w:rsidRDefault="00000000">
            <w:pPr>
              <w:jc w:val="center"/>
              <w:rPr>
                <w:sz w:val="22"/>
              </w:rPr>
            </w:pPr>
            <w:r>
              <w:rPr>
                <w:sz w:val="22"/>
              </w:rPr>
              <w:t>1</w:t>
            </w:r>
          </w:p>
        </w:tc>
      </w:tr>
      <w:tr w:rsidR="00000000">
        <w:tblPrEx>
          <w:tblCellMar>
            <w:top w:w="0" w:type="dxa"/>
            <w:bottom w:w="0" w:type="dxa"/>
          </w:tblCellMar>
        </w:tblPrEx>
        <w:tc>
          <w:tcPr>
            <w:tcW w:w="1341" w:type="dxa"/>
          </w:tcPr>
          <w:p w:rsidR="00000000" w:rsidRDefault="00000000">
            <w:pPr>
              <w:jc w:val="center"/>
              <w:rPr>
                <w:sz w:val="22"/>
              </w:rPr>
            </w:pPr>
            <w:r>
              <w:rPr>
                <w:sz w:val="22"/>
              </w:rPr>
              <w:t>1990</w:t>
            </w: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5"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r>
              <w:rPr>
                <w:sz w:val="22"/>
              </w:rPr>
              <w:t>1</w:t>
            </w:r>
          </w:p>
        </w:tc>
        <w:tc>
          <w:tcPr>
            <w:tcW w:w="844" w:type="dxa"/>
          </w:tcPr>
          <w:p w:rsidR="00000000" w:rsidRDefault="00000000">
            <w:pPr>
              <w:jc w:val="center"/>
              <w:rPr>
                <w:sz w:val="22"/>
              </w:rPr>
            </w:pPr>
          </w:p>
        </w:tc>
        <w:tc>
          <w:tcPr>
            <w:tcW w:w="845" w:type="dxa"/>
          </w:tcPr>
          <w:p w:rsidR="00000000" w:rsidRDefault="00000000">
            <w:pPr>
              <w:jc w:val="center"/>
              <w:rPr>
                <w:sz w:val="22"/>
              </w:rPr>
            </w:pPr>
            <w:r>
              <w:rPr>
                <w:sz w:val="22"/>
              </w:rPr>
              <w:t>1</w:t>
            </w:r>
          </w:p>
        </w:tc>
      </w:tr>
      <w:tr w:rsidR="00000000">
        <w:tblPrEx>
          <w:tblCellMar>
            <w:top w:w="0" w:type="dxa"/>
            <w:bottom w:w="0" w:type="dxa"/>
          </w:tblCellMar>
        </w:tblPrEx>
        <w:tc>
          <w:tcPr>
            <w:tcW w:w="1341" w:type="dxa"/>
          </w:tcPr>
          <w:p w:rsidR="00000000" w:rsidRDefault="00000000">
            <w:pPr>
              <w:jc w:val="center"/>
              <w:rPr>
                <w:sz w:val="22"/>
              </w:rPr>
            </w:pPr>
            <w:r>
              <w:rPr>
                <w:sz w:val="22"/>
              </w:rPr>
              <w:t>1992</w:t>
            </w: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r>
              <w:rPr>
                <w:sz w:val="22"/>
              </w:rPr>
              <w:t>1</w:t>
            </w:r>
          </w:p>
        </w:tc>
        <w:tc>
          <w:tcPr>
            <w:tcW w:w="844" w:type="dxa"/>
          </w:tcPr>
          <w:p w:rsidR="00000000" w:rsidRDefault="00000000">
            <w:pPr>
              <w:jc w:val="center"/>
              <w:rPr>
                <w:sz w:val="22"/>
              </w:rPr>
            </w:pPr>
            <w:r>
              <w:rPr>
                <w:sz w:val="22"/>
              </w:rPr>
              <w:t>1</w:t>
            </w:r>
          </w:p>
        </w:tc>
        <w:tc>
          <w:tcPr>
            <w:tcW w:w="845"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5" w:type="dxa"/>
          </w:tcPr>
          <w:p w:rsidR="00000000" w:rsidRDefault="00000000">
            <w:pPr>
              <w:jc w:val="center"/>
              <w:rPr>
                <w:sz w:val="22"/>
              </w:rPr>
            </w:pPr>
          </w:p>
        </w:tc>
      </w:tr>
      <w:tr w:rsidR="00000000">
        <w:tblPrEx>
          <w:tblCellMar>
            <w:top w:w="0" w:type="dxa"/>
            <w:bottom w:w="0" w:type="dxa"/>
          </w:tblCellMar>
        </w:tblPrEx>
        <w:tc>
          <w:tcPr>
            <w:tcW w:w="1341" w:type="dxa"/>
          </w:tcPr>
          <w:p w:rsidR="00000000" w:rsidRDefault="00000000">
            <w:pPr>
              <w:jc w:val="center"/>
              <w:rPr>
                <w:sz w:val="22"/>
              </w:rPr>
            </w:pPr>
            <w:r>
              <w:rPr>
                <w:sz w:val="22"/>
              </w:rPr>
              <w:t>1993</w:t>
            </w: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5"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5" w:type="dxa"/>
          </w:tcPr>
          <w:p w:rsidR="00000000" w:rsidRDefault="00000000">
            <w:pPr>
              <w:jc w:val="center"/>
              <w:rPr>
                <w:sz w:val="22"/>
              </w:rPr>
            </w:pPr>
            <w:r>
              <w:rPr>
                <w:sz w:val="22"/>
              </w:rPr>
              <w:t>1</w:t>
            </w:r>
          </w:p>
        </w:tc>
      </w:tr>
      <w:tr w:rsidR="00000000">
        <w:tblPrEx>
          <w:tblCellMar>
            <w:top w:w="0" w:type="dxa"/>
            <w:bottom w:w="0" w:type="dxa"/>
          </w:tblCellMar>
        </w:tblPrEx>
        <w:tc>
          <w:tcPr>
            <w:tcW w:w="1341" w:type="dxa"/>
          </w:tcPr>
          <w:p w:rsidR="00000000" w:rsidRDefault="00000000">
            <w:pPr>
              <w:jc w:val="center"/>
              <w:rPr>
                <w:sz w:val="22"/>
              </w:rPr>
            </w:pPr>
            <w:r>
              <w:rPr>
                <w:sz w:val="22"/>
              </w:rPr>
              <w:t>1996</w:t>
            </w: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5"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5" w:type="dxa"/>
          </w:tcPr>
          <w:p w:rsidR="00000000" w:rsidRDefault="00000000">
            <w:pPr>
              <w:jc w:val="center"/>
              <w:rPr>
                <w:sz w:val="22"/>
              </w:rPr>
            </w:pPr>
            <w:r>
              <w:rPr>
                <w:sz w:val="22"/>
              </w:rPr>
              <w:t>1</w:t>
            </w:r>
          </w:p>
        </w:tc>
      </w:tr>
      <w:tr w:rsidR="00000000">
        <w:tblPrEx>
          <w:tblCellMar>
            <w:top w:w="0" w:type="dxa"/>
            <w:bottom w:w="0" w:type="dxa"/>
          </w:tblCellMar>
        </w:tblPrEx>
        <w:tc>
          <w:tcPr>
            <w:tcW w:w="1341" w:type="dxa"/>
          </w:tcPr>
          <w:p w:rsidR="00000000" w:rsidRDefault="00000000">
            <w:pPr>
              <w:jc w:val="center"/>
              <w:rPr>
                <w:sz w:val="22"/>
              </w:rPr>
            </w:pPr>
            <w:r>
              <w:rPr>
                <w:sz w:val="22"/>
              </w:rPr>
              <w:t>1998</w:t>
            </w: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r>
              <w:rPr>
                <w:sz w:val="22"/>
              </w:rPr>
              <w:t>1</w:t>
            </w:r>
          </w:p>
        </w:tc>
        <w:tc>
          <w:tcPr>
            <w:tcW w:w="844" w:type="dxa"/>
          </w:tcPr>
          <w:p w:rsidR="00000000" w:rsidRDefault="00000000">
            <w:pPr>
              <w:jc w:val="center"/>
              <w:rPr>
                <w:sz w:val="22"/>
              </w:rPr>
            </w:pPr>
            <w:r>
              <w:rPr>
                <w:sz w:val="22"/>
              </w:rPr>
              <w:t>1</w:t>
            </w:r>
          </w:p>
        </w:tc>
        <w:tc>
          <w:tcPr>
            <w:tcW w:w="845"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4" w:type="dxa"/>
          </w:tcPr>
          <w:p w:rsidR="00000000" w:rsidRDefault="00000000">
            <w:pPr>
              <w:jc w:val="center"/>
              <w:rPr>
                <w:sz w:val="22"/>
              </w:rPr>
            </w:pPr>
          </w:p>
        </w:tc>
        <w:tc>
          <w:tcPr>
            <w:tcW w:w="845" w:type="dxa"/>
          </w:tcPr>
          <w:p w:rsidR="00000000" w:rsidRDefault="00000000">
            <w:pPr>
              <w:jc w:val="center"/>
              <w:rPr>
                <w:sz w:val="22"/>
              </w:rPr>
            </w:pPr>
          </w:p>
        </w:tc>
      </w:tr>
      <w:tr w:rsidR="00000000">
        <w:tblPrEx>
          <w:tblCellMar>
            <w:top w:w="0" w:type="dxa"/>
            <w:bottom w:w="0" w:type="dxa"/>
          </w:tblCellMar>
        </w:tblPrEx>
        <w:tc>
          <w:tcPr>
            <w:tcW w:w="1341" w:type="dxa"/>
          </w:tcPr>
          <w:p w:rsidR="00000000" w:rsidRDefault="00000000">
            <w:pPr>
              <w:jc w:val="center"/>
              <w:rPr>
                <w:sz w:val="22"/>
              </w:rPr>
            </w:pPr>
            <w:r>
              <w:rPr>
                <w:sz w:val="22"/>
              </w:rPr>
              <w:t>1999-2000</w:t>
            </w:r>
          </w:p>
        </w:tc>
        <w:tc>
          <w:tcPr>
            <w:tcW w:w="844" w:type="dxa"/>
          </w:tcPr>
          <w:p w:rsidR="00000000" w:rsidRDefault="00000000">
            <w:pPr>
              <w:jc w:val="center"/>
              <w:rPr>
                <w:sz w:val="22"/>
              </w:rPr>
            </w:pPr>
            <w:r>
              <w:rPr>
                <w:sz w:val="22"/>
              </w:rPr>
              <w:t>1</w:t>
            </w:r>
          </w:p>
        </w:tc>
        <w:tc>
          <w:tcPr>
            <w:tcW w:w="844" w:type="dxa"/>
          </w:tcPr>
          <w:p w:rsidR="00000000" w:rsidRDefault="00000000">
            <w:pPr>
              <w:jc w:val="center"/>
              <w:rPr>
                <w:sz w:val="22"/>
              </w:rPr>
            </w:pPr>
          </w:p>
        </w:tc>
        <w:tc>
          <w:tcPr>
            <w:tcW w:w="844" w:type="dxa"/>
          </w:tcPr>
          <w:p w:rsidR="00000000" w:rsidRDefault="00000000">
            <w:pPr>
              <w:jc w:val="center"/>
              <w:rPr>
                <w:sz w:val="22"/>
              </w:rPr>
            </w:pPr>
            <w:r>
              <w:rPr>
                <w:sz w:val="22"/>
              </w:rPr>
              <w:t>2</w:t>
            </w:r>
          </w:p>
        </w:tc>
        <w:tc>
          <w:tcPr>
            <w:tcW w:w="844" w:type="dxa"/>
          </w:tcPr>
          <w:p w:rsidR="00000000" w:rsidRDefault="00000000">
            <w:pPr>
              <w:jc w:val="center"/>
              <w:rPr>
                <w:sz w:val="22"/>
              </w:rPr>
            </w:pPr>
          </w:p>
        </w:tc>
        <w:tc>
          <w:tcPr>
            <w:tcW w:w="845" w:type="dxa"/>
          </w:tcPr>
          <w:p w:rsidR="00000000" w:rsidRDefault="00000000">
            <w:pPr>
              <w:jc w:val="center"/>
              <w:rPr>
                <w:sz w:val="22"/>
              </w:rPr>
            </w:pPr>
            <w:r>
              <w:rPr>
                <w:sz w:val="22"/>
              </w:rPr>
              <w:t>2</w:t>
            </w:r>
          </w:p>
        </w:tc>
        <w:tc>
          <w:tcPr>
            <w:tcW w:w="844" w:type="dxa"/>
          </w:tcPr>
          <w:p w:rsidR="00000000" w:rsidRDefault="00000000">
            <w:pPr>
              <w:jc w:val="center"/>
              <w:rPr>
                <w:sz w:val="22"/>
              </w:rPr>
            </w:pPr>
            <w:r>
              <w:rPr>
                <w:sz w:val="22"/>
              </w:rPr>
              <w:t>2</w:t>
            </w:r>
          </w:p>
        </w:tc>
        <w:tc>
          <w:tcPr>
            <w:tcW w:w="844" w:type="dxa"/>
          </w:tcPr>
          <w:p w:rsidR="00000000" w:rsidRDefault="00000000">
            <w:pPr>
              <w:jc w:val="center"/>
              <w:rPr>
                <w:sz w:val="22"/>
              </w:rPr>
            </w:pPr>
            <w:r>
              <w:rPr>
                <w:sz w:val="22"/>
              </w:rPr>
              <w:t>8</w:t>
            </w:r>
          </w:p>
        </w:tc>
        <w:tc>
          <w:tcPr>
            <w:tcW w:w="844" w:type="dxa"/>
          </w:tcPr>
          <w:p w:rsidR="00000000" w:rsidRDefault="00000000">
            <w:pPr>
              <w:jc w:val="center"/>
              <w:rPr>
                <w:sz w:val="22"/>
              </w:rPr>
            </w:pPr>
            <w:r>
              <w:rPr>
                <w:sz w:val="22"/>
              </w:rPr>
              <w:t>2</w:t>
            </w:r>
          </w:p>
        </w:tc>
        <w:tc>
          <w:tcPr>
            <w:tcW w:w="844" w:type="dxa"/>
          </w:tcPr>
          <w:p w:rsidR="00000000" w:rsidRDefault="00000000">
            <w:pPr>
              <w:jc w:val="center"/>
              <w:rPr>
                <w:sz w:val="22"/>
              </w:rPr>
            </w:pPr>
          </w:p>
        </w:tc>
        <w:tc>
          <w:tcPr>
            <w:tcW w:w="845" w:type="dxa"/>
          </w:tcPr>
          <w:p w:rsidR="00000000" w:rsidRDefault="00000000">
            <w:pPr>
              <w:jc w:val="center"/>
              <w:rPr>
                <w:sz w:val="22"/>
              </w:rPr>
            </w:pPr>
            <w:r>
              <w:rPr>
                <w:sz w:val="22"/>
              </w:rPr>
              <w:t>10</w:t>
            </w:r>
          </w:p>
        </w:tc>
      </w:tr>
    </w:tbl>
    <w:p w:rsidR="00000000" w:rsidRDefault="00000000">
      <w:pPr>
        <w:jc w:val="center"/>
        <w:rPr>
          <w:b/>
          <w:sz w:val="22"/>
          <w:u w:val="single"/>
        </w:rPr>
      </w:pPr>
    </w:p>
    <w:p w:rsidR="00000000" w:rsidRDefault="00000000">
      <w:pPr>
        <w:jc w:val="center"/>
        <w:rPr>
          <w:b/>
          <w:sz w:val="22"/>
        </w:rPr>
      </w:pPr>
      <w:r>
        <w:rPr>
          <w:b/>
          <w:u w:val="single"/>
        </w:rPr>
        <w:t>Tableau</w:t>
      </w:r>
      <w:r>
        <w:rPr>
          <w:b/>
        </w:rPr>
        <w:t xml:space="preserve"> n° 14 : </w:t>
      </w:r>
      <w:r>
        <w:rPr>
          <w:b/>
          <w:sz w:val="22"/>
        </w:rPr>
        <w:t>Ministère des Travaux Publics</w:t>
      </w:r>
    </w:p>
    <w:p w:rsidR="00000000" w:rsidRDefault="00000000">
      <w:pPr>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1"/>
        <w:gridCol w:w="844"/>
        <w:gridCol w:w="844"/>
        <w:gridCol w:w="844"/>
        <w:gridCol w:w="844"/>
        <w:gridCol w:w="845"/>
        <w:gridCol w:w="844"/>
        <w:gridCol w:w="844"/>
        <w:gridCol w:w="844"/>
        <w:gridCol w:w="844"/>
        <w:gridCol w:w="845"/>
      </w:tblGrid>
      <w:tr w:rsidR="00000000">
        <w:tblPrEx>
          <w:tblCellMar>
            <w:top w:w="0" w:type="dxa"/>
            <w:bottom w:w="0" w:type="dxa"/>
          </w:tblCellMar>
        </w:tblPrEx>
        <w:trPr>
          <w:cantSplit/>
        </w:trPr>
        <w:tc>
          <w:tcPr>
            <w:tcW w:w="1341" w:type="dxa"/>
          </w:tcPr>
          <w:p w:rsidR="00000000" w:rsidRDefault="00000000">
            <w:pPr>
              <w:jc w:val="center"/>
              <w:rPr>
                <w:sz w:val="22"/>
              </w:rPr>
            </w:pPr>
          </w:p>
        </w:tc>
        <w:tc>
          <w:tcPr>
            <w:tcW w:w="1688" w:type="dxa"/>
            <w:gridSpan w:val="2"/>
          </w:tcPr>
          <w:p w:rsidR="00000000" w:rsidRDefault="00000000">
            <w:pPr>
              <w:jc w:val="center"/>
              <w:rPr>
                <w:b/>
                <w:sz w:val="22"/>
              </w:rPr>
            </w:pPr>
            <w:r>
              <w:rPr>
                <w:b/>
                <w:sz w:val="22"/>
              </w:rPr>
              <w:t>Directeur de Cabinet</w:t>
            </w:r>
          </w:p>
        </w:tc>
        <w:tc>
          <w:tcPr>
            <w:tcW w:w="1688" w:type="dxa"/>
            <w:gridSpan w:val="2"/>
          </w:tcPr>
          <w:p w:rsidR="00000000" w:rsidRDefault="00000000">
            <w:pPr>
              <w:jc w:val="center"/>
              <w:rPr>
                <w:b/>
                <w:sz w:val="22"/>
              </w:rPr>
            </w:pPr>
            <w:r>
              <w:rPr>
                <w:b/>
                <w:sz w:val="22"/>
              </w:rPr>
              <w:t>Directeur Général</w:t>
            </w:r>
          </w:p>
        </w:tc>
        <w:tc>
          <w:tcPr>
            <w:tcW w:w="1689" w:type="dxa"/>
            <w:gridSpan w:val="2"/>
          </w:tcPr>
          <w:p w:rsidR="00000000" w:rsidRDefault="00000000">
            <w:pPr>
              <w:jc w:val="center"/>
              <w:rPr>
                <w:b/>
                <w:sz w:val="22"/>
              </w:rPr>
            </w:pPr>
            <w:r>
              <w:rPr>
                <w:b/>
                <w:sz w:val="22"/>
              </w:rPr>
              <w:t>Directeurs Centraux</w:t>
            </w:r>
          </w:p>
        </w:tc>
        <w:tc>
          <w:tcPr>
            <w:tcW w:w="1688" w:type="dxa"/>
            <w:gridSpan w:val="2"/>
          </w:tcPr>
          <w:p w:rsidR="00000000" w:rsidRDefault="00000000">
            <w:pPr>
              <w:jc w:val="center"/>
              <w:rPr>
                <w:b/>
                <w:sz w:val="22"/>
              </w:rPr>
            </w:pPr>
            <w:r>
              <w:rPr>
                <w:b/>
                <w:sz w:val="22"/>
              </w:rPr>
              <w:t>Chefs de Service</w:t>
            </w:r>
          </w:p>
        </w:tc>
        <w:tc>
          <w:tcPr>
            <w:tcW w:w="1689" w:type="dxa"/>
            <w:gridSpan w:val="2"/>
          </w:tcPr>
          <w:p w:rsidR="00000000" w:rsidRDefault="00000000">
            <w:pPr>
              <w:jc w:val="center"/>
              <w:rPr>
                <w:b/>
                <w:sz w:val="22"/>
              </w:rPr>
            </w:pPr>
            <w:r>
              <w:rPr>
                <w:b/>
                <w:sz w:val="22"/>
              </w:rPr>
              <w:t>Chefs de Bureau</w:t>
            </w:r>
          </w:p>
        </w:tc>
      </w:tr>
      <w:tr w:rsidR="00000000">
        <w:tblPrEx>
          <w:tblCellMar>
            <w:top w:w="0" w:type="dxa"/>
            <w:bottom w:w="0" w:type="dxa"/>
          </w:tblCellMar>
        </w:tblPrEx>
        <w:tc>
          <w:tcPr>
            <w:tcW w:w="1341" w:type="dxa"/>
          </w:tcPr>
          <w:p w:rsidR="00000000" w:rsidRDefault="00000000">
            <w:pPr>
              <w:jc w:val="center"/>
              <w:rPr>
                <w:b/>
                <w:sz w:val="22"/>
              </w:rPr>
            </w:pPr>
          </w:p>
          <w:p w:rsidR="00000000" w:rsidRDefault="00000000">
            <w:pPr>
              <w:jc w:val="center"/>
              <w:rPr>
                <w:b/>
                <w:sz w:val="22"/>
              </w:rPr>
            </w:pPr>
            <w:r>
              <w:rPr>
                <w:b/>
                <w:sz w:val="22"/>
              </w:rPr>
              <w:t>Année</w:t>
            </w:r>
          </w:p>
        </w:tc>
        <w:tc>
          <w:tcPr>
            <w:tcW w:w="844" w:type="dxa"/>
          </w:tcPr>
          <w:p w:rsidR="00000000" w:rsidRDefault="00000000">
            <w:pPr>
              <w:jc w:val="center"/>
              <w:rPr>
                <w:b/>
                <w:sz w:val="22"/>
              </w:rPr>
            </w:pPr>
          </w:p>
          <w:p w:rsidR="00000000" w:rsidRDefault="00000000">
            <w:pPr>
              <w:jc w:val="center"/>
              <w:rPr>
                <w:b/>
                <w:sz w:val="22"/>
              </w:rPr>
            </w:pPr>
            <w:r>
              <w:rPr>
                <w:b/>
                <w:sz w:val="22"/>
              </w:rPr>
              <w:t>H</w:t>
            </w:r>
          </w:p>
        </w:tc>
        <w:tc>
          <w:tcPr>
            <w:tcW w:w="844" w:type="dxa"/>
          </w:tcPr>
          <w:p w:rsidR="00000000" w:rsidRDefault="00000000">
            <w:pPr>
              <w:jc w:val="center"/>
              <w:rPr>
                <w:b/>
                <w:sz w:val="22"/>
              </w:rPr>
            </w:pPr>
          </w:p>
          <w:p w:rsidR="00000000" w:rsidRDefault="00000000">
            <w:pPr>
              <w:jc w:val="center"/>
              <w:rPr>
                <w:b/>
                <w:sz w:val="22"/>
              </w:rPr>
            </w:pPr>
            <w:r>
              <w:rPr>
                <w:b/>
                <w:sz w:val="22"/>
              </w:rPr>
              <w:t>F</w:t>
            </w:r>
          </w:p>
        </w:tc>
        <w:tc>
          <w:tcPr>
            <w:tcW w:w="844" w:type="dxa"/>
          </w:tcPr>
          <w:p w:rsidR="00000000" w:rsidRDefault="00000000">
            <w:pPr>
              <w:jc w:val="center"/>
              <w:rPr>
                <w:b/>
                <w:sz w:val="22"/>
              </w:rPr>
            </w:pPr>
          </w:p>
          <w:p w:rsidR="00000000" w:rsidRDefault="00000000">
            <w:pPr>
              <w:jc w:val="center"/>
              <w:rPr>
                <w:b/>
                <w:sz w:val="22"/>
                <w:lang w:val="en-GB"/>
              </w:rPr>
            </w:pPr>
            <w:r>
              <w:rPr>
                <w:b/>
                <w:sz w:val="22"/>
                <w:lang w:val="en-GB"/>
              </w:rPr>
              <w:t>H</w:t>
            </w:r>
          </w:p>
        </w:tc>
        <w:tc>
          <w:tcPr>
            <w:tcW w:w="844"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45"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44"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44"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44"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44" w:type="dxa"/>
          </w:tcPr>
          <w:p w:rsidR="00000000" w:rsidRDefault="00000000">
            <w:pPr>
              <w:jc w:val="center"/>
              <w:rPr>
                <w:b/>
                <w:sz w:val="22"/>
                <w:lang w:val="en-GB"/>
              </w:rPr>
            </w:pPr>
          </w:p>
          <w:p w:rsidR="00000000" w:rsidRDefault="00000000">
            <w:pPr>
              <w:jc w:val="center"/>
              <w:rPr>
                <w:b/>
                <w:sz w:val="22"/>
              </w:rPr>
            </w:pPr>
            <w:r>
              <w:rPr>
                <w:b/>
                <w:sz w:val="22"/>
              </w:rPr>
              <w:t>H</w:t>
            </w:r>
          </w:p>
        </w:tc>
        <w:tc>
          <w:tcPr>
            <w:tcW w:w="845" w:type="dxa"/>
          </w:tcPr>
          <w:p w:rsidR="00000000" w:rsidRDefault="00000000">
            <w:pPr>
              <w:jc w:val="center"/>
              <w:rPr>
                <w:b/>
                <w:sz w:val="22"/>
              </w:rPr>
            </w:pPr>
          </w:p>
          <w:p w:rsidR="00000000" w:rsidRDefault="00000000">
            <w:pPr>
              <w:jc w:val="center"/>
              <w:rPr>
                <w:b/>
                <w:sz w:val="22"/>
              </w:rPr>
            </w:pPr>
            <w:r>
              <w:rPr>
                <w:b/>
                <w:sz w:val="22"/>
              </w:rPr>
              <w:t>F</w:t>
            </w:r>
          </w:p>
        </w:tc>
      </w:tr>
      <w:tr w:rsidR="00000000">
        <w:tblPrEx>
          <w:tblCellMar>
            <w:top w:w="0" w:type="dxa"/>
            <w:bottom w:w="0" w:type="dxa"/>
          </w:tblCellMar>
        </w:tblPrEx>
        <w:tc>
          <w:tcPr>
            <w:tcW w:w="1341" w:type="dxa"/>
          </w:tcPr>
          <w:p w:rsidR="00000000" w:rsidRDefault="00000000">
            <w:pPr>
              <w:jc w:val="center"/>
              <w:rPr>
                <w:sz w:val="22"/>
              </w:rPr>
            </w:pPr>
          </w:p>
          <w:p w:rsidR="00000000" w:rsidRDefault="00000000">
            <w:pPr>
              <w:jc w:val="center"/>
              <w:rPr>
                <w:sz w:val="22"/>
              </w:rPr>
            </w:pPr>
            <w:r>
              <w:rPr>
                <w:sz w:val="22"/>
              </w:rPr>
              <w:t>2000</w:t>
            </w:r>
          </w:p>
        </w:tc>
        <w:tc>
          <w:tcPr>
            <w:tcW w:w="844" w:type="dxa"/>
          </w:tcPr>
          <w:p w:rsidR="00000000" w:rsidRDefault="00000000">
            <w:pPr>
              <w:jc w:val="center"/>
              <w:rPr>
                <w:sz w:val="22"/>
              </w:rPr>
            </w:pPr>
          </w:p>
          <w:p w:rsidR="00000000" w:rsidRDefault="00000000">
            <w:pPr>
              <w:jc w:val="center"/>
              <w:rPr>
                <w:sz w:val="22"/>
              </w:rPr>
            </w:pPr>
            <w:r>
              <w:rPr>
                <w:sz w:val="22"/>
              </w:rPr>
              <w:t>1</w:t>
            </w:r>
          </w:p>
        </w:tc>
        <w:tc>
          <w:tcPr>
            <w:tcW w:w="844" w:type="dxa"/>
          </w:tcPr>
          <w:p w:rsidR="00000000" w:rsidRDefault="00000000">
            <w:pPr>
              <w:jc w:val="center"/>
              <w:rPr>
                <w:sz w:val="22"/>
              </w:rPr>
            </w:pPr>
          </w:p>
          <w:p w:rsidR="00000000" w:rsidRDefault="00000000">
            <w:pPr>
              <w:jc w:val="center"/>
              <w:rPr>
                <w:sz w:val="22"/>
              </w:rPr>
            </w:pPr>
            <w:r>
              <w:rPr>
                <w:sz w:val="22"/>
              </w:rPr>
              <w:t>/</w:t>
            </w:r>
          </w:p>
        </w:tc>
        <w:tc>
          <w:tcPr>
            <w:tcW w:w="844" w:type="dxa"/>
          </w:tcPr>
          <w:p w:rsidR="00000000" w:rsidRDefault="00000000">
            <w:pPr>
              <w:jc w:val="center"/>
              <w:rPr>
                <w:sz w:val="22"/>
              </w:rPr>
            </w:pPr>
          </w:p>
          <w:p w:rsidR="00000000" w:rsidRDefault="00000000">
            <w:pPr>
              <w:jc w:val="center"/>
              <w:rPr>
                <w:sz w:val="22"/>
              </w:rPr>
            </w:pPr>
            <w:r>
              <w:rPr>
                <w:sz w:val="22"/>
              </w:rPr>
              <w:t>4</w:t>
            </w:r>
          </w:p>
        </w:tc>
        <w:tc>
          <w:tcPr>
            <w:tcW w:w="844" w:type="dxa"/>
          </w:tcPr>
          <w:p w:rsidR="00000000" w:rsidRDefault="00000000">
            <w:pPr>
              <w:jc w:val="center"/>
              <w:rPr>
                <w:sz w:val="22"/>
              </w:rPr>
            </w:pPr>
          </w:p>
          <w:p w:rsidR="00000000" w:rsidRDefault="00000000">
            <w:pPr>
              <w:jc w:val="center"/>
              <w:rPr>
                <w:sz w:val="22"/>
              </w:rPr>
            </w:pPr>
            <w:r>
              <w:rPr>
                <w:sz w:val="22"/>
              </w:rPr>
              <w:t>/</w:t>
            </w:r>
          </w:p>
        </w:tc>
        <w:tc>
          <w:tcPr>
            <w:tcW w:w="845" w:type="dxa"/>
          </w:tcPr>
          <w:p w:rsidR="00000000" w:rsidRDefault="00000000">
            <w:pPr>
              <w:jc w:val="center"/>
              <w:rPr>
                <w:sz w:val="22"/>
              </w:rPr>
            </w:pPr>
          </w:p>
          <w:p w:rsidR="00000000" w:rsidRDefault="00000000">
            <w:pPr>
              <w:jc w:val="center"/>
              <w:rPr>
                <w:sz w:val="22"/>
              </w:rPr>
            </w:pPr>
            <w:r>
              <w:rPr>
                <w:sz w:val="22"/>
              </w:rPr>
              <w:t>12</w:t>
            </w:r>
          </w:p>
        </w:tc>
        <w:tc>
          <w:tcPr>
            <w:tcW w:w="844" w:type="dxa"/>
          </w:tcPr>
          <w:p w:rsidR="00000000" w:rsidRDefault="00000000">
            <w:pPr>
              <w:jc w:val="center"/>
              <w:rPr>
                <w:sz w:val="22"/>
              </w:rPr>
            </w:pPr>
          </w:p>
          <w:p w:rsidR="00000000" w:rsidRDefault="00000000">
            <w:pPr>
              <w:jc w:val="center"/>
              <w:rPr>
                <w:sz w:val="22"/>
              </w:rPr>
            </w:pPr>
            <w:r>
              <w:rPr>
                <w:sz w:val="22"/>
              </w:rPr>
              <w:t>0</w:t>
            </w:r>
          </w:p>
          <w:p w:rsidR="00000000" w:rsidRDefault="00000000">
            <w:pPr>
              <w:jc w:val="center"/>
              <w:rPr>
                <w:sz w:val="22"/>
              </w:rPr>
            </w:pPr>
          </w:p>
        </w:tc>
        <w:tc>
          <w:tcPr>
            <w:tcW w:w="844" w:type="dxa"/>
          </w:tcPr>
          <w:p w:rsidR="00000000" w:rsidRDefault="00000000">
            <w:pPr>
              <w:jc w:val="center"/>
              <w:rPr>
                <w:sz w:val="22"/>
              </w:rPr>
            </w:pPr>
          </w:p>
          <w:p w:rsidR="00000000" w:rsidRDefault="00000000">
            <w:pPr>
              <w:jc w:val="center"/>
              <w:rPr>
                <w:sz w:val="22"/>
              </w:rPr>
            </w:pPr>
            <w:r>
              <w:rPr>
                <w:sz w:val="22"/>
              </w:rPr>
              <w:t>35</w:t>
            </w:r>
          </w:p>
        </w:tc>
        <w:tc>
          <w:tcPr>
            <w:tcW w:w="844" w:type="dxa"/>
          </w:tcPr>
          <w:p w:rsidR="00000000" w:rsidRDefault="00000000">
            <w:pPr>
              <w:jc w:val="center"/>
              <w:rPr>
                <w:sz w:val="22"/>
              </w:rPr>
            </w:pPr>
          </w:p>
          <w:p w:rsidR="00000000" w:rsidRDefault="00000000">
            <w:pPr>
              <w:jc w:val="center"/>
              <w:rPr>
                <w:sz w:val="22"/>
              </w:rPr>
            </w:pPr>
            <w:r>
              <w:rPr>
                <w:sz w:val="22"/>
              </w:rPr>
              <w:t>3</w:t>
            </w:r>
          </w:p>
          <w:p w:rsidR="00000000" w:rsidRDefault="00000000">
            <w:pPr>
              <w:jc w:val="center"/>
              <w:rPr>
                <w:sz w:val="22"/>
              </w:rPr>
            </w:pPr>
          </w:p>
        </w:tc>
        <w:tc>
          <w:tcPr>
            <w:tcW w:w="844" w:type="dxa"/>
          </w:tcPr>
          <w:p w:rsidR="00000000" w:rsidRDefault="00000000">
            <w:pPr>
              <w:rPr>
                <w:sz w:val="22"/>
              </w:rPr>
            </w:pPr>
          </w:p>
          <w:p w:rsidR="00000000" w:rsidRDefault="00000000">
            <w:pPr>
              <w:jc w:val="center"/>
              <w:rPr>
                <w:sz w:val="22"/>
              </w:rPr>
            </w:pPr>
            <w:r>
              <w:rPr>
                <w:sz w:val="22"/>
              </w:rPr>
              <w:t>/</w:t>
            </w:r>
          </w:p>
        </w:tc>
        <w:tc>
          <w:tcPr>
            <w:tcW w:w="845" w:type="dxa"/>
          </w:tcPr>
          <w:p w:rsidR="00000000" w:rsidRDefault="00000000">
            <w:pPr>
              <w:jc w:val="center"/>
              <w:rPr>
                <w:sz w:val="22"/>
              </w:rPr>
            </w:pPr>
          </w:p>
          <w:p w:rsidR="00000000" w:rsidRDefault="00000000">
            <w:pPr>
              <w:jc w:val="center"/>
              <w:rPr>
                <w:sz w:val="22"/>
              </w:rPr>
            </w:pPr>
            <w:r>
              <w:rPr>
                <w:sz w:val="22"/>
              </w:rPr>
              <w:t>16</w:t>
            </w:r>
          </w:p>
        </w:tc>
      </w:tr>
    </w:tbl>
    <w:p w:rsidR="00000000" w:rsidRDefault="00000000">
      <w:pPr>
        <w:rPr>
          <w:sz w:val="22"/>
        </w:rPr>
      </w:pPr>
    </w:p>
    <w:p w:rsidR="00000000" w:rsidRDefault="00000000">
      <w:pPr>
        <w:jc w:val="center"/>
        <w:rPr>
          <w:b/>
          <w:sz w:val="22"/>
        </w:rPr>
      </w:pPr>
      <w:r>
        <w:rPr>
          <w:b/>
          <w:u w:val="single"/>
        </w:rPr>
        <w:t>Tableau</w:t>
      </w:r>
      <w:r>
        <w:rPr>
          <w:b/>
        </w:rPr>
        <w:t xml:space="preserve"> n° 15 : </w:t>
      </w:r>
      <w:r>
        <w:rPr>
          <w:b/>
          <w:sz w:val="22"/>
        </w:rPr>
        <w:t>Caisse Nationale de Sécurité Sociale (C.N.S.S)</w:t>
      </w:r>
    </w:p>
    <w:p w:rsidR="00000000" w:rsidRDefault="00000000">
      <w:pPr>
        <w:pStyle w:val="BodyText2"/>
        <w:jc w:val="cente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59"/>
        <w:gridCol w:w="1055"/>
        <w:gridCol w:w="1055"/>
        <w:gridCol w:w="1055"/>
        <w:gridCol w:w="1056"/>
        <w:gridCol w:w="1055"/>
        <w:gridCol w:w="1055"/>
        <w:gridCol w:w="1055"/>
        <w:gridCol w:w="1056"/>
      </w:tblGrid>
      <w:tr w:rsidR="00000000">
        <w:tblPrEx>
          <w:tblCellMar>
            <w:top w:w="0" w:type="dxa"/>
            <w:bottom w:w="0" w:type="dxa"/>
          </w:tblCellMar>
        </w:tblPrEx>
        <w:trPr>
          <w:cantSplit/>
        </w:trPr>
        <w:tc>
          <w:tcPr>
            <w:tcW w:w="1359" w:type="dxa"/>
          </w:tcPr>
          <w:p w:rsidR="00000000" w:rsidRDefault="00000000">
            <w:pPr>
              <w:rPr>
                <w:sz w:val="22"/>
              </w:rPr>
            </w:pPr>
          </w:p>
        </w:tc>
        <w:tc>
          <w:tcPr>
            <w:tcW w:w="2110" w:type="dxa"/>
            <w:gridSpan w:val="2"/>
          </w:tcPr>
          <w:p w:rsidR="00000000" w:rsidRDefault="00000000">
            <w:pPr>
              <w:jc w:val="center"/>
              <w:rPr>
                <w:b/>
                <w:sz w:val="22"/>
              </w:rPr>
            </w:pPr>
            <w:r>
              <w:rPr>
                <w:b/>
                <w:sz w:val="22"/>
              </w:rPr>
              <w:t>Directeur Général</w:t>
            </w:r>
          </w:p>
        </w:tc>
        <w:tc>
          <w:tcPr>
            <w:tcW w:w="2111" w:type="dxa"/>
            <w:gridSpan w:val="2"/>
          </w:tcPr>
          <w:p w:rsidR="00000000" w:rsidRDefault="00000000">
            <w:pPr>
              <w:jc w:val="center"/>
              <w:rPr>
                <w:b/>
                <w:sz w:val="22"/>
              </w:rPr>
            </w:pPr>
            <w:r>
              <w:rPr>
                <w:b/>
                <w:sz w:val="22"/>
              </w:rPr>
              <w:t>Directeurs Centraux</w:t>
            </w:r>
          </w:p>
        </w:tc>
        <w:tc>
          <w:tcPr>
            <w:tcW w:w="2110" w:type="dxa"/>
            <w:gridSpan w:val="2"/>
          </w:tcPr>
          <w:p w:rsidR="00000000" w:rsidRDefault="00000000">
            <w:pPr>
              <w:jc w:val="center"/>
              <w:rPr>
                <w:b/>
                <w:sz w:val="22"/>
              </w:rPr>
            </w:pPr>
            <w:r>
              <w:rPr>
                <w:b/>
                <w:sz w:val="22"/>
              </w:rPr>
              <w:t>Chefs de Service</w:t>
            </w:r>
          </w:p>
        </w:tc>
        <w:tc>
          <w:tcPr>
            <w:tcW w:w="2111" w:type="dxa"/>
            <w:gridSpan w:val="2"/>
          </w:tcPr>
          <w:p w:rsidR="00000000" w:rsidRDefault="00000000">
            <w:pPr>
              <w:jc w:val="center"/>
              <w:rPr>
                <w:b/>
                <w:sz w:val="22"/>
              </w:rPr>
            </w:pPr>
            <w:r>
              <w:rPr>
                <w:b/>
                <w:sz w:val="22"/>
              </w:rPr>
              <w:t>Chefs de Bureau</w:t>
            </w:r>
          </w:p>
        </w:tc>
      </w:tr>
      <w:tr w:rsidR="00000000">
        <w:tblPrEx>
          <w:tblCellMar>
            <w:top w:w="0" w:type="dxa"/>
            <w:bottom w:w="0" w:type="dxa"/>
          </w:tblCellMar>
        </w:tblPrEx>
        <w:tc>
          <w:tcPr>
            <w:tcW w:w="1359" w:type="dxa"/>
          </w:tcPr>
          <w:p w:rsidR="00000000" w:rsidRDefault="00000000">
            <w:pPr>
              <w:jc w:val="center"/>
              <w:rPr>
                <w:b/>
                <w:sz w:val="22"/>
              </w:rPr>
            </w:pPr>
          </w:p>
          <w:p w:rsidR="00000000" w:rsidRDefault="00000000">
            <w:pPr>
              <w:jc w:val="center"/>
              <w:rPr>
                <w:b/>
                <w:sz w:val="22"/>
              </w:rPr>
            </w:pPr>
            <w:r>
              <w:rPr>
                <w:b/>
                <w:sz w:val="22"/>
              </w:rPr>
              <w:t>Année</w:t>
            </w:r>
          </w:p>
        </w:tc>
        <w:tc>
          <w:tcPr>
            <w:tcW w:w="1055" w:type="dxa"/>
          </w:tcPr>
          <w:p w:rsidR="00000000" w:rsidRDefault="00000000">
            <w:pPr>
              <w:jc w:val="center"/>
              <w:rPr>
                <w:b/>
                <w:sz w:val="22"/>
              </w:rPr>
            </w:pPr>
          </w:p>
          <w:p w:rsidR="00000000" w:rsidRDefault="00000000">
            <w:pPr>
              <w:jc w:val="center"/>
              <w:rPr>
                <w:b/>
                <w:sz w:val="22"/>
              </w:rPr>
            </w:pPr>
            <w:r>
              <w:rPr>
                <w:b/>
                <w:sz w:val="22"/>
              </w:rPr>
              <w:t>H</w:t>
            </w:r>
          </w:p>
        </w:tc>
        <w:tc>
          <w:tcPr>
            <w:tcW w:w="1055" w:type="dxa"/>
          </w:tcPr>
          <w:p w:rsidR="00000000" w:rsidRDefault="00000000">
            <w:pPr>
              <w:jc w:val="center"/>
              <w:rPr>
                <w:b/>
                <w:sz w:val="22"/>
              </w:rPr>
            </w:pPr>
          </w:p>
          <w:p w:rsidR="00000000" w:rsidRDefault="00000000">
            <w:pPr>
              <w:jc w:val="center"/>
              <w:rPr>
                <w:b/>
                <w:sz w:val="22"/>
              </w:rPr>
            </w:pPr>
            <w:r>
              <w:rPr>
                <w:b/>
                <w:sz w:val="22"/>
              </w:rPr>
              <w:t>F</w:t>
            </w:r>
          </w:p>
        </w:tc>
        <w:tc>
          <w:tcPr>
            <w:tcW w:w="1055" w:type="dxa"/>
          </w:tcPr>
          <w:p w:rsidR="00000000" w:rsidRDefault="00000000">
            <w:pPr>
              <w:jc w:val="center"/>
              <w:rPr>
                <w:b/>
                <w:sz w:val="22"/>
              </w:rPr>
            </w:pPr>
          </w:p>
          <w:p w:rsidR="00000000" w:rsidRDefault="00000000">
            <w:pPr>
              <w:jc w:val="center"/>
              <w:rPr>
                <w:b/>
                <w:sz w:val="22"/>
                <w:lang w:val="en-GB"/>
              </w:rPr>
            </w:pPr>
            <w:r>
              <w:rPr>
                <w:b/>
                <w:sz w:val="22"/>
                <w:lang w:val="en-GB"/>
              </w:rPr>
              <w:t>H</w:t>
            </w:r>
          </w:p>
        </w:tc>
        <w:tc>
          <w:tcPr>
            <w:tcW w:w="1056"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1055"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1055"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1055"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1056"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r>
      <w:tr w:rsidR="00000000">
        <w:tblPrEx>
          <w:tblCellMar>
            <w:top w:w="0" w:type="dxa"/>
            <w:bottom w:w="0" w:type="dxa"/>
          </w:tblCellMar>
        </w:tblPrEx>
        <w:tc>
          <w:tcPr>
            <w:tcW w:w="1359" w:type="dxa"/>
          </w:tcPr>
          <w:p w:rsidR="00000000" w:rsidRDefault="00000000">
            <w:pPr>
              <w:jc w:val="center"/>
              <w:rPr>
                <w:sz w:val="22"/>
              </w:rPr>
            </w:pPr>
            <w:r>
              <w:rPr>
                <w:sz w:val="22"/>
              </w:rPr>
              <w:t>1999-2000</w:t>
            </w:r>
          </w:p>
        </w:tc>
        <w:tc>
          <w:tcPr>
            <w:tcW w:w="1055" w:type="dxa"/>
          </w:tcPr>
          <w:p w:rsidR="00000000" w:rsidRDefault="00000000">
            <w:pPr>
              <w:jc w:val="center"/>
              <w:rPr>
                <w:sz w:val="22"/>
              </w:rPr>
            </w:pPr>
          </w:p>
          <w:p w:rsidR="00000000" w:rsidRDefault="00000000">
            <w:pPr>
              <w:jc w:val="center"/>
              <w:rPr>
                <w:sz w:val="22"/>
              </w:rPr>
            </w:pPr>
            <w:r>
              <w:rPr>
                <w:sz w:val="22"/>
              </w:rPr>
              <w:t>1</w:t>
            </w:r>
          </w:p>
        </w:tc>
        <w:tc>
          <w:tcPr>
            <w:tcW w:w="1055" w:type="dxa"/>
          </w:tcPr>
          <w:p w:rsidR="00000000" w:rsidRDefault="00000000">
            <w:pPr>
              <w:jc w:val="center"/>
              <w:rPr>
                <w:sz w:val="22"/>
              </w:rPr>
            </w:pPr>
          </w:p>
          <w:p w:rsidR="00000000" w:rsidRDefault="00000000">
            <w:pPr>
              <w:jc w:val="center"/>
              <w:rPr>
                <w:sz w:val="22"/>
              </w:rPr>
            </w:pPr>
            <w:r>
              <w:rPr>
                <w:sz w:val="22"/>
              </w:rPr>
              <w:t>/</w:t>
            </w:r>
          </w:p>
        </w:tc>
        <w:tc>
          <w:tcPr>
            <w:tcW w:w="1055" w:type="dxa"/>
          </w:tcPr>
          <w:p w:rsidR="00000000" w:rsidRDefault="00000000">
            <w:pPr>
              <w:jc w:val="center"/>
              <w:rPr>
                <w:sz w:val="22"/>
              </w:rPr>
            </w:pPr>
          </w:p>
          <w:p w:rsidR="00000000" w:rsidRDefault="00000000">
            <w:pPr>
              <w:jc w:val="center"/>
              <w:rPr>
                <w:sz w:val="22"/>
              </w:rPr>
            </w:pPr>
            <w:r>
              <w:rPr>
                <w:sz w:val="22"/>
              </w:rPr>
              <w:t>4</w:t>
            </w:r>
          </w:p>
        </w:tc>
        <w:tc>
          <w:tcPr>
            <w:tcW w:w="1056" w:type="dxa"/>
          </w:tcPr>
          <w:p w:rsidR="00000000" w:rsidRDefault="00000000">
            <w:pPr>
              <w:jc w:val="center"/>
              <w:rPr>
                <w:sz w:val="22"/>
              </w:rPr>
            </w:pPr>
          </w:p>
          <w:p w:rsidR="00000000" w:rsidRDefault="00000000">
            <w:pPr>
              <w:jc w:val="center"/>
              <w:rPr>
                <w:sz w:val="22"/>
              </w:rPr>
            </w:pPr>
            <w:r>
              <w:rPr>
                <w:sz w:val="22"/>
              </w:rPr>
              <w:t>1</w:t>
            </w:r>
          </w:p>
        </w:tc>
        <w:tc>
          <w:tcPr>
            <w:tcW w:w="1055" w:type="dxa"/>
          </w:tcPr>
          <w:p w:rsidR="00000000" w:rsidRDefault="00000000">
            <w:pPr>
              <w:jc w:val="center"/>
              <w:rPr>
                <w:sz w:val="22"/>
              </w:rPr>
            </w:pPr>
          </w:p>
          <w:p w:rsidR="00000000" w:rsidRDefault="00000000">
            <w:pPr>
              <w:jc w:val="center"/>
              <w:rPr>
                <w:sz w:val="22"/>
              </w:rPr>
            </w:pPr>
            <w:r>
              <w:rPr>
                <w:sz w:val="22"/>
              </w:rPr>
              <w:t>16</w:t>
            </w:r>
          </w:p>
        </w:tc>
        <w:tc>
          <w:tcPr>
            <w:tcW w:w="1055" w:type="dxa"/>
          </w:tcPr>
          <w:p w:rsidR="00000000" w:rsidRDefault="00000000">
            <w:pPr>
              <w:jc w:val="center"/>
              <w:rPr>
                <w:sz w:val="22"/>
              </w:rPr>
            </w:pPr>
          </w:p>
          <w:p w:rsidR="00000000" w:rsidRDefault="00000000">
            <w:pPr>
              <w:jc w:val="center"/>
              <w:rPr>
                <w:sz w:val="22"/>
              </w:rPr>
            </w:pPr>
            <w:r>
              <w:rPr>
                <w:sz w:val="22"/>
              </w:rPr>
              <w:t>13</w:t>
            </w:r>
          </w:p>
        </w:tc>
        <w:tc>
          <w:tcPr>
            <w:tcW w:w="1055" w:type="dxa"/>
          </w:tcPr>
          <w:p w:rsidR="00000000" w:rsidRDefault="00000000">
            <w:pPr>
              <w:jc w:val="center"/>
              <w:rPr>
                <w:sz w:val="22"/>
              </w:rPr>
            </w:pPr>
          </w:p>
          <w:p w:rsidR="00000000" w:rsidRDefault="00000000">
            <w:pPr>
              <w:jc w:val="center"/>
              <w:rPr>
                <w:sz w:val="22"/>
              </w:rPr>
            </w:pPr>
            <w:r>
              <w:rPr>
                <w:sz w:val="22"/>
              </w:rPr>
              <w:t>4</w:t>
            </w:r>
          </w:p>
        </w:tc>
        <w:tc>
          <w:tcPr>
            <w:tcW w:w="1056" w:type="dxa"/>
          </w:tcPr>
          <w:p w:rsidR="00000000" w:rsidRDefault="00000000">
            <w:pPr>
              <w:jc w:val="center"/>
              <w:rPr>
                <w:sz w:val="22"/>
              </w:rPr>
            </w:pPr>
          </w:p>
          <w:p w:rsidR="00000000" w:rsidRDefault="00000000">
            <w:pPr>
              <w:jc w:val="center"/>
              <w:rPr>
                <w:sz w:val="22"/>
              </w:rPr>
            </w:pPr>
            <w:r>
              <w:rPr>
                <w:sz w:val="22"/>
              </w:rPr>
              <w:t>20</w:t>
            </w:r>
          </w:p>
        </w:tc>
      </w:tr>
    </w:tbl>
    <w:p w:rsidR="00000000" w:rsidRDefault="00000000">
      <w:pPr>
        <w:pStyle w:val="BodyText2"/>
        <w:jc w:val="center"/>
      </w:pPr>
    </w:p>
    <w:p w:rsidR="00000000" w:rsidRDefault="00000000">
      <w:pPr>
        <w:tabs>
          <w:tab w:val="left" w:pos="142"/>
        </w:tabs>
        <w:ind w:left="1418" w:hanging="1418"/>
        <w:rPr>
          <w:b/>
          <w:sz w:val="22"/>
          <w:u w:val="single"/>
        </w:rPr>
      </w:pPr>
      <w:r>
        <w:rPr>
          <w:b/>
          <w:u w:val="single"/>
        </w:rPr>
        <w:br w:type="page"/>
        <w:t>Tableau</w:t>
      </w:r>
      <w:r>
        <w:rPr>
          <w:b/>
        </w:rPr>
        <w:t xml:space="preserve"> n° 16 : </w:t>
      </w:r>
      <w:r>
        <w:rPr>
          <w:b/>
          <w:sz w:val="22"/>
        </w:rPr>
        <w:t>Ministère de l’Economie Forestière Chargé de la Pêche et de Ressources Halieutiques : an 2000</w:t>
      </w:r>
    </w:p>
    <w:p w:rsidR="00000000" w:rsidRDefault="00000000">
      <w:pPr>
        <w:rPr>
          <w:sz w:val="22"/>
        </w:rPr>
      </w:pPr>
    </w:p>
    <w:tbl>
      <w:tblPr>
        <w:tblW w:w="9783"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2"/>
        <w:gridCol w:w="525"/>
        <w:gridCol w:w="615"/>
        <w:gridCol w:w="720"/>
        <w:gridCol w:w="720"/>
        <w:gridCol w:w="1305"/>
        <w:gridCol w:w="1197"/>
        <w:gridCol w:w="1242"/>
        <w:gridCol w:w="1314"/>
        <w:gridCol w:w="661"/>
        <w:gridCol w:w="662"/>
      </w:tblGrid>
      <w:tr w:rsidR="00000000">
        <w:tblPrEx>
          <w:tblCellMar>
            <w:top w:w="0" w:type="dxa"/>
            <w:bottom w:w="0" w:type="dxa"/>
          </w:tblCellMar>
        </w:tblPrEx>
        <w:trPr>
          <w:cantSplit/>
        </w:trPr>
        <w:tc>
          <w:tcPr>
            <w:tcW w:w="822" w:type="dxa"/>
          </w:tcPr>
          <w:p w:rsidR="00000000" w:rsidRDefault="00000000">
            <w:pPr>
              <w:rPr>
                <w:sz w:val="22"/>
              </w:rPr>
            </w:pPr>
          </w:p>
        </w:tc>
        <w:tc>
          <w:tcPr>
            <w:tcW w:w="1140" w:type="dxa"/>
            <w:gridSpan w:val="2"/>
          </w:tcPr>
          <w:p w:rsidR="00000000" w:rsidRDefault="00000000">
            <w:pPr>
              <w:jc w:val="center"/>
              <w:rPr>
                <w:b/>
                <w:sz w:val="22"/>
              </w:rPr>
            </w:pPr>
            <w:r>
              <w:rPr>
                <w:b/>
                <w:sz w:val="22"/>
              </w:rPr>
              <w:t>Directeur de Cabinet</w:t>
            </w:r>
          </w:p>
        </w:tc>
        <w:tc>
          <w:tcPr>
            <w:tcW w:w="1440" w:type="dxa"/>
            <w:gridSpan w:val="2"/>
          </w:tcPr>
          <w:p w:rsidR="00000000" w:rsidRDefault="00000000">
            <w:pPr>
              <w:jc w:val="center"/>
              <w:rPr>
                <w:b/>
                <w:sz w:val="22"/>
              </w:rPr>
            </w:pPr>
            <w:r>
              <w:rPr>
                <w:b/>
                <w:sz w:val="22"/>
              </w:rPr>
              <w:t>Directeur Général</w:t>
            </w:r>
          </w:p>
        </w:tc>
        <w:tc>
          <w:tcPr>
            <w:tcW w:w="2502" w:type="dxa"/>
            <w:gridSpan w:val="2"/>
          </w:tcPr>
          <w:p w:rsidR="00000000" w:rsidRDefault="00000000">
            <w:pPr>
              <w:pStyle w:val="Heading9"/>
            </w:pPr>
            <w:r>
              <w:t>Directeurs</w:t>
            </w:r>
          </w:p>
          <w:p w:rsidR="00000000" w:rsidRDefault="00000000">
            <w:pPr>
              <w:pStyle w:val="Heading9"/>
            </w:pPr>
            <w:r>
              <w:t xml:space="preserve"> Centraux</w:t>
            </w:r>
          </w:p>
        </w:tc>
        <w:tc>
          <w:tcPr>
            <w:tcW w:w="2556" w:type="dxa"/>
            <w:gridSpan w:val="2"/>
          </w:tcPr>
          <w:p w:rsidR="00000000" w:rsidRDefault="00000000">
            <w:pPr>
              <w:jc w:val="center"/>
              <w:rPr>
                <w:b/>
                <w:sz w:val="22"/>
              </w:rPr>
            </w:pPr>
            <w:r>
              <w:rPr>
                <w:b/>
                <w:sz w:val="22"/>
              </w:rPr>
              <w:t>Chefs de Service</w:t>
            </w:r>
          </w:p>
        </w:tc>
        <w:tc>
          <w:tcPr>
            <w:tcW w:w="1323" w:type="dxa"/>
            <w:gridSpan w:val="2"/>
          </w:tcPr>
          <w:p w:rsidR="00000000" w:rsidRDefault="00000000">
            <w:pPr>
              <w:jc w:val="center"/>
              <w:rPr>
                <w:b/>
                <w:sz w:val="22"/>
              </w:rPr>
            </w:pPr>
            <w:r>
              <w:rPr>
                <w:b/>
                <w:sz w:val="22"/>
              </w:rPr>
              <w:t>Chefs de Bureau</w:t>
            </w:r>
          </w:p>
        </w:tc>
      </w:tr>
      <w:tr w:rsidR="00000000">
        <w:tblPrEx>
          <w:tblCellMar>
            <w:top w:w="0" w:type="dxa"/>
            <w:bottom w:w="0" w:type="dxa"/>
          </w:tblCellMar>
        </w:tblPrEx>
        <w:trPr>
          <w:cantSplit/>
        </w:trPr>
        <w:tc>
          <w:tcPr>
            <w:tcW w:w="822" w:type="dxa"/>
          </w:tcPr>
          <w:p w:rsidR="00000000" w:rsidRDefault="00000000">
            <w:pPr>
              <w:rPr>
                <w:b/>
                <w:sz w:val="22"/>
              </w:rPr>
            </w:pPr>
            <w:r>
              <w:rPr>
                <w:b/>
                <w:sz w:val="22"/>
              </w:rPr>
              <w:t>Sexes</w:t>
            </w:r>
          </w:p>
        </w:tc>
        <w:tc>
          <w:tcPr>
            <w:tcW w:w="525" w:type="dxa"/>
          </w:tcPr>
          <w:p w:rsidR="00000000" w:rsidRDefault="00000000">
            <w:pPr>
              <w:jc w:val="center"/>
              <w:rPr>
                <w:b/>
                <w:sz w:val="22"/>
              </w:rPr>
            </w:pPr>
            <w:r>
              <w:rPr>
                <w:b/>
                <w:sz w:val="22"/>
              </w:rPr>
              <w:t>H</w:t>
            </w:r>
          </w:p>
        </w:tc>
        <w:tc>
          <w:tcPr>
            <w:tcW w:w="615" w:type="dxa"/>
          </w:tcPr>
          <w:p w:rsidR="00000000" w:rsidRDefault="00000000">
            <w:pPr>
              <w:jc w:val="center"/>
              <w:rPr>
                <w:b/>
                <w:sz w:val="22"/>
              </w:rPr>
            </w:pPr>
            <w:r>
              <w:rPr>
                <w:b/>
                <w:sz w:val="22"/>
              </w:rPr>
              <w:t>F</w:t>
            </w:r>
          </w:p>
        </w:tc>
        <w:tc>
          <w:tcPr>
            <w:tcW w:w="720" w:type="dxa"/>
          </w:tcPr>
          <w:p w:rsidR="00000000" w:rsidRDefault="00000000">
            <w:pPr>
              <w:jc w:val="center"/>
              <w:rPr>
                <w:b/>
                <w:sz w:val="22"/>
                <w:lang w:val="en-GB"/>
              </w:rPr>
            </w:pPr>
            <w:r>
              <w:rPr>
                <w:b/>
                <w:sz w:val="22"/>
                <w:lang w:val="en-GB"/>
              </w:rPr>
              <w:t>H</w:t>
            </w:r>
          </w:p>
        </w:tc>
        <w:tc>
          <w:tcPr>
            <w:tcW w:w="720" w:type="dxa"/>
          </w:tcPr>
          <w:p w:rsidR="00000000" w:rsidRDefault="00000000">
            <w:pPr>
              <w:jc w:val="center"/>
              <w:rPr>
                <w:b/>
                <w:sz w:val="22"/>
                <w:lang w:val="en-GB"/>
              </w:rPr>
            </w:pPr>
            <w:r>
              <w:rPr>
                <w:b/>
                <w:sz w:val="22"/>
                <w:lang w:val="en-GB"/>
              </w:rPr>
              <w:t>F</w:t>
            </w:r>
          </w:p>
        </w:tc>
        <w:tc>
          <w:tcPr>
            <w:tcW w:w="1305" w:type="dxa"/>
          </w:tcPr>
          <w:p w:rsidR="00000000" w:rsidRDefault="00000000">
            <w:pPr>
              <w:jc w:val="center"/>
              <w:rPr>
                <w:b/>
                <w:sz w:val="22"/>
                <w:lang w:val="en-GB"/>
              </w:rPr>
            </w:pPr>
            <w:r>
              <w:rPr>
                <w:b/>
                <w:sz w:val="22"/>
                <w:lang w:val="en-GB"/>
              </w:rPr>
              <w:t>H</w:t>
            </w:r>
          </w:p>
        </w:tc>
        <w:tc>
          <w:tcPr>
            <w:tcW w:w="1197" w:type="dxa"/>
          </w:tcPr>
          <w:p w:rsidR="00000000" w:rsidRDefault="00000000">
            <w:pPr>
              <w:jc w:val="center"/>
              <w:rPr>
                <w:b/>
                <w:sz w:val="22"/>
                <w:lang w:val="en-GB"/>
              </w:rPr>
            </w:pPr>
            <w:r>
              <w:rPr>
                <w:b/>
                <w:sz w:val="22"/>
                <w:lang w:val="en-GB"/>
              </w:rPr>
              <w:t>F</w:t>
            </w:r>
          </w:p>
        </w:tc>
        <w:tc>
          <w:tcPr>
            <w:tcW w:w="1242" w:type="dxa"/>
          </w:tcPr>
          <w:p w:rsidR="00000000" w:rsidRDefault="00000000">
            <w:pPr>
              <w:jc w:val="center"/>
              <w:rPr>
                <w:b/>
                <w:sz w:val="22"/>
                <w:lang w:val="en-GB"/>
              </w:rPr>
            </w:pPr>
            <w:r>
              <w:rPr>
                <w:b/>
                <w:sz w:val="22"/>
                <w:lang w:val="en-GB"/>
              </w:rPr>
              <w:t>H</w:t>
            </w:r>
          </w:p>
        </w:tc>
        <w:tc>
          <w:tcPr>
            <w:tcW w:w="1314" w:type="dxa"/>
          </w:tcPr>
          <w:p w:rsidR="00000000" w:rsidRDefault="00000000">
            <w:pPr>
              <w:jc w:val="center"/>
              <w:rPr>
                <w:b/>
                <w:sz w:val="22"/>
                <w:lang w:val="en-GB"/>
              </w:rPr>
            </w:pPr>
            <w:r>
              <w:rPr>
                <w:b/>
                <w:sz w:val="22"/>
                <w:lang w:val="en-GB"/>
              </w:rPr>
              <w:t>F</w:t>
            </w:r>
          </w:p>
          <w:p w:rsidR="00000000" w:rsidRDefault="00000000">
            <w:pPr>
              <w:jc w:val="center"/>
              <w:rPr>
                <w:b/>
                <w:sz w:val="22"/>
                <w:lang w:val="en-GB"/>
              </w:rPr>
            </w:pPr>
          </w:p>
        </w:tc>
        <w:tc>
          <w:tcPr>
            <w:tcW w:w="661" w:type="dxa"/>
          </w:tcPr>
          <w:p w:rsidR="00000000" w:rsidRDefault="00000000">
            <w:pPr>
              <w:jc w:val="center"/>
              <w:rPr>
                <w:b/>
                <w:sz w:val="22"/>
                <w:lang w:val="en-GB"/>
              </w:rPr>
            </w:pPr>
            <w:r>
              <w:rPr>
                <w:b/>
                <w:sz w:val="22"/>
                <w:lang w:val="en-GB"/>
              </w:rPr>
              <w:t>H</w:t>
            </w:r>
          </w:p>
        </w:tc>
        <w:tc>
          <w:tcPr>
            <w:tcW w:w="662" w:type="dxa"/>
          </w:tcPr>
          <w:p w:rsidR="00000000" w:rsidRDefault="00000000">
            <w:pPr>
              <w:ind w:left="110"/>
              <w:jc w:val="center"/>
              <w:rPr>
                <w:b/>
                <w:sz w:val="22"/>
              </w:rPr>
            </w:pPr>
            <w:r>
              <w:rPr>
                <w:b/>
                <w:sz w:val="22"/>
              </w:rPr>
              <w:t>F</w:t>
            </w:r>
          </w:p>
        </w:tc>
      </w:tr>
      <w:tr w:rsidR="00000000">
        <w:tblPrEx>
          <w:tblCellMar>
            <w:top w:w="0" w:type="dxa"/>
            <w:bottom w:w="0" w:type="dxa"/>
          </w:tblCellMar>
        </w:tblPrEx>
        <w:trPr>
          <w:cantSplit/>
        </w:trPr>
        <w:tc>
          <w:tcPr>
            <w:tcW w:w="822" w:type="dxa"/>
          </w:tcPr>
          <w:p w:rsidR="00000000" w:rsidRDefault="00000000">
            <w:pPr>
              <w:rPr>
                <w:sz w:val="22"/>
              </w:rPr>
            </w:pPr>
          </w:p>
        </w:tc>
        <w:tc>
          <w:tcPr>
            <w:tcW w:w="525" w:type="dxa"/>
          </w:tcPr>
          <w:p w:rsidR="00000000" w:rsidRDefault="00000000">
            <w:pPr>
              <w:jc w:val="center"/>
              <w:rPr>
                <w:sz w:val="22"/>
              </w:rPr>
            </w:pPr>
            <w:r>
              <w:rPr>
                <w:sz w:val="22"/>
              </w:rPr>
              <w:t>1</w:t>
            </w:r>
          </w:p>
        </w:tc>
        <w:tc>
          <w:tcPr>
            <w:tcW w:w="615" w:type="dxa"/>
          </w:tcPr>
          <w:p w:rsidR="00000000" w:rsidRDefault="00000000">
            <w:pPr>
              <w:jc w:val="center"/>
              <w:rPr>
                <w:sz w:val="22"/>
              </w:rPr>
            </w:pPr>
          </w:p>
        </w:tc>
        <w:tc>
          <w:tcPr>
            <w:tcW w:w="720" w:type="dxa"/>
          </w:tcPr>
          <w:p w:rsidR="00000000" w:rsidRDefault="00000000">
            <w:pPr>
              <w:jc w:val="center"/>
              <w:rPr>
                <w:sz w:val="22"/>
              </w:rPr>
            </w:pPr>
            <w:r>
              <w:rPr>
                <w:sz w:val="22"/>
              </w:rPr>
              <w:t>1</w:t>
            </w:r>
          </w:p>
        </w:tc>
        <w:tc>
          <w:tcPr>
            <w:tcW w:w="720" w:type="dxa"/>
          </w:tcPr>
          <w:p w:rsidR="00000000" w:rsidRDefault="00000000">
            <w:pPr>
              <w:jc w:val="center"/>
              <w:rPr>
                <w:sz w:val="22"/>
              </w:rPr>
            </w:pPr>
          </w:p>
        </w:tc>
        <w:tc>
          <w:tcPr>
            <w:tcW w:w="1305" w:type="dxa"/>
          </w:tcPr>
          <w:p w:rsidR="00000000" w:rsidRDefault="00000000">
            <w:pPr>
              <w:jc w:val="center"/>
              <w:rPr>
                <w:sz w:val="22"/>
              </w:rPr>
            </w:pPr>
            <w:r>
              <w:rPr>
                <w:sz w:val="22"/>
              </w:rPr>
              <w:t>6</w:t>
            </w:r>
          </w:p>
          <w:p w:rsidR="00000000" w:rsidRDefault="00000000">
            <w:pPr>
              <w:pStyle w:val="Heading5"/>
              <w:jc w:val="center"/>
              <w:rPr>
                <w:sz w:val="22"/>
              </w:rPr>
            </w:pPr>
            <w:r>
              <w:rPr>
                <w:sz w:val="22"/>
              </w:rPr>
              <w:t>Au niveau</w:t>
            </w:r>
          </w:p>
          <w:p w:rsidR="00000000" w:rsidRDefault="00000000">
            <w:pPr>
              <w:jc w:val="center"/>
              <w:rPr>
                <w:sz w:val="22"/>
              </w:rPr>
            </w:pPr>
            <w:r>
              <w:rPr>
                <w:sz w:val="22"/>
              </w:rPr>
              <w:t>11</w:t>
            </w:r>
          </w:p>
          <w:p w:rsidR="00000000" w:rsidRDefault="00000000">
            <w:pPr>
              <w:jc w:val="center"/>
              <w:rPr>
                <w:sz w:val="22"/>
              </w:rPr>
            </w:pPr>
          </w:p>
          <w:p w:rsidR="00000000" w:rsidRDefault="00000000">
            <w:pPr>
              <w:jc w:val="center"/>
              <w:rPr>
                <w:sz w:val="22"/>
              </w:rPr>
            </w:pPr>
          </w:p>
          <w:p w:rsidR="00000000" w:rsidRDefault="00000000">
            <w:pPr>
              <w:jc w:val="center"/>
              <w:rPr>
                <w:sz w:val="22"/>
              </w:rPr>
            </w:pPr>
          </w:p>
        </w:tc>
        <w:tc>
          <w:tcPr>
            <w:tcW w:w="1197" w:type="dxa"/>
          </w:tcPr>
          <w:p w:rsidR="00000000" w:rsidRDefault="00000000">
            <w:pPr>
              <w:pStyle w:val="Heading5"/>
              <w:jc w:val="center"/>
              <w:rPr>
                <w:sz w:val="22"/>
              </w:rPr>
            </w:pPr>
          </w:p>
          <w:p w:rsidR="00000000" w:rsidRDefault="00000000">
            <w:pPr>
              <w:pStyle w:val="Heading5"/>
              <w:jc w:val="center"/>
              <w:rPr>
                <w:sz w:val="22"/>
              </w:rPr>
            </w:pPr>
            <w:r>
              <w:rPr>
                <w:sz w:val="22"/>
              </w:rPr>
              <w:t>Régionale</w:t>
            </w:r>
          </w:p>
          <w:p w:rsidR="00000000" w:rsidRDefault="00000000">
            <w:pPr>
              <w:jc w:val="center"/>
              <w:rPr>
                <w:sz w:val="22"/>
              </w:rPr>
            </w:pPr>
            <w:r>
              <w:rPr>
                <w:sz w:val="22"/>
              </w:rPr>
              <w:t>0</w:t>
            </w:r>
          </w:p>
        </w:tc>
        <w:tc>
          <w:tcPr>
            <w:tcW w:w="1242" w:type="dxa"/>
          </w:tcPr>
          <w:p w:rsidR="00000000" w:rsidRDefault="00000000">
            <w:pPr>
              <w:jc w:val="center"/>
              <w:rPr>
                <w:sz w:val="22"/>
              </w:rPr>
            </w:pPr>
            <w:r>
              <w:rPr>
                <w:sz w:val="22"/>
              </w:rPr>
              <w:t>17</w:t>
            </w:r>
          </w:p>
          <w:p w:rsidR="00000000" w:rsidRDefault="00000000">
            <w:pPr>
              <w:pStyle w:val="Heading5"/>
              <w:jc w:val="center"/>
              <w:rPr>
                <w:sz w:val="22"/>
              </w:rPr>
            </w:pPr>
            <w:r>
              <w:rPr>
                <w:sz w:val="22"/>
              </w:rPr>
              <w:t>Au niveau</w:t>
            </w:r>
          </w:p>
          <w:p w:rsidR="00000000" w:rsidRDefault="00000000">
            <w:pPr>
              <w:jc w:val="center"/>
              <w:rPr>
                <w:sz w:val="22"/>
              </w:rPr>
            </w:pPr>
            <w:r>
              <w:rPr>
                <w:sz w:val="22"/>
              </w:rPr>
              <w:t>33</w:t>
            </w:r>
          </w:p>
          <w:p w:rsidR="00000000" w:rsidRDefault="00000000">
            <w:pPr>
              <w:pStyle w:val="Heading5"/>
              <w:jc w:val="center"/>
              <w:rPr>
                <w:sz w:val="22"/>
              </w:rPr>
            </w:pPr>
            <w:r>
              <w:rPr>
                <w:sz w:val="22"/>
              </w:rPr>
              <w:t>Chefs des</w:t>
            </w:r>
          </w:p>
          <w:p w:rsidR="00000000" w:rsidRDefault="00000000">
            <w:pPr>
              <w:jc w:val="center"/>
              <w:rPr>
                <w:sz w:val="22"/>
              </w:rPr>
            </w:pPr>
            <w:r>
              <w:rPr>
                <w:sz w:val="22"/>
              </w:rPr>
              <w:t>35</w:t>
            </w:r>
          </w:p>
        </w:tc>
        <w:tc>
          <w:tcPr>
            <w:tcW w:w="1314" w:type="dxa"/>
          </w:tcPr>
          <w:p w:rsidR="00000000" w:rsidRDefault="00000000">
            <w:pPr>
              <w:jc w:val="center"/>
              <w:rPr>
                <w:sz w:val="22"/>
              </w:rPr>
            </w:pPr>
            <w:r>
              <w:rPr>
                <w:sz w:val="22"/>
              </w:rPr>
              <w:t>2</w:t>
            </w:r>
          </w:p>
          <w:p w:rsidR="00000000" w:rsidRDefault="00000000">
            <w:pPr>
              <w:pStyle w:val="Heading5"/>
              <w:jc w:val="center"/>
              <w:rPr>
                <w:sz w:val="22"/>
              </w:rPr>
            </w:pPr>
            <w:r>
              <w:rPr>
                <w:sz w:val="22"/>
              </w:rPr>
              <w:t>Régionale</w:t>
            </w:r>
          </w:p>
          <w:p w:rsidR="00000000" w:rsidRDefault="00000000">
            <w:pPr>
              <w:jc w:val="center"/>
              <w:rPr>
                <w:sz w:val="22"/>
              </w:rPr>
            </w:pPr>
            <w:r>
              <w:rPr>
                <w:sz w:val="22"/>
              </w:rPr>
              <w:t>2</w:t>
            </w:r>
          </w:p>
          <w:p w:rsidR="00000000" w:rsidRDefault="00000000">
            <w:pPr>
              <w:pStyle w:val="Heading5"/>
              <w:jc w:val="center"/>
              <w:rPr>
                <w:sz w:val="22"/>
              </w:rPr>
            </w:pPr>
            <w:r>
              <w:rPr>
                <w:sz w:val="22"/>
              </w:rPr>
              <w:t>Brigades</w:t>
            </w:r>
          </w:p>
          <w:p w:rsidR="00000000" w:rsidRDefault="00000000">
            <w:pPr>
              <w:jc w:val="center"/>
              <w:rPr>
                <w:sz w:val="22"/>
              </w:rPr>
            </w:pPr>
            <w:r>
              <w:rPr>
                <w:sz w:val="22"/>
              </w:rPr>
              <w:t>1</w:t>
            </w:r>
          </w:p>
        </w:tc>
        <w:tc>
          <w:tcPr>
            <w:tcW w:w="661" w:type="dxa"/>
          </w:tcPr>
          <w:p w:rsidR="00000000" w:rsidRDefault="00000000">
            <w:pPr>
              <w:jc w:val="center"/>
              <w:rPr>
                <w:sz w:val="22"/>
              </w:rPr>
            </w:pPr>
            <w:r>
              <w:rPr>
                <w:sz w:val="22"/>
              </w:rPr>
              <w:t>34</w:t>
            </w:r>
          </w:p>
        </w:tc>
        <w:tc>
          <w:tcPr>
            <w:tcW w:w="662" w:type="dxa"/>
          </w:tcPr>
          <w:p w:rsidR="00000000" w:rsidRDefault="00000000">
            <w:pPr>
              <w:jc w:val="center"/>
              <w:rPr>
                <w:sz w:val="22"/>
              </w:rPr>
            </w:pPr>
            <w:r>
              <w:rPr>
                <w:sz w:val="22"/>
              </w:rPr>
              <w:t>10</w:t>
            </w:r>
          </w:p>
        </w:tc>
      </w:tr>
    </w:tbl>
    <w:p w:rsidR="00000000" w:rsidRDefault="00000000"/>
    <w:p w:rsidR="00000000" w:rsidRDefault="00000000"/>
    <w:p w:rsidR="00000000" w:rsidRDefault="00000000">
      <w:pPr>
        <w:jc w:val="center"/>
        <w:rPr>
          <w:b/>
          <w:sz w:val="22"/>
        </w:rPr>
      </w:pPr>
      <w:r>
        <w:rPr>
          <w:b/>
          <w:u w:val="single"/>
        </w:rPr>
        <w:t>Tableau</w:t>
      </w:r>
      <w:r>
        <w:rPr>
          <w:b/>
        </w:rPr>
        <w:t xml:space="preserve"> n° 17 : </w:t>
      </w:r>
      <w:r>
        <w:rPr>
          <w:b/>
          <w:sz w:val="22"/>
        </w:rPr>
        <w:t>Ministère de l’Agriculture et de l’élevage :an : 2000</w:t>
      </w:r>
    </w:p>
    <w:p w:rsidR="00000000" w:rsidRDefault="00000000">
      <w:pPr>
        <w:jc w:val="center"/>
        <w:rPr>
          <w:b/>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9"/>
        <w:gridCol w:w="894"/>
        <w:gridCol w:w="895"/>
        <w:gridCol w:w="894"/>
        <w:gridCol w:w="895"/>
        <w:gridCol w:w="895"/>
        <w:gridCol w:w="894"/>
        <w:gridCol w:w="895"/>
        <w:gridCol w:w="894"/>
        <w:gridCol w:w="895"/>
        <w:gridCol w:w="895"/>
      </w:tblGrid>
      <w:tr w:rsidR="00000000">
        <w:tblPrEx>
          <w:tblCellMar>
            <w:top w:w="0" w:type="dxa"/>
            <w:bottom w:w="0" w:type="dxa"/>
          </w:tblCellMar>
        </w:tblPrEx>
        <w:trPr>
          <w:cantSplit/>
        </w:trPr>
        <w:tc>
          <w:tcPr>
            <w:tcW w:w="819" w:type="dxa"/>
          </w:tcPr>
          <w:p w:rsidR="00000000" w:rsidRDefault="00000000">
            <w:pPr>
              <w:rPr>
                <w:sz w:val="22"/>
              </w:rPr>
            </w:pPr>
          </w:p>
        </w:tc>
        <w:tc>
          <w:tcPr>
            <w:tcW w:w="1789" w:type="dxa"/>
            <w:gridSpan w:val="2"/>
          </w:tcPr>
          <w:p w:rsidR="00000000" w:rsidRDefault="00000000">
            <w:pPr>
              <w:jc w:val="center"/>
              <w:rPr>
                <w:b/>
                <w:sz w:val="22"/>
              </w:rPr>
            </w:pPr>
            <w:r>
              <w:rPr>
                <w:b/>
                <w:sz w:val="22"/>
              </w:rPr>
              <w:t>Directeur de Cabinet</w:t>
            </w:r>
          </w:p>
        </w:tc>
        <w:tc>
          <w:tcPr>
            <w:tcW w:w="1789" w:type="dxa"/>
            <w:gridSpan w:val="2"/>
          </w:tcPr>
          <w:p w:rsidR="00000000" w:rsidRDefault="00000000">
            <w:pPr>
              <w:jc w:val="center"/>
              <w:rPr>
                <w:b/>
                <w:sz w:val="22"/>
              </w:rPr>
            </w:pPr>
            <w:r>
              <w:rPr>
                <w:b/>
                <w:sz w:val="22"/>
              </w:rPr>
              <w:t>Directeur Général</w:t>
            </w:r>
          </w:p>
        </w:tc>
        <w:tc>
          <w:tcPr>
            <w:tcW w:w="1789" w:type="dxa"/>
            <w:gridSpan w:val="2"/>
          </w:tcPr>
          <w:p w:rsidR="00000000" w:rsidRDefault="00000000">
            <w:pPr>
              <w:jc w:val="center"/>
              <w:rPr>
                <w:b/>
                <w:sz w:val="22"/>
              </w:rPr>
            </w:pPr>
            <w:r>
              <w:rPr>
                <w:b/>
                <w:sz w:val="22"/>
              </w:rPr>
              <w:t>Directeurs Centraux</w:t>
            </w:r>
          </w:p>
        </w:tc>
        <w:tc>
          <w:tcPr>
            <w:tcW w:w="1789" w:type="dxa"/>
            <w:gridSpan w:val="2"/>
          </w:tcPr>
          <w:p w:rsidR="00000000" w:rsidRDefault="00000000">
            <w:pPr>
              <w:jc w:val="center"/>
              <w:rPr>
                <w:b/>
                <w:sz w:val="22"/>
              </w:rPr>
            </w:pPr>
            <w:r>
              <w:rPr>
                <w:b/>
                <w:sz w:val="22"/>
              </w:rPr>
              <w:t>Chefs de Service</w:t>
            </w:r>
          </w:p>
        </w:tc>
        <w:tc>
          <w:tcPr>
            <w:tcW w:w="1790" w:type="dxa"/>
            <w:gridSpan w:val="2"/>
          </w:tcPr>
          <w:p w:rsidR="00000000" w:rsidRDefault="00000000">
            <w:pPr>
              <w:jc w:val="center"/>
              <w:rPr>
                <w:b/>
                <w:sz w:val="22"/>
              </w:rPr>
            </w:pPr>
            <w:r>
              <w:rPr>
                <w:b/>
                <w:sz w:val="22"/>
              </w:rPr>
              <w:t>Chefs de Bureau</w:t>
            </w:r>
          </w:p>
        </w:tc>
      </w:tr>
      <w:tr w:rsidR="00000000">
        <w:tblPrEx>
          <w:tblCellMar>
            <w:top w:w="0" w:type="dxa"/>
            <w:bottom w:w="0" w:type="dxa"/>
          </w:tblCellMar>
        </w:tblPrEx>
        <w:tc>
          <w:tcPr>
            <w:tcW w:w="819" w:type="dxa"/>
          </w:tcPr>
          <w:p w:rsidR="00000000" w:rsidRDefault="00000000">
            <w:pPr>
              <w:jc w:val="center"/>
              <w:rPr>
                <w:b/>
                <w:sz w:val="22"/>
              </w:rPr>
            </w:pPr>
          </w:p>
          <w:p w:rsidR="00000000" w:rsidRDefault="00000000">
            <w:pPr>
              <w:jc w:val="center"/>
              <w:rPr>
                <w:b/>
                <w:sz w:val="22"/>
              </w:rPr>
            </w:pPr>
            <w:r>
              <w:rPr>
                <w:b/>
                <w:sz w:val="22"/>
              </w:rPr>
              <w:t>Sexes</w:t>
            </w:r>
          </w:p>
        </w:tc>
        <w:tc>
          <w:tcPr>
            <w:tcW w:w="894" w:type="dxa"/>
          </w:tcPr>
          <w:p w:rsidR="00000000" w:rsidRDefault="00000000">
            <w:pPr>
              <w:jc w:val="center"/>
              <w:rPr>
                <w:b/>
                <w:sz w:val="22"/>
              </w:rPr>
            </w:pPr>
          </w:p>
          <w:p w:rsidR="00000000" w:rsidRDefault="00000000">
            <w:pPr>
              <w:jc w:val="center"/>
              <w:rPr>
                <w:b/>
                <w:sz w:val="22"/>
              </w:rPr>
            </w:pPr>
            <w:r>
              <w:rPr>
                <w:b/>
                <w:sz w:val="22"/>
              </w:rPr>
              <w:t>H</w:t>
            </w:r>
          </w:p>
        </w:tc>
        <w:tc>
          <w:tcPr>
            <w:tcW w:w="895" w:type="dxa"/>
          </w:tcPr>
          <w:p w:rsidR="00000000" w:rsidRDefault="00000000">
            <w:pPr>
              <w:jc w:val="center"/>
              <w:rPr>
                <w:b/>
                <w:sz w:val="22"/>
              </w:rPr>
            </w:pPr>
          </w:p>
          <w:p w:rsidR="00000000" w:rsidRDefault="00000000">
            <w:pPr>
              <w:jc w:val="center"/>
              <w:rPr>
                <w:b/>
                <w:sz w:val="22"/>
              </w:rPr>
            </w:pPr>
            <w:r>
              <w:rPr>
                <w:b/>
                <w:sz w:val="22"/>
              </w:rPr>
              <w:t>F</w:t>
            </w:r>
          </w:p>
        </w:tc>
        <w:tc>
          <w:tcPr>
            <w:tcW w:w="894" w:type="dxa"/>
          </w:tcPr>
          <w:p w:rsidR="00000000" w:rsidRDefault="00000000">
            <w:pPr>
              <w:jc w:val="center"/>
              <w:rPr>
                <w:b/>
                <w:sz w:val="22"/>
              </w:rPr>
            </w:pPr>
          </w:p>
          <w:p w:rsidR="00000000" w:rsidRDefault="00000000">
            <w:pPr>
              <w:jc w:val="center"/>
              <w:rPr>
                <w:b/>
                <w:sz w:val="22"/>
                <w:lang w:val="en-GB"/>
              </w:rPr>
            </w:pPr>
            <w:r>
              <w:rPr>
                <w:b/>
                <w:sz w:val="22"/>
                <w:lang w:val="en-GB"/>
              </w:rPr>
              <w:t>H</w:t>
            </w:r>
          </w:p>
        </w:tc>
        <w:tc>
          <w:tcPr>
            <w:tcW w:w="895"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95"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94"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95"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94"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95"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95"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r>
      <w:tr w:rsidR="00000000">
        <w:tblPrEx>
          <w:tblCellMar>
            <w:top w:w="0" w:type="dxa"/>
            <w:bottom w:w="0" w:type="dxa"/>
          </w:tblCellMar>
        </w:tblPrEx>
        <w:tc>
          <w:tcPr>
            <w:tcW w:w="819" w:type="dxa"/>
          </w:tcPr>
          <w:p w:rsidR="00000000" w:rsidRDefault="00000000">
            <w:pPr>
              <w:rPr>
                <w:sz w:val="22"/>
                <w:lang w:val="en-GB"/>
              </w:rPr>
            </w:pPr>
          </w:p>
        </w:tc>
        <w:tc>
          <w:tcPr>
            <w:tcW w:w="894" w:type="dxa"/>
          </w:tcPr>
          <w:p w:rsidR="00000000" w:rsidRDefault="00000000">
            <w:pPr>
              <w:rPr>
                <w:sz w:val="22"/>
                <w:lang w:val="en-GB"/>
              </w:rPr>
            </w:pPr>
          </w:p>
          <w:p w:rsidR="00000000" w:rsidRDefault="00000000">
            <w:pPr>
              <w:rPr>
                <w:sz w:val="22"/>
                <w:lang w:val="en-GB"/>
              </w:rPr>
            </w:pPr>
            <w:r>
              <w:rPr>
                <w:sz w:val="22"/>
                <w:lang w:val="en-GB"/>
              </w:rPr>
              <w:t>1</w:t>
            </w:r>
          </w:p>
        </w:tc>
        <w:tc>
          <w:tcPr>
            <w:tcW w:w="895" w:type="dxa"/>
          </w:tcPr>
          <w:p w:rsidR="00000000" w:rsidRDefault="00000000">
            <w:pPr>
              <w:rPr>
                <w:sz w:val="22"/>
                <w:lang w:val="en-GB"/>
              </w:rPr>
            </w:pPr>
          </w:p>
          <w:p w:rsidR="00000000" w:rsidRDefault="00000000">
            <w:pPr>
              <w:rPr>
                <w:sz w:val="22"/>
                <w:lang w:val="en-GB"/>
              </w:rPr>
            </w:pPr>
            <w:r>
              <w:rPr>
                <w:sz w:val="22"/>
                <w:lang w:val="en-GB"/>
              </w:rPr>
              <w:t>0</w:t>
            </w:r>
          </w:p>
        </w:tc>
        <w:tc>
          <w:tcPr>
            <w:tcW w:w="894" w:type="dxa"/>
          </w:tcPr>
          <w:p w:rsidR="00000000" w:rsidRDefault="00000000">
            <w:pPr>
              <w:rPr>
                <w:sz w:val="22"/>
                <w:lang w:val="en-GB"/>
              </w:rPr>
            </w:pPr>
          </w:p>
          <w:p w:rsidR="00000000" w:rsidRDefault="00000000">
            <w:pPr>
              <w:rPr>
                <w:sz w:val="22"/>
                <w:lang w:val="en-GB"/>
              </w:rPr>
            </w:pPr>
            <w:r>
              <w:rPr>
                <w:sz w:val="22"/>
                <w:lang w:val="en-GB"/>
              </w:rPr>
              <w:t>1</w:t>
            </w:r>
          </w:p>
        </w:tc>
        <w:tc>
          <w:tcPr>
            <w:tcW w:w="895" w:type="dxa"/>
          </w:tcPr>
          <w:p w:rsidR="00000000" w:rsidRDefault="00000000">
            <w:pPr>
              <w:rPr>
                <w:sz w:val="22"/>
                <w:lang w:val="en-GB"/>
              </w:rPr>
            </w:pPr>
          </w:p>
          <w:p w:rsidR="00000000" w:rsidRDefault="00000000">
            <w:pPr>
              <w:rPr>
                <w:sz w:val="22"/>
                <w:lang w:val="en-GB"/>
              </w:rPr>
            </w:pPr>
            <w:r>
              <w:rPr>
                <w:sz w:val="22"/>
                <w:lang w:val="en-GB"/>
              </w:rPr>
              <w:t>0</w:t>
            </w:r>
          </w:p>
        </w:tc>
        <w:tc>
          <w:tcPr>
            <w:tcW w:w="895" w:type="dxa"/>
          </w:tcPr>
          <w:p w:rsidR="00000000" w:rsidRDefault="00000000">
            <w:pPr>
              <w:rPr>
                <w:sz w:val="22"/>
                <w:lang w:val="en-GB"/>
              </w:rPr>
            </w:pPr>
          </w:p>
          <w:p w:rsidR="00000000" w:rsidRDefault="00000000">
            <w:pPr>
              <w:rPr>
                <w:sz w:val="22"/>
                <w:lang w:val="en-GB"/>
              </w:rPr>
            </w:pPr>
            <w:r>
              <w:rPr>
                <w:sz w:val="22"/>
                <w:lang w:val="en-GB"/>
              </w:rPr>
              <w:t>10</w:t>
            </w:r>
          </w:p>
        </w:tc>
        <w:tc>
          <w:tcPr>
            <w:tcW w:w="894" w:type="dxa"/>
          </w:tcPr>
          <w:p w:rsidR="00000000" w:rsidRDefault="00000000">
            <w:pPr>
              <w:rPr>
                <w:sz w:val="22"/>
                <w:lang w:val="en-GB"/>
              </w:rPr>
            </w:pPr>
          </w:p>
          <w:p w:rsidR="00000000" w:rsidRDefault="00000000">
            <w:pPr>
              <w:jc w:val="center"/>
              <w:rPr>
                <w:sz w:val="22"/>
                <w:lang w:val="en-GB"/>
              </w:rPr>
            </w:pPr>
            <w:r>
              <w:rPr>
                <w:sz w:val="22"/>
                <w:lang w:val="en-GB"/>
              </w:rPr>
              <w:t>1</w:t>
            </w:r>
          </w:p>
        </w:tc>
        <w:tc>
          <w:tcPr>
            <w:tcW w:w="895" w:type="dxa"/>
          </w:tcPr>
          <w:p w:rsidR="00000000" w:rsidRDefault="00000000">
            <w:pPr>
              <w:rPr>
                <w:sz w:val="22"/>
                <w:lang w:val="en-GB"/>
              </w:rPr>
            </w:pPr>
          </w:p>
          <w:p w:rsidR="00000000" w:rsidRDefault="00000000">
            <w:pPr>
              <w:rPr>
                <w:sz w:val="22"/>
                <w:lang w:val="en-GB"/>
              </w:rPr>
            </w:pPr>
            <w:r>
              <w:rPr>
                <w:sz w:val="22"/>
                <w:lang w:val="en-GB"/>
              </w:rPr>
              <w:t>35</w:t>
            </w:r>
          </w:p>
        </w:tc>
        <w:tc>
          <w:tcPr>
            <w:tcW w:w="894" w:type="dxa"/>
          </w:tcPr>
          <w:p w:rsidR="00000000" w:rsidRDefault="00000000">
            <w:pPr>
              <w:rPr>
                <w:sz w:val="22"/>
                <w:lang w:val="en-GB"/>
              </w:rPr>
            </w:pPr>
          </w:p>
          <w:p w:rsidR="00000000" w:rsidRDefault="00000000">
            <w:pPr>
              <w:rPr>
                <w:sz w:val="22"/>
                <w:lang w:val="en-GB"/>
              </w:rPr>
            </w:pPr>
            <w:r>
              <w:rPr>
                <w:sz w:val="22"/>
                <w:lang w:val="en-GB"/>
              </w:rPr>
              <w:t>3</w:t>
            </w:r>
          </w:p>
        </w:tc>
        <w:tc>
          <w:tcPr>
            <w:tcW w:w="895" w:type="dxa"/>
          </w:tcPr>
          <w:p w:rsidR="00000000" w:rsidRDefault="00000000">
            <w:pPr>
              <w:rPr>
                <w:sz w:val="22"/>
                <w:lang w:val="en-GB"/>
              </w:rPr>
            </w:pPr>
          </w:p>
          <w:p w:rsidR="00000000" w:rsidRDefault="00000000">
            <w:pPr>
              <w:rPr>
                <w:sz w:val="22"/>
                <w:lang w:val="en-GB"/>
              </w:rPr>
            </w:pPr>
            <w:r>
              <w:rPr>
                <w:sz w:val="22"/>
                <w:lang w:val="en-GB"/>
              </w:rPr>
              <w:t>67</w:t>
            </w:r>
          </w:p>
        </w:tc>
        <w:tc>
          <w:tcPr>
            <w:tcW w:w="895" w:type="dxa"/>
          </w:tcPr>
          <w:p w:rsidR="00000000" w:rsidRDefault="00000000">
            <w:pPr>
              <w:rPr>
                <w:sz w:val="22"/>
                <w:lang w:val="en-GB"/>
              </w:rPr>
            </w:pPr>
          </w:p>
          <w:p w:rsidR="00000000" w:rsidRDefault="00000000">
            <w:pPr>
              <w:rPr>
                <w:sz w:val="22"/>
                <w:lang w:val="en-GB"/>
              </w:rPr>
            </w:pPr>
            <w:r>
              <w:rPr>
                <w:sz w:val="22"/>
                <w:lang w:val="en-GB"/>
              </w:rPr>
              <w:t>18</w:t>
            </w:r>
          </w:p>
        </w:tc>
      </w:tr>
    </w:tbl>
    <w:p w:rsidR="00000000" w:rsidRDefault="00000000">
      <w:pPr>
        <w:rPr>
          <w:sz w:val="22"/>
          <w:lang w:val="en-GB"/>
        </w:rPr>
      </w:pPr>
    </w:p>
    <w:p w:rsidR="00000000" w:rsidRDefault="00000000">
      <w:pPr>
        <w:jc w:val="center"/>
        <w:rPr>
          <w:b/>
          <w:u w:val="single"/>
        </w:rPr>
      </w:pPr>
    </w:p>
    <w:p w:rsidR="00000000" w:rsidRDefault="00000000">
      <w:pPr>
        <w:jc w:val="center"/>
        <w:rPr>
          <w:b/>
          <w:sz w:val="22"/>
        </w:rPr>
      </w:pPr>
      <w:r>
        <w:rPr>
          <w:b/>
          <w:u w:val="single"/>
        </w:rPr>
        <w:t>Tableau</w:t>
      </w:r>
      <w:r>
        <w:rPr>
          <w:b/>
        </w:rPr>
        <w:t xml:space="preserve"> n° 18 : </w:t>
      </w:r>
      <w:r>
        <w:rPr>
          <w:b/>
          <w:sz w:val="22"/>
        </w:rPr>
        <w:t>Ministère de la Justice, Période de 1979-2000</w:t>
      </w:r>
    </w:p>
    <w:p w:rsidR="00000000" w:rsidRDefault="00000000">
      <w:pPr>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134"/>
        <w:gridCol w:w="1134"/>
        <w:gridCol w:w="709"/>
        <w:gridCol w:w="708"/>
        <w:gridCol w:w="709"/>
        <w:gridCol w:w="851"/>
        <w:gridCol w:w="708"/>
        <w:gridCol w:w="567"/>
        <w:gridCol w:w="567"/>
        <w:gridCol w:w="1278"/>
      </w:tblGrid>
      <w:tr w:rsidR="00000000">
        <w:tblPrEx>
          <w:tblCellMar>
            <w:top w:w="0" w:type="dxa"/>
            <w:bottom w:w="0" w:type="dxa"/>
          </w:tblCellMar>
        </w:tblPrEx>
        <w:trPr>
          <w:cantSplit/>
        </w:trPr>
        <w:tc>
          <w:tcPr>
            <w:tcW w:w="1418" w:type="dxa"/>
          </w:tcPr>
          <w:p w:rsidR="00000000" w:rsidRDefault="00000000">
            <w:pPr>
              <w:jc w:val="center"/>
              <w:rPr>
                <w:b/>
                <w:sz w:val="22"/>
              </w:rPr>
            </w:pPr>
            <w:r>
              <w:rPr>
                <w:b/>
                <w:sz w:val="22"/>
              </w:rPr>
              <w:t>Années</w:t>
            </w:r>
          </w:p>
        </w:tc>
        <w:tc>
          <w:tcPr>
            <w:tcW w:w="2268" w:type="dxa"/>
            <w:gridSpan w:val="2"/>
          </w:tcPr>
          <w:p w:rsidR="00000000" w:rsidRDefault="00000000">
            <w:pPr>
              <w:jc w:val="center"/>
              <w:rPr>
                <w:b/>
                <w:sz w:val="22"/>
              </w:rPr>
            </w:pPr>
            <w:r>
              <w:rPr>
                <w:b/>
                <w:sz w:val="22"/>
              </w:rPr>
              <w:t>Directeur de Cabinet</w:t>
            </w:r>
          </w:p>
        </w:tc>
        <w:tc>
          <w:tcPr>
            <w:tcW w:w="1417" w:type="dxa"/>
            <w:gridSpan w:val="2"/>
          </w:tcPr>
          <w:p w:rsidR="00000000" w:rsidRDefault="00000000">
            <w:pPr>
              <w:jc w:val="center"/>
              <w:rPr>
                <w:b/>
                <w:sz w:val="22"/>
              </w:rPr>
            </w:pPr>
            <w:r>
              <w:rPr>
                <w:b/>
                <w:sz w:val="22"/>
              </w:rPr>
              <w:t>Directeur Général</w:t>
            </w:r>
          </w:p>
        </w:tc>
        <w:tc>
          <w:tcPr>
            <w:tcW w:w="1560" w:type="dxa"/>
            <w:gridSpan w:val="2"/>
          </w:tcPr>
          <w:p w:rsidR="00000000" w:rsidRDefault="00000000">
            <w:pPr>
              <w:jc w:val="center"/>
              <w:rPr>
                <w:b/>
                <w:sz w:val="22"/>
              </w:rPr>
            </w:pPr>
            <w:r>
              <w:rPr>
                <w:b/>
                <w:sz w:val="22"/>
              </w:rPr>
              <w:t>Directeurs Centraux</w:t>
            </w:r>
          </w:p>
        </w:tc>
        <w:tc>
          <w:tcPr>
            <w:tcW w:w="1275" w:type="dxa"/>
            <w:gridSpan w:val="2"/>
          </w:tcPr>
          <w:p w:rsidR="00000000" w:rsidRDefault="00000000">
            <w:pPr>
              <w:jc w:val="center"/>
              <w:rPr>
                <w:b/>
                <w:sz w:val="22"/>
              </w:rPr>
            </w:pPr>
            <w:r>
              <w:rPr>
                <w:b/>
                <w:sz w:val="22"/>
              </w:rPr>
              <w:t>Chefs de Service</w:t>
            </w:r>
          </w:p>
        </w:tc>
        <w:tc>
          <w:tcPr>
            <w:tcW w:w="1845" w:type="dxa"/>
            <w:gridSpan w:val="2"/>
          </w:tcPr>
          <w:p w:rsidR="00000000" w:rsidRDefault="00000000">
            <w:pPr>
              <w:jc w:val="center"/>
              <w:rPr>
                <w:b/>
                <w:sz w:val="22"/>
              </w:rPr>
            </w:pPr>
            <w:r>
              <w:rPr>
                <w:b/>
                <w:sz w:val="22"/>
              </w:rPr>
              <w:t>Chefs de Bureau</w:t>
            </w:r>
          </w:p>
        </w:tc>
      </w:tr>
      <w:tr w:rsidR="00000000">
        <w:tblPrEx>
          <w:tblCellMar>
            <w:top w:w="0" w:type="dxa"/>
            <w:bottom w:w="0" w:type="dxa"/>
          </w:tblCellMar>
        </w:tblPrEx>
        <w:trPr>
          <w:cantSplit/>
        </w:trPr>
        <w:tc>
          <w:tcPr>
            <w:tcW w:w="1418" w:type="dxa"/>
            <w:vMerge w:val="restart"/>
          </w:tcPr>
          <w:p w:rsidR="00000000" w:rsidRDefault="00000000">
            <w:pPr>
              <w:rPr>
                <w:sz w:val="22"/>
              </w:rPr>
            </w:pPr>
          </w:p>
          <w:p w:rsidR="00000000" w:rsidRDefault="00000000">
            <w:pPr>
              <w:rPr>
                <w:sz w:val="22"/>
                <w:lang w:val="en-GB"/>
              </w:rPr>
            </w:pPr>
            <w:r>
              <w:rPr>
                <w:sz w:val="22"/>
                <w:lang w:val="en-GB"/>
              </w:rPr>
              <w:t>1999-2000</w:t>
            </w:r>
          </w:p>
        </w:tc>
        <w:tc>
          <w:tcPr>
            <w:tcW w:w="1134"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1134"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709"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708"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709"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51"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708"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567"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567"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1278" w:type="dxa"/>
          </w:tcPr>
          <w:p w:rsidR="00000000" w:rsidRDefault="00000000">
            <w:pPr>
              <w:jc w:val="center"/>
              <w:rPr>
                <w:b/>
                <w:sz w:val="22"/>
                <w:lang w:val="en-GB"/>
              </w:rPr>
            </w:pPr>
          </w:p>
          <w:p w:rsidR="00000000" w:rsidRDefault="00000000">
            <w:pPr>
              <w:jc w:val="center"/>
              <w:rPr>
                <w:b/>
                <w:sz w:val="22"/>
              </w:rPr>
            </w:pPr>
            <w:r>
              <w:rPr>
                <w:b/>
                <w:sz w:val="22"/>
              </w:rPr>
              <w:t>F</w:t>
            </w:r>
          </w:p>
        </w:tc>
      </w:tr>
      <w:tr w:rsidR="00000000">
        <w:tblPrEx>
          <w:tblCellMar>
            <w:top w:w="0" w:type="dxa"/>
            <w:bottom w:w="0" w:type="dxa"/>
          </w:tblCellMar>
        </w:tblPrEx>
        <w:trPr>
          <w:cantSplit/>
        </w:trPr>
        <w:tc>
          <w:tcPr>
            <w:tcW w:w="1418" w:type="dxa"/>
            <w:vMerge/>
          </w:tcPr>
          <w:p w:rsidR="00000000" w:rsidRDefault="00000000">
            <w:pPr>
              <w:rPr>
                <w:sz w:val="22"/>
              </w:rPr>
            </w:pPr>
          </w:p>
        </w:tc>
        <w:tc>
          <w:tcPr>
            <w:tcW w:w="1134" w:type="dxa"/>
          </w:tcPr>
          <w:p w:rsidR="00000000" w:rsidRDefault="00000000">
            <w:pPr>
              <w:jc w:val="center"/>
              <w:rPr>
                <w:sz w:val="22"/>
              </w:rPr>
            </w:pPr>
          </w:p>
          <w:p w:rsidR="00000000" w:rsidRDefault="00000000">
            <w:pPr>
              <w:jc w:val="center"/>
              <w:rPr>
                <w:sz w:val="22"/>
              </w:rPr>
            </w:pPr>
            <w:r>
              <w:rPr>
                <w:sz w:val="22"/>
              </w:rPr>
              <w:t>3</w:t>
            </w:r>
          </w:p>
        </w:tc>
        <w:tc>
          <w:tcPr>
            <w:tcW w:w="1134" w:type="dxa"/>
          </w:tcPr>
          <w:p w:rsidR="00000000" w:rsidRDefault="00000000">
            <w:pPr>
              <w:jc w:val="center"/>
              <w:rPr>
                <w:sz w:val="22"/>
              </w:rPr>
            </w:pPr>
          </w:p>
          <w:p w:rsidR="00000000" w:rsidRDefault="00000000">
            <w:pPr>
              <w:jc w:val="center"/>
              <w:rPr>
                <w:sz w:val="22"/>
              </w:rPr>
            </w:pPr>
            <w:r>
              <w:rPr>
                <w:sz w:val="22"/>
              </w:rPr>
              <w:t>1</w:t>
            </w:r>
          </w:p>
        </w:tc>
        <w:tc>
          <w:tcPr>
            <w:tcW w:w="709" w:type="dxa"/>
          </w:tcPr>
          <w:p w:rsidR="00000000" w:rsidRDefault="00000000">
            <w:pPr>
              <w:jc w:val="center"/>
              <w:rPr>
                <w:sz w:val="22"/>
              </w:rPr>
            </w:pPr>
          </w:p>
          <w:p w:rsidR="00000000" w:rsidRDefault="00000000">
            <w:pPr>
              <w:jc w:val="center"/>
              <w:rPr>
                <w:sz w:val="22"/>
              </w:rPr>
            </w:pPr>
            <w:r>
              <w:rPr>
                <w:sz w:val="22"/>
              </w:rPr>
              <w:t>3</w:t>
            </w:r>
          </w:p>
        </w:tc>
        <w:tc>
          <w:tcPr>
            <w:tcW w:w="708" w:type="dxa"/>
          </w:tcPr>
          <w:p w:rsidR="00000000" w:rsidRDefault="00000000">
            <w:pPr>
              <w:jc w:val="center"/>
              <w:rPr>
                <w:sz w:val="22"/>
              </w:rPr>
            </w:pPr>
          </w:p>
          <w:p w:rsidR="00000000" w:rsidRDefault="00000000">
            <w:pPr>
              <w:jc w:val="center"/>
              <w:rPr>
                <w:sz w:val="22"/>
              </w:rPr>
            </w:pPr>
            <w:r>
              <w:rPr>
                <w:sz w:val="22"/>
              </w:rPr>
              <w:t>0</w:t>
            </w:r>
          </w:p>
        </w:tc>
        <w:tc>
          <w:tcPr>
            <w:tcW w:w="709" w:type="dxa"/>
          </w:tcPr>
          <w:p w:rsidR="00000000" w:rsidRDefault="00000000">
            <w:pPr>
              <w:jc w:val="center"/>
              <w:rPr>
                <w:sz w:val="22"/>
              </w:rPr>
            </w:pPr>
          </w:p>
          <w:p w:rsidR="00000000" w:rsidRDefault="00000000">
            <w:pPr>
              <w:jc w:val="center"/>
              <w:rPr>
                <w:sz w:val="22"/>
              </w:rPr>
            </w:pPr>
            <w:r>
              <w:rPr>
                <w:sz w:val="22"/>
              </w:rPr>
              <w:t>4</w:t>
            </w:r>
          </w:p>
        </w:tc>
        <w:tc>
          <w:tcPr>
            <w:tcW w:w="851" w:type="dxa"/>
          </w:tcPr>
          <w:p w:rsidR="00000000" w:rsidRDefault="00000000">
            <w:pPr>
              <w:jc w:val="center"/>
              <w:rPr>
                <w:sz w:val="22"/>
              </w:rPr>
            </w:pPr>
          </w:p>
          <w:p w:rsidR="00000000" w:rsidRDefault="00000000">
            <w:pPr>
              <w:jc w:val="center"/>
              <w:rPr>
                <w:sz w:val="22"/>
              </w:rPr>
            </w:pPr>
            <w:r>
              <w:rPr>
                <w:sz w:val="22"/>
              </w:rPr>
              <w:t>3</w:t>
            </w:r>
          </w:p>
        </w:tc>
        <w:tc>
          <w:tcPr>
            <w:tcW w:w="708" w:type="dxa"/>
          </w:tcPr>
          <w:p w:rsidR="00000000" w:rsidRDefault="00000000">
            <w:pPr>
              <w:jc w:val="center"/>
              <w:rPr>
                <w:sz w:val="22"/>
              </w:rPr>
            </w:pPr>
          </w:p>
          <w:p w:rsidR="00000000" w:rsidRDefault="00000000">
            <w:pPr>
              <w:jc w:val="center"/>
              <w:rPr>
                <w:sz w:val="22"/>
              </w:rPr>
            </w:pPr>
            <w:r>
              <w:rPr>
                <w:sz w:val="22"/>
              </w:rPr>
              <w:t>8</w:t>
            </w:r>
          </w:p>
        </w:tc>
        <w:tc>
          <w:tcPr>
            <w:tcW w:w="567" w:type="dxa"/>
          </w:tcPr>
          <w:p w:rsidR="00000000" w:rsidRDefault="00000000">
            <w:pPr>
              <w:jc w:val="center"/>
              <w:rPr>
                <w:sz w:val="22"/>
              </w:rPr>
            </w:pPr>
          </w:p>
          <w:p w:rsidR="00000000" w:rsidRDefault="00000000">
            <w:pPr>
              <w:jc w:val="center"/>
              <w:rPr>
                <w:sz w:val="22"/>
              </w:rPr>
            </w:pPr>
            <w:r>
              <w:rPr>
                <w:sz w:val="22"/>
              </w:rPr>
              <w:t>7</w:t>
            </w:r>
          </w:p>
        </w:tc>
        <w:tc>
          <w:tcPr>
            <w:tcW w:w="567" w:type="dxa"/>
          </w:tcPr>
          <w:p w:rsidR="00000000" w:rsidRDefault="00000000">
            <w:pPr>
              <w:jc w:val="center"/>
              <w:rPr>
                <w:sz w:val="22"/>
              </w:rPr>
            </w:pPr>
          </w:p>
          <w:p w:rsidR="00000000" w:rsidRDefault="00000000">
            <w:pPr>
              <w:jc w:val="center"/>
              <w:rPr>
                <w:sz w:val="22"/>
              </w:rPr>
            </w:pPr>
            <w:r>
              <w:rPr>
                <w:sz w:val="22"/>
              </w:rPr>
              <w:t>17</w:t>
            </w:r>
          </w:p>
        </w:tc>
        <w:tc>
          <w:tcPr>
            <w:tcW w:w="1278" w:type="dxa"/>
          </w:tcPr>
          <w:p w:rsidR="00000000" w:rsidRDefault="00000000">
            <w:pPr>
              <w:jc w:val="center"/>
              <w:rPr>
                <w:sz w:val="22"/>
              </w:rPr>
            </w:pPr>
          </w:p>
          <w:p w:rsidR="00000000" w:rsidRDefault="00000000">
            <w:pPr>
              <w:jc w:val="center"/>
              <w:rPr>
                <w:sz w:val="22"/>
              </w:rPr>
            </w:pPr>
            <w:r>
              <w:rPr>
                <w:sz w:val="22"/>
              </w:rPr>
              <w:t>7</w:t>
            </w:r>
          </w:p>
        </w:tc>
      </w:tr>
    </w:tbl>
    <w:p w:rsidR="00000000" w:rsidRDefault="00000000">
      <w:pPr>
        <w:rPr>
          <w:sz w:val="22"/>
        </w:rPr>
      </w:pPr>
    </w:p>
    <w:p w:rsidR="00000000" w:rsidRDefault="00000000">
      <w:pPr>
        <w:rPr>
          <w:sz w:val="22"/>
        </w:rPr>
      </w:pPr>
    </w:p>
    <w:p w:rsidR="00000000" w:rsidRDefault="00000000">
      <w:pPr>
        <w:ind w:left="708" w:firstLine="708"/>
        <w:jc w:val="center"/>
        <w:rPr>
          <w:b/>
          <w:sz w:val="22"/>
        </w:rPr>
      </w:pPr>
      <w:r>
        <w:rPr>
          <w:b/>
          <w:u w:val="single"/>
        </w:rPr>
        <w:t>Tableau</w:t>
      </w:r>
      <w:r>
        <w:rPr>
          <w:b/>
        </w:rPr>
        <w:t xml:space="preserve"> n° 19 : </w:t>
      </w:r>
      <w:r>
        <w:rPr>
          <w:b/>
          <w:sz w:val="22"/>
        </w:rPr>
        <w:t>Ministère de l’Enseignement Primaire, Secondaire et Supérieur Période de 1979-2000</w:t>
      </w:r>
    </w:p>
    <w:p w:rsidR="00000000" w:rsidRDefault="00000000">
      <w:pPr>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04"/>
        <w:gridCol w:w="837"/>
        <w:gridCol w:w="838"/>
        <w:gridCol w:w="838"/>
        <w:gridCol w:w="838"/>
        <w:gridCol w:w="838"/>
        <w:gridCol w:w="838"/>
        <w:gridCol w:w="838"/>
        <w:gridCol w:w="838"/>
        <w:gridCol w:w="838"/>
        <w:gridCol w:w="838"/>
      </w:tblGrid>
      <w:tr w:rsidR="00000000">
        <w:tblPrEx>
          <w:tblCellMar>
            <w:top w:w="0" w:type="dxa"/>
            <w:bottom w:w="0" w:type="dxa"/>
          </w:tblCellMar>
        </w:tblPrEx>
        <w:trPr>
          <w:cantSplit/>
        </w:trPr>
        <w:tc>
          <w:tcPr>
            <w:tcW w:w="1404" w:type="dxa"/>
          </w:tcPr>
          <w:p w:rsidR="00000000" w:rsidRDefault="00000000">
            <w:pPr>
              <w:jc w:val="center"/>
              <w:rPr>
                <w:b/>
                <w:sz w:val="22"/>
              </w:rPr>
            </w:pPr>
            <w:r>
              <w:rPr>
                <w:b/>
                <w:sz w:val="22"/>
              </w:rPr>
              <w:t>Années</w:t>
            </w:r>
          </w:p>
        </w:tc>
        <w:tc>
          <w:tcPr>
            <w:tcW w:w="1675" w:type="dxa"/>
            <w:gridSpan w:val="2"/>
          </w:tcPr>
          <w:p w:rsidR="00000000" w:rsidRDefault="00000000">
            <w:pPr>
              <w:jc w:val="center"/>
              <w:rPr>
                <w:b/>
                <w:sz w:val="22"/>
              </w:rPr>
            </w:pPr>
            <w:r>
              <w:rPr>
                <w:b/>
                <w:sz w:val="22"/>
              </w:rPr>
              <w:t>Directeur de Cabinet</w:t>
            </w:r>
          </w:p>
        </w:tc>
        <w:tc>
          <w:tcPr>
            <w:tcW w:w="1676" w:type="dxa"/>
            <w:gridSpan w:val="2"/>
          </w:tcPr>
          <w:p w:rsidR="00000000" w:rsidRDefault="00000000">
            <w:pPr>
              <w:jc w:val="center"/>
              <w:rPr>
                <w:b/>
                <w:sz w:val="22"/>
              </w:rPr>
            </w:pPr>
            <w:r>
              <w:rPr>
                <w:b/>
                <w:sz w:val="22"/>
              </w:rPr>
              <w:t>Directeur Général</w:t>
            </w:r>
          </w:p>
        </w:tc>
        <w:tc>
          <w:tcPr>
            <w:tcW w:w="1676" w:type="dxa"/>
            <w:gridSpan w:val="2"/>
          </w:tcPr>
          <w:p w:rsidR="00000000" w:rsidRDefault="00000000">
            <w:pPr>
              <w:jc w:val="center"/>
              <w:rPr>
                <w:b/>
                <w:sz w:val="22"/>
              </w:rPr>
            </w:pPr>
            <w:r>
              <w:rPr>
                <w:b/>
                <w:sz w:val="22"/>
              </w:rPr>
              <w:t>Directeurs Centraux</w:t>
            </w:r>
          </w:p>
        </w:tc>
        <w:tc>
          <w:tcPr>
            <w:tcW w:w="1676" w:type="dxa"/>
            <w:gridSpan w:val="2"/>
          </w:tcPr>
          <w:p w:rsidR="00000000" w:rsidRDefault="00000000">
            <w:pPr>
              <w:jc w:val="center"/>
              <w:rPr>
                <w:b/>
                <w:sz w:val="22"/>
              </w:rPr>
            </w:pPr>
            <w:r>
              <w:rPr>
                <w:b/>
                <w:sz w:val="22"/>
              </w:rPr>
              <w:t>Chefs de Service</w:t>
            </w:r>
          </w:p>
        </w:tc>
        <w:tc>
          <w:tcPr>
            <w:tcW w:w="1676" w:type="dxa"/>
            <w:gridSpan w:val="2"/>
          </w:tcPr>
          <w:p w:rsidR="00000000" w:rsidRDefault="00000000">
            <w:pPr>
              <w:jc w:val="center"/>
              <w:rPr>
                <w:b/>
                <w:sz w:val="22"/>
              </w:rPr>
            </w:pPr>
            <w:r>
              <w:rPr>
                <w:b/>
                <w:sz w:val="22"/>
              </w:rPr>
              <w:t>Chefs de Bureau</w:t>
            </w:r>
          </w:p>
        </w:tc>
      </w:tr>
      <w:tr w:rsidR="00000000">
        <w:tblPrEx>
          <w:tblCellMar>
            <w:top w:w="0" w:type="dxa"/>
            <w:bottom w:w="0" w:type="dxa"/>
          </w:tblCellMar>
        </w:tblPrEx>
        <w:trPr>
          <w:cantSplit/>
        </w:trPr>
        <w:tc>
          <w:tcPr>
            <w:tcW w:w="1404" w:type="dxa"/>
            <w:vMerge w:val="restart"/>
          </w:tcPr>
          <w:p w:rsidR="00000000" w:rsidRDefault="00000000">
            <w:pPr>
              <w:rPr>
                <w:sz w:val="22"/>
              </w:rPr>
            </w:pPr>
          </w:p>
          <w:p w:rsidR="00000000" w:rsidRDefault="00000000">
            <w:pPr>
              <w:rPr>
                <w:sz w:val="22"/>
                <w:lang w:val="en-GB"/>
              </w:rPr>
            </w:pPr>
            <w:r>
              <w:rPr>
                <w:sz w:val="22"/>
                <w:lang w:val="en-GB"/>
              </w:rPr>
              <w:t>1997-2000</w:t>
            </w:r>
          </w:p>
        </w:tc>
        <w:tc>
          <w:tcPr>
            <w:tcW w:w="837"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38"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38"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38"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38"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38"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38"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38"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38"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38" w:type="dxa"/>
          </w:tcPr>
          <w:p w:rsidR="00000000" w:rsidRDefault="00000000">
            <w:pPr>
              <w:jc w:val="center"/>
              <w:rPr>
                <w:b/>
                <w:sz w:val="22"/>
                <w:lang w:val="en-GB"/>
              </w:rPr>
            </w:pPr>
          </w:p>
          <w:p w:rsidR="00000000" w:rsidRDefault="00000000">
            <w:pPr>
              <w:jc w:val="center"/>
              <w:rPr>
                <w:b/>
                <w:sz w:val="22"/>
              </w:rPr>
            </w:pPr>
            <w:r>
              <w:rPr>
                <w:b/>
                <w:sz w:val="22"/>
              </w:rPr>
              <w:t>F</w:t>
            </w:r>
          </w:p>
        </w:tc>
      </w:tr>
      <w:tr w:rsidR="00000000">
        <w:tblPrEx>
          <w:tblCellMar>
            <w:top w:w="0" w:type="dxa"/>
            <w:bottom w:w="0" w:type="dxa"/>
          </w:tblCellMar>
        </w:tblPrEx>
        <w:trPr>
          <w:cantSplit/>
        </w:trPr>
        <w:tc>
          <w:tcPr>
            <w:tcW w:w="1404" w:type="dxa"/>
            <w:vMerge/>
          </w:tcPr>
          <w:p w:rsidR="00000000" w:rsidRDefault="00000000">
            <w:pPr>
              <w:jc w:val="center"/>
              <w:rPr>
                <w:sz w:val="22"/>
              </w:rPr>
            </w:pPr>
          </w:p>
        </w:tc>
        <w:tc>
          <w:tcPr>
            <w:tcW w:w="837" w:type="dxa"/>
          </w:tcPr>
          <w:p w:rsidR="00000000" w:rsidRDefault="00000000">
            <w:pPr>
              <w:jc w:val="center"/>
              <w:rPr>
                <w:sz w:val="22"/>
              </w:rPr>
            </w:pPr>
            <w:r>
              <w:rPr>
                <w:sz w:val="22"/>
              </w:rPr>
              <w:t>2</w:t>
            </w:r>
          </w:p>
        </w:tc>
        <w:tc>
          <w:tcPr>
            <w:tcW w:w="838" w:type="dxa"/>
          </w:tcPr>
          <w:p w:rsidR="00000000" w:rsidRDefault="00000000">
            <w:pPr>
              <w:jc w:val="center"/>
              <w:rPr>
                <w:sz w:val="22"/>
              </w:rPr>
            </w:pPr>
            <w:r>
              <w:rPr>
                <w:sz w:val="22"/>
              </w:rPr>
              <w:t>0</w:t>
            </w:r>
          </w:p>
        </w:tc>
        <w:tc>
          <w:tcPr>
            <w:tcW w:w="838" w:type="dxa"/>
          </w:tcPr>
          <w:p w:rsidR="00000000" w:rsidRDefault="00000000">
            <w:pPr>
              <w:jc w:val="center"/>
              <w:rPr>
                <w:sz w:val="22"/>
              </w:rPr>
            </w:pPr>
            <w:r>
              <w:rPr>
                <w:sz w:val="22"/>
              </w:rPr>
              <w:t>2</w:t>
            </w:r>
          </w:p>
        </w:tc>
        <w:tc>
          <w:tcPr>
            <w:tcW w:w="838" w:type="dxa"/>
          </w:tcPr>
          <w:p w:rsidR="00000000" w:rsidRDefault="00000000">
            <w:pPr>
              <w:jc w:val="center"/>
              <w:rPr>
                <w:sz w:val="22"/>
              </w:rPr>
            </w:pPr>
            <w:r>
              <w:rPr>
                <w:sz w:val="22"/>
              </w:rPr>
              <w:t>1</w:t>
            </w:r>
          </w:p>
        </w:tc>
        <w:tc>
          <w:tcPr>
            <w:tcW w:w="838" w:type="dxa"/>
          </w:tcPr>
          <w:p w:rsidR="00000000" w:rsidRDefault="00000000">
            <w:pPr>
              <w:jc w:val="center"/>
              <w:rPr>
                <w:sz w:val="22"/>
              </w:rPr>
            </w:pPr>
            <w:r>
              <w:rPr>
                <w:sz w:val="22"/>
              </w:rPr>
              <w:t>3</w:t>
            </w:r>
          </w:p>
        </w:tc>
        <w:tc>
          <w:tcPr>
            <w:tcW w:w="838" w:type="dxa"/>
          </w:tcPr>
          <w:p w:rsidR="00000000" w:rsidRDefault="00000000">
            <w:pPr>
              <w:jc w:val="center"/>
              <w:rPr>
                <w:sz w:val="22"/>
              </w:rPr>
            </w:pPr>
            <w:r>
              <w:rPr>
                <w:sz w:val="22"/>
              </w:rPr>
              <w:t>0</w:t>
            </w:r>
          </w:p>
        </w:tc>
        <w:tc>
          <w:tcPr>
            <w:tcW w:w="838" w:type="dxa"/>
          </w:tcPr>
          <w:p w:rsidR="00000000" w:rsidRDefault="00000000">
            <w:pPr>
              <w:jc w:val="center"/>
              <w:rPr>
                <w:sz w:val="22"/>
              </w:rPr>
            </w:pPr>
            <w:r>
              <w:rPr>
                <w:sz w:val="22"/>
              </w:rPr>
              <w:t>3</w:t>
            </w:r>
          </w:p>
        </w:tc>
        <w:tc>
          <w:tcPr>
            <w:tcW w:w="838" w:type="dxa"/>
          </w:tcPr>
          <w:p w:rsidR="00000000" w:rsidRDefault="00000000">
            <w:pPr>
              <w:jc w:val="center"/>
              <w:rPr>
                <w:sz w:val="22"/>
              </w:rPr>
            </w:pPr>
            <w:r>
              <w:rPr>
                <w:sz w:val="22"/>
              </w:rPr>
              <w:t>0</w:t>
            </w:r>
          </w:p>
        </w:tc>
        <w:tc>
          <w:tcPr>
            <w:tcW w:w="838" w:type="dxa"/>
          </w:tcPr>
          <w:p w:rsidR="00000000" w:rsidRDefault="00000000">
            <w:pPr>
              <w:jc w:val="center"/>
              <w:rPr>
                <w:sz w:val="22"/>
              </w:rPr>
            </w:pPr>
            <w:r>
              <w:rPr>
                <w:sz w:val="22"/>
              </w:rPr>
              <w:t>4</w:t>
            </w:r>
          </w:p>
        </w:tc>
        <w:tc>
          <w:tcPr>
            <w:tcW w:w="838" w:type="dxa"/>
          </w:tcPr>
          <w:p w:rsidR="00000000" w:rsidRDefault="00000000">
            <w:pPr>
              <w:jc w:val="center"/>
              <w:rPr>
                <w:sz w:val="22"/>
              </w:rPr>
            </w:pPr>
            <w:r>
              <w:rPr>
                <w:sz w:val="22"/>
              </w:rPr>
              <w:t>2</w:t>
            </w:r>
          </w:p>
        </w:tc>
      </w:tr>
    </w:tbl>
    <w:p w:rsidR="00000000" w:rsidRDefault="00000000">
      <w:pPr>
        <w:pStyle w:val="BodyText2"/>
        <w:jc w:val="center"/>
      </w:pPr>
    </w:p>
    <w:p w:rsidR="00000000" w:rsidRDefault="00000000">
      <w:pPr>
        <w:ind w:left="12" w:firstLine="708"/>
        <w:rPr>
          <w:sz w:val="22"/>
        </w:rPr>
      </w:pPr>
      <w:r>
        <w:rPr>
          <w:b/>
          <w:u w:val="single"/>
        </w:rPr>
        <w:br w:type="page"/>
        <w:t>Tableau</w:t>
      </w:r>
      <w:r>
        <w:rPr>
          <w:b/>
        </w:rPr>
        <w:t xml:space="preserve"> n° 20 : </w:t>
      </w:r>
      <w:r>
        <w:rPr>
          <w:b/>
          <w:sz w:val="22"/>
        </w:rPr>
        <w:t xml:space="preserve">Ministère de l’Energie et Hydraulique, </w:t>
      </w:r>
      <w:r>
        <w:rPr>
          <w:b/>
          <w:bCs/>
          <w:sz w:val="22"/>
        </w:rPr>
        <w:t>Période de 1979 à 2000</w:t>
      </w:r>
    </w:p>
    <w:p w:rsidR="00000000" w:rsidRDefault="00000000">
      <w:pPr>
        <w:jc w:val="center"/>
        <w:rPr>
          <w:b/>
          <w:sz w:val="22"/>
          <w:u w:val="single"/>
        </w:rPr>
      </w:pPr>
    </w:p>
    <w:p w:rsidR="00000000" w:rsidRDefault="00000000">
      <w:pPr>
        <w:numPr>
          <w:ilvl w:val="0"/>
          <w:numId w:val="189"/>
        </w:numPr>
        <w:rPr>
          <w:b/>
          <w:sz w:val="22"/>
          <w:u w:val="single"/>
        </w:rPr>
      </w:pPr>
      <w:r>
        <w:rPr>
          <w:b/>
          <w:sz w:val="22"/>
          <w:u w:val="single"/>
        </w:rPr>
        <w:t>Direction de l’hydraulique</w:t>
      </w:r>
    </w:p>
    <w:p w:rsidR="00000000" w:rsidRDefault="00000000">
      <w:pPr>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870"/>
        <w:gridCol w:w="870"/>
        <w:gridCol w:w="870"/>
        <w:gridCol w:w="871"/>
        <w:gridCol w:w="870"/>
        <w:gridCol w:w="870"/>
        <w:gridCol w:w="871"/>
        <w:gridCol w:w="870"/>
        <w:gridCol w:w="870"/>
        <w:gridCol w:w="871"/>
      </w:tblGrid>
      <w:tr w:rsidR="00000000">
        <w:tblPrEx>
          <w:tblCellMar>
            <w:top w:w="0" w:type="dxa"/>
            <w:bottom w:w="0" w:type="dxa"/>
          </w:tblCellMar>
        </w:tblPrEx>
        <w:trPr>
          <w:cantSplit/>
        </w:trPr>
        <w:tc>
          <w:tcPr>
            <w:tcW w:w="1080" w:type="dxa"/>
          </w:tcPr>
          <w:p w:rsidR="00000000" w:rsidRDefault="00000000">
            <w:pPr>
              <w:rPr>
                <w:sz w:val="22"/>
              </w:rPr>
            </w:pPr>
          </w:p>
        </w:tc>
        <w:tc>
          <w:tcPr>
            <w:tcW w:w="1740" w:type="dxa"/>
            <w:gridSpan w:val="2"/>
          </w:tcPr>
          <w:p w:rsidR="00000000" w:rsidRDefault="00000000">
            <w:pPr>
              <w:jc w:val="center"/>
              <w:rPr>
                <w:b/>
                <w:sz w:val="22"/>
              </w:rPr>
            </w:pPr>
            <w:r>
              <w:rPr>
                <w:b/>
                <w:sz w:val="22"/>
              </w:rPr>
              <w:t>Directeur de Cabinet</w:t>
            </w:r>
          </w:p>
          <w:p w:rsidR="00000000" w:rsidRDefault="00000000">
            <w:pPr>
              <w:rPr>
                <w:b/>
                <w:sz w:val="22"/>
              </w:rPr>
            </w:pPr>
          </w:p>
        </w:tc>
        <w:tc>
          <w:tcPr>
            <w:tcW w:w="1741" w:type="dxa"/>
            <w:gridSpan w:val="2"/>
          </w:tcPr>
          <w:p w:rsidR="00000000" w:rsidRDefault="00000000">
            <w:pPr>
              <w:jc w:val="center"/>
              <w:rPr>
                <w:b/>
                <w:sz w:val="22"/>
              </w:rPr>
            </w:pPr>
            <w:r>
              <w:rPr>
                <w:b/>
                <w:sz w:val="22"/>
              </w:rPr>
              <w:t>Directeur Général</w:t>
            </w:r>
          </w:p>
        </w:tc>
        <w:tc>
          <w:tcPr>
            <w:tcW w:w="1740" w:type="dxa"/>
            <w:gridSpan w:val="2"/>
          </w:tcPr>
          <w:p w:rsidR="00000000" w:rsidRDefault="00000000">
            <w:pPr>
              <w:jc w:val="center"/>
              <w:rPr>
                <w:b/>
                <w:sz w:val="22"/>
              </w:rPr>
            </w:pPr>
            <w:r>
              <w:rPr>
                <w:b/>
                <w:sz w:val="22"/>
              </w:rPr>
              <w:t>Directeurs Centraux</w:t>
            </w:r>
          </w:p>
        </w:tc>
        <w:tc>
          <w:tcPr>
            <w:tcW w:w="1741" w:type="dxa"/>
            <w:gridSpan w:val="2"/>
          </w:tcPr>
          <w:p w:rsidR="00000000" w:rsidRDefault="00000000">
            <w:pPr>
              <w:jc w:val="center"/>
              <w:rPr>
                <w:b/>
                <w:sz w:val="22"/>
              </w:rPr>
            </w:pPr>
            <w:r>
              <w:rPr>
                <w:b/>
                <w:sz w:val="22"/>
              </w:rPr>
              <w:t>Chefs de Service</w:t>
            </w:r>
          </w:p>
        </w:tc>
        <w:tc>
          <w:tcPr>
            <w:tcW w:w="1741" w:type="dxa"/>
            <w:gridSpan w:val="2"/>
          </w:tcPr>
          <w:p w:rsidR="00000000" w:rsidRDefault="00000000">
            <w:pPr>
              <w:jc w:val="center"/>
              <w:rPr>
                <w:b/>
                <w:sz w:val="22"/>
              </w:rPr>
            </w:pPr>
            <w:r>
              <w:rPr>
                <w:b/>
                <w:sz w:val="22"/>
              </w:rPr>
              <w:t>Chefs de Bureau</w:t>
            </w:r>
          </w:p>
        </w:tc>
      </w:tr>
      <w:tr w:rsidR="00000000">
        <w:tblPrEx>
          <w:tblCellMar>
            <w:top w:w="0" w:type="dxa"/>
            <w:bottom w:w="0" w:type="dxa"/>
          </w:tblCellMar>
        </w:tblPrEx>
        <w:tc>
          <w:tcPr>
            <w:tcW w:w="1080" w:type="dxa"/>
          </w:tcPr>
          <w:p w:rsidR="00000000" w:rsidRDefault="00000000">
            <w:pPr>
              <w:rPr>
                <w:b/>
                <w:sz w:val="22"/>
              </w:rPr>
            </w:pPr>
          </w:p>
          <w:p w:rsidR="00000000" w:rsidRDefault="00000000">
            <w:pPr>
              <w:rPr>
                <w:b/>
                <w:sz w:val="22"/>
              </w:rPr>
            </w:pPr>
            <w:r>
              <w:rPr>
                <w:b/>
                <w:sz w:val="22"/>
              </w:rPr>
              <w:t>Année</w:t>
            </w:r>
          </w:p>
        </w:tc>
        <w:tc>
          <w:tcPr>
            <w:tcW w:w="870" w:type="dxa"/>
          </w:tcPr>
          <w:p w:rsidR="00000000" w:rsidRDefault="00000000">
            <w:pPr>
              <w:jc w:val="center"/>
              <w:rPr>
                <w:b/>
                <w:sz w:val="22"/>
              </w:rPr>
            </w:pPr>
          </w:p>
          <w:p w:rsidR="00000000" w:rsidRDefault="00000000">
            <w:pPr>
              <w:jc w:val="center"/>
              <w:rPr>
                <w:b/>
                <w:sz w:val="22"/>
              </w:rPr>
            </w:pPr>
            <w:r>
              <w:rPr>
                <w:b/>
                <w:sz w:val="22"/>
              </w:rPr>
              <w:t>H</w:t>
            </w:r>
          </w:p>
        </w:tc>
        <w:tc>
          <w:tcPr>
            <w:tcW w:w="870" w:type="dxa"/>
          </w:tcPr>
          <w:p w:rsidR="00000000" w:rsidRDefault="00000000">
            <w:pPr>
              <w:jc w:val="center"/>
              <w:rPr>
                <w:b/>
                <w:sz w:val="22"/>
              </w:rPr>
            </w:pPr>
          </w:p>
          <w:p w:rsidR="00000000" w:rsidRDefault="00000000">
            <w:pPr>
              <w:jc w:val="center"/>
              <w:rPr>
                <w:b/>
                <w:sz w:val="22"/>
              </w:rPr>
            </w:pPr>
            <w:r>
              <w:rPr>
                <w:b/>
                <w:sz w:val="22"/>
              </w:rPr>
              <w:t>F</w:t>
            </w:r>
          </w:p>
        </w:tc>
        <w:tc>
          <w:tcPr>
            <w:tcW w:w="870" w:type="dxa"/>
          </w:tcPr>
          <w:p w:rsidR="00000000" w:rsidRDefault="00000000">
            <w:pPr>
              <w:jc w:val="center"/>
              <w:rPr>
                <w:b/>
                <w:sz w:val="22"/>
              </w:rPr>
            </w:pPr>
          </w:p>
          <w:p w:rsidR="00000000" w:rsidRDefault="00000000">
            <w:pPr>
              <w:jc w:val="center"/>
              <w:rPr>
                <w:b/>
                <w:sz w:val="22"/>
                <w:lang w:val="en-GB"/>
              </w:rPr>
            </w:pPr>
            <w:r>
              <w:rPr>
                <w:b/>
                <w:sz w:val="22"/>
                <w:lang w:val="en-GB"/>
              </w:rPr>
              <w:t>H</w:t>
            </w:r>
          </w:p>
        </w:tc>
        <w:tc>
          <w:tcPr>
            <w:tcW w:w="871"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70"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70"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71"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70"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70" w:type="dxa"/>
          </w:tcPr>
          <w:p w:rsidR="00000000" w:rsidRDefault="00000000">
            <w:pPr>
              <w:jc w:val="center"/>
              <w:rPr>
                <w:b/>
                <w:sz w:val="22"/>
                <w:lang w:val="en-GB"/>
              </w:rPr>
            </w:pPr>
          </w:p>
          <w:p w:rsidR="00000000" w:rsidRDefault="00000000">
            <w:pPr>
              <w:jc w:val="center"/>
              <w:rPr>
                <w:b/>
                <w:sz w:val="22"/>
              </w:rPr>
            </w:pPr>
            <w:r>
              <w:rPr>
                <w:b/>
                <w:sz w:val="22"/>
              </w:rPr>
              <w:t>H</w:t>
            </w:r>
          </w:p>
        </w:tc>
        <w:tc>
          <w:tcPr>
            <w:tcW w:w="871" w:type="dxa"/>
          </w:tcPr>
          <w:p w:rsidR="00000000" w:rsidRDefault="00000000">
            <w:pPr>
              <w:jc w:val="center"/>
              <w:rPr>
                <w:b/>
                <w:sz w:val="22"/>
              </w:rPr>
            </w:pPr>
          </w:p>
          <w:p w:rsidR="00000000" w:rsidRDefault="00000000">
            <w:pPr>
              <w:jc w:val="center"/>
              <w:rPr>
                <w:b/>
                <w:sz w:val="22"/>
              </w:rPr>
            </w:pPr>
            <w:r>
              <w:rPr>
                <w:b/>
                <w:sz w:val="22"/>
              </w:rPr>
              <w:t>F</w:t>
            </w:r>
          </w:p>
        </w:tc>
      </w:tr>
      <w:tr w:rsidR="00000000">
        <w:tblPrEx>
          <w:tblCellMar>
            <w:top w:w="0" w:type="dxa"/>
            <w:bottom w:w="0" w:type="dxa"/>
          </w:tblCellMar>
        </w:tblPrEx>
        <w:tc>
          <w:tcPr>
            <w:tcW w:w="1080" w:type="dxa"/>
          </w:tcPr>
          <w:p w:rsidR="00000000" w:rsidRDefault="00000000">
            <w:pPr>
              <w:rPr>
                <w:sz w:val="22"/>
              </w:rPr>
            </w:pPr>
            <w:r>
              <w:rPr>
                <w:sz w:val="22"/>
              </w:rPr>
              <w:t xml:space="preserve">2000 </w:t>
            </w:r>
          </w:p>
        </w:tc>
        <w:tc>
          <w:tcPr>
            <w:tcW w:w="870" w:type="dxa"/>
          </w:tcPr>
          <w:p w:rsidR="00000000" w:rsidRDefault="00000000">
            <w:pPr>
              <w:jc w:val="center"/>
              <w:rPr>
                <w:sz w:val="22"/>
              </w:rPr>
            </w:pPr>
            <w:r>
              <w:rPr>
                <w:sz w:val="22"/>
              </w:rPr>
              <w:t>1</w:t>
            </w:r>
          </w:p>
        </w:tc>
        <w:tc>
          <w:tcPr>
            <w:tcW w:w="870" w:type="dxa"/>
          </w:tcPr>
          <w:p w:rsidR="00000000" w:rsidRDefault="00000000">
            <w:pPr>
              <w:jc w:val="center"/>
              <w:rPr>
                <w:sz w:val="22"/>
              </w:rPr>
            </w:pPr>
            <w:r>
              <w:rPr>
                <w:sz w:val="22"/>
              </w:rPr>
              <w:t>0</w:t>
            </w:r>
          </w:p>
        </w:tc>
        <w:tc>
          <w:tcPr>
            <w:tcW w:w="870" w:type="dxa"/>
          </w:tcPr>
          <w:p w:rsidR="00000000" w:rsidRDefault="00000000">
            <w:pPr>
              <w:jc w:val="center"/>
              <w:rPr>
                <w:sz w:val="22"/>
              </w:rPr>
            </w:pPr>
            <w:r>
              <w:rPr>
                <w:sz w:val="22"/>
              </w:rPr>
              <w:t>1</w:t>
            </w:r>
          </w:p>
        </w:tc>
        <w:tc>
          <w:tcPr>
            <w:tcW w:w="871" w:type="dxa"/>
          </w:tcPr>
          <w:p w:rsidR="00000000" w:rsidRDefault="00000000">
            <w:pPr>
              <w:jc w:val="center"/>
              <w:rPr>
                <w:sz w:val="22"/>
              </w:rPr>
            </w:pPr>
            <w:r>
              <w:rPr>
                <w:sz w:val="22"/>
              </w:rPr>
              <w:t>0</w:t>
            </w:r>
          </w:p>
        </w:tc>
        <w:tc>
          <w:tcPr>
            <w:tcW w:w="870" w:type="dxa"/>
          </w:tcPr>
          <w:p w:rsidR="00000000" w:rsidRDefault="00000000">
            <w:pPr>
              <w:jc w:val="center"/>
              <w:rPr>
                <w:sz w:val="22"/>
              </w:rPr>
            </w:pPr>
            <w:r>
              <w:rPr>
                <w:sz w:val="22"/>
              </w:rPr>
              <w:t>3</w:t>
            </w:r>
          </w:p>
        </w:tc>
        <w:tc>
          <w:tcPr>
            <w:tcW w:w="870" w:type="dxa"/>
          </w:tcPr>
          <w:p w:rsidR="00000000" w:rsidRDefault="00000000">
            <w:pPr>
              <w:jc w:val="center"/>
              <w:rPr>
                <w:sz w:val="22"/>
              </w:rPr>
            </w:pPr>
            <w:r>
              <w:rPr>
                <w:sz w:val="22"/>
              </w:rPr>
              <w:t>0</w:t>
            </w:r>
          </w:p>
        </w:tc>
        <w:tc>
          <w:tcPr>
            <w:tcW w:w="871" w:type="dxa"/>
          </w:tcPr>
          <w:p w:rsidR="00000000" w:rsidRDefault="00000000">
            <w:pPr>
              <w:jc w:val="center"/>
              <w:rPr>
                <w:sz w:val="22"/>
              </w:rPr>
            </w:pPr>
            <w:r>
              <w:rPr>
                <w:sz w:val="22"/>
              </w:rPr>
              <w:t>8</w:t>
            </w:r>
          </w:p>
        </w:tc>
        <w:tc>
          <w:tcPr>
            <w:tcW w:w="870" w:type="dxa"/>
          </w:tcPr>
          <w:p w:rsidR="00000000" w:rsidRDefault="00000000">
            <w:pPr>
              <w:jc w:val="center"/>
              <w:rPr>
                <w:sz w:val="22"/>
              </w:rPr>
            </w:pPr>
            <w:r>
              <w:rPr>
                <w:sz w:val="22"/>
              </w:rPr>
              <w:t>2</w:t>
            </w:r>
          </w:p>
        </w:tc>
        <w:tc>
          <w:tcPr>
            <w:tcW w:w="870" w:type="dxa"/>
          </w:tcPr>
          <w:p w:rsidR="00000000" w:rsidRDefault="00000000">
            <w:pPr>
              <w:jc w:val="center"/>
              <w:rPr>
                <w:sz w:val="22"/>
              </w:rPr>
            </w:pPr>
            <w:r>
              <w:rPr>
                <w:sz w:val="22"/>
              </w:rPr>
              <w:t>3</w:t>
            </w:r>
          </w:p>
        </w:tc>
        <w:tc>
          <w:tcPr>
            <w:tcW w:w="871" w:type="dxa"/>
          </w:tcPr>
          <w:p w:rsidR="00000000" w:rsidRDefault="00000000">
            <w:pPr>
              <w:jc w:val="center"/>
              <w:rPr>
                <w:sz w:val="22"/>
              </w:rPr>
            </w:pPr>
            <w:r>
              <w:rPr>
                <w:sz w:val="22"/>
              </w:rPr>
              <w:t>0</w:t>
            </w:r>
          </w:p>
        </w:tc>
      </w:tr>
    </w:tbl>
    <w:p w:rsidR="00000000" w:rsidRDefault="00000000">
      <w:pPr>
        <w:rPr>
          <w:sz w:val="22"/>
        </w:rPr>
      </w:pPr>
      <w:r>
        <w:rPr>
          <w:sz w:val="22"/>
        </w:rPr>
        <w:t xml:space="preserve">    </w:t>
      </w:r>
    </w:p>
    <w:p w:rsidR="00000000" w:rsidRDefault="00000000">
      <w:pPr>
        <w:rPr>
          <w:sz w:val="22"/>
        </w:rPr>
      </w:pPr>
    </w:p>
    <w:p w:rsidR="00000000" w:rsidRDefault="00000000">
      <w:pPr>
        <w:numPr>
          <w:ilvl w:val="0"/>
          <w:numId w:val="189"/>
        </w:numPr>
        <w:rPr>
          <w:b/>
          <w:sz w:val="22"/>
          <w:u w:val="single"/>
        </w:rPr>
      </w:pPr>
      <w:r>
        <w:rPr>
          <w:b/>
          <w:sz w:val="22"/>
          <w:u w:val="single"/>
        </w:rPr>
        <w:t>Direction de l’Energie</w:t>
      </w:r>
    </w:p>
    <w:p w:rsidR="00000000" w:rsidRDefault="00000000">
      <w:pPr>
        <w:ind w:left="360"/>
        <w:rPr>
          <w:b/>
          <w:sz w:val="22"/>
          <w:u w:val="single"/>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870"/>
        <w:gridCol w:w="870"/>
        <w:gridCol w:w="870"/>
        <w:gridCol w:w="871"/>
        <w:gridCol w:w="870"/>
        <w:gridCol w:w="870"/>
        <w:gridCol w:w="871"/>
        <w:gridCol w:w="870"/>
        <w:gridCol w:w="870"/>
        <w:gridCol w:w="871"/>
      </w:tblGrid>
      <w:tr w:rsidR="00000000">
        <w:tblPrEx>
          <w:tblCellMar>
            <w:top w:w="0" w:type="dxa"/>
            <w:bottom w:w="0" w:type="dxa"/>
          </w:tblCellMar>
        </w:tblPrEx>
        <w:trPr>
          <w:cantSplit/>
        </w:trPr>
        <w:tc>
          <w:tcPr>
            <w:tcW w:w="1080" w:type="dxa"/>
          </w:tcPr>
          <w:p w:rsidR="00000000" w:rsidRDefault="00000000">
            <w:pPr>
              <w:rPr>
                <w:sz w:val="22"/>
              </w:rPr>
            </w:pPr>
          </w:p>
        </w:tc>
        <w:tc>
          <w:tcPr>
            <w:tcW w:w="1740" w:type="dxa"/>
            <w:gridSpan w:val="2"/>
          </w:tcPr>
          <w:p w:rsidR="00000000" w:rsidRDefault="00000000">
            <w:pPr>
              <w:jc w:val="center"/>
              <w:rPr>
                <w:b/>
                <w:sz w:val="22"/>
              </w:rPr>
            </w:pPr>
            <w:r>
              <w:rPr>
                <w:b/>
                <w:sz w:val="22"/>
              </w:rPr>
              <w:t>Directeur de Cabinet</w:t>
            </w:r>
          </w:p>
        </w:tc>
        <w:tc>
          <w:tcPr>
            <w:tcW w:w="1741" w:type="dxa"/>
            <w:gridSpan w:val="2"/>
          </w:tcPr>
          <w:p w:rsidR="00000000" w:rsidRDefault="00000000">
            <w:pPr>
              <w:jc w:val="center"/>
              <w:rPr>
                <w:b/>
                <w:sz w:val="22"/>
              </w:rPr>
            </w:pPr>
            <w:r>
              <w:rPr>
                <w:b/>
                <w:sz w:val="22"/>
              </w:rPr>
              <w:t>Directeur Général</w:t>
            </w:r>
          </w:p>
        </w:tc>
        <w:tc>
          <w:tcPr>
            <w:tcW w:w="1740" w:type="dxa"/>
            <w:gridSpan w:val="2"/>
          </w:tcPr>
          <w:p w:rsidR="00000000" w:rsidRDefault="00000000">
            <w:pPr>
              <w:jc w:val="center"/>
              <w:rPr>
                <w:b/>
                <w:sz w:val="22"/>
              </w:rPr>
            </w:pPr>
            <w:r>
              <w:rPr>
                <w:b/>
                <w:sz w:val="22"/>
              </w:rPr>
              <w:t>Directeurs Centraux</w:t>
            </w:r>
          </w:p>
        </w:tc>
        <w:tc>
          <w:tcPr>
            <w:tcW w:w="1741" w:type="dxa"/>
            <w:gridSpan w:val="2"/>
          </w:tcPr>
          <w:p w:rsidR="00000000" w:rsidRDefault="00000000">
            <w:pPr>
              <w:jc w:val="center"/>
              <w:rPr>
                <w:b/>
                <w:sz w:val="22"/>
              </w:rPr>
            </w:pPr>
            <w:r>
              <w:rPr>
                <w:b/>
                <w:sz w:val="22"/>
              </w:rPr>
              <w:t>Chefs de Service</w:t>
            </w:r>
          </w:p>
        </w:tc>
        <w:tc>
          <w:tcPr>
            <w:tcW w:w="1741" w:type="dxa"/>
            <w:gridSpan w:val="2"/>
          </w:tcPr>
          <w:p w:rsidR="00000000" w:rsidRDefault="00000000">
            <w:pPr>
              <w:jc w:val="center"/>
              <w:rPr>
                <w:b/>
                <w:sz w:val="22"/>
              </w:rPr>
            </w:pPr>
            <w:r>
              <w:rPr>
                <w:b/>
                <w:sz w:val="22"/>
              </w:rPr>
              <w:t>Chefs de Bureau</w:t>
            </w:r>
          </w:p>
        </w:tc>
      </w:tr>
      <w:tr w:rsidR="00000000">
        <w:tblPrEx>
          <w:tblCellMar>
            <w:top w:w="0" w:type="dxa"/>
            <w:bottom w:w="0" w:type="dxa"/>
          </w:tblCellMar>
        </w:tblPrEx>
        <w:tc>
          <w:tcPr>
            <w:tcW w:w="1080" w:type="dxa"/>
          </w:tcPr>
          <w:p w:rsidR="00000000" w:rsidRDefault="00000000">
            <w:pPr>
              <w:jc w:val="center"/>
              <w:rPr>
                <w:b/>
                <w:sz w:val="22"/>
              </w:rPr>
            </w:pPr>
          </w:p>
          <w:p w:rsidR="00000000" w:rsidRDefault="00000000">
            <w:pPr>
              <w:jc w:val="center"/>
              <w:rPr>
                <w:b/>
                <w:sz w:val="22"/>
              </w:rPr>
            </w:pPr>
            <w:r>
              <w:rPr>
                <w:b/>
                <w:sz w:val="22"/>
              </w:rPr>
              <w:t>Années</w:t>
            </w:r>
          </w:p>
        </w:tc>
        <w:tc>
          <w:tcPr>
            <w:tcW w:w="870" w:type="dxa"/>
          </w:tcPr>
          <w:p w:rsidR="00000000" w:rsidRDefault="00000000">
            <w:pPr>
              <w:jc w:val="center"/>
              <w:rPr>
                <w:b/>
                <w:sz w:val="22"/>
              </w:rPr>
            </w:pPr>
          </w:p>
          <w:p w:rsidR="00000000" w:rsidRDefault="00000000">
            <w:pPr>
              <w:jc w:val="center"/>
              <w:rPr>
                <w:b/>
                <w:sz w:val="22"/>
              </w:rPr>
            </w:pPr>
            <w:r>
              <w:rPr>
                <w:b/>
                <w:sz w:val="22"/>
              </w:rPr>
              <w:t>H</w:t>
            </w:r>
          </w:p>
        </w:tc>
        <w:tc>
          <w:tcPr>
            <w:tcW w:w="870" w:type="dxa"/>
          </w:tcPr>
          <w:p w:rsidR="00000000" w:rsidRDefault="00000000">
            <w:pPr>
              <w:jc w:val="center"/>
              <w:rPr>
                <w:b/>
                <w:sz w:val="22"/>
              </w:rPr>
            </w:pPr>
          </w:p>
          <w:p w:rsidR="00000000" w:rsidRDefault="00000000">
            <w:pPr>
              <w:jc w:val="center"/>
              <w:rPr>
                <w:b/>
                <w:sz w:val="22"/>
              </w:rPr>
            </w:pPr>
            <w:r>
              <w:rPr>
                <w:b/>
                <w:sz w:val="22"/>
              </w:rPr>
              <w:t>F</w:t>
            </w:r>
          </w:p>
        </w:tc>
        <w:tc>
          <w:tcPr>
            <w:tcW w:w="870" w:type="dxa"/>
          </w:tcPr>
          <w:p w:rsidR="00000000" w:rsidRDefault="00000000">
            <w:pPr>
              <w:jc w:val="center"/>
              <w:rPr>
                <w:b/>
                <w:sz w:val="22"/>
              </w:rPr>
            </w:pPr>
          </w:p>
          <w:p w:rsidR="00000000" w:rsidRDefault="00000000">
            <w:pPr>
              <w:jc w:val="center"/>
              <w:rPr>
                <w:b/>
                <w:sz w:val="22"/>
                <w:lang w:val="en-GB"/>
              </w:rPr>
            </w:pPr>
            <w:r>
              <w:rPr>
                <w:b/>
                <w:sz w:val="22"/>
                <w:lang w:val="en-GB"/>
              </w:rPr>
              <w:t>H</w:t>
            </w:r>
          </w:p>
        </w:tc>
        <w:tc>
          <w:tcPr>
            <w:tcW w:w="871"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70"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70"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71"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70"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70" w:type="dxa"/>
          </w:tcPr>
          <w:p w:rsidR="00000000" w:rsidRDefault="00000000">
            <w:pPr>
              <w:jc w:val="center"/>
              <w:rPr>
                <w:b/>
                <w:sz w:val="22"/>
                <w:lang w:val="en-GB"/>
              </w:rPr>
            </w:pPr>
          </w:p>
          <w:p w:rsidR="00000000" w:rsidRDefault="00000000">
            <w:pPr>
              <w:jc w:val="center"/>
              <w:rPr>
                <w:b/>
                <w:sz w:val="22"/>
              </w:rPr>
            </w:pPr>
            <w:r>
              <w:rPr>
                <w:b/>
                <w:sz w:val="22"/>
              </w:rPr>
              <w:t>H</w:t>
            </w:r>
          </w:p>
        </w:tc>
        <w:tc>
          <w:tcPr>
            <w:tcW w:w="871" w:type="dxa"/>
          </w:tcPr>
          <w:p w:rsidR="00000000" w:rsidRDefault="00000000">
            <w:pPr>
              <w:jc w:val="center"/>
              <w:rPr>
                <w:b/>
                <w:sz w:val="22"/>
              </w:rPr>
            </w:pPr>
          </w:p>
          <w:p w:rsidR="00000000" w:rsidRDefault="00000000">
            <w:pPr>
              <w:jc w:val="center"/>
              <w:rPr>
                <w:b/>
                <w:sz w:val="22"/>
              </w:rPr>
            </w:pPr>
            <w:r>
              <w:rPr>
                <w:b/>
                <w:sz w:val="22"/>
              </w:rPr>
              <w:t>F</w:t>
            </w:r>
          </w:p>
        </w:tc>
      </w:tr>
      <w:tr w:rsidR="00000000">
        <w:tblPrEx>
          <w:tblCellMar>
            <w:top w:w="0" w:type="dxa"/>
            <w:bottom w:w="0" w:type="dxa"/>
          </w:tblCellMar>
        </w:tblPrEx>
        <w:tc>
          <w:tcPr>
            <w:tcW w:w="1080" w:type="dxa"/>
          </w:tcPr>
          <w:p w:rsidR="00000000" w:rsidRDefault="00000000">
            <w:pPr>
              <w:jc w:val="center"/>
              <w:rPr>
                <w:sz w:val="22"/>
              </w:rPr>
            </w:pPr>
            <w:r>
              <w:rPr>
                <w:sz w:val="22"/>
              </w:rPr>
              <w:t>1998-2000</w:t>
            </w:r>
          </w:p>
        </w:tc>
        <w:tc>
          <w:tcPr>
            <w:tcW w:w="870" w:type="dxa"/>
          </w:tcPr>
          <w:p w:rsidR="00000000" w:rsidRDefault="00000000">
            <w:pPr>
              <w:jc w:val="center"/>
              <w:rPr>
                <w:sz w:val="22"/>
              </w:rPr>
            </w:pPr>
            <w:r>
              <w:rPr>
                <w:sz w:val="22"/>
              </w:rPr>
              <w:t>1</w:t>
            </w:r>
          </w:p>
        </w:tc>
        <w:tc>
          <w:tcPr>
            <w:tcW w:w="870" w:type="dxa"/>
          </w:tcPr>
          <w:p w:rsidR="00000000" w:rsidRDefault="00000000">
            <w:pPr>
              <w:jc w:val="center"/>
              <w:rPr>
                <w:sz w:val="22"/>
              </w:rPr>
            </w:pPr>
            <w:r>
              <w:rPr>
                <w:sz w:val="22"/>
              </w:rPr>
              <w:t>0</w:t>
            </w:r>
          </w:p>
        </w:tc>
        <w:tc>
          <w:tcPr>
            <w:tcW w:w="870" w:type="dxa"/>
          </w:tcPr>
          <w:p w:rsidR="00000000" w:rsidRDefault="00000000">
            <w:pPr>
              <w:jc w:val="center"/>
              <w:rPr>
                <w:sz w:val="22"/>
              </w:rPr>
            </w:pPr>
            <w:r>
              <w:rPr>
                <w:sz w:val="22"/>
              </w:rPr>
              <w:t>1</w:t>
            </w:r>
          </w:p>
        </w:tc>
        <w:tc>
          <w:tcPr>
            <w:tcW w:w="871" w:type="dxa"/>
          </w:tcPr>
          <w:p w:rsidR="00000000" w:rsidRDefault="00000000">
            <w:pPr>
              <w:jc w:val="center"/>
              <w:rPr>
                <w:sz w:val="22"/>
              </w:rPr>
            </w:pPr>
            <w:r>
              <w:rPr>
                <w:sz w:val="22"/>
              </w:rPr>
              <w:t>0</w:t>
            </w:r>
          </w:p>
        </w:tc>
        <w:tc>
          <w:tcPr>
            <w:tcW w:w="870" w:type="dxa"/>
          </w:tcPr>
          <w:p w:rsidR="00000000" w:rsidRDefault="00000000">
            <w:pPr>
              <w:jc w:val="center"/>
              <w:rPr>
                <w:sz w:val="22"/>
              </w:rPr>
            </w:pPr>
            <w:r>
              <w:rPr>
                <w:sz w:val="22"/>
              </w:rPr>
              <w:t>3</w:t>
            </w:r>
          </w:p>
        </w:tc>
        <w:tc>
          <w:tcPr>
            <w:tcW w:w="870" w:type="dxa"/>
          </w:tcPr>
          <w:p w:rsidR="00000000" w:rsidRDefault="00000000">
            <w:pPr>
              <w:jc w:val="center"/>
              <w:rPr>
                <w:sz w:val="22"/>
              </w:rPr>
            </w:pPr>
            <w:r>
              <w:rPr>
                <w:sz w:val="22"/>
              </w:rPr>
              <w:t>0</w:t>
            </w:r>
          </w:p>
        </w:tc>
        <w:tc>
          <w:tcPr>
            <w:tcW w:w="871" w:type="dxa"/>
          </w:tcPr>
          <w:p w:rsidR="00000000" w:rsidRDefault="00000000">
            <w:pPr>
              <w:jc w:val="center"/>
              <w:rPr>
                <w:sz w:val="22"/>
              </w:rPr>
            </w:pPr>
            <w:r>
              <w:rPr>
                <w:sz w:val="22"/>
              </w:rPr>
              <w:t>14</w:t>
            </w:r>
          </w:p>
        </w:tc>
        <w:tc>
          <w:tcPr>
            <w:tcW w:w="870" w:type="dxa"/>
          </w:tcPr>
          <w:p w:rsidR="00000000" w:rsidRDefault="00000000">
            <w:pPr>
              <w:jc w:val="center"/>
              <w:rPr>
                <w:sz w:val="22"/>
              </w:rPr>
            </w:pPr>
            <w:r>
              <w:rPr>
                <w:sz w:val="22"/>
              </w:rPr>
              <w:t>0</w:t>
            </w:r>
          </w:p>
        </w:tc>
        <w:tc>
          <w:tcPr>
            <w:tcW w:w="870" w:type="dxa"/>
          </w:tcPr>
          <w:p w:rsidR="00000000" w:rsidRDefault="00000000">
            <w:pPr>
              <w:jc w:val="center"/>
              <w:rPr>
                <w:sz w:val="22"/>
              </w:rPr>
            </w:pPr>
            <w:r>
              <w:rPr>
                <w:sz w:val="22"/>
              </w:rPr>
              <w:t>24</w:t>
            </w:r>
          </w:p>
        </w:tc>
        <w:tc>
          <w:tcPr>
            <w:tcW w:w="871" w:type="dxa"/>
          </w:tcPr>
          <w:p w:rsidR="00000000" w:rsidRDefault="00000000">
            <w:pPr>
              <w:jc w:val="center"/>
              <w:rPr>
                <w:sz w:val="22"/>
              </w:rPr>
            </w:pPr>
            <w:r>
              <w:rPr>
                <w:sz w:val="22"/>
              </w:rPr>
              <w:t>5</w:t>
            </w:r>
          </w:p>
        </w:tc>
      </w:tr>
    </w:tbl>
    <w:p w:rsidR="00000000" w:rsidRDefault="00000000">
      <w:pPr>
        <w:ind w:left="360"/>
        <w:rPr>
          <w:sz w:val="22"/>
        </w:rPr>
      </w:pPr>
    </w:p>
    <w:p w:rsidR="00000000" w:rsidRDefault="00000000">
      <w:pPr>
        <w:pStyle w:val="Heading9"/>
        <w:jc w:val="center"/>
        <w:rPr>
          <w:b/>
          <w:bCs/>
        </w:rPr>
      </w:pPr>
      <w:r>
        <w:rPr>
          <w:b/>
          <w:bCs/>
          <w:u w:val="single"/>
        </w:rPr>
        <w:t>Tableau</w:t>
      </w:r>
      <w:r>
        <w:rPr>
          <w:b/>
          <w:bCs/>
        </w:rPr>
        <w:t xml:space="preserve"> n° 21 : Ministère des Postes et Télécommunications, Période de 1997 à 2000</w:t>
      </w:r>
    </w:p>
    <w:p w:rsidR="00000000" w:rsidRDefault="00000000">
      <w:pPr>
        <w:ind w:left="360"/>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873"/>
        <w:gridCol w:w="874"/>
        <w:gridCol w:w="874"/>
        <w:gridCol w:w="874"/>
        <w:gridCol w:w="874"/>
        <w:gridCol w:w="874"/>
        <w:gridCol w:w="874"/>
        <w:gridCol w:w="874"/>
        <w:gridCol w:w="874"/>
        <w:gridCol w:w="874"/>
      </w:tblGrid>
      <w:tr w:rsidR="00000000">
        <w:tblPrEx>
          <w:tblCellMar>
            <w:top w:w="0" w:type="dxa"/>
            <w:bottom w:w="0" w:type="dxa"/>
          </w:tblCellMar>
        </w:tblPrEx>
        <w:trPr>
          <w:cantSplit/>
        </w:trPr>
        <w:tc>
          <w:tcPr>
            <w:tcW w:w="1080" w:type="dxa"/>
          </w:tcPr>
          <w:p w:rsidR="00000000" w:rsidRDefault="00000000">
            <w:pPr>
              <w:rPr>
                <w:sz w:val="22"/>
              </w:rPr>
            </w:pPr>
          </w:p>
        </w:tc>
        <w:tc>
          <w:tcPr>
            <w:tcW w:w="1747" w:type="dxa"/>
            <w:gridSpan w:val="2"/>
          </w:tcPr>
          <w:p w:rsidR="00000000" w:rsidRDefault="00000000">
            <w:pPr>
              <w:jc w:val="center"/>
              <w:rPr>
                <w:b/>
                <w:sz w:val="22"/>
              </w:rPr>
            </w:pPr>
            <w:r>
              <w:rPr>
                <w:b/>
                <w:sz w:val="22"/>
              </w:rPr>
              <w:t>Directeur de Cabinet</w:t>
            </w:r>
          </w:p>
        </w:tc>
        <w:tc>
          <w:tcPr>
            <w:tcW w:w="1748" w:type="dxa"/>
            <w:gridSpan w:val="2"/>
          </w:tcPr>
          <w:p w:rsidR="00000000" w:rsidRDefault="00000000">
            <w:pPr>
              <w:jc w:val="center"/>
              <w:rPr>
                <w:b/>
                <w:sz w:val="22"/>
              </w:rPr>
            </w:pPr>
            <w:r>
              <w:rPr>
                <w:b/>
                <w:sz w:val="22"/>
              </w:rPr>
              <w:t>Directeur Général</w:t>
            </w:r>
          </w:p>
        </w:tc>
        <w:tc>
          <w:tcPr>
            <w:tcW w:w="1748" w:type="dxa"/>
            <w:gridSpan w:val="2"/>
          </w:tcPr>
          <w:p w:rsidR="00000000" w:rsidRDefault="00000000">
            <w:pPr>
              <w:jc w:val="center"/>
              <w:rPr>
                <w:b/>
                <w:sz w:val="22"/>
              </w:rPr>
            </w:pPr>
            <w:r>
              <w:rPr>
                <w:b/>
                <w:sz w:val="22"/>
              </w:rPr>
              <w:t>Directeurs Centraux</w:t>
            </w:r>
          </w:p>
        </w:tc>
        <w:tc>
          <w:tcPr>
            <w:tcW w:w="1748" w:type="dxa"/>
            <w:gridSpan w:val="2"/>
          </w:tcPr>
          <w:p w:rsidR="00000000" w:rsidRDefault="00000000">
            <w:pPr>
              <w:jc w:val="center"/>
              <w:rPr>
                <w:b/>
                <w:sz w:val="22"/>
              </w:rPr>
            </w:pPr>
            <w:r>
              <w:rPr>
                <w:b/>
                <w:sz w:val="22"/>
              </w:rPr>
              <w:t>Chefs de Service</w:t>
            </w:r>
          </w:p>
        </w:tc>
        <w:tc>
          <w:tcPr>
            <w:tcW w:w="1748" w:type="dxa"/>
            <w:gridSpan w:val="2"/>
          </w:tcPr>
          <w:p w:rsidR="00000000" w:rsidRDefault="00000000">
            <w:pPr>
              <w:jc w:val="center"/>
              <w:rPr>
                <w:b/>
                <w:sz w:val="22"/>
              </w:rPr>
            </w:pPr>
            <w:r>
              <w:rPr>
                <w:b/>
                <w:sz w:val="22"/>
              </w:rPr>
              <w:t>Chefs de Bureau</w:t>
            </w:r>
          </w:p>
        </w:tc>
      </w:tr>
      <w:tr w:rsidR="00000000">
        <w:tblPrEx>
          <w:tblCellMar>
            <w:top w:w="0" w:type="dxa"/>
            <w:bottom w:w="0" w:type="dxa"/>
          </w:tblCellMar>
        </w:tblPrEx>
        <w:tc>
          <w:tcPr>
            <w:tcW w:w="1080" w:type="dxa"/>
          </w:tcPr>
          <w:p w:rsidR="00000000" w:rsidRDefault="00000000">
            <w:pPr>
              <w:jc w:val="center"/>
              <w:rPr>
                <w:b/>
                <w:sz w:val="22"/>
              </w:rPr>
            </w:pPr>
          </w:p>
          <w:p w:rsidR="00000000" w:rsidRDefault="00000000">
            <w:pPr>
              <w:jc w:val="center"/>
              <w:rPr>
                <w:b/>
                <w:sz w:val="22"/>
              </w:rPr>
            </w:pPr>
            <w:r>
              <w:rPr>
                <w:b/>
                <w:sz w:val="22"/>
              </w:rPr>
              <w:t>Années</w:t>
            </w:r>
          </w:p>
        </w:tc>
        <w:tc>
          <w:tcPr>
            <w:tcW w:w="873" w:type="dxa"/>
          </w:tcPr>
          <w:p w:rsidR="00000000" w:rsidRDefault="00000000">
            <w:pPr>
              <w:jc w:val="center"/>
              <w:rPr>
                <w:b/>
                <w:sz w:val="22"/>
              </w:rPr>
            </w:pPr>
          </w:p>
          <w:p w:rsidR="00000000" w:rsidRDefault="00000000">
            <w:pPr>
              <w:jc w:val="center"/>
              <w:rPr>
                <w:b/>
                <w:sz w:val="22"/>
              </w:rPr>
            </w:pPr>
            <w:r>
              <w:rPr>
                <w:b/>
                <w:sz w:val="22"/>
              </w:rPr>
              <w:t>H</w:t>
            </w:r>
          </w:p>
        </w:tc>
        <w:tc>
          <w:tcPr>
            <w:tcW w:w="874" w:type="dxa"/>
          </w:tcPr>
          <w:p w:rsidR="00000000" w:rsidRDefault="00000000">
            <w:pPr>
              <w:jc w:val="center"/>
              <w:rPr>
                <w:b/>
                <w:sz w:val="22"/>
              </w:rPr>
            </w:pPr>
          </w:p>
          <w:p w:rsidR="00000000" w:rsidRDefault="00000000">
            <w:pPr>
              <w:jc w:val="center"/>
              <w:rPr>
                <w:b/>
                <w:sz w:val="22"/>
              </w:rPr>
            </w:pPr>
            <w:r>
              <w:rPr>
                <w:b/>
                <w:sz w:val="22"/>
              </w:rPr>
              <w:t>F</w:t>
            </w:r>
          </w:p>
        </w:tc>
        <w:tc>
          <w:tcPr>
            <w:tcW w:w="874" w:type="dxa"/>
          </w:tcPr>
          <w:p w:rsidR="00000000" w:rsidRDefault="00000000">
            <w:pPr>
              <w:jc w:val="center"/>
              <w:rPr>
                <w:b/>
                <w:sz w:val="22"/>
              </w:rPr>
            </w:pPr>
          </w:p>
          <w:p w:rsidR="00000000" w:rsidRDefault="00000000">
            <w:pPr>
              <w:jc w:val="center"/>
              <w:rPr>
                <w:b/>
                <w:sz w:val="22"/>
                <w:lang w:val="en-GB"/>
              </w:rPr>
            </w:pPr>
            <w:r>
              <w:rPr>
                <w:b/>
                <w:sz w:val="22"/>
                <w:lang w:val="en-GB"/>
              </w:rPr>
              <w:t>H</w:t>
            </w:r>
          </w:p>
        </w:tc>
        <w:tc>
          <w:tcPr>
            <w:tcW w:w="874"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74"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74"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74"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74"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74" w:type="dxa"/>
          </w:tcPr>
          <w:p w:rsidR="00000000" w:rsidRDefault="00000000">
            <w:pPr>
              <w:jc w:val="center"/>
              <w:rPr>
                <w:b/>
                <w:sz w:val="22"/>
                <w:lang w:val="en-GB"/>
              </w:rPr>
            </w:pPr>
          </w:p>
          <w:p w:rsidR="00000000" w:rsidRDefault="00000000">
            <w:pPr>
              <w:jc w:val="center"/>
              <w:rPr>
                <w:b/>
                <w:sz w:val="22"/>
              </w:rPr>
            </w:pPr>
            <w:r>
              <w:rPr>
                <w:b/>
                <w:sz w:val="22"/>
              </w:rPr>
              <w:t>H</w:t>
            </w:r>
          </w:p>
        </w:tc>
        <w:tc>
          <w:tcPr>
            <w:tcW w:w="874" w:type="dxa"/>
          </w:tcPr>
          <w:p w:rsidR="00000000" w:rsidRDefault="00000000">
            <w:pPr>
              <w:jc w:val="center"/>
              <w:rPr>
                <w:b/>
                <w:sz w:val="22"/>
              </w:rPr>
            </w:pPr>
          </w:p>
          <w:p w:rsidR="00000000" w:rsidRDefault="00000000">
            <w:pPr>
              <w:jc w:val="center"/>
              <w:rPr>
                <w:b/>
                <w:sz w:val="22"/>
              </w:rPr>
            </w:pPr>
            <w:r>
              <w:rPr>
                <w:b/>
                <w:sz w:val="22"/>
              </w:rPr>
              <w:t>F</w:t>
            </w:r>
          </w:p>
        </w:tc>
      </w:tr>
      <w:tr w:rsidR="00000000">
        <w:tblPrEx>
          <w:tblCellMar>
            <w:top w:w="0" w:type="dxa"/>
            <w:bottom w:w="0" w:type="dxa"/>
          </w:tblCellMar>
        </w:tblPrEx>
        <w:tc>
          <w:tcPr>
            <w:tcW w:w="1080" w:type="dxa"/>
          </w:tcPr>
          <w:p w:rsidR="00000000" w:rsidRDefault="00000000">
            <w:pPr>
              <w:jc w:val="center"/>
              <w:rPr>
                <w:sz w:val="22"/>
              </w:rPr>
            </w:pPr>
            <w:r>
              <w:rPr>
                <w:sz w:val="22"/>
              </w:rPr>
              <w:t>1997</w:t>
            </w:r>
          </w:p>
        </w:tc>
        <w:tc>
          <w:tcPr>
            <w:tcW w:w="873" w:type="dxa"/>
          </w:tcPr>
          <w:p w:rsidR="00000000" w:rsidRDefault="00000000">
            <w:pPr>
              <w:jc w:val="center"/>
              <w:rPr>
                <w:sz w:val="22"/>
              </w:rPr>
            </w:pPr>
            <w:r>
              <w:rPr>
                <w:sz w:val="22"/>
              </w:rPr>
              <w:t>1</w:t>
            </w:r>
          </w:p>
        </w:tc>
        <w:tc>
          <w:tcPr>
            <w:tcW w:w="874" w:type="dxa"/>
          </w:tcPr>
          <w:p w:rsidR="00000000" w:rsidRDefault="00000000">
            <w:pPr>
              <w:jc w:val="center"/>
              <w:rPr>
                <w:sz w:val="22"/>
              </w:rPr>
            </w:pPr>
            <w:r>
              <w:rPr>
                <w:sz w:val="22"/>
              </w:rPr>
              <w:t>0</w:t>
            </w:r>
          </w:p>
        </w:tc>
        <w:tc>
          <w:tcPr>
            <w:tcW w:w="874" w:type="dxa"/>
          </w:tcPr>
          <w:p w:rsidR="00000000" w:rsidRDefault="00000000">
            <w:pPr>
              <w:jc w:val="center"/>
              <w:rPr>
                <w:sz w:val="22"/>
              </w:rPr>
            </w:pPr>
            <w:r>
              <w:rPr>
                <w:sz w:val="22"/>
              </w:rPr>
              <w:t>1</w:t>
            </w:r>
          </w:p>
        </w:tc>
        <w:tc>
          <w:tcPr>
            <w:tcW w:w="874" w:type="dxa"/>
          </w:tcPr>
          <w:p w:rsidR="00000000" w:rsidRDefault="00000000">
            <w:pPr>
              <w:jc w:val="center"/>
              <w:rPr>
                <w:sz w:val="22"/>
              </w:rPr>
            </w:pPr>
            <w:r>
              <w:rPr>
                <w:sz w:val="22"/>
              </w:rPr>
              <w:t>0</w:t>
            </w:r>
          </w:p>
        </w:tc>
        <w:tc>
          <w:tcPr>
            <w:tcW w:w="874" w:type="dxa"/>
          </w:tcPr>
          <w:p w:rsidR="00000000" w:rsidRDefault="00000000">
            <w:pPr>
              <w:jc w:val="center"/>
              <w:rPr>
                <w:sz w:val="22"/>
              </w:rPr>
            </w:pPr>
            <w:r>
              <w:rPr>
                <w:sz w:val="22"/>
              </w:rPr>
              <w:t>2</w:t>
            </w:r>
          </w:p>
        </w:tc>
        <w:tc>
          <w:tcPr>
            <w:tcW w:w="874" w:type="dxa"/>
          </w:tcPr>
          <w:p w:rsidR="00000000" w:rsidRDefault="00000000">
            <w:pPr>
              <w:jc w:val="center"/>
              <w:rPr>
                <w:sz w:val="22"/>
              </w:rPr>
            </w:pPr>
            <w:r>
              <w:rPr>
                <w:sz w:val="22"/>
              </w:rPr>
              <w:t>0</w:t>
            </w:r>
          </w:p>
        </w:tc>
        <w:tc>
          <w:tcPr>
            <w:tcW w:w="874" w:type="dxa"/>
          </w:tcPr>
          <w:p w:rsidR="00000000" w:rsidRDefault="00000000">
            <w:pPr>
              <w:jc w:val="center"/>
              <w:rPr>
                <w:sz w:val="22"/>
              </w:rPr>
            </w:pPr>
            <w:r>
              <w:rPr>
                <w:sz w:val="22"/>
              </w:rPr>
              <w:t>2</w:t>
            </w:r>
          </w:p>
        </w:tc>
        <w:tc>
          <w:tcPr>
            <w:tcW w:w="874" w:type="dxa"/>
          </w:tcPr>
          <w:p w:rsidR="00000000" w:rsidRDefault="00000000">
            <w:pPr>
              <w:jc w:val="center"/>
              <w:rPr>
                <w:sz w:val="22"/>
              </w:rPr>
            </w:pPr>
            <w:r>
              <w:rPr>
                <w:sz w:val="22"/>
              </w:rPr>
              <w:t>0</w:t>
            </w:r>
          </w:p>
        </w:tc>
        <w:tc>
          <w:tcPr>
            <w:tcW w:w="874" w:type="dxa"/>
          </w:tcPr>
          <w:p w:rsidR="00000000" w:rsidRDefault="00000000">
            <w:pPr>
              <w:jc w:val="center"/>
              <w:rPr>
                <w:sz w:val="22"/>
              </w:rPr>
            </w:pPr>
            <w:r>
              <w:rPr>
                <w:sz w:val="22"/>
              </w:rPr>
              <w:t>2</w:t>
            </w:r>
          </w:p>
        </w:tc>
        <w:tc>
          <w:tcPr>
            <w:tcW w:w="874" w:type="dxa"/>
          </w:tcPr>
          <w:p w:rsidR="00000000" w:rsidRDefault="00000000">
            <w:pPr>
              <w:jc w:val="center"/>
              <w:rPr>
                <w:sz w:val="22"/>
              </w:rPr>
            </w:pPr>
            <w:r>
              <w:rPr>
                <w:sz w:val="22"/>
              </w:rPr>
              <w:t>0</w:t>
            </w:r>
          </w:p>
        </w:tc>
      </w:tr>
      <w:tr w:rsidR="00000000">
        <w:tblPrEx>
          <w:tblCellMar>
            <w:top w:w="0" w:type="dxa"/>
            <w:bottom w:w="0" w:type="dxa"/>
          </w:tblCellMar>
        </w:tblPrEx>
        <w:tc>
          <w:tcPr>
            <w:tcW w:w="1080" w:type="dxa"/>
          </w:tcPr>
          <w:p w:rsidR="00000000" w:rsidRDefault="00000000">
            <w:pPr>
              <w:jc w:val="center"/>
              <w:rPr>
                <w:sz w:val="22"/>
              </w:rPr>
            </w:pPr>
            <w:r>
              <w:rPr>
                <w:sz w:val="22"/>
              </w:rPr>
              <w:t>1998</w:t>
            </w:r>
          </w:p>
        </w:tc>
        <w:tc>
          <w:tcPr>
            <w:tcW w:w="873" w:type="dxa"/>
          </w:tcPr>
          <w:p w:rsidR="00000000" w:rsidRDefault="00000000">
            <w:pPr>
              <w:jc w:val="center"/>
              <w:rPr>
                <w:sz w:val="22"/>
              </w:rPr>
            </w:pPr>
            <w:r>
              <w:rPr>
                <w:sz w:val="22"/>
              </w:rPr>
              <w:t>1</w:t>
            </w:r>
          </w:p>
        </w:tc>
        <w:tc>
          <w:tcPr>
            <w:tcW w:w="874" w:type="dxa"/>
          </w:tcPr>
          <w:p w:rsidR="00000000" w:rsidRDefault="00000000">
            <w:pPr>
              <w:jc w:val="center"/>
              <w:rPr>
                <w:sz w:val="22"/>
              </w:rPr>
            </w:pPr>
          </w:p>
        </w:tc>
        <w:tc>
          <w:tcPr>
            <w:tcW w:w="874" w:type="dxa"/>
          </w:tcPr>
          <w:p w:rsidR="00000000" w:rsidRDefault="00000000">
            <w:pPr>
              <w:jc w:val="center"/>
              <w:rPr>
                <w:sz w:val="22"/>
              </w:rPr>
            </w:pPr>
            <w:r>
              <w:rPr>
                <w:sz w:val="22"/>
              </w:rPr>
              <w:t>1</w:t>
            </w:r>
          </w:p>
        </w:tc>
        <w:tc>
          <w:tcPr>
            <w:tcW w:w="874" w:type="dxa"/>
          </w:tcPr>
          <w:p w:rsidR="00000000" w:rsidRDefault="00000000">
            <w:pPr>
              <w:jc w:val="center"/>
              <w:rPr>
                <w:sz w:val="22"/>
              </w:rPr>
            </w:pPr>
            <w:r>
              <w:rPr>
                <w:sz w:val="22"/>
              </w:rPr>
              <w:t>0</w:t>
            </w:r>
          </w:p>
        </w:tc>
        <w:tc>
          <w:tcPr>
            <w:tcW w:w="874" w:type="dxa"/>
          </w:tcPr>
          <w:p w:rsidR="00000000" w:rsidRDefault="00000000">
            <w:pPr>
              <w:jc w:val="center"/>
              <w:rPr>
                <w:sz w:val="22"/>
              </w:rPr>
            </w:pPr>
            <w:r>
              <w:rPr>
                <w:sz w:val="22"/>
              </w:rPr>
              <w:t>1</w:t>
            </w:r>
          </w:p>
        </w:tc>
        <w:tc>
          <w:tcPr>
            <w:tcW w:w="874" w:type="dxa"/>
          </w:tcPr>
          <w:p w:rsidR="00000000" w:rsidRDefault="00000000">
            <w:pPr>
              <w:jc w:val="center"/>
              <w:rPr>
                <w:sz w:val="22"/>
              </w:rPr>
            </w:pPr>
            <w:r>
              <w:rPr>
                <w:sz w:val="22"/>
              </w:rPr>
              <w:t>1</w:t>
            </w:r>
          </w:p>
        </w:tc>
        <w:tc>
          <w:tcPr>
            <w:tcW w:w="874" w:type="dxa"/>
          </w:tcPr>
          <w:p w:rsidR="00000000" w:rsidRDefault="00000000">
            <w:pPr>
              <w:jc w:val="center"/>
              <w:rPr>
                <w:sz w:val="22"/>
              </w:rPr>
            </w:pPr>
            <w:r>
              <w:rPr>
                <w:sz w:val="22"/>
              </w:rPr>
              <w:t>2</w:t>
            </w:r>
          </w:p>
        </w:tc>
        <w:tc>
          <w:tcPr>
            <w:tcW w:w="874" w:type="dxa"/>
          </w:tcPr>
          <w:p w:rsidR="00000000" w:rsidRDefault="00000000">
            <w:pPr>
              <w:jc w:val="center"/>
              <w:rPr>
                <w:sz w:val="22"/>
              </w:rPr>
            </w:pPr>
          </w:p>
        </w:tc>
        <w:tc>
          <w:tcPr>
            <w:tcW w:w="874" w:type="dxa"/>
          </w:tcPr>
          <w:p w:rsidR="00000000" w:rsidRDefault="00000000">
            <w:pPr>
              <w:jc w:val="center"/>
              <w:rPr>
                <w:sz w:val="22"/>
              </w:rPr>
            </w:pPr>
            <w:r>
              <w:rPr>
                <w:sz w:val="22"/>
              </w:rPr>
              <w:t>2</w:t>
            </w:r>
          </w:p>
        </w:tc>
        <w:tc>
          <w:tcPr>
            <w:tcW w:w="874" w:type="dxa"/>
          </w:tcPr>
          <w:p w:rsidR="00000000" w:rsidRDefault="00000000">
            <w:pPr>
              <w:jc w:val="center"/>
              <w:rPr>
                <w:sz w:val="22"/>
              </w:rPr>
            </w:pPr>
            <w:r>
              <w:rPr>
                <w:sz w:val="22"/>
              </w:rPr>
              <w:t>0</w:t>
            </w:r>
          </w:p>
        </w:tc>
      </w:tr>
      <w:tr w:rsidR="00000000">
        <w:tblPrEx>
          <w:tblCellMar>
            <w:top w:w="0" w:type="dxa"/>
            <w:bottom w:w="0" w:type="dxa"/>
          </w:tblCellMar>
        </w:tblPrEx>
        <w:tc>
          <w:tcPr>
            <w:tcW w:w="1080" w:type="dxa"/>
          </w:tcPr>
          <w:p w:rsidR="00000000" w:rsidRDefault="00000000">
            <w:pPr>
              <w:jc w:val="center"/>
              <w:rPr>
                <w:sz w:val="22"/>
              </w:rPr>
            </w:pPr>
            <w:r>
              <w:rPr>
                <w:sz w:val="22"/>
              </w:rPr>
              <w:t>1999</w:t>
            </w:r>
          </w:p>
        </w:tc>
        <w:tc>
          <w:tcPr>
            <w:tcW w:w="873" w:type="dxa"/>
          </w:tcPr>
          <w:p w:rsidR="00000000" w:rsidRDefault="00000000">
            <w:pPr>
              <w:jc w:val="center"/>
              <w:rPr>
                <w:sz w:val="22"/>
              </w:rPr>
            </w:pPr>
          </w:p>
        </w:tc>
        <w:tc>
          <w:tcPr>
            <w:tcW w:w="874" w:type="dxa"/>
          </w:tcPr>
          <w:p w:rsidR="00000000" w:rsidRDefault="00000000">
            <w:pPr>
              <w:jc w:val="center"/>
              <w:rPr>
                <w:sz w:val="22"/>
              </w:rPr>
            </w:pPr>
            <w:r>
              <w:rPr>
                <w:sz w:val="22"/>
              </w:rPr>
              <w:t>1</w:t>
            </w:r>
          </w:p>
        </w:tc>
        <w:tc>
          <w:tcPr>
            <w:tcW w:w="874" w:type="dxa"/>
          </w:tcPr>
          <w:p w:rsidR="00000000" w:rsidRDefault="00000000">
            <w:pPr>
              <w:jc w:val="center"/>
              <w:rPr>
                <w:sz w:val="22"/>
              </w:rPr>
            </w:pPr>
            <w:r>
              <w:rPr>
                <w:sz w:val="22"/>
              </w:rPr>
              <w:t>1</w:t>
            </w:r>
          </w:p>
        </w:tc>
        <w:tc>
          <w:tcPr>
            <w:tcW w:w="874" w:type="dxa"/>
          </w:tcPr>
          <w:p w:rsidR="00000000" w:rsidRDefault="00000000">
            <w:pPr>
              <w:jc w:val="center"/>
              <w:rPr>
                <w:sz w:val="22"/>
              </w:rPr>
            </w:pPr>
            <w:r>
              <w:rPr>
                <w:sz w:val="22"/>
              </w:rPr>
              <w:t>0</w:t>
            </w:r>
          </w:p>
        </w:tc>
        <w:tc>
          <w:tcPr>
            <w:tcW w:w="874" w:type="dxa"/>
          </w:tcPr>
          <w:p w:rsidR="00000000" w:rsidRDefault="00000000">
            <w:pPr>
              <w:jc w:val="center"/>
              <w:rPr>
                <w:sz w:val="22"/>
              </w:rPr>
            </w:pPr>
            <w:r>
              <w:rPr>
                <w:sz w:val="22"/>
              </w:rPr>
              <w:t>1</w:t>
            </w:r>
          </w:p>
        </w:tc>
        <w:tc>
          <w:tcPr>
            <w:tcW w:w="874" w:type="dxa"/>
          </w:tcPr>
          <w:p w:rsidR="00000000" w:rsidRDefault="00000000">
            <w:pPr>
              <w:jc w:val="center"/>
              <w:rPr>
                <w:sz w:val="22"/>
              </w:rPr>
            </w:pPr>
            <w:r>
              <w:rPr>
                <w:sz w:val="22"/>
              </w:rPr>
              <w:t>1</w:t>
            </w:r>
          </w:p>
        </w:tc>
        <w:tc>
          <w:tcPr>
            <w:tcW w:w="874" w:type="dxa"/>
          </w:tcPr>
          <w:p w:rsidR="00000000" w:rsidRDefault="00000000">
            <w:pPr>
              <w:jc w:val="center"/>
              <w:rPr>
                <w:sz w:val="22"/>
              </w:rPr>
            </w:pPr>
            <w:r>
              <w:rPr>
                <w:sz w:val="22"/>
              </w:rPr>
              <w:t>2</w:t>
            </w:r>
          </w:p>
        </w:tc>
        <w:tc>
          <w:tcPr>
            <w:tcW w:w="874" w:type="dxa"/>
          </w:tcPr>
          <w:p w:rsidR="00000000" w:rsidRDefault="00000000">
            <w:pPr>
              <w:jc w:val="center"/>
              <w:rPr>
                <w:sz w:val="22"/>
              </w:rPr>
            </w:pPr>
            <w:r>
              <w:rPr>
                <w:sz w:val="22"/>
              </w:rPr>
              <w:t>1</w:t>
            </w:r>
          </w:p>
        </w:tc>
        <w:tc>
          <w:tcPr>
            <w:tcW w:w="874" w:type="dxa"/>
          </w:tcPr>
          <w:p w:rsidR="00000000" w:rsidRDefault="00000000">
            <w:pPr>
              <w:jc w:val="center"/>
              <w:rPr>
                <w:sz w:val="22"/>
              </w:rPr>
            </w:pPr>
            <w:r>
              <w:rPr>
                <w:sz w:val="22"/>
              </w:rPr>
              <w:t>2</w:t>
            </w:r>
          </w:p>
        </w:tc>
        <w:tc>
          <w:tcPr>
            <w:tcW w:w="874" w:type="dxa"/>
          </w:tcPr>
          <w:p w:rsidR="00000000" w:rsidRDefault="00000000">
            <w:pPr>
              <w:jc w:val="center"/>
              <w:rPr>
                <w:sz w:val="22"/>
              </w:rPr>
            </w:pPr>
            <w:r>
              <w:rPr>
                <w:sz w:val="22"/>
              </w:rPr>
              <w:t>0</w:t>
            </w:r>
          </w:p>
        </w:tc>
      </w:tr>
      <w:tr w:rsidR="00000000">
        <w:tblPrEx>
          <w:tblCellMar>
            <w:top w:w="0" w:type="dxa"/>
            <w:bottom w:w="0" w:type="dxa"/>
          </w:tblCellMar>
        </w:tblPrEx>
        <w:tc>
          <w:tcPr>
            <w:tcW w:w="1080" w:type="dxa"/>
          </w:tcPr>
          <w:p w:rsidR="00000000" w:rsidRDefault="00000000">
            <w:pPr>
              <w:jc w:val="center"/>
              <w:rPr>
                <w:sz w:val="22"/>
              </w:rPr>
            </w:pPr>
            <w:r>
              <w:rPr>
                <w:sz w:val="22"/>
              </w:rPr>
              <w:t>2000</w:t>
            </w:r>
          </w:p>
        </w:tc>
        <w:tc>
          <w:tcPr>
            <w:tcW w:w="873" w:type="dxa"/>
          </w:tcPr>
          <w:p w:rsidR="00000000" w:rsidRDefault="00000000">
            <w:pPr>
              <w:jc w:val="center"/>
              <w:rPr>
                <w:sz w:val="22"/>
              </w:rPr>
            </w:pPr>
            <w:r>
              <w:rPr>
                <w:sz w:val="22"/>
              </w:rPr>
              <w:t>1</w:t>
            </w:r>
          </w:p>
        </w:tc>
        <w:tc>
          <w:tcPr>
            <w:tcW w:w="874" w:type="dxa"/>
          </w:tcPr>
          <w:p w:rsidR="00000000" w:rsidRDefault="00000000">
            <w:pPr>
              <w:jc w:val="center"/>
              <w:rPr>
                <w:sz w:val="22"/>
              </w:rPr>
            </w:pPr>
            <w:r>
              <w:rPr>
                <w:sz w:val="22"/>
              </w:rPr>
              <w:t>0</w:t>
            </w:r>
          </w:p>
        </w:tc>
        <w:tc>
          <w:tcPr>
            <w:tcW w:w="874" w:type="dxa"/>
          </w:tcPr>
          <w:p w:rsidR="00000000" w:rsidRDefault="00000000">
            <w:pPr>
              <w:jc w:val="center"/>
              <w:rPr>
                <w:sz w:val="22"/>
              </w:rPr>
            </w:pPr>
            <w:r>
              <w:rPr>
                <w:sz w:val="22"/>
              </w:rPr>
              <w:t>1</w:t>
            </w:r>
          </w:p>
        </w:tc>
        <w:tc>
          <w:tcPr>
            <w:tcW w:w="874" w:type="dxa"/>
          </w:tcPr>
          <w:p w:rsidR="00000000" w:rsidRDefault="00000000">
            <w:pPr>
              <w:jc w:val="center"/>
              <w:rPr>
                <w:sz w:val="22"/>
              </w:rPr>
            </w:pPr>
            <w:r>
              <w:rPr>
                <w:sz w:val="22"/>
              </w:rPr>
              <w:t>0</w:t>
            </w:r>
          </w:p>
        </w:tc>
        <w:tc>
          <w:tcPr>
            <w:tcW w:w="874" w:type="dxa"/>
          </w:tcPr>
          <w:p w:rsidR="00000000" w:rsidRDefault="00000000">
            <w:pPr>
              <w:jc w:val="center"/>
              <w:rPr>
                <w:sz w:val="22"/>
              </w:rPr>
            </w:pPr>
            <w:r>
              <w:rPr>
                <w:sz w:val="22"/>
              </w:rPr>
              <w:t>1</w:t>
            </w:r>
          </w:p>
        </w:tc>
        <w:tc>
          <w:tcPr>
            <w:tcW w:w="874" w:type="dxa"/>
          </w:tcPr>
          <w:p w:rsidR="00000000" w:rsidRDefault="00000000">
            <w:pPr>
              <w:jc w:val="center"/>
              <w:rPr>
                <w:sz w:val="22"/>
              </w:rPr>
            </w:pPr>
            <w:r>
              <w:rPr>
                <w:sz w:val="22"/>
              </w:rPr>
              <w:t>1</w:t>
            </w:r>
          </w:p>
        </w:tc>
        <w:tc>
          <w:tcPr>
            <w:tcW w:w="874" w:type="dxa"/>
          </w:tcPr>
          <w:p w:rsidR="00000000" w:rsidRDefault="00000000">
            <w:pPr>
              <w:jc w:val="center"/>
              <w:rPr>
                <w:sz w:val="22"/>
              </w:rPr>
            </w:pPr>
            <w:r>
              <w:rPr>
                <w:sz w:val="22"/>
              </w:rPr>
              <w:t>2</w:t>
            </w:r>
          </w:p>
        </w:tc>
        <w:tc>
          <w:tcPr>
            <w:tcW w:w="874" w:type="dxa"/>
          </w:tcPr>
          <w:p w:rsidR="00000000" w:rsidRDefault="00000000">
            <w:pPr>
              <w:jc w:val="center"/>
              <w:rPr>
                <w:sz w:val="22"/>
              </w:rPr>
            </w:pPr>
            <w:r>
              <w:rPr>
                <w:sz w:val="22"/>
              </w:rPr>
              <w:t>1</w:t>
            </w:r>
          </w:p>
        </w:tc>
        <w:tc>
          <w:tcPr>
            <w:tcW w:w="874" w:type="dxa"/>
          </w:tcPr>
          <w:p w:rsidR="00000000" w:rsidRDefault="00000000">
            <w:pPr>
              <w:jc w:val="center"/>
              <w:rPr>
                <w:sz w:val="22"/>
              </w:rPr>
            </w:pPr>
            <w:r>
              <w:rPr>
                <w:sz w:val="22"/>
              </w:rPr>
              <w:t>2</w:t>
            </w:r>
          </w:p>
        </w:tc>
        <w:tc>
          <w:tcPr>
            <w:tcW w:w="874" w:type="dxa"/>
          </w:tcPr>
          <w:p w:rsidR="00000000" w:rsidRDefault="00000000">
            <w:pPr>
              <w:jc w:val="center"/>
              <w:rPr>
                <w:sz w:val="22"/>
              </w:rPr>
            </w:pPr>
            <w:r>
              <w:rPr>
                <w:sz w:val="22"/>
              </w:rPr>
              <w:t>0</w:t>
            </w:r>
          </w:p>
        </w:tc>
      </w:tr>
    </w:tbl>
    <w:p w:rsidR="00000000" w:rsidRDefault="00000000">
      <w:pPr>
        <w:ind w:left="360"/>
        <w:rPr>
          <w:sz w:val="22"/>
        </w:rPr>
      </w:pPr>
    </w:p>
    <w:p w:rsidR="00000000" w:rsidRDefault="00000000">
      <w:pPr>
        <w:ind w:left="360"/>
        <w:rPr>
          <w:sz w:val="22"/>
        </w:rPr>
      </w:pPr>
    </w:p>
    <w:p w:rsidR="00000000" w:rsidRDefault="00000000">
      <w:pPr>
        <w:jc w:val="center"/>
        <w:rPr>
          <w:b/>
          <w:sz w:val="22"/>
        </w:rPr>
      </w:pPr>
      <w:r>
        <w:rPr>
          <w:b/>
          <w:u w:val="single"/>
        </w:rPr>
        <w:t>Tableau</w:t>
      </w:r>
      <w:r>
        <w:rPr>
          <w:b/>
        </w:rPr>
        <w:t xml:space="preserve"> n° 22 : </w:t>
      </w:r>
      <w:r>
        <w:rPr>
          <w:b/>
          <w:sz w:val="22"/>
        </w:rPr>
        <w:t>Ministère de la Santé, Période 1979-2000</w:t>
      </w:r>
    </w:p>
    <w:p w:rsidR="00000000" w:rsidRDefault="00000000">
      <w:pPr>
        <w:ind w:left="360"/>
        <w:jc w:val="center"/>
        <w:rPr>
          <w:b/>
          <w:sz w:val="22"/>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4"/>
        <w:gridCol w:w="825"/>
        <w:gridCol w:w="825"/>
        <w:gridCol w:w="825"/>
        <w:gridCol w:w="826"/>
        <w:gridCol w:w="825"/>
        <w:gridCol w:w="825"/>
        <w:gridCol w:w="826"/>
        <w:gridCol w:w="825"/>
        <w:gridCol w:w="825"/>
        <w:gridCol w:w="826"/>
      </w:tblGrid>
      <w:tr w:rsidR="00000000">
        <w:tblPrEx>
          <w:tblCellMar>
            <w:top w:w="0" w:type="dxa"/>
            <w:bottom w:w="0" w:type="dxa"/>
          </w:tblCellMar>
        </w:tblPrEx>
        <w:trPr>
          <w:cantSplit/>
        </w:trPr>
        <w:tc>
          <w:tcPr>
            <w:tcW w:w="1584" w:type="dxa"/>
          </w:tcPr>
          <w:p w:rsidR="00000000" w:rsidRDefault="00000000">
            <w:pPr>
              <w:ind w:left="-540"/>
              <w:rPr>
                <w:sz w:val="22"/>
              </w:rPr>
            </w:pPr>
          </w:p>
        </w:tc>
        <w:tc>
          <w:tcPr>
            <w:tcW w:w="1650" w:type="dxa"/>
            <w:gridSpan w:val="2"/>
          </w:tcPr>
          <w:p w:rsidR="00000000" w:rsidRDefault="00000000">
            <w:pPr>
              <w:jc w:val="center"/>
              <w:rPr>
                <w:b/>
                <w:sz w:val="22"/>
              </w:rPr>
            </w:pPr>
            <w:r>
              <w:rPr>
                <w:b/>
                <w:sz w:val="22"/>
              </w:rPr>
              <w:t>Directeur de Cabinet</w:t>
            </w:r>
          </w:p>
        </w:tc>
        <w:tc>
          <w:tcPr>
            <w:tcW w:w="1651" w:type="dxa"/>
            <w:gridSpan w:val="2"/>
          </w:tcPr>
          <w:p w:rsidR="00000000" w:rsidRDefault="00000000">
            <w:pPr>
              <w:jc w:val="center"/>
              <w:rPr>
                <w:b/>
                <w:sz w:val="22"/>
              </w:rPr>
            </w:pPr>
            <w:r>
              <w:rPr>
                <w:b/>
                <w:sz w:val="22"/>
              </w:rPr>
              <w:t>Directeur Général</w:t>
            </w:r>
          </w:p>
        </w:tc>
        <w:tc>
          <w:tcPr>
            <w:tcW w:w="1650" w:type="dxa"/>
            <w:gridSpan w:val="2"/>
          </w:tcPr>
          <w:p w:rsidR="00000000" w:rsidRDefault="00000000">
            <w:pPr>
              <w:jc w:val="center"/>
              <w:rPr>
                <w:b/>
                <w:sz w:val="22"/>
              </w:rPr>
            </w:pPr>
            <w:r>
              <w:rPr>
                <w:b/>
                <w:sz w:val="22"/>
              </w:rPr>
              <w:t>Directeurs Centraux</w:t>
            </w:r>
          </w:p>
        </w:tc>
        <w:tc>
          <w:tcPr>
            <w:tcW w:w="1651" w:type="dxa"/>
            <w:gridSpan w:val="2"/>
          </w:tcPr>
          <w:p w:rsidR="00000000" w:rsidRDefault="00000000">
            <w:pPr>
              <w:jc w:val="center"/>
              <w:rPr>
                <w:b/>
                <w:sz w:val="22"/>
              </w:rPr>
            </w:pPr>
            <w:r>
              <w:rPr>
                <w:b/>
                <w:sz w:val="22"/>
              </w:rPr>
              <w:t>Chefs de Service</w:t>
            </w:r>
          </w:p>
        </w:tc>
        <w:tc>
          <w:tcPr>
            <w:tcW w:w="1651" w:type="dxa"/>
            <w:gridSpan w:val="2"/>
          </w:tcPr>
          <w:p w:rsidR="00000000" w:rsidRDefault="00000000">
            <w:pPr>
              <w:jc w:val="center"/>
              <w:rPr>
                <w:b/>
                <w:sz w:val="22"/>
              </w:rPr>
            </w:pPr>
            <w:r>
              <w:rPr>
                <w:b/>
                <w:sz w:val="22"/>
              </w:rPr>
              <w:t>Chefs de Bureau</w:t>
            </w:r>
          </w:p>
        </w:tc>
      </w:tr>
      <w:tr w:rsidR="00000000">
        <w:tblPrEx>
          <w:tblCellMar>
            <w:top w:w="0" w:type="dxa"/>
            <w:bottom w:w="0" w:type="dxa"/>
          </w:tblCellMar>
        </w:tblPrEx>
        <w:tc>
          <w:tcPr>
            <w:tcW w:w="1584" w:type="dxa"/>
          </w:tcPr>
          <w:p w:rsidR="00000000" w:rsidRDefault="00000000">
            <w:pPr>
              <w:rPr>
                <w:b/>
                <w:sz w:val="22"/>
              </w:rPr>
            </w:pPr>
          </w:p>
          <w:p w:rsidR="00000000" w:rsidRDefault="00000000">
            <w:pPr>
              <w:rPr>
                <w:b/>
                <w:sz w:val="22"/>
              </w:rPr>
            </w:pPr>
            <w:r>
              <w:rPr>
                <w:b/>
                <w:sz w:val="22"/>
              </w:rPr>
              <w:t>Années</w:t>
            </w:r>
          </w:p>
        </w:tc>
        <w:tc>
          <w:tcPr>
            <w:tcW w:w="825" w:type="dxa"/>
          </w:tcPr>
          <w:p w:rsidR="00000000" w:rsidRDefault="00000000">
            <w:pPr>
              <w:jc w:val="center"/>
              <w:rPr>
                <w:b/>
                <w:sz w:val="22"/>
              </w:rPr>
            </w:pPr>
          </w:p>
          <w:p w:rsidR="00000000" w:rsidRDefault="00000000">
            <w:pPr>
              <w:jc w:val="center"/>
              <w:rPr>
                <w:b/>
                <w:sz w:val="22"/>
              </w:rPr>
            </w:pPr>
            <w:r>
              <w:rPr>
                <w:b/>
                <w:sz w:val="22"/>
              </w:rPr>
              <w:t>H</w:t>
            </w:r>
          </w:p>
        </w:tc>
        <w:tc>
          <w:tcPr>
            <w:tcW w:w="825" w:type="dxa"/>
          </w:tcPr>
          <w:p w:rsidR="00000000" w:rsidRDefault="00000000">
            <w:pPr>
              <w:jc w:val="center"/>
              <w:rPr>
                <w:b/>
                <w:sz w:val="22"/>
              </w:rPr>
            </w:pPr>
          </w:p>
          <w:p w:rsidR="00000000" w:rsidRDefault="00000000">
            <w:pPr>
              <w:jc w:val="center"/>
              <w:rPr>
                <w:b/>
                <w:sz w:val="22"/>
              </w:rPr>
            </w:pPr>
            <w:r>
              <w:rPr>
                <w:b/>
                <w:sz w:val="22"/>
              </w:rPr>
              <w:t>F</w:t>
            </w:r>
          </w:p>
        </w:tc>
        <w:tc>
          <w:tcPr>
            <w:tcW w:w="825" w:type="dxa"/>
          </w:tcPr>
          <w:p w:rsidR="00000000" w:rsidRDefault="00000000">
            <w:pPr>
              <w:jc w:val="center"/>
              <w:rPr>
                <w:b/>
                <w:sz w:val="22"/>
              </w:rPr>
            </w:pPr>
          </w:p>
          <w:p w:rsidR="00000000" w:rsidRDefault="00000000">
            <w:pPr>
              <w:jc w:val="center"/>
              <w:rPr>
                <w:b/>
                <w:sz w:val="22"/>
                <w:lang w:val="en-GB"/>
              </w:rPr>
            </w:pPr>
            <w:r>
              <w:rPr>
                <w:b/>
                <w:sz w:val="22"/>
                <w:lang w:val="en-GB"/>
              </w:rPr>
              <w:t>H</w:t>
            </w:r>
          </w:p>
        </w:tc>
        <w:tc>
          <w:tcPr>
            <w:tcW w:w="826"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25"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25"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26"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25"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25" w:type="dxa"/>
          </w:tcPr>
          <w:p w:rsidR="00000000" w:rsidRDefault="00000000">
            <w:pPr>
              <w:jc w:val="center"/>
              <w:rPr>
                <w:b/>
                <w:sz w:val="22"/>
                <w:lang w:val="en-GB"/>
              </w:rPr>
            </w:pPr>
          </w:p>
          <w:p w:rsidR="00000000" w:rsidRDefault="00000000">
            <w:pPr>
              <w:jc w:val="center"/>
              <w:rPr>
                <w:b/>
                <w:sz w:val="22"/>
              </w:rPr>
            </w:pPr>
            <w:r>
              <w:rPr>
                <w:b/>
                <w:sz w:val="22"/>
              </w:rPr>
              <w:t>H</w:t>
            </w:r>
          </w:p>
        </w:tc>
        <w:tc>
          <w:tcPr>
            <w:tcW w:w="826" w:type="dxa"/>
          </w:tcPr>
          <w:p w:rsidR="00000000" w:rsidRDefault="00000000">
            <w:pPr>
              <w:jc w:val="center"/>
              <w:rPr>
                <w:b/>
                <w:sz w:val="22"/>
              </w:rPr>
            </w:pPr>
          </w:p>
          <w:p w:rsidR="00000000" w:rsidRDefault="00000000">
            <w:pPr>
              <w:jc w:val="center"/>
              <w:rPr>
                <w:b/>
                <w:sz w:val="22"/>
              </w:rPr>
            </w:pPr>
            <w:r>
              <w:rPr>
                <w:b/>
                <w:sz w:val="22"/>
              </w:rPr>
              <w:t>F</w:t>
            </w:r>
          </w:p>
        </w:tc>
      </w:tr>
      <w:tr w:rsidR="00000000">
        <w:tblPrEx>
          <w:tblCellMar>
            <w:top w:w="0" w:type="dxa"/>
            <w:bottom w:w="0" w:type="dxa"/>
          </w:tblCellMar>
        </w:tblPrEx>
        <w:tc>
          <w:tcPr>
            <w:tcW w:w="1584" w:type="dxa"/>
          </w:tcPr>
          <w:p w:rsidR="00000000" w:rsidRDefault="00000000">
            <w:pPr>
              <w:jc w:val="center"/>
              <w:rPr>
                <w:sz w:val="22"/>
              </w:rPr>
            </w:pPr>
            <w:r>
              <w:rPr>
                <w:sz w:val="22"/>
              </w:rPr>
              <w:t>1997-2000</w:t>
            </w:r>
          </w:p>
        </w:tc>
        <w:tc>
          <w:tcPr>
            <w:tcW w:w="825" w:type="dxa"/>
          </w:tcPr>
          <w:p w:rsidR="00000000" w:rsidRDefault="00000000">
            <w:pPr>
              <w:jc w:val="center"/>
              <w:rPr>
                <w:sz w:val="22"/>
              </w:rPr>
            </w:pPr>
            <w:r>
              <w:rPr>
                <w:sz w:val="22"/>
              </w:rPr>
              <w:t>2</w:t>
            </w:r>
          </w:p>
        </w:tc>
        <w:tc>
          <w:tcPr>
            <w:tcW w:w="825" w:type="dxa"/>
          </w:tcPr>
          <w:p w:rsidR="00000000" w:rsidRDefault="00000000">
            <w:pPr>
              <w:jc w:val="center"/>
              <w:rPr>
                <w:sz w:val="22"/>
              </w:rPr>
            </w:pPr>
            <w:r>
              <w:rPr>
                <w:sz w:val="22"/>
              </w:rPr>
              <w:t>1</w:t>
            </w:r>
          </w:p>
        </w:tc>
        <w:tc>
          <w:tcPr>
            <w:tcW w:w="825" w:type="dxa"/>
          </w:tcPr>
          <w:p w:rsidR="00000000" w:rsidRDefault="00000000">
            <w:pPr>
              <w:jc w:val="center"/>
              <w:rPr>
                <w:sz w:val="22"/>
              </w:rPr>
            </w:pPr>
            <w:r>
              <w:rPr>
                <w:sz w:val="22"/>
              </w:rPr>
              <w:t>2</w:t>
            </w:r>
          </w:p>
        </w:tc>
        <w:tc>
          <w:tcPr>
            <w:tcW w:w="826" w:type="dxa"/>
          </w:tcPr>
          <w:p w:rsidR="00000000" w:rsidRDefault="00000000">
            <w:pPr>
              <w:jc w:val="center"/>
              <w:rPr>
                <w:sz w:val="22"/>
              </w:rPr>
            </w:pPr>
            <w:r>
              <w:rPr>
                <w:sz w:val="22"/>
              </w:rPr>
              <w:t>2</w:t>
            </w:r>
          </w:p>
        </w:tc>
        <w:tc>
          <w:tcPr>
            <w:tcW w:w="825" w:type="dxa"/>
          </w:tcPr>
          <w:p w:rsidR="00000000" w:rsidRDefault="00000000">
            <w:pPr>
              <w:jc w:val="center"/>
              <w:rPr>
                <w:sz w:val="22"/>
              </w:rPr>
            </w:pPr>
            <w:r>
              <w:rPr>
                <w:sz w:val="22"/>
              </w:rPr>
              <w:t>4</w:t>
            </w:r>
          </w:p>
        </w:tc>
        <w:tc>
          <w:tcPr>
            <w:tcW w:w="825" w:type="dxa"/>
          </w:tcPr>
          <w:p w:rsidR="00000000" w:rsidRDefault="00000000">
            <w:pPr>
              <w:jc w:val="center"/>
              <w:rPr>
                <w:sz w:val="22"/>
              </w:rPr>
            </w:pPr>
            <w:r>
              <w:rPr>
                <w:sz w:val="22"/>
              </w:rPr>
              <w:t>0</w:t>
            </w:r>
          </w:p>
        </w:tc>
        <w:tc>
          <w:tcPr>
            <w:tcW w:w="826" w:type="dxa"/>
          </w:tcPr>
          <w:p w:rsidR="00000000" w:rsidRDefault="00000000">
            <w:pPr>
              <w:jc w:val="center"/>
              <w:rPr>
                <w:sz w:val="22"/>
              </w:rPr>
            </w:pPr>
            <w:r>
              <w:rPr>
                <w:sz w:val="22"/>
              </w:rPr>
              <w:t>7</w:t>
            </w:r>
          </w:p>
        </w:tc>
        <w:tc>
          <w:tcPr>
            <w:tcW w:w="825" w:type="dxa"/>
          </w:tcPr>
          <w:p w:rsidR="00000000" w:rsidRDefault="00000000">
            <w:pPr>
              <w:jc w:val="center"/>
              <w:rPr>
                <w:sz w:val="22"/>
              </w:rPr>
            </w:pPr>
            <w:r>
              <w:rPr>
                <w:sz w:val="22"/>
              </w:rPr>
              <w:t>4</w:t>
            </w:r>
          </w:p>
        </w:tc>
        <w:tc>
          <w:tcPr>
            <w:tcW w:w="825" w:type="dxa"/>
          </w:tcPr>
          <w:p w:rsidR="00000000" w:rsidRDefault="00000000">
            <w:pPr>
              <w:jc w:val="center"/>
              <w:rPr>
                <w:sz w:val="22"/>
              </w:rPr>
            </w:pPr>
            <w:r>
              <w:rPr>
                <w:sz w:val="22"/>
              </w:rPr>
              <w:t>14</w:t>
            </w:r>
          </w:p>
        </w:tc>
        <w:tc>
          <w:tcPr>
            <w:tcW w:w="826" w:type="dxa"/>
          </w:tcPr>
          <w:p w:rsidR="00000000" w:rsidRDefault="00000000">
            <w:pPr>
              <w:jc w:val="center"/>
              <w:rPr>
                <w:sz w:val="22"/>
              </w:rPr>
            </w:pPr>
            <w:r>
              <w:rPr>
                <w:sz w:val="22"/>
              </w:rPr>
              <w:t>16</w:t>
            </w:r>
          </w:p>
        </w:tc>
      </w:tr>
    </w:tbl>
    <w:p w:rsidR="00000000" w:rsidRDefault="00000000">
      <w:pPr>
        <w:jc w:val="center"/>
        <w:rPr>
          <w:b/>
          <w:sz w:val="22"/>
          <w:u w:val="single"/>
        </w:rPr>
      </w:pPr>
    </w:p>
    <w:p w:rsidR="00000000" w:rsidRDefault="00000000">
      <w:pPr>
        <w:jc w:val="center"/>
        <w:rPr>
          <w:b/>
          <w:sz w:val="22"/>
          <w:u w:val="single"/>
        </w:rPr>
      </w:pPr>
    </w:p>
    <w:p w:rsidR="00000000" w:rsidRDefault="00000000">
      <w:pPr>
        <w:jc w:val="center"/>
        <w:rPr>
          <w:b/>
          <w:sz w:val="22"/>
        </w:rPr>
      </w:pPr>
      <w:r>
        <w:rPr>
          <w:b/>
          <w:u w:val="single"/>
        </w:rPr>
        <w:br w:type="page"/>
        <w:t>Tableau</w:t>
      </w:r>
      <w:r>
        <w:rPr>
          <w:b/>
        </w:rPr>
        <w:t xml:space="preserve"> n° 23 </w:t>
      </w:r>
      <w:r>
        <w:rPr>
          <w:b/>
          <w:sz w:val="22"/>
        </w:rPr>
        <w:t>Ministère de l’Urbanisme et de l’Habitat</w:t>
      </w:r>
    </w:p>
    <w:p w:rsidR="00000000" w:rsidRDefault="00000000">
      <w:pPr>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1"/>
        <w:gridCol w:w="814"/>
        <w:gridCol w:w="815"/>
        <w:gridCol w:w="814"/>
        <w:gridCol w:w="815"/>
        <w:gridCol w:w="815"/>
        <w:gridCol w:w="814"/>
        <w:gridCol w:w="815"/>
        <w:gridCol w:w="814"/>
        <w:gridCol w:w="815"/>
        <w:gridCol w:w="815"/>
      </w:tblGrid>
      <w:tr w:rsidR="00000000">
        <w:tblPrEx>
          <w:tblCellMar>
            <w:top w:w="0" w:type="dxa"/>
            <w:bottom w:w="0" w:type="dxa"/>
          </w:tblCellMar>
        </w:tblPrEx>
        <w:trPr>
          <w:cantSplit/>
        </w:trPr>
        <w:tc>
          <w:tcPr>
            <w:tcW w:w="1691" w:type="dxa"/>
          </w:tcPr>
          <w:p w:rsidR="00000000" w:rsidRDefault="00000000">
            <w:pPr>
              <w:ind w:left="-540"/>
              <w:rPr>
                <w:sz w:val="22"/>
              </w:rPr>
            </w:pPr>
          </w:p>
        </w:tc>
        <w:tc>
          <w:tcPr>
            <w:tcW w:w="1629" w:type="dxa"/>
            <w:gridSpan w:val="2"/>
          </w:tcPr>
          <w:p w:rsidR="00000000" w:rsidRDefault="00000000">
            <w:pPr>
              <w:jc w:val="center"/>
              <w:rPr>
                <w:b/>
                <w:sz w:val="22"/>
              </w:rPr>
            </w:pPr>
            <w:r>
              <w:rPr>
                <w:b/>
                <w:sz w:val="22"/>
              </w:rPr>
              <w:t>Directeur de Cabinet</w:t>
            </w:r>
          </w:p>
        </w:tc>
        <w:tc>
          <w:tcPr>
            <w:tcW w:w="1629" w:type="dxa"/>
            <w:gridSpan w:val="2"/>
          </w:tcPr>
          <w:p w:rsidR="00000000" w:rsidRDefault="00000000">
            <w:pPr>
              <w:jc w:val="center"/>
              <w:rPr>
                <w:b/>
                <w:sz w:val="22"/>
              </w:rPr>
            </w:pPr>
            <w:r>
              <w:rPr>
                <w:b/>
                <w:sz w:val="22"/>
              </w:rPr>
              <w:t>Directeur Général</w:t>
            </w:r>
          </w:p>
        </w:tc>
        <w:tc>
          <w:tcPr>
            <w:tcW w:w="1629" w:type="dxa"/>
            <w:gridSpan w:val="2"/>
          </w:tcPr>
          <w:p w:rsidR="00000000" w:rsidRDefault="00000000">
            <w:pPr>
              <w:jc w:val="center"/>
              <w:rPr>
                <w:b/>
                <w:sz w:val="22"/>
              </w:rPr>
            </w:pPr>
            <w:r>
              <w:rPr>
                <w:b/>
                <w:sz w:val="22"/>
              </w:rPr>
              <w:t>Directeurs Centraux</w:t>
            </w:r>
          </w:p>
        </w:tc>
        <w:tc>
          <w:tcPr>
            <w:tcW w:w="1629" w:type="dxa"/>
            <w:gridSpan w:val="2"/>
          </w:tcPr>
          <w:p w:rsidR="00000000" w:rsidRDefault="00000000">
            <w:pPr>
              <w:jc w:val="center"/>
              <w:rPr>
                <w:b/>
                <w:sz w:val="22"/>
              </w:rPr>
            </w:pPr>
            <w:r>
              <w:rPr>
                <w:b/>
                <w:sz w:val="22"/>
              </w:rPr>
              <w:t>Chefs de Service</w:t>
            </w:r>
          </w:p>
        </w:tc>
        <w:tc>
          <w:tcPr>
            <w:tcW w:w="1630" w:type="dxa"/>
            <w:gridSpan w:val="2"/>
          </w:tcPr>
          <w:p w:rsidR="00000000" w:rsidRDefault="00000000">
            <w:pPr>
              <w:jc w:val="center"/>
              <w:rPr>
                <w:b/>
                <w:sz w:val="22"/>
              </w:rPr>
            </w:pPr>
            <w:r>
              <w:rPr>
                <w:b/>
                <w:sz w:val="22"/>
              </w:rPr>
              <w:t>Chefs de Bureau</w:t>
            </w:r>
          </w:p>
        </w:tc>
      </w:tr>
      <w:tr w:rsidR="00000000">
        <w:tblPrEx>
          <w:tblCellMar>
            <w:top w:w="0" w:type="dxa"/>
            <w:bottom w:w="0" w:type="dxa"/>
          </w:tblCellMar>
        </w:tblPrEx>
        <w:tc>
          <w:tcPr>
            <w:tcW w:w="1691" w:type="dxa"/>
          </w:tcPr>
          <w:p w:rsidR="00000000" w:rsidRDefault="00000000">
            <w:pPr>
              <w:rPr>
                <w:b/>
                <w:sz w:val="22"/>
              </w:rPr>
            </w:pPr>
          </w:p>
          <w:p w:rsidR="00000000" w:rsidRDefault="00000000">
            <w:pPr>
              <w:rPr>
                <w:b/>
                <w:sz w:val="22"/>
              </w:rPr>
            </w:pPr>
            <w:r>
              <w:rPr>
                <w:b/>
                <w:sz w:val="22"/>
              </w:rPr>
              <w:t>Années</w:t>
            </w:r>
          </w:p>
        </w:tc>
        <w:tc>
          <w:tcPr>
            <w:tcW w:w="814" w:type="dxa"/>
          </w:tcPr>
          <w:p w:rsidR="00000000" w:rsidRDefault="00000000">
            <w:pPr>
              <w:jc w:val="center"/>
              <w:rPr>
                <w:b/>
                <w:sz w:val="22"/>
              </w:rPr>
            </w:pPr>
          </w:p>
          <w:p w:rsidR="00000000" w:rsidRDefault="00000000">
            <w:pPr>
              <w:jc w:val="center"/>
              <w:rPr>
                <w:b/>
                <w:sz w:val="22"/>
              </w:rPr>
            </w:pPr>
            <w:r>
              <w:rPr>
                <w:b/>
                <w:sz w:val="22"/>
              </w:rPr>
              <w:t>H</w:t>
            </w:r>
          </w:p>
        </w:tc>
        <w:tc>
          <w:tcPr>
            <w:tcW w:w="815" w:type="dxa"/>
          </w:tcPr>
          <w:p w:rsidR="00000000" w:rsidRDefault="00000000">
            <w:pPr>
              <w:jc w:val="center"/>
              <w:rPr>
                <w:b/>
                <w:sz w:val="22"/>
              </w:rPr>
            </w:pPr>
          </w:p>
          <w:p w:rsidR="00000000" w:rsidRDefault="00000000">
            <w:pPr>
              <w:jc w:val="center"/>
              <w:rPr>
                <w:b/>
                <w:sz w:val="22"/>
              </w:rPr>
            </w:pPr>
            <w:r>
              <w:rPr>
                <w:b/>
                <w:sz w:val="22"/>
              </w:rPr>
              <w:t>F</w:t>
            </w:r>
          </w:p>
        </w:tc>
        <w:tc>
          <w:tcPr>
            <w:tcW w:w="814" w:type="dxa"/>
          </w:tcPr>
          <w:p w:rsidR="00000000" w:rsidRDefault="00000000">
            <w:pPr>
              <w:jc w:val="center"/>
              <w:rPr>
                <w:b/>
                <w:sz w:val="22"/>
              </w:rPr>
            </w:pPr>
          </w:p>
          <w:p w:rsidR="00000000" w:rsidRDefault="00000000">
            <w:pPr>
              <w:jc w:val="center"/>
              <w:rPr>
                <w:b/>
                <w:sz w:val="22"/>
                <w:lang w:val="en-GB"/>
              </w:rPr>
            </w:pPr>
            <w:r>
              <w:rPr>
                <w:b/>
                <w:sz w:val="22"/>
                <w:lang w:val="en-GB"/>
              </w:rPr>
              <w:t>H</w:t>
            </w:r>
          </w:p>
        </w:tc>
        <w:tc>
          <w:tcPr>
            <w:tcW w:w="815"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15"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14"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15"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814"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815" w:type="dxa"/>
          </w:tcPr>
          <w:p w:rsidR="00000000" w:rsidRDefault="00000000">
            <w:pPr>
              <w:jc w:val="center"/>
              <w:rPr>
                <w:b/>
                <w:sz w:val="22"/>
                <w:lang w:val="en-GB"/>
              </w:rPr>
            </w:pPr>
          </w:p>
          <w:p w:rsidR="00000000" w:rsidRDefault="00000000">
            <w:pPr>
              <w:jc w:val="center"/>
              <w:rPr>
                <w:b/>
                <w:sz w:val="22"/>
              </w:rPr>
            </w:pPr>
            <w:r>
              <w:rPr>
                <w:b/>
                <w:sz w:val="22"/>
              </w:rPr>
              <w:t>H</w:t>
            </w:r>
          </w:p>
        </w:tc>
        <w:tc>
          <w:tcPr>
            <w:tcW w:w="815" w:type="dxa"/>
          </w:tcPr>
          <w:p w:rsidR="00000000" w:rsidRDefault="00000000">
            <w:pPr>
              <w:jc w:val="center"/>
              <w:rPr>
                <w:b/>
                <w:sz w:val="22"/>
              </w:rPr>
            </w:pPr>
          </w:p>
          <w:p w:rsidR="00000000" w:rsidRDefault="00000000">
            <w:pPr>
              <w:jc w:val="center"/>
              <w:rPr>
                <w:b/>
                <w:sz w:val="22"/>
              </w:rPr>
            </w:pPr>
            <w:r>
              <w:rPr>
                <w:b/>
                <w:sz w:val="22"/>
              </w:rPr>
              <w:t>F</w:t>
            </w:r>
          </w:p>
        </w:tc>
      </w:tr>
      <w:tr w:rsidR="00000000">
        <w:tblPrEx>
          <w:tblCellMar>
            <w:top w:w="0" w:type="dxa"/>
            <w:bottom w:w="0" w:type="dxa"/>
          </w:tblCellMar>
        </w:tblPrEx>
        <w:tc>
          <w:tcPr>
            <w:tcW w:w="1691" w:type="dxa"/>
          </w:tcPr>
          <w:p w:rsidR="00000000" w:rsidRDefault="00000000">
            <w:pPr>
              <w:jc w:val="center"/>
              <w:rPr>
                <w:sz w:val="22"/>
              </w:rPr>
            </w:pPr>
            <w:r>
              <w:rPr>
                <w:sz w:val="22"/>
              </w:rPr>
              <w:t>2000</w:t>
            </w:r>
          </w:p>
        </w:tc>
        <w:tc>
          <w:tcPr>
            <w:tcW w:w="814" w:type="dxa"/>
          </w:tcPr>
          <w:p w:rsidR="00000000" w:rsidRDefault="00000000">
            <w:pPr>
              <w:jc w:val="center"/>
              <w:rPr>
                <w:sz w:val="22"/>
              </w:rPr>
            </w:pPr>
            <w:r>
              <w:rPr>
                <w:sz w:val="22"/>
              </w:rPr>
              <w:t>1</w:t>
            </w:r>
          </w:p>
        </w:tc>
        <w:tc>
          <w:tcPr>
            <w:tcW w:w="815" w:type="dxa"/>
          </w:tcPr>
          <w:p w:rsidR="00000000" w:rsidRDefault="00000000">
            <w:pPr>
              <w:jc w:val="center"/>
              <w:rPr>
                <w:sz w:val="22"/>
              </w:rPr>
            </w:pPr>
            <w:r>
              <w:rPr>
                <w:sz w:val="22"/>
              </w:rPr>
              <w:t>0</w:t>
            </w:r>
          </w:p>
        </w:tc>
        <w:tc>
          <w:tcPr>
            <w:tcW w:w="814" w:type="dxa"/>
          </w:tcPr>
          <w:p w:rsidR="00000000" w:rsidRDefault="00000000">
            <w:pPr>
              <w:jc w:val="center"/>
              <w:rPr>
                <w:sz w:val="22"/>
              </w:rPr>
            </w:pPr>
            <w:r>
              <w:rPr>
                <w:sz w:val="22"/>
              </w:rPr>
              <w:t>1</w:t>
            </w:r>
          </w:p>
        </w:tc>
        <w:tc>
          <w:tcPr>
            <w:tcW w:w="815" w:type="dxa"/>
          </w:tcPr>
          <w:p w:rsidR="00000000" w:rsidRDefault="00000000">
            <w:pPr>
              <w:jc w:val="center"/>
              <w:rPr>
                <w:sz w:val="22"/>
              </w:rPr>
            </w:pPr>
            <w:r>
              <w:rPr>
                <w:sz w:val="22"/>
              </w:rPr>
              <w:t>0</w:t>
            </w:r>
          </w:p>
        </w:tc>
        <w:tc>
          <w:tcPr>
            <w:tcW w:w="815" w:type="dxa"/>
          </w:tcPr>
          <w:p w:rsidR="00000000" w:rsidRDefault="00000000">
            <w:pPr>
              <w:jc w:val="center"/>
              <w:rPr>
                <w:sz w:val="22"/>
              </w:rPr>
            </w:pPr>
            <w:r>
              <w:rPr>
                <w:sz w:val="22"/>
              </w:rPr>
              <w:t>2</w:t>
            </w:r>
          </w:p>
        </w:tc>
        <w:tc>
          <w:tcPr>
            <w:tcW w:w="814" w:type="dxa"/>
          </w:tcPr>
          <w:p w:rsidR="00000000" w:rsidRDefault="00000000">
            <w:pPr>
              <w:jc w:val="center"/>
              <w:rPr>
                <w:sz w:val="22"/>
              </w:rPr>
            </w:pPr>
            <w:r>
              <w:rPr>
                <w:sz w:val="22"/>
              </w:rPr>
              <w:t>0</w:t>
            </w:r>
          </w:p>
        </w:tc>
        <w:tc>
          <w:tcPr>
            <w:tcW w:w="815" w:type="dxa"/>
          </w:tcPr>
          <w:p w:rsidR="00000000" w:rsidRDefault="00000000">
            <w:pPr>
              <w:jc w:val="center"/>
              <w:rPr>
                <w:sz w:val="22"/>
              </w:rPr>
            </w:pPr>
            <w:r>
              <w:rPr>
                <w:sz w:val="22"/>
              </w:rPr>
              <w:t>6</w:t>
            </w:r>
          </w:p>
        </w:tc>
        <w:tc>
          <w:tcPr>
            <w:tcW w:w="814" w:type="dxa"/>
          </w:tcPr>
          <w:p w:rsidR="00000000" w:rsidRDefault="00000000">
            <w:pPr>
              <w:jc w:val="center"/>
              <w:rPr>
                <w:sz w:val="22"/>
              </w:rPr>
            </w:pPr>
            <w:r>
              <w:rPr>
                <w:sz w:val="22"/>
              </w:rPr>
              <w:t>2</w:t>
            </w:r>
          </w:p>
        </w:tc>
        <w:tc>
          <w:tcPr>
            <w:tcW w:w="815" w:type="dxa"/>
          </w:tcPr>
          <w:p w:rsidR="00000000" w:rsidRDefault="00000000">
            <w:pPr>
              <w:jc w:val="center"/>
              <w:rPr>
                <w:sz w:val="22"/>
              </w:rPr>
            </w:pPr>
            <w:r>
              <w:rPr>
                <w:sz w:val="22"/>
              </w:rPr>
              <w:t>5</w:t>
            </w:r>
          </w:p>
        </w:tc>
        <w:tc>
          <w:tcPr>
            <w:tcW w:w="815" w:type="dxa"/>
          </w:tcPr>
          <w:p w:rsidR="00000000" w:rsidRDefault="00000000">
            <w:pPr>
              <w:jc w:val="center"/>
              <w:rPr>
                <w:sz w:val="22"/>
              </w:rPr>
            </w:pPr>
            <w:r>
              <w:rPr>
                <w:sz w:val="22"/>
              </w:rPr>
              <w:t>7</w:t>
            </w:r>
          </w:p>
        </w:tc>
      </w:tr>
    </w:tbl>
    <w:p w:rsidR="00000000" w:rsidRDefault="00000000">
      <w:pPr>
        <w:ind w:left="360"/>
        <w:rPr>
          <w:sz w:val="22"/>
        </w:rPr>
      </w:pPr>
    </w:p>
    <w:p w:rsidR="00000000" w:rsidRDefault="00000000">
      <w:pPr>
        <w:ind w:left="360"/>
        <w:rPr>
          <w:sz w:val="22"/>
        </w:rPr>
      </w:pPr>
    </w:p>
    <w:p w:rsidR="00000000" w:rsidRDefault="00000000">
      <w:pPr>
        <w:jc w:val="center"/>
        <w:rPr>
          <w:b/>
          <w:sz w:val="22"/>
        </w:rPr>
      </w:pPr>
      <w:r>
        <w:rPr>
          <w:b/>
          <w:sz w:val="22"/>
          <w:u w:val="single"/>
        </w:rPr>
        <w:t>Tableau</w:t>
      </w:r>
      <w:r>
        <w:rPr>
          <w:b/>
          <w:sz w:val="22"/>
        </w:rPr>
        <w:t xml:space="preserve"> n° 24</w:t>
      </w:r>
      <w:r>
        <w:rPr>
          <w:b/>
        </w:rPr>
        <w:t xml:space="preserve"> : </w:t>
      </w:r>
      <w:r>
        <w:rPr>
          <w:b/>
          <w:sz w:val="22"/>
        </w:rPr>
        <w:t>Ministère du Travail et de la Sécurité Sociale : an 2000</w:t>
      </w:r>
    </w:p>
    <w:p w:rsidR="00000000" w:rsidRDefault="00000000">
      <w:pPr>
        <w:rPr>
          <w:b/>
          <w:sz w:val="22"/>
        </w:rPr>
      </w:pPr>
    </w:p>
    <w:p w:rsidR="00000000" w:rsidRDefault="00000000">
      <w:pPr>
        <w:rPr>
          <w:b/>
          <w:sz w:val="22"/>
        </w:rPr>
      </w:pPr>
      <w:r>
        <w:rPr>
          <w:b/>
          <w:sz w:val="22"/>
        </w:rPr>
        <w:t xml:space="preserve">A – </w:t>
      </w:r>
      <w:r>
        <w:rPr>
          <w:b/>
          <w:sz w:val="22"/>
          <w:u w:val="single"/>
        </w:rPr>
        <w:t>Cabinet</w:t>
      </w:r>
    </w:p>
    <w:p w:rsidR="00000000" w:rsidRDefault="00000000">
      <w:pPr>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1"/>
        <w:gridCol w:w="1158"/>
        <w:gridCol w:w="869"/>
        <w:gridCol w:w="290"/>
        <w:gridCol w:w="1158"/>
        <w:gridCol w:w="580"/>
        <w:gridCol w:w="579"/>
        <w:gridCol w:w="1158"/>
        <w:gridCol w:w="290"/>
        <w:gridCol w:w="869"/>
        <w:gridCol w:w="1159"/>
      </w:tblGrid>
      <w:tr w:rsidR="00000000">
        <w:tblPrEx>
          <w:tblCellMar>
            <w:top w:w="0" w:type="dxa"/>
            <w:bottom w:w="0" w:type="dxa"/>
          </w:tblCellMar>
        </w:tblPrEx>
        <w:trPr>
          <w:cantSplit/>
        </w:trPr>
        <w:tc>
          <w:tcPr>
            <w:tcW w:w="1691" w:type="dxa"/>
          </w:tcPr>
          <w:p w:rsidR="00000000" w:rsidRDefault="00000000">
            <w:pPr>
              <w:ind w:left="-540"/>
              <w:rPr>
                <w:sz w:val="22"/>
              </w:rPr>
            </w:pPr>
          </w:p>
        </w:tc>
        <w:tc>
          <w:tcPr>
            <w:tcW w:w="2027" w:type="dxa"/>
            <w:gridSpan w:val="2"/>
          </w:tcPr>
          <w:p w:rsidR="00000000" w:rsidRDefault="00000000">
            <w:pPr>
              <w:jc w:val="center"/>
              <w:rPr>
                <w:b/>
                <w:sz w:val="22"/>
              </w:rPr>
            </w:pPr>
            <w:r>
              <w:rPr>
                <w:b/>
                <w:sz w:val="22"/>
              </w:rPr>
              <w:t>Directeur de Cabinet</w:t>
            </w:r>
          </w:p>
        </w:tc>
        <w:tc>
          <w:tcPr>
            <w:tcW w:w="2028" w:type="dxa"/>
            <w:gridSpan w:val="3"/>
          </w:tcPr>
          <w:p w:rsidR="00000000" w:rsidRDefault="00000000">
            <w:pPr>
              <w:jc w:val="center"/>
              <w:rPr>
                <w:b/>
                <w:sz w:val="22"/>
              </w:rPr>
            </w:pPr>
            <w:r>
              <w:rPr>
                <w:b/>
                <w:sz w:val="22"/>
              </w:rPr>
              <w:t>Directeurs Centraux</w:t>
            </w:r>
          </w:p>
        </w:tc>
        <w:tc>
          <w:tcPr>
            <w:tcW w:w="2027" w:type="dxa"/>
            <w:gridSpan w:val="3"/>
          </w:tcPr>
          <w:p w:rsidR="00000000" w:rsidRDefault="00000000">
            <w:pPr>
              <w:jc w:val="center"/>
              <w:rPr>
                <w:b/>
                <w:sz w:val="22"/>
              </w:rPr>
            </w:pPr>
            <w:r>
              <w:rPr>
                <w:b/>
                <w:sz w:val="22"/>
              </w:rPr>
              <w:t>Chefs de Service</w:t>
            </w:r>
          </w:p>
        </w:tc>
        <w:tc>
          <w:tcPr>
            <w:tcW w:w="2028" w:type="dxa"/>
            <w:gridSpan w:val="2"/>
          </w:tcPr>
          <w:p w:rsidR="00000000" w:rsidRDefault="00000000">
            <w:pPr>
              <w:jc w:val="center"/>
              <w:rPr>
                <w:b/>
                <w:sz w:val="22"/>
              </w:rPr>
            </w:pPr>
            <w:r>
              <w:rPr>
                <w:b/>
                <w:sz w:val="22"/>
              </w:rPr>
              <w:t>Chefs de Bureau</w:t>
            </w:r>
          </w:p>
        </w:tc>
      </w:tr>
      <w:tr w:rsidR="00000000">
        <w:tblPrEx>
          <w:tblCellMar>
            <w:top w:w="0" w:type="dxa"/>
            <w:bottom w:w="0" w:type="dxa"/>
          </w:tblCellMar>
        </w:tblPrEx>
        <w:trPr>
          <w:cantSplit/>
        </w:trPr>
        <w:tc>
          <w:tcPr>
            <w:tcW w:w="1691" w:type="dxa"/>
          </w:tcPr>
          <w:p w:rsidR="00000000" w:rsidRDefault="00000000">
            <w:pPr>
              <w:jc w:val="center"/>
              <w:rPr>
                <w:b/>
                <w:sz w:val="22"/>
              </w:rPr>
            </w:pPr>
          </w:p>
          <w:p w:rsidR="00000000" w:rsidRDefault="00000000">
            <w:pPr>
              <w:jc w:val="center"/>
              <w:rPr>
                <w:b/>
                <w:sz w:val="22"/>
              </w:rPr>
            </w:pPr>
            <w:r>
              <w:rPr>
                <w:b/>
                <w:sz w:val="22"/>
              </w:rPr>
              <w:t>Sexes</w:t>
            </w:r>
          </w:p>
        </w:tc>
        <w:tc>
          <w:tcPr>
            <w:tcW w:w="1158" w:type="dxa"/>
          </w:tcPr>
          <w:p w:rsidR="00000000" w:rsidRDefault="00000000">
            <w:pPr>
              <w:jc w:val="center"/>
              <w:rPr>
                <w:b/>
                <w:sz w:val="22"/>
              </w:rPr>
            </w:pPr>
          </w:p>
          <w:p w:rsidR="00000000" w:rsidRDefault="00000000">
            <w:pPr>
              <w:jc w:val="center"/>
              <w:rPr>
                <w:b/>
                <w:sz w:val="22"/>
              </w:rPr>
            </w:pPr>
            <w:r>
              <w:rPr>
                <w:b/>
                <w:sz w:val="22"/>
              </w:rPr>
              <w:t>H</w:t>
            </w:r>
          </w:p>
          <w:p w:rsidR="00000000" w:rsidRDefault="00000000">
            <w:pPr>
              <w:jc w:val="center"/>
              <w:rPr>
                <w:b/>
                <w:sz w:val="22"/>
              </w:rPr>
            </w:pPr>
          </w:p>
        </w:tc>
        <w:tc>
          <w:tcPr>
            <w:tcW w:w="1159" w:type="dxa"/>
            <w:gridSpan w:val="2"/>
          </w:tcPr>
          <w:p w:rsidR="00000000" w:rsidRDefault="00000000">
            <w:pPr>
              <w:jc w:val="center"/>
              <w:rPr>
                <w:b/>
                <w:sz w:val="22"/>
              </w:rPr>
            </w:pPr>
          </w:p>
          <w:p w:rsidR="00000000" w:rsidRDefault="00000000">
            <w:pPr>
              <w:jc w:val="center"/>
              <w:rPr>
                <w:b/>
                <w:sz w:val="22"/>
              </w:rPr>
            </w:pPr>
            <w:r>
              <w:rPr>
                <w:b/>
                <w:sz w:val="22"/>
              </w:rPr>
              <w:t>H</w:t>
            </w:r>
          </w:p>
        </w:tc>
        <w:tc>
          <w:tcPr>
            <w:tcW w:w="1158" w:type="dxa"/>
          </w:tcPr>
          <w:p w:rsidR="00000000" w:rsidRDefault="00000000">
            <w:pPr>
              <w:jc w:val="center"/>
              <w:rPr>
                <w:b/>
                <w:sz w:val="22"/>
              </w:rPr>
            </w:pPr>
          </w:p>
          <w:p w:rsidR="00000000" w:rsidRDefault="00000000">
            <w:pPr>
              <w:jc w:val="center"/>
              <w:rPr>
                <w:b/>
                <w:sz w:val="22"/>
                <w:lang w:val="en-GB"/>
              </w:rPr>
            </w:pPr>
            <w:r>
              <w:rPr>
                <w:b/>
                <w:sz w:val="22"/>
                <w:lang w:val="en-GB"/>
              </w:rPr>
              <w:t>F</w:t>
            </w:r>
          </w:p>
        </w:tc>
        <w:tc>
          <w:tcPr>
            <w:tcW w:w="1159" w:type="dxa"/>
            <w:gridSpan w:val="2"/>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1158"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1159" w:type="dxa"/>
            <w:gridSpan w:val="2"/>
          </w:tcPr>
          <w:p w:rsidR="00000000" w:rsidRDefault="00000000">
            <w:pPr>
              <w:jc w:val="center"/>
              <w:rPr>
                <w:b/>
                <w:sz w:val="22"/>
                <w:lang w:val="en-GB"/>
              </w:rPr>
            </w:pPr>
          </w:p>
          <w:p w:rsidR="00000000" w:rsidRDefault="00000000">
            <w:pPr>
              <w:jc w:val="center"/>
              <w:rPr>
                <w:b/>
                <w:sz w:val="22"/>
              </w:rPr>
            </w:pPr>
            <w:r>
              <w:rPr>
                <w:b/>
                <w:sz w:val="22"/>
              </w:rPr>
              <w:t>H</w:t>
            </w:r>
          </w:p>
        </w:tc>
        <w:tc>
          <w:tcPr>
            <w:tcW w:w="1159" w:type="dxa"/>
          </w:tcPr>
          <w:p w:rsidR="00000000" w:rsidRDefault="00000000">
            <w:pPr>
              <w:jc w:val="center"/>
              <w:rPr>
                <w:b/>
                <w:sz w:val="22"/>
              </w:rPr>
            </w:pPr>
          </w:p>
          <w:p w:rsidR="00000000" w:rsidRDefault="00000000">
            <w:pPr>
              <w:jc w:val="center"/>
              <w:rPr>
                <w:b/>
                <w:sz w:val="22"/>
              </w:rPr>
            </w:pPr>
            <w:r>
              <w:rPr>
                <w:b/>
                <w:sz w:val="22"/>
              </w:rPr>
              <w:t>F</w:t>
            </w:r>
          </w:p>
        </w:tc>
      </w:tr>
      <w:tr w:rsidR="00000000">
        <w:tblPrEx>
          <w:tblCellMar>
            <w:top w:w="0" w:type="dxa"/>
            <w:bottom w:w="0" w:type="dxa"/>
          </w:tblCellMar>
        </w:tblPrEx>
        <w:trPr>
          <w:cantSplit/>
        </w:trPr>
        <w:tc>
          <w:tcPr>
            <w:tcW w:w="1691" w:type="dxa"/>
          </w:tcPr>
          <w:p w:rsidR="00000000" w:rsidRDefault="00000000">
            <w:pPr>
              <w:rPr>
                <w:sz w:val="22"/>
              </w:rPr>
            </w:pPr>
          </w:p>
        </w:tc>
        <w:tc>
          <w:tcPr>
            <w:tcW w:w="1158" w:type="dxa"/>
          </w:tcPr>
          <w:p w:rsidR="00000000" w:rsidRDefault="00000000">
            <w:pPr>
              <w:jc w:val="center"/>
              <w:rPr>
                <w:sz w:val="22"/>
              </w:rPr>
            </w:pPr>
            <w:r>
              <w:rPr>
                <w:sz w:val="22"/>
              </w:rPr>
              <w:t>1</w:t>
            </w:r>
          </w:p>
        </w:tc>
        <w:tc>
          <w:tcPr>
            <w:tcW w:w="1159" w:type="dxa"/>
            <w:gridSpan w:val="2"/>
          </w:tcPr>
          <w:p w:rsidR="00000000" w:rsidRDefault="00000000">
            <w:pPr>
              <w:jc w:val="center"/>
              <w:rPr>
                <w:sz w:val="22"/>
              </w:rPr>
            </w:pPr>
          </w:p>
        </w:tc>
        <w:tc>
          <w:tcPr>
            <w:tcW w:w="1158" w:type="dxa"/>
          </w:tcPr>
          <w:p w:rsidR="00000000" w:rsidRDefault="00000000">
            <w:pPr>
              <w:jc w:val="center"/>
              <w:rPr>
                <w:sz w:val="22"/>
              </w:rPr>
            </w:pPr>
            <w:r>
              <w:rPr>
                <w:sz w:val="22"/>
              </w:rPr>
              <w:t>2</w:t>
            </w:r>
          </w:p>
        </w:tc>
        <w:tc>
          <w:tcPr>
            <w:tcW w:w="1159" w:type="dxa"/>
            <w:gridSpan w:val="2"/>
          </w:tcPr>
          <w:p w:rsidR="00000000" w:rsidRDefault="00000000">
            <w:pPr>
              <w:jc w:val="center"/>
              <w:rPr>
                <w:sz w:val="22"/>
              </w:rPr>
            </w:pPr>
            <w:r>
              <w:rPr>
                <w:sz w:val="22"/>
              </w:rPr>
              <w:t>3</w:t>
            </w:r>
          </w:p>
        </w:tc>
        <w:tc>
          <w:tcPr>
            <w:tcW w:w="1158" w:type="dxa"/>
          </w:tcPr>
          <w:p w:rsidR="00000000" w:rsidRDefault="00000000">
            <w:pPr>
              <w:jc w:val="center"/>
              <w:rPr>
                <w:sz w:val="22"/>
              </w:rPr>
            </w:pPr>
            <w:r>
              <w:rPr>
                <w:sz w:val="22"/>
              </w:rPr>
              <w:t>1</w:t>
            </w:r>
          </w:p>
        </w:tc>
        <w:tc>
          <w:tcPr>
            <w:tcW w:w="1159" w:type="dxa"/>
            <w:gridSpan w:val="2"/>
          </w:tcPr>
          <w:p w:rsidR="00000000" w:rsidRDefault="00000000">
            <w:pPr>
              <w:jc w:val="center"/>
              <w:rPr>
                <w:sz w:val="22"/>
              </w:rPr>
            </w:pPr>
            <w:r>
              <w:rPr>
                <w:sz w:val="22"/>
              </w:rPr>
              <w:t>6</w:t>
            </w:r>
          </w:p>
        </w:tc>
        <w:tc>
          <w:tcPr>
            <w:tcW w:w="1159" w:type="dxa"/>
          </w:tcPr>
          <w:p w:rsidR="00000000" w:rsidRDefault="00000000">
            <w:pPr>
              <w:jc w:val="center"/>
              <w:rPr>
                <w:sz w:val="22"/>
              </w:rPr>
            </w:pPr>
          </w:p>
        </w:tc>
      </w:tr>
    </w:tbl>
    <w:p w:rsidR="00000000" w:rsidRDefault="00000000">
      <w:pPr>
        <w:jc w:val="center"/>
        <w:rPr>
          <w:b/>
          <w:sz w:val="22"/>
          <w:u w:val="single"/>
        </w:rPr>
      </w:pPr>
    </w:p>
    <w:p w:rsidR="00000000" w:rsidRDefault="00000000">
      <w:pPr>
        <w:jc w:val="center"/>
        <w:rPr>
          <w:b/>
          <w:sz w:val="22"/>
          <w:u w:val="single"/>
        </w:rPr>
      </w:pPr>
    </w:p>
    <w:p w:rsidR="00000000" w:rsidRDefault="00000000">
      <w:pPr>
        <w:jc w:val="center"/>
        <w:rPr>
          <w:b/>
          <w:sz w:val="22"/>
          <w:u w:val="single"/>
        </w:rPr>
      </w:pPr>
      <w:r>
        <w:rPr>
          <w:b/>
          <w:sz w:val="22"/>
          <w:u w:val="single"/>
        </w:rPr>
        <w:t>Direction Générale du Travail et de la Sécurité</w:t>
      </w:r>
    </w:p>
    <w:p w:rsidR="00000000" w:rsidRDefault="00000000">
      <w:pPr>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1"/>
        <w:gridCol w:w="1011"/>
        <w:gridCol w:w="1012"/>
        <w:gridCol w:w="1011"/>
        <w:gridCol w:w="1012"/>
        <w:gridCol w:w="1011"/>
        <w:gridCol w:w="1012"/>
        <w:gridCol w:w="1011"/>
        <w:gridCol w:w="1012"/>
      </w:tblGrid>
      <w:tr w:rsidR="00000000">
        <w:tblPrEx>
          <w:tblCellMar>
            <w:top w:w="0" w:type="dxa"/>
            <w:bottom w:w="0" w:type="dxa"/>
          </w:tblCellMar>
        </w:tblPrEx>
        <w:trPr>
          <w:cantSplit/>
        </w:trPr>
        <w:tc>
          <w:tcPr>
            <w:tcW w:w="1691" w:type="dxa"/>
          </w:tcPr>
          <w:p w:rsidR="00000000" w:rsidRDefault="00000000">
            <w:pPr>
              <w:ind w:left="-540"/>
              <w:rPr>
                <w:sz w:val="22"/>
              </w:rPr>
            </w:pPr>
          </w:p>
        </w:tc>
        <w:tc>
          <w:tcPr>
            <w:tcW w:w="2023" w:type="dxa"/>
            <w:gridSpan w:val="2"/>
          </w:tcPr>
          <w:p w:rsidR="00000000" w:rsidRDefault="00000000">
            <w:pPr>
              <w:jc w:val="center"/>
              <w:rPr>
                <w:b/>
                <w:sz w:val="22"/>
              </w:rPr>
            </w:pPr>
            <w:r>
              <w:rPr>
                <w:b/>
                <w:sz w:val="22"/>
              </w:rPr>
              <w:t>Directeur Général</w:t>
            </w:r>
          </w:p>
        </w:tc>
        <w:tc>
          <w:tcPr>
            <w:tcW w:w="2023" w:type="dxa"/>
            <w:gridSpan w:val="2"/>
          </w:tcPr>
          <w:p w:rsidR="00000000" w:rsidRDefault="00000000">
            <w:pPr>
              <w:jc w:val="center"/>
              <w:rPr>
                <w:b/>
                <w:sz w:val="22"/>
              </w:rPr>
            </w:pPr>
            <w:r>
              <w:rPr>
                <w:b/>
                <w:sz w:val="22"/>
              </w:rPr>
              <w:t>Directeurs Centraux</w:t>
            </w:r>
          </w:p>
        </w:tc>
        <w:tc>
          <w:tcPr>
            <w:tcW w:w="2023" w:type="dxa"/>
            <w:gridSpan w:val="2"/>
          </w:tcPr>
          <w:p w:rsidR="00000000" w:rsidRDefault="00000000">
            <w:pPr>
              <w:jc w:val="center"/>
              <w:rPr>
                <w:b/>
                <w:sz w:val="22"/>
              </w:rPr>
            </w:pPr>
            <w:r>
              <w:rPr>
                <w:b/>
                <w:sz w:val="22"/>
              </w:rPr>
              <w:t>Chefs de Service</w:t>
            </w:r>
          </w:p>
        </w:tc>
        <w:tc>
          <w:tcPr>
            <w:tcW w:w="2023" w:type="dxa"/>
            <w:gridSpan w:val="2"/>
          </w:tcPr>
          <w:p w:rsidR="00000000" w:rsidRDefault="00000000">
            <w:pPr>
              <w:jc w:val="center"/>
              <w:rPr>
                <w:b/>
                <w:sz w:val="22"/>
              </w:rPr>
            </w:pPr>
            <w:r>
              <w:rPr>
                <w:b/>
                <w:sz w:val="22"/>
              </w:rPr>
              <w:t>Chefs de Bureau</w:t>
            </w:r>
          </w:p>
        </w:tc>
      </w:tr>
      <w:tr w:rsidR="00000000">
        <w:tblPrEx>
          <w:tblCellMar>
            <w:top w:w="0" w:type="dxa"/>
            <w:bottom w:w="0" w:type="dxa"/>
          </w:tblCellMar>
        </w:tblPrEx>
        <w:tc>
          <w:tcPr>
            <w:tcW w:w="1691" w:type="dxa"/>
          </w:tcPr>
          <w:p w:rsidR="00000000" w:rsidRDefault="00000000">
            <w:pPr>
              <w:rPr>
                <w:b/>
                <w:sz w:val="22"/>
              </w:rPr>
            </w:pPr>
          </w:p>
          <w:p w:rsidR="00000000" w:rsidRDefault="00000000">
            <w:pPr>
              <w:rPr>
                <w:b/>
                <w:sz w:val="22"/>
              </w:rPr>
            </w:pPr>
            <w:r>
              <w:rPr>
                <w:b/>
                <w:sz w:val="22"/>
              </w:rPr>
              <w:t>Sexes</w:t>
            </w:r>
          </w:p>
        </w:tc>
        <w:tc>
          <w:tcPr>
            <w:tcW w:w="1011" w:type="dxa"/>
          </w:tcPr>
          <w:p w:rsidR="00000000" w:rsidRDefault="00000000">
            <w:pPr>
              <w:jc w:val="center"/>
              <w:rPr>
                <w:b/>
                <w:sz w:val="22"/>
              </w:rPr>
            </w:pPr>
          </w:p>
          <w:p w:rsidR="00000000" w:rsidRDefault="00000000">
            <w:pPr>
              <w:jc w:val="center"/>
              <w:rPr>
                <w:b/>
                <w:sz w:val="22"/>
              </w:rPr>
            </w:pPr>
            <w:r>
              <w:rPr>
                <w:b/>
                <w:sz w:val="22"/>
              </w:rPr>
              <w:t>H</w:t>
            </w:r>
          </w:p>
        </w:tc>
        <w:tc>
          <w:tcPr>
            <w:tcW w:w="1012" w:type="dxa"/>
          </w:tcPr>
          <w:p w:rsidR="00000000" w:rsidRDefault="00000000">
            <w:pPr>
              <w:jc w:val="center"/>
              <w:rPr>
                <w:b/>
                <w:sz w:val="22"/>
              </w:rPr>
            </w:pPr>
          </w:p>
          <w:p w:rsidR="00000000" w:rsidRDefault="00000000">
            <w:pPr>
              <w:jc w:val="center"/>
              <w:rPr>
                <w:b/>
                <w:sz w:val="22"/>
              </w:rPr>
            </w:pPr>
            <w:r>
              <w:rPr>
                <w:b/>
                <w:sz w:val="22"/>
              </w:rPr>
              <w:t>F</w:t>
            </w:r>
          </w:p>
        </w:tc>
        <w:tc>
          <w:tcPr>
            <w:tcW w:w="1011" w:type="dxa"/>
          </w:tcPr>
          <w:p w:rsidR="00000000" w:rsidRDefault="00000000">
            <w:pPr>
              <w:jc w:val="center"/>
              <w:rPr>
                <w:b/>
                <w:sz w:val="22"/>
              </w:rPr>
            </w:pPr>
          </w:p>
          <w:p w:rsidR="00000000" w:rsidRDefault="00000000">
            <w:pPr>
              <w:jc w:val="center"/>
              <w:rPr>
                <w:b/>
                <w:sz w:val="22"/>
                <w:lang w:val="en-GB"/>
              </w:rPr>
            </w:pPr>
            <w:r>
              <w:rPr>
                <w:b/>
                <w:sz w:val="22"/>
                <w:lang w:val="en-GB"/>
              </w:rPr>
              <w:t>H</w:t>
            </w:r>
          </w:p>
        </w:tc>
        <w:tc>
          <w:tcPr>
            <w:tcW w:w="1012"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1011"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1012"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c>
          <w:tcPr>
            <w:tcW w:w="1011" w:type="dxa"/>
          </w:tcPr>
          <w:p w:rsidR="00000000" w:rsidRDefault="00000000">
            <w:pPr>
              <w:jc w:val="center"/>
              <w:rPr>
                <w:b/>
                <w:sz w:val="22"/>
                <w:lang w:val="en-GB"/>
              </w:rPr>
            </w:pPr>
          </w:p>
          <w:p w:rsidR="00000000" w:rsidRDefault="00000000">
            <w:pPr>
              <w:jc w:val="center"/>
              <w:rPr>
                <w:b/>
                <w:sz w:val="22"/>
                <w:lang w:val="en-GB"/>
              </w:rPr>
            </w:pPr>
            <w:r>
              <w:rPr>
                <w:b/>
                <w:sz w:val="22"/>
                <w:lang w:val="en-GB"/>
              </w:rPr>
              <w:t>H</w:t>
            </w:r>
          </w:p>
        </w:tc>
        <w:tc>
          <w:tcPr>
            <w:tcW w:w="1012" w:type="dxa"/>
          </w:tcPr>
          <w:p w:rsidR="00000000" w:rsidRDefault="00000000">
            <w:pPr>
              <w:jc w:val="center"/>
              <w:rPr>
                <w:b/>
                <w:sz w:val="22"/>
                <w:lang w:val="en-GB"/>
              </w:rPr>
            </w:pPr>
          </w:p>
          <w:p w:rsidR="00000000" w:rsidRDefault="00000000">
            <w:pPr>
              <w:jc w:val="center"/>
              <w:rPr>
                <w:b/>
                <w:sz w:val="22"/>
                <w:lang w:val="en-GB"/>
              </w:rPr>
            </w:pPr>
            <w:r>
              <w:rPr>
                <w:b/>
                <w:sz w:val="22"/>
                <w:lang w:val="en-GB"/>
              </w:rPr>
              <w:t>F</w:t>
            </w:r>
          </w:p>
        </w:tc>
      </w:tr>
      <w:tr w:rsidR="00000000">
        <w:tblPrEx>
          <w:tblCellMar>
            <w:top w:w="0" w:type="dxa"/>
            <w:bottom w:w="0" w:type="dxa"/>
          </w:tblCellMar>
        </w:tblPrEx>
        <w:tc>
          <w:tcPr>
            <w:tcW w:w="1691" w:type="dxa"/>
          </w:tcPr>
          <w:p w:rsidR="00000000" w:rsidRDefault="00000000">
            <w:pPr>
              <w:rPr>
                <w:sz w:val="22"/>
                <w:lang w:val="en-GB"/>
              </w:rPr>
            </w:pPr>
          </w:p>
        </w:tc>
        <w:tc>
          <w:tcPr>
            <w:tcW w:w="1011" w:type="dxa"/>
          </w:tcPr>
          <w:p w:rsidR="00000000" w:rsidRDefault="00000000">
            <w:pPr>
              <w:jc w:val="center"/>
              <w:rPr>
                <w:sz w:val="22"/>
              </w:rPr>
            </w:pPr>
            <w:r>
              <w:rPr>
                <w:sz w:val="22"/>
              </w:rPr>
              <w:t>1</w:t>
            </w:r>
          </w:p>
        </w:tc>
        <w:tc>
          <w:tcPr>
            <w:tcW w:w="1012" w:type="dxa"/>
          </w:tcPr>
          <w:p w:rsidR="00000000" w:rsidRDefault="00000000">
            <w:pPr>
              <w:jc w:val="center"/>
              <w:rPr>
                <w:sz w:val="22"/>
              </w:rPr>
            </w:pPr>
            <w:r>
              <w:rPr>
                <w:sz w:val="22"/>
              </w:rPr>
              <w:t>0</w:t>
            </w:r>
          </w:p>
        </w:tc>
        <w:tc>
          <w:tcPr>
            <w:tcW w:w="1011" w:type="dxa"/>
          </w:tcPr>
          <w:p w:rsidR="00000000" w:rsidRDefault="00000000">
            <w:pPr>
              <w:jc w:val="center"/>
              <w:rPr>
                <w:sz w:val="22"/>
              </w:rPr>
            </w:pPr>
            <w:r>
              <w:rPr>
                <w:sz w:val="22"/>
              </w:rPr>
              <w:t>4</w:t>
            </w:r>
          </w:p>
        </w:tc>
        <w:tc>
          <w:tcPr>
            <w:tcW w:w="1012" w:type="dxa"/>
          </w:tcPr>
          <w:p w:rsidR="00000000" w:rsidRDefault="00000000">
            <w:pPr>
              <w:jc w:val="center"/>
              <w:rPr>
                <w:sz w:val="22"/>
              </w:rPr>
            </w:pPr>
          </w:p>
        </w:tc>
        <w:tc>
          <w:tcPr>
            <w:tcW w:w="1011" w:type="dxa"/>
          </w:tcPr>
          <w:p w:rsidR="00000000" w:rsidRDefault="00000000">
            <w:pPr>
              <w:jc w:val="center"/>
              <w:rPr>
                <w:sz w:val="22"/>
              </w:rPr>
            </w:pPr>
            <w:r>
              <w:rPr>
                <w:sz w:val="22"/>
              </w:rPr>
              <w:t>13</w:t>
            </w:r>
          </w:p>
        </w:tc>
        <w:tc>
          <w:tcPr>
            <w:tcW w:w="1012" w:type="dxa"/>
          </w:tcPr>
          <w:p w:rsidR="00000000" w:rsidRDefault="00000000">
            <w:pPr>
              <w:jc w:val="center"/>
              <w:rPr>
                <w:sz w:val="22"/>
              </w:rPr>
            </w:pPr>
            <w:r>
              <w:rPr>
                <w:sz w:val="22"/>
              </w:rPr>
              <w:t>1</w:t>
            </w:r>
          </w:p>
        </w:tc>
        <w:tc>
          <w:tcPr>
            <w:tcW w:w="1011" w:type="dxa"/>
          </w:tcPr>
          <w:p w:rsidR="00000000" w:rsidRDefault="00000000">
            <w:pPr>
              <w:jc w:val="center"/>
              <w:rPr>
                <w:sz w:val="22"/>
              </w:rPr>
            </w:pPr>
            <w:r>
              <w:rPr>
                <w:sz w:val="22"/>
              </w:rPr>
              <w:t>19</w:t>
            </w:r>
          </w:p>
        </w:tc>
        <w:tc>
          <w:tcPr>
            <w:tcW w:w="1012" w:type="dxa"/>
          </w:tcPr>
          <w:p w:rsidR="00000000" w:rsidRDefault="00000000">
            <w:pPr>
              <w:jc w:val="center"/>
              <w:rPr>
                <w:sz w:val="22"/>
              </w:rPr>
            </w:pPr>
            <w:r>
              <w:rPr>
                <w:sz w:val="22"/>
              </w:rPr>
              <w:t>13</w:t>
            </w:r>
          </w:p>
        </w:tc>
      </w:tr>
    </w:tbl>
    <w:p w:rsidR="00000000" w:rsidRDefault="00000000">
      <w:pPr>
        <w:jc w:val="center"/>
        <w:rPr>
          <w:b/>
          <w:sz w:val="22"/>
          <w:u w:val="single"/>
        </w:rPr>
      </w:pPr>
    </w:p>
    <w:p w:rsidR="00000000" w:rsidRDefault="00000000">
      <w:pPr>
        <w:jc w:val="center"/>
        <w:rPr>
          <w:b/>
          <w:sz w:val="22"/>
          <w:u w:val="single"/>
        </w:rPr>
      </w:pPr>
    </w:p>
    <w:p w:rsidR="00000000" w:rsidRDefault="00000000">
      <w:pPr>
        <w:jc w:val="center"/>
        <w:rPr>
          <w:b/>
          <w:sz w:val="22"/>
          <w:u w:val="single"/>
        </w:rPr>
      </w:pPr>
      <w:r>
        <w:rPr>
          <w:b/>
          <w:sz w:val="22"/>
          <w:u w:val="single"/>
        </w:rPr>
        <w:t>Direction de la Caisse de Retraite des Fonctionnaires (CRF)</w:t>
      </w:r>
    </w:p>
    <w:p w:rsidR="00000000" w:rsidRDefault="00000000">
      <w:pPr>
        <w:ind w:left="360"/>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1"/>
        <w:gridCol w:w="1011"/>
        <w:gridCol w:w="1012"/>
        <w:gridCol w:w="1011"/>
        <w:gridCol w:w="1012"/>
        <w:gridCol w:w="1011"/>
        <w:gridCol w:w="1012"/>
        <w:gridCol w:w="1011"/>
        <w:gridCol w:w="1012"/>
      </w:tblGrid>
      <w:tr w:rsidR="00000000">
        <w:tblPrEx>
          <w:tblCellMar>
            <w:top w:w="0" w:type="dxa"/>
            <w:bottom w:w="0" w:type="dxa"/>
          </w:tblCellMar>
        </w:tblPrEx>
        <w:trPr>
          <w:cantSplit/>
        </w:trPr>
        <w:tc>
          <w:tcPr>
            <w:tcW w:w="1691" w:type="dxa"/>
          </w:tcPr>
          <w:p w:rsidR="00000000" w:rsidRDefault="00000000">
            <w:pPr>
              <w:ind w:left="-540"/>
              <w:rPr>
                <w:sz w:val="22"/>
              </w:rPr>
            </w:pPr>
          </w:p>
        </w:tc>
        <w:tc>
          <w:tcPr>
            <w:tcW w:w="2023" w:type="dxa"/>
            <w:gridSpan w:val="2"/>
          </w:tcPr>
          <w:p w:rsidR="00000000" w:rsidRDefault="00000000">
            <w:pPr>
              <w:jc w:val="center"/>
              <w:rPr>
                <w:b/>
                <w:sz w:val="22"/>
              </w:rPr>
            </w:pPr>
            <w:r>
              <w:rPr>
                <w:b/>
                <w:sz w:val="22"/>
              </w:rPr>
              <w:t>Directeur Général</w:t>
            </w:r>
          </w:p>
        </w:tc>
        <w:tc>
          <w:tcPr>
            <w:tcW w:w="2023" w:type="dxa"/>
            <w:gridSpan w:val="2"/>
          </w:tcPr>
          <w:p w:rsidR="00000000" w:rsidRDefault="00000000">
            <w:pPr>
              <w:jc w:val="center"/>
              <w:rPr>
                <w:b/>
                <w:sz w:val="22"/>
              </w:rPr>
            </w:pPr>
            <w:r>
              <w:rPr>
                <w:b/>
                <w:sz w:val="22"/>
              </w:rPr>
              <w:t>Directeurs Centraux</w:t>
            </w:r>
          </w:p>
        </w:tc>
        <w:tc>
          <w:tcPr>
            <w:tcW w:w="2023" w:type="dxa"/>
            <w:gridSpan w:val="2"/>
          </w:tcPr>
          <w:p w:rsidR="00000000" w:rsidRDefault="00000000">
            <w:pPr>
              <w:jc w:val="center"/>
              <w:rPr>
                <w:b/>
                <w:sz w:val="22"/>
              </w:rPr>
            </w:pPr>
            <w:r>
              <w:rPr>
                <w:b/>
                <w:sz w:val="22"/>
              </w:rPr>
              <w:t>Chefs de Service</w:t>
            </w:r>
          </w:p>
        </w:tc>
        <w:tc>
          <w:tcPr>
            <w:tcW w:w="2023" w:type="dxa"/>
            <w:gridSpan w:val="2"/>
          </w:tcPr>
          <w:p w:rsidR="00000000" w:rsidRDefault="00000000">
            <w:pPr>
              <w:jc w:val="center"/>
              <w:rPr>
                <w:b/>
                <w:sz w:val="22"/>
              </w:rPr>
            </w:pPr>
            <w:r>
              <w:rPr>
                <w:b/>
                <w:sz w:val="22"/>
              </w:rPr>
              <w:t>Chefs de Bureau</w:t>
            </w:r>
          </w:p>
        </w:tc>
      </w:tr>
      <w:tr w:rsidR="00000000">
        <w:tblPrEx>
          <w:tblCellMar>
            <w:top w:w="0" w:type="dxa"/>
            <w:bottom w:w="0" w:type="dxa"/>
          </w:tblCellMar>
        </w:tblPrEx>
        <w:tc>
          <w:tcPr>
            <w:tcW w:w="1691" w:type="dxa"/>
          </w:tcPr>
          <w:p w:rsidR="00000000" w:rsidRDefault="00000000">
            <w:pPr>
              <w:rPr>
                <w:b/>
                <w:sz w:val="22"/>
              </w:rPr>
            </w:pPr>
            <w:r>
              <w:rPr>
                <w:b/>
                <w:sz w:val="22"/>
              </w:rPr>
              <w:t>Sexes</w:t>
            </w:r>
          </w:p>
        </w:tc>
        <w:tc>
          <w:tcPr>
            <w:tcW w:w="1011" w:type="dxa"/>
          </w:tcPr>
          <w:p w:rsidR="00000000" w:rsidRDefault="00000000">
            <w:pPr>
              <w:jc w:val="center"/>
              <w:rPr>
                <w:sz w:val="22"/>
              </w:rPr>
            </w:pPr>
            <w:r>
              <w:rPr>
                <w:sz w:val="22"/>
              </w:rPr>
              <w:t>H</w:t>
            </w:r>
          </w:p>
        </w:tc>
        <w:tc>
          <w:tcPr>
            <w:tcW w:w="1012" w:type="dxa"/>
          </w:tcPr>
          <w:p w:rsidR="00000000" w:rsidRDefault="00000000">
            <w:pPr>
              <w:jc w:val="center"/>
              <w:rPr>
                <w:sz w:val="22"/>
              </w:rPr>
            </w:pPr>
            <w:r>
              <w:rPr>
                <w:sz w:val="22"/>
              </w:rPr>
              <w:t>F</w:t>
            </w:r>
          </w:p>
        </w:tc>
        <w:tc>
          <w:tcPr>
            <w:tcW w:w="1011" w:type="dxa"/>
          </w:tcPr>
          <w:p w:rsidR="00000000" w:rsidRDefault="00000000">
            <w:pPr>
              <w:jc w:val="center"/>
              <w:rPr>
                <w:sz w:val="22"/>
                <w:lang w:val="en-GB"/>
              </w:rPr>
            </w:pPr>
            <w:r>
              <w:rPr>
                <w:sz w:val="22"/>
                <w:lang w:val="en-GB"/>
              </w:rPr>
              <w:t>H</w:t>
            </w:r>
          </w:p>
        </w:tc>
        <w:tc>
          <w:tcPr>
            <w:tcW w:w="1012" w:type="dxa"/>
          </w:tcPr>
          <w:p w:rsidR="00000000" w:rsidRDefault="00000000">
            <w:pPr>
              <w:jc w:val="center"/>
              <w:rPr>
                <w:sz w:val="22"/>
                <w:lang w:val="en-GB"/>
              </w:rPr>
            </w:pPr>
            <w:r>
              <w:rPr>
                <w:sz w:val="22"/>
                <w:lang w:val="en-GB"/>
              </w:rPr>
              <w:t>F</w:t>
            </w:r>
          </w:p>
        </w:tc>
        <w:tc>
          <w:tcPr>
            <w:tcW w:w="1011" w:type="dxa"/>
          </w:tcPr>
          <w:p w:rsidR="00000000" w:rsidRDefault="00000000">
            <w:pPr>
              <w:jc w:val="center"/>
              <w:rPr>
                <w:sz w:val="22"/>
                <w:lang w:val="en-GB"/>
              </w:rPr>
            </w:pPr>
            <w:r>
              <w:rPr>
                <w:sz w:val="22"/>
                <w:lang w:val="en-GB"/>
              </w:rPr>
              <w:t>H</w:t>
            </w:r>
          </w:p>
        </w:tc>
        <w:tc>
          <w:tcPr>
            <w:tcW w:w="1012" w:type="dxa"/>
          </w:tcPr>
          <w:p w:rsidR="00000000" w:rsidRDefault="00000000">
            <w:pPr>
              <w:jc w:val="center"/>
              <w:rPr>
                <w:sz w:val="22"/>
                <w:lang w:val="en-GB"/>
              </w:rPr>
            </w:pPr>
            <w:r>
              <w:rPr>
                <w:sz w:val="22"/>
                <w:lang w:val="en-GB"/>
              </w:rPr>
              <w:t>F</w:t>
            </w:r>
          </w:p>
        </w:tc>
        <w:tc>
          <w:tcPr>
            <w:tcW w:w="1011" w:type="dxa"/>
          </w:tcPr>
          <w:p w:rsidR="00000000" w:rsidRDefault="00000000">
            <w:pPr>
              <w:jc w:val="center"/>
              <w:rPr>
                <w:sz w:val="22"/>
                <w:lang w:val="en-GB"/>
              </w:rPr>
            </w:pPr>
            <w:r>
              <w:rPr>
                <w:sz w:val="22"/>
                <w:lang w:val="en-GB"/>
              </w:rPr>
              <w:t>H</w:t>
            </w:r>
          </w:p>
        </w:tc>
        <w:tc>
          <w:tcPr>
            <w:tcW w:w="1012" w:type="dxa"/>
          </w:tcPr>
          <w:p w:rsidR="00000000" w:rsidRDefault="00000000">
            <w:pPr>
              <w:jc w:val="center"/>
              <w:rPr>
                <w:sz w:val="22"/>
                <w:lang w:val="en-GB"/>
              </w:rPr>
            </w:pPr>
            <w:r>
              <w:rPr>
                <w:sz w:val="22"/>
                <w:lang w:val="en-GB"/>
              </w:rPr>
              <w:t>F</w:t>
            </w:r>
          </w:p>
        </w:tc>
      </w:tr>
      <w:tr w:rsidR="00000000">
        <w:tblPrEx>
          <w:tblCellMar>
            <w:top w:w="0" w:type="dxa"/>
            <w:bottom w:w="0" w:type="dxa"/>
          </w:tblCellMar>
        </w:tblPrEx>
        <w:tc>
          <w:tcPr>
            <w:tcW w:w="1691" w:type="dxa"/>
          </w:tcPr>
          <w:p w:rsidR="00000000" w:rsidRDefault="00000000">
            <w:pPr>
              <w:rPr>
                <w:sz w:val="22"/>
                <w:lang w:val="en-GB"/>
              </w:rPr>
            </w:pPr>
          </w:p>
        </w:tc>
        <w:tc>
          <w:tcPr>
            <w:tcW w:w="1011" w:type="dxa"/>
          </w:tcPr>
          <w:p w:rsidR="00000000" w:rsidRDefault="00000000">
            <w:pPr>
              <w:jc w:val="center"/>
              <w:rPr>
                <w:sz w:val="22"/>
              </w:rPr>
            </w:pPr>
            <w:r>
              <w:rPr>
                <w:sz w:val="22"/>
              </w:rPr>
              <w:t>1</w:t>
            </w:r>
          </w:p>
        </w:tc>
        <w:tc>
          <w:tcPr>
            <w:tcW w:w="1012" w:type="dxa"/>
          </w:tcPr>
          <w:p w:rsidR="00000000" w:rsidRDefault="00000000">
            <w:pPr>
              <w:jc w:val="center"/>
              <w:rPr>
                <w:sz w:val="22"/>
              </w:rPr>
            </w:pPr>
            <w:r>
              <w:rPr>
                <w:sz w:val="22"/>
              </w:rPr>
              <w:t>0</w:t>
            </w:r>
          </w:p>
        </w:tc>
        <w:tc>
          <w:tcPr>
            <w:tcW w:w="1011" w:type="dxa"/>
          </w:tcPr>
          <w:p w:rsidR="00000000" w:rsidRDefault="00000000">
            <w:pPr>
              <w:jc w:val="center"/>
              <w:rPr>
                <w:sz w:val="22"/>
              </w:rPr>
            </w:pPr>
            <w:r>
              <w:rPr>
                <w:sz w:val="22"/>
              </w:rPr>
              <w:t>3</w:t>
            </w:r>
          </w:p>
        </w:tc>
        <w:tc>
          <w:tcPr>
            <w:tcW w:w="1012" w:type="dxa"/>
          </w:tcPr>
          <w:p w:rsidR="00000000" w:rsidRDefault="00000000">
            <w:pPr>
              <w:jc w:val="center"/>
              <w:rPr>
                <w:sz w:val="22"/>
              </w:rPr>
            </w:pPr>
            <w:r>
              <w:rPr>
                <w:sz w:val="22"/>
              </w:rPr>
              <w:t>2</w:t>
            </w:r>
          </w:p>
        </w:tc>
        <w:tc>
          <w:tcPr>
            <w:tcW w:w="1011" w:type="dxa"/>
          </w:tcPr>
          <w:p w:rsidR="00000000" w:rsidRDefault="00000000">
            <w:pPr>
              <w:rPr>
                <w:sz w:val="22"/>
              </w:rPr>
            </w:pPr>
          </w:p>
        </w:tc>
        <w:tc>
          <w:tcPr>
            <w:tcW w:w="1012" w:type="dxa"/>
          </w:tcPr>
          <w:p w:rsidR="00000000" w:rsidRDefault="00000000">
            <w:pPr>
              <w:rPr>
                <w:sz w:val="22"/>
              </w:rPr>
            </w:pPr>
          </w:p>
        </w:tc>
        <w:tc>
          <w:tcPr>
            <w:tcW w:w="1011" w:type="dxa"/>
          </w:tcPr>
          <w:p w:rsidR="00000000" w:rsidRDefault="00000000">
            <w:pPr>
              <w:rPr>
                <w:sz w:val="22"/>
              </w:rPr>
            </w:pPr>
          </w:p>
        </w:tc>
        <w:tc>
          <w:tcPr>
            <w:tcW w:w="1012" w:type="dxa"/>
          </w:tcPr>
          <w:p w:rsidR="00000000" w:rsidRDefault="00000000">
            <w:pPr>
              <w:rPr>
                <w:sz w:val="22"/>
              </w:rPr>
            </w:pPr>
          </w:p>
        </w:tc>
      </w:tr>
    </w:tbl>
    <w:p w:rsidR="00000000" w:rsidRDefault="00000000">
      <w:pPr>
        <w:rPr>
          <w:sz w:val="22"/>
        </w:rPr>
      </w:pPr>
    </w:p>
    <w:p w:rsidR="00000000" w:rsidRDefault="00000000">
      <w:pPr>
        <w:rPr>
          <w:sz w:val="22"/>
        </w:rPr>
      </w:pPr>
    </w:p>
    <w:p w:rsidR="00000000" w:rsidRDefault="00000000">
      <w:pPr>
        <w:tabs>
          <w:tab w:val="left" w:pos="1680"/>
        </w:tabs>
        <w:ind w:left="1680" w:hanging="1680"/>
        <w:jc w:val="both"/>
        <w:rPr>
          <w:b/>
          <w:bCs/>
          <w:sz w:val="22"/>
        </w:rPr>
      </w:pPr>
      <w:r>
        <w:rPr>
          <w:b/>
          <w:bCs/>
          <w:sz w:val="22"/>
        </w:rPr>
        <w:t xml:space="preserve">SECTION III - </w:t>
      </w:r>
      <w:r>
        <w:rPr>
          <w:b/>
          <w:bCs/>
          <w:sz w:val="22"/>
          <w:u w:val="single"/>
        </w:rPr>
        <w:t xml:space="preserve">DES CONTRAINTES </w:t>
      </w:r>
    </w:p>
    <w:p w:rsidR="00000000" w:rsidRDefault="00000000">
      <w:pPr>
        <w:pStyle w:val="BodyText2"/>
        <w:jc w:val="both"/>
        <w:rPr>
          <w:b w:val="0"/>
        </w:rPr>
      </w:pPr>
    </w:p>
    <w:p w:rsidR="00000000" w:rsidRDefault="00000000">
      <w:pPr>
        <w:pStyle w:val="BodyText2"/>
        <w:jc w:val="both"/>
        <w:rPr>
          <w:b w:val="0"/>
        </w:rPr>
      </w:pPr>
      <w:r>
        <w:rPr>
          <w:b w:val="0"/>
        </w:rPr>
        <w:t>Malgré les dispositions juridiques et politiques favorables aux femmes, des contraintes d’ordre divers : juridiques, économiques, sociales et culturelles constituent autant de défis à relever pour la participation effective des femmes au processus de développement et l’application adéquate de la convention sur l’élimination de toutes les formes de discrimination à l’égard de la femme.</w:t>
      </w:r>
    </w:p>
    <w:p w:rsidR="00000000" w:rsidRDefault="00000000">
      <w:pPr>
        <w:pStyle w:val="BodyText2"/>
        <w:jc w:val="both"/>
        <w:rPr>
          <w:b w:val="0"/>
        </w:rPr>
      </w:pPr>
    </w:p>
    <w:p w:rsidR="00000000" w:rsidRDefault="00000000">
      <w:pPr>
        <w:pStyle w:val="BodyText2"/>
        <w:jc w:val="both"/>
        <w:rPr>
          <w:b w:val="0"/>
        </w:rPr>
      </w:pPr>
      <w:r>
        <w:rPr>
          <w:b w:val="0"/>
        </w:rPr>
        <w:t>On peut citer notamment :</w:t>
      </w:r>
    </w:p>
    <w:p w:rsidR="00000000" w:rsidRDefault="00000000">
      <w:pPr>
        <w:pStyle w:val="BodyText2"/>
        <w:jc w:val="both"/>
        <w:rPr>
          <w:b w:val="0"/>
        </w:rPr>
      </w:pPr>
    </w:p>
    <w:p w:rsidR="00000000" w:rsidRDefault="00000000">
      <w:pPr>
        <w:pStyle w:val="BodyText2"/>
        <w:numPr>
          <w:ilvl w:val="0"/>
          <w:numId w:val="179"/>
        </w:numPr>
        <w:jc w:val="both"/>
        <w:rPr>
          <w:b w:val="0"/>
        </w:rPr>
      </w:pPr>
      <w:r>
        <w:rPr>
          <w:b w:val="0"/>
        </w:rPr>
        <w:t>la méconnaissance constante des lois et règlements qui met bon nombre de personnes dans des situations irrégulières ;</w:t>
      </w:r>
    </w:p>
    <w:p w:rsidR="00000000" w:rsidRDefault="00000000">
      <w:pPr>
        <w:pStyle w:val="BodyText2"/>
        <w:numPr>
          <w:ilvl w:val="0"/>
          <w:numId w:val="179"/>
        </w:numPr>
        <w:jc w:val="both"/>
        <w:rPr>
          <w:b w:val="0"/>
        </w:rPr>
      </w:pPr>
      <w:r>
        <w:rPr>
          <w:b w:val="0"/>
        </w:rPr>
        <w:t>les vides, les lacunes et les insuffisances observés dans certains textes juridiques ;</w:t>
      </w:r>
    </w:p>
    <w:p w:rsidR="00000000" w:rsidRDefault="00000000">
      <w:pPr>
        <w:pStyle w:val="BodyText2"/>
        <w:numPr>
          <w:ilvl w:val="0"/>
          <w:numId w:val="179"/>
        </w:numPr>
        <w:jc w:val="both"/>
        <w:rPr>
          <w:b w:val="0"/>
        </w:rPr>
      </w:pPr>
      <w:r>
        <w:rPr>
          <w:b w:val="0"/>
        </w:rPr>
        <w:t>les discriminations légales en matière de succession, de mariage, de prise en charge des enfants et pénale ;</w:t>
      </w:r>
    </w:p>
    <w:p w:rsidR="00000000" w:rsidRDefault="00000000">
      <w:pPr>
        <w:pStyle w:val="BodyText2"/>
        <w:numPr>
          <w:ilvl w:val="0"/>
          <w:numId w:val="179"/>
        </w:numPr>
        <w:jc w:val="both"/>
        <w:rPr>
          <w:b w:val="0"/>
        </w:rPr>
      </w:pPr>
      <w:r>
        <w:rPr>
          <w:b w:val="0"/>
        </w:rPr>
        <w:t>la suivance des lois et normes traditionnelles discriminatoires en dépit de leur abrogation formelle ;</w:t>
      </w:r>
    </w:p>
    <w:p w:rsidR="00000000" w:rsidRDefault="00000000">
      <w:pPr>
        <w:pStyle w:val="BodyText2"/>
        <w:numPr>
          <w:ilvl w:val="0"/>
          <w:numId w:val="179"/>
        </w:numPr>
        <w:jc w:val="both"/>
        <w:rPr>
          <w:b w:val="0"/>
        </w:rPr>
      </w:pPr>
      <w:r>
        <w:rPr>
          <w:b w:val="0"/>
        </w:rPr>
        <w:t>l’inégalité dans la répartition des postes de responsabilités ;</w:t>
      </w:r>
    </w:p>
    <w:p w:rsidR="00000000" w:rsidRDefault="00000000">
      <w:pPr>
        <w:pStyle w:val="BodyText2"/>
        <w:numPr>
          <w:ilvl w:val="0"/>
          <w:numId w:val="179"/>
        </w:numPr>
        <w:jc w:val="both"/>
        <w:rPr>
          <w:b w:val="0"/>
        </w:rPr>
      </w:pPr>
      <w:r>
        <w:rPr>
          <w:b w:val="0"/>
        </w:rPr>
        <w:t>le cantonnement des femmes dans des activités économiques d’autosubsistance qui les tiennent à l’écart du véritable développement économique ;</w:t>
      </w:r>
    </w:p>
    <w:p w:rsidR="00000000" w:rsidRDefault="00000000">
      <w:pPr>
        <w:pStyle w:val="BodyText2"/>
        <w:numPr>
          <w:ilvl w:val="0"/>
          <w:numId w:val="179"/>
        </w:numPr>
        <w:jc w:val="both"/>
        <w:rPr>
          <w:b w:val="0"/>
        </w:rPr>
      </w:pPr>
      <w:r>
        <w:rPr>
          <w:b w:val="0"/>
        </w:rPr>
        <w:t>la paupérisation des femmes ;</w:t>
      </w:r>
    </w:p>
    <w:p w:rsidR="00000000" w:rsidRDefault="00000000">
      <w:pPr>
        <w:pStyle w:val="BodyText2"/>
        <w:numPr>
          <w:ilvl w:val="0"/>
          <w:numId w:val="179"/>
        </w:numPr>
        <w:jc w:val="both"/>
        <w:rPr>
          <w:b w:val="0"/>
        </w:rPr>
      </w:pPr>
      <w:r>
        <w:rPr>
          <w:b w:val="0"/>
        </w:rPr>
        <w:t>la précarité de l’état de santé du couple mère et enfant ;</w:t>
      </w:r>
    </w:p>
    <w:p w:rsidR="00000000" w:rsidRDefault="00000000">
      <w:pPr>
        <w:pStyle w:val="BodyText2"/>
        <w:numPr>
          <w:ilvl w:val="0"/>
          <w:numId w:val="179"/>
        </w:numPr>
        <w:jc w:val="both"/>
        <w:rPr>
          <w:b w:val="0"/>
        </w:rPr>
      </w:pPr>
      <w:r>
        <w:rPr>
          <w:b w:val="0"/>
        </w:rPr>
        <w:t>le faible niveau d’instruction de la majorité des femmes ;</w:t>
      </w:r>
    </w:p>
    <w:p w:rsidR="00000000" w:rsidRDefault="00000000">
      <w:pPr>
        <w:pStyle w:val="BodyText2"/>
        <w:numPr>
          <w:ilvl w:val="0"/>
          <w:numId w:val="179"/>
        </w:numPr>
        <w:jc w:val="both"/>
        <w:rPr>
          <w:b w:val="0"/>
        </w:rPr>
      </w:pPr>
      <w:r>
        <w:rPr>
          <w:b w:val="0"/>
        </w:rPr>
        <w:t>l’analphabétisme féminin ;</w:t>
      </w:r>
    </w:p>
    <w:p w:rsidR="00000000" w:rsidRDefault="00000000">
      <w:pPr>
        <w:pStyle w:val="BodyText2"/>
        <w:numPr>
          <w:ilvl w:val="0"/>
          <w:numId w:val="179"/>
        </w:numPr>
        <w:jc w:val="both"/>
        <w:rPr>
          <w:b w:val="0"/>
        </w:rPr>
      </w:pPr>
      <w:r>
        <w:rPr>
          <w:b w:val="0"/>
        </w:rPr>
        <w:t>l’orientation des filles vers des spécialités qui ne répondent pas toujours aux besoins du marché du travail ;</w:t>
      </w:r>
    </w:p>
    <w:p w:rsidR="00000000" w:rsidRDefault="00000000">
      <w:pPr>
        <w:pStyle w:val="BodyText2"/>
        <w:numPr>
          <w:ilvl w:val="0"/>
          <w:numId w:val="179"/>
        </w:numPr>
        <w:jc w:val="both"/>
        <w:rPr>
          <w:b w:val="0"/>
        </w:rPr>
      </w:pPr>
      <w:r>
        <w:rPr>
          <w:b w:val="0"/>
        </w:rPr>
        <w:t>le manque de partis politiques dirigés par les femmes ;</w:t>
      </w:r>
    </w:p>
    <w:p w:rsidR="00000000" w:rsidRDefault="00000000">
      <w:pPr>
        <w:pStyle w:val="BodyText2"/>
        <w:numPr>
          <w:ilvl w:val="0"/>
          <w:numId w:val="179"/>
        </w:numPr>
        <w:jc w:val="both"/>
        <w:rPr>
          <w:b w:val="0"/>
        </w:rPr>
      </w:pPr>
      <w:r>
        <w:rPr>
          <w:b w:val="0"/>
        </w:rPr>
        <w:t>le nombre insuffisant de femmes aux postes de décision des partis politiques ;</w:t>
      </w:r>
    </w:p>
    <w:p w:rsidR="00000000" w:rsidRDefault="00000000">
      <w:pPr>
        <w:pStyle w:val="BodyText2"/>
        <w:numPr>
          <w:ilvl w:val="0"/>
          <w:numId w:val="179"/>
        </w:numPr>
        <w:jc w:val="both"/>
        <w:rPr>
          <w:b w:val="0"/>
        </w:rPr>
      </w:pPr>
      <w:r>
        <w:rPr>
          <w:b w:val="0"/>
        </w:rPr>
        <w:t>le manque de culture électorale au niveau des femmes ;</w:t>
      </w:r>
    </w:p>
    <w:p w:rsidR="00000000" w:rsidRDefault="00000000">
      <w:pPr>
        <w:pStyle w:val="BodyText2"/>
        <w:numPr>
          <w:ilvl w:val="0"/>
          <w:numId w:val="179"/>
        </w:numPr>
        <w:jc w:val="both"/>
        <w:rPr>
          <w:b w:val="0"/>
        </w:rPr>
      </w:pPr>
      <w:r>
        <w:rPr>
          <w:b w:val="0"/>
        </w:rPr>
        <w:t>le mauvais positionnement des femmes lors des élections : la femme est souvent présentée comme suppléante et lorsqu’elle est en tête de liste, elle est proposée comme candidate dans une localité ou une circonscription électorale où ses chances de gagner sont limitées ;</w:t>
      </w:r>
    </w:p>
    <w:p w:rsidR="00000000" w:rsidRDefault="00000000">
      <w:pPr>
        <w:pStyle w:val="BodyText2"/>
        <w:numPr>
          <w:ilvl w:val="0"/>
          <w:numId w:val="179"/>
        </w:numPr>
        <w:jc w:val="both"/>
        <w:rPr>
          <w:b w:val="0"/>
        </w:rPr>
      </w:pPr>
      <w:r>
        <w:rPr>
          <w:b w:val="0"/>
        </w:rPr>
        <w:t>l’intolérance, l’insuffisance de soutien, d’encouragement et de solidarité entre les femmes ;</w:t>
      </w:r>
    </w:p>
    <w:p w:rsidR="00000000" w:rsidRDefault="00000000">
      <w:pPr>
        <w:pStyle w:val="BodyText2"/>
        <w:numPr>
          <w:ilvl w:val="0"/>
          <w:numId w:val="179"/>
        </w:numPr>
        <w:jc w:val="both"/>
        <w:rPr>
          <w:b w:val="0"/>
        </w:rPr>
      </w:pPr>
      <w:r>
        <w:rPr>
          <w:b w:val="0"/>
        </w:rPr>
        <w:t>l’insuffisance de motivation de la femme face aux postes de décision ;</w:t>
      </w:r>
    </w:p>
    <w:p w:rsidR="00000000" w:rsidRDefault="00000000">
      <w:pPr>
        <w:pStyle w:val="BodyText2"/>
        <w:numPr>
          <w:ilvl w:val="0"/>
          <w:numId w:val="179"/>
        </w:numPr>
        <w:jc w:val="both"/>
        <w:rPr>
          <w:b w:val="0"/>
        </w:rPr>
      </w:pPr>
      <w:r>
        <w:rPr>
          <w:b w:val="0"/>
        </w:rPr>
        <w:t>la peur de la femme d’échouer face aux postes de décision (manque de confiance en soi) ;</w:t>
      </w:r>
    </w:p>
    <w:p w:rsidR="00000000" w:rsidRDefault="00000000">
      <w:pPr>
        <w:pStyle w:val="BodyText2"/>
        <w:numPr>
          <w:ilvl w:val="0"/>
          <w:numId w:val="179"/>
        </w:numPr>
        <w:jc w:val="both"/>
        <w:rPr>
          <w:b w:val="0"/>
        </w:rPr>
      </w:pPr>
      <w:r>
        <w:rPr>
          <w:b w:val="0"/>
        </w:rPr>
        <w:t>la non-compétitivité des femmes leaders ;</w:t>
      </w:r>
    </w:p>
    <w:p w:rsidR="00000000" w:rsidRDefault="00000000">
      <w:pPr>
        <w:pStyle w:val="BodyText2"/>
        <w:numPr>
          <w:ilvl w:val="0"/>
          <w:numId w:val="179"/>
        </w:numPr>
        <w:jc w:val="both"/>
        <w:rPr>
          <w:b w:val="0"/>
        </w:rPr>
      </w:pPr>
      <w:r>
        <w:rPr>
          <w:b w:val="0"/>
        </w:rPr>
        <w:t>la non maîtrise de la sexualité et de la santé de la reproduction par les femmes.</w:t>
      </w:r>
    </w:p>
    <w:p w:rsidR="00000000" w:rsidRDefault="00000000">
      <w:pPr>
        <w:pStyle w:val="BodyText2"/>
        <w:jc w:val="both"/>
        <w:rPr>
          <w:b w:val="0"/>
        </w:rPr>
      </w:pPr>
    </w:p>
    <w:p w:rsidR="00000000" w:rsidRDefault="00000000">
      <w:pPr>
        <w:pStyle w:val="BodyText2"/>
        <w:jc w:val="both"/>
        <w:rPr>
          <w:u w:val="single"/>
        </w:rPr>
      </w:pPr>
      <w:r>
        <w:t>SECTION</w:t>
      </w:r>
      <w:r>
        <w:rPr>
          <w:b w:val="0"/>
        </w:rPr>
        <w:t xml:space="preserve"> </w:t>
      </w:r>
      <w:r>
        <w:t xml:space="preserve">IV - </w:t>
      </w:r>
      <w:r>
        <w:rPr>
          <w:u w:val="single"/>
        </w:rPr>
        <w:t>DES PERSPECTIVES</w:t>
      </w:r>
    </w:p>
    <w:p w:rsidR="00000000" w:rsidRDefault="00000000">
      <w:pPr>
        <w:pStyle w:val="BodyText2"/>
        <w:jc w:val="both"/>
        <w:rPr>
          <w:b w:val="0"/>
        </w:rPr>
      </w:pPr>
    </w:p>
    <w:p w:rsidR="00000000" w:rsidRDefault="00000000">
      <w:pPr>
        <w:pStyle w:val="BodyText2"/>
        <w:jc w:val="both"/>
        <w:rPr>
          <w:b w:val="0"/>
        </w:rPr>
      </w:pPr>
      <w:r>
        <w:rPr>
          <w:b w:val="0"/>
        </w:rPr>
        <w:t>L’application effective de la CEDAW est un processus qui nécessite la participation de toutes les couches de notre société en général, des décideurs, des agences de développement et des leaders d’opinion en particulier. Dans notre pays, il y a certes beaucoup d’opportunités pour les femmes. Néanmoins, celles-ci ne conduisent pas toujours à l’adoption de mesures volontaristes. Seule l’équité et la prise en compte de la dimension genre dans toutes les sphères de décision pourront servir de leitmotiv à l’application avec succès de la CEDAW dans notre pays.</w:t>
      </w:r>
    </w:p>
    <w:p w:rsidR="00000000" w:rsidRDefault="00000000">
      <w:pPr>
        <w:pStyle w:val="BodyText2"/>
        <w:jc w:val="both"/>
        <w:rPr>
          <w:b w:val="0"/>
        </w:rPr>
      </w:pPr>
    </w:p>
    <w:p w:rsidR="00000000" w:rsidRDefault="00000000">
      <w:pPr>
        <w:pStyle w:val="BodyText2"/>
        <w:jc w:val="both"/>
        <w:rPr>
          <w:b w:val="0"/>
        </w:rPr>
      </w:pPr>
    </w:p>
    <w:p w:rsidR="00000000" w:rsidRDefault="00000000">
      <w:pPr>
        <w:pStyle w:val="BodyText2"/>
        <w:jc w:val="both"/>
        <w:rPr>
          <w:b w:val="0"/>
        </w:rPr>
      </w:pPr>
      <w:r>
        <w:rPr>
          <w:b w:val="0"/>
        </w:rPr>
        <w:t>Pour ce faire, au titre des perspectives, on peut retenir ce qui suit :</w:t>
      </w:r>
    </w:p>
    <w:p w:rsidR="00000000" w:rsidRDefault="00000000">
      <w:pPr>
        <w:pStyle w:val="BodyText2"/>
        <w:numPr>
          <w:ilvl w:val="0"/>
          <w:numId w:val="180"/>
        </w:numPr>
        <w:jc w:val="both"/>
        <w:rPr>
          <w:b w:val="0"/>
        </w:rPr>
      </w:pPr>
      <w:r>
        <w:rPr>
          <w:b w:val="0"/>
        </w:rPr>
        <w:t>créer des services itinérants de consultations juridiques afin d’aider les femmes à comprendre les textes juridiques et à les interpréter correctement : ceci à l’instar du centre d’aide et d’assistance juridique créé dans le cadre de la maison de la femme par l’association des femmes juristes du Congo (AFJC) ;</w:t>
      </w:r>
    </w:p>
    <w:p w:rsidR="00000000" w:rsidRDefault="00000000">
      <w:pPr>
        <w:pStyle w:val="BodyText2"/>
        <w:numPr>
          <w:ilvl w:val="0"/>
          <w:numId w:val="181"/>
        </w:numPr>
        <w:jc w:val="both"/>
        <w:rPr>
          <w:b w:val="0"/>
        </w:rPr>
      </w:pPr>
      <w:r>
        <w:rPr>
          <w:b w:val="0"/>
        </w:rPr>
        <w:t>encourager les femmes à participer aux activités communautaires et politiques (élections locales et nationales) ;</w:t>
      </w:r>
    </w:p>
    <w:p w:rsidR="00000000" w:rsidRDefault="00000000">
      <w:pPr>
        <w:pStyle w:val="BodyText2"/>
        <w:numPr>
          <w:ilvl w:val="0"/>
          <w:numId w:val="181"/>
        </w:numPr>
        <w:jc w:val="both"/>
        <w:rPr>
          <w:b w:val="0"/>
        </w:rPr>
      </w:pPr>
      <w:r>
        <w:rPr>
          <w:b w:val="0"/>
        </w:rPr>
        <w:t>introduire l’éducation pour la paix et l’enseignement sur les droits humains dans les programmes scolaires ;</w:t>
      </w:r>
    </w:p>
    <w:p w:rsidR="00000000" w:rsidRDefault="00000000">
      <w:pPr>
        <w:pStyle w:val="BodyText2"/>
        <w:numPr>
          <w:ilvl w:val="0"/>
          <w:numId w:val="181"/>
        </w:numPr>
        <w:jc w:val="both"/>
        <w:rPr>
          <w:b w:val="0"/>
        </w:rPr>
      </w:pPr>
      <w:r>
        <w:rPr>
          <w:b w:val="0"/>
        </w:rPr>
        <w:t>donner  une culture démocratique aux femmes (libre choix de leurs candidats) ;</w:t>
      </w:r>
    </w:p>
    <w:p w:rsidR="00000000" w:rsidRDefault="00000000">
      <w:pPr>
        <w:pStyle w:val="BodyText2"/>
        <w:numPr>
          <w:ilvl w:val="0"/>
          <w:numId w:val="181"/>
        </w:numPr>
        <w:jc w:val="both"/>
        <w:rPr>
          <w:b w:val="0"/>
        </w:rPr>
      </w:pPr>
      <w:r>
        <w:rPr>
          <w:b w:val="0"/>
        </w:rPr>
        <w:t>donner  la possibilité aux femmes de se présenter aux élections à tous les niveaux ;</w:t>
      </w:r>
    </w:p>
    <w:p w:rsidR="00000000" w:rsidRDefault="00000000">
      <w:pPr>
        <w:pStyle w:val="BodyText2"/>
        <w:numPr>
          <w:ilvl w:val="0"/>
          <w:numId w:val="181"/>
        </w:numPr>
        <w:jc w:val="both"/>
        <w:rPr>
          <w:b w:val="0"/>
        </w:rPr>
      </w:pPr>
      <w:r>
        <w:rPr>
          <w:b w:val="0"/>
        </w:rPr>
        <w:t>accroître la représentativité des femmes sur le marché de l’emploi et leur accès à différents niveaux de prise de décision ;</w:t>
      </w:r>
    </w:p>
    <w:p w:rsidR="00000000" w:rsidRDefault="00000000">
      <w:pPr>
        <w:pStyle w:val="BodyText2"/>
        <w:numPr>
          <w:ilvl w:val="0"/>
          <w:numId w:val="181"/>
        </w:numPr>
        <w:jc w:val="both"/>
        <w:rPr>
          <w:b w:val="0"/>
        </w:rPr>
      </w:pPr>
      <w:r>
        <w:rPr>
          <w:b w:val="0"/>
        </w:rPr>
        <w:t>informer et éduquer les femmes sur leurs droits afin de les aider à abandonner les préjugés et les  considérations sociales qui les placent souvent au second rang ;</w:t>
      </w:r>
    </w:p>
    <w:p w:rsidR="00000000" w:rsidRDefault="00000000">
      <w:pPr>
        <w:pStyle w:val="BodyText2"/>
        <w:numPr>
          <w:ilvl w:val="0"/>
          <w:numId w:val="181"/>
        </w:numPr>
        <w:jc w:val="both"/>
        <w:rPr>
          <w:b w:val="0"/>
        </w:rPr>
      </w:pPr>
      <w:r>
        <w:rPr>
          <w:b w:val="0"/>
        </w:rPr>
        <w:t>organiser des campagnes de lutte contre l’analphabétisme, les us et coutumes inadaptées ;</w:t>
      </w:r>
    </w:p>
    <w:p w:rsidR="00000000" w:rsidRDefault="00000000">
      <w:pPr>
        <w:pStyle w:val="BodyText2"/>
        <w:numPr>
          <w:ilvl w:val="0"/>
          <w:numId w:val="181"/>
        </w:numPr>
        <w:jc w:val="both"/>
        <w:rPr>
          <w:b w:val="0"/>
        </w:rPr>
      </w:pPr>
      <w:r>
        <w:rPr>
          <w:b w:val="0"/>
        </w:rPr>
        <w:t>promouvoir la fonction technique et professionnelle ;</w:t>
      </w:r>
    </w:p>
    <w:p w:rsidR="00000000" w:rsidRDefault="00000000">
      <w:pPr>
        <w:pStyle w:val="BodyText2"/>
        <w:numPr>
          <w:ilvl w:val="0"/>
          <w:numId w:val="181"/>
        </w:numPr>
        <w:jc w:val="both"/>
        <w:rPr>
          <w:b w:val="0"/>
        </w:rPr>
      </w:pPr>
      <w:r>
        <w:rPr>
          <w:b w:val="0"/>
        </w:rPr>
        <w:t>encourager les femmes et les jeunes filles à s’engager dans les branches techniques et scientifiques qui peuvent les orienter vers des secteurs nouveaux et porteurs ;</w:t>
      </w:r>
    </w:p>
    <w:p w:rsidR="00000000" w:rsidRDefault="00000000">
      <w:pPr>
        <w:pStyle w:val="BodyText2"/>
        <w:numPr>
          <w:ilvl w:val="0"/>
          <w:numId w:val="181"/>
        </w:numPr>
        <w:jc w:val="both"/>
        <w:rPr>
          <w:b w:val="0"/>
        </w:rPr>
      </w:pPr>
      <w:r>
        <w:rPr>
          <w:b w:val="0"/>
        </w:rPr>
        <w:t>multiplier les structures de garde d’enfants pour favoriser la participation des femmes aux activités productives et socioculturelles ;</w:t>
      </w:r>
    </w:p>
    <w:p w:rsidR="00000000" w:rsidRDefault="00000000">
      <w:pPr>
        <w:pStyle w:val="BodyText2"/>
        <w:numPr>
          <w:ilvl w:val="0"/>
          <w:numId w:val="181"/>
        </w:numPr>
        <w:jc w:val="both"/>
        <w:rPr>
          <w:b w:val="0"/>
        </w:rPr>
      </w:pPr>
      <w:r>
        <w:rPr>
          <w:b w:val="0"/>
        </w:rPr>
        <w:t>favoriser le dialogue et le partage entre les hommes et les femmes dans tous les domaines de la vie publique ;</w:t>
      </w:r>
    </w:p>
    <w:p w:rsidR="00000000" w:rsidRDefault="00000000">
      <w:pPr>
        <w:pStyle w:val="BodyText2"/>
        <w:numPr>
          <w:ilvl w:val="0"/>
          <w:numId w:val="181"/>
        </w:numPr>
        <w:jc w:val="both"/>
        <w:rPr>
          <w:b w:val="0"/>
        </w:rPr>
      </w:pPr>
      <w:r>
        <w:rPr>
          <w:b w:val="0"/>
        </w:rPr>
        <w:t>favoriser et encourager la socialisation des enfants ;</w:t>
      </w:r>
    </w:p>
    <w:p w:rsidR="00000000" w:rsidRDefault="00000000">
      <w:pPr>
        <w:pStyle w:val="BodyText2"/>
        <w:numPr>
          <w:ilvl w:val="0"/>
          <w:numId w:val="181"/>
        </w:numPr>
        <w:jc w:val="both"/>
        <w:rPr>
          <w:b w:val="0"/>
        </w:rPr>
      </w:pPr>
      <w:r>
        <w:rPr>
          <w:b w:val="0"/>
        </w:rPr>
        <w:t>offrir les mêmes chances aux filles et aux garçons en matière d’éducation formelle et informelle ;</w:t>
      </w:r>
    </w:p>
    <w:p w:rsidR="00000000" w:rsidRDefault="00000000">
      <w:pPr>
        <w:pStyle w:val="BodyText2"/>
        <w:numPr>
          <w:ilvl w:val="0"/>
          <w:numId w:val="181"/>
        </w:numPr>
        <w:jc w:val="both"/>
        <w:rPr>
          <w:b w:val="0"/>
        </w:rPr>
      </w:pPr>
      <w:r>
        <w:rPr>
          <w:b w:val="0"/>
        </w:rPr>
        <w:t>mettre en place une structure de suivi et d’évaluation de l’application de la CEDAW à tous les niveaux ;</w:t>
      </w:r>
    </w:p>
    <w:p w:rsidR="00000000" w:rsidRDefault="00000000">
      <w:pPr>
        <w:pStyle w:val="BodyText2"/>
        <w:numPr>
          <w:ilvl w:val="0"/>
          <w:numId w:val="181"/>
        </w:numPr>
        <w:jc w:val="both"/>
        <w:rPr>
          <w:b w:val="0"/>
        </w:rPr>
      </w:pPr>
      <w:r>
        <w:rPr>
          <w:b w:val="0"/>
        </w:rPr>
        <w:t>former les femmes au leadership ;</w:t>
      </w:r>
    </w:p>
    <w:p w:rsidR="00000000" w:rsidRDefault="00000000">
      <w:pPr>
        <w:pStyle w:val="BodyText2"/>
        <w:numPr>
          <w:ilvl w:val="0"/>
          <w:numId w:val="181"/>
        </w:numPr>
        <w:jc w:val="both"/>
        <w:rPr>
          <w:b w:val="0"/>
        </w:rPr>
      </w:pPr>
      <w:r>
        <w:rPr>
          <w:b w:val="0"/>
        </w:rPr>
        <w:t>établir le système de quota lors des élections ;</w:t>
      </w:r>
    </w:p>
    <w:p w:rsidR="00000000" w:rsidRDefault="00000000">
      <w:pPr>
        <w:pStyle w:val="BodyText2"/>
        <w:numPr>
          <w:ilvl w:val="0"/>
          <w:numId w:val="181"/>
        </w:numPr>
        <w:jc w:val="both"/>
        <w:rPr>
          <w:b w:val="0"/>
        </w:rPr>
      </w:pPr>
      <w:r>
        <w:rPr>
          <w:b w:val="0"/>
        </w:rPr>
        <w:t>assurer l’accès équitable des femmes et leur participation totale à la préparation des textes juridiques tant au niveau national, régional qu’international ;</w:t>
      </w:r>
    </w:p>
    <w:p w:rsidR="00000000" w:rsidRDefault="00000000">
      <w:pPr>
        <w:pStyle w:val="BodyText2"/>
        <w:numPr>
          <w:ilvl w:val="0"/>
          <w:numId w:val="181"/>
        </w:numPr>
        <w:jc w:val="both"/>
        <w:rPr>
          <w:b w:val="0"/>
        </w:rPr>
      </w:pPr>
      <w:r>
        <w:rPr>
          <w:b w:val="0"/>
        </w:rPr>
        <w:t>disposer d’une banque de données des femmes pour des postes de responsabilité, en cas de besoin ;</w:t>
      </w:r>
    </w:p>
    <w:p w:rsidR="00000000" w:rsidRDefault="00000000">
      <w:pPr>
        <w:pStyle w:val="BodyText2"/>
        <w:numPr>
          <w:ilvl w:val="0"/>
          <w:numId w:val="181"/>
        </w:numPr>
        <w:jc w:val="both"/>
        <w:rPr>
          <w:b w:val="0"/>
        </w:rPr>
      </w:pPr>
      <w:r>
        <w:rPr>
          <w:b w:val="0"/>
        </w:rPr>
        <w:t xml:space="preserve">faire bénéficier aux femmes âgées et handicapées des mesures spéciales de protection en fonction de leurs besoins physiques et moraux ; </w:t>
      </w:r>
    </w:p>
    <w:p w:rsidR="00000000" w:rsidRDefault="00000000">
      <w:pPr>
        <w:pStyle w:val="BodyText2"/>
        <w:numPr>
          <w:ilvl w:val="0"/>
          <w:numId w:val="181"/>
        </w:numPr>
        <w:jc w:val="both"/>
        <w:rPr>
          <w:b w:val="0"/>
        </w:rPr>
      </w:pPr>
      <w:r>
        <w:rPr>
          <w:b w:val="0"/>
        </w:rPr>
        <w:t>instaurer un plaidoyer pour la femme handicapée.</w:t>
      </w:r>
    </w:p>
    <w:p w:rsidR="00000000" w:rsidRDefault="00000000">
      <w:pPr>
        <w:pStyle w:val="BodyText2"/>
        <w:jc w:val="both"/>
        <w:rPr>
          <w:b w:val="0"/>
        </w:rPr>
      </w:pPr>
    </w:p>
    <w:p w:rsidR="00000000" w:rsidRDefault="00000000">
      <w:pPr>
        <w:pStyle w:val="BodyText2"/>
        <w:jc w:val="both"/>
        <w:rPr>
          <w:b w:val="0"/>
        </w:rPr>
      </w:pPr>
    </w:p>
    <w:p w:rsidR="00000000" w:rsidRDefault="00000000">
      <w:pPr>
        <w:pStyle w:val="BodyText2"/>
        <w:jc w:val="both"/>
        <w:rPr>
          <w:b w:val="0"/>
        </w:rPr>
      </w:pPr>
    </w:p>
    <w:tbl>
      <w:tblPr>
        <w:tblW w:w="0" w:type="auto"/>
        <w:tblInd w:w="1346" w:type="dxa"/>
        <w:tblLayout w:type="fixed"/>
        <w:tblCellMar>
          <w:left w:w="70" w:type="dxa"/>
          <w:right w:w="70" w:type="dxa"/>
        </w:tblCellMar>
        <w:tblLook w:val="0000" w:firstRow="0" w:lastRow="0" w:firstColumn="0" w:lastColumn="0" w:noHBand="0" w:noVBand="0"/>
      </w:tblPr>
      <w:tblGrid>
        <w:gridCol w:w="2268"/>
        <w:gridCol w:w="6293"/>
      </w:tblGrid>
      <w:tr w:rsidR="00000000">
        <w:tblPrEx>
          <w:tblCellMar>
            <w:top w:w="0" w:type="dxa"/>
            <w:bottom w:w="0" w:type="dxa"/>
          </w:tblCellMar>
        </w:tblPrEx>
        <w:tc>
          <w:tcPr>
            <w:tcW w:w="2268" w:type="dxa"/>
          </w:tcPr>
          <w:p w:rsidR="00000000" w:rsidRDefault="00000000">
            <w:pPr>
              <w:pStyle w:val="BodyText"/>
              <w:jc w:val="left"/>
              <w:rPr>
                <w:b/>
              </w:rPr>
            </w:pPr>
            <w:r>
              <w:rPr>
                <w:b/>
                <w:u w:val="single"/>
              </w:rPr>
              <w:t>CHAPITRE  VIII</w:t>
            </w:r>
            <w:r>
              <w:rPr>
                <w:b/>
              </w:rPr>
              <w:t> :</w:t>
            </w:r>
          </w:p>
        </w:tc>
        <w:tc>
          <w:tcPr>
            <w:tcW w:w="6293" w:type="dxa"/>
          </w:tcPr>
          <w:p w:rsidR="00000000" w:rsidRDefault="00000000">
            <w:pPr>
              <w:pStyle w:val="BodyText"/>
              <w:jc w:val="left"/>
              <w:rPr>
                <w:b/>
              </w:rPr>
            </w:pPr>
            <w:r>
              <w:rPr>
                <w:b/>
                <w:u w:val="single"/>
              </w:rPr>
              <w:t xml:space="preserve">LA PARTICIPATION DES FEMMES AU SEIN DES REPRESENTATIONS ET INSTITUTIONS INTERNATIONALES </w:t>
            </w:r>
            <w:r>
              <w:rPr>
                <w:b/>
              </w:rPr>
              <w:t>(article 8)</w:t>
            </w:r>
          </w:p>
        </w:tc>
      </w:tr>
    </w:tbl>
    <w:p w:rsidR="00000000" w:rsidRDefault="00000000">
      <w:pPr>
        <w:pStyle w:val="BodyText"/>
        <w:jc w:val="left"/>
        <w:rPr>
          <w:b/>
          <w:sz w:val="22"/>
        </w:rPr>
      </w:pPr>
    </w:p>
    <w:p w:rsidR="00000000" w:rsidRDefault="00000000">
      <w:pPr>
        <w:pStyle w:val="BodyText"/>
        <w:jc w:val="left"/>
        <w:rPr>
          <w:b/>
          <w:sz w:val="22"/>
        </w:rPr>
      </w:pPr>
      <w:r>
        <w:rPr>
          <w:b/>
          <w:sz w:val="22"/>
          <w:u w:val="single"/>
        </w:rPr>
        <w:t>Article 8</w:t>
      </w:r>
      <w:r>
        <w:rPr>
          <w:b/>
          <w:sz w:val="22"/>
        </w:rPr>
        <w:t> :</w:t>
      </w:r>
    </w:p>
    <w:p w:rsidR="00000000" w:rsidRDefault="00000000">
      <w:pPr>
        <w:pStyle w:val="BodyText"/>
        <w:jc w:val="left"/>
        <w:rPr>
          <w:b/>
          <w:sz w:val="22"/>
        </w:rPr>
      </w:pPr>
    </w:p>
    <w:p w:rsidR="00000000" w:rsidRDefault="00000000">
      <w:pPr>
        <w:pStyle w:val="BodyText"/>
        <w:rPr>
          <w:i/>
          <w:sz w:val="22"/>
        </w:rPr>
      </w:pPr>
      <w:r>
        <w:rPr>
          <w:i/>
          <w:sz w:val="22"/>
        </w:rPr>
        <w:t>« Les États parties prennent toutes les mesures appropriées pour que les femmes, dans les conditions d’égalité avec les hommes et sans aucune discrimination, aient la possibilité de représenter leur gouvernement à l’échelon international et de participer aux travaux des organisations internationales ».</w:t>
      </w:r>
    </w:p>
    <w:p w:rsidR="00000000" w:rsidRDefault="00000000">
      <w:pPr>
        <w:pStyle w:val="BodyText"/>
        <w:rPr>
          <w:sz w:val="22"/>
        </w:rPr>
      </w:pPr>
    </w:p>
    <w:p w:rsidR="00000000" w:rsidRDefault="00000000">
      <w:pPr>
        <w:pStyle w:val="BodyText"/>
        <w:rPr>
          <w:b/>
          <w:sz w:val="22"/>
          <w:u w:val="single"/>
        </w:rPr>
      </w:pPr>
      <w:r>
        <w:rPr>
          <w:b/>
          <w:sz w:val="22"/>
        </w:rPr>
        <w:t xml:space="preserve">SECTION I - </w:t>
      </w:r>
      <w:r>
        <w:rPr>
          <w:b/>
          <w:sz w:val="22"/>
          <w:u w:val="single"/>
        </w:rPr>
        <w:t>ETAT DE LA LÉGISLATION</w:t>
      </w:r>
    </w:p>
    <w:p w:rsidR="00000000" w:rsidRDefault="00000000">
      <w:pPr>
        <w:pStyle w:val="BodyText"/>
        <w:rPr>
          <w:sz w:val="22"/>
        </w:rPr>
      </w:pPr>
    </w:p>
    <w:p w:rsidR="00000000" w:rsidRDefault="00000000">
      <w:pPr>
        <w:pStyle w:val="BodyText"/>
        <w:rPr>
          <w:sz w:val="22"/>
        </w:rPr>
      </w:pPr>
      <w:r>
        <w:rPr>
          <w:sz w:val="22"/>
        </w:rPr>
        <w:t>Depuis l’accession de la République du Congo à l’indépendance en 1960, l’accès aux emplois publics repose sur un principe constitutionnel qui reconnaît l’égalité d’accès de tous les citoyens aux différents emplois de la fonction publique dont les postes diplomatiques et consulaires.</w:t>
      </w:r>
    </w:p>
    <w:p w:rsidR="00000000" w:rsidRDefault="00000000">
      <w:pPr>
        <w:pStyle w:val="BodyText"/>
        <w:rPr>
          <w:sz w:val="22"/>
        </w:rPr>
      </w:pPr>
    </w:p>
    <w:p w:rsidR="00000000" w:rsidRDefault="00000000">
      <w:pPr>
        <w:pStyle w:val="BodyText"/>
        <w:rPr>
          <w:sz w:val="22"/>
        </w:rPr>
      </w:pPr>
      <w:r>
        <w:rPr>
          <w:sz w:val="22"/>
        </w:rPr>
        <w:t>Avant la suspension des recrutements dans la fonction publique, en 1993, suite aux mesures d’ajustement structurel, le recrutement dans l’administration publique se faisait sur simple demande d’emploi déposée à la direction générale de la fonction publique, par tout citoyen congolais, sans  distinction de sexe, détenteur d’un diplôme professionnel, universitaire ou autre.</w:t>
      </w:r>
    </w:p>
    <w:p w:rsidR="00000000" w:rsidRDefault="00000000">
      <w:pPr>
        <w:pStyle w:val="BodyText"/>
        <w:rPr>
          <w:sz w:val="22"/>
        </w:rPr>
      </w:pPr>
    </w:p>
    <w:p w:rsidR="00000000" w:rsidRDefault="00000000">
      <w:pPr>
        <w:pStyle w:val="BodyText"/>
        <w:rPr>
          <w:sz w:val="22"/>
        </w:rPr>
      </w:pPr>
      <w:r>
        <w:rPr>
          <w:sz w:val="22"/>
        </w:rPr>
        <w:t>Du point de vue juridique, la femme congolaise jouit des mêmes droits que l’homme en ce qui concerne l’accès aux emplois de la fonction publique en général, et, aux emplois diplomatiques et consulaires en particulier.</w:t>
      </w:r>
    </w:p>
    <w:p w:rsidR="00000000" w:rsidRDefault="00000000">
      <w:pPr>
        <w:pStyle w:val="BodyText"/>
        <w:jc w:val="left"/>
        <w:rPr>
          <w:sz w:val="22"/>
        </w:rPr>
      </w:pPr>
    </w:p>
    <w:p w:rsidR="00000000" w:rsidRDefault="00000000">
      <w:pPr>
        <w:pStyle w:val="BodyText"/>
        <w:ind w:left="1425" w:hanging="1425"/>
        <w:jc w:val="left"/>
        <w:rPr>
          <w:b/>
          <w:sz w:val="22"/>
          <w:u w:val="single"/>
        </w:rPr>
      </w:pPr>
      <w:r>
        <w:rPr>
          <w:b/>
          <w:sz w:val="22"/>
        </w:rPr>
        <w:br w:type="page"/>
        <w:t>SECTION II -</w:t>
      </w:r>
      <w:r>
        <w:rPr>
          <w:b/>
          <w:sz w:val="22"/>
        </w:rPr>
        <w:tab/>
      </w:r>
      <w:r>
        <w:rPr>
          <w:b/>
          <w:sz w:val="22"/>
          <w:u w:val="single"/>
        </w:rPr>
        <w:t>REPRÉSENTATIVITÉ DES FEMMES DANS LES POSTES DIPLOMATIQUES ET CONSULAIRES</w:t>
      </w:r>
    </w:p>
    <w:p w:rsidR="00000000" w:rsidRDefault="00000000">
      <w:pPr>
        <w:pStyle w:val="BodyText"/>
        <w:jc w:val="left"/>
        <w:rPr>
          <w:sz w:val="22"/>
        </w:rPr>
      </w:pPr>
    </w:p>
    <w:p w:rsidR="00000000" w:rsidRDefault="00000000">
      <w:pPr>
        <w:pStyle w:val="BodyText"/>
        <w:jc w:val="left"/>
        <w:rPr>
          <w:sz w:val="22"/>
        </w:rPr>
      </w:pPr>
      <w:r>
        <w:rPr>
          <w:sz w:val="22"/>
        </w:rPr>
        <w:t>La représentativité des femmes sera examinée aux niveaux national et international.</w:t>
      </w:r>
    </w:p>
    <w:p w:rsidR="00000000" w:rsidRDefault="00000000">
      <w:pPr>
        <w:pStyle w:val="BodyText"/>
        <w:jc w:val="left"/>
        <w:rPr>
          <w:sz w:val="22"/>
        </w:rPr>
      </w:pPr>
    </w:p>
    <w:p w:rsidR="00000000" w:rsidRDefault="00000000">
      <w:pPr>
        <w:pStyle w:val="BodyText"/>
        <w:jc w:val="left"/>
        <w:rPr>
          <w:b/>
          <w:sz w:val="22"/>
        </w:rPr>
      </w:pPr>
      <w:r>
        <w:rPr>
          <w:b/>
          <w:sz w:val="22"/>
        </w:rPr>
        <w:t xml:space="preserve">I- </w:t>
      </w:r>
      <w:r>
        <w:rPr>
          <w:b/>
          <w:sz w:val="22"/>
          <w:u w:val="single"/>
        </w:rPr>
        <w:t>Au niveau national</w:t>
      </w:r>
      <w:r>
        <w:rPr>
          <w:b/>
          <w:sz w:val="22"/>
        </w:rPr>
        <w:t> :</w:t>
      </w:r>
    </w:p>
    <w:p w:rsidR="00000000" w:rsidRDefault="00000000">
      <w:pPr>
        <w:pStyle w:val="BodyText"/>
        <w:jc w:val="left"/>
        <w:rPr>
          <w:sz w:val="22"/>
        </w:rPr>
      </w:pPr>
    </w:p>
    <w:p w:rsidR="00000000" w:rsidRDefault="00000000">
      <w:pPr>
        <w:pStyle w:val="BodyText"/>
        <w:rPr>
          <w:sz w:val="22"/>
        </w:rPr>
      </w:pPr>
      <w:r>
        <w:rPr>
          <w:sz w:val="22"/>
        </w:rPr>
        <w:t>Le département diplomatique du Cabinet du Président de la République comprend un conseiller de sexe masculin et quatre attachés dont une femme.</w:t>
      </w:r>
    </w:p>
    <w:p w:rsidR="00000000" w:rsidRDefault="00000000">
      <w:pPr>
        <w:pStyle w:val="BodyText"/>
        <w:rPr>
          <w:sz w:val="22"/>
        </w:rPr>
      </w:pPr>
      <w:r>
        <w:rPr>
          <w:sz w:val="22"/>
        </w:rPr>
        <w:t>Au ministère des affaires étrangères, de la coopération et de la francophonie, la répartition des postes met en évidence la sous-représentativité des femmes.</w:t>
      </w:r>
    </w:p>
    <w:p w:rsidR="00000000" w:rsidRDefault="00000000">
      <w:pPr>
        <w:pStyle w:val="BodyText"/>
        <w:rPr>
          <w:sz w:val="22"/>
        </w:rPr>
      </w:pPr>
    </w:p>
    <w:p w:rsidR="00000000" w:rsidRDefault="00000000">
      <w:pPr>
        <w:pStyle w:val="BodyText"/>
        <w:rPr>
          <w:b/>
          <w:sz w:val="22"/>
        </w:rPr>
      </w:pPr>
      <w:r>
        <w:rPr>
          <w:b/>
          <w:sz w:val="22"/>
          <w:u w:val="single"/>
        </w:rPr>
        <w:t>Tableau n° 25</w:t>
      </w:r>
      <w:r>
        <w:rPr>
          <w:b/>
          <w:sz w:val="22"/>
        </w:rPr>
        <w:t> : Répartition des femmes dans l’Administration centrale des affaires étrangères</w:t>
      </w:r>
    </w:p>
    <w:p w:rsidR="00000000" w:rsidRDefault="00000000">
      <w:pPr>
        <w:pStyle w:val="BodyText"/>
        <w:jc w:val="left"/>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
        <w:gridCol w:w="815"/>
        <w:gridCol w:w="815"/>
        <w:gridCol w:w="816"/>
        <w:gridCol w:w="815"/>
        <w:gridCol w:w="815"/>
        <w:gridCol w:w="815"/>
        <w:gridCol w:w="816"/>
        <w:gridCol w:w="815"/>
        <w:gridCol w:w="815"/>
        <w:gridCol w:w="815"/>
        <w:gridCol w:w="816"/>
      </w:tblGrid>
      <w:tr w:rsidR="00000000">
        <w:tblPrEx>
          <w:tblCellMar>
            <w:top w:w="0" w:type="dxa"/>
            <w:bottom w:w="0" w:type="dxa"/>
          </w:tblCellMar>
        </w:tblPrEx>
        <w:trPr>
          <w:cantSplit/>
        </w:trPr>
        <w:tc>
          <w:tcPr>
            <w:tcW w:w="1630" w:type="dxa"/>
            <w:gridSpan w:val="2"/>
          </w:tcPr>
          <w:p w:rsidR="00000000" w:rsidRDefault="00000000">
            <w:pPr>
              <w:pStyle w:val="BodyText"/>
              <w:jc w:val="center"/>
              <w:rPr>
                <w:sz w:val="22"/>
              </w:rPr>
            </w:pPr>
            <w:r>
              <w:rPr>
                <w:sz w:val="22"/>
              </w:rPr>
              <w:t>Directeur de cabinet</w:t>
            </w:r>
          </w:p>
        </w:tc>
        <w:tc>
          <w:tcPr>
            <w:tcW w:w="1631" w:type="dxa"/>
            <w:gridSpan w:val="2"/>
          </w:tcPr>
          <w:p w:rsidR="00000000" w:rsidRDefault="00000000">
            <w:pPr>
              <w:pStyle w:val="BodyText"/>
              <w:jc w:val="center"/>
              <w:rPr>
                <w:sz w:val="22"/>
              </w:rPr>
            </w:pPr>
            <w:r>
              <w:rPr>
                <w:sz w:val="22"/>
              </w:rPr>
              <w:t>Secrétaire général</w:t>
            </w:r>
          </w:p>
        </w:tc>
        <w:tc>
          <w:tcPr>
            <w:tcW w:w="1630" w:type="dxa"/>
            <w:gridSpan w:val="2"/>
          </w:tcPr>
          <w:p w:rsidR="00000000" w:rsidRDefault="00000000">
            <w:pPr>
              <w:pStyle w:val="BodyText"/>
              <w:jc w:val="center"/>
              <w:rPr>
                <w:sz w:val="22"/>
              </w:rPr>
            </w:pPr>
            <w:r>
              <w:rPr>
                <w:sz w:val="22"/>
              </w:rPr>
              <w:t>Chef de département</w:t>
            </w:r>
          </w:p>
        </w:tc>
        <w:tc>
          <w:tcPr>
            <w:tcW w:w="1631" w:type="dxa"/>
            <w:gridSpan w:val="2"/>
          </w:tcPr>
          <w:p w:rsidR="00000000" w:rsidRDefault="00000000">
            <w:pPr>
              <w:pStyle w:val="BodyText"/>
              <w:jc w:val="center"/>
              <w:rPr>
                <w:sz w:val="22"/>
              </w:rPr>
            </w:pPr>
          </w:p>
          <w:p w:rsidR="00000000" w:rsidRDefault="00000000">
            <w:pPr>
              <w:pStyle w:val="BodyText"/>
              <w:jc w:val="center"/>
              <w:rPr>
                <w:sz w:val="22"/>
              </w:rPr>
            </w:pPr>
            <w:r>
              <w:rPr>
                <w:sz w:val="22"/>
              </w:rPr>
              <w:t>Directeurs</w:t>
            </w:r>
          </w:p>
        </w:tc>
        <w:tc>
          <w:tcPr>
            <w:tcW w:w="1630" w:type="dxa"/>
            <w:gridSpan w:val="2"/>
          </w:tcPr>
          <w:p w:rsidR="00000000" w:rsidRDefault="00000000">
            <w:pPr>
              <w:pStyle w:val="BodyText"/>
              <w:jc w:val="center"/>
              <w:rPr>
                <w:sz w:val="22"/>
              </w:rPr>
            </w:pPr>
            <w:r>
              <w:rPr>
                <w:sz w:val="22"/>
              </w:rPr>
              <w:t>Chef de division</w:t>
            </w:r>
          </w:p>
        </w:tc>
        <w:tc>
          <w:tcPr>
            <w:tcW w:w="1631" w:type="dxa"/>
            <w:gridSpan w:val="2"/>
          </w:tcPr>
          <w:p w:rsidR="00000000" w:rsidRDefault="00000000">
            <w:pPr>
              <w:pStyle w:val="BodyText"/>
              <w:jc w:val="center"/>
              <w:rPr>
                <w:sz w:val="22"/>
              </w:rPr>
            </w:pPr>
            <w:r>
              <w:rPr>
                <w:sz w:val="22"/>
              </w:rPr>
              <w:t>Chef de section</w:t>
            </w:r>
          </w:p>
        </w:tc>
      </w:tr>
      <w:tr w:rsidR="00000000">
        <w:tblPrEx>
          <w:tblCellMar>
            <w:top w:w="0" w:type="dxa"/>
            <w:bottom w:w="0" w:type="dxa"/>
          </w:tblCellMar>
        </w:tblPrEx>
        <w:tc>
          <w:tcPr>
            <w:tcW w:w="815" w:type="dxa"/>
          </w:tcPr>
          <w:p w:rsidR="00000000" w:rsidRDefault="00000000">
            <w:pPr>
              <w:pStyle w:val="BodyText"/>
              <w:jc w:val="center"/>
              <w:rPr>
                <w:sz w:val="22"/>
                <w:lang w:val="en-GB"/>
              </w:rPr>
            </w:pPr>
            <w:r>
              <w:rPr>
                <w:sz w:val="22"/>
                <w:lang w:val="en-GB"/>
              </w:rPr>
              <w:t>H</w:t>
            </w:r>
          </w:p>
        </w:tc>
        <w:tc>
          <w:tcPr>
            <w:tcW w:w="815" w:type="dxa"/>
          </w:tcPr>
          <w:p w:rsidR="00000000" w:rsidRDefault="00000000">
            <w:pPr>
              <w:pStyle w:val="BodyText"/>
              <w:jc w:val="center"/>
              <w:rPr>
                <w:sz w:val="22"/>
                <w:lang w:val="en-GB"/>
              </w:rPr>
            </w:pPr>
            <w:r>
              <w:rPr>
                <w:sz w:val="22"/>
                <w:lang w:val="en-GB"/>
              </w:rPr>
              <w:t>F</w:t>
            </w:r>
          </w:p>
        </w:tc>
        <w:tc>
          <w:tcPr>
            <w:tcW w:w="815" w:type="dxa"/>
          </w:tcPr>
          <w:p w:rsidR="00000000" w:rsidRDefault="00000000">
            <w:pPr>
              <w:pStyle w:val="BodyText"/>
              <w:jc w:val="center"/>
              <w:rPr>
                <w:sz w:val="22"/>
                <w:lang w:val="en-GB"/>
              </w:rPr>
            </w:pPr>
            <w:r>
              <w:rPr>
                <w:sz w:val="22"/>
                <w:lang w:val="en-GB"/>
              </w:rPr>
              <w:t>H</w:t>
            </w:r>
          </w:p>
        </w:tc>
        <w:tc>
          <w:tcPr>
            <w:tcW w:w="816" w:type="dxa"/>
          </w:tcPr>
          <w:p w:rsidR="00000000" w:rsidRDefault="00000000">
            <w:pPr>
              <w:pStyle w:val="BodyText"/>
              <w:jc w:val="center"/>
              <w:rPr>
                <w:sz w:val="22"/>
                <w:lang w:val="en-GB"/>
              </w:rPr>
            </w:pPr>
            <w:r>
              <w:rPr>
                <w:sz w:val="22"/>
                <w:lang w:val="en-GB"/>
              </w:rPr>
              <w:t>F</w:t>
            </w:r>
          </w:p>
        </w:tc>
        <w:tc>
          <w:tcPr>
            <w:tcW w:w="815" w:type="dxa"/>
          </w:tcPr>
          <w:p w:rsidR="00000000" w:rsidRDefault="00000000">
            <w:pPr>
              <w:pStyle w:val="BodyText"/>
              <w:jc w:val="center"/>
              <w:rPr>
                <w:sz w:val="22"/>
                <w:lang w:val="en-GB"/>
              </w:rPr>
            </w:pPr>
            <w:r>
              <w:rPr>
                <w:sz w:val="22"/>
                <w:lang w:val="en-GB"/>
              </w:rPr>
              <w:t>H</w:t>
            </w:r>
          </w:p>
        </w:tc>
        <w:tc>
          <w:tcPr>
            <w:tcW w:w="815" w:type="dxa"/>
          </w:tcPr>
          <w:p w:rsidR="00000000" w:rsidRDefault="00000000">
            <w:pPr>
              <w:pStyle w:val="BodyText"/>
              <w:jc w:val="center"/>
              <w:rPr>
                <w:sz w:val="22"/>
                <w:lang w:val="en-GB"/>
              </w:rPr>
            </w:pPr>
            <w:r>
              <w:rPr>
                <w:sz w:val="22"/>
                <w:lang w:val="en-GB"/>
              </w:rPr>
              <w:t>F</w:t>
            </w:r>
          </w:p>
        </w:tc>
        <w:tc>
          <w:tcPr>
            <w:tcW w:w="815" w:type="dxa"/>
          </w:tcPr>
          <w:p w:rsidR="00000000" w:rsidRDefault="00000000">
            <w:pPr>
              <w:pStyle w:val="BodyText"/>
              <w:jc w:val="center"/>
              <w:rPr>
                <w:sz w:val="22"/>
                <w:lang w:val="en-GB"/>
              </w:rPr>
            </w:pPr>
            <w:r>
              <w:rPr>
                <w:sz w:val="22"/>
                <w:lang w:val="en-GB"/>
              </w:rPr>
              <w:t>H</w:t>
            </w:r>
          </w:p>
        </w:tc>
        <w:tc>
          <w:tcPr>
            <w:tcW w:w="816" w:type="dxa"/>
          </w:tcPr>
          <w:p w:rsidR="00000000" w:rsidRDefault="00000000">
            <w:pPr>
              <w:pStyle w:val="BodyText"/>
              <w:jc w:val="center"/>
              <w:rPr>
                <w:sz w:val="22"/>
                <w:lang w:val="en-GB"/>
              </w:rPr>
            </w:pPr>
            <w:r>
              <w:rPr>
                <w:sz w:val="22"/>
                <w:lang w:val="en-GB"/>
              </w:rPr>
              <w:t>F</w:t>
            </w:r>
          </w:p>
        </w:tc>
        <w:tc>
          <w:tcPr>
            <w:tcW w:w="815" w:type="dxa"/>
          </w:tcPr>
          <w:p w:rsidR="00000000" w:rsidRDefault="00000000">
            <w:pPr>
              <w:pStyle w:val="BodyText"/>
              <w:jc w:val="center"/>
              <w:rPr>
                <w:sz w:val="22"/>
                <w:lang w:val="en-GB"/>
              </w:rPr>
            </w:pPr>
            <w:r>
              <w:rPr>
                <w:sz w:val="22"/>
                <w:lang w:val="en-GB"/>
              </w:rPr>
              <w:t>H</w:t>
            </w:r>
          </w:p>
        </w:tc>
        <w:tc>
          <w:tcPr>
            <w:tcW w:w="815" w:type="dxa"/>
          </w:tcPr>
          <w:p w:rsidR="00000000" w:rsidRDefault="00000000">
            <w:pPr>
              <w:pStyle w:val="BodyText"/>
              <w:jc w:val="center"/>
              <w:rPr>
                <w:sz w:val="22"/>
                <w:lang w:val="en-GB"/>
              </w:rPr>
            </w:pPr>
            <w:r>
              <w:rPr>
                <w:sz w:val="22"/>
                <w:lang w:val="en-GB"/>
              </w:rPr>
              <w:t>F</w:t>
            </w:r>
          </w:p>
        </w:tc>
        <w:tc>
          <w:tcPr>
            <w:tcW w:w="815" w:type="dxa"/>
          </w:tcPr>
          <w:p w:rsidR="00000000" w:rsidRDefault="00000000">
            <w:pPr>
              <w:pStyle w:val="BodyText"/>
              <w:jc w:val="center"/>
              <w:rPr>
                <w:sz w:val="22"/>
                <w:lang w:val="en-GB"/>
              </w:rPr>
            </w:pPr>
            <w:r>
              <w:rPr>
                <w:sz w:val="22"/>
                <w:lang w:val="en-GB"/>
              </w:rPr>
              <w:t>H</w:t>
            </w:r>
          </w:p>
        </w:tc>
        <w:tc>
          <w:tcPr>
            <w:tcW w:w="816" w:type="dxa"/>
          </w:tcPr>
          <w:p w:rsidR="00000000" w:rsidRDefault="00000000">
            <w:pPr>
              <w:pStyle w:val="BodyText"/>
              <w:jc w:val="center"/>
              <w:rPr>
                <w:sz w:val="22"/>
                <w:lang w:val="en-GB"/>
              </w:rPr>
            </w:pPr>
            <w:r>
              <w:rPr>
                <w:sz w:val="22"/>
                <w:lang w:val="en-GB"/>
              </w:rPr>
              <w:t>F</w:t>
            </w:r>
          </w:p>
        </w:tc>
      </w:tr>
      <w:tr w:rsidR="00000000">
        <w:tblPrEx>
          <w:tblCellMar>
            <w:top w:w="0" w:type="dxa"/>
            <w:bottom w:w="0" w:type="dxa"/>
          </w:tblCellMar>
        </w:tblPrEx>
        <w:tc>
          <w:tcPr>
            <w:tcW w:w="815" w:type="dxa"/>
          </w:tcPr>
          <w:p w:rsidR="00000000" w:rsidRDefault="00000000">
            <w:pPr>
              <w:pStyle w:val="BodyText"/>
              <w:jc w:val="center"/>
              <w:rPr>
                <w:sz w:val="22"/>
              </w:rPr>
            </w:pPr>
            <w:r>
              <w:rPr>
                <w:sz w:val="22"/>
              </w:rPr>
              <w:t>01</w:t>
            </w:r>
          </w:p>
        </w:tc>
        <w:tc>
          <w:tcPr>
            <w:tcW w:w="815" w:type="dxa"/>
          </w:tcPr>
          <w:p w:rsidR="00000000" w:rsidRDefault="00000000">
            <w:pPr>
              <w:pStyle w:val="BodyText"/>
              <w:jc w:val="center"/>
              <w:rPr>
                <w:sz w:val="22"/>
              </w:rPr>
            </w:pPr>
            <w:r>
              <w:rPr>
                <w:sz w:val="22"/>
              </w:rPr>
              <w:t>00</w:t>
            </w:r>
          </w:p>
        </w:tc>
        <w:tc>
          <w:tcPr>
            <w:tcW w:w="815" w:type="dxa"/>
          </w:tcPr>
          <w:p w:rsidR="00000000" w:rsidRDefault="00000000">
            <w:pPr>
              <w:pStyle w:val="BodyText"/>
              <w:jc w:val="center"/>
              <w:rPr>
                <w:sz w:val="22"/>
              </w:rPr>
            </w:pPr>
            <w:r>
              <w:rPr>
                <w:sz w:val="22"/>
              </w:rPr>
              <w:t>01</w:t>
            </w:r>
          </w:p>
        </w:tc>
        <w:tc>
          <w:tcPr>
            <w:tcW w:w="816" w:type="dxa"/>
          </w:tcPr>
          <w:p w:rsidR="00000000" w:rsidRDefault="00000000">
            <w:pPr>
              <w:pStyle w:val="BodyText"/>
              <w:jc w:val="center"/>
              <w:rPr>
                <w:sz w:val="22"/>
              </w:rPr>
            </w:pPr>
            <w:r>
              <w:rPr>
                <w:sz w:val="22"/>
              </w:rPr>
              <w:t>00</w:t>
            </w:r>
          </w:p>
        </w:tc>
        <w:tc>
          <w:tcPr>
            <w:tcW w:w="815" w:type="dxa"/>
          </w:tcPr>
          <w:p w:rsidR="00000000" w:rsidRDefault="00000000">
            <w:pPr>
              <w:pStyle w:val="BodyText"/>
              <w:jc w:val="center"/>
              <w:rPr>
                <w:sz w:val="22"/>
              </w:rPr>
            </w:pPr>
            <w:r>
              <w:rPr>
                <w:sz w:val="22"/>
              </w:rPr>
              <w:t>04</w:t>
            </w:r>
          </w:p>
        </w:tc>
        <w:tc>
          <w:tcPr>
            <w:tcW w:w="815" w:type="dxa"/>
          </w:tcPr>
          <w:p w:rsidR="00000000" w:rsidRDefault="00000000">
            <w:pPr>
              <w:pStyle w:val="BodyText"/>
              <w:jc w:val="center"/>
              <w:rPr>
                <w:sz w:val="22"/>
              </w:rPr>
            </w:pPr>
            <w:r>
              <w:rPr>
                <w:sz w:val="22"/>
              </w:rPr>
              <w:t>00</w:t>
            </w:r>
          </w:p>
        </w:tc>
        <w:tc>
          <w:tcPr>
            <w:tcW w:w="815" w:type="dxa"/>
          </w:tcPr>
          <w:p w:rsidR="00000000" w:rsidRDefault="00000000">
            <w:pPr>
              <w:pStyle w:val="BodyText"/>
              <w:jc w:val="center"/>
              <w:rPr>
                <w:sz w:val="22"/>
              </w:rPr>
            </w:pPr>
            <w:r>
              <w:rPr>
                <w:sz w:val="22"/>
              </w:rPr>
              <w:t>17</w:t>
            </w:r>
          </w:p>
        </w:tc>
        <w:tc>
          <w:tcPr>
            <w:tcW w:w="816" w:type="dxa"/>
          </w:tcPr>
          <w:p w:rsidR="00000000" w:rsidRDefault="00000000">
            <w:pPr>
              <w:pStyle w:val="BodyText"/>
              <w:jc w:val="center"/>
              <w:rPr>
                <w:sz w:val="22"/>
              </w:rPr>
            </w:pPr>
            <w:r>
              <w:rPr>
                <w:sz w:val="22"/>
              </w:rPr>
              <w:t>03</w:t>
            </w:r>
          </w:p>
        </w:tc>
        <w:tc>
          <w:tcPr>
            <w:tcW w:w="815" w:type="dxa"/>
          </w:tcPr>
          <w:p w:rsidR="00000000" w:rsidRDefault="00000000">
            <w:pPr>
              <w:pStyle w:val="BodyText"/>
              <w:jc w:val="center"/>
              <w:rPr>
                <w:sz w:val="22"/>
              </w:rPr>
            </w:pPr>
            <w:r>
              <w:rPr>
                <w:sz w:val="22"/>
              </w:rPr>
              <w:t>45</w:t>
            </w:r>
          </w:p>
        </w:tc>
        <w:tc>
          <w:tcPr>
            <w:tcW w:w="815" w:type="dxa"/>
          </w:tcPr>
          <w:p w:rsidR="00000000" w:rsidRDefault="00000000">
            <w:pPr>
              <w:pStyle w:val="BodyText"/>
              <w:jc w:val="center"/>
              <w:rPr>
                <w:sz w:val="22"/>
              </w:rPr>
            </w:pPr>
            <w:r>
              <w:rPr>
                <w:sz w:val="22"/>
              </w:rPr>
              <w:t>07</w:t>
            </w:r>
          </w:p>
        </w:tc>
        <w:tc>
          <w:tcPr>
            <w:tcW w:w="815" w:type="dxa"/>
          </w:tcPr>
          <w:p w:rsidR="00000000" w:rsidRDefault="00000000">
            <w:pPr>
              <w:pStyle w:val="BodyText"/>
              <w:jc w:val="center"/>
              <w:rPr>
                <w:sz w:val="22"/>
              </w:rPr>
            </w:pPr>
            <w:r>
              <w:rPr>
                <w:sz w:val="22"/>
              </w:rPr>
              <w:t>101</w:t>
            </w:r>
          </w:p>
        </w:tc>
        <w:tc>
          <w:tcPr>
            <w:tcW w:w="816" w:type="dxa"/>
          </w:tcPr>
          <w:p w:rsidR="00000000" w:rsidRDefault="00000000">
            <w:pPr>
              <w:pStyle w:val="BodyText"/>
              <w:jc w:val="center"/>
              <w:rPr>
                <w:sz w:val="22"/>
              </w:rPr>
            </w:pPr>
            <w:r>
              <w:rPr>
                <w:sz w:val="22"/>
              </w:rPr>
              <w:t>53</w:t>
            </w:r>
          </w:p>
        </w:tc>
      </w:tr>
    </w:tbl>
    <w:p w:rsidR="00000000" w:rsidRDefault="00000000">
      <w:pPr>
        <w:pStyle w:val="BodyText"/>
        <w:spacing w:line="120" w:lineRule="exact"/>
        <w:jc w:val="left"/>
        <w:rPr>
          <w:sz w:val="10"/>
        </w:rPr>
      </w:pPr>
    </w:p>
    <w:p w:rsidR="00000000" w:rsidRDefault="00000000">
      <w:pPr>
        <w:pStyle w:val="BodyText"/>
        <w:jc w:val="left"/>
        <w:rPr>
          <w:sz w:val="22"/>
        </w:rPr>
      </w:pPr>
      <w:r>
        <w:rPr>
          <w:i/>
          <w:sz w:val="22"/>
        </w:rPr>
        <w:t>Source :</w:t>
      </w:r>
      <w:r>
        <w:rPr>
          <w:sz w:val="22"/>
        </w:rPr>
        <w:t xml:space="preserve"> M.A.E.C.F., 2000</w:t>
      </w:r>
    </w:p>
    <w:p w:rsidR="00000000" w:rsidRDefault="00000000">
      <w:pPr>
        <w:pStyle w:val="BodyText"/>
        <w:jc w:val="left"/>
        <w:rPr>
          <w:sz w:val="22"/>
        </w:rPr>
      </w:pPr>
    </w:p>
    <w:p w:rsidR="00000000" w:rsidRDefault="00000000">
      <w:pPr>
        <w:pStyle w:val="BodyText"/>
        <w:jc w:val="left"/>
        <w:rPr>
          <w:sz w:val="22"/>
        </w:rPr>
      </w:pPr>
    </w:p>
    <w:p w:rsidR="00000000" w:rsidRDefault="00000000">
      <w:pPr>
        <w:pStyle w:val="BodyText"/>
        <w:jc w:val="left"/>
        <w:rPr>
          <w:b/>
          <w:sz w:val="22"/>
        </w:rPr>
      </w:pPr>
      <w:r>
        <w:rPr>
          <w:b/>
          <w:sz w:val="22"/>
          <w:u w:val="single"/>
        </w:rPr>
        <w:t>Tableau n° 26</w:t>
      </w:r>
      <w:r>
        <w:rPr>
          <w:b/>
          <w:sz w:val="22"/>
        </w:rPr>
        <w:t> : Répartition des femmes dans les différents grades de la diplomatie</w:t>
      </w:r>
    </w:p>
    <w:p w:rsidR="00000000" w:rsidRDefault="00000000">
      <w:pPr>
        <w:pStyle w:val="BodyText"/>
        <w:jc w:val="left"/>
        <w:rPr>
          <w:sz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19"/>
        <w:gridCol w:w="1134"/>
        <w:gridCol w:w="1276"/>
        <w:gridCol w:w="1134"/>
        <w:gridCol w:w="1276"/>
        <w:gridCol w:w="1276"/>
      </w:tblGrid>
      <w:tr w:rsidR="00000000">
        <w:tblPrEx>
          <w:tblCellMar>
            <w:top w:w="0" w:type="dxa"/>
            <w:bottom w:w="0" w:type="dxa"/>
          </w:tblCellMar>
        </w:tblPrEx>
        <w:trPr>
          <w:cantSplit/>
        </w:trPr>
        <w:tc>
          <w:tcPr>
            <w:tcW w:w="3719" w:type="dxa"/>
            <w:vMerge w:val="restart"/>
          </w:tcPr>
          <w:p w:rsidR="00000000" w:rsidRDefault="00000000">
            <w:pPr>
              <w:pStyle w:val="BodyText"/>
              <w:jc w:val="center"/>
              <w:rPr>
                <w:sz w:val="22"/>
              </w:rPr>
            </w:pPr>
            <w:r>
              <w:rPr>
                <w:sz w:val="22"/>
              </w:rPr>
              <w:t>Postes</w:t>
            </w:r>
          </w:p>
        </w:tc>
        <w:tc>
          <w:tcPr>
            <w:tcW w:w="1134" w:type="dxa"/>
            <w:vMerge w:val="restart"/>
          </w:tcPr>
          <w:p w:rsidR="00000000" w:rsidRDefault="00000000">
            <w:pPr>
              <w:pStyle w:val="BodyText"/>
              <w:jc w:val="center"/>
              <w:rPr>
                <w:sz w:val="22"/>
              </w:rPr>
            </w:pPr>
            <w:r>
              <w:rPr>
                <w:sz w:val="22"/>
              </w:rPr>
              <w:t>Hommes</w:t>
            </w:r>
          </w:p>
        </w:tc>
        <w:tc>
          <w:tcPr>
            <w:tcW w:w="1276" w:type="dxa"/>
            <w:tcBorders>
              <w:bottom w:val="nil"/>
            </w:tcBorders>
          </w:tcPr>
          <w:p w:rsidR="00000000" w:rsidRDefault="00000000">
            <w:pPr>
              <w:pStyle w:val="BodyText"/>
              <w:jc w:val="center"/>
              <w:rPr>
                <w:sz w:val="22"/>
              </w:rPr>
            </w:pPr>
            <w:r>
              <w:rPr>
                <w:sz w:val="22"/>
              </w:rPr>
              <w:t>%</w:t>
            </w:r>
          </w:p>
        </w:tc>
        <w:tc>
          <w:tcPr>
            <w:tcW w:w="1134" w:type="dxa"/>
            <w:tcBorders>
              <w:bottom w:val="nil"/>
            </w:tcBorders>
          </w:tcPr>
          <w:p w:rsidR="00000000" w:rsidRDefault="00000000">
            <w:pPr>
              <w:pStyle w:val="BodyText"/>
              <w:jc w:val="center"/>
              <w:rPr>
                <w:sz w:val="22"/>
              </w:rPr>
            </w:pPr>
            <w:r>
              <w:rPr>
                <w:sz w:val="22"/>
              </w:rPr>
              <w:t>Femmes</w:t>
            </w:r>
          </w:p>
        </w:tc>
        <w:tc>
          <w:tcPr>
            <w:tcW w:w="1276" w:type="dxa"/>
            <w:tcBorders>
              <w:bottom w:val="nil"/>
            </w:tcBorders>
          </w:tcPr>
          <w:p w:rsidR="00000000" w:rsidRDefault="00000000">
            <w:pPr>
              <w:pStyle w:val="BodyText"/>
              <w:jc w:val="center"/>
              <w:rPr>
                <w:sz w:val="22"/>
              </w:rPr>
            </w:pPr>
            <w:r>
              <w:rPr>
                <w:sz w:val="22"/>
              </w:rPr>
              <w:t>%</w:t>
            </w:r>
          </w:p>
        </w:tc>
        <w:tc>
          <w:tcPr>
            <w:tcW w:w="1276" w:type="dxa"/>
            <w:tcBorders>
              <w:bottom w:val="nil"/>
            </w:tcBorders>
          </w:tcPr>
          <w:p w:rsidR="00000000" w:rsidRDefault="00000000">
            <w:pPr>
              <w:pStyle w:val="BodyText"/>
              <w:jc w:val="center"/>
              <w:rPr>
                <w:sz w:val="22"/>
              </w:rPr>
            </w:pPr>
            <w:r>
              <w:rPr>
                <w:sz w:val="22"/>
              </w:rPr>
              <w:t>Total</w:t>
            </w:r>
          </w:p>
        </w:tc>
      </w:tr>
      <w:tr w:rsidR="00000000">
        <w:tblPrEx>
          <w:tblCellMar>
            <w:top w:w="0" w:type="dxa"/>
            <w:bottom w:w="0" w:type="dxa"/>
          </w:tblCellMar>
        </w:tblPrEx>
        <w:trPr>
          <w:cantSplit/>
        </w:trPr>
        <w:tc>
          <w:tcPr>
            <w:tcW w:w="3719" w:type="dxa"/>
            <w:vMerge/>
          </w:tcPr>
          <w:p w:rsidR="00000000" w:rsidRDefault="00000000">
            <w:pPr>
              <w:pStyle w:val="BodyText"/>
              <w:jc w:val="center"/>
              <w:rPr>
                <w:sz w:val="22"/>
              </w:rPr>
            </w:pPr>
          </w:p>
        </w:tc>
        <w:tc>
          <w:tcPr>
            <w:tcW w:w="1134" w:type="dxa"/>
            <w:vMerge/>
          </w:tcPr>
          <w:p w:rsidR="00000000" w:rsidRDefault="00000000">
            <w:pPr>
              <w:pStyle w:val="BodyText"/>
              <w:ind w:right="567"/>
              <w:jc w:val="right"/>
              <w:rPr>
                <w:sz w:val="22"/>
              </w:rPr>
            </w:pPr>
          </w:p>
        </w:tc>
        <w:tc>
          <w:tcPr>
            <w:tcW w:w="1276" w:type="dxa"/>
            <w:tcBorders>
              <w:top w:val="nil"/>
            </w:tcBorders>
          </w:tcPr>
          <w:p w:rsidR="00000000" w:rsidRDefault="00000000">
            <w:pPr>
              <w:pStyle w:val="BodyText"/>
              <w:ind w:right="567"/>
              <w:jc w:val="right"/>
              <w:rPr>
                <w:sz w:val="22"/>
              </w:rPr>
            </w:pPr>
          </w:p>
        </w:tc>
        <w:tc>
          <w:tcPr>
            <w:tcW w:w="1134" w:type="dxa"/>
            <w:tcBorders>
              <w:top w:val="nil"/>
            </w:tcBorders>
          </w:tcPr>
          <w:p w:rsidR="00000000" w:rsidRDefault="00000000">
            <w:pPr>
              <w:pStyle w:val="BodyText"/>
              <w:ind w:right="567"/>
              <w:jc w:val="right"/>
              <w:rPr>
                <w:sz w:val="22"/>
              </w:rPr>
            </w:pPr>
          </w:p>
        </w:tc>
        <w:tc>
          <w:tcPr>
            <w:tcW w:w="1276" w:type="dxa"/>
            <w:tcBorders>
              <w:top w:val="nil"/>
            </w:tcBorders>
          </w:tcPr>
          <w:p w:rsidR="00000000" w:rsidRDefault="00000000">
            <w:pPr>
              <w:pStyle w:val="BodyText"/>
              <w:ind w:right="567"/>
              <w:jc w:val="right"/>
              <w:rPr>
                <w:sz w:val="22"/>
              </w:rPr>
            </w:pPr>
          </w:p>
        </w:tc>
        <w:tc>
          <w:tcPr>
            <w:tcW w:w="1276" w:type="dxa"/>
            <w:tcBorders>
              <w:top w:val="nil"/>
            </w:tcBorders>
          </w:tcPr>
          <w:p w:rsidR="00000000" w:rsidRDefault="00000000">
            <w:pPr>
              <w:pStyle w:val="BodyText"/>
              <w:ind w:right="567"/>
              <w:jc w:val="right"/>
              <w:rPr>
                <w:sz w:val="22"/>
              </w:rPr>
            </w:pPr>
          </w:p>
        </w:tc>
      </w:tr>
      <w:tr w:rsidR="00000000">
        <w:tblPrEx>
          <w:tblCellMar>
            <w:top w:w="0" w:type="dxa"/>
            <w:bottom w:w="0" w:type="dxa"/>
          </w:tblCellMar>
        </w:tblPrEx>
        <w:trPr>
          <w:cantSplit/>
        </w:trPr>
        <w:tc>
          <w:tcPr>
            <w:tcW w:w="3719" w:type="dxa"/>
          </w:tcPr>
          <w:p w:rsidR="00000000" w:rsidRDefault="00000000">
            <w:pPr>
              <w:pStyle w:val="BodyText"/>
              <w:jc w:val="left"/>
              <w:rPr>
                <w:sz w:val="22"/>
              </w:rPr>
            </w:pPr>
            <w:r>
              <w:rPr>
                <w:sz w:val="22"/>
              </w:rPr>
              <w:t>Ministre plénipotentiaire</w:t>
            </w:r>
          </w:p>
        </w:tc>
        <w:tc>
          <w:tcPr>
            <w:tcW w:w="1134" w:type="dxa"/>
          </w:tcPr>
          <w:p w:rsidR="00000000" w:rsidRDefault="00000000">
            <w:pPr>
              <w:pStyle w:val="BodyText"/>
              <w:ind w:right="567"/>
              <w:jc w:val="right"/>
              <w:rPr>
                <w:sz w:val="22"/>
              </w:rPr>
            </w:pPr>
            <w:r>
              <w:rPr>
                <w:sz w:val="22"/>
              </w:rPr>
              <w:t>00</w:t>
            </w:r>
          </w:p>
        </w:tc>
        <w:tc>
          <w:tcPr>
            <w:tcW w:w="1276" w:type="dxa"/>
          </w:tcPr>
          <w:p w:rsidR="00000000" w:rsidRDefault="00000000">
            <w:pPr>
              <w:pStyle w:val="BodyText"/>
              <w:ind w:right="567"/>
              <w:jc w:val="right"/>
              <w:rPr>
                <w:sz w:val="22"/>
              </w:rPr>
            </w:pPr>
            <w:r>
              <w:rPr>
                <w:sz w:val="22"/>
              </w:rPr>
              <w:t>00</w:t>
            </w:r>
          </w:p>
        </w:tc>
        <w:tc>
          <w:tcPr>
            <w:tcW w:w="1134" w:type="dxa"/>
          </w:tcPr>
          <w:p w:rsidR="00000000" w:rsidRDefault="00000000">
            <w:pPr>
              <w:pStyle w:val="BodyText"/>
              <w:ind w:right="567"/>
              <w:jc w:val="right"/>
              <w:rPr>
                <w:sz w:val="22"/>
              </w:rPr>
            </w:pPr>
            <w:r>
              <w:rPr>
                <w:sz w:val="22"/>
              </w:rPr>
              <w:t>00</w:t>
            </w:r>
          </w:p>
        </w:tc>
        <w:tc>
          <w:tcPr>
            <w:tcW w:w="1276" w:type="dxa"/>
          </w:tcPr>
          <w:p w:rsidR="00000000" w:rsidRDefault="00000000">
            <w:pPr>
              <w:pStyle w:val="BodyText"/>
              <w:ind w:right="567"/>
              <w:jc w:val="right"/>
              <w:rPr>
                <w:sz w:val="22"/>
              </w:rPr>
            </w:pPr>
            <w:r>
              <w:rPr>
                <w:sz w:val="22"/>
              </w:rPr>
              <w:t>00</w:t>
            </w:r>
          </w:p>
        </w:tc>
        <w:tc>
          <w:tcPr>
            <w:tcW w:w="1276" w:type="dxa"/>
          </w:tcPr>
          <w:p w:rsidR="00000000" w:rsidRDefault="00000000">
            <w:pPr>
              <w:pStyle w:val="BodyText"/>
              <w:ind w:right="567"/>
              <w:jc w:val="right"/>
              <w:rPr>
                <w:sz w:val="22"/>
              </w:rPr>
            </w:pPr>
            <w:r>
              <w:rPr>
                <w:sz w:val="22"/>
              </w:rPr>
              <w:t>00</w:t>
            </w:r>
          </w:p>
        </w:tc>
      </w:tr>
      <w:tr w:rsidR="00000000">
        <w:tblPrEx>
          <w:tblCellMar>
            <w:top w:w="0" w:type="dxa"/>
            <w:bottom w:w="0" w:type="dxa"/>
          </w:tblCellMar>
        </w:tblPrEx>
        <w:trPr>
          <w:cantSplit/>
        </w:trPr>
        <w:tc>
          <w:tcPr>
            <w:tcW w:w="3719" w:type="dxa"/>
          </w:tcPr>
          <w:p w:rsidR="00000000" w:rsidRDefault="00000000">
            <w:pPr>
              <w:pStyle w:val="BodyText"/>
              <w:jc w:val="left"/>
              <w:rPr>
                <w:sz w:val="22"/>
              </w:rPr>
            </w:pPr>
            <w:r>
              <w:rPr>
                <w:sz w:val="22"/>
              </w:rPr>
              <w:t>Conseiller des affaires étrangères</w:t>
            </w:r>
          </w:p>
        </w:tc>
        <w:tc>
          <w:tcPr>
            <w:tcW w:w="1134" w:type="dxa"/>
          </w:tcPr>
          <w:p w:rsidR="00000000" w:rsidRDefault="00000000">
            <w:pPr>
              <w:pStyle w:val="BodyText"/>
              <w:ind w:right="567"/>
              <w:jc w:val="right"/>
              <w:rPr>
                <w:sz w:val="22"/>
              </w:rPr>
            </w:pPr>
            <w:r>
              <w:rPr>
                <w:sz w:val="22"/>
              </w:rPr>
              <w:t>51</w:t>
            </w:r>
          </w:p>
        </w:tc>
        <w:tc>
          <w:tcPr>
            <w:tcW w:w="1276" w:type="dxa"/>
          </w:tcPr>
          <w:p w:rsidR="00000000" w:rsidRDefault="00000000">
            <w:pPr>
              <w:pStyle w:val="BodyText"/>
              <w:ind w:right="567"/>
              <w:jc w:val="right"/>
              <w:rPr>
                <w:sz w:val="22"/>
              </w:rPr>
            </w:pPr>
            <w:r>
              <w:rPr>
                <w:sz w:val="22"/>
              </w:rPr>
              <w:t>91,07</w:t>
            </w:r>
          </w:p>
        </w:tc>
        <w:tc>
          <w:tcPr>
            <w:tcW w:w="1134" w:type="dxa"/>
          </w:tcPr>
          <w:p w:rsidR="00000000" w:rsidRDefault="00000000">
            <w:pPr>
              <w:pStyle w:val="BodyText"/>
              <w:ind w:right="567"/>
              <w:jc w:val="right"/>
              <w:rPr>
                <w:sz w:val="22"/>
              </w:rPr>
            </w:pPr>
            <w:r>
              <w:rPr>
                <w:sz w:val="22"/>
              </w:rPr>
              <w:t>05</w:t>
            </w:r>
          </w:p>
        </w:tc>
        <w:tc>
          <w:tcPr>
            <w:tcW w:w="1276" w:type="dxa"/>
          </w:tcPr>
          <w:p w:rsidR="00000000" w:rsidRDefault="00000000">
            <w:pPr>
              <w:pStyle w:val="BodyText"/>
              <w:ind w:right="567"/>
              <w:jc w:val="right"/>
              <w:rPr>
                <w:sz w:val="22"/>
              </w:rPr>
            </w:pPr>
            <w:r>
              <w:rPr>
                <w:sz w:val="22"/>
              </w:rPr>
              <w:t>8,93</w:t>
            </w:r>
          </w:p>
        </w:tc>
        <w:tc>
          <w:tcPr>
            <w:tcW w:w="1276" w:type="dxa"/>
          </w:tcPr>
          <w:p w:rsidR="00000000" w:rsidRDefault="00000000">
            <w:pPr>
              <w:pStyle w:val="BodyText"/>
              <w:ind w:right="567"/>
              <w:jc w:val="right"/>
              <w:rPr>
                <w:sz w:val="22"/>
              </w:rPr>
            </w:pPr>
            <w:r>
              <w:rPr>
                <w:sz w:val="22"/>
              </w:rPr>
              <w:t>56</w:t>
            </w:r>
          </w:p>
        </w:tc>
      </w:tr>
      <w:tr w:rsidR="00000000">
        <w:tblPrEx>
          <w:tblCellMar>
            <w:top w:w="0" w:type="dxa"/>
            <w:bottom w:w="0" w:type="dxa"/>
          </w:tblCellMar>
        </w:tblPrEx>
        <w:trPr>
          <w:cantSplit/>
        </w:trPr>
        <w:tc>
          <w:tcPr>
            <w:tcW w:w="3719" w:type="dxa"/>
          </w:tcPr>
          <w:p w:rsidR="00000000" w:rsidRDefault="00000000">
            <w:pPr>
              <w:pStyle w:val="BodyText"/>
              <w:jc w:val="left"/>
              <w:rPr>
                <w:sz w:val="22"/>
              </w:rPr>
            </w:pPr>
            <w:r>
              <w:rPr>
                <w:sz w:val="22"/>
              </w:rPr>
              <w:t>Secrétaire des affaires étrangères</w:t>
            </w:r>
          </w:p>
        </w:tc>
        <w:tc>
          <w:tcPr>
            <w:tcW w:w="1134" w:type="dxa"/>
          </w:tcPr>
          <w:p w:rsidR="00000000" w:rsidRDefault="00000000">
            <w:pPr>
              <w:pStyle w:val="BodyText"/>
              <w:ind w:right="567"/>
              <w:jc w:val="right"/>
              <w:rPr>
                <w:sz w:val="22"/>
              </w:rPr>
            </w:pPr>
            <w:r>
              <w:rPr>
                <w:sz w:val="22"/>
              </w:rPr>
              <w:t>215</w:t>
            </w:r>
          </w:p>
        </w:tc>
        <w:tc>
          <w:tcPr>
            <w:tcW w:w="1276" w:type="dxa"/>
          </w:tcPr>
          <w:p w:rsidR="00000000" w:rsidRDefault="00000000">
            <w:pPr>
              <w:pStyle w:val="BodyText"/>
              <w:ind w:right="567"/>
              <w:jc w:val="right"/>
              <w:rPr>
                <w:sz w:val="22"/>
              </w:rPr>
            </w:pPr>
            <w:r>
              <w:rPr>
                <w:sz w:val="22"/>
              </w:rPr>
              <w:t>87,04</w:t>
            </w:r>
          </w:p>
        </w:tc>
        <w:tc>
          <w:tcPr>
            <w:tcW w:w="1134" w:type="dxa"/>
          </w:tcPr>
          <w:p w:rsidR="00000000" w:rsidRDefault="00000000">
            <w:pPr>
              <w:pStyle w:val="BodyText"/>
              <w:ind w:right="567"/>
              <w:jc w:val="right"/>
              <w:rPr>
                <w:sz w:val="22"/>
              </w:rPr>
            </w:pPr>
            <w:r>
              <w:rPr>
                <w:sz w:val="22"/>
              </w:rPr>
              <w:t>32</w:t>
            </w:r>
          </w:p>
        </w:tc>
        <w:tc>
          <w:tcPr>
            <w:tcW w:w="1276" w:type="dxa"/>
          </w:tcPr>
          <w:p w:rsidR="00000000" w:rsidRDefault="00000000">
            <w:pPr>
              <w:pStyle w:val="BodyText"/>
              <w:ind w:right="567"/>
              <w:jc w:val="right"/>
              <w:rPr>
                <w:sz w:val="22"/>
              </w:rPr>
            </w:pPr>
            <w:r>
              <w:rPr>
                <w:sz w:val="22"/>
              </w:rPr>
              <w:t>12,96</w:t>
            </w:r>
          </w:p>
        </w:tc>
        <w:tc>
          <w:tcPr>
            <w:tcW w:w="1276" w:type="dxa"/>
          </w:tcPr>
          <w:p w:rsidR="00000000" w:rsidRDefault="00000000">
            <w:pPr>
              <w:pStyle w:val="BodyText"/>
              <w:ind w:right="567"/>
              <w:jc w:val="right"/>
              <w:rPr>
                <w:sz w:val="22"/>
              </w:rPr>
            </w:pPr>
            <w:r>
              <w:rPr>
                <w:sz w:val="22"/>
              </w:rPr>
              <w:t>247</w:t>
            </w:r>
          </w:p>
        </w:tc>
      </w:tr>
      <w:tr w:rsidR="00000000">
        <w:tblPrEx>
          <w:tblCellMar>
            <w:top w:w="0" w:type="dxa"/>
            <w:bottom w:w="0" w:type="dxa"/>
          </w:tblCellMar>
        </w:tblPrEx>
        <w:trPr>
          <w:cantSplit/>
        </w:trPr>
        <w:tc>
          <w:tcPr>
            <w:tcW w:w="3719" w:type="dxa"/>
          </w:tcPr>
          <w:p w:rsidR="00000000" w:rsidRDefault="00000000">
            <w:pPr>
              <w:pStyle w:val="BodyText"/>
              <w:jc w:val="left"/>
              <w:rPr>
                <w:sz w:val="22"/>
              </w:rPr>
            </w:pPr>
            <w:r>
              <w:rPr>
                <w:sz w:val="22"/>
              </w:rPr>
              <w:t>Chef de division affaires étrangères</w:t>
            </w:r>
          </w:p>
        </w:tc>
        <w:tc>
          <w:tcPr>
            <w:tcW w:w="1134" w:type="dxa"/>
          </w:tcPr>
          <w:p w:rsidR="00000000" w:rsidRDefault="00000000">
            <w:pPr>
              <w:pStyle w:val="BodyText"/>
              <w:ind w:right="567"/>
              <w:jc w:val="right"/>
              <w:rPr>
                <w:sz w:val="22"/>
              </w:rPr>
            </w:pPr>
            <w:r>
              <w:rPr>
                <w:sz w:val="22"/>
              </w:rPr>
              <w:t>18</w:t>
            </w:r>
          </w:p>
        </w:tc>
        <w:tc>
          <w:tcPr>
            <w:tcW w:w="1276" w:type="dxa"/>
          </w:tcPr>
          <w:p w:rsidR="00000000" w:rsidRDefault="00000000">
            <w:pPr>
              <w:pStyle w:val="BodyText"/>
              <w:ind w:right="567"/>
              <w:jc w:val="right"/>
              <w:rPr>
                <w:sz w:val="22"/>
              </w:rPr>
            </w:pPr>
            <w:r>
              <w:rPr>
                <w:sz w:val="22"/>
              </w:rPr>
              <w:t>85,71</w:t>
            </w:r>
          </w:p>
        </w:tc>
        <w:tc>
          <w:tcPr>
            <w:tcW w:w="1134" w:type="dxa"/>
          </w:tcPr>
          <w:p w:rsidR="00000000" w:rsidRDefault="00000000">
            <w:pPr>
              <w:pStyle w:val="BodyText"/>
              <w:ind w:right="567"/>
              <w:jc w:val="right"/>
              <w:rPr>
                <w:sz w:val="22"/>
              </w:rPr>
            </w:pPr>
            <w:r>
              <w:rPr>
                <w:sz w:val="22"/>
              </w:rPr>
              <w:t>03</w:t>
            </w:r>
          </w:p>
        </w:tc>
        <w:tc>
          <w:tcPr>
            <w:tcW w:w="1276" w:type="dxa"/>
          </w:tcPr>
          <w:p w:rsidR="00000000" w:rsidRDefault="00000000">
            <w:pPr>
              <w:pStyle w:val="BodyText"/>
              <w:ind w:right="567"/>
              <w:jc w:val="right"/>
              <w:rPr>
                <w:sz w:val="22"/>
              </w:rPr>
            </w:pPr>
            <w:r>
              <w:rPr>
                <w:sz w:val="22"/>
              </w:rPr>
              <w:t>14,29</w:t>
            </w:r>
          </w:p>
        </w:tc>
        <w:tc>
          <w:tcPr>
            <w:tcW w:w="1276" w:type="dxa"/>
          </w:tcPr>
          <w:p w:rsidR="00000000" w:rsidRDefault="00000000">
            <w:pPr>
              <w:pStyle w:val="BodyText"/>
              <w:ind w:right="567"/>
              <w:jc w:val="right"/>
              <w:rPr>
                <w:sz w:val="22"/>
              </w:rPr>
            </w:pPr>
            <w:r>
              <w:rPr>
                <w:sz w:val="22"/>
              </w:rPr>
              <w:t>21</w:t>
            </w:r>
          </w:p>
        </w:tc>
      </w:tr>
      <w:tr w:rsidR="00000000">
        <w:tblPrEx>
          <w:tblCellMar>
            <w:top w:w="0" w:type="dxa"/>
            <w:bottom w:w="0" w:type="dxa"/>
          </w:tblCellMar>
        </w:tblPrEx>
        <w:trPr>
          <w:cantSplit/>
        </w:trPr>
        <w:tc>
          <w:tcPr>
            <w:tcW w:w="3719" w:type="dxa"/>
          </w:tcPr>
          <w:p w:rsidR="00000000" w:rsidRDefault="00000000">
            <w:pPr>
              <w:pStyle w:val="BodyText"/>
              <w:jc w:val="left"/>
              <w:rPr>
                <w:sz w:val="22"/>
              </w:rPr>
            </w:pPr>
            <w:r>
              <w:rPr>
                <w:sz w:val="22"/>
              </w:rPr>
              <w:t>Attaché des affaires étrangères</w:t>
            </w:r>
          </w:p>
        </w:tc>
        <w:tc>
          <w:tcPr>
            <w:tcW w:w="1134" w:type="dxa"/>
          </w:tcPr>
          <w:p w:rsidR="00000000" w:rsidRDefault="00000000">
            <w:pPr>
              <w:pStyle w:val="BodyText"/>
              <w:ind w:right="567"/>
              <w:jc w:val="right"/>
              <w:rPr>
                <w:sz w:val="22"/>
              </w:rPr>
            </w:pPr>
            <w:r>
              <w:rPr>
                <w:sz w:val="22"/>
              </w:rPr>
              <w:t>56</w:t>
            </w:r>
          </w:p>
        </w:tc>
        <w:tc>
          <w:tcPr>
            <w:tcW w:w="1276" w:type="dxa"/>
          </w:tcPr>
          <w:p w:rsidR="00000000" w:rsidRDefault="00000000">
            <w:pPr>
              <w:pStyle w:val="BodyText"/>
              <w:ind w:right="567"/>
              <w:jc w:val="right"/>
              <w:rPr>
                <w:sz w:val="22"/>
              </w:rPr>
            </w:pPr>
            <w:r>
              <w:rPr>
                <w:sz w:val="22"/>
              </w:rPr>
              <w:t>93,33</w:t>
            </w:r>
          </w:p>
        </w:tc>
        <w:tc>
          <w:tcPr>
            <w:tcW w:w="1134" w:type="dxa"/>
          </w:tcPr>
          <w:p w:rsidR="00000000" w:rsidRDefault="00000000">
            <w:pPr>
              <w:pStyle w:val="BodyText"/>
              <w:ind w:right="567"/>
              <w:jc w:val="right"/>
              <w:rPr>
                <w:sz w:val="22"/>
              </w:rPr>
            </w:pPr>
            <w:r>
              <w:rPr>
                <w:sz w:val="22"/>
              </w:rPr>
              <w:t>04</w:t>
            </w:r>
          </w:p>
        </w:tc>
        <w:tc>
          <w:tcPr>
            <w:tcW w:w="1276" w:type="dxa"/>
          </w:tcPr>
          <w:p w:rsidR="00000000" w:rsidRDefault="00000000">
            <w:pPr>
              <w:pStyle w:val="BodyText"/>
              <w:ind w:right="567"/>
              <w:jc w:val="right"/>
              <w:rPr>
                <w:sz w:val="22"/>
              </w:rPr>
            </w:pPr>
            <w:r>
              <w:rPr>
                <w:sz w:val="22"/>
              </w:rPr>
              <w:t>6,67</w:t>
            </w:r>
          </w:p>
        </w:tc>
        <w:tc>
          <w:tcPr>
            <w:tcW w:w="1276" w:type="dxa"/>
          </w:tcPr>
          <w:p w:rsidR="00000000" w:rsidRDefault="00000000">
            <w:pPr>
              <w:pStyle w:val="BodyText"/>
              <w:ind w:right="567"/>
              <w:jc w:val="right"/>
              <w:rPr>
                <w:sz w:val="22"/>
              </w:rPr>
            </w:pPr>
            <w:r>
              <w:rPr>
                <w:sz w:val="22"/>
              </w:rPr>
              <w:t>60</w:t>
            </w:r>
          </w:p>
        </w:tc>
      </w:tr>
      <w:tr w:rsidR="00000000">
        <w:tblPrEx>
          <w:tblCellMar>
            <w:top w:w="0" w:type="dxa"/>
            <w:bottom w:w="0" w:type="dxa"/>
          </w:tblCellMar>
        </w:tblPrEx>
        <w:trPr>
          <w:cantSplit/>
        </w:trPr>
        <w:tc>
          <w:tcPr>
            <w:tcW w:w="3719" w:type="dxa"/>
          </w:tcPr>
          <w:p w:rsidR="00000000" w:rsidRDefault="00000000">
            <w:pPr>
              <w:pStyle w:val="BodyText"/>
              <w:jc w:val="left"/>
              <w:rPr>
                <w:sz w:val="22"/>
              </w:rPr>
            </w:pPr>
            <w:r>
              <w:rPr>
                <w:sz w:val="22"/>
              </w:rPr>
              <w:t>Chancelier des affaires étrangères</w:t>
            </w:r>
          </w:p>
        </w:tc>
        <w:tc>
          <w:tcPr>
            <w:tcW w:w="1134" w:type="dxa"/>
          </w:tcPr>
          <w:p w:rsidR="00000000" w:rsidRDefault="00000000">
            <w:pPr>
              <w:pStyle w:val="BodyText"/>
              <w:ind w:right="567"/>
              <w:jc w:val="right"/>
              <w:rPr>
                <w:sz w:val="22"/>
              </w:rPr>
            </w:pPr>
            <w:r>
              <w:rPr>
                <w:sz w:val="22"/>
              </w:rPr>
              <w:t>34</w:t>
            </w:r>
          </w:p>
        </w:tc>
        <w:tc>
          <w:tcPr>
            <w:tcW w:w="1276" w:type="dxa"/>
          </w:tcPr>
          <w:p w:rsidR="00000000" w:rsidRDefault="00000000">
            <w:pPr>
              <w:pStyle w:val="BodyText"/>
              <w:ind w:right="567"/>
              <w:jc w:val="right"/>
              <w:rPr>
                <w:sz w:val="22"/>
              </w:rPr>
            </w:pPr>
            <w:r>
              <w:rPr>
                <w:sz w:val="22"/>
              </w:rPr>
              <w:t>90,95</w:t>
            </w:r>
          </w:p>
        </w:tc>
        <w:tc>
          <w:tcPr>
            <w:tcW w:w="1134" w:type="dxa"/>
          </w:tcPr>
          <w:p w:rsidR="00000000" w:rsidRDefault="00000000">
            <w:pPr>
              <w:pStyle w:val="BodyText"/>
              <w:ind w:right="567"/>
              <w:jc w:val="right"/>
              <w:rPr>
                <w:sz w:val="22"/>
              </w:rPr>
            </w:pPr>
            <w:r>
              <w:rPr>
                <w:sz w:val="22"/>
              </w:rPr>
              <w:t>08</w:t>
            </w:r>
          </w:p>
        </w:tc>
        <w:tc>
          <w:tcPr>
            <w:tcW w:w="1276" w:type="dxa"/>
          </w:tcPr>
          <w:p w:rsidR="00000000" w:rsidRDefault="00000000">
            <w:pPr>
              <w:pStyle w:val="BodyText"/>
              <w:ind w:right="567"/>
              <w:jc w:val="right"/>
              <w:rPr>
                <w:sz w:val="22"/>
              </w:rPr>
            </w:pPr>
            <w:r>
              <w:rPr>
                <w:sz w:val="22"/>
              </w:rPr>
              <w:t>19,05</w:t>
            </w:r>
          </w:p>
        </w:tc>
        <w:tc>
          <w:tcPr>
            <w:tcW w:w="1276" w:type="dxa"/>
          </w:tcPr>
          <w:p w:rsidR="00000000" w:rsidRDefault="00000000">
            <w:pPr>
              <w:pStyle w:val="BodyText"/>
              <w:ind w:right="567"/>
              <w:jc w:val="right"/>
              <w:rPr>
                <w:sz w:val="22"/>
              </w:rPr>
            </w:pPr>
            <w:r>
              <w:rPr>
                <w:sz w:val="22"/>
              </w:rPr>
              <w:t>42</w:t>
            </w:r>
          </w:p>
        </w:tc>
      </w:tr>
      <w:tr w:rsidR="00000000">
        <w:tblPrEx>
          <w:tblCellMar>
            <w:top w:w="0" w:type="dxa"/>
            <w:bottom w:w="0" w:type="dxa"/>
          </w:tblCellMar>
        </w:tblPrEx>
        <w:trPr>
          <w:cantSplit/>
        </w:trPr>
        <w:tc>
          <w:tcPr>
            <w:tcW w:w="3719" w:type="dxa"/>
          </w:tcPr>
          <w:p w:rsidR="00000000" w:rsidRDefault="00000000">
            <w:pPr>
              <w:pStyle w:val="BodyText"/>
              <w:jc w:val="left"/>
              <w:rPr>
                <w:sz w:val="22"/>
              </w:rPr>
            </w:pPr>
            <w:r>
              <w:rPr>
                <w:sz w:val="22"/>
              </w:rPr>
              <w:t>Chancelier adjoint</w:t>
            </w:r>
          </w:p>
        </w:tc>
        <w:tc>
          <w:tcPr>
            <w:tcW w:w="1134" w:type="dxa"/>
          </w:tcPr>
          <w:p w:rsidR="00000000" w:rsidRDefault="00000000">
            <w:pPr>
              <w:pStyle w:val="BodyText"/>
              <w:ind w:right="567"/>
              <w:jc w:val="right"/>
              <w:rPr>
                <w:sz w:val="22"/>
              </w:rPr>
            </w:pPr>
            <w:r>
              <w:rPr>
                <w:sz w:val="22"/>
              </w:rPr>
              <w:t>5</w:t>
            </w:r>
          </w:p>
        </w:tc>
        <w:tc>
          <w:tcPr>
            <w:tcW w:w="1276" w:type="dxa"/>
          </w:tcPr>
          <w:p w:rsidR="00000000" w:rsidRDefault="00000000">
            <w:pPr>
              <w:pStyle w:val="BodyText"/>
              <w:ind w:right="567"/>
              <w:jc w:val="right"/>
              <w:rPr>
                <w:sz w:val="22"/>
              </w:rPr>
            </w:pPr>
            <w:r>
              <w:rPr>
                <w:sz w:val="22"/>
              </w:rPr>
              <w:t>55,55</w:t>
            </w:r>
          </w:p>
        </w:tc>
        <w:tc>
          <w:tcPr>
            <w:tcW w:w="1134" w:type="dxa"/>
          </w:tcPr>
          <w:p w:rsidR="00000000" w:rsidRDefault="00000000">
            <w:pPr>
              <w:pStyle w:val="BodyText"/>
              <w:ind w:right="567"/>
              <w:jc w:val="right"/>
              <w:rPr>
                <w:sz w:val="22"/>
              </w:rPr>
            </w:pPr>
            <w:r>
              <w:rPr>
                <w:sz w:val="22"/>
              </w:rPr>
              <w:t>04</w:t>
            </w:r>
          </w:p>
        </w:tc>
        <w:tc>
          <w:tcPr>
            <w:tcW w:w="1276" w:type="dxa"/>
          </w:tcPr>
          <w:p w:rsidR="00000000" w:rsidRDefault="00000000">
            <w:pPr>
              <w:pStyle w:val="BodyText"/>
              <w:ind w:right="567"/>
              <w:jc w:val="right"/>
              <w:rPr>
                <w:sz w:val="22"/>
              </w:rPr>
            </w:pPr>
            <w:r>
              <w:rPr>
                <w:sz w:val="22"/>
              </w:rPr>
              <w:t>44,5</w:t>
            </w:r>
          </w:p>
        </w:tc>
        <w:tc>
          <w:tcPr>
            <w:tcW w:w="1276" w:type="dxa"/>
          </w:tcPr>
          <w:p w:rsidR="00000000" w:rsidRDefault="00000000">
            <w:pPr>
              <w:pStyle w:val="BodyText"/>
              <w:ind w:right="567"/>
              <w:jc w:val="right"/>
              <w:rPr>
                <w:sz w:val="22"/>
              </w:rPr>
            </w:pPr>
            <w:r>
              <w:rPr>
                <w:sz w:val="22"/>
              </w:rPr>
              <w:t>09</w:t>
            </w:r>
          </w:p>
        </w:tc>
      </w:tr>
    </w:tbl>
    <w:p w:rsidR="00000000" w:rsidRDefault="00000000">
      <w:pPr>
        <w:pStyle w:val="BodyText"/>
        <w:spacing w:line="120" w:lineRule="exact"/>
        <w:jc w:val="left"/>
        <w:rPr>
          <w:i/>
          <w:sz w:val="10"/>
        </w:rPr>
      </w:pPr>
    </w:p>
    <w:p w:rsidR="00000000" w:rsidRDefault="00000000">
      <w:pPr>
        <w:pStyle w:val="BodyText"/>
        <w:jc w:val="left"/>
        <w:rPr>
          <w:sz w:val="22"/>
        </w:rPr>
      </w:pPr>
      <w:r>
        <w:rPr>
          <w:i/>
          <w:sz w:val="22"/>
        </w:rPr>
        <w:t>Source :</w:t>
      </w:r>
      <w:r>
        <w:rPr>
          <w:sz w:val="22"/>
        </w:rPr>
        <w:t xml:space="preserve"> M.A.E.C.F., 2000</w:t>
      </w:r>
    </w:p>
    <w:p w:rsidR="00000000" w:rsidRDefault="00000000">
      <w:pPr>
        <w:pStyle w:val="BodyText"/>
        <w:jc w:val="center"/>
        <w:rPr>
          <w:b/>
          <w:sz w:val="22"/>
          <w:u w:val="single"/>
        </w:rPr>
      </w:pPr>
    </w:p>
    <w:p w:rsidR="00000000" w:rsidRDefault="00000000">
      <w:pPr>
        <w:pStyle w:val="BodyText"/>
        <w:rPr>
          <w:sz w:val="22"/>
        </w:rPr>
      </w:pPr>
      <w:r>
        <w:rPr>
          <w:sz w:val="22"/>
        </w:rPr>
        <w:t>L’examen du personnel en poste dans les missions diplomatiques confirme la sous-représentativité féminine. Aucune femme n’est actuellement ambassadeur ou ministre-conseiller.</w:t>
      </w:r>
    </w:p>
    <w:p w:rsidR="00000000" w:rsidRDefault="00000000">
      <w:pPr>
        <w:pStyle w:val="BodyText"/>
        <w:jc w:val="left"/>
        <w:rPr>
          <w:sz w:val="22"/>
        </w:rPr>
      </w:pPr>
    </w:p>
    <w:p w:rsidR="00000000" w:rsidRDefault="00000000">
      <w:pPr>
        <w:pStyle w:val="BodyText"/>
        <w:jc w:val="left"/>
        <w:rPr>
          <w:b/>
          <w:sz w:val="22"/>
        </w:rPr>
      </w:pPr>
      <w:r>
        <w:rPr>
          <w:b/>
          <w:sz w:val="22"/>
          <w:u w:val="single"/>
        </w:rPr>
        <w:t>Tableau n° 27</w:t>
      </w:r>
      <w:r>
        <w:rPr>
          <w:b/>
          <w:sz w:val="22"/>
        </w:rPr>
        <w:t> : Répartition des femmes dans les missions diplomatiques</w:t>
      </w:r>
    </w:p>
    <w:p w:rsidR="00000000" w:rsidRDefault="00000000">
      <w:pPr>
        <w:pStyle w:val="BodyText"/>
        <w:jc w:val="left"/>
        <w:rPr>
          <w:sz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41"/>
        <w:gridCol w:w="1512"/>
        <w:gridCol w:w="1512"/>
        <w:gridCol w:w="1512"/>
        <w:gridCol w:w="1512"/>
        <w:gridCol w:w="1512"/>
      </w:tblGrid>
      <w:tr w:rsidR="00000000">
        <w:tblPrEx>
          <w:tblCellMar>
            <w:top w:w="0" w:type="dxa"/>
            <w:bottom w:w="0" w:type="dxa"/>
          </w:tblCellMar>
        </w:tblPrEx>
        <w:trPr>
          <w:cantSplit/>
          <w:tblHeader/>
        </w:trPr>
        <w:tc>
          <w:tcPr>
            <w:tcW w:w="2241" w:type="dxa"/>
          </w:tcPr>
          <w:p w:rsidR="00000000" w:rsidRDefault="00000000">
            <w:pPr>
              <w:pStyle w:val="BodyText"/>
              <w:jc w:val="center"/>
              <w:rPr>
                <w:sz w:val="22"/>
              </w:rPr>
            </w:pPr>
            <w:r>
              <w:rPr>
                <w:sz w:val="22"/>
              </w:rPr>
              <w:t>Postes</w:t>
            </w:r>
          </w:p>
        </w:tc>
        <w:tc>
          <w:tcPr>
            <w:tcW w:w="1512" w:type="dxa"/>
          </w:tcPr>
          <w:p w:rsidR="00000000" w:rsidRDefault="00000000">
            <w:pPr>
              <w:pStyle w:val="BodyText"/>
              <w:jc w:val="center"/>
              <w:rPr>
                <w:sz w:val="22"/>
              </w:rPr>
            </w:pPr>
            <w:r>
              <w:rPr>
                <w:sz w:val="22"/>
              </w:rPr>
              <w:t>Hommes</w:t>
            </w:r>
          </w:p>
        </w:tc>
        <w:tc>
          <w:tcPr>
            <w:tcW w:w="1512" w:type="dxa"/>
          </w:tcPr>
          <w:p w:rsidR="00000000" w:rsidRDefault="00000000">
            <w:pPr>
              <w:pStyle w:val="BodyText"/>
              <w:ind w:right="851"/>
              <w:jc w:val="right"/>
              <w:rPr>
                <w:sz w:val="22"/>
              </w:rPr>
            </w:pPr>
            <w:r>
              <w:rPr>
                <w:sz w:val="22"/>
              </w:rPr>
              <w:t>%</w:t>
            </w:r>
          </w:p>
        </w:tc>
        <w:tc>
          <w:tcPr>
            <w:tcW w:w="1512" w:type="dxa"/>
          </w:tcPr>
          <w:p w:rsidR="00000000" w:rsidRDefault="00000000">
            <w:pPr>
              <w:pStyle w:val="BodyText"/>
              <w:ind w:right="128"/>
              <w:jc w:val="right"/>
              <w:rPr>
                <w:sz w:val="22"/>
              </w:rPr>
            </w:pPr>
            <w:r>
              <w:rPr>
                <w:sz w:val="22"/>
              </w:rPr>
              <w:t>Femmes</w:t>
            </w:r>
          </w:p>
        </w:tc>
        <w:tc>
          <w:tcPr>
            <w:tcW w:w="1512" w:type="dxa"/>
          </w:tcPr>
          <w:p w:rsidR="00000000" w:rsidRDefault="00000000">
            <w:pPr>
              <w:pStyle w:val="BodyText"/>
              <w:jc w:val="center"/>
              <w:rPr>
                <w:sz w:val="22"/>
              </w:rPr>
            </w:pPr>
            <w:r>
              <w:rPr>
                <w:sz w:val="22"/>
              </w:rPr>
              <w:t>%</w:t>
            </w:r>
          </w:p>
        </w:tc>
        <w:tc>
          <w:tcPr>
            <w:tcW w:w="1512" w:type="dxa"/>
          </w:tcPr>
          <w:p w:rsidR="00000000" w:rsidRDefault="00000000">
            <w:pPr>
              <w:pStyle w:val="BodyText"/>
              <w:jc w:val="center"/>
              <w:rPr>
                <w:sz w:val="22"/>
              </w:rPr>
            </w:pPr>
            <w:r>
              <w:rPr>
                <w:sz w:val="22"/>
              </w:rPr>
              <w:t>Total</w:t>
            </w:r>
          </w:p>
        </w:tc>
      </w:tr>
      <w:tr w:rsidR="00000000">
        <w:tblPrEx>
          <w:tblCellMar>
            <w:top w:w="0" w:type="dxa"/>
            <w:bottom w:w="0" w:type="dxa"/>
          </w:tblCellMar>
        </w:tblPrEx>
        <w:trPr>
          <w:cantSplit/>
        </w:trPr>
        <w:tc>
          <w:tcPr>
            <w:tcW w:w="2241" w:type="dxa"/>
          </w:tcPr>
          <w:p w:rsidR="00000000" w:rsidRDefault="00000000">
            <w:pPr>
              <w:pStyle w:val="BodyText"/>
              <w:jc w:val="left"/>
              <w:rPr>
                <w:sz w:val="22"/>
              </w:rPr>
            </w:pPr>
            <w:r>
              <w:rPr>
                <w:sz w:val="22"/>
              </w:rPr>
              <w:t>Ambassadeur</w:t>
            </w:r>
          </w:p>
        </w:tc>
        <w:tc>
          <w:tcPr>
            <w:tcW w:w="1512" w:type="dxa"/>
          </w:tcPr>
          <w:p w:rsidR="00000000" w:rsidRDefault="00000000">
            <w:pPr>
              <w:pStyle w:val="BodyText"/>
              <w:ind w:right="851"/>
              <w:jc w:val="right"/>
              <w:rPr>
                <w:sz w:val="22"/>
              </w:rPr>
            </w:pPr>
            <w:r>
              <w:rPr>
                <w:sz w:val="22"/>
              </w:rPr>
              <w:t>17</w:t>
            </w:r>
          </w:p>
        </w:tc>
        <w:tc>
          <w:tcPr>
            <w:tcW w:w="1512" w:type="dxa"/>
          </w:tcPr>
          <w:p w:rsidR="00000000" w:rsidRDefault="00000000">
            <w:pPr>
              <w:pStyle w:val="BodyText"/>
              <w:ind w:right="851"/>
              <w:jc w:val="center"/>
              <w:rPr>
                <w:sz w:val="22"/>
              </w:rPr>
            </w:pPr>
            <w:r>
              <w:rPr>
                <w:sz w:val="22"/>
              </w:rPr>
              <w:t>100</w:t>
            </w:r>
          </w:p>
        </w:tc>
        <w:tc>
          <w:tcPr>
            <w:tcW w:w="1512" w:type="dxa"/>
          </w:tcPr>
          <w:p w:rsidR="00000000" w:rsidRDefault="00000000">
            <w:pPr>
              <w:pStyle w:val="BodyText"/>
              <w:ind w:right="851"/>
              <w:jc w:val="right"/>
              <w:rPr>
                <w:sz w:val="22"/>
              </w:rPr>
            </w:pPr>
            <w:r>
              <w:rPr>
                <w:sz w:val="22"/>
              </w:rPr>
              <w:t>00</w:t>
            </w:r>
          </w:p>
        </w:tc>
        <w:tc>
          <w:tcPr>
            <w:tcW w:w="1512" w:type="dxa"/>
          </w:tcPr>
          <w:p w:rsidR="00000000" w:rsidRDefault="00000000">
            <w:pPr>
              <w:pStyle w:val="BodyText"/>
              <w:ind w:right="851"/>
              <w:jc w:val="right"/>
              <w:rPr>
                <w:sz w:val="22"/>
              </w:rPr>
            </w:pPr>
            <w:r>
              <w:rPr>
                <w:sz w:val="22"/>
              </w:rPr>
              <w:t>00</w:t>
            </w:r>
          </w:p>
        </w:tc>
        <w:tc>
          <w:tcPr>
            <w:tcW w:w="1512" w:type="dxa"/>
          </w:tcPr>
          <w:p w:rsidR="00000000" w:rsidRDefault="00000000">
            <w:pPr>
              <w:pStyle w:val="BodyText"/>
              <w:ind w:right="851"/>
              <w:jc w:val="right"/>
              <w:rPr>
                <w:sz w:val="22"/>
              </w:rPr>
            </w:pPr>
            <w:r>
              <w:rPr>
                <w:sz w:val="22"/>
              </w:rPr>
              <w:t>17</w:t>
            </w:r>
          </w:p>
        </w:tc>
      </w:tr>
      <w:tr w:rsidR="00000000">
        <w:tblPrEx>
          <w:tblCellMar>
            <w:top w:w="0" w:type="dxa"/>
            <w:bottom w:w="0" w:type="dxa"/>
          </w:tblCellMar>
        </w:tblPrEx>
        <w:trPr>
          <w:cantSplit/>
        </w:trPr>
        <w:tc>
          <w:tcPr>
            <w:tcW w:w="2241" w:type="dxa"/>
          </w:tcPr>
          <w:p w:rsidR="00000000" w:rsidRDefault="00000000">
            <w:pPr>
              <w:pStyle w:val="BodyText"/>
              <w:jc w:val="left"/>
              <w:rPr>
                <w:sz w:val="22"/>
              </w:rPr>
            </w:pPr>
            <w:r>
              <w:rPr>
                <w:sz w:val="22"/>
              </w:rPr>
              <w:t>Ministre</w:t>
            </w:r>
          </w:p>
          <w:p w:rsidR="00000000" w:rsidRDefault="00000000">
            <w:pPr>
              <w:pStyle w:val="BodyText"/>
              <w:jc w:val="left"/>
              <w:rPr>
                <w:sz w:val="22"/>
              </w:rPr>
            </w:pPr>
            <w:r>
              <w:rPr>
                <w:sz w:val="22"/>
              </w:rPr>
              <w:t>Conseiller</w:t>
            </w:r>
          </w:p>
        </w:tc>
        <w:tc>
          <w:tcPr>
            <w:tcW w:w="1512" w:type="dxa"/>
          </w:tcPr>
          <w:p w:rsidR="00000000" w:rsidRDefault="00000000">
            <w:pPr>
              <w:pStyle w:val="BodyText"/>
              <w:ind w:right="851"/>
              <w:jc w:val="right"/>
              <w:rPr>
                <w:sz w:val="22"/>
              </w:rPr>
            </w:pPr>
            <w:r>
              <w:rPr>
                <w:sz w:val="22"/>
              </w:rPr>
              <w:t>16</w:t>
            </w:r>
          </w:p>
        </w:tc>
        <w:tc>
          <w:tcPr>
            <w:tcW w:w="1512" w:type="dxa"/>
          </w:tcPr>
          <w:p w:rsidR="00000000" w:rsidRDefault="00000000">
            <w:pPr>
              <w:pStyle w:val="BodyText"/>
              <w:ind w:right="851"/>
              <w:jc w:val="center"/>
              <w:rPr>
                <w:sz w:val="22"/>
              </w:rPr>
            </w:pPr>
            <w:r>
              <w:rPr>
                <w:sz w:val="22"/>
              </w:rPr>
              <w:t>100</w:t>
            </w:r>
          </w:p>
        </w:tc>
        <w:tc>
          <w:tcPr>
            <w:tcW w:w="1512" w:type="dxa"/>
          </w:tcPr>
          <w:p w:rsidR="00000000" w:rsidRDefault="00000000">
            <w:pPr>
              <w:pStyle w:val="BodyText"/>
              <w:ind w:right="851"/>
              <w:jc w:val="right"/>
              <w:rPr>
                <w:sz w:val="22"/>
              </w:rPr>
            </w:pPr>
            <w:r>
              <w:rPr>
                <w:sz w:val="22"/>
              </w:rPr>
              <w:t>00</w:t>
            </w:r>
          </w:p>
        </w:tc>
        <w:tc>
          <w:tcPr>
            <w:tcW w:w="1512" w:type="dxa"/>
          </w:tcPr>
          <w:p w:rsidR="00000000" w:rsidRDefault="00000000">
            <w:pPr>
              <w:pStyle w:val="BodyText"/>
              <w:ind w:right="851"/>
              <w:jc w:val="right"/>
              <w:rPr>
                <w:sz w:val="22"/>
              </w:rPr>
            </w:pPr>
            <w:r>
              <w:rPr>
                <w:sz w:val="22"/>
              </w:rPr>
              <w:t>00</w:t>
            </w:r>
          </w:p>
          <w:p w:rsidR="00000000" w:rsidRDefault="00000000">
            <w:pPr>
              <w:pStyle w:val="BodyText"/>
              <w:ind w:right="851"/>
              <w:jc w:val="right"/>
              <w:rPr>
                <w:sz w:val="22"/>
              </w:rPr>
            </w:pPr>
          </w:p>
        </w:tc>
        <w:tc>
          <w:tcPr>
            <w:tcW w:w="1512" w:type="dxa"/>
          </w:tcPr>
          <w:p w:rsidR="00000000" w:rsidRDefault="00000000">
            <w:pPr>
              <w:pStyle w:val="BodyText"/>
              <w:ind w:right="851"/>
              <w:jc w:val="right"/>
              <w:rPr>
                <w:sz w:val="22"/>
              </w:rPr>
            </w:pPr>
            <w:r>
              <w:rPr>
                <w:sz w:val="22"/>
              </w:rPr>
              <w:t>16</w:t>
            </w:r>
          </w:p>
        </w:tc>
      </w:tr>
      <w:tr w:rsidR="00000000">
        <w:tblPrEx>
          <w:tblCellMar>
            <w:top w:w="0" w:type="dxa"/>
            <w:bottom w:w="0" w:type="dxa"/>
          </w:tblCellMar>
        </w:tblPrEx>
        <w:trPr>
          <w:cantSplit/>
        </w:trPr>
        <w:tc>
          <w:tcPr>
            <w:tcW w:w="2241" w:type="dxa"/>
          </w:tcPr>
          <w:p w:rsidR="00000000" w:rsidRDefault="00000000">
            <w:pPr>
              <w:pStyle w:val="BodyText"/>
              <w:jc w:val="left"/>
              <w:rPr>
                <w:sz w:val="22"/>
              </w:rPr>
            </w:pPr>
            <w:r>
              <w:rPr>
                <w:sz w:val="22"/>
              </w:rPr>
              <w:t>1</w:t>
            </w:r>
            <w:r>
              <w:rPr>
                <w:sz w:val="22"/>
                <w:vertAlign w:val="superscript"/>
              </w:rPr>
              <w:t>er</w:t>
            </w:r>
            <w:r>
              <w:rPr>
                <w:sz w:val="22"/>
              </w:rPr>
              <w:t xml:space="preserve"> Conseiller</w:t>
            </w:r>
          </w:p>
        </w:tc>
        <w:tc>
          <w:tcPr>
            <w:tcW w:w="1512" w:type="dxa"/>
          </w:tcPr>
          <w:p w:rsidR="00000000" w:rsidRDefault="00000000">
            <w:pPr>
              <w:pStyle w:val="BodyText"/>
              <w:ind w:right="851"/>
              <w:jc w:val="right"/>
              <w:rPr>
                <w:sz w:val="22"/>
              </w:rPr>
            </w:pPr>
            <w:r>
              <w:rPr>
                <w:sz w:val="22"/>
              </w:rPr>
              <w:t>36</w:t>
            </w:r>
          </w:p>
        </w:tc>
        <w:tc>
          <w:tcPr>
            <w:tcW w:w="1512" w:type="dxa"/>
          </w:tcPr>
          <w:p w:rsidR="00000000" w:rsidRDefault="00000000">
            <w:pPr>
              <w:pStyle w:val="BodyText"/>
              <w:ind w:right="851"/>
              <w:jc w:val="center"/>
              <w:rPr>
                <w:sz w:val="22"/>
              </w:rPr>
            </w:pPr>
            <w:r>
              <w:rPr>
                <w:sz w:val="22"/>
              </w:rPr>
              <w:t>87,80</w:t>
            </w:r>
          </w:p>
        </w:tc>
        <w:tc>
          <w:tcPr>
            <w:tcW w:w="1512" w:type="dxa"/>
          </w:tcPr>
          <w:p w:rsidR="00000000" w:rsidRDefault="00000000">
            <w:pPr>
              <w:pStyle w:val="BodyText"/>
              <w:ind w:right="851"/>
              <w:jc w:val="right"/>
              <w:rPr>
                <w:sz w:val="22"/>
              </w:rPr>
            </w:pPr>
            <w:r>
              <w:rPr>
                <w:sz w:val="22"/>
              </w:rPr>
              <w:t>05</w:t>
            </w:r>
          </w:p>
        </w:tc>
        <w:tc>
          <w:tcPr>
            <w:tcW w:w="1512" w:type="dxa"/>
          </w:tcPr>
          <w:p w:rsidR="00000000" w:rsidRDefault="00000000">
            <w:pPr>
              <w:pStyle w:val="BodyText"/>
              <w:ind w:right="851"/>
              <w:jc w:val="right"/>
              <w:rPr>
                <w:sz w:val="22"/>
              </w:rPr>
            </w:pPr>
            <w:r>
              <w:rPr>
                <w:sz w:val="22"/>
              </w:rPr>
              <w:t>12,2</w:t>
            </w:r>
          </w:p>
        </w:tc>
        <w:tc>
          <w:tcPr>
            <w:tcW w:w="1512" w:type="dxa"/>
          </w:tcPr>
          <w:p w:rsidR="00000000" w:rsidRDefault="00000000">
            <w:pPr>
              <w:pStyle w:val="BodyText"/>
              <w:ind w:right="851"/>
              <w:jc w:val="right"/>
              <w:rPr>
                <w:sz w:val="22"/>
              </w:rPr>
            </w:pPr>
            <w:r>
              <w:rPr>
                <w:sz w:val="22"/>
              </w:rPr>
              <w:t>41</w:t>
            </w:r>
          </w:p>
        </w:tc>
      </w:tr>
      <w:tr w:rsidR="00000000">
        <w:tblPrEx>
          <w:tblCellMar>
            <w:top w:w="0" w:type="dxa"/>
            <w:bottom w:w="0" w:type="dxa"/>
          </w:tblCellMar>
        </w:tblPrEx>
        <w:trPr>
          <w:cantSplit/>
        </w:trPr>
        <w:tc>
          <w:tcPr>
            <w:tcW w:w="2241" w:type="dxa"/>
          </w:tcPr>
          <w:p w:rsidR="00000000" w:rsidRDefault="00000000">
            <w:pPr>
              <w:pStyle w:val="BodyText"/>
              <w:jc w:val="left"/>
              <w:rPr>
                <w:sz w:val="22"/>
              </w:rPr>
            </w:pPr>
            <w:r>
              <w:rPr>
                <w:sz w:val="22"/>
              </w:rPr>
              <w:t>2</w:t>
            </w:r>
            <w:r>
              <w:rPr>
                <w:sz w:val="22"/>
                <w:vertAlign w:val="superscript"/>
              </w:rPr>
              <w:t>ème</w:t>
            </w:r>
            <w:r>
              <w:rPr>
                <w:sz w:val="22"/>
              </w:rPr>
              <w:t xml:space="preserve"> Conseiller</w:t>
            </w:r>
          </w:p>
        </w:tc>
        <w:tc>
          <w:tcPr>
            <w:tcW w:w="1512" w:type="dxa"/>
          </w:tcPr>
          <w:p w:rsidR="00000000" w:rsidRDefault="00000000">
            <w:pPr>
              <w:pStyle w:val="BodyText"/>
              <w:ind w:right="851"/>
              <w:jc w:val="right"/>
              <w:rPr>
                <w:sz w:val="22"/>
              </w:rPr>
            </w:pPr>
            <w:r>
              <w:rPr>
                <w:sz w:val="22"/>
              </w:rPr>
              <w:t>11</w:t>
            </w:r>
          </w:p>
        </w:tc>
        <w:tc>
          <w:tcPr>
            <w:tcW w:w="1512" w:type="dxa"/>
          </w:tcPr>
          <w:p w:rsidR="00000000" w:rsidRDefault="00000000">
            <w:pPr>
              <w:pStyle w:val="BodyText"/>
              <w:ind w:right="851"/>
              <w:jc w:val="center"/>
              <w:rPr>
                <w:sz w:val="22"/>
              </w:rPr>
            </w:pPr>
            <w:r>
              <w:rPr>
                <w:sz w:val="22"/>
              </w:rPr>
              <w:t>100</w:t>
            </w:r>
          </w:p>
        </w:tc>
        <w:tc>
          <w:tcPr>
            <w:tcW w:w="1512" w:type="dxa"/>
          </w:tcPr>
          <w:p w:rsidR="00000000" w:rsidRDefault="00000000">
            <w:pPr>
              <w:pStyle w:val="BodyText"/>
              <w:ind w:right="851"/>
              <w:jc w:val="right"/>
              <w:rPr>
                <w:sz w:val="22"/>
              </w:rPr>
            </w:pPr>
            <w:r>
              <w:rPr>
                <w:sz w:val="22"/>
              </w:rPr>
              <w:t>0</w:t>
            </w:r>
          </w:p>
        </w:tc>
        <w:tc>
          <w:tcPr>
            <w:tcW w:w="1512" w:type="dxa"/>
          </w:tcPr>
          <w:p w:rsidR="00000000" w:rsidRDefault="00000000">
            <w:pPr>
              <w:pStyle w:val="BodyText"/>
              <w:ind w:right="851"/>
              <w:jc w:val="right"/>
              <w:rPr>
                <w:sz w:val="22"/>
              </w:rPr>
            </w:pPr>
            <w:r>
              <w:rPr>
                <w:sz w:val="22"/>
              </w:rPr>
              <w:t>00</w:t>
            </w:r>
          </w:p>
        </w:tc>
        <w:tc>
          <w:tcPr>
            <w:tcW w:w="1512" w:type="dxa"/>
          </w:tcPr>
          <w:p w:rsidR="00000000" w:rsidRDefault="00000000">
            <w:pPr>
              <w:pStyle w:val="BodyText"/>
              <w:ind w:right="851"/>
              <w:jc w:val="right"/>
              <w:rPr>
                <w:sz w:val="22"/>
              </w:rPr>
            </w:pPr>
            <w:r>
              <w:rPr>
                <w:sz w:val="22"/>
              </w:rPr>
              <w:t>11</w:t>
            </w:r>
          </w:p>
        </w:tc>
      </w:tr>
      <w:tr w:rsidR="00000000">
        <w:tblPrEx>
          <w:tblCellMar>
            <w:top w:w="0" w:type="dxa"/>
            <w:bottom w:w="0" w:type="dxa"/>
          </w:tblCellMar>
        </w:tblPrEx>
        <w:trPr>
          <w:cantSplit/>
        </w:trPr>
        <w:tc>
          <w:tcPr>
            <w:tcW w:w="2241" w:type="dxa"/>
          </w:tcPr>
          <w:p w:rsidR="00000000" w:rsidRDefault="00000000">
            <w:pPr>
              <w:pStyle w:val="BodyText"/>
              <w:jc w:val="left"/>
              <w:rPr>
                <w:sz w:val="22"/>
              </w:rPr>
            </w:pPr>
            <w:r>
              <w:rPr>
                <w:sz w:val="22"/>
              </w:rPr>
              <w:t>3</w:t>
            </w:r>
            <w:r>
              <w:rPr>
                <w:sz w:val="22"/>
                <w:vertAlign w:val="superscript"/>
              </w:rPr>
              <w:t>ème</w:t>
            </w:r>
            <w:r>
              <w:rPr>
                <w:sz w:val="22"/>
              </w:rPr>
              <w:t xml:space="preserve"> Conseiller</w:t>
            </w:r>
          </w:p>
        </w:tc>
        <w:tc>
          <w:tcPr>
            <w:tcW w:w="1512" w:type="dxa"/>
          </w:tcPr>
          <w:p w:rsidR="00000000" w:rsidRDefault="00000000">
            <w:pPr>
              <w:pStyle w:val="BodyText"/>
              <w:ind w:right="851"/>
              <w:jc w:val="right"/>
              <w:rPr>
                <w:sz w:val="22"/>
              </w:rPr>
            </w:pPr>
            <w:r>
              <w:rPr>
                <w:sz w:val="22"/>
              </w:rPr>
              <w:t>01</w:t>
            </w:r>
          </w:p>
        </w:tc>
        <w:tc>
          <w:tcPr>
            <w:tcW w:w="1512" w:type="dxa"/>
          </w:tcPr>
          <w:p w:rsidR="00000000" w:rsidRDefault="00000000">
            <w:pPr>
              <w:pStyle w:val="BodyText"/>
              <w:ind w:right="851"/>
              <w:jc w:val="center"/>
              <w:rPr>
                <w:sz w:val="22"/>
              </w:rPr>
            </w:pPr>
            <w:r>
              <w:rPr>
                <w:sz w:val="22"/>
              </w:rPr>
              <w:t>100</w:t>
            </w:r>
          </w:p>
        </w:tc>
        <w:tc>
          <w:tcPr>
            <w:tcW w:w="1512" w:type="dxa"/>
          </w:tcPr>
          <w:p w:rsidR="00000000" w:rsidRDefault="00000000">
            <w:pPr>
              <w:pStyle w:val="BodyText"/>
              <w:ind w:right="851"/>
              <w:jc w:val="right"/>
              <w:rPr>
                <w:sz w:val="22"/>
              </w:rPr>
            </w:pPr>
            <w:r>
              <w:rPr>
                <w:sz w:val="22"/>
              </w:rPr>
              <w:t>0</w:t>
            </w:r>
          </w:p>
        </w:tc>
        <w:tc>
          <w:tcPr>
            <w:tcW w:w="1512" w:type="dxa"/>
          </w:tcPr>
          <w:p w:rsidR="00000000" w:rsidRDefault="00000000">
            <w:pPr>
              <w:pStyle w:val="BodyText"/>
              <w:ind w:right="851"/>
              <w:jc w:val="right"/>
              <w:rPr>
                <w:sz w:val="22"/>
              </w:rPr>
            </w:pPr>
            <w:r>
              <w:rPr>
                <w:sz w:val="22"/>
              </w:rPr>
              <w:t>00</w:t>
            </w:r>
          </w:p>
        </w:tc>
        <w:tc>
          <w:tcPr>
            <w:tcW w:w="1512" w:type="dxa"/>
          </w:tcPr>
          <w:p w:rsidR="00000000" w:rsidRDefault="00000000">
            <w:pPr>
              <w:pStyle w:val="BodyText"/>
              <w:ind w:right="851"/>
              <w:jc w:val="right"/>
              <w:rPr>
                <w:sz w:val="22"/>
              </w:rPr>
            </w:pPr>
            <w:r>
              <w:rPr>
                <w:sz w:val="22"/>
              </w:rPr>
              <w:t>01</w:t>
            </w:r>
          </w:p>
        </w:tc>
      </w:tr>
      <w:tr w:rsidR="00000000">
        <w:tblPrEx>
          <w:tblCellMar>
            <w:top w:w="0" w:type="dxa"/>
            <w:bottom w:w="0" w:type="dxa"/>
          </w:tblCellMar>
        </w:tblPrEx>
        <w:trPr>
          <w:cantSplit/>
        </w:trPr>
        <w:tc>
          <w:tcPr>
            <w:tcW w:w="2241" w:type="dxa"/>
          </w:tcPr>
          <w:p w:rsidR="00000000" w:rsidRDefault="00000000">
            <w:pPr>
              <w:pStyle w:val="BodyText"/>
              <w:jc w:val="left"/>
              <w:rPr>
                <w:sz w:val="22"/>
              </w:rPr>
            </w:pPr>
            <w:r>
              <w:rPr>
                <w:sz w:val="22"/>
              </w:rPr>
              <w:t>1</w:t>
            </w:r>
            <w:r>
              <w:rPr>
                <w:sz w:val="22"/>
                <w:vertAlign w:val="superscript"/>
              </w:rPr>
              <w:t>er</w:t>
            </w:r>
            <w:r>
              <w:rPr>
                <w:sz w:val="22"/>
              </w:rPr>
              <w:t xml:space="preserve"> Secrétaire</w:t>
            </w:r>
          </w:p>
        </w:tc>
        <w:tc>
          <w:tcPr>
            <w:tcW w:w="1512" w:type="dxa"/>
          </w:tcPr>
          <w:p w:rsidR="00000000" w:rsidRDefault="00000000">
            <w:pPr>
              <w:pStyle w:val="BodyText"/>
              <w:ind w:right="851"/>
              <w:jc w:val="right"/>
              <w:rPr>
                <w:sz w:val="22"/>
              </w:rPr>
            </w:pPr>
            <w:r>
              <w:rPr>
                <w:sz w:val="22"/>
              </w:rPr>
              <w:t>49</w:t>
            </w:r>
          </w:p>
        </w:tc>
        <w:tc>
          <w:tcPr>
            <w:tcW w:w="1512" w:type="dxa"/>
          </w:tcPr>
          <w:p w:rsidR="00000000" w:rsidRDefault="00000000">
            <w:pPr>
              <w:pStyle w:val="BodyText"/>
              <w:ind w:right="851"/>
              <w:jc w:val="center"/>
              <w:rPr>
                <w:sz w:val="22"/>
              </w:rPr>
            </w:pPr>
            <w:r>
              <w:rPr>
                <w:sz w:val="22"/>
              </w:rPr>
              <w:t>87,5</w:t>
            </w:r>
          </w:p>
        </w:tc>
        <w:tc>
          <w:tcPr>
            <w:tcW w:w="1512" w:type="dxa"/>
          </w:tcPr>
          <w:p w:rsidR="00000000" w:rsidRDefault="00000000">
            <w:pPr>
              <w:pStyle w:val="BodyText"/>
              <w:ind w:right="851"/>
              <w:jc w:val="right"/>
              <w:rPr>
                <w:sz w:val="22"/>
              </w:rPr>
            </w:pPr>
            <w:r>
              <w:rPr>
                <w:sz w:val="22"/>
              </w:rPr>
              <w:t>07</w:t>
            </w:r>
          </w:p>
        </w:tc>
        <w:tc>
          <w:tcPr>
            <w:tcW w:w="1512" w:type="dxa"/>
          </w:tcPr>
          <w:p w:rsidR="00000000" w:rsidRDefault="00000000">
            <w:pPr>
              <w:pStyle w:val="BodyText"/>
              <w:ind w:right="851"/>
              <w:jc w:val="right"/>
              <w:rPr>
                <w:sz w:val="22"/>
              </w:rPr>
            </w:pPr>
            <w:r>
              <w:rPr>
                <w:sz w:val="22"/>
              </w:rPr>
              <w:t>12,5</w:t>
            </w:r>
          </w:p>
        </w:tc>
        <w:tc>
          <w:tcPr>
            <w:tcW w:w="1512" w:type="dxa"/>
          </w:tcPr>
          <w:p w:rsidR="00000000" w:rsidRDefault="00000000">
            <w:pPr>
              <w:pStyle w:val="BodyText"/>
              <w:ind w:right="851"/>
              <w:jc w:val="right"/>
              <w:rPr>
                <w:sz w:val="22"/>
              </w:rPr>
            </w:pPr>
            <w:r>
              <w:rPr>
                <w:sz w:val="22"/>
              </w:rPr>
              <w:t>56</w:t>
            </w:r>
          </w:p>
        </w:tc>
      </w:tr>
      <w:tr w:rsidR="00000000">
        <w:tblPrEx>
          <w:tblCellMar>
            <w:top w:w="0" w:type="dxa"/>
            <w:bottom w:w="0" w:type="dxa"/>
          </w:tblCellMar>
        </w:tblPrEx>
        <w:trPr>
          <w:cantSplit/>
        </w:trPr>
        <w:tc>
          <w:tcPr>
            <w:tcW w:w="2241" w:type="dxa"/>
          </w:tcPr>
          <w:p w:rsidR="00000000" w:rsidRDefault="00000000">
            <w:pPr>
              <w:pStyle w:val="BodyText"/>
              <w:jc w:val="left"/>
              <w:rPr>
                <w:sz w:val="22"/>
              </w:rPr>
            </w:pPr>
            <w:r>
              <w:rPr>
                <w:sz w:val="22"/>
              </w:rPr>
              <w:t>2</w:t>
            </w:r>
            <w:r>
              <w:rPr>
                <w:sz w:val="22"/>
                <w:vertAlign w:val="superscript"/>
              </w:rPr>
              <w:t>ème</w:t>
            </w:r>
            <w:r>
              <w:rPr>
                <w:sz w:val="22"/>
              </w:rPr>
              <w:t xml:space="preserve"> Secrétaire</w:t>
            </w:r>
          </w:p>
        </w:tc>
        <w:tc>
          <w:tcPr>
            <w:tcW w:w="1512" w:type="dxa"/>
          </w:tcPr>
          <w:p w:rsidR="00000000" w:rsidRDefault="00000000">
            <w:pPr>
              <w:pStyle w:val="BodyText"/>
              <w:ind w:right="851"/>
              <w:jc w:val="right"/>
              <w:rPr>
                <w:sz w:val="22"/>
              </w:rPr>
            </w:pPr>
            <w:r>
              <w:rPr>
                <w:sz w:val="22"/>
              </w:rPr>
              <w:t>16</w:t>
            </w:r>
          </w:p>
        </w:tc>
        <w:tc>
          <w:tcPr>
            <w:tcW w:w="1512" w:type="dxa"/>
          </w:tcPr>
          <w:p w:rsidR="00000000" w:rsidRDefault="00000000">
            <w:pPr>
              <w:pStyle w:val="BodyText"/>
              <w:ind w:right="851"/>
              <w:jc w:val="center"/>
              <w:rPr>
                <w:sz w:val="22"/>
              </w:rPr>
            </w:pPr>
            <w:r>
              <w:rPr>
                <w:sz w:val="22"/>
              </w:rPr>
              <w:t>94,1</w:t>
            </w:r>
          </w:p>
        </w:tc>
        <w:tc>
          <w:tcPr>
            <w:tcW w:w="1512" w:type="dxa"/>
          </w:tcPr>
          <w:p w:rsidR="00000000" w:rsidRDefault="00000000">
            <w:pPr>
              <w:pStyle w:val="BodyText"/>
              <w:ind w:right="851"/>
              <w:jc w:val="right"/>
              <w:rPr>
                <w:sz w:val="22"/>
              </w:rPr>
            </w:pPr>
            <w:r>
              <w:rPr>
                <w:sz w:val="22"/>
              </w:rPr>
              <w:t>01</w:t>
            </w:r>
          </w:p>
        </w:tc>
        <w:tc>
          <w:tcPr>
            <w:tcW w:w="1512" w:type="dxa"/>
          </w:tcPr>
          <w:p w:rsidR="00000000" w:rsidRDefault="00000000">
            <w:pPr>
              <w:pStyle w:val="BodyText"/>
              <w:ind w:right="851"/>
              <w:jc w:val="right"/>
              <w:rPr>
                <w:sz w:val="22"/>
              </w:rPr>
            </w:pPr>
            <w:r>
              <w:rPr>
                <w:sz w:val="22"/>
              </w:rPr>
              <w:t>5,9</w:t>
            </w:r>
          </w:p>
        </w:tc>
        <w:tc>
          <w:tcPr>
            <w:tcW w:w="1512" w:type="dxa"/>
          </w:tcPr>
          <w:p w:rsidR="00000000" w:rsidRDefault="00000000">
            <w:pPr>
              <w:pStyle w:val="BodyText"/>
              <w:ind w:right="851"/>
              <w:jc w:val="right"/>
              <w:rPr>
                <w:sz w:val="22"/>
              </w:rPr>
            </w:pPr>
            <w:r>
              <w:rPr>
                <w:sz w:val="22"/>
              </w:rPr>
              <w:t>17</w:t>
            </w:r>
          </w:p>
        </w:tc>
      </w:tr>
      <w:tr w:rsidR="00000000">
        <w:tblPrEx>
          <w:tblCellMar>
            <w:top w:w="0" w:type="dxa"/>
            <w:bottom w:w="0" w:type="dxa"/>
          </w:tblCellMar>
        </w:tblPrEx>
        <w:trPr>
          <w:cantSplit/>
        </w:trPr>
        <w:tc>
          <w:tcPr>
            <w:tcW w:w="2241" w:type="dxa"/>
          </w:tcPr>
          <w:p w:rsidR="00000000" w:rsidRDefault="00000000">
            <w:pPr>
              <w:pStyle w:val="BodyText"/>
              <w:jc w:val="left"/>
              <w:rPr>
                <w:sz w:val="22"/>
              </w:rPr>
            </w:pPr>
            <w:r>
              <w:rPr>
                <w:sz w:val="22"/>
              </w:rPr>
              <w:t>3</w:t>
            </w:r>
            <w:r>
              <w:rPr>
                <w:sz w:val="22"/>
                <w:vertAlign w:val="superscript"/>
              </w:rPr>
              <w:t>ème</w:t>
            </w:r>
            <w:r>
              <w:rPr>
                <w:sz w:val="22"/>
              </w:rPr>
              <w:t xml:space="preserve"> Secrétaire</w:t>
            </w:r>
          </w:p>
        </w:tc>
        <w:tc>
          <w:tcPr>
            <w:tcW w:w="1512" w:type="dxa"/>
          </w:tcPr>
          <w:p w:rsidR="00000000" w:rsidRDefault="00000000">
            <w:pPr>
              <w:pStyle w:val="BodyText"/>
              <w:ind w:right="851"/>
              <w:jc w:val="right"/>
              <w:rPr>
                <w:sz w:val="22"/>
              </w:rPr>
            </w:pPr>
            <w:r>
              <w:rPr>
                <w:sz w:val="22"/>
              </w:rPr>
              <w:t>03</w:t>
            </w:r>
          </w:p>
        </w:tc>
        <w:tc>
          <w:tcPr>
            <w:tcW w:w="1512" w:type="dxa"/>
          </w:tcPr>
          <w:p w:rsidR="00000000" w:rsidRDefault="00000000">
            <w:pPr>
              <w:pStyle w:val="BodyText"/>
              <w:ind w:right="851"/>
              <w:jc w:val="center"/>
              <w:rPr>
                <w:sz w:val="22"/>
              </w:rPr>
            </w:pPr>
            <w:r>
              <w:rPr>
                <w:sz w:val="22"/>
              </w:rPr>
              <w:t>100</w:t>
            </w:r>
          </w:p>
        </w:tc>
        <w:tc>
          <w:tcPr>
            <w:tcW w:w="1512" w:type="dxa"/>
          </w:tcPr>
          <w:p w:rsidR="00000000" w:rsidRDefault="00000000">
            <w:pPr>
              <w:pStyle w:val="BodyText"/>
              <w:ind w:right="851"/>
              <w:jc w:val="right"/>
              <w:rPr>
                <w:sz w:val="22"/>
              </w:rPr>
            </w:pPr>
            <w:r>
              <w:rPr>
                <w:sz w:val="22"/>
              </w:rPr>
              <w:t>00</w:t>
            </w:r>
          </w:p>
        </w:tc>
        <w:tc>
          <w:tcPr>
            <w:tcW w:w="1512" w:type="dxa"/>
          </w:tcPr>
          <w:p w:rsidR="00000000" w:rsidRDefault="00000000">
            <w:pPr>
              <w:pStyle w:val="BodyText"/>
              <w:ind w:right="851"/>
              <w:jc w:val="right"/>
              <w:rPr>
                <w:sz w:val="22"/>
              </w:rPr>
            </w:pPr>
            <w:r>
              <w:rPr>
                <w:sz w:val="22"/>
              </w:rPr>
              <w:t>00</w:t>
            </w:r>
          </w:p>
        </w:tc>
        <w:tc>
          <w:tcPr>
            <w:tcW w:w="1512" w:type="dxa"/>
          </w:tcPr>
          <w:p w:rsidR="00000000" w:rsidRDefault="00000000">
            <w:pPr>
              <w:pStyle w:val="BodyText"/>
              <w:ind w:right="851"/>
              <w:jc w:val="right"/>
              <w:rPr>
                <w:sz w:val="22"/>
              </w:rPr>
            </w:pPr>
            <w:r>
              <w:rPr>
                <w:sz w:val="22"/>
              </w:rPr>
              <w:t>03</w:t>
            </w:r>
          </w:p>
        </w:tc>
      </w:tr>
      <w:tr w:rsidR="00000000">
        <w:tblPrEx>
          <w:tblCellMar>
            <w:top w:w="0" w:type="dxa"/>
            <w:bottom w:w="0" w:type="dxa"/>
          </w:tblCellMar>
        </w:tblPrEx>
        <w:trPr>
          <w:cantSplit/>
        </w:trPr>
        <w:tc>
          <w:tcPr>
            <w:tcW w:w="2241" w:type="dxa"/>
          </w:tcPr>
          <w:p w:rsidR="00000000" w:rsidRDefault="00000000">
            <w:pPr>
              <w:pStyle w:val="BodyText"/>
              <w:jc w:val="left"/>
              <w:rPr>
                <w:sz w:val="22"/>
              </w:rPr>
            </w:pPr>
            <w:r>
              <w:rPr>
                <w:sz w:val="22"/>
              </w:rPr>
              <w:t>Attachés d’ambassade</w:t>
            </w:r>
          </w:p>
        </w:tc>
        <w:tc>
          <w:tcPr>
            <w:tcW w:w="1512" w:type="dxa"/>
          </w:tcPr>
          <w:p w:rsidR="00000000" w:rsidRDefault="00000000">
            <w:pPr>
              <w:pStyle w:val="BodyText"/>
              <w:ind w:right="851"/>
              <w:jc w:val="right"/>
              <w:rPr>
                <w:sz w:val="22"/>
              </w:rPr>
            </w:pPr>
            <w:r>
              <w:rPr>
                <w:sz w:val="22"/>
              </w:rPr>
              <w:t>18</w:t>
            </w:r>
          </w:p>
        </w:tc>
        <w:tc>
          <w:tcPr>
            <w:tcW w:w="1512" w:type="dxa"/>
          </w:tcPr>
          <w:p w:rsidR="00000000" w:rsidRDefault="00000000">
            <w:pPr>
              <w:pStyle w:val="BodyText"/>
              <w:ind w:right="851"/>
              <w:jc w:val="center"/>
              <w:rPr>
                <w:sz w:val="22"/>
              </w:rPr>
            </w:pPr>
            <w:r>
              <w:rPr>
                <w:sz w:val="22"/>
              </w:rPr>
              <w:t>75</w:t>
            </w:r>
          </w:p>
        </w:tc>
        <w:tc>
          <w:tcPr>
            <w:tcW w:w="1512" w:type="dxa"/>
          </w:tcPr>
          <w:p w:rsidR="00000000" w:rsidRDefault="00000000">
            <w:pPr>
              <w:pStyle w:val="BodyText"/>
              <w:ind w:right="851"/>
              <w:jc w:val="right"/>
              <w:rPr>
                <w:sz w:val="22"/>
              </w:rPr>
            </w:pPr>
            <w:r>
              <w:rPr>
                <w:sz w:val="22"/>
              </w:rPr>
              <w:t>06</w:t>
            </w:r>
          </w:p>
        </w:tc>
        <w:tc>
          <w:tcPr>
            <w:tcW w:w="1512" w:type="dxa"/>
          </w:tcPr>
          <w:p w:rsidR="00000000" w:rsidRDefault="00000000">
            <w:pPr>
              <w:pStyle w:val="BodyText"/>
              <w:ind w:right="851"/>
              <w:jc w:val="right"/>
              <w:rPr>
                <w:sz w:val="22"/>
              </w:rPr>
            </w:pPr>
            <w:r>
              <w:rPr>
                <w:sz w:val="22"/>
              </w:rPr>
              <w:t>25</w:t>
            </w:r>
          </w:p>
        </w:tc>
        <w:tc>
          <w:tcPr>
            <w:tcW w:w="1512" w:type="dxa"/>
          </w:tcPr>
          <w:p w:rsidR="00000000" w:rsidRDefault="00000000">
            <w:pPr>
              <w:pStyle w:val="BodyText"/>
              <w:ind w:right="851"/>
              <w:jc w:val="right"/>
              <w:rPr>
                <w:sz w:val="22"/>
              </w:rPr>
            </w:pPr>
            <w:r>
              <w:rPr>
                <w:sz w:val="22"/>
              </w:rPr>
              <w:t>24</w:t>
            </w:r>
          </w:p>
        </w:tc>
      </w:tr>
    </w:tbl>
    <w:p w:rsidR="00000000" w:rsidRDefault="00000000">
      <w:pPr>
        <w:pStyle w:val="BodyText"/>
        <w:spacing w:line="120" w:lineRule="exact"/>
        <w:jc w:val="left"/>
        <w:rPr>
          <w:sz w:val="10"/>
        </w:rPr>
      </w:pPr>
    </w:p>
    <w:p w:rsidR="00000000" w:rsidRDefault="00000000">
      <w:pPr>
        <w:pStyle w:val="BodyText"/>
        <w:jc w:val="left"/>
        <w:rPr>
          <w:sz w:val="22"/>
        </w:rPr>
      </w:pPr>
      <w:r>
        <w:rPr>
          <w:i/>
          <w:sz w:val="22"/>
        </w:rPr>
        <w:t>Source :</w:t>
      </w:r>
      <w:r>
        <w:rPr>
          <w:sz w:val="22"/>
        </w:rPr>
        <w:t xml:space="preserve"> M.A.E.C.F., 2000</w:t>
      </w:r>
    </w:p>
    <w:p w:rsidR="00000000" w:rsidRDefault="00000000">
      <w:pPr>
        <w:pStyle w:val="BodyText"/>
        <w:jc w:val="left"/>
        <w:rPr>
          <w:sz w:val="22"/>
        </w:rPr>
      </w:pPr>
    </w:p>
    <w:p w:rsidR="00000000" w:rsidRDefault="00000000">
      <w:pPr>
        <w:pStyle w:val="BodyText"/>
        <w:jc w:val="left"/>
        <w:rPr>
          <w:sz w:val="22"/>
        </w:rPr>
      </w:pPr>
      <w:r>
        <w:rPr>
          <w:sz w:val="22"/>
        </w:rPr>
        <w:t>Il convient de noter qu’entre 1980 et 1986, trois (3) femmes avaient occupé le poste d’Ambassadeur en Guinée Conakry, au Cameroun et au Mozambique.</w:t>
      </w:r>
    </w:p>
    <w:p w:rsidR="00000000" w:rsidRDefault="00000000">
      <w:pPr>
        <w:pStyle w:val="BodyText"/>
        <w:ind w:left="567" w:hanging="567"/>
        <w:rPr>
          <w:b/>
          <w:sz w:val="22"/>
        </w:rPr>
      </w:pPr>
    </w:p>
    <w:p w:rsidR="00000000" w:rsidRDefault="00000000">
      <w:pPr>
        <w:pStyle w:val="BodyText"/>
        <w:ind w:left="567" w:hanging="567"/>
        <w:rPr>
          <w:b/>
          <w:sz w:val="22"/>
        </w:rPr>
      </w:pPr>
      <w:r>
        <w:rPr>
          <w:b/>
          <w:sz w:val="22"/>
        </w:rPr>
        <w:t xml:space="preserve">II- </w:t>
      </w:r>
      <w:r>
        <w:rPr>
          <w:b/>
          <w:sz w:val="22"/>
          <w:u w:val="single"/>
        </w:rPr>
        <w:t>Au niveau international</w:t>
      </w:r>
      <w:r>
        <w:rPr>
          <w:b/>
          <w:sz w:val="22"/>
        </w:rPr>
        <w:t> :</w:t>
      </w:r>
    </w:p>
    <w:p w:rsidR="00000000" w:rsidRDefault="00000000">
      <w:pPr>
        <w:pStyle w:val="BodyText"/>
        <w:ind w:left="567" w:hanging="567"/>
        <w:rPr>
          <w:b/>
          <w:sz w:val="22"/>
        </w:rPr>
      </w:pPr>
    </w:p>
    <w:p w:rsidR="00000000" w:rsidRDefault="00000000">
      <w:pPr>
        <w:pStyle w:val="BodyText"/>
        <w:rPr>
          <w:sz w:val="22"/>
        </w:rPr>
      </w:pPr>
      <w:r>
        <w:rPr>
          <w:sz w:val="22"/>
        </w:rPr>
        <w:t>Au niveau des organisations sous-régionales, régionales et internationales les femmes sont également sous représentées comme le démontre le tableau ci-dessous :</w:t>
      </w:r>
    </w:p>
    <w:p w:rsidR="00000000" w:rsidRDefault="00000000">
      <w:pPr>
        <w:pStyle w:val="BodyText"/>
        <w:rPr>
          <w:sz w:val="22"/>
        </w:rPr>
      </w:pPr>
    </w:p>
    <w:p w:rsidR="00000000" w:rsidRDefault="00000000">
      <w:pPr>
        <w:pStyle w:val="BodyText"/>
        <w:rPr>
          <w:b/>
          <w:sz w:val="22"/>
        </w:rPr>
      </w:pPr>
      <w:r>
        <w:rPr>
          <w:b/>
          <w:sz w:val="22"/>
          <w:u w:val="single"/>
        </w:rPr>
        <w:t>Tableau n° 28</w:t>
      </w:r>
      <w:r>
        <w:rPr>
          <w:b/>
          <w:sz w:val="22"/>
        </w:rPr>
        <w:t xml:space="preserve"> : Représentativité des femmes dans les institutions internationales </w:t>
      </w:r>
    </w:p>
    <w:p w:rsidR="00000000" w:rsidRDefault="00000000">
      <w:pPr>
        <w:pStyle w:val="BodyText"/>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54"/>
        <w:gridCol w:w="2455"/>
        <w:gridCol w:w="2455"/>
        <w:gridCol w:w="2455"/>
      </w:tblGrid>
      <w:tr w:rsidR="00000000">
        <w:tblPrEx>
          <w:tblCellMar>
            <w:top w:w="0" w:type="dxa"/>
            <w:bottom w:w="0" w:type="dxa"/>
          </w:tblCellMar>
        </w:tblPrEx>
        <w:tc>
          <w:tcPr>
            <w:tcW w:w="2454" w:type="dxa"/>
          </w:tcPr>
          <w:p w:rsidR="00000000" w:rsidRDefault="00000000">
            <w:pPr>
              <w:pStyle w:val="BodyText"/>
              <w:jc w:val="center"/>
              <w:rPr>
                <w:sz w:val="22"/>
              </w:rPr>
            </w:pPr>
            <w:r>
              <w:rPr>
                <w:sz w:val="22"/>
              </w:rPr>
              <w:t>Organisations</w:t>
            </w:r>
          </w:p>
        </w:tc>
        <w:tc>
          <w:tcPr>
            <w:tcW w:w="2455" w:type="dxa"/>
          </w:tcPr>
          <w:p w:rsidR="00000000" w:rsidRDefault="00000000">
            <w:pPr>
              <w:pStyle w:val="BodyText"/>
              <w:jc w:val="center"/>
              <w:rPr>
                <w:sz w:val="22"/>
              </w:rPr>
            </w:pPr>
            <w:r>
              <w:rPr>
                <w:sz w:val="22"/>
              </w:rPr>
              <w:t>Hommes</w:t>
            </w:r>
          </w:p>
        </w:tc>
        <w:tc>
          <w:tcPr>
            <w:tcW w:w="2455" w:type="dxa"/>
          </w:tcPr>
          <w:p w:rsidR="00000000" w:rsidRDefault="00000000">
            <w:pPr>
              <w:pStyle w:val="BodyText"/>
              <w:jc w:val="center"/>
              <w:rPr>
                <w:sz w:val="22"/>
              </w:rPr>
            </w:pPr>
            <w:r>
              <w:rPr>
                <w:sz w:val="22"/>
              </w:rPr>
              <w:t>Femmes</w:t>
            </w:r>
          </w:p>
        </w:tc>
        <w:tc>
          <w:tcPr>
            <w:tcW w:w="2455" w:type="dxa"/>
          </w:tcPr>
          <w:p w:rsidR="00000000" w:rsidRDefault="00000000">
            <w:pPr>
              <w:pStyle w:val="BodyText"/>
              <w:jc w:val="center"/>
              <w:rPr>
                <w:sz w:val="22"/>
              </w:rPr>
            </w:pPr>
            <w:r>
              <w:rPr>
                <w:sz w:val="22"/>
              </w:rPr>
              <w:t>Total</w:t>
            </w:r>
          </w:p>
        </w:tc>
      </w:tr>
      <w:tr w:rsidR="00000000">
        <w:tblPrEx>
          <w:tblCellMar>
            <w:top w:w="0" w:type="dxa"/>
            <w:bottom w:w="0" w:type="dxa"/>
          </w:tblCellMar>
        </w:tblPrEx>
        <w:tc>
          <w:tcPr>
            <w:tcW w:w="2454" w:type="dxa"/>
          </w:tcPr>
          <w:p w:rsidR="00000000" w:rsidRDefault="00000000">
            <w:pPr>
              <w:pStyle w:val="BodyText"/>
              <w:rPr>
                <w:sz w:val="22"/>
              </w:rPr>
            </w:pPr>
            <w:r>
              <w:rPr>
                <w:sz w:val="22"/>
              </w:rPr>
              <w:t>BIT – OIT</w:t>
            </w:r>
          </w:p>
        </w:tc>
        <w:tc>
          <w:tcPr>
            <w:tcW w:w="2455" w:type="dxa"/>
          </w:tcPr>
          <w:p w:rsidR="00000000" w:rsidRDefault="00000000">
            <w:pPr>
              <w:pStyle w:val="BodyText"/>
              <w:jc w:val="center"/>
              <w:rPr>
                <w:sz w:val="22"/>
              </w:rPr>
            </w:pPr>
            <w:r>
              <w:rPr>
                <w:sz w:val="22"/>
              </w:rPr>
              <w:t>01</w:t>
            </w:r>
          </w:p>
        </w:tc>
        <w:tc>
          <w:tcPr>
            <w:tcW w:w="2455" w:type="dxa"/>
          </w:tcPr>
          <w:p w:rsidR="00000000" w:rsidRDefault="00000000">
            <w:pPr>
              <w:pStyle w:val="BodyText"/>
              <w:jc w:val="center"/>
              <w:rPr>
                <w:sz w:val="22"/>
              </w:rPr>
            </w:pPr>
            <w:r>
              <w:rPr>
                <w:sz w:val="22"/>
              </w:rPr>
              <w:t>00</w:t>
            </w:r>
          </w:p>
        </w:tc>
        <w:tc>
          <w:tcPr>
            <w:tcW w:w="2455" w:type="dxa"/>
          </w:tcPr>
          <w:p w:rsidR="00000000" w:rsidRDefault="00000000">
            <w:pPr>
              <w:pStyle w:val="BodyText"/>
              <w:jc w:val="center"/>
              <w:rPr>
                <w:sz w:val="22"/>
              </w:rPr>
            </w:pPr>
            <w:r>
              <w:rPr>
                <w:sz w:val="22"/>
              </w:rPr>
              <w:t>01</w:t>
            </w:r>
          </w:p>
        </w:tc>
      </w:tr>
      <w:tr w:rsidR="00000000">
        <w:tblPrEx>
          <w:tblCellMar>
            <w:top w:w="0" w:type="dxa"/>
            <w:bottom w:w="0" w:type="dxa"/>
          </w:tblCellMar>
        </w:tblPrEx>
        <w:tc>
          <w:tcPr>
            <w:tcW w:w="2454" w:type="dxa"/>
          </w:tcPr>
          <w:p w:rsidR="00000000" w:rsidRDefault="00000000">
            <w:pPr>
              <w:pStyle w:val="BodyText"/>
              <w:rPr>
                <w:sz w:val="22"/>
              </w:rPr>
            </w:pPr>
            <w:r>
              <w:rPr>
                <w:sz w:val="22"/>
              </w:rPr>
              <w:t>UNESCO</w:t>
            </w:r>
          </w:p>
        </w:tc>
        <w:tc>
          <w:tcPr>
            <w:tcW w:w="2455" w:type="dxa"/>
          </w:tcPr>
          <w:p w:rsidR="00000000" w:rsidRDefault="00000000">
            <w:pPr>
              <w:pStyle w:val="BodyText"/>
              <w:jc w:val="center"/>
              <w:rPr>
                <w:sz w:val="22"/>
                <w:lang w:val="nl-NL"/>
              </w:rPr>
            </w:pPr>
            <w:r>
              <w:rPr>
                <w:sz w:val="22"/>
                <w:lang w:val="nl-NL"/>
              </w:rPr>
              <w:t>01</w:t>
            </w:r>
          </w:p>
        </w:tc>
        <w:tc>
          <w:tcPr>
            <w:tcW w:w="2455" w:type="dxa"/>
          </w:tcPr>
          <w:p w:rsidR="00000000" w:rsidRDefault="00000000">
            <w:pPr>
              <w:pStyle w:val="BodyText"/>
              <w:jc w:val="center"/>
              <w:rPr>
                <w:sz w:val="22"/>
                <w:lang w:val="nl-NL"/>
              </w:rPr>
            </w:pPr>
            <w:r>
              <w:rPr>
                <w:sz w:val="22"/>
                <w:lang w:val="nl-NL"/>
              </w:rPr>
              <w:t>02</w:t>
            </w:r>
          </w:p>
        </w:tc>
        <w:tc>
          <w:tcPr>
            <w:tcW w:w="2455" w:type="dxa"/>
          </w:tcPr>
          <w:p w:rsidR="00000000" w:rsidRDefault="00000000">
            <w:pPr>
              <w:pStyle w:val="BodyText"/>
              <w:jc w:val="center"/>
              <w:rPr>
                <w:sz w:val="22"/>
                <w:lang w:val="nl-NL"/>
              </w:rPr>
            </w:pPr>
            <w:r>
              <w:rPr>
                <w:sz w:val="22"/>
                <w:lang w:val="nl-NL"/>
              </w:rPr>
              <w:t>03</w:t>
            </w:r>
          </w:p>
        </w:tc>
      </w:tr>
      <w:tr w:rsidR="00000000">
        <w:tblPrEx>
          <w:tblCellMar>
            <w:top w:w="0" w:type="dxa"/>
            <w:bottom w:w="0" w:type="dxa"/>
          </w:tblCellMar>
        </w:tblPrEx>
        <w:tc>
          <w:tcPr>
            <w:tcW w:w="2454" w:type="dxa"/>
          </w:tcPr>
          <w:p w:rsidR="00000000" w:rsidRDefault="00000000">
            <w:pPr>
              <w:pStyle w:val="BodyText"/>
              <w:rPr>
                <w:sz w:val="22"/>
                <w:lang w:val="nl-NL"/>
              </w:rPr>
            </w:pPr>
            <w:r>
              <w:rPr>
                <w:sz w:val="22"/>
                <w:lang w:val="nl-NL"/>
              </w:rPr>
              <w:t>OMM</w:t>
            </w:r>
          </w:p>
        </w:tc>
        <w:tc>
          <w:tcPr>
            <w:tcW w:w="2455" w:type="dxa"/>
          </w:tcPr>
          <w:p w:rsidR="00000000" w:rsidRDefault="00000000">
            <w:pPr>
              <w:pStyle w:val="BodyText"/>
              <w:jc w:val="center"/>
              <w:rPr>
                <w:sz w:val="22"/>
                <w:lang w:val="nl-NL"/>
              </w:rPr>
            </w:pPr>
            <w:r>
              <w:rPr>
                <w:sz w:val="22"/>
                <w:lang w:val="nl-NL"/>
              </w:rPr>
              <w:t>01</w:t>
            </w:r>
          </w:p>
        </w:tc>
        <w:tc>
          <w:tcPr>
            <w:tcW w:w="2455" w:type="dxa"/>
          </w:tcPr>
          <w:p w:rsidR="00000000" w:rsidRDefault="00000000">
            <w:pPr>
              <w:pStyle w:val="BodyText"/>
              <w:jc w:val="center"/>
              <w:rPr>
                <w:sz w:val="22"/>
                <w:lang w:val="nl-NL"/>
              </w:rPr>
            </w:pPr>
            <w:r>
              <w:rPr>
                <w:sz w:val="22"/>
                <w:lang w:val="nl-NL"/>
              </w:rPr>
              <w:t>00</w:t>
            </w:r>
          </w:p>
        </w:tc>
        <w:tc>
          <w:tcPr>
            <w:tcW w:w="2455" w:type="dxa"/>
          </w:tcPr>
          <w:p w:rsidR="00000000" w:rsidRDefault="00000000">
            <w:pPr>
              <w:pStyle w:val="BodyText"/>
              <w:jc w:val="center"/>
              <w:rPr>
                <w:sz w:val="22"/>
                <w:lang w:val="nl-NL"/>
              </w:rPr>
            </w:pPr>
            <w:r>
              <w:rPr>
                <w:sz w:val="22"/>
                <w:lang w:val="nl-NL"/>
              </w:rPr>
              <w:t>01</w:t>
            </w:r>
          </w:p>
        </w:tc>
      </w:tr>
      <w:tr w:rsidR="00000000">
        <w:tblPrEx>
          <w:tblCellMar>
            <w:top w:w="0" w:type="dxa"/>
            <w:bottom w:w="0" w:type="dxa"/>
          </w:tblCellMar>
        </w:tblPrEx>
        <w:tc>
          <w:tcPr>
            <w:tcW w:w="2454" w:type="dxa"/>
          </w:tcPr>
          <w:p w:rsidR="00000000" w:rsidRDefault="00000000">
            <w:pPr>
              <w:pStyle w:val="BodyText"/>
              <w:rPr>
                <w:sz w:val="22"/>
                <w:lang w:val="nl-NL"/>
              </w:rPr>
            </w:pPr>
            <w:r>
              <w:rPr>
                <w:sz w:val="22"/>
                <w:lang w:val="nl-NL"/>
              </w:rPr>
              <w:t>OMD</w:t>
            </w:r>
          </w:p>
        </w:tc>
        <w:tc>
          <w:tcPr>
            <w:tcW w:w="2455" w:type="dxa"/>
          </w:tcPr>
          <w:p w:rsidR="00000000" w:rsidRDefault="00000000">
            <w:pPr>
              <w:pStyle w:val="BodyText"/>
              <w:jc w:val="center"/>
              <w:rPr>
                <w:sz w:val="22"/>
                <w:lang w:val="nl-NL"/>
              </w:rPr>
            </w:pPr>
            <w:r>
              <w:rPr>
                <w:sz w:val="22"/>
                <w:lang w:val="nl-NL"/>
              </w:rPr>
              <w:t>01</w:t>
            </w:r>
          </w:p>
        </w:tc>
        <w:tc>
          <w:tcPr>
            <w:tcW w:w="2455" w:type="dxa"/>
          </w:tcPr>
          <w:p w:rsidR="00000000" w:rsidRDefault="00000000">
            <w:pPr>
              <w:pStyle w:val="BodyText"/>
              <w:jc w:val="center"/>
              <w:rPr>
                <w:sz w:val="22"/>
                <w:lang w:val="nl-NL"/>
              </w:rPr>
            </w:pPr>
            <w:r>
              <w:rPr>
                <w:sz w:val="22"/>
                <w:lang w:val="nl-NL"/>
              </w:rPr>
              <w:t>00</w:t>
            </w:r>
          </w:p>
        </w:tc>
        <w:tc>
          <w:tcPr>
            <w:tcW w:w="2455" w:type="dxa"/>
          </w:tcPr>
          <w:p w:rsidR="00000000" w:rsidRDefault="00000000">
            <w:pPr>
              <w:pStyle w:val="BodyText"/>
              <w:jc w:val="center"/>
              <w:rPr>
                <w:sz w:val="22"/>
                <w:lang w:val="nl-NL"/>
              </w:rPr>
            </w:pPr>
            <w:r>
              <w:rPr>
                <w:sz w:val="22"/>
                <w:lang w:val="nl-NL"/>
              </w:rPr>
              <w:t>01</w:t>
            </w:r>
          </w:p>
        </w:tc>
      </w:tr>
      <w:tr w:rsidR="00000000">
        <w:tblPrEx>
          <w:tblCellMar>
            <w:top w:w="0" w:type="dxa"/>
            <w:bottom w:w="0" w:type="dxa"/>
          </w:tblCellMar>
        </w:tblPrEx>
        <w:tc>
          <w:tcPr>
            <w:tcW w:w="2454" w:type="dxa"/>
          </w:tcPr>
          <w:p w:rsidR="00000000" w:rsidRDefault="00000000">
            <w:pPr>
              <w:pStyle w:val="BodyText"/>
              <w:rPr>
                <w:sz w:val="22"/>
                <w:lang w:val="nl-NL"/>
              </w:rPr>
            </w:pPr>
            <w:r>
              <w:rPr>
                <w:sz w:val="22"/>
                <w:lang w:val="nl-NL"/>
              </w:rPr>
              <w:t>CEMAC</w:t>
            </w:r>
          </w:p>
        </w:tc>
        <w:tc>
          <w:tcPr>
            <w:tcW w:w="2455" w:type="dxa"/>
          </w:tcPr>
          <w:p w:rsidR="00000000" w:rsidRDefault="00000000">
            <w:pPr>
              <w:pStyle w:val="BodyText"/>
              <w:jc w:val="center"/>
              <w:rPr>
                <w:sz w:val="22"/>
                <w:lang w:val="nl-NL"/>
              </w:rPr>
            </w:pPr>
            <w:r>
              <w:rPr>
                <w:sz w:val="22"/>
                <w:lang w:val="nl-NL"/>
              </w:rPr>
              <w:t>03</w:t>
            </w:r>
          </w:p>
        </w:tc>
        <w:tc>
          <w:tcPr>
            <w:tcW w:w="2455" w:type="dxa"/>
          </w:tcPr>
          <w:p w:rsidR="00000000" w:rsidRDefault="00000000">
            <w:pPr>
              <w:pStyle w:val="BodyText"/>
              <w:jc w:val="center"/>
              <w:rPr>
                <w:sz w:val="22"/>
                <w:lang w:val="nl-NL"/>
              </w:rPr>
            </w:pPr>
            <w:r>
              <w:rPr>
                <w:sz w:val="22"/>
                <w:lang w:val="nl-NL"/>
              </w:rPr>
              <w:t>01</w:t>
            </w:r>
          </w:p>
        </w:tc>
        <w:tc>
          <w:tcPr>
            <w:tcW w:w="2455" w:type="dxa"/>
          </w:tcPr>
          <w:p w:rsidR="00000000" w:rsidRDefault="00000000">
            <w:pPr>
              <w:pStyle w:val="BodyText"/>
              <w:jc w:val="center"/>
              <w:rPr>
                <w:sz w:val="22"/>
                <w:lang w:val="nl-NL"/>
              </w:rPr>
            </w:pPr>
            <w:r>
              <w:rPr>
                <w:sz w:val="22"/>
                <w:lang w:val="nl-NL"/>
              </w:rPr>
              <w:t>04</w:t>
            </w:r>
          </w:p>
        </w:tc>
      </w:tr>
      <w:tr w:rsidR="00000000">
        <w:tblPrEx>
          <w:tblCellMar>
            <w:top w:w="0" w:type="dxa"/>
            <w:bottom w:w="0" w:type="dxa"/>
          </w:tblCellMar>
        </w:tblPrEx>
        <w:tc>
          <w:tcPr>
            <w:tcW w:w="2454" w:type="dxa"/>
          </w:tcPr>
          <w:p w:rsidR="00000000" w:rsidRDefault="00000000">
            <w:pPr>
              <w:pStyle w:val="BodyText"/>
              <w:rPr>
                <w:sz w:val="22"/>
                <w:lang w:val="nl-NL"/>
              </w:rPr>
            </w:pPr>
            <w:r>
              <w:rPr>
                <w:sz w:val="22"/>
                <w:lang w:val="nl-NL"/>
              </w:rPr>
              <w:t>MM</w:t>
            </w:r>
          </w:p>
        </w:tc>
        <w:tc>
          <w:tcPr>
            <w:tcW w:w="2455" w:type="dxa"/>
          </w:tcPr>
          <w:p w:rsidR="00000000" w:rsidRDefault="00000000">
            <w:pPr>
              <w:pStyle w:val="BodyText"/>
              <w:jc w:val="center"/>
              <w:rPr>
                <w:sz w:val="22"/>
                <w:lang w:val="nl-NL"/>
              </w:rPr>
            </w:pPr>
            <w:r>
              <w:rPr>
                <w:sz w:val="22"/>
                <w:lang w:val="nl-NL"/>
              </w:rPr>
              <w:t>01</w:t>
            </w:r>
          </w:p>
        </w:tc>
        <w:tc>
          <w:tcPr>
            <w:tcW w:w="2455" w:type="dxa"/>
          </w:tcPr>
          <w:p w:rsidR="00000000" w:rsidRDefault="00000000">
            <w:pPr>
              <w:pStyle w:val="BodyText"/>
              <w:jc w:val="center"/>
              <w:rPr>
                <w:sz w:val="22"/>
                <w:lang w:val="nl-NL"/>
              </w:rPr>
            </w:pPr>
            <w:r>
              <w:rPr>
                <w:sz w:val="22"/>
                <w:lang w:val="nl-NL"/>
              </w:rPr>
              <w:t>00</w:t>
            </w:r>
          </w:p>
        </w:tc>
        <w:tc>
          <w:tcPr>
            <w:tcW w:w="2455" w:type="dxa"/>
          </w:tcPr>
          <w:p w:rsidR="00000000" w:rsidRDefault="00000000">
            <w:pPr>
              <w:pStyle w:val="BodyText"/>
              <w:jc w:val="center"/>
              <w:rPr>
                <w:sz w:val="22"/>
                <w:lang w:val="nl-NL"/>
              </w:rPr>
            </w:pPr>
            <w:r>
              <w:rPr>
                <w:sz w:val="22"/>
                <w:lang w:val="nl-NL"/>
              </w:rPr>
              <w:t>01</w:t>
            </w:r>
          </w:p>
        </w:tc>
      </w:tr>
      <w:tr w:rsidR="00000000">
        <w:tblPrEx>
          <w:tblCellMar>
            <w:top w:w="0" w:type="dxa"/>
            <w:bottom w:w="0" w:type="dxa"/>
          </w:tblCellMar>
        </w:tblPrEx>
        <w:tc>
          <w:tcPr>
            <w:tcW w:w="2454" w:type="dxa"/>
          </w:tcPr>
          <w:p w:rsidR="00000000" w:rsidRDefault="00000000">
            <w:pPr>
              <w:pStyle w:val="BodyText"/>
              <w:rPr>
                <w:sz w:val="22"/>
                <w:lang w:val="nl-NL"/>
              </w:rPr>
            </w:pPr>
            <w:r>
              <w:rPr>
                <w:sz w:val="22"/>
                <w:lang w:val="nl-NL"/>
              </w:rPr>
              <w:t>UPU</w:t>
            </w:r>
          </w:p>
        </w:tc>
        <w:tc>
          <w:tcPr>
            <w:tcW w:w="2455" w:type="dxa"/>
          </w:tcPr>
          <w:p w:rsidR="00000000" w:rsidRDefault="00000000">
            <w:pPr>
              <w:pStyle w:val="BodyText"/>
              <w:jc w:val="center"/>
              <w:rPr>
                <w:sz w:val="22"/>
                <w:lang w:val="nl-NL"/>
              </w:rPr>
            </w:pPr>
            <w:r>
              <w:rPr>
                <w:sz w:val="22"/>
                <w:lang w:val="nl-NL"/>
              </w:rPr>
              <w:t>01</w:t>
            </w:r>
          </w:p>
        </w:tc>
        <w:tc>
          <w:tcPr>
            <w:tcW w:w="2455" w:type="dxa"/>
          </w:tcPr>
          <w:p w:rsidR="00000000" w:rsidRDefault="00000000">
            <w:pPr>
              <w:pStyle w:val="BodyText"/>
              <w:jc w:val="center"/>
              <w:rPr>
                <w:sz w:val="22"/>
                <w:lang w:val="nl-NL"/>
              </w:rPr>
            </w:pPr>
            <w:r>
              <w:rPr>
                <w:sz w:val="22"/>
                <w:lang w:val="nl-NL"/>
              </w:rPr>
              <w:t>00</w:t>
            </w:r>
          </w:p>
        </w:tc>
        <w:tc>
          <w:tcPr>
            <w:tcW w:w="2455" w:type="dxa"/>
          </w:tcPr>
          <w:p w:rsidR="00000000" w:rsidRDefault="00000000">
            <w:pPr>
              <w:pStyle w:val="BodyText"/>
              <w:jc w:val="center"/>
              <w:rPr>
                <w:sz w:val="22"/>
                <w:lang w:val="nl-NL"/>
              </w:rPr>
            </w:pPr>
            <w:r>
              <w:rPr>
                <w:sz w:val="22"/>
                <w:lang w:val="nl-NL"/>
              </w:rPr>
              <w:t>01</w:t>
            </w:r>
          </w:p>
        </w:tc>
      </w:tr>
      <w:tr w:rsidR="00000000">
        <w:tblPrEx>
          <w:tblCellMar>
            <w:top w:w="0" w:type="dxa"/>
            <w:bottom w:w="0" w:type="dxa"/>
          </w:tblCellMar>
        </w:tblPrEx>
        <w:tc>
          <w:tcPr>
            <w:tcW w:w="2454" w:type="dxa"/>
          </w:tcPr>
          <w:p w:rsidR="00000000" w:rsidRDefault="00000000">
            <w:pPr>
              <w:pStyle w:val="BodyText"/>
              <w:rPr>
                <w:sz w:val="22"/>
                <w:lang w:val="nl-NL"/>
              </w:rPr>
            </w:pPr>
            <w:r>
              <w:rPr>
                <w:sz w:val="22"/>
                <w:lang w:val="nl-NL"/>
              </w:rPr>
              <w:t>OSPAAL</w:t>
            </w:r>
          </w:p>
        </w:tc>
        <w:tc>
          <w:tcPr>
            <w:tcW w:w="2455" w:type="dxa"/>
          </w:tcPr>
          <w:p w:rsidR="00000000" w:rsidRDefault="00000000">
            <w:pPr>
              <w:pStyle w:val="BodyText"/>
              <w:jc w:val="center"/>
              <w:rPr>
                <w:sz w:val="22"/>
                <w:lang w:val="en-GB"/>
              </w:rPr>
            </w:pPr>
            <w:r>
              <w:rPr>
                <w:sz w:val="22"/>
                <w:lang w:val="en-GB"/>
              </w:rPr>
              <w:t>01</w:t>
            </w:r>
          </w:p>
        </w:tc>
        <w:tc>
          <w:tcPr>
            <w:tcW w:w="2455" w:type="dxa"/>
          </w:tcPr>
          <w:p w:rsidR="00000000" w:rsidRDefault="00000000">
            <w:pPr>
              <w:pStyle w:val="BodyText"/>
              <w:jc w:val="center"/>
              <w:rPr>
                <w:sz w:val="22"/>
                <w:lang w:val="en-GB"/>
              </w:rPr>
            </w:pPr>
            <w:r>
              <w:rPr>
                <w:sz w:val="22"/>
                <w:lang w:val="en-GB"/>
              </w:rPr>
              <w:t>00</w:t>
            </w:r>
          </w:p>
        </w:tc>
        <w:tc>
          <w:tcPr>
            <w:tcW w:w="2455" w:type="dxa"/>
          </w:tcPr>
          <w:p w:rsidR="00000000" w:rsidRDefault="00000000">
            <w:pPr>
              <w:pStyle w:val="BodyText"/>
              <w:jc w:val="center"/>
              <w:rPr>
                <w:sz w:val="22"/>
                <w:lang w:val="en-GB"/>
              </w:rPr>
            </w:pPr>
            <w:r>
              <w:rPr>
                <w:sz w:val="22"/>
                <w:lang w:val="en-GB"/>
              </w:rPr>
              <w:t>01</w:t>
            </w:r>
          </w:p>
        </w:tc>
      </w:tr>
      <w:tr w:rsidR="00000000">
        <w:tblPrEx>
          <w:tblCellMar>
            <w:top w:w="0" w:type="dxa"/>
            <w:bottom w:w="0" w:type="dxa"/>
          </w:tblCellMar>
        </w:tblPrEx>
        <w:tc>
          <w:tcPr>
            <w:tcW w:w="2454" w:type="dxa"/>
          </w:tcPr>
          <w:p w:rsidR="00000000" w:rsidRDefault="00000000">
            <w:pPr>
              <w:pStyle w:val="BodyText"/>
              <w:rPr>
                <w:sz w:val="22"/>
                <w:lang w:val="en-GB"/>
              </w:rPr>
            </w:pPr>
            <w:r>
              <w:rPr>
                <w:sz w:val="22"/>
                <w:lang w:val="en-GB"/>
              </w:rPr>
              <w:t>ACCT</w:t>
            </w:r>
          </w:p>
        </w:tc>
        <w:tc>
          <w:tcPr>
            <w:tcW w:w="2455" w:type="dxa"/>
          </w:tcPr>
          <w:p w:rsidR="00000000" w:rsidRDefault="00000000">
            <w:pPr>
              <w:pStyle w:val="BodyText"/>
              <w:jc w:val="center"/>
              <w:rPr>
                <w:sz w:val="22"/>
                <w:lang w:val="en-GB"/>
              </w:rPr>
            </w:pPr>
            <w:r>
              <w:rPr>
                <w:sz w:val="22"/>
                <w:lang w:val="en-GB"/>
              </w:rPr>
              <w:t>02</w:t>
            </w:r>
          </w:p>
        </w:tc>
        <w:tc>
          <w:tcPr>
            <w:tcW w:w="2455" w:type="dxa"/>
          </w:tcPr>
          <w:p w:rsidR="00000000" w:rsidRDefault="00000000">
            <w:pPr>
              <w:pStyle w:val="BodyText"/>
              <w:jc w:val="center"/>
              <w:rPr>
                <w:sz w:val="22"/>
                <w:lang w:val="en-GB"/>
              </w:rPr>
            </w:pPr>
            <w:r>
              <w:rPr>
                <w:sz w:val="22"/>
                <w:lang w:val="en-GB"/>
              </w:rPr>
              <w:t>00</w:t>
            </w:r>
          </w:p>
        </w:tc>
        <w:tc>
          <w:tcPr>
            <w:tcW w:w="2455" w:type="dxa"/>
          </w:tcPr>
          <w:p w:rsidR="00000000" w:rsidRDefault="00000000">
            <w:pPr>
              <w:pStyle w:val="BodyText"/>
              <w:jc w:val="center"/>
              <w:rPr>
                <w:sz w:val="22"/>
                <w:lang w:val="en-GB"/>
              </w:rPr>
            </w:pPr>
            <w:r>
              <w:rPr>
                <w:sz w:val="22"/>
                <w:lang w:val="en-GB"/>
              </w:rPr>
              <w:t>02</w:t>
            </w:r>
          </w:p>
        </w:tc>
      </w:tr>
      <w:tr w:rsidR="00000000">
        <w:tblPrEx>
          <w:tblCellMar>
            <w:top w:w="0" w:type="dxa"/>
            <w:bottom w:w="0" w:type="dxa"/>
          </w:tblCellMar>
        </w:tblPrEx>
        <w:tc>
          <w:tcPr>
            <w:tcW w:w="2454" w:type="dxa"/>
          </w:tcPr>
          <w:p w:rsidR="00000000" w:rsidRDefault="00000000">
            <w:pPr>
              <w:pStyle w:val="BodyText"/>
              <w:rPr>
                <w:sz w:val="22"/>
                <w:lang w:val="en-GB"/>
              </w:rPr>
            </w:pPr>
            <w:r>
              <w:rPr>
                <w:sz w:val="22"/>
                <w:lang w:val="en-GB"/>
              </w:rPr>
              <w:t>BEAC</w:t>
            </w:r>
          </w:p>
        </w:tc>
        <w:tc>
          <w:tcPr>
            <w:tcW w:w="2455" w:type="dxa"/>
          </w:tcPr>
          <w:p w:rsidR="00000000" w:rsidRDefault="00000000">
            <w:pPr>
              <w:pStyle w:val="BodyText"/>
              <w:jc w:val="center"/>
              <w:rPr>
                <w:sz w:val="22"/>
                <w:lang w:val="en-GB"/>
              </w:rPr>
            </w:pPr>
            <w:r>
              <w:rPr>
                <w:sz w:val="22"/>
                <w:lang w:val="en-GB"/>
              </w:rPr>
              <w:t>01</w:t>
            </w:r>
          </w:p>
        </w:tc>
        <w:tc>
          <w:tcPr>
            <w:tcW w:w="2455" w:type="dxa"/>
          </w:tcPr>
          <w:p w:rsidR="00000000" w:rsidRDefault="00000000">
            <w:pPr>
              <w:pStyle w:val="BodyText"/>
              <w:jc w:val="center"/>
              <w:rPr>
                <w:sz w:val="22"/>
                <w:lang w:val="en-GB"/>
              </w:rPr>
            </w:pPr>
            <w:r>
              <w:rPr>
                <w:sz w:val="22"/>
                <w:lang w:val="en-GB"/>
              </w:rPr>
              <w:t>00</w:t>
            </w:r>
          </w:p>
        </w:tc>
        <w:tc>
          <w:tcPr>
            <w:tcW w:w="2455" w:type="dxa"/>
          </w:tcPr>
          <w:p w:rsidR="00000000" w:rsidRDefault="00000000">
            <w:pPr>
              <w:pStyle w:val="BodyText"/>
              <w:jc w:val="center"/>
              <w:rPr>
                <w:sz w:val="22"/>
                <w:lang w:val="en-GB"/>
              </w:rPr>
            </w:pPr>
            <w:r>
              <w:rPr>
                <w:sz w:val="22"/>
                <w:lang w:val="en-GB"/>
              </w:rPr>
              <w:t>01</w:t>
            </w:r>
          </w:p>
        </w:tc>
      </w:tr>
      <w:tr w:rsidR="00000000">
        <w:tblPrEx>
          <w:tblCellMar>
            <w:top w:w="0" w:type="dxa"/>
            <w:bottom w:w="0" w:type="dxa"/>
          </w:tblCellMar>
        </w:tblPrEx>
        <w:tc>
          <w:tcPr>
            <w:tcW w:w="2454" w:type="dxa"/>
          </w:tcPr>
          <w:p w:rsidR="00000000" w:rsidRDefault="00000000">
            <w:pPr>
              <w:pStyle w:val="BodyText"/>
              <w:rPr>
                <w:sz w:val="22"/>
                <w:lang w:val="en-GB"/>
              </w:rPr>
            </w:pPr>
            <w:r>
              <w:rPr>
                <w:sz w:val="22"/>
                <w:lang w:val="en-GB"/>
              </w:rPr>
              <w:t>ONUDI</w:t>
            </w:r>
          </w:p>
        </w:tc>
        <w:tc>
          <w:tcPr>
            <w:tcW w:w="2455" w:type="dxa"/>
          </w:tcPr>
          <w:p w:rsidR="00000000" w:rsidRDefault="00000000">
            <w:pPr>
              <w:pStyle w:val="BodyText"/>
              <w:jc w:val="center"/>
              <w:rPr>
                <w:sz w:val="22"/>
                <w:lang w:val="en-GB"/>
              </w:rPr>
            </w:pPr>
            <w:r>
              <w:rPr>
                <w:sz w:val="22"/>
                <w:lang w:val="en-GB"/>
              </w:rPr>
              <w:t>01</w:t>
            </w:r>
          </w:p>
        </w:tc>
        <w:tc>
          <w:tcPr>
            <w:tcW w:w="2455" w:type="dxa"/>
          </w:tcPr>
          <w:p w:rsidR="00000000" w:rsidRDefault="00000000">
            <w:pPr>
              <w:pStyle w:val="BodyText"/>
              <w:jc w:val="center"/>
              <w:rPr>
                <w:sz w:val="22"/>
                <w:lang w:val="en-GB"/>
              </w:rPr>
            </w:pPr>
            <w:r>
              <w:rPr>
                <w:sz w:val="22"/>
                <w:lang w:val="en-GB"/>
              </w:rPr>
              <w:t>00</w:t>
            </w:r>
          </w:p>
        </w:tc>
        <w:tc>
          <w:tcPr>
            <w:tcW w:w="2455" w:type="dxa"/>
          </w:tcPr>
          <w:p w:rsidR="00000000" w:rsidRDefault="00000000">
            <w:pPr>
              <w:pStyle w:val="BodyText"/>
              <w:jc w:val="center"/>
              <w:rPr>
                <w:sz w:val="22"/>
                <w:lang w:val="en-GB"/>
              </w:rPr>
            </w:pPr>
            <w:r>
              <w:rPr>
                <w:sz w:val="22"/>
                <w:lang w:val="en-GB"/>
              </w:rPr>
              <w:t>01</w:t>
            </w:r>
          </w:p>
        </w:tc>
      </w:tr>
      <w:tr w:rsidR="00000000">
        <w:tblPrEx>
          <w:tblCellMar>
            <w:top w:w="0" w:type="dxa"/>
            <w:bottom w:w="0" w:type="dxa"/>
          </w:tblCellMar>
        </w:tblPrEx>
        <w:tc>
          <w:tcPr>
            <w:tcW w:w="2454" w:type="dxa"/>
          </w:tcPr>
          <w:p w:rsidR="00000000" w:rsidRDefault="00000000">
            <w:pPr>
              <w:pStyle w:val="BodyText"/>
              <w:rPr>
                <w:sz w:val="22"/>
                <w:lang w:val="en-GB"/>
              </w:rPr>
            </w:pPr>
            <w:r>
              <w:rPr>
                <w:sz w:val="22"/>
                <w:lang w:val="en-GB"/>
              </w:rPr>
              <w:t>OMPI</w:t>
            </w:r>
          </w:p>
        </w:tc>
        <w:tc>
          <w:tcPr>
            <w:tcW w:w="2455" w:type="dxa"/>
          </w:tcPr>
          <w:p w:rsidR="00000000" w:rsidRDefault="00000000">
            <w:pPr>
              <w:pStyle w:val="BodyText"/>
              <w:jc w:val="center"/>
              <w:rPr>
                <w:sz w:val="22"/>
                <w:lang w:val="en-GB"/>
              </w:rPr>
            </w:pPr>
            <w:r>
              <w:rPr>
                <w:sz w:val="22"/>
                <w:lang w:val="en-GB"/>
              </w:rPr>
              <w:t>01</w:t>
            </w:r>
          </w:p>
        </w:tc>
        <w:tc>
          <w:tcPr>
            <w:tcW w:w="2455" w:type="dxa"/>
          </w:tcPr>
          <w:p w:rsidR="00000000" w:rsidRDefault="00000000">
            <w:pPr>
              <w:pStyle w:val="BodyText"/>
              <w:jc w:val="center"/>
              <w:rPr>
                <w:sz w:val="22"/>
                <w:lang w:val="en-GB"/>
              </w:rPr>
            </w:pPr>
            <w:r>
              <w:rPr>
                <w:sz w:val="22"/>
                <w:lang w:val="en-GB"/>
              </w:rPr>
              <w:t>00</w:t>
            </w:r>
          </w:p>
        </w:tc>
        <w:tc>
          <w:tcPr>
            <w:tcW w:w="2455" w:type="dxa"/>
          </w:tcPr>
          <w:p w:rsidR="00000000" w:rsidRDefault="00000000">
            <w:pPr>
              <w:pStyle w:val="BodyText"/>
              <w:jc w:val="center"/>
              <w:rPr>
                <w:sz w:val="22"/>
                <w:lang w:val="en-GB"/>
              </w:rPr>
            </w:pPr>
            <w:r>
              <w:rPr>
                <w:sz w:val="22"/>
                <w:lang w:val="en-GB"/>
              </w:rPr>
              <w:t>01</w:t>
            </w:r>
          </w:p>
        </w:tc>
      </w:tr>
      <w:tr w:rsidR="00000000">
        <w:tblPrEx>
          <w:tblCellMar>
            <w:top w:w="0" w:type="dxa"/>
            <w:bottom w:w="0" w:type="dxa"/>
          </w:tblCellMar>
        </w:tblPrEx>
        <w:tc>
          <w:tcPr>
            <w:tcW w:w="2454" w:type="dxa"/>
          </w:tcPr>
          <w:p w:rsidR="00000000" w:rsidRDefault="00000000">
            <w:pPr>
              <w:pStyle w:val="BodyText"/>
              <w:rPr>
                <w:sz w:val="22"/>
                <w:lang w:val="en-GB"/>
              </w:rPr>
            </w:pPr>
            <w:r>
              <w:rPr>
                <w:sz w:val="22"/>
                <w:lang w:val="en-GB"/>
              </w:rPr>
              <w:t>RESEFAC</w:t>
            </w:r>
          </w:p>
        </w:tc>
        <w:tc>
          <w:tcPr>
            <w:tcW w:w="2455" w:type="dxa"/>
          </w:tcPr>
          <w:p w:rsidR="00000000" w:rsidRDefault="00000000">
            <w:pPr>
              <w:pStyle w:val="BodyText"/>
              <w:jc w:val="center"/>
              <w:rPr>
                <w:sz w:val="22"/>
                <w:lang w:val="en-GB"/>
              </w:rPr>
            </w:pPr>
            <w:r>
              <w:rPr>
                <w:sz w:val="22"/>
                <w:lang w:val="en-GB"/>
              </w:rPr>
              <w:t>00</w:t>
            </w:r>
          </w:p>
        </w:tc>
        <w:tc>
          <w:tcPr>
            <w:tcW w:w="2455" w:type="dxa"/>
          </w:tcPr>
          <w:p w:rsidR="00000000" w:rsidRDefault="00000000">
            <w:pPr>
              <w:pStyle w:val="BodyText"/>
              <w:jc w:val="center"/>
              <w:rPr>
                <w:sz w:val="22"/>
                <w:lang w:val="en-GB"/>
              </w:rPr>
            </w:pPr>
            <w:r>
              <w:rPr>
                <w:sz w:val="22"/>
                <w:lang w:val="en-GB"/>
              </w:rPr>
              <w:t>01</w:t>
            </w:r>
          </w:p>
        </w:tc>
        <w:tc>
          <w:tcPr>
            <w:tcW w:w="2455" w:type="dxa"/>
          </w:tcPr>
          <w:p w:rsidR="00000000" w:rsidRDefault="00000000">
            <w:pPr>
              <w:pStyle w:val="BodyText"/>
              <w:jc w:val="center"/>
              <w:rPr>
                <w:sz w:val="22"/>
                <w:lang w:val="en-GB"/>
              </w:rPr>
            </w:pPr>
            <w:r>
              <w:rPr>
                <w:sz w:val="22"/>
                <w:lang w:val="en-GB"/>
              </w:rPr>
              <w:t>01</w:t>
            </w:r>
          </w:p>
        </w:tc>
      </w:tr>
      <w:tr w:rsidR="00000000">
        <w:tblPrEx>
          <w:tblCellMar>
            <w:top w:w="0" w:type="dxa"/>
            <w:bottom w:w="0" w:type="dxa"/>
          </w:tblCellMar>
        </w:tblPrEx>
        <w:tc>
          <w:tcPr>
            <w:tcW w:w="2454" w:type="dxa"/>
          </w:tcPr>
          <w:p w:rsidR="00000000" w:rsidRDefault="00000000">
            <w:pPr>
              <w:pStyle w:val="BodyText"/>
              <w:rPr>
                <w:sz w:val="22"/>
                <w:lang w:val="en-GB"/>
              </w:rPr>
            </w:pPr>
            <w:r>
              <w:rPr>
                <w:sz w:val="22"/>
                <w:lang w:val="en-GB"/>
              </w:rPr>
              <w:t>AGG</w:t>
            </w:r>
          </w:p>
        </w:tc>
        <w:tc>
          <w:tcPr>
            <w:tcW w:w="2455" w:type="dxa"/>
          </w:tcPr>
          <w:p w:rsidR="00000000" w:rsidRDefault="00000000">
            <w:pPr>
              <w:pStyle w:val="BodyText"/>
              <w:jc w:val="center"/>
              <w:rPr>
                <w:sz w:val="22"/>
                <w:lang w:val="en-GB"/>
              </w:rPr>
            </w:pPr>
            <w:r>
              <w:rPr>
                <w:sz w:val="22"/>
                <w:lang w:val="en-GB"/>
              </w:rPr>
              <w:t>01</w:t>
            </w:r>
          </w:p>
        </w:tc>
        <w:tc>
          <w:tcPr>
            <w:tcW w:w="2455" w:type="dxa"/>
          </w:tcPr>
          <w:p w:rsidR="00000000" w:rsidRDefault="00000000">
            <w:pPr>
              <w:pStyle w:val="BodyText"/>
              <w:jc w:val="center"/>
              <w:rPr>
                <w:sz w:val="22"/>
                <w:lang w:val="en-GB"/>
              </w:rPr>
            </w:pPr>
            <w:r>
              <w:rPr>
                <w:sz w:val="22"/>
                <w:lang w:val="en-GB"/>
              </w:rPr>
              <w:t>00</w:t>
            </w:r>
          </w:p>
        </w:tc>
        <w:tc>
          <w:tcPr>
            <w:tcW w:w="2455" w:type="dxa"/>
          </w:tcPr>
          <w:p w:rsidR="00000000" w:rsidRDefault="00000000">
            <w:pPr>
              <w:pStyle w:val="BodyText"/>
              <w:jc w:val="center"/>
              <w:rPr>
                <w:sz w:val="22"/>
                <w:lang w:val="en-GB"/>
              </w:rPr>
            </w:pPr>
            <w:r>
              <w:rPr>
                <w:sz w:val="22"/>
                <w:lang w:val="en-GB"/>
              </w:rPr>
              <w:t>01</w:t>
            </w:r>
          </w:p>
        </w:tc>
      </w:tr>
      <w:tr w:rsidR="00000000">
        <w:tblPrEx>
          <w:tblCellMar>
            <w:top w:w="0" w:type="dxa"/>
            <w:bottom w:w="0" w:type="dxa"/>
          </w:tblCellMar>
        </w:tblPrEx>
        <w:tc>
          <w:tcPr>
            <w:tcW w:w="2454" w:type="dxa"/>
          </w:tcPr>
          <w:p w:rsidR="00000000" w:rsidRDefault="00000000">
            <w:pPr>
              <w:pStyle w:val="BodyText"/>
              <w:rPr>
                <w:sz w:val="22"/>
                <w:lang w:val="en-GB"/>
              </w:rPr>
            </w:pPr>
            <w:r>
              <w:rPr>
                <w:sz w:val="22"/>
                <w:lang w:val="en-GB"/>
              </w:rPr>
              <w:t>OACB</w:t>
            </w:r>
          </w:p>
        </w:tc>
        <w:tc>
          <w:tcPr>
            <w:tcW w:w="2455" w:type="dxa"/>
          </w:tcPr>
          <w:p w:rsidR="00000000" w:rsidRDefault="00000000">
            <w:pPr>
              <w:pStyle w:val="BodyText"/>
              <w:jc w:val="center"/>
              <w:rPr>
                <w:sz w:val="22"/>
              </w:rPr>
            </w:pPr>
            <w:r>
              <w:rPr>
                <w:sz w:val="22"/>
              </w:rPr>
              <w:t>01</w:t>
            </w:r>
          </w:p>
        </w:tc>
        <w:tc>
          <w:tcPr>
            <w:tcW w:w="2455" w:type="dxa"/>
          </w:tcPr>
          <w:p w:rsidR="00000000" w:rsidRDefault="00000000">
            <w:pPr>
              <w:pStyle w:val="BodyText"/>
              <w:jc w:val="center"/>
              <w:rPr>
                <w:sz w:val="22"/>
              </w:rPr>
            </w:pPr>
            <w:r>
              <w:rPr>
                <w:sz w:val="22"/>
              </w:rPr>
              <w:t>00</w:t>
            </w:r>
          </w:p>
        </w:tc>
        <w:tc>
          <w:tcPr>
            <w:tcW w:w="2455" w:type="dxa"/>
          </w:tcPr>
          <w:p w:rsidR="00000000" w:rsidRDefault="00000000">
            <w:pPr>
              <w:pStyle w:val="BodyText"/>
              <w:jc w:val="center"/>
              <w:rPr>
                <w:sz w:val="22"/>
              </w:rPr>
            </w:pPr>
            <w:r>
              <w:rPr>
                <w:sz w:val="22"/>
              </w:rPr>
              <w:t>01</w:t>
            </w:r>
          </w:p>
        </w:tc>
      </w:tr>
      <w:tr w:rsidR="00000000">
        <w:tblPrEx>
          <w:tblCellMar>
            <w:top w:w="0" w:type="dxa"/>
            <w:bottom w:w="0" w:type="dxa"/>
          </w:tblCellMar>
        </w:tblPrEx>
        <w:tc>
          <w:tcPr>
            <w:tcW w:w="2454" w:type="dxa"/>
          </w:tcPr>
          <w:p w:rsidR="00000000" w:rsidRDefault="00000000">
            <w:pPr>
              <w:pStyle w:val="BodyText"/>
              <w:rPr>
                <w:sz w:val="22"/>
              </w:rPr>
            </w:pPr>
            <w:r>
              <w:rPr>
                <w:sz w:val="22"/>
              </w:rPr>
              <w:t>OPF</w:t>
            </w:r>
          </w:p>
        </w:tc>
        <w:tc>
          <w:tcPr>
            <w:tcW w:w="2455" w:type="dxa"/>
          </w:tcPr>
          <w:p w:rsidR="00000000" w:rsidRDefault="00000000">
            <w:pPr>
              <w:pStyle w:val="BodyText"/>
              <w:jc w:val="center"/>
              <w:rPr>
                <w:sz w:val="22"/>
              </w:rPr>
            </w:pPr>
            <w:r>
              <w:rPr>
                <w:sz w:val="22"/>
              </w:rPr>
              <w:t>00</w:t>
            </w:r>
          </w:p>
        </w:tc>
        <w:tc>
          <w:tcPr>
            <w:tcW w:w="2455" w:type="dxa"/>
          </w:tcPr>
          <w:p w:rsidR="00000000" w:rsidRDefault="00000000">
            <w:pPr>
              <w:pStyle w:val="BodyText"/>
              <w:jc w:val="center"/>
              <w:rPr>
                <w:sz w:val="22"/>
              </w:rPr>
            </w:pPr>
            <w:r>
              <w:rPr>
                <w:sz w:val="22"/>
              </w:rPr>
              <w:t>02</w:t>
            </w:r>
          </w:p>
        </w:tc>
        <w:tc>
          <w:tcPr>
            <w:tcW w:w="2455" w:type="dxa"/>
          </w:tcPr>
          <w:p w:rsidR="00000000" w:rsidRDefault="00000000">
            <w:pPr>
              <w:pStyle w:val="BodyText"/>
              <w:jc w:val="center"/>
              <w:rPr>
                <w:sz w:val="22"/>
              </w:rPr>
            </w:pPr>
            <w:r>
              <w:rPr>
                <w:sz w:val="22"/>
              </w:rPr>
              <w:t>02</w:t>
            </w:r>
          </w:p>
        </w:tc>
      </w:tr>
      <w:tr w:rsidR="00000000">
        <w:tblPrEx>
          <w:tblCellMar>
            <w:top w:w="0" w:type="dxa"/>
            <w:bottom w:w="0" w:type="dxa"/>
          </w:tblCellMar>
        </w:tblPrEx>
        <w:tc>
          <w:tcPr>
            <w:tcW w:w="2454" w:type="dxa"/>
          </w:tcPr>
          <w:p w:rsidR="00000000" w:rsidRDefault="00000000">
            <w:pPr>
              <w:pStyle w:val="BodyText"/>
              <w:rPr>
                <w:sz w:val="22"/>
              </w:rPr>
            </w:pPr>
            <w:r>
              <w:rPr>
                <w:sz w:val="22"/>
              </w:rPr>
              <w:t>FDIF</w:t>
            </w:r>
          </w:p>
        </w:tc>
        <w:tc>
          <w:tcPr>
            <w:tcW w:w="2455" w:type="dxa"/>
          </w:tcPr>
          <w:p w:rsidR="00000000" w:rsidRDefault="00000000">
            <w:pPr>
              <w:pStyle w:val="BodyText"/>
              <w:jc w:val="center"/>
              <w:rPr>
                <w:sz w:val="22"/>
              </w:rPr>
            </w:pPr>
            <w:r>
              <w:rPr>
                <w:sz w:val="22"/>
              </w:rPr>
              <w:t>00</w:t>
            </w:r>
          </w:p>
        </w:tc>
        <w:tc>
          <w:tcPr>
            <w:tcW w:w="2455" w:type="dxa"/>
          </w:tcPr>
          <w:p w:rsidR="00000000" w:rsidRDefault="00000000">
            <w:pPr>
              <w:pStyle w:val="BodyText"/>
              <w:jc w:val="center"/>
              <w:rPr>
                <w:sz w:val="22"/>
              </w:rPr>
            </w:pPr>
            <w:r>
              <w:rPr>
                <w:sz w:val="22"/>
              </w:rPr>
              <w:t>02</w:t>
            </w:r>
          </w:p>
        </w:tc>
        <w:tc>
          <w:tcPr>
            <w:tcW w:w="2455" w:type="dxa"/>
          </w:tcPr>
          <w:p w:rsidR="00000000" w:rsidRDefault="00000000">
            <w:pPr>
              <w:pStyle w:val="BodyText"/>
              <w:jc w:val="center"/>
              <w:rPr>
                <w:sz w:val="22"/>
              </w:rPr>
            </w:pPr>
            <w:r>
              <w:rPr>
                <w:sz w:val="22"/>
              </w:rPr>
              <w:t>02</w:t>
            </w:r>
          </w:p>
        </w:tc>
      </w:tr>
      <w:tr w:rsidR="00000000">
        <w:tblPrEx>
          <w:tblCellMar>
            <w:top w:w="0" w:type="dxa"/>
            <w:bottom w:w="0" w:type="dxa"/>
          </w:tblCellMar>
        </w:tblPrEx>
        <w:tc>
          <w:tcPr>
            <w:tcW w:w="2454" w:type="dxa"/>
          </w:tcPr>
          <w:p w:rsidR="00000000" w:rsidRDefault="00000000">
            <w:pPr>
              <w:pStyle w:val="BodyText"/>
              <w:rPr>
                <w:sz w:val="22"/>
              </w:rPr>
            </w:pPr>
            <w:r>
              <w:rPr>
                <w:sz w:val="22"/>
              </w:rPr>
              <w:t>Conseil Mondial de la Paix</w:t>
            </w:r>
          </w:p>
        </w:tc>
        <w:tc>
          <w:tcPr>
            <w:tcW w:w="2455" w:type="dxa"/>
          </w:tcPr>
          <w:p w:rsidR="00000000" w:rsidRDefault="00000000">
            <w:pPr>
              <w:pStyle w:val="BodyText"/>
              <w:jc w:val="center"/>
              <w:rPr>
                <w:sz w:val="22"/>
              </w:rPr>
            </w:pPr>
            <w:r>
              <w:rPr>
                <w:sz w:val="22"/>
              </w:rPr>
              <w:t>00</w:t>
            </w:r>
          </w:p>
        </w:tc>
        <w:tc>
          <w:tcPr>
            <w:tcW w:w="2455" w:type="dxa"/>
          </w:tcPr>
          <w:p w:rsidR="00000000" w:rsidRDefault="00000000">
            <w:pPr>
              <w:pStyle w:val="BodyText"/>
              <w:jc w:val="center"/>
              <w:rPr>
                <w:sz w:val="22"/>
              </w:rPr>
            </w:pPr>
            <w:r>
              <w:rPr>
                <w:sz w:val="22"/>
              </w:rPr>
              <w:t>02</w:t>
            </w:r>
          </w:p>
        </w:tc>
        <w:tc>
          <w:tcPr>
            <w:tcW w:w="2455" w:type="dxa"/>
          </w:tcPr>
          <w:p w:rsidR="00000000" w:rsidRDefault="00000000">
            <w:pPr>
              <w:pStyle w:val="BodyText"/>
              <w:jc w:val="center"/>
              <w:rPr>
                <w:sz w:val="22"/>
              </w:rPr>
            </w:pPr>
            <w:r>
              <w:rPr>
                <w:sz w:val="22"/>
              </w:rPr>
              <w:t>02</w:t>
            </w:r>
          </w:p>
        </w:tc>
      </w:tr>
      <w:tr w:rsidR="00000000">
        <w:tblPrEx>
          <w:tblCellMar>
            <w:top w:w="0" w:type="dxa"/>
            <w:bottom w:w="0" w:type="dxa"/>
          </w:tblCellMar>
        </w:tblPrEx>
        <w:tc>
          <w:tcPr>
            <w:tcW w:w="2454" w:type="dxa"/>
          </w:tcPr>
          <w:p w:rsidR="00000000" w:rsidRDefault="00000000">
            <w:pPr>
              <w:pStyle w:val="BodyText"/>
              <w:rPr>
                <w:b/>
                <w:sz w:val="22"/>
              </w:rPr>
            </w:pPr>
            <w:r>
              <w:rPr>
                <w:b/>
                <w:sz w:val="22"/>
              </w:rPr>
              <w:t xml:space="preserve">Total </w:t>
            </w:r>
          </w:p>
        </w:tc>
        <w:tc>
          <w:tcPr>
            <w:tcW w:w="2455" w:type="dxa"/>
          </w:tcPr>
          <w:p w:rsidR="00000000" w:rsidRDefault="00000000">
            <w:pPr>
              <w:pStyle w:val="BodyText"/>
              <w:jc w:val="center"/>
              <w:rPr>
                <w:sz w:val="22"/>
              </w:rPr>
            </w:pPr>
            <w:r>
              <w:rPr>
                <w:sz w:val="22"/>
              </w:rPr>
              <w:t>16</w:t>
            </w:r>
          </w:p>
        </w:tc>
        <w:tc>
          <w:tcPr>
            <w:tcW w:w="2455" w:type="dxa"/>
          </w:tcPr>
          <w:p w:rsidR="00000000" w:rsidRDefault="00000000">
            <w:pPr>
              <w:pStyle w:val="BodyText"/>
              <w:jc w:val="center"/>
              <w:rPr>
                <w:sz w:val="22"/>
              </w:rPr>
            </w:pPr>
            <w:r>
              <w:rPr>
                <w:sz w:val="22"/>
              </w:rPr>
              <w:t>10</w:t>
            </w:r>
          </w:p>
        </w:tc>
        <w:tc>
          <w:tcPr>
            <w:tcW w:w="2455" w:type="dxa"/>
          </w:tcPr>
          <w:p w:rsidR="00000000" w:rsidRDefault="00000000">
            <w:pPr>
              <w:pStyle w:val="BodyText"/>
              <w:jc w:val="center"/>
              <w:rPr>
                <w:sz w:val="22"/>
              </w:rPr>
            </w:pPr>
            <w:r>
              <w:rPr>
                <w:sz w:val="22"/>
              </w:rPr>
              <w:t>27</w:t>
            </w:r>
          </w:p>
        </w:tc>
      </w:tr>
    </w:tbl>
    <w:p w:rsidR="00000000" w:rsidRDefault="00000000">
      <w:pPr>
        <w:pStyle w:val="BodyText"/>
        <w:rPr>
          <w:sz w:val="22"/>
        </w:rPr>
      </w:pPr>
    </w:p>
    <w:p w:rsidR="00000000" w:rsidRDefault="00000000">
      <w:pPr>
        <w:pStyle w:val="BodyText"/>
        <w:jc w:val="left"/>
        <w:rPr>
          <w:b/>
          <w:sz w:val="22"/>
          <w:u w:val="single"/>
        </w:rPr>
      </w:pPr>
      <w:r>
        <w:rPr>
          <w:b/>
          <w:sz w:val="22"/>
        </w:rPr>
        <w:t xml:space="preserve">SECTION III- </w:t>
      </w:r>
      <w:r>
        <w:rPr>
          <w:b/>
          <w:sz w:val="22"/>
          <w:u w:val="single"/>
        </w:rPr>
        <w:t>LES CONTRAINTES</w:t>
      </w:r>
    </w:p>
    <w:p w:rsidR="00000000" w:rsidRDefault="00000000">
      <w:pPr>
        <w:pStyle w:val="BodyText"/>
        <w:jc w:val="left"/>
        <w:rPr>
          <w:sz w:val="22"/>
        </w:rPr>
      </w:pPr>
    </w:p>
    <w:p w:rsidR="00000000" w:rsidRDefault="00000000">
      <w:pPr>
        <w:pStyle w:val="BodyText"/>
        <w:rPr>
          <w:sz w:val="22"/>
        </w:rPr>
      </w:pPr>
      <w:r>
        <w:rPr>
          <w:sz w:val="22"/>
        </w:rPr>
        <w:t>Les contraintes ci-après peuvent être identifiées comme obstacles à la représentativité des femmes. Il s’agit de :</w:t>
      </w:r>
    </w:p>
    <w:p w:rsidR="00000000" w:rsidRDefault="00000000">
      <w:pPr>
        <w:pStyle w:val="BodyText"/>
        <w:rPr>
          <w:sz w:val="22"/>
        </w:rPr>
      </w:pPr>
    </w:p>
    <w:p w:rsidR="00000000" w:rsidRDefault="00000000">
      <w:pPr>
        <w:pStyle w:val="BodyText"/>
        <w:numPr>
          <w:ilvl w:val="0"/>
          <w:numId w:val="71"/>
        </w:numPr>
        <w:rPr>
          <w:sz w:val="22"/>
        </w:rPr>
      </w:pPr>
      <w:r>
        <w:rPr>
          <w:sz w:val="22"/>
        </w:rPr>
        <w:t>le manque d’enthousiasme ou d’intérêt des hommes aux questions de la promotion de la femme ;</w:t>
      </w:r>
    </w:p>
    <w:p w:rsidR="00000000" w:rsidRDefault="00000000">
      <w:pPr>
        <w:pStyle w:val="BodyText"/>
        <w:numPr>
          <w:ilvl w:val="0"/>
          <w:numId w:val="71"/>
        </w:numPr>
        <w:rPr>
          <w:sz w:val="22"/>
        </w:rPr>
      </w:pPr>
      <w:r>
        <w:rPr>
          <w:sz w:val="22"/>
        </w:rPr>
        <w:t>le manque d’engagement de la majorité des femmes congolaises pour leur propre promotion ;</w:t>
      </w:r>
    </w:p>
    <w:p w:rsidR="00000000" w:rsidRDefault="00000000">
      <w:pPr>
        <w:pStyle w:val="BodyText"/>
        <w:numPr>
          <w:ilvl w:val="0"/>
          <w:numId w:val="71"/>
        </w:numPr>
        <w:rPr>
          <w:sz w:val="22"/>
        </w:rPr>
      </w:pPr>
      <w:r>
        <w:rPr>
          <w:sz w:val="22"/>
        </w:rPr>
        <w:t>l’absence de lobbying pouvant appuyer l’action des femmes dans leurs revendications ;</w:t>
      </w:r>
    </w:p>
    <w:p w:rsidR="00000000" w:rsidRDefault="00000000">
      <w:pPr>
        <w:pStyle w:val="BodyText"/>
        <w:numPr>
          <w:ilvl w:val="0"/>
          <w:numId w:val="71"/>
        </w:numPr>
        <w:rPr>
          <w:sz w:val="22"/>
        </w:rPr>
      </w:pPr>
      <w:r>
        <w:rPr>
          <w:sz w:val="22"/>
        </w:rPr>
        <w:t>la sous représentativité des femmes dans les sphères de décision ;</w:t>
      </w:r>
    </w:p>
    <w:p w:rsidR="00000000" w:rsidRDefault="00000000">
      <w:pPr>
        <w:pStyle w:val="BodyText"/>
        <w:numPr>
          <w:ilvl w:val="0"/>
          <w:numId w:val="71"/>
        </w:numPr>
        <w:rPr>
          <w:sz w:val="22"/>
        </w:rPr>
      </w:pPr>
      <w:r>
        <w:rPr>
          <w:sz w:val="22"/>
        </w:rPr>
        <w:t>le poids de la coutume qui confère à l’homme une supériorité sur la femme d’où la mauvaise application des textes par les hommes alors que la coutume est abrogée par le code de la famille ;</w:t>
      </w:r>
    </w:p>
    <w:p w:rsidR="00000000" w:rsidRDefault="00000000">
      <w:pPr>
        <w:pStyle w:val="BodyText"/>
        <w:numPr>
          <w:ilvl w:val="0"/>
          <w:numId w:val="71"/>
        </w:numPr>
        <w:rPr>
          <w:sz w:val="22"/>
        </w:rPr>
      </w:pPr>
      <w:r>
        <w:rPr>
          <w:sz w:val="22"/>
        </w:rPr>
        <w:t>la spécialisation insuffisante des femmes dans le domaine ;</w:t>
      </w:r>
    </w:p>
    <w:p w:rsidR="00000000" w:rsidRDefault="00000000">
      <w:pPr>
        <w:pStyle w:val="BodyText"/>
        <w:numPr>
          <w:ilvl w:val="0"/>
          <w:numId w:val="71"/>
        </w:numPr>
        <w:rPr>
          <w:sz w:val="22"/>
        </w:rPr>
      </w:pPr>
      <w:r>
        <w:rPr>
          <w:sz w:val="22"/>
        </w:rPr>
        <w:t>la marginalisation de la femme par ses pairs ;</w:t>
      </w:r>
    </w:p>
    <w:p w:rsidR="00000000" w:rsidRDefault="00000000">
      <w:pPr>
        <w:pStyle w:val="BodyText"/>
        <w:numPr>
          <w:ilvl w:val="0"/>
          <w:numId w:val="71"/>
        </w:numPr>
        <w:rPr>
          <w:sz w:val="22"/>
        </w:rPr>
      </w:pPr>
      <w:r>
        <w:rPr>
          <w:sz w:val="22"/>
        </w:rPr>
        <w:t>le manque d’information sur les stages de formation, de perfectionnement et sur les séminaires et autres rencontres tant au plan national qu’international.</w:t>
      </w:r>
    </w:p>
    <w:p w:rsidR="00000000" w:rsidRDefault="00000000">
      <w:pPr>
        <w:pStyle w:val="BodyText"/>
        <w:rPr>
          <w:sz w:val="22"/>
        </w:rPr>
      </w:pPr>
    </w:p>
    <w:p w:rsidR="00000000" w:rsidRDefault="00000000">
      <w:pPr>
        <w:pStyle w:val="BodyText"/>
        <w:ind w:left="9"/>
        <w:rPr>
          <w:b/>
          <w:sz w:val="22"/>
          <w:u w:val="single"/>
        </w:rPr>
      </w:pPr>
      <w:r>
        <w:rPr>
          <w:b/>
          <w:sz w:val="22"/>
        </w:rPr>
        <w:t xml:space="preserve">SECTION IV- </w:t>
      </w:r>
      <w:r>
        <w:rPr>
          <w:b/>
          <w:sz w:val="22"/>
          <w:u w:val="single"/>
        </w:rPr>
        <w:t>LES PERSPECTIVES</w:t>
      </w:r>
    </w:p>
    <w:p w:rsidR="00000000" w:rsidRDefault="00000000">
      <w:pPr>
        <w:pStyle w:val="BodyText"/>
        <w:rPr>
          <w:sz w:val="22"/>
        </w:rPr>
      </w:pPr>
    </w:p>
    <w:p w:rsidR="00000000" w:rsidRDefault="00000000">
      <w:pPr>
        <w:pStyle w:val="BodyText"/>
        <w:rPr>
          <w:sz w:val="22"/>
        </w:rPr>
      </w:pPr>
      <w:r>
        <w:rPr>
          <w:sz w:val="22"/>
        </w:rPr>
        <w:t>Les perspectives suivantes peuvent être retenues :</w:t>
      </w:r>
    </w:p>
    <w:p w:rsidR="00000000" w:rsidRDefault="00000000">
      <w:pPr>
        <w:pStyle w:val="BodyText"/>
        <w:rPr>
          <w:sz w:val="22"/>
        </w:rPr>
      </w:pPr>
    </w:p>
    <w:p w:rsidR="00000000" w:rsidRDefault="00000000">
      <w:pPr>
        <w:pStyle w:val="BodyText"/>
        <w:numPr>
          <w:ilvl w:val="0"/>
          <w:numId w:val="72"/>
        </w:numPr>
        <w:rPr>
          <w:sz w:val="22"/>
        </w:rPr>
      </w:pPr>
      <w:r>
        <w:rPr>
          <w:sz w:val="22"/>
        </w:rPr>
        <w:t>l’orientation des filles dans les filières où elles sont moins représentées ;</w:t>
      </w:r>
    </w:p>
    <w:p w:rsidR="00000000" w:rsidRDefault="00000000">
      <w:pPr>
        <w:pStyle w:val="BodyText"/>
        <w:numPr>
          <w:ilvl w:val="0"/>
          <w:numId w:val="72"/>
        </w:numPr>
        <w:rPr>
          <w:sz w:val="22"/>
        </w:rPr>
      </w:pPr>
      <w:r>
        <w:rPr>
          <w:sz w:val="22"/>
        </w:rPr>
        <w:t>la lutte contre la déperdition scolaire et universitaire chez les filles ;</w:t>
      </w:r>
    </w:p>
    <w:p w:rsidR="00000000" w:rsidRDefault="00000000">
      <w:pPr>
        <w:pStyle w:val="BodyText"/>
        <w:numPr>
          <w:ilvl w:val="0"/>
          <w:numId w:val="72"/>
        </w:numPr>
        <w:rPr>
          <w:sz w:val="22"/>
        </w:rPr>
      </w:pPr>
      <w:r>
        <w:rPr>
          <w:sz w:val="22"/>
        </w:rPr>
        <w:t>la constitution des lobbies féminins ;</w:t>
      </w:r>
    </w:p>
    <w:p w:rsidR="00000000" w:rsidRDefault="00000000">
      <w:pPr>
        <w:pStyle w:val="BodyText"/>
        <w:numPr>
          <w:ilvl w:val="0"/>
          <w:numId w:val="72"/>
        </w:numPr>
        <w:rPr>
          <w:sz w:val="22"/>
        </w:rPr>
      </w:pPr>
      <w:r>
        <w:rPr>
          <w:sz w:val="22"/>
        </w:rPr>
        <w:t>la formation continue des femmes en vue de renforcer leurs capacités d’intervention ;</w:t>
      </w:r>
    </w:p>
    <w:p w:rsidR="00000000" w:rsidRDefault="00000000">
      <w:pPr>
        <w:pStyle w:val="BodyText"/>
        <w:numPr>
          <w:ilvl w:val="0"/>
          <w:numId w:val="72"/>
        </w:numPr>
        <w:rPr>
          <w:sz w:val="22"/>
        </w:rPr>
      </w:pPr>
      <w:r>
        <w:rPr>
          <w:sz w:val="22"/>
        </w:rPr>
        <w:t>la large diffusion des informations relatives aux vacances de postes dans les institutions sous-régionales, régionales et internationales ;</w:t>
      </w:r>
    </w:p>
    <w:p w:rsidR="00000000" w:rsidRDefault="00000000">
      <w:pPr>
        <w:pStyle w:val="BodyText"/>
        <w:numPr>
          <w:ilvl w:val="0"/>
          <w:numId w:val="72"/>
        </w:numPr>
        <w:rPr>
          <w:sz w:val="22"/>
        </w:rPr>
      </w:pPr>
      <w:r>
        <w:rPr>
          <w:sz w:val="22"/>
        </w:rPr>
        <w:t>le financement de la participation des femmes aux conférences et sommets internationaux ;</w:t>
      </w:r>
    </w:p>
    <w:p w:rsidR="00000000" w:rsidRDefault="00000000">
      <w:pPr>
        <w:pStyle w:val="BodyText"/>
        <w:numPr>
          <w:ilvl w:val="0"/>
          <w:numId w:val="72"/>
        </w:numPr>
        <w:rPr>
          <w:sz w:val="22"/>
        </w:rPr>
      </w:pPr>
      <w:r>
        <w:rPr>
          <w:sz w:val="22"/>
        </w:rPr>
        <w:t>la mise en place et l’actualisation du fichier des ressources humaines féminines ;</w:t>
      </w:r>
    </w:p>
    <w:p w:rsidR="00000000" w:rsidRDefault="00000000">
      <w:pPr>
        <w:pStyle w:val="BodyText"/>
        <w:numPr>
          <w:ilvl w:val="0"/>
          <w:numId w:val="72"/>
        </w:numPr>
        <w:rPr>
          <w:sz w:val="22"/>
        </w:rPr>
      </w:pPr>
      <w:r>
        <w:rPr>
          <w:sz w:val="22"/>
        </w:rPr>
        <w:t>la mise en œuvre d’une politique volontariste en matière de promotion des femmes dans ces domaines.</w:t>
      </w:r>
    </w:p>
    <w:p w:rsidR="00000000" w:rsidRDefault="00000000">
      <w:pPr>
        <w:pStyle w:val="BodyText"/>
        <w:rPr>
          <w:sz w:val="22"/>
        </w:rPr>
      </w:pPr>
    </w:p>
    <w:p w:rsidR="00000000" w:rsidRDefault="00000000">
      <w:pPr>
        <w:pStyle w:val="BodyText"/>
        <w:rPr>
          <w:sz w:val="22"/>
        </w:rPr>
      </w:pPr>
    </w:p>
    <w:p w:rsidR="00000000" w:rsidRDefault="00000000">
      <w:pPr>
        <w:pStyle w:val="BodyText"/>
        <w:jc w:val="left"/>
        <w:rPr>
          <w:b/>
          <w:sz w:val="22"/>
        </w:rPr>
      </w:pPr>
    </w:p>
    <w:tbl>
      <w:tblPr>
        <w:tblW w:w="0" w:type="auto"/>
        <w:tblInd w:w="1771" w:type="dxa"/>
        <w:tblLayout w:type="fixed"/>
        <w:tblCellMar>
          <w:left w:w="70" w:type="dxa"/>
          <w:right w:w="70" w:type="dxa"/>
        </w:tblCellMar>
        <w:tblLook w:val="0000" w:firstRow="0" w:lastRow="0" w:firstColumn="0" w:lastColumn="0" w:noHBand="0" w:noVBand="0"/>
      </w:tblPr>
      <w:tblGrid>
        <w:gridCol w:w="2268"/>
        <w:gridCol w:w="5171"/>
      </w:tblGrid>
      <w:tr w:rsidR="00000000">
        <w:tblPrEx>
          <w:tblCellMar>
            <w:top w:w="0" w:type="dxa"/>
            <w:bottom w:w="0" w:type="dxa"/>
          </w:tblCellMar>
        </w:tblPrEx>
        <w:tc>
          <w:tcPr>
            <w:tcW w:w="2268" w:type="dxa"/>
          </w:tcPr>
          <w:p w:rsidR="00000000" w:rsidRDefault="00000000">
            <w:pPr>
              <w:pStyle w:val="BodyText"/>
              <w:jc w:val="left"/>
              <w:rPr>
                <w:b/>
                <w:u w:val="single"/>
              </w:rPr>
            </w:pPr>
            <w:r>
              <w:rPr>
                <w:b/>
                <w:u w:val="single"/>
              </w:rPr>
              <w:t>CHAPITRE  IX</w:t>
            </w:r>
            <w:r>
              <w:rPr>
                <w:b/>
              </w:rPr>
              <w:t> :</w:t>
            </w:r>
          </w:p>
        </w:tc>
        <w:tc>
          <w:tcPr>
            <w:tcW w:w="5171" w:type="dxa"/>
          </w:tcPr>
          <w:p w:rsidR="00000000" w:rsidRDefault="00000000">
            <w:pPr>
              <w:pStyle w:val="BodyText"/>
              <w:jc w:val="left"/>
              <w:rPr>
                <w:b/>
              </w:rPr>
            </w:pPr>
            <w:r>
              <w:rPr>
                <w:b/>
                <w:u w:val="single"/>
              </w:rPr>
              <w:t xml:space="preserve">LA  NATIONALITE </w:t>
            </w:r>
            <w:r>
              <w:rPr>
                <w:b/>
              </w:rPr>
              <w:t>(article 9)</w:t>
            </w:r>
          </w:p>
        </w:tc>
      </w:tr>
    </w:tbl>
    <w:p w:rsidR="00000000" w:rsidRDefault="00000000">
      <w:pPr>
        <w:rPr>
          <w:sz w:val="22"/>
          <w:u w:val="single"/>
        </w:rPr>
      </w:pPr>
    </w:p>
    <w:p w:rsidR="00000000" w:rsidRDefault="00000000">
      <w:pPr>
        <w:rPr>
          <w:sz w:val="22"/>
        </w:rPr>
      </w:pPr>
      <w:r>
        <w:rPr>
          <w:sz w:val="22"/>
          <w:u w:val="single"/>
        </w:rPr>
        <w:t>Article 9</w:t>
      </w:r>
      <w:r>
        <w:rPr>
          <w:sz w:val="22"/>
        </w:rPr>
        <w:t xml:space="preserve"> : </w:t>
      </w:r>
    </w:p>
    <w:p w:rsidR="00000000" w:rsidRDefault="00000000">
      <w:pPr>
        <w:rPr>
          <w:i/>
          <w:sz w:val="22"/>
        </w:rPr>
      </w:pPr>
    </w:p>
    <w:tbl>
      <w:tblPr>
        <w:tblW w:w="0" w:type="auto"/>
        <w:tblLayout w:type="fixed"/>
        <w:tblCellMar>
          <w:left w:w="70" w:type="dxa"/>
          <w:right w:w="70" w:type="dxa"/>
        </w:tblCellMar>
        <w:tblLook w:val="0000" w:firstRow="0" w:lastRow="0" w:firstColumn="0" w:lastColumn="0" w:noHBand="0" w:noVBand="0"/>
      </w:tblPr>
      <w:tblGrid>
        <w:gridCol w:w="574"/>
        <w:gridCol w:w="9333"/>
      </w:tblGrid>
      <w:tr w:rsidR="00000000">
        <w:tblPrEx>
          <w:tblCellMar>
            <w:top w:w="0" w:type="dxa"/>
            <w:bottom w:w="0" w:type="dxa"/>
          </w:tblCellMar>
        </w:tblPrEx>
        <w:tc>
          <w:tcPr>
            <w:tcW w:w="574" w:type="dxa"/>
          </w:tcPr>
          <w:p w:rsidR="00000000" w:rsidRDefault="00000000">
            <w:pPr>
              <w:rPr>
                <w:i/>
                <w:sz w:val="22"/>
              </w:rPr>
            </w:pPr>
            <w:r>
              <w:rPr>
                <w:i/>
                <w:sz w:val="22"/>
              </w:rPr>
              <w:t>1-</w:t>
            </w:r>
          </w:p>
        </w:tc>
        <w:tc>
          <w:tcPr>
            <w:tcW w:w="9333" w:type="dxa"/>
          </w:tcPr>
          <w:p w:rsidR="00000000" w:rsidRDefault="00000000">
            <w:pPr>
              <w:pStyle w:val="BodyText"/>
              <w:rPr>
                <w:i/>
                <w:sz w:val="22"/>
              </w:rPr>
            </w:pPr>
            <w:r>
              <w:rPr>
                <w:i/>
                <w:sz w:val="22"/>
              </w:rPr>
              <w:t>« Les États parties accordent aux femmes des droits égaux à ceux des hommes en ce qui concerne l’acquisition, le changement et la conservation de la nationalité. Ils garantissent en particulier que ni le mariage avec l’étranger, ni le changement de nationalité du mari pendant le mariage ne change automatiquement la nationalité de la femme, ni ne la rend apatride, ni ne l’oblige à prendre la nationalité de son mar</w:t>
            </w:r>
            <w:r>
              <w:rPr>
                <w:i/>
                <w:sz w:val="22"/>
                <w:u w:val="single"/>
              </w:rPr>
              <w:t>i</w:t>
            </w:r>
            <w:r>
              <w:rPr>
                <w:i/>
                <w:sz w:val="22"/>
              </w:rPr>
              <w:t>.</w:t>
            </w:r>
          </w:p>
          <w:p w:rsidR="00000000" w:rsidRDefault="00000000">
            <w:pPr>
              <w:rPr>
                <w:i/>
                <w:sz w:val="22"/>
              </w:rPr>
            </w:pPr>
          </w:p>
        </w:tc>
      </w:tr>
      <w:tr w:rsidR="00000000">
        <w:tblPrEx>
          <w:tblCellMar>
            <w:top w:w="0" w:type="dxa"/>
            <w:bottom w:w="0" w:type="dxa"/>
          </w:tblCellMar>
        </w:tblPrEx>
        <w:tc>
          <w:tcPr>
            <w:tcW w:w="574" w:type="dxa"/>
          </w:tcPr>
          <w:p w:rsidR="00000000" w:rsidRDefault="00000000">
            <w:pPr>
              <w:rPr>
                <w:i/>
                <w:sz w:val="22"/>
              </w:rPr>
            </w:pPr>
            <w:r>
              <w:rPr>
                <w:i/>
                <w:sz w:val="22"/>
              </w:rPr>
              <w:t>2-</w:t>
            </w:r>
          </w:p>
        </w:tc>
        <w:tc>
          <w:tcPr>
            <w:tcW w:w="9333" w:type="dxa"/>
          </w:tcPr>
          <w:p w:rsidR="00000000" w:rsidRDefault="00000000">
            <w:pPr>
              <w:rPr>
                <w:i/>
                <w:sz w:val="22"/>
              </w:rPr>
            </w:pPr>
            <w:r>
              <w:rPr>
                <w:i/>
                <w:sz w:val="22"/>
              </w:rPr>
              <w:t>Les États parties accordent à la femme des droits égaux à ceux de l’homme en ce qui concerne la nationalité de leurs enfants ».</w:t>
            </w:r>
          </w:p>
        </w:tc>
      </w:tr>
    </w:tbl>
    <w:p w:rsidR="00000000" w:rsidRDefault="00000000">
      <w:pPr>
        <w:rPr>
          <w:sz w:val="22"/>
        </w:rPr>
      </w:pPr>
    </w:p>
    <w:p w:rsidR="00000000" w:rsidRDefault="00000000">
      <w:pPr>
        <w:rPr>
          <w:sz w:val="22"/>
        </w:rPr>
      </w:pPr>
    </w:p>
    <w:p w:rsidR="00000000" w:rsidRDefault="00000000">
      <w:pPr>
        <w:rPr>
          <w:b/>
          <w:sz w:val="22"/>
          <w:u w:val="single"/>
        </w:rPr>
      </w:pPr>
      <w:r>
        <w:rPr>
          <w:b/>
          <w:sz w:val="22"/>
        </w:rPr>
        <w:t xml:space="preserve">SECTION I- </w:t>
      </w:r>
      <w:r>
        <w:rPr>
          <w:b/>
          <w:sz w:val="22"/>
          <w:u w:val="single"/>
        </w:rPr>
        <w:t>CONTEXTE</w:t>
      </w:r>
    </w:p>
    <w:p w:rsidR="00000000" w:rsidRDefault="00000000">
      <w:pPr>
        <w:rPr>
          <w:sz w:val="22"/>
        </w:rPr>
      </w:pPr>
    </w:p>
    <w:p w:rsidR="00000000" w:rsidRDefault="00000000">
      <w:pPr>
        <w:pStyle w:val="BodyText"/>
        <w:rPr>
          <w:sz w:val="22"/>
        </w:rPr>
      </w:pPr>
      <w:r>
        <w:rPr>
          <w:sz w:val="22"/>
        </w:rPr>
        <w:t>En République du Congo, la nationalité est régie par la loi n° 35-61 du 20 juin 1961 portant code de la nationalité congolaise et par les règles constitutionnelles. En effet, la constitution du 12 mars 1992 stipule en son article 31 que « tout citoyen a droit à la citoyenneté Congolaise. Il ne peut en être arbitrairement privé non plus que de son droit de changer de nationalité ».</w:t>
      </w:r>
    </w:p>
    <w:p w:rsidR="00000000" w:rsidRDefault="00000000">
      <w:pPr>
        <w:jc w:val="both"/>
        <w:rPr>
          <w:sz w:val="22"/>
        </w:rPr>
      </w:pPr>
    </w:p>
    <w:p w:rsidR="00000000" w:rsidRDefault="00000000">
      <w:pPr>
        <w:jc w:val="both"/>
        <w:rPr>
          <w:sz w:val="22"/>
        </w:rPr>
      </w:pPr>
      <w:r>
        <w:rPr>
          <w:sz w:val="22"/>
        </w:rPr>
        <w:t>Au terme de l’article 54 de l’Acte fondamental du 24 octobre 1997, la nationalité relève du domaine de la loi.</w:t>
      </w:r>
    </w:p>
    <w:p w:rsidR="00000000" w:rsidRDefault="00000000">
      <w:pPr>
        <w:jc w:val="both"/>
        <w:rPr>
          <w:sz w:val="22"/>
        </w:rPr>
      </w:pPr>
    </w:p>
    <w:p w:rsidR="00000000" w:rsidRDefault="00000000">
      <w:pPr>
        <w:jc w:val="both"/>
        <w:rPr>
          <w:sz w:val="22"/>
        </w:rPr>
      </w:pPr>
      <w:r>
        <w:rPr>
          <w:sz w:val="22"/>
        </w:rPr>
        <w:t>L’article 1 de la loi n° 35-61 du 20 juin 1961 définit la nationalité comme le lien légal qui rattache les individus à l’État. Elle est indépendante des droits civiques et du statut civil qui sont définis par des lois spéciales, prises à cet effet.</w:t>
      </w:r>
    </w:p>
    <w:p w:rsidR="00000000" w:rsidRDefault="00000000">
      <w:pPr>
        <w:jc w:val="both"/>
        <w:rPr>
          <w:sz w:val="22"/>
        </w:rPr>
      </w:pPr>
    </w:p>
    <w:p w:rsidR="00000000" w:rsidRDefault="00000000">
      <w:pPr>
        <w:jc w:val="both"/>
        <w:rPr>
          <w:sz w:val="22"/>
        </w:rPr>
      </w:pPr>
      <w:r>
        <w:rPr>
          <w:sz w:val="22"/>
        </w:rPr>
        <w:t>L’article 2 précise que la présente loi détermine quels individus ont à leur naissance la nationalité congolaise.</w:t>
      </w:r>
    </w:p>
    <w:p w:rsidR="00000000" w:rsidRDefault="00000000">
      <w:pPr>
        <w:jc w:val="both"/>
        <w:rPr>
          <w:sz w:val="22"/>
        </w:rPr>
      </w:pPr>
    </w:p>
    <w:p w:rsidR="00000000" w:rsidRDefault="00000000">
      <w:pPr>
        <w:jc w:val="both"/>
        <w:rPr>
          <w:sz w:val="22"/>
        </w:rPr>
      </w:pPr>
      <w:r>
        <w:rPr>
          <w:sz w:val="22"/>
        </w:rPr>
        <w:t>Le concept « individu » étant considéré comme globalisant, il apparaît donc, aux termes de cette loi, qu’il n’y a pas de discrimination fondée sur le sexe.</w:t>
      </w:r>
    </w:p>
    <w:p w:rsidR="00000000" w:rsidRDefault="00000000">
      <w:pPr>
        <w:jc w:val="both"/>
        <w:rPr>
          <w:sz w:val="22"/>
        </w:rPr>
      </w:pPr>
    </w:p>
    <w:p w:rsidR="00000000" w:rsidRDefault="00000000">
      <w:pPr>
        <w:jc w:val="both"/>
        <w:rPr>
          <w:sz w:val="22"/>
        </w:rPr>
      </w:pPr>
      <w:r>
        <w:rPr>
          <w:sz w:val="22"/>
        </w:rPr>
        <w:t>La nationalité congolaise s’acquiert ou se perd après la naissance par l’effet de la loi ou par une décision de l’autorité publique. Cette loi reconnaît la suprématie des textes internationaux en stipulant dans son article 5 « Les dispositions relatives à la nationalité contenues dans les traités ou accords internationaux dûment ratifiés et publiés s’appliquent même si elles sont contraires aux dispositions de la législation interne congolaise ».</w:t>
      </w:r>
    </w:p>
    <w:p w:rsidR="00000000" w:rsidRDefault="00000000">
      <w:pPr>
        <w:jc w:val="both"/>
        <w:rPr>
          <w:sz w:val="22"/>
        </w:rPr>
      </w:pPr>
    </w:p>
    <w:p w:rsidR="00000000" w:rsidRDefault="00000000">
      <w:pPr>
        <w:jc w:val="both"/>
        <w:rPr>
          <w:sz w:val="22"/>
        </w:rPr>
      </w:pPr>
      <w:r>
        <w:rPr>
          <w:sz w:val="22"/>
        </w:rPr>
        <w:t>La présente loi fait une distinction entre l’attribution de la nationalité à titre de nationalité d’origine et l’acquisition de la nationalité.</w:t>
      </w:r>
    </w:p>
    <w:p w:rsidR="00000000" w:rsidRDefault="00000000">
      <w:pPr>
        <w:jc w:val="both"/>
        <w:rPr>
          <w:sz w:val="22"/>
        </w:rPr>
      </w:pPr>
    </w:p>
    <w:p w:rsidR="00000000" w:rsidRDefault="00000000">
      <w:pPr>
        <w:jc w:val="both"/>
        <w:rPr>
          <w:sz w:val="22"/>
        </w:rPr>
      </w:pPr>
    </w:p>
    <w:p w:rsidR="00000000" w:rsidRDefault="00000000">
      <w:pPr>
        <w:jc w:val="both"/>
        <w:rPr>
          <w:b/>
          <w:sz w:val="22"/>
          <w:u w:val="single"/>
        </w:rPr>
      </w:pPr>
      <w:r>
        <w:rPr>
          <w:b/>
          <w:sz w:val="22"/>
        </w:rPr>
        <w:t xml:space="preserve">SECTION II - </w:t>
      </w:r>
      <w:r>
        <w:rPr>
          <w:b/>
          <w:sz w:val="22"/>
          <w:u w:val="single"/>
        </w:rPr>
        <w:t>Attribution de la nationalité</w:t>
      </w:r>
    </w:p>
    <w:p w:rsidR="00000000" w:rsidRDefault="00000000">
      <w:pPr>
        <w:rPr>
          <w:sz w:val="22"/>
        </w:rPr>
      </w:pPr>
    </w:p>
    <w:p w:rsidR="00000000" w:rsidRDefault="00000000">
      <w:pPr>
        <w:rPr>
          <w:sz w:val="22"/>
        </w:rPr>
      </w:pPr>
      <w:r>
        <w:rPr>
          <w:sz w:val="22"/>
        </w:rPr>
        <w:t>Sans discrimination fondée sur le sexe, est congolais l’enfant né au Congo soit :</w:t>
      </w:r>
    </w:p>
    <w:p w:rsidR="00000000" w:rsidRDefault="00000000">
      <w:pPr>
        <w:rPr>
          <w:sz w:val="22"/>
        </w:rPr>
      </w:pPr>
    </w:p>
    <w:p w:rsidR="00000000" w:rsidRDefault="00000000">
      <w:pPr>
        <w:numPr>
          <w:ilvl w:val="0"/>
          <w:numId w:val="72"/>
        </w:numPr>
        <w:rPr>
          <w:sz w:val="22"/>
        </w:rPr>
      </w:pPr>
      <w:r>
        <w:rPr>
          <w:sz w:val="22"/>
        </w:rPr>
        <w:t>d’un père congolais et d’une mère congolaise ;</w:t>
      </w:r>
    </w:p>
    <w:p w:rsidR="00000000" w:rsidRDefault="00000000">
      <w:pPr>
        <w:numPr>
          <w:ilvl w:val="0"/>
          <w:numId w:val="72"/>
        </w:numPr>
        <w:rPr>
          <w:sz w:val="22"/>
        </w:rPr>
      </w:pPr>
      <w:r>
        <w:rPr>
          <w:sz w:val="22"/>
        </w:rPr>
        <w:t>d’un père né au Congo et une mère congolaise ;</w:t>
      </w:r>
    </w:p>
    <w:p w:rsidR="00000000" w:rsidRDefault="00000000">
      <w:pPr>
        <w:numPr>
          <w:ilvl w:val="0"/>
          <w:numId w:val="72"/>
        </w:numPr>
        <w:rPr>
          <w:sz w:val="22"/>
        </w:rPr>
      </w:pPr>
      <w:r>
        <w:rPr>
          <w:sz w:val="22"/>
        </w:rPr>
        <w:t>d’un père et d’une mère eux-mêmes nés au Congo.</w:t>
      </w:r>
    </w:p>
    <w:p w:rsidR="00000000" w:rsidRDefault="00000000">
      <w:pPr>
        <w:rPr>
          <w:sz w:val="22"/>
        </w:rPr>
      </w:pPr>
    </w:p>
    <w:p w:rsidR="00000000" w:rsidRDefault="00000000">
      <w:pPr>
        <w:rPr>
          <w:b/>
          <w:sz w:val="22"/>
          <w:u w:val="single"/>
        </w:rPr>
      </w:pPr>
      <w:r>
        <w:rPr>
          <w:b/>
          <w:sz w:val="22"/>
        </w:rPr>
        <w:t xml:space="preserve">I - </w:t>
      </w:r>
      <w:r>
        <w:rPr>
          <w:b/>
          <w:sz w:val="22"/>
          <w:u w:val="single"/>
        </w:rPr>
        <w:t>De l’acquisition de la nationalité congolaise</w:t>
      </w:r>
    </w:p>
    <w:p w:rsidR="00000000" w:rsidRDefault="00000000">
      <w:pPr>
        <w:rPr>
          <w:sz w:val="22"/>
        </w:rPr>
      </w:pPr>
    </w:p>
    <w:p w:rsidR="00000000" w:rsidRDefault="00000000">
      <w:pPr>
        <w:rPr>
          <w:sz w:val="22"/>
        </w:rPr>
      </w:pPr>
      <w:r>
        <w:rPr>
          <w:sz w:val="22"/>
        </w:rPr>
        <w:t xml:space="preserve">L’acquisition de la nationalité congolaise s’opère suivant trois modalités : </w:t>
      </w:r>
    </w:p>
    <w:p w:rsidR="00000000" w:rsidRDefault="00000000">
      <w:pPr>
        <w:numPr>
          <w:ilvl w:val="0"/>
          <w:numId w:val="183"/>
        </w:numPr>
        <w:rPr>
          <w:sz w:val="22"/>
        </w:rPr>
      </w:pPr>
      <w:r>
        <w:rPr>
          <w:sz w:val="22"/>
        </w:rPr>
        <w:t>par le mariage ;</w:t>
      </w:r>
    </w:p>
    <w:p w:rsidR="00000000" w:rsidRDefault="00000000">
      <w:pPr>
        <w:numPr>
          <w:ilvl w:val="0"/>
          <w:numId w:val="183"/>
        </w:numPr>
        <w:rPr>
          <w:sz w:val="22"/>
        </w:rPr>
      </w:pPr>
      <w:r>
        <w:rPr>
          <w:sz w:val="22"/>
        </w:rPr>
        <w:t>par la résidence ;</w:t>
      </w:r>
    </w:p>
    <w:p w:rsidR="00000000" w:rsidRDefault="00000000">
      <w:pPr>
        <w:numPr>
          <w:ilvl w:val="0"/>
          <w:numId w:val="183"/>
        </w:numPr>
        <w:rPr>
          <w:sz w:val="22"/>
        </w:rPr>
      </w:pPr>
      <w:r>
        <w:rPr>
          <w:sz w:val="22"/>
        </w:rPr>
        <w:t>par la décision de l’autorité publique.</w:t>
      </w:r>
    </w:p>
    <w:p w:rsidR="00000000" w:rsidRDefault="00000000">
      <w:pPr>
        <w:rPr>
          <w:sz w:val="22"/>
        </w:rPr>
      </w:pPr>
    </w:p>
    <w:p w:rsidR="00000000" w:rsidRDefault="00000000">
      <w:pPr>
        <w:rPr>
          <w:b/>
          <w:sz w:val="22"/>
        </w:rPr>
      </w:pPr>
      <w:r>
        <w:rPr>
          <w:b/>
          <w:sz w:val="22"/>
        </w:rPr>
        <w:t xml:space="preserve">A - </w:t>
      </w:r>
      <w:r>
        <w:rPr>
          <w:b/>
          <w:sz w:val="22"/>
          <w:u w:val="single"/>
        </w:rPr>
        <w:t>L’acquisition par le mariage</w:t>
      </w:r>
    </w:p>
    <w:p w:rsidR="00000000" w:rsidRDefault="00000000">
      <w:pPr>
        <w:rPr>
          <w:sz w:val="22"/>
        </w:rPr>
      </w:pPr>
    </w:p>
    <w:p w:rsidR="00000000" w:rsidRDefault="00000000">
      <w:pPr>
        <w:pStyle w:val="BodyText"/>
        <w:rPr>
          <w:sz w:val="22"/>
        </w:rPr>
      </w:pPr>
      <w:r>
        <w:rPr>
          <w:sz w:val="22"/>
        </w:rPr>
        <w:t>L’acquisition de la nationalité congolaise par le mariage concerne la femme étrangère qui épouse un congolais ; en effet celle-ci acquiert la nationalité congolaise après cinq ans de résidence commune au Congo depuis l’inscription du mariage sur les registres de l’État civil. Elle peut, jusqu’à l’expiration de ce délai, décliner de la qualité de congolaise dans les conditions prévues aux articles 57 et suivants.</w:t>
      </w:r>
    </w:p>
    <w:p w:rsidR="00000000" w:rsidRDefault="00000000">
      <w:pPr>
        <w:pStyle w:val="BodyText"/>
        <w:rPr>
          <w:sz w:val="22"/>
        </w:rPr>
      </w:pPr>
    </w:p>
    <w:p w:rsidR="00000000" w:rsidRDefault="00000000">
      <w:pPr>
        <w:pStyle w:val="BodyText"/>
        <w:rPr>
          <w:sz w:val="22"/>
        </w:rPr>
      </w:pPr>
      <w:r>
        <w:rPr>
          <w:sz w:val="22"/>
        </w:rPr>
        <w:t>Par contre, cette loi ne précise pas le statut de la femme congolaise qui épouse un étranger. Dans la pratique, il est établi que celle-ci conserve sa nationalité d’origine.</w:t>
      </w:r>
    </w:p>
    <w:p w:rsidR="00000000" w:rsidRDefault="00000000">
      <w:pPr>
        <w:pStyle w:val="BodyText"/>
        <w:rPr>
          <w:sz w:val="22"/>
        </w:rPr>
      </w:pPr>
    </w:p>
    <w:p w:rsidR="00000000" w:rsidRDefault="00000000">
      <w:pPr>
        <w:pStyle w:val="BodyText"/>
        <w:rPr>
          <w:b/>
          <w:sz w:val="22"/>
        </w:rPr>
      </w:pPr>
      <w:r>
        <w:rPr>
          <w:b/>
          <w:sz w:val="22"/>
        </w:rPr>
        <w:t xml:space="preserve">B - </w:t>
      </w:r>
      <w:r>
        <w:rPr>
          <w:b/>
          <w:sz w:val="22"/>
          <w:u w:val="single"/>
        </w:rPr>
        <w:t>L’acquisition par la Naissance et la Résidence au Congo</w:t>
      </w:r>
    </w:p>
    <w:p w:rsidR="00000000" w:rsidRDefault="00000000">
      <w:pPr>
        <w:pStyle w:val="BodyText"/>
        <w:rPr>
          <w:b/>
          <w:sz w:val="22"/>
        </w:rPr>
      </w:pPr>
    </w:p>
    <w:p w:rsidR="00000000" w:rsidRDefault="00000000">
      <w:pPr>
        <w:pStyle w:val="BodyText"/>
        <w:rPr>
          <w:sz w:val="22"/>
        </w:rPr>
      </w:pPr>
      <w:r>
        <w:rPr>
          <w:sz w:val="22"/>
        </w:rPr>
        <w:t>« Tout individu né au Congo des parents étrangers acquiert la nationalité Congolaise à sa majorité si à cette date, il a, au Congo, sa résidence et s’il a eu depuis l’âge de 16 ans, sa résidence habituelle au Congo » (article 20).</w:t>
      </w:r>
    </w:p>
    <w:p w:rsidR="00000000" w:rsidRDefault="00000000">
      <w:pPr>
        <w:pStyle w:val="BodyText"/>
        <w:rPr>
          <w:b/>
          <w:sz w:val="22"/>
        </w:rPr>
      </w:pPr>
      <w:r>
        <w:rPr>
          <w:b/>
          <w:sz w:val="22"/>
        </w:rPr>
        <w:t xml:space="preserve">C - </w:t>
      </w:r>
      <w:r>
        <w:rPr>
          <w:b/>
          <w:sz w:val="22"/>
          <w:u w:val="single"/>
        </w:rPr>
        <w:t>L’acquisition de la nationalité congolaise par décision de l’autorité publique</w:t>
      </w:r>
    </w:p>
    <w:p w:rsidR="00000000" w:rsidRDefault="00000000">
      <w:pPr>
        <w:pStyle w:val="BodyText"/>
        <w:rPr>
          <w:sz w:val="22"/>
        </w:rPr>
      </w:pPr>
    </w:p>
    <w:p w:rsidR="00000000" w:rsidRDefault="00000000">
      <w:pPr>
        <w:pStyle w:val="BodyText"/>
        <w:rPr>
          <w:sz w:val="22"/>
        </w:rPr>
      </w:pPr>
      <w:r>
        <w:rPr>
          <w:sz w:val="22"/>
        </w:rPr>
        <w:t>Il s’agit ici de la naturalisation ou de la réintégration. La naturalisation est accordée par décret après enquête. A ce niveau, aucune discrimination fondée sur le sexe n’apparaît.</w:t>
      </w:r>
    </w:p>
    <w:p w:rsidR="00000000" w:rsidRDefault="00000000">
      <w:pPr>
        <w:pStyle w:val="BodyText"/>
        <w:rPr>
          <w:sz w:val="22"/>
        </w:rPr>
      </w:pPr>
    </w:p>
    <w:p w:rsidR="00000000" w:rsidRDefault="00000000">
      <w:pPr>
        <w:pStyle w:val="BodyText"/>
        <w:rPr>
          <w:b/>
          <w:sz w:val="22"/>
        </w:rPr>
      </w:pPr>
      <w:r>
        <w:rPr>
          <w:b/>
          <w:sz w:val="22"/>
        </w:rPr>
        <w:t xml:space="preserve">II - </w:t>
      </w:r>
      <w:r>
        <w:rPr>
          <w:b/>
          <w:sz w:val="22"/>
          <w:u w:val="single"/>
        </w:rPr>
        <w:t>De la transmission de la nationalité aux enfants</w:t>
      </w:r>
    </w:p>
    <w:p w:rsidR="00000000" w:rsidRDefault="00000000">
      <w:pPr>
        <w:pStyle w:val="BodyText"/>
        <w:rPr>
          <w:b/>
          <w:sz w:val="22"/>
        </w:rPr>
      </w:pPr>
    </w:p>
    <w:p w:rsidR="00000000" w:rsidRDefault="00000000">
      <w:pPr>
        <w:pStyle w:val="BodyText"/>
        <w:rPr>
          <w:sz w:val="22"/>
        </w:rPr>
      </w:pPr>
      <w:r>
        <w:rPr>
          <w:sz w:val="22"/>
        </w:rPr>
        <w:t>A la lecture de la loi n° 35-61 du 20 juin 1961 portant code de la nationalité congolaise, les hommes et les femmes peuvent transmettre la nationalité congolaise à leurs enfants dans les mêmes conditions. L’article 44 de cette loi stipule que « l’enfant mineur dont le père ou la mère acquiert la nationalité congolaise devient de plein droit congolais au même titre que ses parents, à condition que sa filiation soit établie conformément à l’article 12. »</w:t>
      </w:r>
    </w:p>
    <w:p w:rsidR="00000000" w:rsidRDefault="00000000">
      <w:pPr>
        <w:rPr>
          <w:sz w:val="22"/>
        </w:rPr>
      </w:pPr>
    </w:p>
    <w:p w:rsidR="00000000" w:rsidRDefault="00000000">
      <w:pPr>
        <w:rPr>
          <w:sz w:val="22"/>
        </w:rPr>
      </w:pPr>
    </w:p>
    <w:p w:rsidR="00000000" w:rsidRDefault="00000000">
      <w:pPr>
        <w:rPr>
          <w:sz w:val="22"/>
        </w:rPr>
      </w:pPr>
    </w:p>
    <w:tbl>
      <w:tblPr>
        <w:tblW w:w="0" w:type="auto"/>
        <w:tblInd w:w="2480" w:type="dxa"/>
        <w:tblLayout w:type="fixed"/>
        <w:tblCellMar>
          <w:left w:w="70" w:type="dxa"/>
          <w:right w:w="70" w:type="dxa"/>
        </w:tblCellMar>
        <w:tblLook w:val="0000" w:firstRow="0" w:lastRow="0" w:firstColumn="0" w:lastColumn="0" w:noHBand="0" w:noVBand="0"/>
      </w:tblPr>
      <w:tblGrid>
        <w:gridCol w:w="2552"/>
        <w:gridCol w:w="4178"/>
      </w:tblGrid>
      <w:tr w:rsidR="00000000">
        <w:tblPrEx>
          <w:tblCellMar>
            <w:top w:w="0" w:type="dxa"/>
            <w:bottom w:w="0" w:type="dxa"/>
          </w:tblCellMar>
        </w:tblPrEx>
        <w:tc>
          <w:tcPr>
            <w:tcW w:w="2552" w:type="dxa"/>
          </w:tcPr>
          <w:p w:rsidR="00000000" w:rsidRDefault="00000000">
            <w:pPr>
              <w:pStyle w:val="BodyText"/>
              <w:jc w:val="left"/>
            </w:pPr>
            <w:r>
              <w:rPr>
                <w:b/>
                <w:u w:val="single"/>
              </w:rPr>
              <w:t>CHAPITRE  X</w:t>
            </w:r>
            <w:r>
              <w:rPr>
                <w:b/>
              </w:rPr>
              <w:t xml:space="preserve"> : </w:t>
            </w:r>
          </w:p>
          <w:p w:rsidR="00000000" w:rsidRDefault="00000000">
            <w:pPr>
              <w:pStyle w:val="BodyText"/>
              <w:jc w:val="left"/>
              <w:rPr>
                <w:b/>
                <w:u w:val="single"/>
              </w:rPr>
            </w:pPr>
          </w:p>
        </w:tc>
        <w:tc>
          <w:tcPr>
            <w:tcW w:w="4178" w:type="dxa"/>
          </w:tcPr>
          <w:p w:rsidR="00000000" w:rsidRDefault="00000000">
            <w:pPr>
              <w:pStyle w:val="BodyText"/>
              <w:jc w:val="left"/>
              <w:rPr>
                <w:b/>
              </w:rPr>
            </w:pPr>
            <w:r>
              <w:rPr>
                <w:b/>
                <w:u w:val="single"/>
              </w:rPr>
              <w:t xml:space="preserve">L’EDUCATION </w:t>
            </w:r>
            <w:r>
              <w:rPr>
                <w:b/>
              </w:rPr>
              <w:t>(article 10)</w:t>
            </w:r>
          </w:p>
        </w:tc>
      </w:tr>
    </w:tbl>
    <w:p w:rsidR="00000000" w:rsidRDefault="00000000">
      <w:pPr>
        <w:jc w:val="both"/>
        <w:rPr>
          <w:b/>
          <w:sz w:val="22"/>
        </w:rPr>
      </w:pPr>
      <w:r>
        <w:rPr>
          <w:b/>
          <w:sz w:val="22"/>
          <w:u w:val="single"/>
        </w:rPr>
        <w:t>Article 10</w:t>
      </w:r>
      <w:r>
        <w:rPr>
          <w:b/>
          <w:sz w:val="22"/>
        </w:rPr>
        <w:t> :</w:t>
      </w:r>
    </w:p>
    <w:p w:rsidR="00000000" w:rsidRDefault="00000000">
      <w:pPr>
        <w:jc w:val="both"/>
        <w:rPr>
          <w:sz w:val="22"/>
        </w:rPr>
      </w:pPr>
    </w:p>
    <w:p w:rsidR="00000000" w:rsidRDefault="00000000">
      <w:pPr>
        <w:jc w:val="both"/>
        <w:rPr>
          <w:i/>
          <w:sz w:val="22"/>
        </w:rPr>
      </w:pPr>
      <w:r>
        <w:rPr>
          <w:i/>
          <w:sz w:val="22"/>
        </w:rPr>
        <w:t>« 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000000" w:rsidRDefault="00000000">
      <w:pPr>
        <w:jc w:val="both"/>
        <w:rPr>
          <w:i/>
          <w:sz w:val="22"/>
        </w:rPr>
      </w:pPr>
    </w:p>
    <w:p w:rsidR="00000000" w:rsidRDefault="00000000">
      <w:pPr>
        <w:numPr>
          <w:ilvl w:val="0"/>
          <w:numId w:val="184"/>
        </w:numPr>
        <w:jc w:val="both"/>
        <w:rPr>
          <w:i/>
          <w:sz w:val="22"/>
        </w:rPr>
      </w:pPr>
      <w:r>
        <w:rPr>
          <w:i/>
          <w:sz w:val="22"/>
        </w:rPr>
        <w:t>Les mêmes conditions d’orientation professionnelle, d’accès aux études et d’orientation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 ;</w:t>
      </w:r>
    </w:p>
    <w:p w:rsidR="00000000" w:rsidRDefault="00000000">
      <w:pPr>
        <w:numPr>
          <w:ilvl w:val="0"/>
          <w:numId w:val="184"/>
        </w:numPr>
        <w:jc w:val="both"/>
        <w:rPr>
          <w:i/>
          <w:sz w:val="22"/>
        </w:rPr>
      </w:pPr>
      <w:r>
        <w:rPr>
          <w:i/>
          <w:sz w:val="22"/>
        </w:rPr>
        <w:t>L’accès aux mêmes programmes, aux mêmes examens, à un personnel enseignant possédant les qualifications de même ordre, à des locaux scolaires et à un équipement de même qualité ;</w:t>
      </w:r>
    </w:p>
    <w:p w:rsidR="00000000" w:rsidRDefault="00000000">
      <w:pPr>
        <w:numPr>
          <w:ilvl w:val="0"/>
          <w:numId w:val="184"/>
        </w:numPr>
        <w:jc w:val="both"/>
        <w:rPr>
          <w:i/>
          <w:sz w:val="22"/>
        </w:rPr>
      </w:pPr>
      <w:r>
        <w:rPr>
          <w:i/>
          <w:sz w:val="22"/>
        </w:rPr>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 ;</w:t>
      </w:r>
    </w:p>
    <w:p w:rsidR="00000000" w:rsidRDefault="00000000">
      <w:pPr>
        <w:numPr>
          <w:ilvl w:val="0"/>
          <w:numId w:val="184"/>
        </w:numPr>
        <w:jc w:val="both"/>
        <w:rPr>
          <w:i/>
          <w:sz w:val="22"/>
        </w:rPr>
      </w:pPr>
      <w:r>
        <w:rPr>
          <w:i/>
          <w:sz w:val="22"/>
        </w:rPr>
        <w:t>Les mêmes possibilités en ce qui concerne l’octroi de bourses et autres subventions pour les études ;</w:t>
      </w:r>
    </w:p>
    <w:p w:rsidR="00000000" w:rsidRDefault="00000000">
      <w:pPr>
        <w:numPr>
          <w:ilvl w:val="0"/>
          <w:numId w:val="184"/>
        </w:numPr>
        <w:jc w:val="both"/>
        <w:rPr>
          <w:i/>
          <w:sz w:val="22"/>
        </w:rPr>
      </w:pPr>
      <w:r>
        <w:rPr>
          <w:i/>
          <w:sz w:val="22"/>
        </w:rPr>
        <w:t>Les mêmes possibilités d’accès aux programmes d’éducation permanente, y compris aux programmes d’alphabétisation pour adultes et d’alphabétisation fonctionnelle, en vue notamment de réduire au plus tôt tout écart d’instruction existant entre les hommes et les femmes ;</w:t>
      </w:r>
    </w:p>
    <w:p w:rsidR="00000000" w:rsidRDefault="00000000">
      <w:pPr>
        <w:numPr>
          <w:ilvl w:val="0"/>
          <w:numId w:val="184"/>
        </w:numPr>
        <w:jc w:val="both"/>
        <w:rPr>
          <w:i/>
          <w:sz w:val="22"/>
        </w:rPr>
      </w:pPr>
      <w:r>
        <w:rPr>
          <w:i/>
          <w:sz w:val="22"/>
        </w:rPr>
        <w:t>La réduction des taux d’abandon féminin des études et l’organisation de programmes pour les filles et les femmes qui ont quitté l’école prématurément ;</w:t>
      </w:r>
    </w:p>
    <w:p w:rsidR="00000000" w:rsidRDefault="00000000">
      <w:pPr>
        <w:numPr>
          <w:ilvl w:val="0"/>
          <w:numId w:val="184"/>
        </w:numPr>
        <w:jc w:val="both"/>
        <w:rPr>
          <w:i/>
          <w:sz w:val="22"/>
        </w:rPr>
      </w:pPr>
      <w:r>
        <w:rPr>
          <w:i/>
          <w:sz w:val="22"/>
        </w:rPr>
        <w:t>L’accès à des renseignements spécifiques d’ordre éducatif tendant à assurer la santé et le bien-être des familles, y compris l’information et des conseils relatifs à la planification de la famille. »</w:t>
      </w:r>
    </w:p>
    <w:p w:rsidR="00000000" w:rsidRDefault="00000000">
      <w:pPr>
        <w:jc w:val="both"/>
        <w:rPr>
          <w:sz w:val="22"/>
        </w:rPr>
      </w:pPr>
    </w:p>
    <w:p w:rsidR="00000000" w:rsidRDefault="00000000">
      <w:pPr>
        <w:jc w:val="both"/>
        <w:rPr>
          <w:sz w:val="22"/>
        </w:rPr>
      </w:pPr>
      <w:r>
        <w:rPr>
          <w:sz w:val="22"/>
        </w:rPr>
        <w:t>Les droits de la femme sont reconnus et garantis par tous les instruments internationaux relatifs aux droits de l’homme notamment la déclaration universelle des droits de l’homme, les pactes internationaux relatifs aux droits civils, politiques, économiques et socioculturels ratifiés par le Congo. Ces droits sont reconnus comme des droits universels, inaliénables et indivisibles.</w:t>
      </w:r>
    </w:p>
    <w:p w:rsidR="00000000" w:rsidRDefault="00000000">
      <w:pPr>
        <w:jc w:val="both"/>
        <w:rPr>
          <w:sz w:val="22"/>
        </w:rPr>
      </w:pPr>
    </w:p>
    <w:p w:rsidR="00000000" w:rsidRDefault="00000000">
      <w:pPr>
        <w:jc w:val="both"/>
        <w:rPr>
          <w:sz w:val="22"/>
        </w:rPr>
      </w:pPr>
      <w:r>
        <w:rPr>
          <w:sz w:val="22"/>
        </w:rPr>
        <w:t>Parmi ces droits, il en est un qui est fondamental, c’est le droit à l’éducation. Et la femme, en tant qu’être humain a droit à l’accès à l’éducation de base, à une éducation de qualité qui doit faire d’elle un être totalement épanoui, intégré sur le plan social, économique et politique. Cette éducation passe par l’école, la famille et la société.</w:t>
      </w:r>
    </w:p>
    <w:p w:rsidR="00000000" w:rsidRDefault="00000000">
      <w:pPr>
        <w:jc w:val="both"/>
        <w:rPr>
          <w:sz w:val="22"/>
        </w:rPr>
      </w:pPr>
    </w:p>
    <w:p w:rsidR="00000000" w:rsidRDefault="00000000">
      <w:pPr>
        <w:jc w:val="both"/>
        <w:rPr>
          <w:sz w:val="22"/>
        </w:rPr>
      </w:pPr>
      <w:r>
        <w:rPr>
          <w:sz w:val="22"/>
        </w:rPr>
        <w:t>Cette éducation doit tenir compte de l’égalité des sexes  et supprimer les disparités qui existent dans les politiques, les programmes nationaux d’enseignement aux niveaux primaire, secondaire, supérieur et de l’alphabétisation des adultes.</w:t>
      </w:r>
    </w:p>
    <w:p w:rsidR="00000000" w:rsidRDefault="00000000">
      <w:pPr>
        <w:jc w:val="both"/>
        <w:rPr>
          <w:sz w:val="22"/>
        </w:rPr>
      </w:pPr>
      <w:r>
        <w:t xml:space="preserve"> </w:t>
      </w:r>
    </w:p>
    <w:p w:rsidR="00000000" w:rsidRDefault="00000000">
      <w:pPr>
        <w:jc w:val="both"/>
        <w:rPr>
          <w:sz w:val="22"/>
        </w:rPr>
      </w:pPr>
      <w:r>
        <w:rPr>
          <w:sz w:val="22"/>
        </w:rPr>
        <w:t>La constitution de 1969, l’acte fondamental de la conférence nationale n° 003/91/CNP/P/S du 4 juin 1991, la constitution du 15 mars 1992, l’acte fondamental du 24 octobre 1997, le code du Travail, le code de la famille congolaise sont des instruments juridiques qui consacrent l’égalité entre l’homme et la femme au Congo.</w:t>
      </w:r>
    </w:p>
    <w:p w:rsidR="00000000" w:rsidRDefault="00000000">
      <w:pPr>
        <w:jc w:val="both"/>
        <w:rPr>
          <w:sz w:val="22"/>
        </w:rPr>
      </w:pPr>
    </w:p>
    <w:p w:rsidR="00000000" w:rsidRDefault="00000000">
      <w:pPr>
        <w:jc w:val="both"/>
        <w:rPr>
          <w:sz w:val="22"/>
        </w:rPr>
      </w:pPr>
      <w:r>
        <w:rPr>
          <w:sz w:val="22"/>
        </w:rPr>
        <w:t>Dans son article 18, l’acte fondamental de juin 1991, fait état du droit de la femme à la culture et à l’éducation. Et pour mettre en pratique les recommandations y relatives, le Congo a pris de nombreux textes qui ont régi le système éducatif congolais en vue de permettre l’accès de tous les enfants à l’éducation. il s’agit notamment des lois scolaires suivantes :</w:t>
      </w:r>
    </w:p>
    <w:p w:rsidR="00000000" w:rsidRDefault="00000000">
      <w:pPr>
        <w:jc w:val="both"/>
        <w:rPr>
          <w:sz w:val="22"/>
        </w:rPr>
      </w:pPr>
    </w:p>
    <w:p w:rsidR="00000000" w:rsidRDefault="00000000">
      <w:pPr>
        <w:numPr>
          <w:ilvl w:val="0"/>
          <w:numId w:val="134"/>
        </w:numPr>
        <w:jc w:val="both"/>
        <w:rPr>
          <w:sz w:val="22"/>
        </w:rPr>
      </w:pPr>
      <w:r>
        <w:rPr>
          <w:sz w:val="22"/>
        </w:rPr>
        <w:t>loi n° 44/61 du 28 septembre 1961 fixant les principes généraux d’organisation de l’enseignement ;</w:t>
      </w:r>
    </w:p>
    <w:p w:rsidR="00000000" w:rsidRDefault="00000000">
      <w:pPr>
        <w:numPr>
          <w:ilvl w:val="0"/>
          <w:numId w:val="134"/>
        </w:numPr>
        <w:jc w:val="both"/>
        <w:rPr>
          <w:sz w:val="22"/>
        </w:rPr>
      </w:pPr>
      <w:r>
        <w:rPr>
          <w:sz w:val="22"/>
        </w:rPr>
        <w:t>loi n° 32/65 votée en 1965, fixant les grandes lignes de l’organisation du système éducatif ;</w:t>
      </w:r>
    </w:p>
    <w:p w:rsidR="00000000" w:rsidRDefault="00000000">
      <w:pPr>
        <w:numPr>
          <w:ilvl w:val="0"/>
          <w:numId w:val="134"/>
        </w:numPr>
        <w:jc w:val="both"/>
        <w:rPr>
          <w:sz w:val="22"/>
        </w:rPr>
      </w:pPr>
      <w:r>
        <w:rPr>
          <w:sz w:val="22"/>
        </w:rPr>
        <w:t>loi n° 20/80 votée en 1980 portant réorganisation du système éducatif en République Populaire du Congo ;</w:t>
      </w:r>
    </w:p>
    <w:p w:rsidR="00000000" w:rsidRDefault="00000000">
      <w:pPr>
        <w:numPr>
          <w:ilvl w:val="0"/>
          <w:numId w:val="134"/>
        </w:numPr>
        <w:jc w:val="both"/>
        <w:rPr>
          <w:sz w:val="22"/>
        </w:rPr>
      </w:pPr>
      <w:r>
        <w:rPr>
          <w:sz w:val="22"/>
        </w:rPr>
        <w:t>loi n° 08/90 du 26 novembre 1990 modifiant la loi n° 20/80 et qui remet en cause la gratuité de l’enseignement ;</w:t>
      </w:r>
    </w:p>
    <w:p w:rsidR="00000000" w:rsidRDefault="00000000">
      <w:pPr>
        <w:numPr>
          <w:ilvl w:val="0"/>
          <w:numId w:val="134"/>
        </w:numPr>
        <w:jc w:val="both"/>
        <w:rPr>
          <w:sz w:val="22"/>
        </w:rPr>
      </w:pPr>
      <w:r>
        <w:rPr>
          <w:sz w:val="22"/>
        </w:rPr>
        <w:t>loi n° 25/95 du 19 novembre 1995 modifiant la loi n° 08/90 et portant réorganisation du système éducatif en République du Congo.</w:t>
      </w:r>
    </w:p>
    <w:p w:rsidR="00000000" w:rsidRDefault="00000000">
      <w:pPr>
        <w:jc w:val="both"/>
        <w:rPr>
          <w:sz w:val="22"/>
        </w:rPr>
      </w:pPr>
    </w:p>
    <w:p w:rsidR="00000000" w:rsidRDefault="00000000">
      <w:pPr>
        <w:jc w:val="both"/>
        <w:rPr>
          <w:sz w:val="22"/>
        </w:rPr>
      </w:pPr>
      <w:r>
        <w:rPr>
          <w:sz w:val="22"/>
        </w:rPr>
        <w:t>La dernière constitution qui vient d’être votée par référendum le 20 janvier 2002 garantie l’égal accès à l’enseignement et à la fonction professionnelle. La scolarité est obligatoire jusqu’à 16 ans et gratuit dans les établissement publics.</w:t>
      </w:r>
    </w:p>
    <w:p w:rsidR="00000000" w:rsidRDefault="00000000">
      <w:pPr>
        <w:jc w:val="both"/>
        <w:rPr>
          <w:sz w:val="22"/>
        </w:rPr>
      </w:pPr>
    </w:p>
    <w:p w:rsidR="00000000" w:rsidRDefault="00000000">
      <w:pPr>
        <w:jc w:val="both"/>
        <w:rPr>
          <w:sz w:val="22"/>
        </w:rPr>
      </w:pPr>
    </w:p>
    <w:p w:rsidR="00000000" w:rsidRDefault="00000000">
      <w:pPr>
        <w:tabs>
          <w:tab w:val="left" w:pos="1521"/>
        </w:tabs>
        <w:ind w:left="1521" w:hanging="1521"/>
        <w:jc w:val="both"/>
        <w:rPr>
          <w:b/>
          <w:sz w:val="22"/>
        </w:rPr>
      </w:pPr>
      <w:r>
        <w:rPr>
          <w:b/>
          <w:sz w:val="22"/>
        </w:rPr>
        <w:t>SECTION I -</w:t>
      </w:r>
      <w:r>
        <w:rPr>
          <w:b/>
          <w:sz w:val="22"/>
        </w:rPr>
        <w:tab/>
      </w:r>
      <w:r>
        <w:rPr>
          <w:b/>
          <w:sz w:val="22"/>
          <w:u w:val="single"/>
        </w:rPr>
        <w:t>Conditions d’orientation professionnelle, d’accès aux études et d’obtention de diplômes dans les établissements d’enseignement de toutes catégories</w:t>
      </w:r>
      <w:r>
        <w:rPr>
          <w:b/>
          <w:sz w:val="22"/>
        </w:rPr>
        <w:t> :</w:t>
      </w:r>
    </w:p>
    <w:p w:rsidR="00000000" w:rsidRDefault="00000000">
      <w:pPr>
        <w:pStyle w:val="Heading1"/>
      </w:pPr>
    </w:p>
    <w:p w:rsidR="00000000" w:rsidRDefault="00000000">
      <w:pPr>
        <w:pStyle w:val="Heading1"/>
      </w:pPr>
      <w:r>
        <w:t xml:space="preserve">I - </w:t>
      </w:r>
      <w:r>
        <w:rPr>
          <w:u w:val="single"/>
        </w:rPr>
        <w:t>L’état de l’enseignement au Congo</w:t>
      </w:r>
      <w:r>
        <w:t> :</w:t>
      </w:r>
    </w:p>
    <w:p w:rsidR="00000000" w:rsidRDefault="00000000">
      <w:pPr>
        <w:rPr>
          <w:sz w:val="22"/>
        </w:rPr>
      </w:pPr>
    </w:p>
    <w:p w:rsidR="00000000" w:rsidRDefault="00000000">
      <w:pPr>
        <w:jc w:val="both"/>
        <w:rPr>
          <w:sz w:val="22"/>
        </w:rPr>
      </w:pPr>
      <w:r>
        <w:rPr>
          <w:sz w:val="22"/>
        </w:rPr>
        <w:t>Depuis l’accession du Congo à l’indépendance, l’enseignement est obligatoire et non discriminatoire. Il est ouvert à tous, garçons et filles. Jusqu’alors, le système scolaire congolais s’était beaucoup inspiré du système français. Mais une nouveauté a été apportée : une année supplémentaire a été ajoutée au  niveau du primaire. La période scolaire générale s’étend sur 13 ans ; 6 ans au primaire et 7 ans au secondaire.</w:t>
      </w:r>
    </w:p>
    <w:p w:rsidR="00000000" w:rsidRDefault="00000000">
      <w:pPr>
        <w:jc w:val="both"/>
        <w:rPr>
          <w:sz w:val="22"/>
        </w:rPr>
      </w:pPr>
    </w:p>
    <w:p w:rsidR="00000000" w:rsidRDefault="00000000">
      <w:pPr>
        <w:jc w:val="both"/>
        <w:rPr>
          <w:sz w:val="22"/>
        </w:rPr>
      </w:pPr>
      <w:r>
        <w:rPr>
          <w:sz w:val="22"/>
        </w:rPr>
        <w:t>En 1965, l’enseignement, qui était dispensé jusqu’alors dans les écoles publiques comme dans les écoles privées, à été nationalisé. L’État prend désormais en charge l’éducation des jeunes. De nombreux textes régissent le système éducatif congolais ; ils garantissent l’accès de tous les enfants à l’éducation. Outre ces lois, des colloques ont été organisés sur les nombreux problèmes du système éducatif observés depuis la nationalisation du système éducatif. En 1970, le colloque de l’enseignement définit les grands axes du projet « Ecole du peuple ». En 1988, le colloque bilan constate la dégradation extrême du système éducatif et propose de nombreuses mesures en vue de son redressement.</w:t>
      </w:r>
    </w:p>
    <w:p w:rsidR="00000000" w:rsidRDefault="00000000">
      <w:pPr>
        <w:jc w:val="both"/>
        <w:rPr>
          <w:sz w:val="22"/>
        </w:rPr>
      </w:pPr>
    </w:p>
    <w:p w:rsidR="00000000" w:rsidRDefault="00000000">
      <w:pPr>
        <w:jc w:val="both"/>
        <w:rPr>
          <w:sz w:val="22"/>
        </w:rPr>
      </w:pPr>
      <w:r>
        <w:rPr>
          <w:sz w:val="22"/>
        </w:rPr>
        <w:t>Plusieurs observations découlent de ces deux colloques, il s’agit :</w:t>
      </w:r>
    </w:p>
    <w:p w:rsidR="00000000" w:rsidRDefault="00000000">
      <w:pPr>
        <w:jc w:val="both"/>
        <w:rPr>
          <w:sz w:val="22"/>
        </w:rPr>
      </w:pPr>
    </w:p>
    <w:p w:rsidR="00000000" w:rsidRDefault="00000000">
      <w:pPr>
        <w:numPr>
          <w:ilvl w:val="0"/>
          <w:numId w:val="188"/>
        </w:numPr>
        <w:jc w:val="both"/>
        <w:rPr>
          <w:sz w:val="22"/>
        </w:rPr>
      </w:pPr>
      <w:r>
        <w:rPr>
          <w:sz w:val="22"/>
        </w:rPr>
        <w:t>des conséquences de la nationalisation intervenue en 1965, et qui a contribué au départ en masse du Congo, des enseignants missionnaires. Il en est résulté le recrutement des enseignants non qualifiés. Ce qui a conduit la crise du système éducatif ;</w:t>
      </w:r>
    </w:p>
    <w:p w:rsidR="00000000" w:rsidRDefault="00000000">
      <w:pPr>
        <w:numPr>
          <w:ilvl w:val="0"/>
          <w:numId w:val="134"/>
        </w:numPr>
        <w:jc w:val="both"/>
        <w:rPr>
          <w:sz w:val="22"/>
        </w:rPr>
      </w:pPr>
      <w:r>
        <w:rPr>
          <w:sz w:val="22"/>
        </w:rPr>
        <w:t>tirant les conséquences de cette crise, le Gouvernement tentera de faire une réforme en créant l’Ecole du Peuple. Celle-ci consiste en la démocratisation de l’école qui devient gratuite.</w:t>
      </w:r>
    </w:p>
    <w:p w:rsidR="00000000" w:rsidRDefault="00000000">
      <w:pPr>
        <w:jc w:val="both"/>
        <w:rPr>
          <w:sz w:val="22"/>
        </w:rPr>
      </w:pPr>
    </w:p>
    <w:p w:rsidR="00000000" w:rsidRDefault="00000000">
      <w:pPr>
        <w:jc w:val="both"/>
        <w:rPr>
          <w:sz w:val="22"/>
        </w:rPr>
      </w:pPr>
      <w:r>
        <w:rPr>
          <w:sz w:val="22"/>
        </w:rPr>
        <w:t>Il s’est avéré, cependant, que la politique de « l’école du peuple » était mal conçue. Il n’y avait pas de cadre juridique sûr. Elle a entraîné un taux de déscolarisation très élevé (16,3%) ; le taux de redoublement était le plus élevé d’Afrique (30%) et une dégradation de la qualité de l’enseignement. L’inadéquation entre la formation et l’emploi a entraîné un chômage accru. Il était impérieux d’abandonner cette option car elle a conduit à un échec. Le colloque de 1988 a, en outre, limité le nombre de redoublements par classe. Le système éducatif laïc (officiel) étant débordé, voire même défaillant, on a assisté à la promotion de l’enseignement privé. Le constat actuel est que le bilan est mitigé. La dernière loi scolaire (1995) n’a toujours pas de textes d’application bien que le gouvernement ait adopté, en octobre 1996, des termes de référence pour la réforme du système éducatif.</w:t>
      </w:r>
    </w:p>
    <w:p w:rsidR="00000000" w:rsidRDefault="00000000">
      <w:pPr>
        <w:jc w:val="both"/>
        <w:rPr>
          <w:sz w:val="22"/>
        </w:rPr>
      </w:pPr>
    </w:p>
    <w:p w:rsidR="00000000" w:rsidRDefault="00000000">
      <w:pPr>
        <w:jc w:val="both"/>
        <w:rPr>
          <w:sz w:val="22"/>
        </w:rPr>
      </w:pPr>
      <w:r>
        <w:rPr>
          <w:sz w:val="22"/>
        </w:rPr>
        <w:t>Cependant, on note des aspects positifs. Ainsi, la loi scolaire n° 25/95 de novembre 1995 qui modifie la loi n° 008/90 de septembre 1990 instaure la gratuité de l’enseignement. Elle a ramené la durée obligatoire de la scolarité à 10 ans aussi bien pour les garçons que pour les filles au lieu de 8 ans.</w:t>
      </w:r>
    </w:p>
    <w:p w:rsidR="00000000" w:rsidRDefault="00000000">
      <w:pPr>
        <w:jc w:val="both"/>
        <w:rPr>
          <w:sz w:val="22"/>
        </w:rPr>
      </w:pPr>
      <w:r>
        <w:rPr>
          <w:sz w:val="22"/>
        </w:rPr>
        <w:t>La loi scolaire n° 20/80 rend l’alphabétisation obligatoire. Elle connut un grand succès qui valut au Congo l’octroi de cinq prix de l’UNESCO. Une radio dénommée « Alpha » conçue pour l’éducation a accompagné les efforts d’éducation et d’alphabétisation et une émission « Il n’est jamais trop tard pour apprendre », diffusée par la radio nationale, était très suivie par la population. De nombreuses femmes ont été formées à partir de cette émission.</w:t>
      </w:r>
    </w:p>
    <w:p w:rsidR="00000000" w:rsidRDefault="00000000">
      <w:pPr>
        <w:jc w:val="both"/>
        <w:rPr>
          <w:sz w:val="22"/>
        </w:rPr>
      </w:pPr>
    </w:p>
    <w:p w:rsidR="00000000" w:rsidRDefault="00000000">
      <w:pPr>
        <w:jc w:val="both"/>
        <w:rPr>
          <w:sz w:val="22"/>
        </w:rPr>
      </w:pPr>
      <w:r>
        <w:rPr>
          <w:sz w:val="22"/>
        </w:rPr>
        <w:t>On a alors parlé du taux de scolarisation de 100% (ou presque) et d’un taux élevé d’alphabétisation : en 1995 : 83,1% chez les hommes ; 67,2% chez les femmes.</w:t>
      </w:r>
    </w:p>
    <w:p w:rsidR="00000000" w:rsidRDefault="00000000">
      <w:pPr>
        <w:jc w:val="both"/>
        <w:rPr>
          <w:sz w:val="22"/>
        </w:rPr>
      </w:pPr>
    </w:p>
    <w:p w:rsidR="00000000" w:rsidRDefault="00000000">
      <w:pPr>
        <w:jc w:val="both"/>
        <w:rPr>
          <w:sz w:val="22"/>
        </w:rPr>
      </w:pPr>
      <w:r>
        <w:rPr>
          <w:sz w:val="22"/>
        </w:rPr>
        <w:t>Le Congo, toujours dans le souci de bien gérer le système éducatif a mis un accent particulier sur l’éducation préscolaire à partir de 1990 en la généralisant et en l’améliorant, après la table ronde organisée à l’issue du sommet de JOMTIEM.</w:t>
      </w:r>
    </w:p>
    <w:p w:rsidR="00000000" w:rsidRDefault="00000000">
      <w:pPr>
        <w:jc w:val="both"/>
        <w:rPr>
          <w:sz w:val="22"/>
        </w:rPr>
      </w:pPr>
    </w:p>
    <w:p w:rsidR="00000000" w:rsidRDefault="00000000">
      <w:pPr>
        <w:jc w:val="both"/>
        <w:rPr>
          <w:sz w:val="22"/>
        </w:rPr>
      </w:pPr>
      <w:r>
        <w:rPr>
          <w:sz w:val="22"/>
        </w:rPr>
        <w:t>Le système éducatif est structuré de la manière suivante :</w:t>
      </w:r>
    </w:p>
    <w:p w:rsidR="00000000" w:rsidRDefault="00000000">
      <w:pPr>
        <w:numPr>
          <w:ilvl w:val="0"/>
          <w:numId w:val="134"/>
        </w:numPr>
        <w:jc w:val="both"/>
        <w:rPr>
          <w:sz w:val="22"/>
        </w:rPr>
      </w:pPr>
      <w:r>
        <w:rPr>
          <w:sz w:val="22"/>
        </w:rPr>
        <w:t>enseignement préscolaire ;</w:t>
      </w:r>
    </w:p>
    <w:p w:rsidR="00000000" w:rsidRDefault="00000000">
      <w:pPr>
        <w:numPr>
          <w:ilvl w:val="0"/>
          <w:numId w:val="134"/>
        </w:numPr>
        <w:jc w:val="both"/>
        <w:rPr>
          <w:sz w:val="22"/>
        </w:rPr>
      </w:pPr>
      <w:r>
        <w:rPr>
          <w:sz w:val="22"/>
        </w:rPr>
        <w:t>enseignement primaire ;</w:t>
      </w:r>
    </w:p>
    <w:p w:rsidR="00000000" w:rsidRDefault="00000000">
      <w:pPr>
        <w:numPr>
          <w:ilvl w:val="0"/>
          <w:numId w:val="134"/>
        </w:numPr>
        <w:jc w:val="both"/>
        <w:rPr>
          <w:sz w:val="22"/>
        </w:rPr>
      </w:pPr>
      <w:r>
        <w:rPr>
          <w:sz w:val="22"/>
        </w:rPr>
        <w:t>enseignement secondaire du 1</w:t>
      </w:r>
      <w:r>
        <w:rPr>
          <w:sz w:val="22"/>
          <w:vertAlign w:val="superscript"/>
        </w:rPr>
        <w:t>er</w:t>
      </w:r>
      <w:r>
        <w:rPr>
          <w:sz w:val="22"/>
        </w:rPr>
        <w:t xml:space="preserve"> et du 2</w:t>
      </w:r>
      <w:r>
        <w:rPr>
          <w:sz w:val="22"/>
          <w:vertAlign w:val="superscript"/>
        </w:rPr>
        <w:t>ème</w:t>
      </w:r>
      <w:r>
        <w:rPr>
          <w:sz w:val="22"/>
        </w:rPr>
        <w:t xml:space="preserve"> degré ;</w:t>
      </w:r>
    </w:p>
    <w:p w:rsidR="00000000" w:rsidRDefault="00000000">
      <w:pPr>
        <w:numPr>
          <w:ilvl w:val="0"/>
          <w:numId w:val="134"/>
        </w:numPr>
        <w:jc w:val="both"/>
        <w:rPr>
          <w:sz w:val="22"/>
        </w:rPr>
      </w:pPr>
      <w:r>
        <w:rPr>
          <w:sz w:val="22"/>
        </w:rPr>
        <w:t>enseignement supérieur ;</w:t>
      </w:r>
    </w:p>
    <w:p w:rsidR="00000000" w:rsidRDefault="00000000">
      <w:pPr>
        <w:numPr>
          <w:ilvl w:val="0"/>
          <w:numId w:val="134"/>
        </w:numPr>
        <w:jc w:val="both"/>
        <w:rPr>
          <w:sz w:val="22"/>
        </w:rPr>
      </w:pPr>
      <w:r>
        <w:rPr>
          <w:sz w:val="22"/>
        </w:rPr>
        <w:t>enseignement technique et professionnel.</w:t>
      </w:r>
    </w:p>
    <w:p w:rsidR="00000000" w:rsidRDefault="00000000">
      <w:pPr>
        <w:rPr>
          <w:b/>
          <w:sz w:val="22"/>
          <w:u w:val="single"/>
        </w:rPr>
      </w:pPr>
    </w:p>
    <w:p w:rsidR="00000000" w:rsidRDefault="00000000">
      <w:pPr>
        <w:rPr>
          <w:sz w:val="22"/>
        </w:rPr>
      </w:pPr>
      <w:r>
        <w:rPr>
          <w:b/>
          <w:sz w:val="22"/>
        </w:rPr>
        <w:t xml:space="preserve">A - </w:t>
      </w:r>
      <w:r>
        <w:rPr>
          <w:b/>
          <w:sz w:val="22"/>
          <w:u w:val="single"/>
        </w:rPr>
        <w:t>L’enseignement préscolaire</w:t>
      </w:r>
      <w:r>
        <w:rPr>
          <w:b/>
          <w:sz w:val="22"/>
        </w:rPr>
        <w:t>.</w:t>
      </w:r>
    </w:p>
    <w:p w:rsidR="00000000" w:rsidRDefault="00000000">
      <w:pPr>
        <w:rPr>
          <w:sz w:val="22"/>
        </w:rPr>
      </w:pPr>
    </w:p>
    <w:p w:rsidR="00000000" w:rsidRDefault="00000000">
      <w:pPr>
        <w:jc w:val="both"/>
        <w:rPr>
          <w:sz w:val="22"/>
        </w:rPr>
      </w:pPr>
      <w:r>
        <w:rPr>
          <w:sz w:val="22"/>
        </w:rPr>
        <w:t>Ce premier cycle de l’éducation et de la formation du plus petit enfant est en général l’apanage des centres urbains. Tous les enfants n’ont pas accès au préscolaire car l’entrée à l’école maternelle est conditionnée par le payement des frais de scolarité. Cette exigence donne la priorité aux enfants dont les parents disposent de moyens. Le cycle préscolaire reçoit les enfants de 3 à 6 ans. Il les prépare à aborder le niveau primaire avec les acquisitions morales et physiques. Dans ce cycle, il n’y a pas d’effectifs pléthoriques mais la prédominance des filles sur les garçons est remarquable. Le personnel enseignant est essentiellement féminin.</w:t>
      </w:r>
    </w:p>
    <w:p w:rsidR="00000000" w:rsidRDefault="00000000">
      <w:pPr>
        <w:jc w:val="both"/>
        <w:rPr>
          <w:sz w:val="22"/>
        </w:rPr>
      </w:pPr>
    </w:p>
    <w:p w:rsidR="00000000" w:rsidRDefault="00000000">
      <w:pPr>
        <w:jc w:val="both"/>
        <w:rPr>
          <w:sz w:val="22"/>
        </w:rPr>
      </w:pPr>
      <w:r>
        <w:rPr>
          <w:sz w:val="22"/>
        </w:rPr>
        <w:t>De 1990 à 1998, le nombre des centres d’éducation préscolaire a baissé de 53 à 51 dans l’enseignement public. Les effectifs sont en baisse de 5.870 à 1.266. Ce qui représente un taux d’accroissement de – 17,5%. Pendant cette décennie, le personnel a diminué de 197 enseignants. La diminution des effectifs peut s’expliquer par l’inscription des enfants dans des établissements privés ouverts à Brazzaville et à Pointe-Noire. Ces écoles privées ne fournissent pas des données statistiques pour pouvoir évaluer les effectifs. Au cours de la décennie, la population du groupe d’âge officiel (3 à 5 ans) a considérablement augmenté 106.107 en 1990 contre 160.672 en 1998. Le taux d’accroissement moyen est de 5,4% pour les deux sexes. On constate un léger écart en faveur des filles (5,3% contre 4,7% soit une différence de 0,6 points).</w:t>
      </w:r>
    </w:p>
    <w:p w:rsidR="00000000" w:rsidRDefault="00000000">
      <w:pPr>
        <w:pStyle w:val="BodyText"/>
        <w:rPr>
          <w:sz w:val="22"/>
        </w:rPr>
      </w:pPr>
    </w:p>
    <w:p w:rsidR="00000000" w:rsidRDefault="00000000">
      <w:pPr>
        <w:jc w:val="both"/>
        <w:rPr>
          <w:b/>
          <w:sz w:val="22"/>
        </w:rPr>
      </w:pPr>
      <w:r>
        <w:rPr>
          <w:b/>
          <w:sz w:val="22"/>
          <w:u w:val="single"/>
        </w:rPr>
        <w:t>Tableau n° 29</w:t>
      </w:r>
      <w:r>
        <w:rPr>
          <w:b/>
          <w:sz w:val="22"/>
        </w:rPr>
        <w:t> : Effectifs des élèves et enseignants  (1997 et 1998)</w:t>
      </w:r>
    </w:p>
    <w:p w:rsidR="00000000" w:rsidRDefault="00000000">
      <w:pPr>
        <w:jc w:val="both"/>
        <w:rPr>
          <w:sz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61"/>
        <w:gridCol w:w="864"/>
        <w:gridCol w:w="864"/>
        <w:gridCol w:w="864"/>
        <w:gridCol w:w="864"/>
        <w:gridCol w:w="864"/>
        <w:gridCol w:w="864"/>
        <w:gridCol w:w="864"/>
        <w:gridCol w:w="864"/>
        <w:gridCol w:w="864"/>
        <w:gridCol w:w="864"/>
      </w:tblGrid>
      <w:tr w:rsidR="00000000">
        <w:tblPrEx>
          <w:tblCellMar>
            <w:top w:w="0" w:type="dxa"/>
            <w:bottom w:w="0" w:type="dxa"/>
          </w:tblCellMar>
        </w:tblPrEx>
        <w:trPr>
          <w:cantSplit/>
        </w:trPr>
        <w:tc>
          <w:tcPr>
            <w:tcW w:w="1161" w:type="dxa"/>
            <w:vMerge w:val="restart"/>
          </w:tcPr>
          <w:p w:rsidR="00000000" w:rsidRDefault="00000000">
            <w:pPr>
              <w:jc w:val="center"/>
              <w:rPr>
                <w:sz w:val="22"/>
              </w:rPr>
            </w:pPr>
            <w:r>
              <w:rPr>
                <w:sz w:val="22"/>
              </w:rPr>
              <w:t>Années</w:t>
            </w:r>
          </w:p>
        </w:tc>
        <w:tc>
          <w:tcPr>
            <w:tcW w:w="4320" w:type="dxa"/>
            <w:gridSpan w:val="5"/>
          </w:tcPr>
          <w:p w:rsidR="00000000" w:rsidRDefault="00000000">
            <w:pPr>
              <w:jc w:val="center"/>
              <w:rPr>
                <w:sz w:val="22"/>
              </w:rPr>
            </w:pPr>
            <w:r>
              <w:rPr>
                <w:sz w:val="22"/>
              </w:rPr>
              <w:t>Elèves</w:t>
            </w:r>
          </w:p>
        </w:tc>
        <w:tc>
          <w:tcPr>
            <w:tcW w:w="4320" w:type="dxa"/>
            <w:gridSpan w:val="5"/>
          </w:tcPr>
          <w:p w:rsidR="00000000" w:rsidRDefault="00000000">
            <w:pPr>
              <w:jc w:val="center"/>
              <w:rPr>
                <w:sz w:val="22"/>
              </w:rPr>
            </w:pPr>
            <w:r>
              <w:rPr>
                <w:sz w:val="22"/>
              </w:rPr>
              <w:t>Enseignants</w:t>
            </w:r>
          </w:p>
        </w:tc>
      </w:tr>
      <w:tr w:rsidR="00000000">
        <w:tblPrEx>
          <w:tblCellMar>
            <w:top w:w="0" w:type="dxa"/>
            <w:bottom w:w="0" w:type="dxa"/>
          </w:tblCellMar>
        </w:tblPrEx>
        <w:trPr>
          <w:cantSplit/>
        </w:trPr>
        <w:tc>
          <w:tcPr>
            <w:tcW w:w="1161" w:type="dxa"/>
            <w:vMerge/>
          </w:tcPr>
          <w:p w:rsidR="00000000" w:rsidRDefault="00000000">
            <w:pPr>
              <w:jc w:val="center"/>
              <w:rPr>
                <w:sz w:val="22"/>
              </w:rPr>
            </w:pPr>
          </w:p>
        </w:tc>
        <w:tc>
          <w:tcPr>
            <w:tcW w:w="864" w:type="dxa"/>
          </w:tcPr>
          <w:p w:rsidR="00000000" w:rsidRDefault="00000000">
            <w:pPr>
              <w:jc w:val="center"/>
              <w:rPr>
                <w:sz w:val="22"/>
              </w:rPr>
            </w:pPr>
            <w:r>
              <w:rPr>
                <w:sz w:val="22"/>
              </w:rPr>
              <w:t>Garçons</w:t>
            </w:r>
          </w:p>
        </w:tc>
        <w:tc>
          <w:tcPr>
            <w:tcW w:w="864" w:type="dxa"/>
          </w:tcPr>
          <w:p w:rsidR="00000000" w:rsidRDefault="00000000">
            <w:pPr>
              <w:jc w:val="center"/>
              <w:rPr>
                <w:sz w:val="22"/>
              </w:rPr>
            </w:pPr>
            <w:r>
              <w:rPr>
                <w:sz w:val="22"/>
              </w:rPr>
              <w:t>%</w:t>
            </w:r>
          </w:p>
        </w:tc>
        <w:tc>
          <w:tcPr>
            <w:tcW w:w="864" w:type="dxa"/>
          </w:tcPr>
          <w:p w:rsidR="00000000" w:rsidRDefault="00000000">
            <w:pPr>
              <w:jc w:val="center"/>
              <w:rPr>
                <w:sz w:val="22"/>
              </w:rPr>
            </w:pPr>
            <w:r>
              <w:rPr>
                <w:sz w:val="22"/>
              </w:rPr>
              <w:t>Filles</w:t>
            </w:r>
          </w:p>
        </w:tc>
        <w:tc>
          <w:tcPr>
            <w:tcW w:w="864" w:type="dxa"/>
          </w:tcPr>
          <w:p w:rsidR="00000000" w:rsidRDefault="00000000">
            <w:pPr>
              <w:jc w:val="center"/>
              <w:rPr>
                <w:sz w:val="22"/>
              </w:rPr>
            </w:pPr>
            <w:r>
              <w:rPr>
                <w:sz w:val="22"/>
              </w:rPr>
              <w:t>%</w:t>
            </w:r>
          </w:p>
        </w:tc>
        <w:tc>
          <w:tcPr>
            <w:tcW w:w="864" w:type="dxa"/>
          </w:tcPr>
          <w:p w:rsidR="00000000" w:rsidRDefault="00000000">
            <w:pPr>
              <w:jc w:val="center"/>
              <w:rPr>
                <w:sz w:val="22"/>
              </w:rPr>
            </w:pPr>
            <w:r>
              <w:rPr>
                <w:sz w:val="22"/>
              </w:rPr>
              <w:t>Total</w:t>
            </w:r>
          </w:p>
        </w:tc>
        <w:tc>
          <w:tcPr>
            <w:tcW w:w="864" w:type="dxa"/>
          </w:tcPr>
          <w:p w:rsidR="00000000" w:rsidRDefault="00000000">
            <w:pPr>
              <w:jc w:val="center"/>
              <w:rPr>
                <w:sz w:val="22"/>
              </w:rPr>
            </w:pPr>
            <w:r>
              <w:rPr>
                <w:sz w:val="22"/>
              </w:rPr>
              <w:t>Hommes</w:t>
            </w:r>
          </w:p>
        </w:tc>
        <w:tc>
          <w:tcPr>
            <w:tcW w:w="864" w:type="dxa"/>
          </w:tcPr>
          <w:p w:rsidR="00000000" w:rsidRDefault="00000000">
            <w:pPr>
              <w:jc w:val="center"/>
              <w:rPr>
                <w:sz w:val="22"/>
              </w:rPr>
            </w:pPr>
            <w:r>
              <w:rPr>
                <w:sz w:val="22"/>
              </w:rPr>
              <w:t>%</w:t>
            </w:r>
          </w:p>
        </w:tc>
        <w:tc>
          <w:tcPr>
            <w:tcW w:w="864" w:type="dxa"/>
          </w:tcPr>
          <w:p w:rsidR="00000000" w:rsidRDefault="00000000">
            <w:pPr>
              <w:jc w:val="center"/>
              <w:rPr>
                <w:sz w:val="22"/>
              </w:rPr>
            </w:pPr>
            <w:r>
              <w:rPr>
                <w:sz w:val="22"/>
              </w:rPr>
              <w:t>Femmes</w:t>
            </w:r>
          </w:p>
        </w:tc>
        <w:tc>
          <w:tcPr>
            <w:tcW w:w="864" w:type="dxa"/>
          </w:tcPr>
          <w:p w:rsidR="00000000" w:rsidRDefault="00000000">
            <w:pPr>
              <w:jc w:val="center"/>
              <w:rPr>
                <w:sz w:val="22"/>
              </w:rPr>
            </w:pPr>
            <w:r>
              <w:rPr>
                <w:sz w:val="22"/>
              </w:rPr>
              <w:t>%</w:t>
            </w:r>
          </w:p>
        </w:tc>
        <w:tc>
          <w:tcPr>
            <w:tcW w:w="864" w:type="dxa"/>
          </w:tcPr>
          <w:p w:rsidR="00000000" w:rsidRDefault="00000000">
            <w:pPr>
              <w:jc w:val="center"/>
              <w:rPr>
                <w:sz w:val="22"/>
              </w:rPr>
            </w:pPr>
            <w:r>
              <w:rPr>
                <w:sz w:val="22"/>
              </w:rPr>
              <w:t>Total</w:t>
            </w:r>
          </w:p>
        </w:tc>
      </w:tr>
      <w:tr w:rsidR="00000000">
        <w:tblPrEx>
          <w:tblCellMar>
            <w:top w:w="0" w:type="dxa"/>
            <w:bottom w:w="0" w:type="dxa"/>
          </w:tblCellMar>
        </w:tblPrEx>
        <w:tc>
          <w:tcPr>
            <w:tcW w:w="1161" w:type="dxa"/>
          </w:tcPr>
          <w:p w:rsidR="00000000" w:rsidRDefault="00000000">
            <w:pPr>
              <w:jc w:val="both"/>
              <w:rPr>
                <w:sz w:val="22"/>
              </w:rPr>
            </w:pPr>
            <w:r>
              <w:rPr>
                <w:sz w:val="22"/>
              </w:rPr>
              <w:t>1997</w:t>
            </w:r>
          </w:p>
        </w:tc>
        <w:tc>
          <w:tcPr>
            <w:tcW w:w="864" w:type="dxa"/>
          </w:tcPr>
          <w:p w:rsidR="00000000" w:rsidRDefault="00000000">
            <w:pPr>
              <w:jc w:val="right"/>
              <w:rPr>
                <w:sz w:val="22"/>
              </w:rPr>
            </w:pPr>
            <w:r>
              <w:rPr>
                <w:sz w:val="22"/>
              </w:rPr>
              <w:t>1796</w:t>
            </w:r>
          </w:p>
        </w:tc>
        <w:tc>
          <w:tcPr>
            <w:tcW w:w="864" w:type="dxa"/>
          </w:tcPr>
          <w:p w:rsidR="00000000" w:rsidRDefault="00000000">
            <w:pPr>
              <w:jc w:val="both"/>
              <w:rPr>
                <w:sz w:val="22"/>
              </w:rPr>
            </w:pPr>
            <w:r>
              <w:rPr>
                <w:sz w:val="22"/>
              </w:rPr>
              <w:t>48,48</w:t>
            </w:r>
          </w:p>
        </w:tc>
        <w:tc>
          <w:tcPr>
            <w:tcW w:w="864" w:type="dxa"/>
          </w:tcPr>
          <w:p w:rsidR="00000000" w:rsidRDefault="00000000">
            <w:pPr>
              <w:jc w:val="right"/>
              <w:rPr>
                <w:sz w:val="22"/>
              </w:rPr>
            </w:pPr>
            <w:r>
              <w:rPr>
                <w:sz w:val="22"/>
              </w:rPr>
              <w:t>1908</w:t>
            </w:r>
          </w:p>
        </w:tc>
        <w:tc>
          <w:tcPr>
            <w:tcW w:w="864" w:type="dxa"/>
          </w:tcPr>
          <w:p w:rsidR="00000000" w:rsidRDefault="00000000">
            <w:pPr>
              <w:jc w:val="both"/>
              <w:rPr>
                <w:sz w:val="22"/>
              </w:rPr>
            </w:pPr>
            <w:r>
              <w:rPr>
                <w:sz w:val="22"/>
              </w:rPr>
              <w:t>51,52</w:t>
            </w:r>
          </w:p>
        </w:tc>
        <w:tc>
          <w:tcPr>
            <w:tcW w:w="864" w:type="dxa"/>
          </w:tcPr>
          <w:p w:rsidR="00000000" w:rsidRDefault="00000000">
            <w:pPr>
              <w:jc w:val="right"/>
              <w:rPr>
                <w:sz w:val="22"/>
              </w:rPr>
            </w:pPr>
            <w:r>
              <w:rPr>
                <w:sz w:val="22"/>
              </w:rPr>
              <w:t>3704</w:t>
            </w:r>
          </w:p>
        </w:tc>
        <w:tc>
          <w:tcPr>
            <w:tcW w:w="864" w:type="dxa"/>
          </w:tcPr>
          <w:p w:rsidR="00000000" w:rsidRDefault="00000000">
            <w:pPr>
              <w:jc w:val="right"/>
              <w:rPr>
                <w:sz w:val="22"/>
              </w:rPr>
            </w:pPr>
            <w:r>
              <w:rPr>
                <w:sz w:val="22"/>
              </w:rPr>
              <w:t>1</w:t>
            </w:r>
          </w:p>
        </w:tc>
        <w:tc>
          <w:tcPr>
            <w:tcW w:w="864" w:type="dxa"/>
          </w:tcPr>
          <w:p w:rsidR="00000000" w:rsidRDefault="00000000">
            <w:pPr>
              <w:jc w:val="both"/>
              <w:rPr>
                <w:sz w:val="22"/>
              </w:rPr>
            </w:pPr>
            <w:r>
              <w:rPr>
                <w:sz w:val="22"/>
              </w:rPr>
              <w:t>0,21</w:t>
            </w:r>
          </w:p>
        </w:tc>
        <w:tc>
          <w:tcPr>
            <w:tcW w:w="864" w:type="dxa"/>
          </w:tcPr>
          <w:p w:rsidR="00000000" w:rsidRDefault="00000000">
            <w:pPr>
              <w:jc w:val="right"/>
              <w:rPr>
                <w:sz w:val="22"/>
              </w:rPr>
            </w:pPr>
            <w:r>
              <w:rPr>
                <w:sz w:val="22"/>
              </w:rPr>
              <w:t>474</w:t>
            </w:r>
          </w:p>
        </w:tc>
        <w:tc>
          <w:tcPr>
            <w:tcW w:w="864" w:type="dxa"/>
          </w:tcPr>
          <w:p w:rsidR="00000000" w:rsidRDefault="00000000">
            <w:pPr>
              <w:jc w:val="both"/>
              <w:rPr>
                <w:sz w:val="22"/>
              </w:rPr>
            </w:pPr>
            <w:r>
              <w:rPr>
                <w:sz w:val="22"/>
              </w:rPr>
              <w:t>99,79</w:t>
            </w:r>
          </w:p>
        </w:tc>
        <w:tc>
          <w:tcPr>
            <w:tcW w:w="864" w:type="dxa"/>
          </w:tcPr>
          <w:p w:rsidR="00000000" w:rsidRDefault="00000000">
            <w:pPr>
              <w:jc w:val="right"/>
              <w:rPr>
                <w:sz w:val="22"/>
              </w:rPr>
            </w:pPr>
            <w:r>
              <w:rPr>
                <w:sz w:val="22"/>
              </w:rPr>
              <w:t>475</w:t>
            </w:r>
          </w:p>
        </w:tc>
      </w:tr>
      <w:tr w:rsidR="00000000">
        <w:tblPrEx>
          <w:tblCellMar>
            <w:top w:w="0" w:type="dxa"/>
            <w:bottom w:w="0" w:type="dxa"/>
          </w:tblCellMar>
        </w:tblPrEx>
        <w:tc>
          <w:tcPr>
            <w:tcW w:w="1161" w:type="dxa"/>
          </w:tcPr>
          <w:p w:rsidR="00000000" w:rsidRDefault="00000000">
            <w:pPr>
              <w:jc w:val="both"/>
              <w:rPr>
                <w:sz w:val="22"/>
              </w:rPr>
            </w:pPr>
            <w:r>
              <w:rPr>
                <w:sz w:val="22"/>
              </w:rPr>
              <w:t>1998</w:t>
            </w:r>
          </w:p>
        </w:tc>
        <w:tc>
          <w:tcPr>
            <w:tcW w:w="864" w:type="dxa"/>
          </w:tcPr>
          <w:p w:rsidR="00000000" w:rsidRDefault="00000000">
            <w:pPr>
              <w:jc w:val="right"/>
              <w:rPr>
                <w:sz w:val="22"/>
              </w:rPr>
            </w:pPr>
            <w:r>
              <w:rPr>
                <w:sz w:val="22"/>
              </w:rPr>
              <w:t>612</w:t>
            </w:r>
          </w:p>
        </w:tc>
        <w:tc>
          <w:tcPr>
            <w:tcW w:w="864" w:type="dxa"/>
          </w:tcPr>
          <w:p w:rsidR="00000000" w:rsidRDefault="00000000">
            <w:pPr>
              <w:jc w:val="both"/>
              <w:rPr>
                <w:sz w:val="22"/>
              </w:rPr>
            </w:pPr>
            <w:r>
              <w:rPr>
                <w:sz w:val="22"/>
              </w:rPr>
              <w:t>48,34</w:t>
            </w:r>
          </w:p>
        </w:tc>
        <w:tc>
          <w:tcPr>
            <w:tcW w:w="864" w:type="dxa"/>
          </w:tcPr>
          <w:p w:rsidR="00000000" w:rsidRDefault="00000000">
            <w:pPr>
              <w:jc w:val="right"/>
              <w:rPr>
                <w:sz w:val="22"/>
              </w:rPr>
            </w:pPr>
            <w:r>
              <w:rPr>
                <w:sz w:val="22"/>
              </w:rPr>
              <w:t>654</w:t>
            </w:r>
          </w:p>
        </w:tc>
        <w:tc>
          <w:tcPr>
            <w:tcW w:w="864" w:type="dxa"/>
          </w:tcPr>
          <w:p w:rsidR="00000000" w:rsidRDefault="00000000">
            <w:pPr>
              <w:jc w:val="both"/>
              <w:rPr>
                <w:sz w:val="22"/>
              </w:rPr>
            </w:pPr>
            <w:r>
              <w:rPr>
                <w:sz w:val="22"/>
              </w:rPr>
              <w:t>51,66</w:t>
            </w:r>
          </w:p>
        </w:tc>
        <w:tc>
          <w:tcPr>
            <w:tcW w:w="864" w:type="dxa"/>
          </w:tcPr>
          <w:p w:rsidR="00000000" w:rsidRDefault="00000000">
            <w:pPr>
              <w:jc w:val="right"/>
              <w:rPr>
                <w:sz w:val="22"/>
              </w:rPr>
            </w:pPr>
            <w:r>
              <w:rPr>
                <w:sz w:val="22"/>
              </w:rPr>
              <w:t>1266</w:t>
            </w:r>
          </w:p>
        </w:tc>
        <w:tc>
          <w:tcPr>
            <w:tcW w:w="864" w:type="dxa"/>
          </w:tcPr>
          <w:p w:rsidR="00000000" w:rsidRDefault="00000000">
            <w:pPr>
              <w:jc w:val="right"/>
              <w:rPr>
                <w:sz w:val="22"/>
              </w:rPr>
            </w:pPr>
            <w:r>
              <w:rPr>
                <w:sz w:val="22"/>
              </w:rPr>
              <w:t>0</w:t>
            </w:r>
          </w:p>
        </w:tc>
        <w:tc>
          <w:tcPr>
            <w:tcW w:w="864" w:type="dxa"/>
          </w:tcPr>
          <w:p w:rsidR="00000000" w:rsidRDefault="00000000">
            <w:pPr>
              <w:jc w:val="both"/>
              <w:rPr>
                <w:sz w:val="22"/>
              </w:rPr>
            </w:pPr>
            <w:r>
              <w:rPr>
                <w:sz w:val="22"/>
              </w:rPr>
              <w:t>0</w:t>
            </w:r>
          </w:p>
        </w:tc>
        <w:tc>
          <w:tcPr>
            <w:tcW w:w="864" w:type="dxa"/>
          </w:tcPr>
          <w:p w:rsidR="00000000" w:rsidRDefault="00000000">
            <w:pPr>
              <w:jc w:val="right"/>
              <w:rPr>
                <w:sz w:val="22"/>
              </w:rPr>
            </w:pPr>
            <w:r>
              <w:rPr>
                <w:sz w:val="22"/>
              </w:rPr>
              <w:t>392</w:t>
            </w:r>
          </w:p>
        </w:tc>
        <w:tc>
          <w:tcPr>
            <w:tcW w:w="864" w:type="dxa"/>
          </w:tcPr>
          <w:p w:rsidR="00000000" w:rsidRDefault="00000000">
            <w:pPr>
              <w:jc w:val="both"/>
              <w:rPr>
                <w:sz w:val="22"/>
              </w:rPr>
            </w:pPr>
            <w:r>
              <w:rPr>
                <w:sz w:val="22"/>
              </w:rPr>
              <w:t>100</w:t>
            </w:r>
          </w:p>
        </w:tc>
        <w:tc>
          <w:tcPr>
            <w:tcW w:w="864" w:type="dxa"/>
          </w:tcPr>
          <w:p w:rsidR="00000000" w:rsidRDefault="00000000">
            <w:pPr>
              <w:jc w:val="right"/>
              <w:rPr>
                <w:sz w:val="22"/>
              </w:rPr>
            </w:pPr>
            <w:r>
              <w:rPr>
                <w:sz w:val="22"/>
              </w:rPr>
              <w:t>392</w:t>
            </w:r>
          </w:p>
        </w:tc>
      </w:tr>
    </w:tbl>
    <w:p w:rsidR="00000000" w:rsidRDefault="00000000">
      <w:pPr>
        <w:spacing w:line="120" w:lineRule="exact"/>
        <w:ind w:left="851" w:hanging="851"/>
        <w:jc w:val="both"/>
        <w:rPr>
          <w:i/>
          <w:sz w:val="10"/>
          <w:u w:val="single"/>
        </w:rPr>
      </w:pPr>
    </w:p>
    <w:p w:rsidR="00000000" w:rsidRDefault="00000000">
      <w:pPr>
        <w:ind w:left="851" w:hanging="851"/>
        <w:jc w:val="both"/>
        <w:rPr>
          <w:i/>
          <w:sz w:val="22"/>
        </w:rPr>
      </w:pPr>
      <w:r>
        <w:rPr>
          <w:i/>
          <w:sz w:val="22"/>
          <w:u w:val="single"/>
        </w:rPr>
        <w:t>Source</w:t>
      </w:r>
      <w:r>
        <w:rPr>
          <w:i/>
          <w:sz w:val="22"/>
        </w:rPr>
        <w:t xml:space="preserve"> : Direction des études et de la planification, Ministère de l’enseignement primaire et secondaire, 1998.</w:t>
      </w:r>
    </w:p>
    <w:p w:rsidR="00000000" w:rsidRDefault="00000000">
      <w:pPr>
        <w:rPr>
          <w:sz w:val="22"/>
        </w:rPr>
      </w:pPr>
    </w:p>
    <w:p w:rsidR="00000000" w:rsidRDefault="00000000">
      <w:pPr>
        <w:jc w:val="both"/>
        <w:rPr>
          <w:sz w:val="22"/>
        </w:rPr>
      </w:pPr>
      <w:r>
        <w:rPr>
          <w:sz w:val="22"/>
        </w:rPr>
        <w:t>Le taux brut de scolarisation, déjà très faible au départ, a également varié à la baisse de 2,8% en 1990 à 0,4% en 1998. Le taux d’admission est non seulement resté à son niveau de 2,8% mais a complètement chuté malgré les résultats sensibles obtenus au niveau des familles par une action de mobilisation des communautés à prendre en charge la santé et l’éducation de leurs enfants.</w:t>
      </w:r>
    </w:p>
    <w:p w:rsidR="00000000" w:rsidRDefault="00000000">
      <w:pPr>
        <w:pStyle w:val="BodyText"/>
        <w:rPr>
          <w:sz w:val="22"/>
        </w:rPr>
      </w:pPr>
    </w:p>
    <w:p w:rsidR="00000000" w:rsidRDefault="00000000">
      <w:pPr>
        <w:jc w:val="both"/>
        <w:rPr>
          <w:b/>
          <w:sz w:val="22"/>
        </w:rPr>
      </w:pPr>
      <w:r>
        <w:rPr>
          <w:b/>
          <w:sz w:val="22"/>
          <w:u w:val="single"/>
        </w:rPr>
        <w:t>Tableau n° 30</w:t>
      </w:r>
      <w:r>
        <w:rPr>
          <w:b/>
          <w:sz w:val="22"/>
        </w:rPr>
        <w:t> : Taux brut de scolarisation dans le préscolaire 1990-1998</w:t>
      </w:r>
    </w:p>
    <w:p w:rsidR="00000000" w:rsidRDefault="00000000">
      <w:pPr>
        <w:jc w:val="both"/>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8"/>
        <w:gridCol w:w="1708"/>
        <w:gridCol w:w="1708"/>
        <w:gridCol w:w="1708"/>
        <w:gridCol w:w="1708"/>
        <w:gridCol w:w="1709"/>
      </w:tblGrid>
      <w:tr w:rsidR="00000000">
        <w:tblPrEx>
          <w:tblCellMar>
            <w:top w:w="0" w:type="dxa"/>
            <w:bottom w:w="0" w:type="dxa"/>
          </w:tblCellMar>
        </w:tblPrEx>
        <w:trPr>
          <w:tblHeader/>
        </w:trPr>
        <w:tc>
          <w:tcPr>
            <w:tcW w:w="1278" w:type="dxa"/>
          </w:tcPr>
          <w:p w:rsidR="00000000" w:rsidRDefault="00000000">
            <w:pPr>
              <w:jc w:val="center"/>
              <w:rPr>
                <w:sz w:val="22"/>
              </w:rPr>
            </w:pPr>
            <w:r>
              <w:rPr>
                <w:sz w:val="22"/>
              </w:rPr>
              <w:t>Année</w:t>
            </w:r>
          </w:p>
        </w:tc>
        <w:tc>
          <w:tcPr>
            <w:tcW w:w="1708" w:type="dxa"/>
          </w:tcPr>
          <w:p w:rsidR="00000000" w:rsidRDefault="00000000">
            <w:pPr>
              <w:jc w:val="center"/>
              <w:rPr>
                <w:sz w:val="22"/>
              </w:rPr>
            </w:pPr>
            <w:r>
              <w:rPr>
                <w:sz w:val="22"/>
              </w:rPr>
              <w:t>Sexe</w:t>
            </w:r>
          </w:p>
        </w:tc>
        <w:tc>
          <w:tcPr>
            <w:tcW w:w="1708" w:type="dxa"/>
          </w:tcPr>
          <w:p w:rsidR="00000000" w:rsidRDefault="00000000">
            <w:pPr>
              <w:jc w:val="center"/>
              <w:rPr>
                <w:sz w:val="22"/>
              </w:rPr>
            </w:pPr>
            <w:r>
              <w:rPr>
                <w:sz w:val="22"/>
              </w:rPr>
              <w:t>Effectifs</w:t>
            </w:r>
          </w:p>
          <w:p w:rsidR="00000000" w:rsidRDefault="00000000">
            <w:pPr>
              <w:jc w:val="center"/>
              <w:rPr>
                <w:sz w:val="22"/>
              </w:rPr>
            </w:pPr>
            <w:r>
              <w:rPr>
                <w:sz w:val="22"/>
              </w:rPr>
              <w:t>Totaux</w:t>
            </w:r>
          </w:p>
        </w:tc>
        <w:tc>
          <w:tcPr>
            <w:tcW w:w="1708" w:type="dxa"/>
          </w:tcPr>
          <w:p w:rsidR="00000000" w:rsidRDefault="00000000">
            <w:pPr>
              <w:jc w:val="center"/>
              <w:rPr>
                <w:sz w:val="22"/>
              </w:rPr>
            </w:pPr>
            <w:r>
              <w:rPr>
                <w:sz w:val="22"/>
              </w:rPr>
              <w:t>Population</w:t>
            </w:r>
          </w:p>
          <w:p w:rsidR="00000000" w:rsidRDefault="00000000">
            <w:pPr>
              <w:jc w:val="center"/>
              <w:rPr>
                <w:sz w:val="22"/>
              </w:rPr>
            </w:pPr>
            <w:r>
              <w:rPr>
                <w:sz w:val="22"/>
              </w:rPr>
              <w:t>3 - 5 ans</w:t>
            </w:r>
          </w:p>
        </w:tc>
        <w:tc>
          <w:tcPr>
            <w:tcW w:w="1708" w:type="dxa"/>
          </w:tcPr>
          <w:p w:rsidR="00000000" w:rsidRDefault="00000000">
            <w:pPr>
              <w:jc w:val="center"/>
              <w:rPr>
                <w:sz w:val="22"/>
              </w:rPr>
            </w:pPr>
            <w:r>
              <w:rPr>
                <w:sz w:val="22"/>
              </w:rPr>
              <w:t>Taux brut de la scolarisation</w:t>
            </w:r>
          </w:p>
        </w:tc>
        <w:tc>
          <w:tcPr>
            <w:tcW w:w="1709" w:type="dxa"/>
          </w:tcPr>
          <w:p w:rsidR="00000000" w:rsidRDefault="00000000">
            <w:pPr>
              <w:jc w:val="center"/>
              <w:rPr>
                <w:sz w:val="22"/>
              </w:rPr>
            </w:pPr>
            <w:r>
              <w:rPr>
                <w:sz w:val="22"/>
              </w:rPr>
              <w:t>Indice de parité entre sexe</w:t>
            </w:r>
          </w:p>
        </w:tc>
      </w:tr>
      <w:tr w:rsidR="00000000">
        <w:tblPrEx>
          <w:tblCellMar>
            <w:top w:w="0" w:type="dxa"/>
            <w:bottom w:w="0" w:type="dxa"/>
          </w:tblCellMar>
        </w:tblPrEx>
        <w:tc>
          <w:tcPr>
            <w:tcW w:w="1278" w:type="dxa"/>
          </w:tcPr>
          <w:p w:rsidR="00000000" w:rsidRDefault="00000000">
            <w:pPr>
              <w:jc w:val="center"/>
              <w:rPr>
                <w:sz w:val="22"/>
              </w:rPr>
            </w:pPr>
          </w:p>
          <w:p w:rsidR="00000000" w:rsidRDefault="00000000">
            <w:pPr>
              <w:jc w:val="center"/>
              <w:rPr>
                <w:sz w:val="22"/>
              </w:rPr>
            </w:pPr>
            <w:r>
              <w:rPr>
                <w:sz w:val="22"/>
              </w:rPr>
              <w:t>1990</w:t>
            </w:r>
          </w:p>
        </w:tc>
        <w:tc>
          <w:tcPr>
            <w:tcW w:w="1708" w:type="dxa"/>
          </w:tcPr>
          <w:p w:rsidR="00000000" w:rsidRDefault="00000000">
            <w:pPr>
              <w:ind w:right="170"/>
              <w:rPr>
                <w:sz w:val="22"/>
              </w:rPr>
            </w:pPr>
            <w:r>
              <w:rPr>
                <w:sz w:val="22"/>
              </w:rPr>
              <w:t>Total</w:t>
            </w:r>
          </w:p>
          <w:p w:rsidR="00000000" w:rsidRDefault="00000000">
            <w:pPr>
              <w:rPr>
                <w:sz w:val="22"/>
              </w:rPr>
            </w:pPr>
            <w:r>
              <w:rPr>
                <w:sz w:val="22"/>
              </w:rPr>
              <w:t>Garçons</w:t>
            </w:r>
          </w:p>
          <w:p w:rsidR="00000000" w:rsidRDefault="00000000">
            <w:pPr>
              <w:ind w:right="170"/>
              <w:rPr>
                <w:sz w:val="22"/>
              </w:rPr>
            </w:pPr>
            <w:r>
              <w:rPr>
                <w:sz w:val="22"/>
              </w:rPr>
              <w:t>Filles</w:t>
            </w:r>
          </w:p>
        </w:tc>
        <w:tc>
          <w:tcPr>
            <w:tcW w:w="1708" w:type="dxa"/>
          </w:tcPr>
          <w:p w:rsidR="00000000" w:rsidRDefault="00000000">
            <w:pPr>
              <w:ind w:right="502"/>
              <w:jc w:val="right"/>
              <w:rPr>
                <w:sz w:val="22"/>
              </w:rPr>
            </w:pPr>
            <w:r>
              <w:rPr>
                <w:sz w:val="22"/>
              </w:rPr>
              <w:t>5 870</w:t>
            </w:r>
          </w:p>
          <w:p w:rsidR="00000000" w:rsidRDefault="00000000">
            <w:pPr>
              <w:ind w:right="502"/>
              <w:jc w:val="right"/>
              <w:rPr>
                <w:sz w:val="22"/>
              </w:rPr>
            </w:pPr>
            <w:r>
              <w:rPr>
                <w:sz w:val="22"/>
              </w:rPr>
              <w:t>2 952</w:t>
            </w:r>
          </w:p>
          <w:p w:rsidR="00000000" w:rsidRDefault="00000000">
            <w:pPr>
              <w:ind w:right="502"/>
              <w:jc w:val="right"/>
              <w:rPr>
                <w:sz w:val="22"/>
              </w:rPr>
            </w:pPr>
            <w:r>
              <w:rPr>
                <w:sz w:val="22"/>
              </w:rPr>
              <w:t>2 918</w:t>
            </w:r>
          </w:p>
        </w:tc>
        <w:tc>
          <w:tcPr>
            <w:tcW w:w="1708" w:type="dxa"/>
          </w:tcPr>
          <w:p w:rsidR="00000000" w:rsidRDefault="00000000">
            <w:pPr>
              <w:ind w:right="374"/>
              <w:jc w:val="right"/>
              <w:rPr>
                <w:sz w:val="22"/>
              </w:rPr>
            </w:pPr>
            <w:r>
              <w:rPr>
                <w:sz w:val="22"/>
              </w:rPr>
              <w:t>211 165</w:t>
            </w:r>
          </w:p>
          <w:p w:rsidR="00000000" w:rsidRDefault="00000000">
            <w:pPr>
              <w:ind w:right="374"/>
              <w:jc w:val="right"/>
              <w:rPr>
                <w:sz w:val="22"/>
              </w:rPr>
            </w:pPr>
            <w:r>
              <w:rPr>
                <w:sz w:val="22"/>
              </w:rPr>
              <w:t>105 058</w:t>
            </w:r>
          </w:p>
          <w:p w:rsidR="00000000" w:rsidRDefault="00000000">
            <w:pPr>
              <w:ind w:right="374"/>
              <w:jc w:val="right"/>
              <w:rPr>
                <w:sz w:val="22"/>
              </w:rPr>
            </w:pPr>
            <w:r>
              <w:rPr>
                <w:sz w:val="22"/>
              </w:rPr>
              <w:t>106 107</w:t>
            </w:r>
          </w:p>
        </w:tc>
        <w:tc>
          <w:tcPr>
            <w:tcW w:w="1708" w:type="dxa"/>
          </w:tcPr>
          <w:p w:rsidR="00000000" w:rsidRDefault="00000000">
            <w:pPr>
              <w:jc w:val="center"/>
              <w:rPr>
                <w:sz w:val="22"/>
              </w:rPr>
            </w:pPr>
            <w:r>
              <w:rPr>
                <w:sz w:val="22"/>
              </w:rPr>
              <w:t>2,8</w:t>
            </w:r>
          </w:p>
          <w:p w:rsidR="00000000" w:rsidRDefault="00000000">
            <w:pPr>
              <w:jc w:val="center"/>
              <w:rPr>
                <w:sz w:val="22"/>
              </w:rPr>
            </w:pPr>
            <w:r>
              <w:rPr>
                <w:sz w:val="22"/>
              </w:rPr>
              <w:t>2,8</w:t>
            </w:r>
          </w:p>
          <w:p w:rsidR="00000000" w:rsidRDefault="00000000">
            <w:pPr>
              <w:jc w:val="center"/>
              <w:rPr>
                <w:sz w:val="22"/>
              </w:rPr>
            </w:pPr>
            <w:r>
              <w:rPr>
                <w:sz w:val="22"/>
              </w:rPr>
              <w:t>2,8</w:t>
            </w:r>
          </w:p>
        </w:tc>
        <w:tc>
          <w:tcPr>
            <w:tcW w:w="1709" w:type="dxa"/>
          </w:tcPr>
          <w:p w:rsidR="00000000" w:rsidRDefault="00000000">
            <w:pPr>
              <w:jc w:val="center"/>
              <w:rPr>
                <w:sz w:val="22"/>
              </w:rPr>
            </w:pPr>
          </w:p>
          <w:p w:rsidR="00000000" w:rsidRDefault="00000000">
            <w:pPr>
              <w:jc w:val="center"/>
              <w:rPr>
                <w:sz w:val="22"/>
              </w:rPr>
            </w:pPr>
            <w:r>
              <w:rPr>
                <w:sz w:val="22"/>
              </w:rPr>
              <w:t>1,0</w:t>
            </w:r>
          </w:p>
        </w:tc>
      </w:tr>
      <w:tr w:rsidR="00000000">
        <w:tblPrEx>
          <w:tblCellMar>
            <w:top w:w="0" w:type="dxa"/>
            <w:bottom w:w="0" w:type="dxa"/>
          </w:tblCellMar>
        </w:tblPrEx>
        <w:tc>
          <w:tcPr>
            <w:tcW w:w="1278" w:type="dxa"/>
          </w:tcPr>
          <w:p w:rsidR="00000000" w:rsidRDefault="00000000">
            <w:pPr>
              <w:jc w:val="center"/>
              <w:rPr>
                <w:sz w:val="22"/>
              </w:rPr>
            </w:pPr>
          </w:p>
          <w:p w:rsidR="00000000" w:rsidRDefault="00000000">
            <w:pPr>
              <w:jc w:val="center"/>
              <w:rPr>
                <w:sz w:val="22"/>
              </w:rPr>
            </w:pPr>
            <w:r>
              <w:rPr>
                <w:sz w:val="22"/>
              </w:rPr>
              <w:t>1991</w:t>
            </w:r>
          </w:p>
        </w:tc>
        <w:tc>
          <w:tcPr>
            <w:tcW w:w="1708" w:type="dxa"/>
          </w:tcPr>
          <w:p w:rsidR="00000000" w:rsidRDefault="00000000">
            <w:pPr>
              <w:jc w:val="center"/>
              <w:rPr>
                <w:sz w:val="22"/>
              </w:rPr>
            </w:pPr>
            <w:r>
              <w:rPr>
                <w:sz w:val="22"/>
              </w:rPr>
              <w:t>T</w:t>
            </w:r>
          </w:p>
          <w:p w:rsidR="00000000" w:rsidRDefault="00000000">
            <w:pPr>
              <w:jc w:val="center"/>
              <w:rPr>
                <w:sz w:val="22"/>
              </w:rPr>
            </w:pPr>
            <w:r>
              <w:rPr>
                <w:sz w:val="22"/>
              </w:rPr>
              <w:t>G</w:t>
            </w:r>
          </w:p>
          <w:p w:rsidR="00000000" w:rsidRDefault="00000000">
            <w:pPr>
              <w:jc w:val="center"/>
              <w:rPr>
                <w:sz w:val="22"/>
              </w:rPr>
            </w:pPr>
            <w:r>
              <w:rPr>
                <w:sz w:val="22"/>
              </w:rPr>
              <w:t>F</w:t>
            </w:r>
          </w:p>
        </w:tc>
        <w:tc>
          <w:tcPr>
            <w:tcW w:w="1708" w:type="dxa"/>
          </w:tcPr>
          <w:p w:rsidR="00000000" w:rsidRDefault="00000000">
            <w:pPr>
              <w:ind w:right="502"/>
              <w:jc w:val="right"/>
              <w:rPr>
                <w:sz w:val="22"/>
              </w:rPr>
            </w:pPr>
            <w:r>
              <w:rPr>
                <w:sz w:val="22"/>
              </w:rPr>
              <w:t>5 810</w:t>
            </w:r>
          </w:p>
          <w:p w:rsidR="00000000" w:rsidRDefault="00000000">
            <w:pPr>
              <w:ind w:right="502"/>
              <w:jc w:val="right"/>
              <w:rPr>
                <w:sz w:val="22"/>
              </w:rPr>
            </w:pPr>
            <w:r>
              <w:rPr>
                <w:sz w:val="22"/>
              </w:rPr>
              <w:t>2 913</w:t>
            </w:r>
          </w:p>
          <w:p w:rsidR="00000000" w:rsidRDefault="00000000">
            <w:pPr>
              <w:ind w:right="502"/>
              <w:jc w:val="right"/>
              <w:rPr>
                <w:sz w:val="22"/>
              </w:rPr>
            </w:pPr>
            <w:r>
              <w:rPr>
                <w:sz w:val="22"/>
              </w:rPr>
              <w:t>2 817</w:t>
            </w:r>
          </w:p>
        </w:tc>
        <w:tc>
          <w:tcPr>
            <w:tcW w:w="1708" w:type="dxa"/>
          </w:tcPr>
          <w:p w:rsidR="00000000" w:rsidRDefault="00000000">
            <w:pPr>
              <w:ind w:right="374"/>
              <w:jc w:val="right"/>
              <w:rPr>
                <w:sz w:val="22"/>
              </w:rPr>
            </w:pPr>
            <w:r>
              <w:rPr>
                <w:sz w:val="22"/>
              </w:rPr>
              <w:t>221 015</w:t>
            </w:r>
          </w:p>
          <w:p w:rsidR="00000000" w:rsidRDefault="00000000">
            <w:pPr>
              <w:ind w:right="374"/>
              <w:jc w:val="right"/>
              <w:rPr>
                <w:sz w:val="22"/>
              </w:rPr>
            </w:pPr>
            <w:r>
              <w:rPr>
                <w:sz w:val="22"/>
              </w:rPr>
              <w:t>110 713</w:t>
            </w:r>
          </w:p>
          <w:p w:rsidR="00000000" w:rsidRDefault="00000000">
            <w:pPr>
              <w:ind w:right="374"/>
              <w:jc w:val="right"/>
              <w:rPr>
                <w:sz w:val="22"/>
              </w:rPr>
            </w:pPr>
            <w:r>
              <w:rPr>
                <w:sz w:val="22"/>
              </w:rPr>
              <w:t>110 302</w:t>
            </w:r>
          </w:p>
        </w:tc>
        <w:tc>
          <w:tcPr>
            <w:tcW w:w="1708" w:type="dxa"/>
          </w:tcPr>
          <w:p w:rsidR="00000000" w:rsidRDefault="00000000">
            <w:pPr>
              <w:jc w:val="center"/>
              <w:rPr>
                <w:sz w:val="22"/>
              </w:rPr>
            </w:pPr>
            <w:r>
              <w:rPr>
                <w:sz w:val="22"/>
              </w:rPr>
              <w:t>2,6</w:t>
            </w:r>
          </w:p>
          <w:p w:rsidR="00000000" w:rsidRDefault="00000000">
            <w:pPr>
              <w:jc w:val="center"/>
              <w:rPr>
                <w:sz w:val="22"/>
              </w:rPr>
            </w:pPr>
            <w:r>
              <w:rPr>
                <w:sz w:val="22"/>
              </w:rPr>
              <w:t>2,6</w:t>
            </w:r>
          </w:p>
          <w:p w:rsidR="00000000" w:rsidRDefault="00000000">
            <w:pPr>
              <w:jc w:val="center"/>
              <w:rPr>
                <w:sz w:val="22"/>
              </w:rPr>
            </w:pPr>
            <w:r>
              <w:rPr>
                <w:sz w:val="22"/>
              </w:rPr>
              <w:t>2,6</w:t>
            </w:r>
          </w:p>
        </w:tc>
        <w:tc>
          <w:tcPr>
            <w:tcW w:w="1709" w:type="dxa"/>
          </w:tcPr>
          <w:p w:rsidR="00000000" w:rsidRDefault="00000000">
            <w:pPr>
              <w:jc w:val="center"/>
              <w:rPr>
                <w:sz w:val="22"/>
              </w:rPr>
            </w:pPr>
          </w:p>
          <w:p w:rsidR="00000000" w:rsidRDefault="00000000">
            <w:pPr>
              <w:jc w:val="center"/>
              <w:rPr>
                <w:sz w:val="22"/>
              </w:rPr>
            </w:pPr>
            <w:r>
              <w:rPr>
                <w:sz w:val="22"/>
              </w:rPr>
              <w:t>1,0</w:t>
            </w:r>
          </w:p>
        </w:tc>
      </w:tr>
      <w:tr w:rsidR="00000000">
        <w:tblPrEx>
          <w:tblCellMar>
            <w:top w:w="0" w:type="dxa"/>
            <w:bottom w:w="0" w:type="dxa"/>
          </w:tblCellMar>
        </w:tblPrEx>
        <w:tc>
          <w:tcPr>
            <w:tcW w:w="1278" w:type="dxa"/>
          </w:tcPr>
          <w:p w:rsidR="00000000" w:rsidRDefault="00000000">
            <w:pPr>
              <w:jc w:val="center"/>
              <w:rPr>
                <w:sz w:val="22"/>
              </w:rPr>
            </w:pPr>
          </w:p>
          <w:p w:rsidR="00000000" w:rsidRDefault="00000000">
            <w:pPr>
              <w:jc w:val="center"/>
              <w:rPr>
                <w:sz w:val="22"/>
              </w:rPr>
            </w:pPr>
            <w:r>
              <w:rPr>
                <w:sz w:val="22"/>
              </w:rPr>
              <w:t>1992</w:t>
            </w:r>
          </w:p>
        </w:tc>
        <w:tc>
          <w:tcPr>
            <w:tcW w:w="1708" w:type="dxa"/>
          </w:tcPr>
          <w:p w:rsidR="00000000" w:rsidRDefault="00000000">
            <w:pPr>
              <w:jc w:val="center"/>
              <w:rPr>
                <w:sz w:val="22"/>
              </w:rPr>
            </w:pPr>
            <w:r>
              <w:rPr>
                <w:sz w:val="22"/>
              </w:rPr>
              <w:t>T</w:t>
            </w:r>
          </w:p>
          <w:p w:rsidR="00000000" w:rsidRDefault="00000000">
            <w:pPr>
              <w:jc w:val="center"/>
              <w:rPr>
                <w:sz w:val="22"/>
              </w:rPr>
            </w:pPr>
            <w:r>
              <w:rPr>
                <w:sz w:val="22"/>
              </w:rPr>
              <w:t>G</w:t>
            </w:r>
          </w:p>
          <w:p w:rsidR="00000000" w:rsidRDefault="00000000">
            <w:pPr>
              <w:jc w:val="center"/>
              <w:rPr>
                <w:sz w:val="22"/>
              </w:rPr>
            </w:pPr>
            <w:r>
              <w:rPr>
                <w:sz w:val="22"/>
              </w:rPr>
              <w:t>F</w:t>
            </w:r>
          </w:p>
        </w:tc>
        <w:tc>
          <w:tcPr>
            <w:tcW w:w="1708" w:type="dxa"/>
          </w:tcPr>
          <w:p w:rsidR="00000000" w:rsidRDefault="00000000">
            <w:pPr>
              <w:ind w:right="502"/>
              <w:jc w:val="right"/>
              <w:rPr>
                <w:sz w:val="22"/>
              </w:rPr>
            </w:pPr>
            <w:r>
              <w:rPr>
                <w:sz w:val="22"/>
              </w:rPr>
              <w:t>6 213</w:t>
            </w:r>
          </w:p>
          <w:p w:rsidR="00000000" w:rsidRDefault="00000000">
            <w:pPr>
              <w:ind w:right="502"/>
              <w:jc w:val="right"/>
              <w:rPr>
                <w:sz w:val="22"/>
              </w:rPr>
            </w:pPr>
            <w:r>
              <w:rPr>
                <w:sz w:val="22"/>
              </w:rPr>
              <w:t>3 020</w:t>
            </w:r>
          </w:p>
          <w:p w:rsidR="00000000" w:rsidRDefault="00000000">
            <w:pPr>
              <w:ind w:right="502"/>
              <w:jc w:val="right"/>
              <w:rPr>
                <w:sz w:val="22"/>
              </w:rPr>
            </w:pPr>
            <w:r>
              <w:rPr>
                <w:sz w:val="22"/>
              </w:rPr>
              <w:t>3 193</w:t>
            </w:r>
          </w:p>
        </w:tc>
        <w:tc>
          <w:tcPr>
            <w:tcW w:w="1708" w:type="dxa"/>
          </w:tcPr>
          <w:p w:rsidR="00000000" w:rsidRDefault="00000000">
            <w:pPr>
              <w:ind w:right="374"/>
              <w:jc w:val="right"/>
              <w:rPr>
                <w:sz w:val="22"/>
              </w:rPr>
            </w:pPr>
            <w:r>
              <w:rPr>
                <w:sz w:val="22"/>
              </w:rPr>
              <w:t>232 079</w:t>
            </w:r>
          </w:p>
          <w:p w:rsidR="00000000" w:rsidRDefault="00000000">
            <w:pPr>
              <w:ind w:right="374"/>
              <w:jc w:val="right"/>
              <w:rPr>
                <w:sz w:val="22"/>
              </w:rPr>
            </w:pPr>
            <w:r>
              <w:rPr>
                <w:sz w:val="22"/>
              </w:rPr>
              <w:t>118 956</w:t>
            </w:r>
          </w:p>
          <w:p w:rsidR="00000000" w:rsidRDefault="00000000">
            <w:pPr>
              <w:ind w:right="374"/>
              <w:jc w:val="right"/>
              <w:rPr>
                <w:sz w:val="22"/>
              </w:rPr>
            </w:pPr>
            <w:r>
              <w:rPr>
                <w:sz w:val="22"/>
              </w:rPr>
              <w:t>113 123</w:t>
            </w:r>
          </w:p>
        </w:tc>
        <w:tc>
          <w:tcPr>
            <w:tcW w:w="1708" w:type="dxa"/>
          </w:tcPr>
          <w:p w:rsidR="00000000" w:rsidRDefault="00000000">
            <w:pPr>
              <w:jc w:val="center"/>
              <w:rPr>
                <w:sz w:val="22"/>
              </w:rPr>
            </w:pPr>
            <w:r>
              <w:rPr>
                <w:sz w:val="22"/>
              </w:rPr>
              <w:t>2,7</w:t>
            </w:r>
          </w:p>
          <w:p w:rsidR="00000000" w:rsidRDefault="00000000">
            <w:pPr>
              <w:jc w:val="center"/>
              <w:rPr>
                <w:sz w:val="22"/>
              </w:rPr>
            </w:pPr>
            <w:r>
              <w:rPr>
                <w:sz w:val="22"/>
              </w:rPr>
              <w:t>2,5</w:t>
            </w:r>
          </w:p>
          <w:p w:rsidR="00000000" w:rsidRDefault="00000000">
            <w:pPr>
              <w:jc w:val="center"/>
              <w:rPr>
                <w:sz w:val="22"/>
              </w:rPr>
            </w:pPr>
            <w:r>
              <w:rPr>
                <w:sz w:val="22"/>
              </w:rPr>
              <w:t>2,8</w:t>
            </w:r>
          </w:p>
        </w:tc>
        <w:tc>
          <w:tcPr>
            <w:tcW w:w="1709" w:type="dxa"/>
          </w:tcPr>
          <w:p w:rsidR="00000000" w:rsidRDefault="00000000">
            <w:pPr>
              <w:jc w:val="center"/>
              <w:rPr>
                <w:sz w:val="22"/>
              </w:rPr>
            </w:pPr>
          </w:p>
          <w:p w:rsidR="00000000" w:rsidRDefault="00000000">
            <w:pPr>
              <w:jc w:val="center"/>
              <w:rPr>
                <w:sz w:val="22"/>
              </w:rPr>
            </w:pPr>
            <w:r>
              <w:rPr>
                <w:sz w:val="22"/>
              </w:rPr>
              <w:t>1,1</w:t>
            </w:r>
          </w:p>
        </w:tc>
      </w:tr>
      <w:tr w:rsidR="00000000">
        <w:tblPrEx>
          <w:tblCellMar>
            <w:top w:w="0" w:type="dxa"/>
            <w:bottom w:w="0" w:type="dxa"/>
          </w:tblCellMar>
        </w:tblPrEx>
        <w:tc>
          <w:tcPr>
            <w:tcW w:w="1278" w:type="dxa"/>
          </w:tcPr>
          <w:p w:rsidR="00000000" w:rsidRDefault="00000000">
            <w:pPr>
              <w:jc w:val="center"/>
              <w:rPr>
                <w:sz w:val="22"/>
              </w:rPr>
            </w:pPr>
          </w:p>
          <w:p w:rsidR="00000000" w:rsidRDefault="00000000">
            <w:pPr>
              <w:jc w:val="center"/>
              <w:rPr>
                <w:sz w:val="22"/>
              </w:rPr>
            </w:pPr>
            <w:r>
              <w:rPr>
                <w:sz w:val="22"/>
              </w:rPr>
              <w:t>1993</w:t>
            </w:r>
          </w:p>
        </w:tc>
        <w:tc>
          <w:tcPr>
            <w:tcW w:w="1708" w:type="dxa"/>
          </w:tcPr>
          <w:p w:rsidR="00000000" w:rsidRDefault="00000000">
            <w:pPr>
              <w:jc w:val="center"/>
              <w:rPr>
                <w:sz w:val="22"/>
              </w:rPr>
            </w:pPr>
            <w:r>
              <w:rPr>
                <w:sz w:val="22"/>
              </w:rPr>
              <w:t>T</w:t>
            </w:r>
          </w:p>
          <w:p w:rsidR="00000000" w:rsidRDefault="00000000">
            <w:pPr>
              <w:jc w:val="center"/>
              <w:rPr>
                <w:sz w:val="22"/>
              </w:rPr>
            </w:pPr>
            <w:r>
              <w:rPr>
                <w:sz w:val="22"/>
              </w:rPr>
              <w:t>G</w:t>
            </w:r>
          </w:p>
          <w:p w:rsidR="00000000" w:rsidRDefault="00000000">
            <w:pPr>
              <w:jc w:val="center"/>
              <w:rPr>
                <w:sz w:val="22"/>
              </w:rPr>
            </w:pPr>
            <w:r>
              <w:rPr>
                <w:sz w:val="22"/>
              </w:rPr>
              <w:t>F</w:t>
            </w:r>
          </w:p>
        </w:tc>
        <w:tc>
          <w:tcPr>
            <w:tcW w:w="1708" w:type="dxa"/>
          </w:tcPr>
          <w:p w:rsidR="00000000" w:rsidRDefault="00000000">
            <w:pPr>
              <w:ind w:right="502"/>
              <w:jc w:val="right"/>
              <w:rPr>
                <w:sz w:val="22"/>
              </w:rPr>
            </w:pPr>
            <w:r>
              <w:rPr>
                <w:sz w:val="22"/>
              </w:rPr>
              <w:t>4 673</w:t>
            </w:r>
          </w:p>
          <w:p w:rsidR="00000000" w:rsidRDefault="00000000">
            <w:pPr>
              <w:ind w:right="502"/>
              <w:jc w:val="right"/>
              <w:rPr>
                <w:sz w:val="22"/>
              </w:rPr>
            </w:pPr>
            <w:r>
              <w:rPr>
                <w:sz w:val="22"/>
              </w:rPr>
              <w:t>2 234</w:t>
            </w:r>
          </w:p>
          <w:p w:rsidR="00000000" w:rsidRDefault="00000000">
            <w:pPr>
              <w:ind w:right="502"/>
              <w:jc w:val="right"/>
              <w:rPr>
                <w:sz w:val="22"/>
              </w:rPr>
            </w:pPr>
            <w:r>
              <w:rPr>
                <w:sz w:val="22"/>
              </w:rPr>
              <w:t>2 439</w:t>
            </w:r>
          </w:p>
        </w:tc>
        <w:tc>
          <w:tcPr>
            <w:tcW w:w="1708" w:type="dxa"/>
          </w:tcPr>
          <w:p w:rsidR="00000000" w:rsidRDefault="00000000">
            <w:pPr>
              <w:ind w:right="374"/>
              <w:jc w:val="right"/>
              <w:rPr>
                <w:sz w:val="22"/>
              </w:rPr>
            </w:pPr>
            <w:r>
              <w:rPr>
                <w:sz w:val="22"/>
              </w:rPr>
              <w:t>246 027</w:t>
            </w:r>
          </w:p>
          <w:p w:rsidR="00000000" w:rsidRDefault="00000000">
            <w:pPr>
              <w:ind w:right="374"/>
              <w:jc w:val="right"/>
              <w:rPr>
                <w:sz w:val="22"/>
              </w:rPr>
            </w:pPr>
            <w:r>
              <w:rPr>
                <w:sz w:val="22"/>
              </w:rPr>
              <w:t>124 817</w:t>
            </w:r>
          </w:p>
          <w:p w:rsidR="00000000" w:rsidRDefault="00000000">
            <w:pPr>
              <w:ind w:right="374"/>
              <w:jc w:val="right"/>
              <w:rPr>
                <w:sz w:val="22"/>
              </w:rPr>
            </w:pPr>
            <w:r>
              <w:rPr>
                <w:sz w:val="22"/>
              </w:rPr>
              <w:t>121 210</w:t>
            </w:r>
          </w:p>
        </w:tc>
        <w:tc>
          <w:tcPr>
            <w:tcW w:w="1708" w:type="dxa"/>
          </w:tcPr>
          <w:p w:rsidR="00000000" w:rsidRDefault="00000000">
            <w:pPr>
              <w:jc w:val="center"/>
              <w:rPr>
                <w:sz w:val="22"/>
              </w:rPr>
            </w:pPr>
            <w:r>
              <w:rPr>
                <w:sz w:val="22"/>
              </w:rPr>
              <w:t>1,9</w:t>
            </w:r>
          </w:p>
          <w:p w:rsidR="00000000" w:rsidRDefault="00000000">
            <w:pPr>
              <w:jc w:val="center"/>
              <w:rPr>
                <w:sz w:val="22"/>
              </w:rPr>
            </w:pPr>
            <w:r>
              <w:rPr>
                <w:sz w:val="22"/>
              </w:rPr>
              <w:t>1,8</w:t>
            </w:r>
          </w:p>
          <w:p w:rsidR="00000000" w:rsidRDefault="00000000">
            <w:pPr>
              <w:jc w:val="center"/>
              <w:rPr>
                <w:sz w:val="22"/>
              </w:rPr>
            </w:pPr>
            <w:r>
              <w:rPr>
                <w:sz w:val="22"/>
              </w:rPr>
              <w:t>2,0</w:t>
            </w:r>
          </w:p>
        </w:tc>
        <w:tc>
          <w:tcPr>
            <w:tcW w:w="1709" w:type="dxa"/>
          </w:tcPr>
          <w:p w:rsidR="00000000" w:rsidRDefault="00000000">
            <w:pPr>
              <w:jc w:val="center"/>
              <w:rPr>
                <w:sz w:val="22"/>
              </w:rPr>
            </w:pPr>
          </w:p>
          <w:p w:rsidR="00000000" w:rsidRDefault="00000000">
            <w:pPr>
              <w:jc w:val="center"/>
              <w:rPr>
                <w:sz w:val="22"/>
              </w:rPr>
            </w:pPr>
            <w:r>
              <w:rPr>
                <w:sz w:val="22"/>
              </w:rPr>
              <w:t>1,1</w:t>
            </w:r>
          </w:p>
        </w:tc>
      </w:tr>
      <w:tr w:rsidR="00000000">
        <w:tblPrEx>
          <w:tblCellMar>
            <w:top w:w="0" w:type="dxa"/>
            <w:bottom w:w="0" w:type="dxa"/>
          </w:tblCellMar>
        </w:tblPrEx>
        <w:tc>
          <w:tcPr>
            <w:tcW w:w="1278" w:type="dxa"/>
          </w:tcPr>
          <w:p w:rsidR="00000000" w:rsidRDefault="00000000">
            <w:pPr>
              <w:jc w:val="center"/>
              <w:rPr>
                <w:sz w:val="22"/>
              </w:rPr>
            </w:pPr>
          </w:p>
          <w:p w:rsidR="00000000" w:rsidRDefault="00000000">
            <w:pPr>
              <w:jc w:val="center"/>
              <w:rPr>
                <w:sz w:val="22"/>
              </w:rPr>
            </w:pPr>
            <w:r>
              <w:rPr>
                <w:sz w:val="22"/>
              </w:rPr>
              <w:t>1994</w:t>
            </w:r>
          </w:p>
        </w:tc>
        <w:tc>
          <w:tcPr>
            <w:tcW w:w="1708" w:type="dxa"/>
          </w:tcPr>
          <w:p w:rsidR="00000000" w:rsidRDefault="00000000">
            <w:pPr>
              <w:jc w:val="center"/>
              <w:rPr>
                <w:sz w:val="22"/>
              </w:rPr>
            </w:pPr>
            <w:r>
              <w:rPr>
                <w:sz w:val="22"/>
              </w:rPr>
              <w:t>T</w:t>
            </w:r>
          </w:p>
          <w:p w:rsidR="00000000" w:rsidRDefault="00000000">
            <w:pPr>
              <w:jc w:val="center"/>
              <w:rPr>
                <w:sz w:val="22"/>
              </w:rPr>
            </w:pPr>
            <w:r>
              <w:rPr>
                <w:sz w:val="22"/>
              </w:rPr>
              <w:t>G</w:t>
            </w:r>
          </w:p>
          <w:p w:rsidR="00000000" w:rsidRDefault="00000000">
            <w:pPr>
              <w:jc w:val="center"/>
              <w:rPr>
                <w:sz w:val="22"/>
              </w:rPr>
            </w:pPr>
            <w:r>
              <w:rPr>
                <w:sz w:val="22"/>
              </w:rPr>
              <w:t>F</w:t>
            </w:r>
          </w:p>
        </w:tc>
        <w:tc>
          <w:tcPr>
            <w:tcW w:w="1708" w:type="dxa"/>
          </w:tcPr>
          <w:p w:rsidR="00000000" w:rsidRDefault="00000000">
            <w:pPr>
              <w:ind w:right="502"/>
              <w:jc w:val="right"/>
              <w:rPr>
                <w:sz w:val="22"/>
              </w:rPr>
            </w:pPr>
            <w:r>
              <w:rPr>
                <w:sz w:val="22"/>
              </w:rPr>
              <w:t>3 641</w:t>
            </w:r>
          </w:p>
          <w:p w:rsidR="00000000" w:rsidRDefault="00000000">
            <w:pPr>
              <w:ind w:right="502"/>
              <w:jc w:val="right"/>
              <w:rPr>
                <w:sz w:val="22"/>
              </w:rPr>
            </w:pPr>
            <w:r>
              <w:rPr>
                <w:sz w:val="22"/>
              </w:rPr>
              <w:t>1 784</w:t>
            </w:r>
          </w:p>
          <w:p w:rsidR="00000000" w:rsidRDefault="00000000">
            <w:pPr>
              <w:ind w:right="502"/>
              <w:jc w:val="right"/>
              <w:rPr>
                <w:sz w:val="22"/>
              </w:rPr>
            </w:pPr>
            <w:r>
              <w:rPr>
                <w:sz w:val="22"/>
              </w:rPr>
              <w:t>1 857</w:t>
            </w:r>
          </w:p>
        </w:tc>
        <w:tc>
          <w:tcPr>
            <w:tcW w:w="1708" w:type="dxa"/>
          </w:tcPr>
          <w:p w:rsidR="00000000" w:rsidRDefault="00000000">
            <w:pPr>
              <w:ind w:right="374"/>
              <w:jc w:val="right"/>
              <w:rPr>
                <w:sz w:val="22"/>
              </w:rPr>
            </w:pPr>
            <w:r>
              <w:rPr>
                <w:sz w:val="22"/>
              </w:rPr>
              <w:t>262 297</w:t>
            </w:r>
          </w:p>
          <w:p w:rsidR="00000000" w:rsidRDefault="00000000">
            <w:pPr>
              <w:ind w:right="374"/>
              <w:jc w:val="right"/>
              <w:rPr>
                <w:sz w:val="22"/>
              </w:rPr>
            </w:pPr>
            <w:r>
              <w:rPr>
                <w:sz w:val="22"/>
              </w:rPr>
              <w:t>133 553</w:t>
            </w:r>
          </w:p>
          <w:p w:rsidR="00000000" w:rsidRDefault="00000000">
            <w:pPr>
              <w:ind w:right="374"/>
              <w:jc w:val="right"/>
              <w:rPr>
                <w:sz w:val="22"/>
              </w:rPr>
            </w:pPr>
            <w:r>
              <w:rPr>
                <w:sz w:val="22"/>
              </w:rPr>
              <w:t>128 744</w:t>
            </w:r>
          </w:p>
        </w:tc>
        <w:tc>
          <w:tcPr>
            <w:tcW w:w="1708" w:type="dxa"/>
          </w:tcPr>
          <w:p w:rsidR="00000000" w:rsidRDefault="00000000">
            <w:pPr>
              <w:jc w:val="center"/>
              <w:rPr>
                <w:sz w:val="22"/>
              </w:rPr>
            </w:pPr>
            <w:r>
              <w:rPr>
                <w:sz w:val="22"/>
              </w:rPr>
              <w:t>1,4</w:t>
            </w:r>
          </w:p>
          <w:p w:rsidR="00000000" w:rsidRDefault="00000000">
            <w:pPr>
              <w:jc w:val="center"/>
              <w:rPr>
                <w:sz w:val="22"/>
              </w:rPr>
            </w:pPr>
            <w:r>
              <w:rPr>
                <w:sz w:val="22"/>
              </w:rPr>
              <w:t>1,3</w:t>
            </w:r>
          </w:p>
          <w:p w:rsidR="00000000" w:rsidRDefault="00000000">
            <w:pPr>
              <w:jc w:val="center"/>
              <w:rPr>
                <w:sz w:val="22"/>
              </w:rPr>
            </w:pPr>
            <w:r>
              <w:rPr>
                <w:sz w:val="22"/>
              </w:rPr>
              <w:t>1,4</w:t>
            </w:r>
          </w:p>
        </w:tc>
        <w:tc>
          <w:tcPr>
            <w:tcW w:w="1709" w:type="dxa"/>
          </w:tcPr>
          <w:p w:rsidR="00000000" w:rsidRDefault="00000000">
            <w:pPr>
              <w:jc w:val="center"/>
              <w:rPr>
                <w:sz w:val="22"/>
              </w:rPr>
            </w:pPr>
          </w:p>
          <w:p w:rsidR="00000000" w:rsidRDefault="00000000">
            <w:pPr>
              <w:jc w:val="center"/>
              <w:rPr>
                <w:sz w:val="22"/>
              </w:rPr>
            </w:pPr>
            <w:r>
              <w:rPr>
                <w:sz w:val="22"/>
              </w:rPr>
              <w:t>1,1</w:t>
            </w:r>
          </w:p>
        </w:tc>
      </w:tr>
      <w:tr w:rsidR="00000000">
        <w:tblPrEx>
          <w:tblCellMar>
            <w:top w:w="0" w:type="dxa"/>
            <w:bottom w:w="0" w:type="dxa"/>
          </w:tblCellMar>
        </w:tblPrEx>
        <w:tc>
          <w:tcPr>
            <w:tcW w:w="1278" w:type="dxa"/>
          </w:tcPr>
          <w:p w:rsidR="00000000" w:rsidRDefault="00000000">
            <w:pPr>
              <w:jc w:val="center"/>
              <w:rPr>
                <w:sz w:val="22"/>
              </w:rPr>
            </w:pPr>
          </w:p>
          <w:p w:rsidR="00000000" w:rsidRDefault="00000000">
            <w:pPr>
              <w:jc w:val="center"/>
              <w:rPr>
                <w:sz w:val="22"/>
              </w:rPr>
            </w:pPr>
            <w:r>
              <w:rPr>
                <w:sz w:val="22"/>
              </w:rPr>
              <w:t>1995</w:t>
            </w:r>
          </w:p>
        </w:tc>
        <w:tc>
          <w:tcPr>
            <w:tcW w:w="1708" w:type="dxa"/>
          </w:tcPr>
          <w:p w:rsidR="00000000" w:rsidRDefault="00000000">
            <w:pPr>
              <w:jc w:val="center"/>
              <w:rPr>
                <w:sz w:val="22"/>
              </w:rPr>
            </w:pPr>
            <w:r>
              <w:rPr>
                <w:sz w:val="22"/>
              </w:rPr>
              <w:t>T</w:t>
            </w:r>
          </w:p>
          <w:p w:rsidR="00000000" w:rsidRDefault="00000000">
            <w:pPr>
              <w:jc w:val="center"/>
              <w:rPr>
                <w:sz w:val="22"/>
              </w:rPr>
            </w:pPr>
            <w:r>
              <w:rPr>
                <w:sz w:val="22"/>
              </w:rPr>
              <w:t>G</w:t>
            </w:r>
          </w:p>
          <w:p w:rsidR="00000000" w:rsidRDefault="00000000">
            <w:pPr>
              <w:jc w:val="center"/>
              <w:rPr>
                <w:sz w:val="22"/>
              </w:rPr>
            </w:pPr>
            <w:r>
              <w:rPr>
                <w:sz w:val="22"/>
              </w:rPr>
              <w:t>F</w:t>
            </w:r>
          </w:p>
        </w:tc>
        <w:tc>
          <w:tcPr>
            <w:tcW w:w="1708" w:type="dxa"/>
          </w:tcPr>
          <w:p w:rsidR="00000000" w:rsidRDefault="00000000">
            <w:pPr>
              <w:ind w:right="502"/>
              <w:jc w:val="right"/>
              <w:rPr>
                <w:sz w:val="22"/>
              </w:rPr>
            </w:pPr>
            <w:r>
              <w:rPr>
                <w:sz w:val="22"/>
              </w:rPr>
              <w:t>2 686</w:t>
            </w:r>
          </w:p>
          <w:p w:rsidR="00000000" w:rsidRDefault="00000000">
            <w:pPr>
              <w:ind w:right="502"/>
              <w:jc w:val="right"/>
              <w:rPr>
                <w:sz w:val="22"/>
              </w:rPr>
            </w:pPr>
            <w:r>
              <w:rPr>
                <w:sz w:val="22"/>
              </w:rPr>
              <w:t>1 316</w:t>
            </w:r>
          </w:p>
          <w:p w:rsidR="00000000" w:rsidRDefault="00000000">
            <w:pPr>
              <w:ind w:right="502"/>
              <w:jc w:val="right"/>
              <w:rPr>
                <w:sz w:val="22"/>
              </w:rPr>
            </w:pPr>
            <w:r>
              <w:rPr>
                <w:sz w:val="22"/>
              </w:rPr>
              <w:t>1 370</w:t>
            </w:r>
          </w:p>
        </w:tc>
        <w:tc>
          <w:tcPr>
            <w:tcW w:w="1708" w:type="dxa"/>
          </w:tcPr>
          <w:p w:rsidR="00000000" w:rsidRDefault="00000000">
            <w:pPr>
              <w:ind w:right="374"/>
              <w:jc w:val="right"/>
              <w:rPr>
                <w:sz w:val="22"/>
              </w:rPr>
            </w:pPr>
            <w:r>
              <w:rPr>
                <w:sz w:val="22"/>
              </w:rPr>
              <w:t>282 915</w:t>
            </w:r>
          </w:p>
          <w:p w:rsidR="00000000" w:rsidRDefault="00000000">
            <w:pPr>
              <w:ind w:right="374"/>
              <w:jc w:val="right"/>
              <w:rPr>
                <w:sz w:val="22"/>
              </w:rPr>
            </w:pPr>
            <w:r>
              <w:rPr>
                <w:sz w:val="22"/>
              </w:rPr>
              <w:t>143 954</w:t>
            </w:r>
          </w:p>
          <w:p w:rsidR="00000000" w:rsidRDefault="00000000">
            <w:pPr>
              <w:ind w:right="374"/>
              <w:jc w:val="right"/>
              <w:rPr>
                <w:sz w:val="22"/>
              </w:rPr>
            </w:pPr>
            <w:r>
              <w:rPr>
                <w:sz w:val="22"/>
              </w:rPr>
              <w:t>138 961</w:t>
            </w:r>
          </w:p>
        </w:tc>
        <w:tc>
          <w:tcPr>
            <w:tcW w:w="1708" w:type="dxa"/>
          </w:tcPr>
          <w:p w:rsidR="00000000" w:rsidRDefault="00000000">
            <w:pPr>
              <w:jc w:val="center"/>
              <w:rPr>
                <w:sz w:val="22"/>
              </w:rPr>
            </w:pPr>
            <w:r>
              <w:rPr>
                <w:sz w:val="22"/>
              </w:rPr>
              <w:t>0,9</w:t>
            </w:r>
          </w:p>
          <w:p w:rsidR="00000000" w:rsidRDefault="00000000">
            <w:pPr>
              <w:jc w:val="center"/>
              <w:rPr>
                <w:sz w:val="22"/>
              </w:rPr>
            </w:pPr>
            <w:r>
              <w:rPr>
                <w:sz w:val="22"/>
              </w:rPr>
              <w:t>1,0</w:t>
            </w:r>
          </w:p>
          <w:p w:rsidR="00000000" w:rsidRDefault="00000000">
            <w:pPr>
              <w:jc w:val="center"/>
              <w:rPr>
                <w:sz w:val="22"/>
              </w:rPr>
            </w:pPr>
            <w:r>
              <w:rPr>
                <w:sz w:val="22"/>
              </w:rPr>
              <w:t>0,8</w:t>
            </w:r>
          </w:p>
        </w:tc>
        <w:tc>
          <w:tcPr>
            <w:tcW w:w="1709" w:type="dxa"/>
          </w:tcPr>
          <w:p w:rsidR="00000000" w:rsidRDefault="00000000">
            <w:pPr>
              <w:jc w:val="center"/>
              <w:rPr>
                <w:sz w:val="22"/>
              </w:rPr>
            </w:pPr>
          </w:p>
          <w:p w:rsidR="00000000" w:rsidRDefault="00000000">
            <w:pPr>
              <w:jc w:val="center"/>
              <w:rPr>
                <w:sz w:val="22"/>
              </w:rPr>
            </w:pPr>
            <w:r>
              <w:rPr>
                <w:sz w:val="22"/>
              </w:rPr>
              <w:t>1,1</w:t>
            </w:r>
          </w:p>
        </w:tc>
      </w:tr>
      <w:tr w:rsidR="00000000">
        <w:tblPrEx>
          <w:tblCellMar>
            <w:top w:w="0" w:type="dxa"/>
            <w:bottom w:w="0" w:type="dxa"/>
          </w:tblCellMar>
        </w:tblPrEx>
        <w:tc>
          <w:tcPr>
            <w:tcW w:w="1278" w:type="dxa"/>
          </w:tcPr>
          <w:p w:rsidR="00000000" w:rsidRDefault="00000000">
            <w:pPr>
              <w:jc w:val="center"/>
              <w:rPr>
                <w:sz w:val="22"/>
              </w:rPr>
            </w:pPr>
          </w:p>
          <w:p w:rsidR="00000000" w:rsidRDefault="00000000">
            <w:pPr>
              <w:jc w:val="center"/>
              <w:rPr>
                <w:sz w:val="22"/>
              </w:rPr>
            </w:pPr>
            <w:r>
              <w:rPr>
                <w:sz w:val="22"/>
              </w:rPr>
              <w:t>1996</w:t>
            </w:r>
          </w:p>
        </w:tc>
        <w:tc>
          <w:tcPr>
            <w:tcW w:w="1708" w:type="dxa"/>
          </w:tcPr>
          <w:p w:rsidR="00000000" w:rsidRDefault="00000000">
            <w:pPr>
              <w:jc w:val="center"/>
              <w:rPr>
                <w:sz w:val="22"/>
              </w:rPr>
            </w:pPr>
            <w:r>
              <w:rPr>
                <w:sz w:val="22"/>
              </w:rPr>
              <w:t>T</w:t>
            </w:r>
          </w:p>
          <w:p w:rsidR="00000000" w:rsidRDefault="00000000">
            <w:pPr>
              <w:jc w:val="center"/>
              <w:rPr>
                <w:sz w:val="22"/>
              </w:rPr>
            </w:pPr>
            <w:r>
              <w:rPr>
                <w:sz w:val="22"/>
              </w:rPr>
              <w:t>G</w:t>
            </w:r>
          </w:p>
          <w:p w:rsidR="00000000" w:rsidRDefault="00000000">
            <w:pPr>
              <w:jc w:val="center"/>
              <w:rPr>
                <w:sz w:val="22"/>
              </w:rPr>
            </w:pPr>
            <w:r>
              <w:rPr>
                <w:sz w:val="22"/>
              </w:rPr>
              <w:t>F</w:t>
            </w:r>
          </w:p>
        </w:tc>
        <w:tc>
          <w:tcPr>
            <w:tcW w:w="1708" w:type="dxa"/>
          </w:tcPr>
          <w:p w:rsidR="00000000" w:rsidRDefault="00000000">
            <w:pPr>
              <w:ind w:right="502"/>
              <w:jc w:val="right"/>
              <w:rPr>
                <w:sz w:val="22"/>
              </w:rPr>
            </w:pPr>
            <w:r>
              <w:rPr>
                <w:sz w:val="22"/>
              </w:rPr>
              <w:t>2 229</w:t>
            </w:r>
          </w:p>
          <w:p w:rsidR="00000000" w:rsidRDefault="00000000">
            <w:pPr>
              <w:ind w:right="502"/>
              <w:jc w:val="right"/>
              <w:rPr>
                <w:sz w:val="22"/>
              </w:rPr>
            </w:pPr>
            <w:r>
              <w:rPr>
                <w:sz w:val="22"/>
              </w:rPr>
              <w:t>1 082</w:t>
            </w:r>
          </w:p>
          <w:p w:rsidR="00000000" w:rsidRDefault="00000000">
            <w:pPr>
              <w:ind w:right="502"/>
              <w:jc w:val="right"/>
              <w:rPr>
                <w:sz w:val="22"/>
              </w:rPr>
            </w:pPr>
            <w:r>
              <w:rPr>
                <w:sz w:val="22"/>
              </w:rPr>
              <w:t>1 137</w:t>
            </w:r>
          </w:p>
        </w:tc>
        <w:tc>
          <w:tcPr>
            <w:tcW w:w="1708" w:type="dxa"/>
          </w:tcPr>
          <w:p w:rsidR="00000000" w:rsidRDefault="00000000">
            <w:pPr>
              <w:ind w:right="374"/>
              <w:jc w:val="right"/>
              <w:rPr>
                <w:sz w:val="22"/>
              </w:rPr>
            </w:pPr>
            <w:r>
              <w:rPr>
                <w:sz w:val="22"/>
              </w:rPr>
              <w:t>294 280</w:t>
            </w:r>
          </w:p>
          <w:p w:rsidR="00000000" w:rsidRDefault="00000000">
            <w:pPr>
              <w:ind w:right="374"/>
              <w:jc w:val="right"/>
              <w:rPr>
                <w:sz w:val="22"/>
              </w:rPr>
            </w:pPr>
            <w:r>
              <w:rPr>
                <w:sz w:val="22"/>
              </w:rPr>
              <w:t>148 319</w:t>
            </w:r>
          </w:p>
          <w:p w:rsidR="00000000" w:rsidRDefault="00000000">
            <w:pPr>
              <w:ind w:right="374"/>
              <w:jc w:val="right"/>
              <w:rPr>
                <w:sz w:val="22"/>
              </w:rPr>
            </w:pPr>
            <w:r>
              <w:rPr>
                <w:sz w:val="22"/>
              </w:rPr>
              <w:t>145 961</w:t>
            </w:r>
          </w:p>
        </w:tc>
        <w:tc>
          <w:tcPr>
            <w:tcW w:w="1708" w:type="dxa"/>
          </w:tcPr>
          <w:p w:rsidR="00000000" w:rsidRDefault="00000000">
            <w:pPr>
              <w:jc w:val="center"/>
              <w:rPr>
                <w:sz w:val="22"/>
              </w:rPr>
            </w:pPr>
            <w:r>
              <w:rPr>
                <w:sz w:val="22"/>
              </w:rPr>
              <w:t>0,7</w:t>
            </w:r>
          </w:p>
          <w:p w:rsidR="00000000" w:rsidRDefault="00000000">
            <w:pPr>
              <w:jc w:val="center"/>
              <w:rPr>
                <w:sz w:val="22"/>
              </w:rPr>
            </w:pPr>
            <w:r>
              <w:rPr>
                <w:sz w:val="22"/>
              </w:rPr>
              <w:t>0,8</w:t>
            </w:r>
          </w:p>
          <w:p w:rsidR="00000000" w:rsidRDefault="00000000">
            <w:pPr>
              <w:jc w:val="center"/>
              <w:rPr>
                <w:sz w:val="22"/>
              </w:rPr>
            </w:pPr>
            <w:r>
              <w:rPr>
                <w:sz w:val="22"/>
              </w:rPr>
              <w:t>1,2</w:t>
            </w:r>
          </w:p>
        </w:tc>
        <w:tc>
          <w:tcPr>
            <w:tcW w:w="1709" w:type="dxa"/>
          </w:tcPr>
          <w:p w:rsidR="00000000" w:rsidRDefault="00000000">
            <w:pPr>
              <w:jc w:val="center"/>
              <w:rPr>
                <w:sz w:val="22"/>
              </w:rPr>
            </w:pPr>
          </w:p>
          <w:p w:rsidR="00000000" w:rsidRDefault="00000000">
            <w:pPr>
              <w:jc w:val="center"/>
              <w:rPr>
                <w:sz w:val="22"/>
              </w:rPr>
            </w:pPr>
            <w:r>
              <w:rPr>
                <w:sz w:val="22"/>
              </w:rPr>
              <w:t>1,1</w:t>
            </w:r>
          </w:p>
        </w:tc>
      </w:tr>
      <w:tr w:rsidR="00000000">
        <w:tblPrEx>
          <w:tblCellMar>
            <w:top w:w="0" w:type="dxa"/>
            <w:bottom w:w="0" w:type="dxa"/>
          </w:tblCellMar>
        </w:tblPrEx>
        <w:tc>
          <w:tcPr>
            <w:tcW w:w="1278" w:type="dxa"/>
          </w:tcPr>
          <w:p w:rsidR="00000000" w:rsidRDefault="00000000">
            <w:pPr>
              <w:jc w:val="center"/>
              <w:rPr>
                <w:sz w:val="22"/>
              </w:rPr>
            </w:pPr>
          </w:p>
          <w:p w:rsidR="00000000" w:rsidRDefault="00000000">
            <w:pPr>
              <w:jc w:val="center"/>
              <w:rPr>
                <w:sz w:val="22"/>
              </w:rPr>
            </w:pPr>
            <w:r>
              <w:rPr>
                <w:sz w:val="22"/>
              </w:rPr>
              <w:t>1997</w:t>
            </w:r>
          </w:p>
        </w:tc>
        <w:tc>
          <w:tcPr>
            <w:tcW w:w="1708" w:type="dxa"/>
          </w:tcPr>
          <w:p w:rsidR="00000000" w:rsidRDefault="00000000">
            <w:pPr>
              <w:jc w:val="center"/>
              <w:rPr>
                <w:sz w:val="22"/>
              </w:rPr>
            </w:pPr>
            <w:r>
              <w:rPr>
                <w:sz w:val="22"/>
              </w:rPr>
              <w:t>T</w:t>
            </w:r>
          </w:p>
          <w:p w:rsidR="00000000" w:rsidRDefault="00000000">
            <w:pPr>
              <w:jc w:val="center"/>
              <w:rPr>
                <w:sz w:val="22"/>
              </w:rPr>
            </w:pPr>
            <w:r>
              <w:rPr>
                <w:sz w:val="22"/>
              </w:rPr>
              <w:t>G</w:t>
            </w:r>
          </w:p>
          <w:p w:rsidR="00000000" w:rsidRDefault="00000000">
            <w:pPr>
              <w:jc w:val="center"/>
              <w:rPr>
                <w:sz w:val="22"/>
              </w:rPr>
            </w:pPr>
            <w:r>
              <w:rPr>
                <w:sz w:val="22"/>
              </w:rPr>
              <w:t>F</w:t>
            </w:r>
          </w:p>
        </w:tc>
        <w:tc>
          <w:tcPr>
            <w:tcW w:w="1708" w:type="dxa"/>
          </w:tcPr>
          <w:p w:rsidR="00000000" w:rsidRDefault="00000000">
            <w:pPr>
              <w:ind w:right="502"/>
              <w:jc w:val="right"/>
              <w:rPr>
                <w:sz w:val="22"/>
              </w:rPr>
            </w:pPr>
            <w:r>
              <w:rPr>
                <w:sz w:val="22"/>
              </w:rPr>
              <w:t>3 704</w:t>
            </w:r>
          </w:p>
          <w:p w:rsidR="00000000" w:rsidRDefault="00000000">
            <w:pPr>
              <w:ind w:right="502"/>
              <w:jc w:val="right"/>
              <w:rPr>
                <w:sz w:val="22"/>
              </w:rPr>
            </w:pPr>
            <w:r>
              <w:rPr>
                <w:sz w:val="22"/>
              </w:rPr>
              <w:t>1 796</w:t>
            </w:r>
          </w:p>
          <w:p w:rsidR="00000000" w:rsidRDefault="00000000">
            <w:pPr>
              <w:ind w:right="502"/>
              <w:jc w:val="right"/>
              <w:rPr>
                <w:sz w:val="22"/>
              </w:rPr>
            </w:pPr>
            <w:r>
              <w:rPr>
                <w:sz w:val="22"/>
              </w:rPr>
              <w:t>1 908</w:t>
            </w:r>
          </w:p>
        </w:tc>
        <w:tc>
          <w:tcPr>
            <w:tcW w:w="1708" w:type="dxa"/>
          </w:tcPr>
          <w:p w:rsidR="00000000" w:rsidRDefault="00000000">
            <w:pPr>
              <w:ind w:right="374"/>
              <w:jc w:val="right"/>
              <w:rPr>
                <w:sz w:val="22"/>
              </w:rPr>
            </w:pPr>
            <w:r>
              <w:rPr>
                <w:sz w:val="22"/>
              </w:rPr>
              <w:t>304 281</w:t>
            </w:r>
          </w:p>
          <w:p w:rsidR="00000000" w:rsidRDefault="00000000">
            <w:pPr>
              <w:ind w:right="374"/>
              <w:jc w:val="right"/>
              <w:rPr>
                <w:sz w:val="22"/>
              </w:rPr>
            </w:pPr>
            <w:r>
              <w:rPr>
                <w:sz w:val="22"/>
              </w:rPr>
              <w:t>151 083</w:t>
            </w:r>
          </w:p>
          <w:p w:rsidR="00000000" w:rsidRDefault="00000000">
            <w:pPr>
              <w:ind w:right="374"/>
              <w:jc w:val="right"/>
              <w:rPr>
                <w:sz w:val="22"/>
              </w:rPr>
            </w:pPr>
            <w:r>
              <w:rPr>
                <w:sz w:val="22"/>
              </w:rPr>
              <w:t>153 188</w:t>
            </w:r>
          </w:p>
        </w:tc>
        <w:tc>
          <w:tcPr>
            <w:tcW w:w="1708" w:type="dxa"/>
          </w:tcPr>
          <w:p w:rsidR="00000000" w:rsidRDefault="00000000">
            <w:pPr>
              <w:jc w:val="center"/>
              <w:rPr>
                <w:sz w:val="22"/>
              </w:rPr>
            </w:pPr>
            <w:r>
              <w:rPr>
                <w:sz w:val="22"/>
              </w:rPr>
              <w:t>1,2</w:t>
            </w:r>
          </w:p>
          <w:p w:rsidR="00000000" w:rsidRDefault="00000000">
            <w:pPr>
              <w:jc w:val="center"/>
              <w:rPr>
                <w:sz w:val="22"/>
              </w:rPr>
            </w:pPr>
            <w:r>
              <w:rPr>
                <w:sz w:val="22"/>
              </w:rPr>
              <w:t>0,4</w:t>
            </w:r>
          </w:p>
          <w:p w:rsidR="00000000" w:rsidRDefault="00000000">
            <w:pPr>
              <w:jc w:val="center"/>
              <w:rPr>
                <w:sz w:val="22"/>
              </w:rPr>
            </w:pPr>
            <w:r>
              <w:rPr>
                <w:sz w:val="22"/>
              </w:rPr>
              <w:t>0,4</w:t>
            </w:r>
          </w:p>
        </w:tc>
        <w:tc>
          <w:tcPr>
            <w:tcW w:w="1709" w:type="dxa"/>
          </w:tcPr>
          <w:p w:rsidR="00000000" w:rsidRDefault="00000000">
            <w:pPr>
              <w:jc w:val="center"/>
              <w:rPr>
                <w:sz w:val="22"/>
              </w:rPr>
            </w:pPr>
          </w:p>
          <w:p w:rsidR="00000000" w:rsidRDefault="00000000">
            <w:pPr>
              <w:jc w:val="center"/>
              <w:rPr>
                <w:sz w:val="22"/>
              </w:rPr>
            </w:pPr>
            <w:r>
              <w:rPr>
                <w:sz w:val="22"/>
              </w:rPr>
              <w:t>1,0</w:t>
            </w:r>
          </w:p>
        </w:tc>
      </w:tr>
      <w:tr w:rsidR="00000000">
        <w:tblPrEx>
          <w:tblCellMar>
            <w:top w:w="0" w:type="dxa"/>
            <w:bottom w:w="0" w:type="dxa"/>
          </w:tblCellMar>
        </w:tblPrEx>
        <w:tc>
          <w:tcPr>
            <w:tcW w:w="1278" w:type="dxa"/>
          </w:tcPr>
          <w:p w:rsidR="00000000" w:rsidRDefault="00000000">
            <w:pPr>
              <w:jc w:val="center"/>
              <w:rPr>
                <w:sz w:val="22"/>
              </w:rPr>
            </w:pPr>
          </w:p>
          <w:p w:rsidR="00000000" w:rsidRDefault="00000000">
            <w:pPr>
              <w:jc w:val="center"/>
              <w:rPr>
                <w:sz w:val="22"/>
              </w:rPr>
            </w:pPr>
            <w:r>
              <w:rPr>
                <w:sz w:val="22"/>
              </w:rPr>
              <w:t>1998</w:t>
            </w:r>
          </w:p>
        </w:tc>
        <w:tc>
          <w:tcPr>
            <w:tcW w:w="1708" w:type="dxa"/>
          </w:tcPr>
          <w:p w:rsidR="00000000" w:rsidRDefault="00000000">
            <w:pPr>
              <w:jc w:val="center"/>
              <w:rPr>
                <w:sz w:val="22"/>
              </w:rPr>
            </w:pPr>
            <w:r>
              <w:rPr>
                <w:sz w:val="22"/>
              </w:rPr>
              <w:t>T</w:t>
            </w:r>
          </w:p>
          <w:p w:rsidR="00000000" w:rsidRDefault="00000000">
            <w:pPr>
              <w:jc w:val="center"/>
              <w:rPr>
                <w:sz w:val="22"/>
              </w:rPr>
            </w:pPr>
            <w:r>
              <w:rPr>
                <w:sz w:val="22"/>
              </w:rPr>
              <w:t>G</w:t>
            </w:r>
          </w:p>
          <w:p w:rsidR="00000000" w:rsidRDefault="00000000">
            <w:pPr>
              <w:jc w:val="center"/>
              <w:rPr>
                <w:sz w:val="22"/>
              </w:rPr>
            </w:pPr>
            <w:r>
              <w:rPr>
                <w:sz w:val="22"/>
              </w:rPr>
              <w:t>F</w:t>
            </w:r>
          </w:p>
        </w:tc>
        <w:tc>
          <w:tcPr>
            <w:tcW w:w="1708" w:type="dxa"/>
          </w:tcPr>
          <w:p w:rsidR="00000000" w:rsidRDefault="00000000">
            <w:pPr>
              <w:ind w:right="502"/>
              <w:jc w:val="right"/>
              <w:rPr>
                <w:sz w:val="22"/>
              </w:rPr>
            </w:pPr>
            <w:r>
              <w:rPr>
                <w:sz w:val="22"/>
              </w:rPr>
              <w:t>1 266</w:t>
            </w:r>
          </w:p>
          <w:p w:rsidR="00000000" w:rsidRDefault="00000000">
            <w:pPr>
              <w:ind w:right="502"/>
              <w:jc w:val="right"/>
              <w:rPr>
                <w:sz w:val="22"/>
              </w:rPr>
            </w:pPr>
            <w:r>
              <w:rPr>
                <w:sz w:val="22"/>
              </w:rPr>
              <w:t>612</w:t>
            </w:r>
          </w:p>
          <w:p w:rsidR="00000000" w:rsidRDefault="00000000">
            <w:pPr>
              <w:ind w:right="502"/>
              <w:jc w:val="right"/>
              <w:rPr>
                <w:sz w:val="22"/>
              </w:rPr>
            </w:pPr>
            <w:r>
              <w:rPr>
                <w:sz w:val="22"/>
              </w:rPr>
              <w:t>654</w:t>
            </w:r>
          </w:p>
        </w:tc>
        <w:tc>
          <w:tcPr>
            <w:tcW w:w="1708" w:type="dxa"/>
          </w:tcPr>
          <w:p w:rsidR="00000000" w:rsidRDefault="00000000">
            <w:pPr>
              <w:ind w:right="374"/>
              <w:jc w:val="right"/>
              <w:rPr>
                <w:sz w:val="22"/>
              </w:rPr>
            </w:pPr>
            <w:r>
              <w:rPr>
                <w:sz w:val="22"/>
              </w:rPr>
              <w:t>321 790</w:t>
            </w:r>
          </w:p>
          <w:p w:rsidR="00000000" w:rsidRDefault="00000000">
            <w:pPr>
              <w:ind w:right="374"/>
              <w:jc w:val="right"/>
              <w:rPr>
                <w:sz w:val="22"/>
              </w:rPr>
            </w:pPr>
            <w:r>
              <w:rPr>
                <w:sz w:val="22"/>
              </w:rPr>
              <w:t>152 118</w:t>
            </w:r>
          </w:p>
          <w:p w:rsidR="00000000" w:rsidRDefault="00000000">
            <w:pPr>
              <w:ind w:right="374"/>
              <w:jc w:val="right"/>
              <w:rPr>
                <w:sz w:val="22"/>
              </w:rPr>
            </w:pPr>
            <w:r>
              <w:rPr>
                <w:sz w:val="22"/>
              </w:rPr>
              <w:t>160 672</w:t>
            </w:r>
          </w:p>
        </w:tc>
        <w:tc>
          <w:tcPr>
            <w:tcW w:w="1708" w:type="dxa"/>
          </w:tcPr>
          <w:p w:rsidR="00000000" w:rsidRDefault="00000000">
            <w:pPr>
              <w:jc w:val="center"/>
              <w:rPr>
                <w:sz w:val="22"/>
              </w:rPr>
            </w:pPr>
            <w:r>
              <w:rPr>
                <w:sz w:val="22"/>
              </w:rPr>
              <w:t>0,4</w:t>
            </w:r>
          </w:p>
          <w:p w:rsidR="00000000" w:rsidRDefault="00000000">
            <w:pPr>
              <w:jc w:val="center"/>
              <w:rPr>
                <w:sz w:val="22"/>
              </w:rPr>
            </w:pPr>
            <w:r>
              <w:rPr>
                <w:sz w:val="22"/>
              </w:rPr>
              <w:t>0,4</w:t>
            </w:r>
          </w:p>
          <w:p w:rsidR="00000000" w:rsidRDefault="00000000">
            <w:pPr>
              <w:jc w:val="center"/>
              <w:rPr>
                <w:sz w:val="22"/>
              </w:rPr>
            </w:pPr>
            <w:r>
              <w:rPr>
                <w:sz w:val="22"/>
              </w:rPr>
              <w:t>0,4</w:t>
            </w:r>
          </w:p>
        </w:tc>
        <w:tc>
          <w:tcPr>
            <w:tcW w:w="1709" w:type="dxa"/>
          </w:tcPr>
          <w:p w:rsidR="00000000" w:rsidRDefault="00000000">
            <w:pPr>
              <w:jc w:val="center"/>
              <w:rPr>
                <w:sz w:val="22"/>
              </w:rPr>
            </w:pPr>
          </w:p>
          <w:p w:rsidR="00000000" w:rsidRDefault="00000000">
            <w:pPr>
              <w:jc w:val="center"/>
              <w:rPr>
                <w:sz w:val="22"/>
              </w:rPr>
            </w:pPr>
            <w:r>
              <w:rPr>
                <w:sz w:val="22"/>
              </w:rPr>
              <w:t>1,0</w:t>
            </w:r>
          </w:p>
        </w:tc>
      </w:tr>
    </w:tbl>
    <w:p w:rsidR="00000000" w:rsidRDefault="00000000">
      <w:pPr>
        <w:spacing w:line="120" w:lineRule="exact"/>
        <w:jc w:val="both"/>
        <w:rPr>
          <w:sz w:val="10"/>
        </w:rPr>
      </w:pPr>
    </w:p>
    <w:p w:rsidR="00000000" w:rsidRDefault="00000000">
      <w:pPr>
        <w:ind w:left="851" w:hanging="851"/>
        <w:jc w:val="both"/>
        <w:rPr>
          <w:i/>
          <w:sz w:val="22"/>
        </w:rPr>
      </w:pPr>
      <w:r>
        <w:rPr>
          <w:i/>
          <w:sz w:val="22"/>
          <w:u w:val="single"/>
        </w:rPr>
        <w:t>Source</w:t>
      </w:r>
      <w:r>
        <w:rPr>
          <w:i/>
          <w:sz w:val="22"/>
        </w:rPr>
        <w:t xml:space="preserve"> : Direction des études et de la planification, Ministère de l’enseignement primaire et secondaire, 1998.</w:t>
      </w:r>
    </w:p>
    <w:p w:rsidR="00000000" w:rsidRDefault="00000000">
      <w:pPr>
        <w:rPr>
          <w:sz w:val="22"/>
        </w:rPr>
      </w:pPr>
    </w:p>
    <w:p w:rsidR="00000000" w:rsidRDefault="00000000">
      <w:pPr>
        <w:jc w:val="both"/>
        <w:rPr>
          <w:sz w:val="22"/>
        </w:rPr>
      </w:pPr>
      <w:r>
        <w:rPr>
          <w:sz w:val="22"/>
        </w:rPr>
        <w:t>Les enseignements dans le préscolaire sont basés sur les jeux et les dessins qui permettent aux enfants d’aborder le cycle primaire avec certaines connaissances de base. Le personnel enseignant ne bénéficie pas de certains avantages à cause des mesures arrêtées par le Gouvernement sur les avancements et reclassements des agents de la fonction publique. Les crèches, les écoles maternelles sont pour la plupart créées et gérées par le secteur privé et les entreprises para-étatiques.</w:t>
      </w:r>
    </w:p>
    <w:p w:rsidR="00000000" w:rsidRDefault="00000000">
      <w:pPr>
        <w:pStyle w:val="BodyText"/>
        <w:rPr>
          <w:sz w:val="22"/>
        </w:rPr>
      </w:pPr>
    </w:p>
    <w:p w:rsidR="00000000" w:rsidRDefault="00000000">
      <w:pPr>
        <w:jc w:val="both"/>
        <w:rPr>
          <w:b/>
          <w:sz w:val="22"/>
        </w:rPr>
      </w:pPr>
      <w:r>
        <w:rPr>
          <w:b/>
          <w:sz w:val="22"/>
        </w:rPr>
        <w:t xml:space="preserve">B - </w:t>
      </w:r>
      <w:r>
        <w:rPr>
          <w:b/>
          <w:sz w:val="22"/>
          <w:u w:val="single"/>
        </w:rPr>
        <w:t>L’enseignement primaire</w:t>
      </w:r>
      <w:r>
        <w:rPr>
          <w:b/>
          <w:sz w:val="22"/>
        </w:rPr>
        <w:t> :</w:t>
      </w:r>
    </w:p>
    <w:p w:rsidR="00000000" w:rsidRDefault="00000000">
      <w:pPr>
        <w:jc w:val="both"/>
        <w:rPr>
          <w:sz w:val="22"/>
        </w:rPr>
      </w:pPr>
    </w:p>
    <w:p w:rsidR="00000000" w:rsidRDefault="00000000">
      <w:pPr>
        <w:jc w:val="both"/>
        <w:rPr>
          <w:sz w:val="22"/>
        </w:rPr>
      </w:pPr>
      <w:r>
        <w:rPr>
          <w:sz w:val="22"/>
        </w:rPr>
        <w:t>L’enseignement primaire est considéré comme le soubassement du processus éducatif. A ce titre, des efforts ont été accomplis dans le cadre de l’expansion et de la généralisation de cet enseignement avec un accent particulier sur la réduction des disparités entre les filles et les garçons.</w:t>
      </w:r>
    </w:p>
    <w:p w:rsidR="00000000" w:rsidRDefault="00000000">
      <w:pPr>
        <w:jc w:val="both"/>
        <w:rPr>
          <w:sz w:val="22"/>
        </w:rPr>
      </w:pPr>
    </w:p>
    <w:p w:rsidR="00000000" w:rsidRDefault="00000000">
      <w:pPr>
        <w:jc w:val="both"/>
        <w:rPr>
          <w:sz w:val="22"/>
        </w:rPr>
      </w:pPr>
      <w:r>
        <w:rPr>
          <w:sz w:val="22"/>
        </w:rPr>
        <w:t>Au niveau de l’école primaire, le taux d’inscription des filles est presque égal à celui des garçons, ce contrairement au cycle supérieur où l’inégalité est remarquable.</w:t>
      </w:r>
    </w:p>
    <w:p w:rsidR="00000000" w:rsidRDefault="00000000">
      <w:pPr>
        <w:jc w:val="both"/>
        <w:rPr>
          <w:b/>
          <w:sz w:val="22"/>
          <w:u w:val="single"/>
        </w:rPr>
      </w:pPr>
    </w:p>
    <w:p w:rsidR="00000000" w:rsidRDefault="00000000">
      <w:pPr>
        <w:jc w:val="both"/>
        <w:rPr>
          <w:b/>
          <w:sz w:val="22"/>
        </w:rPr>
      </w:pPr>
      <w:r>
        <w:rPr>
          <w:b/>
          <w:sz w:val="22"/>
          <w:u w:val="single"/>
        </w:rPr>
        <w:t>Tableau 31</w:t>
      </w:r>
      <w:r>
        <w:rPr>
          <w:b/>
          <w:sz w:val="22"/>
        </w:rPr>
        <w:t> : Evolution des salles de classe et des enseignants au cycle préscolaire et au primaire</w:t>
      </w:r>
    </w:p>
    <w:p w:rsidR="00000000" w:rsidRDefault="00000000">
      <w:pPr>
        <w:jc w:val="both"/>
        <w:rPr>
          <w:sz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1"/>
        <w:gridCol w:w="1208"/>
        <w:gridCol w:w="1209"/>
        <w:gridCol w:w="1208"/>
        <w:gridCol w:w="605"/>
        <w:gridCol w:w="604"/>
        <w:gridCol w:w="1208"/>
        <w:gridCol w:w="1209"/>
        <w:gridCol w:w="1209"/>
      </w:tblGrid>
      <w:tr w:rsidR="00000000">
        <w:tblPrEx>
          <w:tblCellMar>
            <w:top w:w="0" w:type="dxa"/>
            <w:bottom w:w="0" w:type="dxa"/>
          </w:tblCellMar>
        </w:tblPrEx>
        <w:trPr>
          <w:cantSplit/>
        </w:trPr>
        <w:tc>
          <w:tcPr>
            <w:tcW w:w="1341" w:type="dxa"/>
            <w:vMerge w:val="restart"/>
          </w:tcPr>
          <w:p w:rsidR="00000000" w:rsidRDefault="00000000">
            <w:pPr>
              <w:pStyle w:val="Heading4"/>
              <w:rPr>
                <w:sz w:val="22"/>
              </w:rPr>
            </w:pPr>
            <w:r>
              <w:rPr>
                <w:sz w:val="22"/>
              </w:rPr>
              <w:t>Années</w:t>
            </w:r>
          </w:p>
        </w:tc>
        <w:tc>
          <w:tcPr>
            <w:tcW w:w="4230" w:type="dxa"/>
            <w:gridSpan w:val="4"/>
          </w:tcPr>
          <w:p w:rsidR="00000000" w:rsidRDefault="00000000">
            <w:pPr>
              <w:jc w:val="center"/>
              <w:rPr>
                <w:b/>
                <w:sz w:val="22"/>
              </w:rPr>
            </w:pPr>
            <w:r>
              <w:rPr>
                <w:b/>
                <w:sz w:val="22"/>
              </w:rPr>
              <w:t>Préscolaire</w:t>
            </w:r>
          </w:p>
        </w:tc>
        <w:tc>
          <w:tcPr>
            <w:tcW w:w="4230" w:type="dxa"/>
            <w:gridSpan w:val="4"/>
          </w:tcPr>
          <w:p w:rsidR="00000000" w:rsidRDefault="00000000">
            <w:pPr>
              <w:jc w:val="center"/>
              <w:rPr>
                <w:b/>
                <w:sz w:val="22"/>
              </w:rPr>
            </w:pPr>
            <w:r>
              <w:rPr>
                <w:b/>
                <w:sz w:val="22"/>
              </w:rPr>
              <w:t>Primaire</w:t>
            </w:r>
          </w:p>
        </w:tc>
      </w:tr>
      <w:tr w:rsidR="00000000">
        <w:tblPrEx>
          <w:tblCellMar>
            <w:top w:w="0" w:type="dxa"/>
            <w:bottom w:w="0" w:type="dxa"/>
          </w:tblCellMar>
        </w:tblPrEx>
        <w:trPr>
          <w:cantSplit/>
        </w:trPr>
        <w:tc>
          <w:tcPr>
            <w:tcW w:w="1341" w:type="dxa"/>
            <w:vMerge/>
          </w:tcPr>
          <w:p w:rsidR="00000000" w:rsidRDefault="00000000">
            <w:pPr>
              <w:jc w:val="both"/>
              <w:rPr>
                <w:b/>
                <w:sz w:val="22"/>
              </w:rPr>
            </w:pPr>
          </w:p>
        </w:tc>
        <w:tc>
          <w:tcPr>
            <w:tcW w:w="1208" w:type="dxa"/>
          </w:tcPr>
          <w:p w:rsidR="00000000" w:rsidRDefault="00000000">
            <w:pPr>
              <w:jc w:val="both"/>
              <w:rPr>
                <w:sz w:val="22"/>
              </w:rPr>
            </w:pPr>
            <w:r>
              <w:rPr>
                <w:sz w:val="22"/>
              </w:rPr>
              <w:t>Salles</w:t>
            </w:r>
          </w:p>
        </w:tc>
        <w:tc>
          <w:tcPr>
            <w:tcW w:w="1209" w:type="dxa"/>
          </w:tcPr>
          <w:p w:rsidR="00000000" w:rsidRDefault="00000000">
            <w:pPr>
              <w:jc w:val="both"/>
              <w:rPr>
                <w:sz w:val="22"/>
              </w:rPr>
            </w:pPr>
            <w:r>
              <w:rPr>
                <w:sz w:val="22"/>
              </w:rPr>
              <w:t>Enseignants</w:t>
            </w:r>
          </w:p>
        </w:tc>
        <w:tc>
          <w:tcPr>
            <w:tcW w:w="1208" w:type="dxa"/>
          </w:tcPr>
          <w:p w:rsidR="00000000" w:rsidRDefault="00000000">
            <w:pPr>
              <w:jc w:val="both"/>
              <w:rPr>
                <w:sz w:val="22"/>
              </w:rPr>
            </w:pPr>
            <w:r>
              <w:rPr>
                <w:sz w:val="22"/>
              </w:rPr>
              <w:t>Elèves</w:t>
            </w:r>
          </w:p>
        </w:tc>
        <w:tc>
          <w:tcPr>
            <w:tcW w:w="1209" w:type="dxa"/>
            <w:gridSpan w:val="2"/>
          </w:tcPr>
          <w:p w:rsidR="00000000" w:rsidRDefault="00000000">
            <w:pPr>
              <w:jc w:val="both"/>
              <w:rPr>
                <w:sz w:val="22"/>
              </w:rPr>
            </w:pPr>
            <w:r>
              <w:rPr>
                <w:sz w:val="22"/>
              </w:rPr>
              <w:t>Etablissements</w:t>
            </w:r>
          </w:p>
        </w:tc>
        <w:tc>
          <w:tcPr>
            <w:tcW w:w="1208" w:type="dxa"/>
          </w:tcPr>
          <w:p w:rsidR="00000000" w:rsidRDefault="00000000">
            <w:pPr>
              <w:pStyle w:val="Heading3"/>
              <w:rPr>
                <w:sz w:val="22"/>
              </w:rPr>
            </w:pPr>
            <w:r>
              <w:rPr>
                <w:sz w:val="22"/>
              </w:rPr>
              <w:t>Enseignants</w:t>
            </w:r>
          </w:p>
        </w:tc>
        <w:tc>
          <w:tcPr>
            <w:tcW w:w="1209" w:type="dxa"/>
          </w:tcPr>
          <w:p w:rsidR="00000000" w:rsidRDefault="00000000">
            <w:pPr>
              <w:jc w:val="both"/>
              <w:rPr>
                <w:sz w:val="22"/>
              </w:rPr>
            </w:pPr>
            <w:r>
              <w:rPr>
                <w:sz w:val="22"/>
              </w:rPr>
              <w:t>Salles</w:t>
            </w:r>
          </w:p>
        </w:tc>
        <w:tc>
          <w:tcPr>
            <w:tcW w:w="1209" w:type="dxa"/>
          </w:tcPr>
          <w:p w:rsidR="00000000" w:rsidRDefault="00000000">
            <w:pPr>
              <w:jc w:val="both"/>
              <w:rPr>
                <w:sz w:val="22"/>
              </w:rPr>
            </w:pPr>
            <w:r>
              <w:rPr>
                <w:sz w:val="22"/>
              </w:rPr>
              <w:t>Elèves</w:t>
            </w:r>
          </w:p>
        </w:tc>
      </w:tr>
      <w:tr w:rsidR="00000000">
        <w:tblPrEx>
          <w:tblCellMar>
            <w:top w:w="0" w:type="dxa"/>
            <w:bottom w:w="0" w:type="dxa"/>
          </w:tblCellMar>
        </w:tblPrEx>
        <w:tc>
          <w:tcPr>
            <w:tcW w:w="1341" w:type="dxa"/>
          </w:tcPr>
          <w:p w:rsidR="00000000" w:rsidRDefault="00000000">
            <w:pPr>
              <w:jc w:val="both"/>
              <w:rPr>
                <w:sz w:val="22"/>
              </w:rPr>
            </w:pPr>
            <w:r>
              <w:rPr>
                <w:sz w:val="22"/>
              </w:rPr>
              <w:t>1990</w:t>
            </w:r>
          </w:p>
          <w:p w:rsidR="00000000" w:rsidRDefault="00000000">
            <w:pPr>
              <w:jc w:val="both"/>
              <w:rPr>
                <w:sz w:val="22"/>
              </w:rPr>
            </w:pPr>
            <w:r>
              <w:rPr>
                <w:sz w:val="22"/>
              </w:rPr>
              <w:t>1991</w:t>
            </w:r>
          </w:p>
          <w:p w:rsidR="00000000" w:rsidRDefault="00000000">
            <w:pPr>
              <w:jc w:val="both"/>
              <w:rPr>
                <w:sz w:val="22"/>
              </w:rPr>
            </w:pPr>
            <w:r>
              <w:rPr>
                <w:sz w:val="22"/>
              </w:rPr>
              <w:t>1992</w:t>
            </w:r>
          </w:p>
          <w:p w:rsidR="00000000" w:rsidRDefault="00000000">
            <w:pPr>
              <w:jc w:val="both"/>
              <w:rPr>
                <w:sz w:val="22"/>
              </w:rPr>
            </w:pPr>
            <w:r>
              <w:rPr>
                <w:sz w:val="22"/>
              </w:rPr>
              <w:t>1993</w:t>
            </w:r>
          </w:p>
          <w:p w:rsidR="00000000" w:rsidRDefault="00000000">
            <w:pPr>
              <w:jc w:val="both"/>
              <w:rPr>
                <w:sz w:val="22"/>
              </w:rPr>
            </w:pPr>
            <w:r>
              <w:rPr>
                <w:sz w:val="22"/>
              </w:rPr>
              <w:t>1994</w:t>
            </w:r>
          </w:p>
          <w:p w:rsidR="00000000" w:rsidRDefault="00000000">
            <w:pPr>
              <w:jc w:val="both"/>
              <w:rPr>
                <w:sz w:val="22"/>
              </w:rPr>
            </w:pPr>
            <w:r>
              <w:rPr>
                <w:sz w:val="22"/>
              </w:rPr>
              <w:t>1995</w:t>
            </w:r>
          </w:p>
          <w:p w:rsidR="00000000" w:rsidRDefault="00000000">
            <w:pPr>
              <w:jc w:val="both"/>
              <w:rPr>
                <w:sz w:val="22"/>
              </w:rPr>
            </w:pPr>
            <w:r>
              <w:rPr>
                <w:sz w:val="22"/>
              </w:rPr>
              <w:t>1996</w:t>
            </w:r>
          </w:p>
          <w:p w:rsidR="00000000" w:rsidRDefault="00000000">
            <w:pPr>
              <w:jc w:val="both"/>
              <w:rPr>
                <w:sz w:val="22"/>
              </w:rPr>
            </w:pPr>
            <w:r>
              <w:rPr>
                <w:sz w:val="22"/>
              </w:rPr>
              <w:t>1997</w:t>
            </w:r>
          </w:p>
          <w:p w:rsidR="00000000" w:rsidRDefault="00000000">
            <w:pPr>
              <w:jc w:val="both"/>
              <w:rPr>
                <w:sz w:val="22"/>
              </w:rPr>
            </w:pPr>
            <w:r>
              <w:rPr>
                <w:sz w:val="22"/>
              </w:rPr>
              <w:t>1998</w:t>
            </w:r>
          </w:p>
        </w:tc>
        <w:tc>
          <w:tcPr>
            <w:tcW w:w="1208" w:type="dxa"/>
          </w:tcPr>
          <w:p w:rsidR="00000000" w:rsidRDefault="00000000">
            <w:pPr>
              <w:jc w:val="both"/>
              <w:rPr>
                <w:sz w:val="22"/>
              </w:rPr>
            </w:pPr>
            <w:r>
              <w:rPr>
                <w:sz w:val="22"/>
              </w:rPr>
              <w:t>185</w:t>
            </w:r>
          </w:p>
          <w:p w:rsidR="00000000" w:rsidRDefault="00000000">
            <w:pPr>
              <w:jc w:val="both"/>
              <w:rPr>
                <w:sz w:val="22"/>
              </w:rPr>
            </w:pPr>
            <w:r>
              <w:rPr>
                <w:sz w:val="22"/>
              </w:rPr>
              <w:t>186</w:t>
            </w:r>
          </w:p>
          <w:p w:rsidR="00000000" w:rsidRDefault="00000000">
            <w:pPr>
              <w:jc w:val="both"/>
              <w:rPr>
                <w:sz w:val="22"/>
              </w:rPr>
            </w:pPr>
            <w:r>
              <w:rPr>
                <w:sz w:val="22"/>
              </w:rPr>
              <w:t>217</w:t>
            </w:r>
          </w:p>
          <w:p w:rsidR="00000000" w:rsidRDefault="00000000">
            <w:pPr>
              <w:jc w:val="both"/>
              <w:rPr>
                <w:sz w:val="22"/>
              </w:rPr>
            </w:pPr>
            <w:r>
              <w:rPr>
                <w:sz w:val="22"/>
              </w:rPr>
              <w:t>202</w:t>
            </w:r>
          </w:p>
          <w:p w:rsidR="00000000" w:rsidRDefault="00000000">
            <w:pPr>
              <w:jc w:val="both"/>
              <w:rPr>
                <w:sz w:val="22"/>
              </w:rPr>
            </w:pPr>
            <w:r>
              <w:rPr>
                <w:sz w:val="22"/>
              </w:rPr>
              <w:t>196</w:t>
            </w:r>
          </w:p>
          <w:p w:rsidR="00000000" w:rsidRDefault="00000000">
            <w:pPr>
              <w:jc w:val="both"/>
              <w:rPr>
                <w:sz w:val="22"/>
              </w:rPr>
            </w:pPr>
            <w:r>
              <w:rPr>
                <w:sz w:val="22"/>
              </w:rPr>
              <w:t>170</w:t>
            </w:r>
          </w:p>
          <w:p w:rsidR="00000000" w:rsidRDefault="00000000">
            <w:pPr>
              <w:jc w:val="both"/>
              <w:rPr>
                <w:sz w:val="22"/>
              </w:rPr>
            </w:pPr>
            <w:r>
              <w:rPr>
                <w:sz w:val="22"/>
              </w:rPr>
              <w:t>208</w:t>
            </w:r>
          </w:p>
          <w:p w:rsidR="00000000" w:rsidRDefault="00000000">
            <w:pPr>
              <w:jc w:val="both"/>
              <w:rPr>
                <w:sz w:val="22"/>
              </w:rPr>
            </w:pPr>
            <w:r>
              <w:rPr>
                <w:sz w:val="22"/>
              </w:rPr>
              <w:t>186</w:t>
            </w:r>
          </w:p>
          <w:p w:rsidR="00000000" w:rsidRDefault="00000000">
            <w:pPr>
              <w:jc w:val="both"/>
              <w:rPr>
                <w:sz w:val="22"/>
              </w:rPr>
            </w:pPr>
            <w:r>
              <w:rPr>
                <w:sz w:val="22"/>
              </w:rPr>
              <w:t>153</w:t>
            </w:r>
          </w:p>
        </w:tc>
        <w:tc>
          <w:tcPr>
            <w:tcW w:w="1209" w:type="dxa"/>
          </w:tcPr>
          <w:p w:rsidR="00000000" w:rsidRDefault="00000000">
            <w:pPr>
              <w:jc w:val="both"/>
              <w:rPr>
                <w:sz w:val="22"/>
              </w:rPr>
            </w:pPr>
            <w:r>
              <w:rPr>
                <w:sz w:val="22"/>
              </w:rPr>
              <w:t>589</w:t>
            </w:r>
          </w:p>
          <w:p w:rsidR="00000000" w:rsidRDefault="00000000">
            <w:pPr>
              <w:jc w:val="both"/>
              <w:rPr>
                <w:sz w:val="22"/>
              </w:rPr>
            </w:pPr>
            <w:r>
              <w:rPr>
                <w:sz w:val="22"/>
              </w:rPr>
              <w:t>645</w:t>
            </w:r>
          </w:p>
          <w:p w:rsidR="00000000" w:rsidRDefault="00000000">
            <w:pPr>
              <w:jc w:val="both"/>
              <w:rPr>
                <w:sz w:val="22"/>
              </w:rPr>
            </w:pPr>
            <w:r>
              <w:rPr>
                <w:sz w:val="22"/>
              </w:rPr>
              <w:t>655</w:t>
            </w:r>
          </w:p>
          <w:p w:rsidR="00000000" w:rsidRDefault="00000000">
            <w:pPr>
              <w:jc w:val="both"/>
              <w:rPr>
                <w:sz w:val="22"/>
              </w:rPr>
            </w:pPr>
            <w:r>
              <w:rPr>
                <w:sz w:val="22"/>
              </w:rPr>
              <w:t>599</w:t>
            </w:r>
          </w:p>
          <w:p w:rsidR="00000000" w:rsidRDefault="00000000">
            <w:pPr>
              <w:jc w:val="both"/>
              <w:rPr>
                <w:sz w:val="22"/>
              </w:rPr>
            </w:pPr>
            <w:r>
              <w:rPr>
                <w:sz w:val="22"/>
              </w:rPr>
              <w:t>505</w:t>
            </w:r>
          </w:p>
          <w:p w:rsidR="00000000" w:rsidRDefault="00000000">
            <w:pPr>
              <w:jc w:val="both"/>
              <w:rPr>
                <w:sz w:val="22"/>
              </w:rPr>
            </w:pPr>
            <w:r>
              <w:rPr>
                <w:sz w:val="22"/>
              </w:rPr>
              <w:t>489</w:t>
            </w:r>
          </w:p>
          <w:p w:rsidR="00000000" w:rsidRDefault="00000000">
            <w:pPr>
              <w:jc w:val="both"/>
              <w:rPr>
                <w:sz w:val="22"/>
              </w:rPr>
            </w:pPr>
            <w:r>
              <w:rPr>
                <w:sz w:val="22"/>
              </w:rPr>
              <w:t>552</w:t>
            </w:r>
          </w:p>
          <w:p w:rsidR="00000000" w:rsidRDefault="00000000">
            <w:pPr>
              <w:jc w:val="both"/>
              <w:rPr>
                <w:sz w:val="22"/>
              </w:rPr>
            </w:pPr>
            <w:r>
              <w:rPr>
                <w:sz w:val="22"/>
              </w:rPr>
              <w:t>474</w:t>
            </w:r>
          </w:p>
          <w:p w:rsidR="00000000" w:rsidRDefault="00000000">
            <w:pPr>
              <w:jc w:val="both"/>
              <w:rPr>
                <w:sz w:val="22"/>
              </w:rPr>
            </w:pPr>
            <w:r>
              <w:rPr>
                <w:sz w:val="22"/>
              </w:rPr>
              <w:t>392</w:t>
            </w:r>
          </w:p>
        </w:tc>
        <w:tc>
          <w:tcPr>
            <w:tcW w:w="1208" w:type="dxa"/>
          </w:tcPr>
          <w:p w:rsidR="00000000" w:rsidRDefault="00000000">
            <w:pPr>
              <w:jc w:val="both"/>
              <w:rPr>
                <w:sz w:val="22"/>
              </w:rPr>
            </w:pPr>
            <w:r>
              <w:rPr>
                <w:sz w:val="22"/>
              </w:rPr>
              <w:t>5870</w:t>
            </w:r>
          </w:p>
          <w:p w:rsidR="00000000" w:rsidRDefault="00000000">
            <w:pPr>
              <w:jc w:val="both"/>
              <w:rPr>
                <w:sz w:val="22"/>
              </w:rPr>
            </w:pPr>
            <w:r>
              <w:rPr>
                <w:sz w:val="22"/>
              </w:rPr>
              <w:t>5810</w:t>
            </w:r>
          </w:p>
          <w:p w:rsidR="00000000" w:rsidRDefault="00000000">
            <w:pPr>
              <w:jc w:val="both"/>
              <w:rPr>
                <w:sz w:val="22"/>
              </w:rPr>
            </w:pPr>
            <w:r>
              <w:rPr>
                <w:sz w:val="22"/>
              </w:rPr>
              <w:t>6213</w:t>
            </w:r>
          </w:p>
          <w:p w:rsidR="00000000" w:rsidRDefault="00000000">
            <w:pPr>
              <w:jc w:val="both"/>
              <w:rPr>
                <w:sz w:val="22"/>
              </w:rPr>
            </w:pPr>
            <w:r>
              <w:rPr>
                <w:sz w:val="22"/>
              </w:rPr>
              <w:t>4673</w:t>
            </w:r>
          </w:p>
          <w:p w:rsidR="00000000" w:rsidRDefault="00000000">
            <w:pPr>
              <w:jc w:val="both"/>
              <w:rPr>
                <w:sz w:val="22"/>
              </w:rPr>
            </w:pPr>
            <w:r>
              <w:rPr>
                <w:sz w:val="22"/>
              </w:rPr>
              <w:t>3641</w:t>
            </w:r>
          </w:p>
          <w:p w:rsidR="00000000" w:rsidRDefault="00000000">
            <w:pPr>
              <w:jc w:val="both"/>
              <w:rPr>
                <w:sz w:val="22"/>
              </w:rPr>
            </w:pPr>
            <w:r>
              <w:rPr>
                <w:sz w:val="22"/>
              </w:rPr>
              <w:t>2686</w:t>
            </w:r>
          </w:p>
          <w:p w:rsidR="00000000" w:rsidRDefault="00000000">
            <w:pPr>
              <w:jc w:val="both"/>
              <w:rPr>
                <w:sz w:val="22"/>
              </w:rPr>
            </w:pPr>
            <w:r>
              <w:rPr>
                <w:sz w:val="22"/>
              </w:rPr>
              <w:t>2229</w:t>
            </w:r>
          </w:p>
          <w:p w:rsidR="00000000" w:rsidRDefault="00000000">
            <w:pPr>
              <w:jc w:val="both"/>
              <w:rPr>
                <w:sz w:val="22"/>
              </w:rPr>
            </w:pPr>
            <w:r>
              <w:rPr>
                <w:sz w:val="22"/>
              </w:rPr>
              <w:t>3704</w:t>
            </w:r>
          </w:p>
          <w:p w:rsidR="00000000" w:rsidRDefault="00000000">
            <w:pPr>
              <w:jc w:val="both"/>
              <w:rPr>
                <w:sz w:val="22"/>
              </w:rPr>
            </w:pPr>
            <w:r>
              <w:rPr>
                <w:sz w:val="22"/>
              </w:rPr>
              <w:t>1266</w:t>
            </w:r>
          </w:p>
        </w:tc>
        <w:tc>
          <w:tcPr>
            <w:tcW w:w="1209" w:type="dxa"/>
            <w:gridSpan w:val="2"/>
          </w:tcPr>
          <w:p w:rsidR="00000000" w:rsidRDefault="00000000">
            <w:pPr>
              <w:jc w:val="both"/>
              <w:rPr>
                <w:sz w:val="22"/>
              </w:rPr>
            </w:pPr>
            <w:r>
              <w:rPr>
                <w:sz w:val="22"/>
              </w:rPr>
              <w:t>1632</w:t>
            </w:r>
          </w:p>
          <w:p w:rsidR="00000000" w:rsidRDefault="00000000">
            <w:pPr>
              <w:jc w:val="both"/>
              <w:rPr>
                <w:sz w:val="22"/>
              </w:rPr>
            </w:pPr>
            <w:r>
              <w:rPr>
                <w:sz w:val="22"/>
              </w:rPr>
              <w:t>1655</w:t>
            </w:r>
          </w:p>
          <w:p w:rsidR="00000000" w:rsidRDefault="00000000">
            <w:pPr>
              <w:jc w:val="both"/>
              <w:rPr>
                <w:sz w:val="22"/>
              </w:rPr>
            </w:pPr>
            <w:r>
              <w:rPr>
                <w:sz w:val="22"/>
              </w:rPr>
              <w:t>1609</w:t>
            </w:r>
          </w:p>
          <w:p w:rsidR="00000000" w:rsidRDefault="00000000">
            <w:pPr>
              <w:jc w:val="both"/>
              <w:rPr>
                <w:sz w:val="22"/>
              </w:rPr>
            </w:pPr>
            <w:r>
              <w:rPr>
                <w:sz w:val="22"/>
              </w:rPr>
              <w:t>1596</w:t>
            </w:r>
          </w:p>
          <w:p w:rsidR="00000000" w:rsidRDefault="00000000">
            <w:pPr>
              <w:jc w:val="both"/>
              <w:rPr>
                <w:sz w:val="22"/>
              </w:rPr>
            </w:pPr>
            <w:r>
              <w:rPr>
                <w:sz w:val="22"/>
              </w:rPr>
              <w:t>1575</w:t>
            </w:r>
          </w:p>
          <w:p w:rsidR="00000000" w:rsidRDefault="00000000">
            <w:pPr>
              <w:jc w:val="both"/>
              <w:rPr>
                <w:sz w:val="22"/>
              </w:rPr>
            </w:pPr>
            <w:r>
              <w:rPr>
                <w:sz w:val="22"/>
              </w:rPr>
              <w:t>1556</w:t>
            </w:r>
          </w:p>
          <w:p w:rsidR="00000000" w:rsidRDefault="00000000">
            <w:pPr>
              <w:jc w:val="both"/>
              <w:rPr>
                <w:sz w:val="22"/>
              </w:rPr>
            </w:pPr>
            <w:r>
              <w:rPr>
                <w:sz w:val="22"/>
              </w:rPr>
              <w:t>1585</w:t>
            </w:r>
          </w:p>
          <w:p w:rsidR="00000000" w:rsidRDefault="00000000">
            <w:pPr>
              <w:jc w:val="both"/>
              <w:rPr>
                <w:sz w:val="22"/>
              </w:rPr>
            </w:pPr>
            <w:r>
              <w:rPr>
                <w:sz w:val="22"/>
              </w:rPr>
              <w:t>1667</w:t>
            </w:r>
          </w:p>
          <w:p w:rsidR="00000000" w:rsidRDefault="00000000">
            <w:pPr>
              <w:jc w:val="both"/>
              <w:rPr>
                <w:sz w:val="22"/>
              </w:rPr>
            </w:pPr>
            <w:r>
              <w:rPr>
                <w:sz w:val="22"/>
              </w:rPr>
              <w:t>1648</w:t>
            </w:r>
          </w:p>
        </w:tc>
        <w:tc>
          <w:tcPr>
            <w:tcW w:w="1208" w:type="dxa"/>
          </w:tcPr>
          <w:p w:rsidR="00000000" w:rsidRDefault="00000000">
            <w:pPr>
              <w:jc w:val="both"/>
              <w:rPr>
                <w:sz w:val="22"/>
              </w:rPr>
            </w:pPr>
            <w:r>
              <w:rPr>
                <w:sz w:val="22"/>
              </w:rPr>
              <w:t>7639</w:t>
            </w:r>
          </w:p>
          <w:p w:rsidR="00000000" w:rsidRDefault="00000000">
            <w:pPr>
              <w:jc w:val="both"/>
              <w:rPr>
                <w:sz w:val="22"/>
              </w:rPr>
            </w:pPr>
            <w:r>
              <w:rPr>
                <w:sz w:val="22"/>
              </w:rPr>
              <w:t>7578</w:t>
            </w:r>
          </w:p>
          <w:p w:rsidR="00000000" w:rsidRDefault="00000000">
            <w:pPr>
              <w:jc w:val="both"/>
              <w:rPr>
                <w:sz w:val="22"/>
              </w:rPr>
            </w:pPr>
            <w:r>
              <w:rPr>
                <w:sz w:val="22"/>
              </w:rPr>
              <w:t>7704</w:t>
            </w:r>
          </w:p>
          <w:p w:rsidR="00000000" w:rsidRDefault="00000000">
            <w:pPr>
              <w:jc w:val="both"/>
              <w:rPr>
                <w:sz w:val="22"/>
              </w:rPr>
            </w:pPr>
            <w:r>
              <w:rPr>
                <w:sz w:val="22"/>
              </w:rPr>
              <w:t>7344</w:t>
            </w:r>
          </w:p>
          <w:p w:rsidR="00000000" w:rsidRDefault="00000000">
            <w:pPr>
              <w:jc w:val="both"/>
              <w:rPr>
                <w:sz w:val="22"/>
              </w:rPr>
            </w:pPr>
            <w:r>
              <w:rPr>
                <w:sz w:val="22"/>
              </w:rPr>
              <w:t>6614</w:t>
            </w:r>
          </w:p>
          <w:p w:rsidR="00000000" w:rsidRDefault="00000000">
            <w:pPr>
              <w:jc w:val="both"/>
              <w:rPr>
                <w:sz w:val="22"/>
              </w:rPr>
            </w:pPr>
            <w:r>
              <w:rPr>
                <w:sz w:val="22"/>
              </w:rPr>
              <w:t>6309</w:t>
            </w:r>
          </w:p>
          <w:p w:rsidR="00000000" w:rsidRDefault="00000000">
            <w:pPr>
              <w:jc w:val="both"/>
              <w:rPr>
                <w:sz w:val="22"/>
              </w:rPr>
            </w:pPr>
            <w:r>
              <w:rPr>
                <w:sz w:val="22"/>
              </w:rPr>
              <w:t>6836</w:t>
            </w:r>
          </w:p>
          <w:p w:rsidR="00000000" w:rsidRDefault="00000000">
            <w:pPr>
              <w:jc w:val="both"/>
              <w:rPr>
                <w:sz w:val="22"/>
              </w:rPr>
            </w:pPr>
            <w:r>
              <w:rPr>
                <w:sz w:val="22"/>
              </w:rPr>
              <w:t>6688</w:t>
            </w:r>
          </w:p>
          <w:p w:rsidR="00000000" w:rsidRDefault="00000000">
            <w:pPr>
              <w:jc w:val="both"/>
              <w:rPr>
                <w:sz w:val="22"/>
              </w:rPr>
            </w:pPr>
            <w:r>
              <w:rPr>
                <w:sz w:val="22"/>
              </w:rPr>
              <w:t>6688</w:t>
            </w:r>
          </w:p>
        </w:tc>
        <w:tc>
          <w:tcPr>
            <w:tcW w:w="1209" w:type="dxa"/>
          </w:tcPr>
          <w:p w:rsidR="00000000" w:rsidRDefault="00000000">
            <w:pPr>
              <w:jc w:val="both"/>
              <w:rPr>
                <w:sz w:val="22"/>
              </w:rPr>
            </w:pPr>
            <w:r>
              <w:rPr>
                <w:sz w:val="22"/>
              </w:rPr>
              <w:t>6349</w:t>
            </w:r>
          </w:p>
          <w:p w:rsidR="00000000" w:rsidRDefault="00000000">
            <w:pPr>
              <w:jc w:val="both"/>
              <w:rPr>
                <w:sz w:val="22"/>
              </w:rPr>
            </w:pPr>
            <w:r>
              <w:rPr>
                <w:sz w:val="22"/>
              </w:rPr>
              <w:t>6495</w:t>
            </w:r>
          </w:p>
          <w:p w:rsidR="00000000" w:rsidRDefault="00000000">
            <w:pPr>
              <w:jc w:val="both"/>
              <w:rPr>
                <w:sz w:val="22"/>
              </w:rPr>
            </w:pPr>
            <w:r>
              <w:rPr>
                <w:sz w:val="22"/>
              </w:rPr>
              <w:t>7024</w:t>
            </w:r>
          </w:p>
          <w:p w:rsidR="00000000" w:rsidRDefault="00000000">
            <w:pPr>
              <w:jc w:val="both"/>
              <w:rPr>
                <w:sz w:val="22"/>
              </w:rPr>
            </w:pPr>
            <w:r>
              <w:rPr>
                <w:sz w:val="22"/>
              </w:rPr>
              <w:t>6194</w:t>
            </w:r>
          </w:p>
          <w:p w:rsidR="00000000" w:rsidRDefault="00000000">
            <w:pPr>
              <w:jc w:val="both"/>
              <w:rPr>
                <w:sz w:val="22"/>
              </w:rPr>
            </w:pPr>
            <w:r>
              <w:rPr>
                <w:sz w:val="22"/>
              </w:rPr>
              <w:t>6262</w:t>
            </w:r>
          </w:p>
          <w:p w:rsidR="00000000" w:rsidRDefault="00000000">
            <w:pPr>
              <w:jc w:val="both"/>
              <w:rPr>
                <w:sz w:val="22"/>
              </w:rPr>
            </w:pPr>
            <w:r>
              <w:rPr>
                <w:sz w:val="22"/>
              </w:rPr>
              <w:t>6237</w:t>
            </w:r>
          </w:p>
          <w:p w:rsidR="00000000" w:rsidRDefault="00000000">
            <w:pPr>
              <w:jc w:val="both"/>
              <w:rPr>
                <w:sz w:val="22"/>
              </w:rPr>
            </w:pPr>
            <w:r>
              <w:rPr>
                <w:sz w:val="22"/>
              </w:rPr>
              <w:t>6425</w:t>
            </w:r>
          </w:p>
          <w:p w:rsidR="00000000" w:rsidRDefault="00000000">
            <w:pPr>
              <w:jc w:val="both"/>
              <w:rPr>
                <w:sz w:val="22"/>
              </w:rPr>
            </w:pPr>
            <w:r>
              <w:rPr>
                <w:sz w:val="22"/>
              </w:rPr>
              <w:t>5596</w:t>
            </w:r>
          </w:p>
          <w:p w:rsidR="00000000" w:rsidRDefault="00000000">
            <w:pPr>
              <w:jc w:val="both"/>
              <w:rPr>
                <w:sz w:val="22"/>
              </w:rPr>
            </w:pPr>
            <w:r>
              <w:rPr>
                <w:sz w:val="22"/>
              </w:rPr>
              <w:t>5862</w:t>
            </w:r>
          </w:p>
        </w:tc>
        <w:tc>
          <w:tcPr>
            <w:tcW w:w="1209" w:type="dxa"/>
          </w:tcPr>
          <w:p w:rsidR="00000000" w:rsidRDefault="00000000">
            <w:pPr>
              <w:jc w:val="both"/>
              <w:rPr>
                <w:sz w:val="22"/>
              </w:rPr>
            </w:pPr>
            <w:r>
              <w:rPr>
                <w:sz w:val="22"/>
              </w:rPr>
              <w:t>492143</w:t>
            </w:r>
          </w:p>
          <w:p w:rsidR="00000000" w:rsidRDefault="00000000">
            <w:pPr>
              <w:jc w:val="both"/>
              <w:rPr>
                <w:sz w:val="22"/>
              </w:rPr>
            </w:pPr>
            <w:r>
              <w:rPr>
                <w:sz w:val="22"/>
              </w:rPr>
              <w:t>503918</w:t>
            </w:r>
          </w:p>
          <w:p w:rsidR="00000000" w:rsidRDefault="00000000">
            <w:pPr>
              <w:jc w:val="both"/>
              <w:rPr>
                <w:sz w:val="22"/>
              </w:rPr>
            </w:pPr>
            <w:r>
              <w:rPr>
                <w:sz w:val="22"/>
              </w:rPr>
              <w:t>490122</w:t>
            </w:r>
          </w:p>
          <w:p w:rsidR="00000000" w:rsidRDefault="00000000">
            <w:pPr>
              <w:jc w:val="both"/>
              <w:rPr>
                <w:sz w:val="22"/>
              </w:rPr>
            </w:pPr>
            <w:r>
              <w:rPr>
                <w:sz w:val="22"/>
              </w:rPr>
              <w:t>510223</w:t>
            </w:r>
          </w:p>
          <w:p w:rsidR="00000000" w:rsidRDefault="00000000">
            <w:pPr>
              <w:jc w:val="both"/>
              <w:rPr>
                <w:sz w:val="22"/>
              </w:rPr>
            </w:pPr>
            <w:r>
              <w:rPr>
                <w:sz w:val="22"/>
              </w:rPr>
              <w:t>498961</w:t>
            </w:r>
          </w:p>
          <w:p w:rsidR="00000000" w:rsidRDefault="00000000">
            <w:pPr>
              <w:jc w:val="both"/>
              <w:rPr>
                <w:sz w:val="22"/>
              </w:rPr>
            </w:pPr>
            <w:r>
              <w:rPr>
                <w:sz w:val="22"/>
              </w:rPr>
              <w:t>511401</w:t>
            </w:r>
          </w:p>
          <w:p w:rsidR="00000000" w:rsidRDefault="00000000">
            <w:pPr>
              <w:jc w:val="both"/>
              <w:rPr>
                <w:sz w:val="22"/>
              </w:rPr>
            </w:pPr>
            <w:r>
              <w:rPr>
                <w:sz w:val="22"/>
              </w:rPr>
              <w:t>512935</w:t>
            </w:r>
          </w:p>
          <w:p w:rsidR="00000000" w:rsidRDefault="00000000">
            <w:pPr>
              <w:jc w:val="both"/>
              <w:rPr>
                <w:sz w:val="22"/>
              </w:rPr>
            </w:pPr>
            <w:r>
              <w:rPr>
                <w:sz w:val="22"/>
              </w:rPr>
              <w:t>499485</w:t>
            </w:r>
          </w:p>
          <w:p w:rsidR="00000000" w:rsidRDefault="00000000">
            <w:pPr>
              <w:jc w:val="both"/>
              <w:rPr>
                <w:sz w:val="22"/>
              </w:rPr>
            </w:pPr>
            <w:r>
              <w:rPr>
                <w:sz w:val="22"/>
              </w:rPr>
              <w:t>427735</w:t>
            </w:r>
          </w:p>
        </w:tc>
      </w:tr>
    </w:tbl>
    <w:p w:rsidR="00000000" w:rsidRDefault="00000000">
      <w:pPr>
        <w:jc w:val="both"/>
        <w:rPr>
          <w:sz w:val="22"/>
        </w:rPr>
      </w:pPr>
    </w:p>
    <w:p w:rsidR="00000000" w:rsidRDefault="00000000">
      <w:pPr>
        <w:jc w:val="both"/>
        <w:rPr>
          <w:sz w:val="22"/>
        </w:rPr>
      </w:pPr>
      <w:r>
        <w:rPr>
          <w:sz w:val="22"/>
        </w:rPr>
        <w:t>Le taux brut de la scolarisation des élèves dans le cycle primaire dépasse 100% pour les deux sexes. Le nombre d’enfants scolarisés dépasse celui de la population de 6 à 11 ans d’âge. Ce taux varie de 126,1% en 1990 à 78,6% en 1998. Le taux de redoublement est assez important surtout chez les filles où la moyenne est de 34,6% par niveau. Le taux des entrants à l’école est de 68,4% en 1990 et 58,0% en 1995. La tendance générale sur l’évolution des nouveaux entrants en première année du primaire se caractérise par un faible taux d’accroissement. Il est de 1,4% soit 2,2% pour les garçons et 0,6 pour les filles.</w:t>
      </w:r>
    </w:p>
    <w:p w:rsidR="00000000" w:rsidRDefault="00000000">
      <w:pPr>
        <w:jc w:val="both"/>
        <w:rPr>
          <w:sz w:val="22"/>
        </w:rPr>
      </w:pPr>
    </w:p>
    <w:p w:rsidR="00000000" w:rsidRDefault="00000000">
      <w:pPr>
        <w:jc w:val="both"/>
        <w:rPr>
          <w:b/>
          <w:sz w:val="22"/>
        </w:rPr>
      </w:pPr>
      <w:r>
        <w:rPr>
          <w:b/>
          <w:sz w:val="22"/>
          <w:u w:val="single"/>
        </w:rPr>
        <w:t>Tableau n° 32</w:t>
      </w:r>
      <w:r>
        <w:rPr>
          <w:b/>
          <w:sz w:val="22"/>
        </w:rPr>
        <w:t> : Les effectifs des élèves et des enseignants au primaire, 1997-1998</w:t>
      </w:r>
    </w:p>
    <w:p w:rsidR="00000000" w:rsidRDefault="00000000">
      <w:pPr>
        <w:jc w:val="both"/>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04"/>
        <w:gridCol w:w="1402"/>
        <w:gridCol w:w="1403"/>
        <w:gridCol w:w="1402"/>
        <w:gridCol w:w="1403"/>
        <w:gridCol w:w="1402"/>
        <w:gridCol w:w="1403"/>
      </w:tblGrid>
      <w:tr w:rsidR="00000000">
        <w:tblPrEx>
          <w:tblCellMar>
            <w:top w:w="0" w:type="dxa"/>
            <w:bottom w:w="0" w:type="dxa"/>
          </w:tblCellMar>
        </w:tblPrEx>
        <w:trPr>
          <w:cantSplit/>
        </w:trPr>
        <w:tc>
          <w:tcPr>
            <w:tcW w:w="1404" w:type="dxa"/>
            <w:vMerge w:val="restart"/>
          </w:tcPr>
          <w:p w:rsidR="00000000" w:rsidRDefault="00000000">
            <w:pPr>
              <w:jc w:val="center"/>
              <w:rPr>
                <w:sz w:val="22"/>
              </w:rPr>
            </w:pPr>
            <w:r>
              <w:rPr>
                <w:sz w:val="22"/>
              </w:rPr>
              <w:t>Années</w:t>
            </w:r>
          </w:p>
        </w:tc>
        <w:tc>
          <w:tcPr>
            <w:tcW w:w="4207" w:type="dxa"/>
            <w:gridSpan w:val="3"/>
          </w:tcPr>
          <w:p w:rsidR="00000000" w:rsidRDefault="00000000">
            <w:pPr>
              <w:jc w:val="center"/>
              <w:rPr>
                <w:sz w:val="22"/>
              </w:rPr>
            </w:pPr>
            <w:r>
              <w:rPr>
                <w:sz w:val="22"/>
              </w:rPr>
              <w:t>Elèves</w:t>
            </w:r>
          </w:p>
        </w:tc>
        <w:tc>
          <w:tcPr>
            <w:tcW w:w="4208" w:type="dxa"/>
            <w:gridSpan w:val="3"/>
          </w:tcPr>
          <w:p w:rsidR="00000000" w:rsidRDefault="00000000">
            <w:pPr>
              <w:jc w:val="center"/>
              <w:rPr>
                <w:sz w:val="22"/>
              </w:rPr>
            </w:pPr>
            <w:r>
              <w:rPr>
                <w:sz w:val="22"/>
              </w:rPr>
              <w:t>Enseignants</w:t>
            </w:r>
          </w:p>
        </w:tc>
      </w:tr>
      <w:tr w:rsidR="00000000">
        <w:tblPrEx>
          <w:tblCellMar>
            <w:top w:w="0" w:type="dxa"/>
            <w:bottom w:w="0" w:type="dxa"/>
          </w:tblCellMar>
        </w:tblPrEx>
        <w:trPr>
          <w:cantSplit/>
        </w:trPr>
        <w:tc>
          <w:tcPr>
            <w:tcW w:w="1404" w:type="dxa"/>
            <w:vMerge/>
          </w:tcPr>
          <w:p w:rsidR="00000000" w:rsidRDefault="00000000">
            <w:pPr>
              <w:jc w:val="center"/>
              <w:rPr>
                <w:b/>
                <w:sz w:val="22"/>
              </w:rPr>
            </w:pPr>
          </w:p>
        </w:tc>
        <w:tc>
          <w:tcPr>
            <w:tcW w:w="1402" w:type="dxa"/>
          </w:tcPr>
          <w:p w:rsidR="00000000" w:rsidRDefault="00000000">
            <w:pPr>
              <w:pStyle w:val="Heading5"/>
              <w:rPr>
                <w:sz w:val="22"/>
                <w:lang w:val="de-DE"/>
              </w:rPr>
            </w:pPr>
            <w:r>
              <w:rPr>
                <w:sz w:val="22"/>
                <w:lang w:val="de-DE"/>
              </w:rPr>
              <w:t>G</w:t>
            </w:r>
          </w:p>
        </w:tc>
        <w:tc>
          <w:tcPr>
            <w:tcW w:w="1403" w:type="dxa"/>
          </w:tcPr>
          <w:p w:rsidR="00000000" w:rsidRDefault="00000000">
            <w:pPr>
              <w:jc w:val="center"/>
              <w:rPr>
                <w:sz w:val="22"/>
                <w:lang w:val="de-DE"/>
              </w:rPr>
            </w:pPr>
            <w:r>
              <w:rPr>
                <w:sz w:val="22"/>
                <w:lang w:val="de-DE"/>
              </w:rPr>
              <w:t>F</w:t>
            </w:r>
          </w:p>
        </w:tc>
        <w:tc>
          <w:tcPr>
            <w:tcW w:w="1402" w:type="dxa"/>
          </w:tcPr>
          <w:p w:rsidR="00000000" w:rsidRDefault="00000000">
            <w:pPr>
              <w:jc w:val="center"/>
              <w:rPr>
                <w:sz w:val="22"/>
                <w:lang w:val="de-DE"/>
              </w:rPr>
            </w:pPr>
            <w:r>
              <w:rPr>
                <w:sz w:val="22"/>
                <w:lang w:val="de-DE"/>
              </w:rPr>
              <w:t>T</w:t>
            </w:r>
          </w:p>
        </w:tc>
        <w:tc>
          <w:tcPr>
            <w:tcW w:w="1403" w:type="dxa"/>
          </w:tcPr>
          <w:p w:rsidR="00000000" w:rsidRDefault="00000000">
            <w:pPr>
              <w:jc w:val="center"/>
              <w:rPr>
                <w:sz w:val="22"/>
                <w:lang w:val="de-DE"/>
              </w:rPr>
            </w:pPr>
            <w:r>
              <w:rPr>
                <w:sz w:val="22"/>
                <w:lang w:val="de-DE"/>
              </w:rPr>
              <w:t>G</w:t>
            </w:r>
          </w:p>
        </w:tc>
        <w:tc>
          <w:tcPr>
            <w:tcW w:w="1402" w:type="dxa"/>
          </w:tcPr>
          <w:p w:rsidR="00000000" w:rsidRDefault="00000000">
            <w:pPr>
              <w:jc w:val="center"/>
              <w:rPr>
                <w:sz w:val="22"/>
              </w:rPr>
            </w:pPr>
            <w:r>
              <w:rPr>
                <w:sz w:val="22"/>
              </w:rPr>
              <w:t>F</w:t>
            </w:r>
          </w:p>
        </w:tc>
        <w:tc>
          <w:tcPr>
            <w:tcW w:w="1403" w:type="dxa"/>
          </w:tcPr>
          <w:p w:rsidR="00000000" w:rsidRDefault="00000000">
            <w:pPr>
              <w:jc w:val="center"/>
              <w:rPr>
                <w:sz w:val="22"/>
              </w:rPr>
            </w:pPr>
            <w:r>
              <w:rPr>
                <w:sz w:val="22"/>
              </w:rPr>
              <w:t>T</w:t>
            </w:r>
          </w:p>
        </w:tc>
      </w:tr>
      <w:tr w:rsidR="00000000">
        <w:tblPrEx>
          <w:tblCellMar>
            <w:top w:w="0" w:type="dxa"/>
            <w:bottom w:w="0" w:type="dxa"/>
          </w:tblCellMar>
        </w:tblPrEx>
        <w:tc>
          <w:tcPr>
            <w:tcW w:w="1404" w:type="dxa"/>
          </w:tcPr>
          <w:p w:rsidR="00000000" w:rsidRDefault="00000000">
            <w:pPr>
              <w:jc w:val="both"/>
              <w:rPr>
                <w:sz w:val="22"/>
              </w:rPr>
            </w:pPr>
            <w:r>
              <w:rPr>
                <w:sz w:val="22"/>
              </w:rPr>
              <w:t>1997</w:t>
            </w:r>
          </w:p>
        </w:tc>
        <w:tc>
          <w:tcPr>
            <w:tcW w:w="1402" w:type="dxa"/>
          </w:tcPr>
          <w:p w:rsidR="00000000" w:rsidRDefault="00000000">
            <w:pPr>
              <w:ind w:right="284"/>
              <w:jc w:val="right"/>
              <w:rPr>
                <w:sz w:val="22"/>
              </w:rPr>
            </w:pPr>
            <w:r>
              <w:rPr>
                <w:sz w:val="22"/>
              </w:rPr>
              <w:t>246 089</w:t>
            </w:r>
          </w:p>
        </w:tc>
        <w:tc>
          <w:tcPr>
            <w:tcW w:w="1403" w:type="dxa"/>
          </w:tcPr>
          <w:p w:rsidR="00000000" w:rsidRDefault="00000000">
            <w:pPr>
              <w:ind w:right="284"/>
              <w:jc w:val="right"/>
              <w:rPr>
                <w:sz w:val="22"/>
              </w:rPr>
            </w:pPr>
            <w:r>
              <w:rPr>
                <w:sz w:val="22"/>
              </w:rPr>
              <w:t>230 446</w:t>
            </w:r>
          </w:p>
        </w:tc>
        <w:tc>
          <w:tcPr>
            <w:tcW w:w="1402" w:type="dxa"/>
          </w:tcPr>
          <w:p w:rsidR="00000000" w:rsidRDefault="00000000">
            <w:pPr>
              <w:ind w:right="284"/>
              <w:jc w:val="right"/>
              <w:rPr>
                <w:sz w:val="22"/>
              </w:rPr>
            </w:pPr>
            <w:r>
              <w:rPr>
                <w:sz w:val="22"/>
              </w:rPr>
              <w:t>476 535</w:t>
            </w:r>
          </w:p>
        </w:tc>
        <w:tc>
          <w:tcPr>
            <w:tcW w:w="1403" w:type="dxa"/>
          </w:tcPr>
          <w:p w:rsidR="00000000" w:rsidRDefault="00000000">
            <w:pPr>
              <w:ind w:right="284"/>
              <w:jc w:val="right"/>
              <w:rPr>
                <w:sz w:val="22"/>
              </w:rPr>
            </w:pPr>
            <w:r>
              <w:rPr>
                <w:sz w:val="22"/>
              </w:rPr>
              <w:t>4 164</w:t>
            </w:r>
          </w:p>
        </w:tc>
        <w:tc>
          <w:tcPr>
            <w:tcW w:w="1402" w:type="dxa"/>
          </w:tcPr>
          <w:p w:rsidR="00000000" w:rsidRDefault="00000000">
            <w:pPr>
              <w:ind w:right="284"/>
              <w:jc w:val="right"/>
              <w:rPr>
                <w:sz w:val="22"/>
              </w:rPr>
            </w:pPr>
            <w:r>
              <w:rPr>
                <w:sz w:val="22"/>
              </w:rPr>
              <w:t>2 545</w:t>
            </w:r>
          </w:p>
        </w:tc>
        <w:tc>
          <w:tcPr>
            <w:tcW w:w="1403" w:type="dxa"/>
          </w:tcPr>
          <w:p w:rsidR="00000000" w:rsidRDefault="00000000">
            <w:pPr>
              <w:ind w:right="284"/>
              <w:jc w:val="right"/>
              <w:rPr>
                <w:sz w:val="22"/>
              </w:rPr>
            </w:pPr>
            <w:r>
              <w:rPr>
                <w:sz w:val="22"/>
              </w:rPr>
              <w:t>6 709</w:t>
            </w:r>
          </w:p>
        </w:tc>
      </w:tr>
      <w:tr w:rsidR="00000000">
        <w:tblPrEx>
          <w:tblCellMar>
            <w:top w:w="0" w:type="dxa"/>
            <w:bottom w:w="0" w:type="dxa"/>
          </w:tblCellMar>
        </w:tblPrEx>
        <w:tc>
          <w:tcPr>
            <w:tcW w:w="1404" w:type="dxa"/>
          </w:tcPr>
          <w:p w:rsidR="00000000" w:rsidRDefault="00000000">
            <w:pPr>
              <w:jc w:val="both"/>
              <w:rPr>
                <w:sz w:val="22"/>
              </w:rPr>
            </w:pPr>
            <w:r>
              <w:rPr>
                <w:sz w:val="22"/>
              </w:rPr>
              <w:t>1998</w:t>
            </w:r>
          </w:p>
        </w:tc>
        <w:tc>
          <w:tcPr>
            <w:tcW w:w="1402" w:type="dxa"/>
          </w:tcPr>
          <w:p w:rsidR="00000000" w:rsidRDefault="00000000">
            <w:pPr>
              <w:ind w:right="284"/>
              <w:jc w:val="right"/>
              <w:rPr>
                <w:sz w:val="22"/>
              </w:rPr>
            </w:pPr>
            <w:r>
              <w:rPr>
                <w:sz w:val="22"/>
              </w:rPr>
              <w:t>218 094</w:t>
            </w:r>
          </w:p>
        </w:tc>
        <w:tc>
          <w:tcPr>
            <w:tcW w:w="1403" w:type="dxa"/>
          </w:tcPr>
          <w:p w:rsidR="00000000" w:rsidRDefault="00000000">
            <w:pPr>
              <w:ind w:right="284"/>
              <w:jc w:val="right"/>
              <w:rPr>
                <w:sz w:val="22"/>
              </w:rPr>
            </w:pPr>
            <w:r>
              <w:rPr>
                <w:sz w:val="22"/>
              </w:rPr>
              <w:t>202 133</w:t>
            </w:r>
          </w:p>
        </w:tc>
        <w:tc>
          <w:tcPr>
            <w:tcW w:w="1402" w:type="dxa"/>
          </w:tcPr>
          <w:p w:rsidR="00000000" w:rsidRDefault="00000000">
            <w:pPr>
              <w:ind w:right="284"/>
              <w:jc w:val="right"/>
              <w:rPr>
                <w:sz w:val="22"/>
              </w:rPr>
            </w:pPr>
            <w:r>
              <w:rPr>
                <w:sz w:val="22"/>
              </w:rPr>
              <w:t>420 227</w:t>
            </w:r>
          </w:p>
        </w:tc>
        <w:tc>
          <w:tcPr>
            <w:tcW w:w="1403" w:type="dxa"/>
          </w:tcPr>
          <w:p w:rsidR="00000000" w:rsidRDefault="00000000">
            <w:pPr>
              <w:ind w:right="284"/>
              <w:jc w:val="right"/>
              <w:rPr>
                <w:sz w:val="22"/>
              </w:rPr>
            </w:pPr>
            <w:r>
              <w:rPr>
                <w:sz w:val="22"/>
              </w:rPr>
              <w:t>4 074</w:t>
            </w:r>
          </w:p>
        </w:tc>
        <w:tc>
          <w:tcPr>
            <w:tcW w:w="1402" w:type="dxa"/>
          </w:tcPr>
          <w:p w:rsidR="00000000" w:rsidRDefault="00000000">
            <w:pPr>
              <w:ind w:right="284"/>
              <w:jc w:val="right"/>
              <w:rPr>
                <w:sz w:val="22"/>
              </w:rPr>
            </w:pPr>
            <w:r>
              <w:rPr>
                <w:sz w:val="22"/>
              </w:rPr>
              <w:t>2 487</w:t>
            </w:r>
          </w:p>
        </w:tc>
        <w:tc>
          <w:tcPr>
            <w:tcW w:w="1403" w:type="dxa"/>
          </w:tcPr>
          <w:p w:rsidR="00000000" w:rsidRDefault="00000000">
            <w:pPr>
              <w:ind w:right="284"/>
              <w:jc w:val="right"/>
              <w:rPr>
                <w:sz w:val="22"/>
              </w:rPr>
            </w:pPr>
            <w:r>
              <w:rPr>
                <w:sz w:val="22"/>
              </w:rPr>
              <w:t>6 561</w:t>
            </w:r>
          </w:p>
        </w:tc>
      </w:tr>
    </w:tbl>
    <w:p w:rsidR="00000000" w:rsidRDefault="00000000">
      <w:pPr>
        <w:spacing w:line="120" w:lineRule="exact"/>
        <w:jc w:val="both"/>
        <w:rPr>
          <w:sz w:val="10"/>
        </w:rPr>
      </w:pPr>
    </w:p>
    <w:p w:rsidR="00000000" w:rsidRDefault="00000000">
      <w:pPr>
        <w:pStyle w:val="Heading2"/>
        <w:ind w:left="851" w:hanging="851"/>
      </w:pPr>
      <w:r>
        <w:rPr>
          <w:u w:val="single"/>
        </w:rPr>
        <w:t>Source</w:t>
      </w:r>
      <w:r>
        <w:t xml:space="preserve"> : Direction des études et de la planification, Ministère de l’enseignement primaire, secondaire et supérieur, chargé de la recherche scientifique, 1998.</w:t>
      </w:r>
    </w:p>
    <w:p w:rsidR="00000000" w:rsidRDefault="00000000">
      <w:pPr>
        <w:jc w:val="both"/>
        <w:rPr>
          <w:sz w:val="22"/>
        </w:rPr>
      </w:pPr>
    </w:p>
    <w:p w:rsidR="00000000" w:rsidRDefault="00000000">
      <w:pPr>
        <w:jc w:val="both"/>
        <w:rPr>
          <w:b/>
          <w:sz w:val="22"/>
        </w:rPr>
      </w:pPr>
      <w:r>
        <w:rPr>
          <w:b/>
          <w:sz w:val="22"/>
          <w:u w:val="single"/>
        </w:rPr>
        <w:t>Tableau 33</w:t>
      </w:r>
      <w:r>
        <w:rPr>
          <w:b/>
          <w:sz w:val="22"/>
        </w:rPr>
        <w:t> : Evolution du taux brut de la scolarisation dans le primaire, 1990-1998</w:t>
      </w:r>
    </w:p>
    <w:p w:rsidR="00000000" w:rsidRDefault="00000000">
      <w:pPr>
        <w:jc w:val="both"/>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82"/>
        <w:gridCol w:w="760"/>
        <w:gridCol w:w="1919"/>
        <w:gridCol w:w="1919"/>
        <w:gridCol w:w="1919"/>
        <w:gridCol w:w="1920"/>
      </w:tblGrid>
      <w:tr w:rsidR="00000000">
        <w:tblPrEx>
          <w:tblCellMar>
            <w:top w:w="0" w:type="dxa"/>
            <w:bottom w:w="0" w:type="dxa"/>
          </w:tblCellMar>
        </w:tblPrEx>
        <w:tc>
          <w:tcPr>
            <w:tcW w:w="1382" w:type="dxa"/>
          </w:tcPr>
          <w:p w:rsidR="00000000" w:rsidRDefault="00000000">
            <w:pPr>
              <w:jc w:val="center"/>
              <w:rPr>
                <w:sz w:val="22"/>
              </w:rPr>
            </w:pPr>
            <w:r>
              <w:rPr>
                <w:sz w:val="22"/>
              </w:rPr>
              <w:t>Année</w:t>
            </w:r>
          </w:p>
        </w:tc>
        <w:tc>
          <w:tcPr>
            <w:tcW w:w="760" w:type="dxa"/>
          </w:tcPr>
          <w:p w:rsidR="00000000" w:rsidRDefault="00000000">
            <w:pPr>
              <w:jc w:val="center"/>
              <w:rPr>
                <w:sz w:val="22"/>
              </w:rPr>
            </w:pPr>
          </w:p>
        </w:tc>
        <w:tc>
          <w:tcPr>
            <w:tcW w:w="1919" w:type="dxa"/>
          </w:tcPr>
          <w:p w:rsidR="00000000" w:rsidRDefault="00000000">
            <w:pPr>
              <w:jc w:val="center"/>
              <w:rPr>
                <w:sz w:val="22"/>
              </w:rPr>
            </w:pPr>
            <w:r>
              <w:rPr>
                <w:sz w:val="22"/>
              </w:rPr>
              <w:t>Effectif tous âges</w:t>
            </w:r>
          </w:p>
        </w:tc>
        <w:tc>
          <w:tcPr>
            <w:tcW w:w="1919" w:type="dxa"/>
          </w:tcPr>
          <w:p w:rsidR="00000000" w:rsidRDefault="00000000">
            <w:pPr>
              <w:jc w:val="center"/>
              <w:rPr>
                <w:sz w:val="22"/>
              </w:rPr>
            </w:pPr>
            <w:r>
              <w:rPr>
                <w:sz w:val="22"/>
              </w:rPr>
              <w:t>Population scolarisable</w:t>
            </w:r>
          </w:p>
        </w:tc>
        <w:tc>
          <w:tcPr>
            <w:tcW w:w="1919" w:type="dxa"/>
          </w:tcPr>
          <w:p w:rsidR="00000000" w:rsidRDefault="00000000">
            <w:pPr>
              <w:jc w:val="center"/>
              <w:rPr>
                <w:sz w:val="22"/>
              </w:rPr>
            </w:pPr>
            <w:r>
              <w:rPr>
                <w:sz w:val="22"/>
              </w:rPr>
              <w:t>Taux brut de scolarisation</w:t>
            </w:r>
          </w:p>
        </w:tc>
        <w:tc>
          <w:tcPr>
            <w:tcW w:w="1920" w:type="dxa"/>
          </w:tcPr>
          <w:p w:rsidR="00000000" w:rsidRDefault="00000000">
            <w:pPr>
              <w:jc w:val="center"/>
              <w:rPr>
                <w:sz w:val="22"/>
              </w:rPr>
            </w:pPr>
            <w:r>
              <w:rPr>
                <w:sz w:val="22"/>
              </w:rPr>
              <w:t>Indice de parité</w:t>
            </w:r>
          </w:p>
        </w:tc>
      </w:tr>
      <w:tr w:rsidR="00000000">
        <w:tblPrEx>
          <w:tblCellMar>
            <w:top w:w="0" w:type="dxa"/>
            <w:bottom w:w="0" w:type="dxa"/>
          </w:tblCellMar>
        </w:tblPrEx>
        <w:tc>
          <w:tcPr>
            <w:tcW w:w="1382" w:type="dxa"/>
          </w:tcPr>
          <w:p w:rsidR="00000000" w:rsidRDefault="00000000">
            <w:pPr>
              <w:jc w:val="both"/>
              <w:rPr>
                <w:sz w:val="22"/>
              </w:rPr>
            </w:pPr>
          </w:p>
          <w:p w:rsidR="00000000" w:rsidRDefault="00000000">
            <w:pPr>
              <w:jc w:val="both"/>
              <w:rPr>
                <w:sz w:val="22"/>
              </w:rPr>
            </w:pPr>
            <w:r>
              <w:rPr>
                <w:sz w:val="22"/>
              </w:rPr>
              <w:t>1990</w:t>
            </w:r>
          </w:p>
        </w:tc>
        <w:tc>
          <w:tcPr>
            <w:tcW w:w="760" w:type="dxa"/>
          </w:tcPr>
          <w:p w:rsidR="00000000" w:rsidRDefault="00000000">
            <w:pPr>
              <w:jc w:val="right"/>
              <w:rPr>
                <w:sz w:val="22"/>
              </w:rPr>
            </w:pPr>
            <w:r>
              <w:rPr>
                <w:sz w:val="22"/>
              </w:rPr>
              <w:t>T</w:t>
            </w:r>
          </w:p>
          <w:p w:rsidR="00000000" w:rsidRDefault="00000000">
            <w:pPr>
              <w:jc w:val="right"/>
              <w:rPr>
                <w:sz w:val="22"/>
              </w:rPr>
            </w:pPr>
            <w:r>
              <w:rPr>
                <w:sz w:val="22"/>
              </w:rPr>
              <w:t>G</w:t>
            </w:r>
          </w:p>
          <w:p w:rsidR="00000000" w:rsidRDefault="00000000">
            <w:pPr>
              <w:jc w:val="right"/>
              <w:rPr>
                <w:sz w:val="22"/>
              </w:rPr>
            </w:pPr>
            <w:r>
              <w:rPr>
                <w:sz w:val="22"/>
              </w:rPr>
              <w:t>F</w:t>
            </w:r>
          </w:p>
        </w:tc>
        <w:tc>
          <w:tcPr>
            <w:tcW w:w="1919" w:type="dxa"/>
          </w:tcPr>
          <w:p w:rsidR="00000000" w:rsidRDefault="00000000">
            <w:pPr>
              <w:jc w:val="center"/>
              <w:rPr>
                <w:sz w:val="22"/>
              </w:rPr>
            </w:pPr>
            <w:r>
              <w:rPr>
                <w:sz w:val="22"/>
              </w:rPr>
              <w:t>492 143</w:t>
            </w:r>
          </w:p>
          <w:p w:rsidR="00000000" w:rsidRDefault="00000000">
            <w:pPr>
              <w:jc w:val="center"/>
              <w:rPr>
                <w:sz w:val="22"/>
              </w:rPr>
            </w:pPr>
            <w:r>
              <w:rPr>
                <w:sz w:val="22"/>
              </w:rPr>
              <w:t>255 758</w:t>
            </w:r>
          </w:p>
          <w:p w:rsidR="00000000" w:rsidRDefault="00000000">
            <w:pPr>
              <w:jc w:val="center"/>
              <w:rPr>
                <w:sz w:val="22"/>
              </w:rPr>
            </w:pPr>
            <w:r>
              <w:rPr>
                <w:sz w:val="22"/>
              </w:rPr>
              <w:t>236 385</w:t>
            </w:r>
          </w:p>
        </w:tc>
        <w:tc>
          <w:tcPr>
            <w:tcW w:w="1919" w:type="dxa"/>
          </w:tcPr>
          <w:p w:rsidR="00000000" w:rsidRDefault="00000000">
            <w:pPr>
              <w:jc w:val="center"/>
              <w:rPr>
                <w:sz w:val="22"/>
              </w:rPr>
            </w:pPr>
            <w:r>
              <w:rPr>
                <w:sz w:val="22"/>
              </w:rPr>
              <w:t>390 229</w:t>
            </w:r>
          </w:p>
          <w:p w:rsidR="00000000" w:rsidRDefault="00000000">
            <w:pPr>
              <w:jc w:val="center"/>
              <w:rPr>
                <w:sz w:val="22"/>
              </w:rPr>
            </w:pPr>
            <w:r>
              <w:rPr>
                <w:sz w:val="22"/>
              </w:rPr>
              <w:t>194 420</w:t>
            </w:r>
          </w:p>
          <w:p w:rsidR="00000000" w:rsidRDefault="00000000">
            <w:pPr>
              <w:jc w:val="center"/>
              <w:rPr>
                <w:sz w:val="22"/>
              </w:rPr>
            </w:pPr>
            <w:r>
              <w:rPr>
                <w:sz w:val="22"/>
              </w:rPr>
              <w:t>195 809</w:t>
            </w:r>
          </w:p>
        </w:tc>
        <w:tc>
          <w:tcPr>
            <w:tcW w:w="1919" w:type="dxa"/>
          </w:tcPr>
          <w:p w:rsidR="00000000" w:rsidRDefault="00000000">
            <w:pPr>
              <w:jc w:val="center"/>
              <w:rPr>
                <w:sz w:val="22"/>
              </w:rPr>
            </w:pPr>
            <w:r>
              <w:rPr>
                <w:sz w:val="22"/>
              </w:rPr>
              <w:t>126,1</w:t>
            </w:r>
          </w:p>
          <w:p w:rsidR="00000000" w:rsidRDefault="00000000">
            <w:pPr>
              <w:jc w:val="center"/>
              <w:rPr>
                <w:sz w:val="22"/>
              </w:rPr>
            </w:pPr>
            <w:r>
              <w:rPr>
                <w:sz w:val="22"/>
              </w:rPr>
              <w:t>131,5</w:t>
            </w:r>
          </w:p>
          <w:p w:rsidR="00000000" w:rsidRDefault="00000000">
            <w:pPr>
              <w:jc w:val="center"/>
              <w:rPr>
                <w:sz w:val="22"/>
              </w:rPr>
            </w:pPr>
            <w:r>
              <w:rPr>
                <w:sz w:val="22"/>
              </w:rPr>
              <w:t>120,7</w:t>
            </w:r>
          </w:p>
        </w:tc>
        <w:tc>
          <w:tcPr>
            <w:tcW w:w="1920" w:type="dxa"/>
          </w:tcPr>
          <w:p w:rsidR="00000000" w:rsidRDefault="00000000">
            <w:pPr>
              <w:jc w:val="center"/>
              <w:rPr>
                <w:sz w:val="22"/>
              </w:rPr>
            </w:pPr>
          </w:p>
          <w:p w:rsidR="00000000" w:rsidRDefault="00000000">
            <w:pPr>
              <w:jc w:val="center"/>
              <w:rPr>
                <w:sz w:val="22"/>
              </w:rPr>
            </w:pPr>
            <w:r>
              <w:rPr>
                <w:sz w:val="22"/>
              </w:rPr>
              <w:t>0,9</w:t>
            </w:r>
          </w:p>
        </w:tc>
      </w:tr>
      <w:tr w:rsidR="00000000">
        <w:tblPrEx>
          <w:tblCellMar>
            <w:top w:w="0" w:type="dxa"/>
            <w:bottom w:w="0" w:type="dxa"/>
          </w:tblCellMar>
        </w:tblPrEx>
        <w:tc>
          <w:tcPr>
            <w:tcW w:w="1382" w:type="dxa"/>
          </w:tcPr>
          <w:p w:rsidR="00000000" w:rsidRDefault="00000000">
            <w:pPr>
              <w:jc w:val="both"/>
              <w:rPr>
                <w:sz w:val="22"/>
              </w:rPr>
            </w:pPr>
          </w:p>
          <w:p w:rsidR="00000000" w:rsidRDefault="00000000">
            <w:pPr>
              <w:jc w:val="both"/>
              <w:rPr>
                <w:sz w:val="22"/>
              </w:rPr>
            </w:pPr>
            <w:r>
              <w:rPr>
                <w:sz w:val="22"/>
              </w:rPr>
              <w:t>1991</w:t>
            </w:r>
          </w:p>
        </w:tc>
        <w:tc>
          <w:tcPr>
            <w:tcW w:w="760" w:type="dxa"/>
          </w:tcPr>
          <w:p w:rsidR="00000000" w:rsidRDefault="00000000">
            <w:pPr>
              <w:jc w:val="right"/>
              <w:rPr>
                <w:sz w:val="22"/>
              </w:rPr>
            </w:pPr>
            <w:r>
              <w:rPr>
                <w:sz w:val="22"/>
              </w:rPr>
              <w:t>T</w:t>
            </w:r>
          </w:p>
          <w:p w:rsidR="00000000" w:rsidRDefault="00000000">
            <w:pPr>
              <w:jc w:val="right"/>
              <w:rPr>
                <w:sz w:val="22"/>
              </w:rPr>
            </w:pPr>
            <w:r>
              <w:rPr>
                <w:sz w:val="22"/>
              </w:rPr>
              <w:t>G</w:t>
            </w:r>
          </w:p>
          <w:p w:rsidR="00000000" w:rsidRDefault="00000000">
            <w:pPr>
              <w:jc w:val="right"/>
              <w:rPr>
                <w:sz w:val="22"/>
              </w:rPr>
            </w:pPr>
            <w:r>
              <w:rPr>
                <w:sz w:val="22"/>
              </w:rPr>
              <w:t>F</w:t>
            </w:r>
          </w:p>
        </w:tc>
        <w:tc>
          <w:tcPr>
            <w:tcW w:w="1919" w:type="dxa"/>
          </w:tcPr>
          <w:p w:rsidR="00000000" w:rsidRDefault="00000000">
            <w:pPr>
              <w:jc w:val="center"/>
              <w:rPr>
                <w:sz w:val="22"/>
              </w:rPr>
            </w:pPr>
            <w:r>
              <w:rPr>
                <w:sz w:val="22"/>
              </w:rPr>
              <w:t>503 918</w:t>
            </w:r>
          </w:p>
          <w:p w:rsidR="00000000" w:rsidRDefault="00000000">
            <w:pPr>
              <w:jc w:val="center"/>
              <w:rPr>
                <w:sz w:val="22"/>
              </w:rPr>
            </w:pPr>
            <w:r>
              <w:rPr>
                <w:sz w:val="22"/>
              </w:rPr>
              <w:t>269 439</w:t>
            </w:r>
          </w:p>
          <w:p w:rsidR="00000000" w:rsidRDefault="00000000">
            <w:pPr>
              <w:jc w:val="center"/>
              <w:rPr>
                <w:sz w:val="22"/>
              </w:rPr>
            </w:pPr>
            <w:r>
              <w:rPr>
                <w:sz w:val="22"/>
              </w:rPr>
              <w:t>234 479</w:t>
            </w:r>
          </w:p>
        </w:tc>
        <w:tc>
          <w:tcPr>
            <w:tcW w:w="1919" w:type="dxa"/>
          </w:tcPr>
          <w:p w:rsidR="00000000" w:rsidRDefault="00000000">
            <w:pPr>
              <w:jc w:val="center"/>
              <w:rPr>
                <w:sz w:val="22"/>
              </w:rPr>
            </w:pPr>
            <w:r>
              <w:rPr>
                <w:sz w:val="22"/>
              </w:rPr>
              <w:t>404 090</w:t>
            </w:r>
          </w:p>
          <w:p w:rsidR="00000000" w:rsidRDefault="00000000">
            <w:pPr>
              <w:jc w:val="center"/>
              <w:rPr>
                <w:sz w:val="22"/>
              </w:rPr>
            </w:pPr>
            <w:r>
              <w:rPr>
                <w:sz w:val="22"/>
              </w:rPr>
              <w:t>201 746</w:t>
            </w:r>
          </w:p>
          <w:p w:rsidR="00000000" w:rsidRDefault="00000000">
            <w:pPr>
              <w:jc w:val="center"/>
              <w:rPr>
                <w:sz w:val="22"/>
              </w:rPr>
            </w:pPr>
            <w:r>
              <w:rPr>
                <w:sz w:val="22"/>
              </w:rPr>
              <w:t>202 344</w:t>
            </w:r>
          </w:p>
        </w:tc>
        <w:tc>
          <w:tcPr>
            <w:tcW w:w="1919" w:type="dxa"/>
          </w:tcPr>
          <w:p w:rsidR="00000000" w:rsidRDefault="00000000">
            <w:pPr>
              <w:jc w:val="center"/>
              <w:rPr>
                <w:sz w:val="22"/>
              </w:rPr>
            </w:pPr>
            <w:r>
              <w:rPr>
                <w:sz w:val="22"/>
              </w:rPr>
              <w:t>124,7</w:t>
            </w:r>
          </w:p>
          <w:p w:rsidR="00000000" w:rsidRDefault="00000000">
            <w:pPr>
              <w:jc w:val="center"/>
              <w:rPr>
                <w:sz w:val="22"/>
              </w:rPr>
            </w:pPr>
            <w:r>
              <w:rPr>
                <w:sz w:val="22"/>
              </w:rPr>
              <w:t>133,6</w:t>
            </w:r>
          </w:p>
          <w:p w:rsidR="00000000" w:rsidRDefault="00000000">
            <w:pPr>
              <w:jc w:val="center"/>
              <w:rPr>
                <w:sz w:val="22"/>
              </w:rPr>
            </w:pPr>
            <w:r>
              <w:rPr>
                <w:sz w:val="22"/>
              </w:rPr>
              <w:t>115,9</w:t>
            </w:r>
          </w:p>
        </w:tc>
        <w:tc>
          <w:tcPr>
            <w:tcW w:w="1920" w:type="dxa"/>
          </w:tcPr>
          <w:p w:rsidR="00000000" w:rsidRDefault="00000000">
            <w:pPr>
              <w:jc w:val="center"/>
              <w:rPr>
                <w:sz w:val="22"/>
              </w:rPr>
            </w:pPr>
          </w:p>
          <w:p w:rsidR="00000000" w:rsidRDefault="00000000">
            <w:pPr>
              <w:jc w:val="center"/>
              <w:rPr>
                <w:sz w:val="22"/>
              </w:rPr>
            </w:pPr>
            <w:r>
              <w:rPr>
                <w:sz w:val="22"/>
              </w:rPr>
              <w:t>0,9</w:t>
            </w:r>
          </w:p>
        </w:tc>
      </w:tr>
      <w:tr w:rsidR="00000000">
        <w:tblPrEx>
          <w:tblCellMar>
            <w:top w:w="0" w:type="dxa"/>
            <w:bottom w:w="0" w:type="dxa"/>
          </w:tblCellMar>
        </w:tblPrEx>
        <w:tc>
          <w:tcPr>
            <w:tcW w:w="1382" w:type="dxa"/>
          </w:tcPr>
          <w:p w:rsidR="00000000" w:rsidRDefault="00000000">
            <w:pPr>
              <w:jc w:val="both"/>
              <w:rPr>
                <w:sz w:val="22"/>
              </w:rPr>
            </w:pPr>
          </w:p>
          <w:p w:rsidR="00000000" w:rsidRDefault="00000000">
            <w:pPr>
              <w:jc w:val="both"/>
              <w:rPr>
                <w:sz w:val="22"/>
              </w:rPr>
            </w:pPr>
            <w:r>
              <w:rPr>
                <w:sz w:val="22"/>
              </w:rPr>
              <w:t>1992</w:t>
            </w:r>
          </w:p>
        </w:tc>
        <w:tc>
          <w:tcPr>
            <w:tcW w:w="760" w:type="dxa"/>
          </w:tcPr>
          <w:p w:rsidR="00000000" w:rsidRDefault="00000000">
            <w:pPr>
              <w:jc w:val="right"/>
              <w:rPr>
                <w:sz w:val="22"/>
              </w:rPr>
            </w:pPr>
            <w:r>
              <w:rPr>
                <w:sz w:val="22"/>
              </w:rPr>
              <w:t>T</w:t>
            </w:r>
          </w:p>
          <w:p w:rsidR="00000000" w:rsidRDefault="00000000">
            <w:pPr>
              <w:jc w:val="right"/>
              <w:rPr>
                <w:sz w:val="22"/>
              </w:rPr>
            </w:pPr>
            <w:r>
              <w:rPr>
                <w:sz w:val="22"/>
              </w:rPr>
              <w:t>G</w:t>
            </w:r>
          </w:p>
          <w:p w:rsidR="00000000" w:rsidRDefault="00000000">
            <w:pPr>
              <w:jc w:val="right"/>
              <w:rPr>
                <w:sz w:val="22"/>
              </w:rPr>
            </w:pPr>
            <w:r>
              <w:rPr>
                <w:sz w:val="22"/>
              </w:rPr>
              <w:t>F</w:t>
            </w:r>
          </w:p>
        </w:tc>
        <w:tc>
          <w:tcPr>
            <w:tcW w:w="1919" w:type="dxa"/>
          </w:tcPr>
          <w:p w:rsidR="00000000" w:rsidRDefault="00000000">
            <w:pPr>
              <w:jc w:val="center"/>
              <w:rPr>
                <w:sz w:val="22"/>
              </w:rPr>
            </w:pPr>
            <w:r>
              <w:rPr>
                <w:sz w:val="22"/>
              </w:rPr>
              <w:t>490 122</w:t>
            </w:r>
          </w:p>
          <w:p w:rsidR="00000000" w:rsidRDefault="00000000">
            <w:pPr>
              <w:jc w:val="center"/>
              <w:rPr>
                <w:sz w:val="22"/>
              </w:rPr>
            </w:pPr>
            <w:r>
              <w:rPr>
                <w:sz w:val="22"/>
              </w:rPr>
              <w:t>254 345</w:t>
            </w:r>
          </w:p>
          <w:p w:rsidR="00000000" w:rsidRDefault="00000000">
            <w:pPr>
              <w:jc w:val="center"/>
              <w:rPr>
                <w:sz w:val="22"/>
              </w:rPr>
            </w:pPr>
            <w:r>
              <w:rPr>
                <w:sz w:val="22"/>
              </w:rPr>
              <w:t>235 774</w:t>
            </w:r>
          </w:p>
        </w:tc>
        <w:tc>
          <w:tcPr>
            <w:tcW w:w="1919" w:type="dxa"/>
          </w:tcPr>
          <w:p w:rsidR="00000000" w:rsidRDefault="00000000">
            <w:pPr>
              <w:jc w:val="center"/>
              <w:rPr>
                <w:sz w:val="22"/>
              </w:rPr>
            </w:pPr>
            <w:r>
              <w:rPr>
                <w:sz w:val="22"/>
              </w:rPr>
              <w:t>419 772</w:t>
            </w:r>
          </w:p>
          <w:p w:rsidR="00000000" w:rsidRDefault="00000000">
            <w:pPr>
              <w:jc w:val="center"/>
              <w:rPr>
                <w:sz w:val="22"/>
              </w:rPr>
            </w:pPr>
            <w:r>
              <w:rPr>
                <w:sz w:val="22"/>
              </w:rPr>
              <w:t>210 017</w:t>
            </w:r>
          </w:p>
          <w:p w:rsidR="00000000" w:rsidRDefault="00000000">
            <w:pPr>
              <w:jc w:val="center"/>
              <w:rPr>
                <w:sz w:val="22"/>
              </w:rPr>
            </w:pPr>
            <w:r>
              <w:rPr>
                <w:sz w:val="22"/>
              </w:rPr>
              <w:t>209 755</w:t>
            </w:r>
          </w:p>
        </w:tc>
        <w:tc>
          <w:tcPr>
            <w:tcW w:w="1919" w:type="dxa"/>
          </w:tcPr>
          <w:p w:rsidR="00000000" w:rsidRDefault="00000000">
            <w:pPr>
              <w:jc w:val="center"/>
              <w:rPr>
                <w:sz w:val="22"/>
              </w:rPr>
            </w:pPr>
            <w:r>
              <w:rPr>
                <w:sz w:val="22"/>
              </w:rPr>
              <w:t>116,8</w:t>
            </w:r>
          </w:p>
          <w:p w:rsidR="00000000" w:rsidRDefault="00000000">
            <w:pPr>
              <w:jc w:val="center"/>
              <w:rPr>
                <w:sz w:val="22"/>
              </w:rPr>
            </w:pPr>
            <w:r>
              <w:rPr>
                <w:sz w:val="22"/>
              </w:rPr>
              <w:t>121,1</w:t>
            </w:r>
          </w:p>
          <w:p w:rsidR="00000000" w:rsidRDefault="00000000">
            <w:pPr>
              <w:jc w:val="center"/>
              <w:rPr>
                <w:sz w:val="22"/>
              </w:rPr>
            </w:pPr>
            <w:r>
              <w:rPr>
                <w:sz w:val="22"/>
              </w:rPr>
              <w:t>112,4</w:t>
            </w:r>
          </w:p>
        </w:tc>
        <w:tc>
          <w:tcPr>
            <w:tcW w:w="1920" w:type="dxa"/>
          </w:tcPr>
          <w:p w:rsidR="00000000" w:rsidRDefault="00000000">
            <w:pPr>
              <w:jc w:val="center"/>
              <w:rPr>
                <w:sz w:val="22"/>
              </w:rPr>
            </w:pPr>
          </w:p>
          <w:p w:rsidR="00000000" w:rsidRDefault="00000000">
            <w:pPr>
              <w:jc w:val="center"/>
              <w:rPr>
                <w:sz w:val="22"/>
              </w:rPr>
            </w:pPr>
            <w:r>
              <w:rPr>
                <w:sz w:val="22"/>
              </w:rPr>
              <w:t>0,9</w:t>
            </w:r>
          </w:p>
        </w:tc>
      </w:tr>
      <w:tr w:rsidR="00000000">
        <w:tblPrEx>
          <w:tblCellMar>
            <w:top w:w="0" w:type="dxa"/>
            <w:bottom w:w="0" w:type="dxa"/>
          </w:tblCellMar>
        </w:tblPrEx>
        <w:tc>
          <w:tcPr>
            <w:tcW w:w="1382" w:type="dxa"/>
          </w:tcPr>
          <w:p w:rsidR="00000000" w:rsidRDefault="00000000">
            <w:pPr>
              <w:jc w:val="both"/>
              <w:rPr>
                <w:sz w:val="22"/>
              </w:rPr>
            </w:pPr>
          </w:p>
          <w:p w:rsidR="00000000" w:rsidRDefault="00000000">
            <w:pPr>
              <w:jc w:val="both"/>
              <w:rPr>
                <w:sz w:val="22"/>
              </w:rPr>
            </w:pPr>
            <w:r>
              <w:rPr>
                <w:sz w:val="22"/>
              </w:rPr>
              <w:t>1993</w:t>
            </w:r>
          </w:p>
        </w:tc>
        <w:tc>
          <w:tcPr>
            <w:tcW w:w="760" w:type="dxa"/>
          </w:tcPr>
          <w:p w:rsidR="00000000" w:rsidRDefault="00000000">
            <w:pPr>
              <w:jc w:val="right"/>
              <w:rPr>
                <w:sz w:val="22"/>
              </w:rPr>
            </w:pPr>
            <w:r>
              <w:rPr>
                <w:sz w:val="22"/>
              </w:rPr>
              <w:t>T</w:t>
            </w:r>
          </w:p>
          <w:p w:rsidR="00000000" w:rsidRDefault="00000000">
            <w:pPr>
              <w:jc w:val="right"/>
              <w:rPr>
                <w:sz w:val="22"/>
              </w:rPr>
            </w:pPr>
            <w:r>
              <w:rPr>
                <w:sz w:val="22"/>
              </w:rPr>
              <w:t>G</w:t>
            </w:r>
          </w:p>
          <w:p w:rsidR="00000000" w:rsidRDefault="00000000">
            <w:pPr>
              <w:jc w:val="right"/>
              <w:rPr>
                <w:sz w:val="22"/>
              </w:rPr>
            </w:pPr>
            <w:r>
              <w:rPr>
                <w:sz w:val="22"/>
              </w:rPr>
              <w:t>F</w:t>
            </w:r>
          </w:p>
        </w:tc>
        <w:tc>
          <w:tcPr>
            <w:tcW w:w="1919" w:type="dxa"/>
          </w:tcPr>
          <w:p w:rsidR="00000000" w:rsidRDefault="00000000">
            <w:pPr>
              <w:jc w:val="center"/>
              <w:rPr>
                <w:sz w:val="22"/>
              </w:rPr>
            </w:pPr>
            <w:r>
              <w:rPr>
                <w:sz w:val="22"/>
              </w:rPr>
              <w:t>510 223</w:t>
            </w:r>
          </w:p>
          <w:p w:rsidR="00000000" w:rsidRDefault="00000000">
            <w:pPr>
              <w:jc w:val="center"/>
              <w:rPr>
                <w:sz w:val="22"/>
              </w:rPr>
            </w:pPr>
            <w:r>
              <w:rPr>
                <w:sz w:val="22"/>
              </w:rPr>
              <w:t>265 401</w:t>
            </w:r>
          </w:p>
          <w:p w:rsidR="00000000" w:rsidRDefault="00000000">
            <w:pPr>
              <w:jc w:val="center"/>
              <w:rPr>
                <w:sz w:val="22"/>
              </w:rPr>
            </w:pPr>
            <w:r>
              <w:rPr>
                <w:sz w:val="22"/>
              </w:rPr>
              <w:t>244 822</w:t>
            </w:r>
          </w:p>
        </w:tc>
        <w:tc>
          <w:tcPr>
            <w:tcW w:w="1919" w:type="dxa"/>
          </w:tcPr>
          <w:p w:rsidR="00000000" w:rsidRDefault="00000000">
            <w:pPr>
              <w:jc w:val="center"/>
              <w:rPr>
                <w:sz w:val="22"/>
              </w:rPr>
            </w:pPr>
            <w:r>
              <w:rPr>
                <w:sz w:val="22"/>
              </w:rPr>
              <w:t>437 516</w:t>
            </w:r>
          </w:p>
          <w:p w:rsidR="00000000" w:rsidRDefault="00000000">
            <w:pPr>
              <w:jc w:val="center"/>
              <w:rPr>
                <w:sz w:val="22"/>
              </w:rPr>
            </w:pPr>
            <w:r>
              <w:rPr>
                <w:sz w:val="22"/>
              </w:rPr>
              <w:t>219 372</w:t>
            </w:r>
          </w:p>
          <w:p w:rsidR="00000000" w:rsidRDefault="00000000">
            <w:pPr>
              <w:jc w:val="center"/>
              <w:rPr>
                <w:sz w:val="22"/>
              </w:rPr>
            </w:pPr>
            <w:r>
              <w:rPr>
                <w:sz w:val="22"/>
              </w:rPr>
              <w:t>211 814</w:t>
            </w:r>
          </w:p>
        </w:tc>
        <w:tc>
          <w:tcPr>
            <w:tcW w:w="1919" w:type="dxa"/>
          </w:tcPr>
          <w:p w:rsidR="00000000" w:rsidRDefault="00000000">
            <w:pPr>
              <w:jc w:val="center"/>
              <w:rPr>
                <w:sz w:val="22"/>
              </w:rPr>
            </w:pPr>
            <w:r>
              <w:rPr>
                <w:sz w:val="22"/>
              </w:rPr>
              <w:t>116,6</w:t>
            </w:r>
          </w:p>
          <w:p w:rsidR="00000000" w:rsidRDefault="00000000">
            <w:pPr>
              <w:jc w:val="center"/>
              <w:rPr>
                <w:sz w:val="22"/>
              </w:rPr>
            </w:pPr>
            <w:r>
              <w:rPr>
                <w:sz w:val="22"/>
              </w:rPr>
              <w:t>121,0</w:t>
            </w:r>
          </w:p>
          <w:p w:rsidR="00000000" w:rsidRDefault="00000000">
            <w:pPr>
              <w:jc w:val="center"/>
              <w:rPr>
                <w:sz w:val="22"/>
              </w:rPr>
            </w:pPr>
            <w:r>
              <w:rPr>
                <w:sz w:val="22"/>
              </w:rPr>
              <w:t>112,2</w:t>
            </w:r>
          </w:p>
        </w:tc>
        <w:tc>
          <w:tcPr>
            <w:tcW w:w="1920" w:type="dxa"/>
          </w:tcPr>
          <w:p w:rsidR="00000000" w:rsidRDefault="00000000">
            <w:pPr>
              <w:jc w:val="center"/>
              <w:rPr>
                <w:sz w:val="22"/>
              </w:rPr>
            </w:pPr>
          </w:p>
          <w:p w:rsidR="00000000" w:rsidRDefault="00000000">
            <w:pPr>
              <w:jc w:val="center"/>
              <w:rPr>
                <w:sz w:val="22"/>
              </w:rPr>
            </w:pPr>
            <w:r>
              <w:rPr>
                <w:sz w:val="22"/>
              </w:rPr>
              <w:t>0,9</w:t>
            </w:r>
          </w:p>
        </w:tc>
      </w:tr>
      <w:tr w:rsidR="00000000">
        <w:tblPrEx>
          <w:tblCellMar>
            <w:top w:w="0" w:type="dxa"/>
            <w:bottom w:w="0" w:type="dxa"/>
          </w:tblCellMar>
        </w:tblPrEx>
        <w:tc>
          <w:tcPr>
            <w:tcW w:w="1382" w:type="dxa"/>
          </w:tcPr>
          <w:p w:rsidR="00000000" w:rsidRDefault="00000000">
            <w:pPr>
              <w:jc w:val="both"/>
              <w:rPr>
                <w:sz w:val="22"/>
              </w:rPr>
            </w:pPr>
          </w:p>
          <w:p w:rsidR="00000000" w:rsidRDefault="00000000">
            <w:pPr>
              <w:jc w:val="both"/>
              <w:rPr>
                <w:sz w:val="22"/>
              </w:rPr>
            </w:pPr>
            <w:r>
              <w:rPr>
                <w:sz w:val="22"/>
              </w:rPr>
              <w:t>1994</w:t>
            </w:r>
          </w:p>
        </w:tc>
        <w:tc>
          <w:tcPr>
            <w:tcW w:w="760" w:type="dxa"/>
          </w:tcPr>
          <w:p w:rsidR="00000000" w:rsidRDefault="00000000">
            <w:pPr>
              <w:jc w:val="right"/>
              <w:rPr>
                <w:sz w:val="22"/>
              </w:rPr>
            </w:pPr>
            <w:r>
              <w:rPr>
                <w:sz w:val="22"/>
              </w:rPr>
              <w:t>T</w:t>
            </w:r>
          </w:p>
          <w:p w:rsidR="00000000" w:rsidRDefault="00000000">
            <w:pPr>
              <w:jc w:val="right"/>
              <w:rPr>
                <w:sz w:val="22"/>
              </w:rPr>
            </w:pPr>
            <w:r>
              <w:rPr>
                <w:sz w:val="22"/>
              </w:rPr>
              <w:t>G</w:t>
            </w:r>
          </w:p>
          <w:p w:rsidR="00000000" w:rsidRDefault="00000000">
            <w:pPr>
              <w:jc w:val="right"/>
              <w:rPr>
                <w:sz w:val="22"/>
              </w:rPr>
            </w:pPr>
            <w:r>
              <w:rPr>
                <w:sz w:val="22"/>
              </w:rPr>
              <w:t>F</w:t>
            </w:r>
          </w:p>
        </w:tc>
        <w:tc>
          <w:tcPr>
            <w:tcW w:w="1919" w:type="dxa"/>
          </w:tcPr>
          <w:p w:rsidR="00000000" w:rsidRDefault="00000000">
            <w:pPr>
              <w:jc w:val="center"/>
              <w:rPr>
                <w:sz w:val="22"/>
              </w:rPr>
            </w:pPr>
            <w:r>
              <w:rPr>
                <w:sz w:val="22"/>
              </w:rPr>
              <w:t>498 961</w:t>
            </w:r>
          </w:p>
          <w:p w:rsidR="00000000" w:rsidRDefault="00000000">
            <w:pPr>
              <w:jc w:val="center"/>
              <w:rPr>
                <w:sz w:val="22"/>
              </w:rPr>
            </w:pPr>
            <w:r>
              <w:rPr>
                <w:sz w:val="22"/>
              </w:rPr>
              <w:t>259 282</w:t>
            </w:r>
          </w:p>
          <w:p w:rsidR="00000000" w:rsidRDefault="00000000">
            <w:pPr>
              <w:jc w:val="center"/>
              <w:rPr>
                <w:sz w:val="22"/>
              </w:rPr>
            </w:pPr>
            <w:r>
              <w:rPr>
                <w:sz w:val="22"/>
              </w:rPr>
              <w:t>239 679</w:t>
            </w:r>
          </w:p>
        </w:tc>
        <w:tc>
          <w:tcPr>
            <w:tcW w:w="1919" w:type="dxa"/>
          </w:tcPr>
          <w:p w:rsidR="00000000" w:rsidRDefault="00000000">
            <w:pPr>
              <w:jc w:val="center"/>
              <w:rPr>
                <w:sz w:val="22"/>
              </w:rPr>
            </w:pPr>
            <w:r>
              <w:rPr>
                <w:sz w:val="22"/>
              </w:rPr>
              <w:t>457 560</w:t>
            </w:r>
          </w:p>
          <w:p w:rsidR="00000000" w:rsidRDefault="00000000">
            <w:pPr>
              <w:jc w:val="center"/>
              <w:rPr>
                <w:sz w:val="22"/>
              </w:rPr>
            </w:pPr>
            <w:r>
              <w:rPr>
                <w:sz w:val="22"/>
              </w:rPr>
              <w:t>229 872</w:t>
            </w:r>
          </w:p>
          <w:p w:rsidR="00000000" w:rsidRDefault="00000000">
            <w:pPr>
              <w:jc w:val="center"/>
              <w:rPr>
                <w:sz w:val="22"/>
              </w:rPr>
            </w:pPr>
            <w:r>
              <w:rPr>
                <w:sz w:val="22"/>
              </w:rPr>
              <w:t>227 688</w:t>
            </w:r>
          </w:p>
        </w:tc>
        <w:tc>
          <w:tcPr>
            <w:tcW w:w="1919" w:type="dxa"/>
          </w:tcPr>
          <w:p w:rsidR="00000000" w:rsidRDefault="00000000">
            <w:pPr>
              <w:jc w:val="center"/>
              <w:rPr>
                <w:sz w:val="22"/>
              </w:rPr>
            </w:pPr>
            <w:r>
              <w:rPr>
                <w:sz w:val="22"/>
              </w:rPr>
              <w:t>109,0</w:t>
            </w:r>
          </w:p>
          <w:p w:rsidR="00000000" w:rsidRDefault="00000000">
            <w:pPr>
              <w:jc w:val="center"/>
              <w:rPr>
                <w:sz w:val="22"/>
              </w:rPr>
            </w:pPr>
            <w:r>
              <w:rPr>
                <w:sz w:val="22"/>
              </w:rPr>
              <w:t>112,8</w:t>
            </w:r>
          </w:p>
          <w:p w:rsidR="00000000" w:rsidRDefault="00000000">
            <w:pPr>
              <w:jc w:val="center"/>
              <w:rPr>
                <w:sz w:val="22"/>
              </w:rPr>
            </w:pPr>
            <w:r>
              <w:rPr>
                <w:sz w:val="22"/>
              </w:rPr>
              <w:t>105,3</w:t>
            </w:r>
          </w:p>
        </w:tc>
        <w:tc>
          <w:tcPr>
            <w:tcW w:w="1920" w:type="dxa"/>
          </w:tcPr>
          <w:p w:rsidR="00000000" w:rsidRDefault="00000000">
            <w:pPr>
              <w:jc w:val="center"/>
              <w:rPr>
                <w:sz w:val="22"/>
              </w:rPr>
            </w:pPr>
          </w:p>
          <w:p w:rsidR="00000000" w:rsidRDefault="00000000">
            <w:pPr>
              <w:jc w:val="center"/>
              <w:rPr>
                <w:sz w:val="22"/>
              </w:rPr>
            </w:pPr>
            <w:r>
              <w:rPr>
                <w:sz w:val="22"/>
              </w:rPr>
              <w:t>0,9</w:t>
            </w:r>
          </w:p>
        </w:tc>
      </w:tr>
      <w:tr w:rsidR="00000000">
        <w:tblPrEx>
          <w:tblCellMar>
            <w:top w:w="0" w:type="dxa"/>
            <w:bottom w:w="0" w:type="dxa"/>
          </w:tblCellMar>
        </w:tblPrEx>
        <w:tc>
          <w:tcPr>
            <w:tcW w:w="1382" w:type="dxa"/>
          </w:tcPr>
          <w:p w:rsidR="00000000" w:rsidRDefault="00000000">
            <w:pPr>
              <w:jc w:val="both"/>
              <w:rPr>
                <w:sz w:val="22"/>
              </w:rPr>
            </w:pPr>
          </w:p>
          <w:p w:rsidR="00000000" w:rsidRDefault="00000000">
            <w:pPr>
              <w:jc w:val="both"/>
              <w:rPr>
                <w:sz w:val="22"/>
              </w:rPr>
            </w:pPr>
            <w:r>
              <w:rPr>
                <w:sz w:val="22"/>
              </w:rPr>
              <w:t>1995</w:t>
            </w:r>
          </w:p>
        </w:tc>
        <w:tc>
          <w:tcPr>
            <w:tcW w:w="760" w:type="dxa"/>
          </w:tcPr>
          <w:p w:rsidR="00000000" w:rsidRDefault="00000000">
            <w:pPr>
              <w:jc w:val="right"/>
              <w:rPr>
                <w:sz w:val="22"/>
              </w:rPr>
            </w:pPr>
            <w:r>
              <w:rPr>
                <w:sz w:val="22"/>
              </w:rPr>
              <w:t>T</w:t>
            </w:r>
          </w:p>
          <w:p w:rsidR="00000000" w:rsidRDefault="00000000">
            <w:pPr>
              <w:jc w:val="right"/>
              <w:rPr>
                <w:sz w:val="22"/>
              </w:rPr>
            </w:pPr>
            <w:r>
              <w:rPr>
                <w:sz w:val="22"/>
              </w:rPr>
              <w:t>G</w:t>
            </w:r>
          </w:p>
          <w:p w:rsidR="00000000" w:rsidRDefault="00000000">
            <w:pPr>
              <w:jc w:val="right"/>
              <w:rPr>
                <w:sz w:val="22"/>
              </w:rPr>
            </w:pPr>
            <w:r>
              <w:rPr>
                <w:sz w:val="22"/>
              </w:rPr>
              <w:t>F</w:t>
            </w:r>
          </w:p>
        </w:tc>
        <w:tc>
          <w:tcPr>
            <w:tcW w:w="1919" w:type="dxa"/>
          </w:tcPr>
          <w:p w:rsidR="00000000" w:rsidRDefault="00000000">
            <w:pPr>
              <w:jc w:val="center"/>
              <w:rPr>
                <w:sz w:val="22"/>
              </w:rPr>
            </w:pPr>
            <w:r>
              <w:rPr>
                <w:sz w:val="22"/>
              </w:rPr>
              <w:t>511 401</w:t>
            </w:r>
          </w:p>
          <w:p w:rsidR="00000000" w:rsidRDefault="00000000">
            <w:pPr>
              <w:jc w:val="center"/>
              <w:rPr>
                <w:sz w:val="22"/>
              </w:rPr>
            </w:pPr>
            <w:r>
              <w:rPr>
                <w:sz w:val="22"/>
              </w:rPr>
              <w:t>277 514</w:t>
            </w:r>
          </w:p>
          <w:p w:rsidR="00000000" w:rsidRDefault="00000000">
            <w:pPr>
              <w:jc w:val="center"/>
              <w:rPr>
                <w:sz w:val="22"/>
              </w:rPr>
            </w:pPr>
            <w:r>
              <w:rPr>
                <w:sz w:val="22"/>
              </w:rPr>
              <w:t>233 887</w:t>
            </w:r>
          </w:p>
        </w:tc>
        <w:tc>
          <w:tcPr>
            <w:tcW w:w="1919" w:type="dxa"/>
          </w:tcPr>
          <w:p w:rsidR="00000000" w:rsidRDefault="00000000">
            <w:pPr>
              <w:jc w:val="center"/>
              <w:rPr>
                <w:sz w:val="22"/>
              </w:rPr>
            </w:pPr>
            <w:r>
              <w:rPr>
                <w:sz w:val="22"/>
              </w:rPr>
              <w:t>480 848</w:t>
            </w:r>
          </w:p>
          <w:p w:rsidR="00000000" w:rsidRDefault="00000000">
            <w:pPr>
              <w:jc w:val="center"/>
              <w:rPr>
                <w:sz w:val="22"/>
              </w:rPr>
            </w:pPr>
            <w:r>
              <w:rPr>
                <w:sz w:val="22"/>
              </w:rPr>
              <w:t>242 043</w:t>
            </w:r>
          </w:p>
          <w:p w:rsidR="00000000" w:rsidRDefault="00000000">
            <w:pPr>
              <w:jc w:val="center"/>
              <w:rPr>
                <w:sz w:val="22"/>
              </w:rPr>
            </w:pPr>
            <w:r>
              <w:rPr>
                <w:sz w:val="22"/>
              </w:rPr>
              <w:t>238 805</w:t>
            </w:r>
          </w:p>
        </w:tc>
        <w:tc>
          <w:tcPr>
            <w:tcW w:w="1919" w:type="dxa"/>
          </w:tcPr>
          <w:p w:rsidR="00000000" w:rsidRDefault="00000000">
            <w:pPr>
              <w:jc w:val="center"/>
              <w:rPr>
                <w:sz w:val="22"/>
              </w:rPr>
            </w:pPr>
            <w:r>
              <w:rPr>
                <w:sz w:val="22"/>
              </w:rPr>
              <w:t>106,4</w:t>
            </w:r>
          </w:p>
          <w:p w:rsidR="00000000" w:rsidRDefault="00000000">
            <w:pPr>
              <w:jc w:val="center"/>
              <w:rPr>
                <w:sz w:val="22"/>
              </w:rPr>
            </w:pPr>
            <w:r>
              <w:rPr>
                <w:sz w:val="22"/>
              </w:rPr>
              <w:t>114,7</w:t>
            </w:r>
          </w:p>
          <w:p w:rsidR="00000000" w:rsidRDefault="00000000">
            <w:pPr>
              <w:jc w:val="center"/>
              <w:rPr>
                <w:sz w:val="22"/>
              </w:rPr>
            </w:pPr>
            <w:r>
              <w:rPr>
                <w:sz w:val="22"/>
              </w:rPr>
              <w:t>97,9</w:t>
            </w:r>
          </w:p>
        </w:tc>
        <w:tc>
          <w:tcPr>
            <w:tcW w:w="1920" w:type="dxa"/>
          </w:tcPr>
          <w:p w:rsidR="00000000" w:rsidRDefault="00000000">
            <w:pPr>
              <w:jc w:val="center"/>
              <w:rPr>
                <w:sz w:val="22"/>
              </w:rPr>
            </w:pPr>
          </w:p>
          <w:p w:rsidR="00000000" w:rsidRDefault="00000000">
            <w:pPr>
              <w:jc w:val="center"/>
              <w:rPr>
                <w:sz w:val="22"/>
              </w:rPr>
            </w:pPr>
            <w:r>
              <w:rPr>
                <w:sz w:val="22"/>
              </w:rPr>
              <w:t>0,9</w:t>
            </w:r>
          </w:p>
        </w:tc>
      </w:tr>
      <w:tr w:rsidR="00000000">
        <w:tblPrEx>
          <w:tblCellMar>
            <w:top w:w="0" w:type="dxa"/>
            <w:bottom w:w="0" w:type="dxa"/>
          </w:tblCellMar>
        </w:tblPrEx>
        <w:tc>
          <w:tcPr>
            <w:tcW w:w="1382" w:type="dxa"/>
          </w:tcPr>
          <w:p w:rsidR="00000000" w:rsidRDefault="00000000">
            <w:pPr>
              <w:jc w:val="both"/>
              <w:rPr>
                <w:sz w:val="22"/>
              </w:rPr>
            </w:pPr>
          </w:p>
          <w:p w:rsidR="00000000" w:rsidRDefault="00000000">
            <w:pPr>
              <w:jc w:val="both"/>
              <w:rPr>
                <w:sz w:val="22"/>
              </w:rPr>
            </w:pPr>
            <w:r>
              <w:rPr>
                <w:sz w:val="22"/>
              </w:rPr>
              <w:t>1996</w:t>
            </w:r>
          </w:p>
        </w:tc>
        <w:tc>
          <w:tcPr>
            <w:tcW w:w="760" w:type="dxa"/>
          </w:tcPr>
          <w:p w:rsidR="00000000" w:rsidRDefault="00000000">
            <w:pPr>
              <w:jc w:val="right"/>
              <w:rPr>
                <w:sz w:val="22"/>
              </w:rPr>
            </w:pPr>
            <w:r>
              <w:rPr>
                <w:sz w:val="22"/>
              </w:rPr>
              <w:t>T</w:t>
            </w:r>
          </w:p>
          <w:p w:rsidR="00000000" w:rsidRDefault="00000000">
            <w:pPr>
              <w:jc w:val="right"/>
              <w:rPr>
                <w:sz w:val="22"/>
              </w:rPr>
            </w:pPr>
            <w:r>
              <w:rPr>
                <w:sz w:val="22"/>
              </w:rPr>
              <w:t>G</w:t>
            </w:r>
          </w:p>
          <w:p w:rsidR="00000000" w:rsidRDefault="00000000">
            <w:pPr>
              <w:jc w:val="right"/>
              <w:rPr>
                <w:sz w:val="22"/>
              </w:rPr>
            </w:pPr>
            <w:r>
              <w:rPr>
                <w:sz w:val="22"/>
              </w:rPr>
              <w:t>F</w:t>
            </w:r>
          </w:p>
        </w:tc>
        <w:tc>
          <w:tcPr>
            <w:tcW w:w="1919" w:type="dxa"/>
          </w:tcPr>
          <w:p w:rsidR="00000000" w:rsidRDefault="00000000">
            <w:pPr>
              <w:jc w:val="center"/>
              <w:rPr>
                <w:sz w:val="22"/>
              </w:rPr>
            </w:pPr>
            <w:r>
              <w:rPr>
                <w:sz w:val="22"/>
              </w:rPr>
              <w:t>512 935</w:t>
            </w:r>
          </w:p>
          <w:p w:rsidR="00000000" w:rsidRDefault="00000000">
            <w:pPr>
              <w:jc w:val="center"/>
              <w:rPr>
                <w:sz w:val="22"/>
              </w:rPr>
            </w:pPr>
            <w:r>
              <w:rPr>
                <w:sz w:val="22"/>
              </w:rPr>
              <w:t>271 855</w:t>
            </w:r>
          </w:p>
          <w:p w:rsidR="00000000" w:rsidRDefault="00000000">
            <w:pPr>
              <w:jc w:val="center"/>
              <w:rPr>
                <w:sz w:val="22"/>
              </w:rPr>
            </w:pPr>
            <w:r>
              <w:rPr>
                <w:sz w:val="22"/>
              </w:rPr>
              <w:t>241 080</w:t>
            </w:r>
          </w:p>
        </w:tc>
        <w:tc>
          <w:tcPr>
            <w:tcW w:w="1919" w:type="dxa"/>
          </w:tcPr>
          <w:p w:rsidR="00000000" w:rsidRDefault="00000000">
            <w:pPr>
              <w:jc w:val="center"/>
              <w:rPr>
                <w:sz w:val="22"/>
              </w:rPr>
            </w:pPr>
            <w:r>
              <w:rPr>
                <w:sz w:val="22"/>
              </w:rPr>
              <w:t>500 898</w:t>
            </w:r>
          </w:p>
          <w:p w:rsidR="00000000" w:rsidRDefault="00000000">
            <w:pPr>
              <w:jc w:val="center"/>
              <w:rPr>
                <w:sz w:val="22"/>
              </w:rPr>
            </w:pPr>
            <w:r>
              <w:rPr>
                <w:sz w:val="22"/>
              </w:rPr>
              <w:t>252 395</w:t>
            </w:r>
          </w:p>
          <w:p w:rsidR="00000000" w:rsidRDefault="00000000">
            <w:pPr>
              <w:jc w:val="center"/>
              <w:rPr>
                <w:sz w:val="22"/>
              </w:rPr>
            </w:pPr>
            <w:r>
              <w:rPr>
                <w:sz w:val="22"/>
              </w:rPr>
              <w:t>248 503</w:t>
            </w:r>
          </w:p>
        </w:tc>
        <w:tc>
          <w:tcPr>
            <w:tcW w:w="1919" w:type="dxa"/>
          </w:tcPr>
          <w:p w:rsidR="00000000" w:rsidRDefault="00000000">
            <w:pPr>
              <w:jc w:val="center"/>
              <w:rPr>
                <w:sz w:val="22"/>
              </w:rPr>
            </w:pPr>
            <w:r>
              <w:rPr>
                <w:sz w:val="22"/>
              </w:rPr>
              <w:t>102,4</w:t>
            </w:r>
          </w:p>
          <w:p w:rsidR="00000000" w:rsidRDefault="00000000">
            <w:pPr>
              <w:jc w:val="center"/>
              <w:rPr>
                <w:sz w:val="22"/>
              </w:rPr>
            </w:pPr>
            <w:r>
              <w:rPr>
                <w:sz w:val="22"/>
              </w:rPr>
              <w:t>107,7</w:t>
            </w:r>
          </w:p>
          <w:p w:rsidR="00000000" w:rsidRDefault="00000000">
            <w:pPr>
              <w:jc w:val="center"/>
              <w:rPr>
                <w:sz w:val="22"/>
              </w:rPr>
            </w:pPr>
            <w:r>
              <w:rPr>
                <w:sz w:val="22"/>
              </w:rPr>
              <w:t>97,0</w:t>
            </w:r>
          </w:p>
        </w:tc>
        <w:tc>
          <w:tcPr>
            <w:tcW w:w="1920" w:type="dxa"/>
          </w:tcPr>
          <w:p w:rsidR="00000000" w:rsidRDefault="00000000">
            <w:pPr>
              <w:jc w:val="center"/>
              <w:rPr>
                <w:sz w:val="22"/>
              </w:rPr>
            </w:pPr>
          </w:p>
          <w:p w:rsidR="00000000" w:rsidRDefault="00000000">
            <w:pPr>
              <w:jc w:val="center"/>
              <w:rPr>
                <w:sz w:val="22"/>
              </w:rPr>
            </w:pPr>
            <w:r>
              <w:rPr>
                <w:sz w:val="22"/>
              </w:rPr>
              <w:t>0,9</w:t>
            </w:r>
          </w:p>
        </w:tc>
      </w:tr>
      <w:tr w:rsidR="00000000">
        <w:tblPrEx>
          <w:tblCellMar>
            <w:top w:w="0" w:type="dxa"/>
            <w:bottom w:w="0" w:type="dxa"/>
          </w:tblCellMar>
        </w:tblPrEx>
        <w:tc>
          <w:tcPr>
            <w:tcW w:w="1382" w:type="dxa"/>
          </w:tcPr>
          <w:p w:rsidR="00000000" w:rsidRDefault="00000000">
            <w:pPr>
              <w:jc w:val="both"/>
              <w:rPr>
                <w:sz w:val="22"/>
              </w:rPr>
            </w:pPr>
          </w:p>
          <w:p w:rsidR="00000000" w:rsidRDefault="00000000">
            <w:pPr>
              <w:jc w:val="both"/>
              <w:rPr>
                <w:sz w:val="22"/>
              </w:rPr>
            </w:pPr>
            <w:r>
              <w:rPr>
                <w:sz w:val="22"/>
              </w:rPr>
              <w:t>1997</w:t>
            </w:r>
          </w:p>
        </w:tc>
        <w:tc>
          <w:tcPr>
            <w:tcW w:w="760" w:type="dxa"/>
          </w:tcPr>
          <w:p w:rsidR="00000000" w:rsidRDefault="00000000">
            <w:pPr>
              <w:jc w:val="right"/>
              <w:rPr>
                <w:sz w:val="22"/>
              </w:rPr>
            </w:pPr>
            <w:r>
              <w:rPr>
                <w:sz w:val="22"/>
              </w:rPr>
              <w:t>T</w:t>
            </w:r>
          </w:p>
          <w:p w:rsidR="00000000" w:rsidRDefault="00000000">
            <w:pPr>
              <w:jc w:val="right"/>
              <w:rPr>
                <w:sz w:val="22"/>
              </w:rPr>
            </w:pPr>
            <w:r>
              <w:rPr>
                <w:sz w:val="22"/>
              </w:rPr>
              <w:t>G</w:t>
            </w:r>
          </w:p>
          <w:p w:rsidR="00000000" w:rsidRDefault="00000000">
            <w:pPr>
              <w:jc w:val="right"/>
              <w:rPr>
                <w:sz w:val="22"/>
              </w:rPr>
            </w:pPr>
            <w:r>
              <w:rPr>
                <w:sz w:val="22"/>
              </w:rPr>
              <w:t>F</w:t>
            </w:r>
          </w:p>
        </w:tc>
        <w:tc>
          <w:tcPr>
            <w:tcW w:w="1919" w:type="dxa"/>
          </w:tcPr>
          <w:p w:rsidR="00000000" w:rsidRDefault="00000000">
            <w:pPr>
              <w:jc w:val="center"/>
              <w:rPr>
                <w:sz w:val="22"/>
              </w:rPr>
            </w:pPr>
            <w:r>
              <w:rPr>
                <w:sz w:val="22"/>
              </w:rPr>
              <w:t>499 485</w:t>
            </w:r>
          </w:p>
          <w:p w:rsidR="00000000" w:rsidRDefault="00000000">
            <w:pPr>
              <w:jc w:val="center"/>
              <w:rPr>
                <w:sz w:val="22"/>
              </w:rPr>
            </w:pPr>
            <w:r>
              <w:rPr>
                <w:sz w:val="22"/>
              </w:rPr>
              <w:t>264 727</w:t>
            </w:r>
          </w:p>
          <w:p w:rsidR="00000000" w:rsidRDefault="00000000">
            <w:pPr>
              <w:jc w:val="center"/>
              <w:rPr>
                <w:sz w:val="22"/>
              </w:rPr>
            </w:pPr>
            <w:r>
              <w:rPr>
                <w:sz w:val="22"/>
              </w:rPr>
              <w:t>234 758</w:t>
            </w:r>
          </w:p>
        </w:tc>
        <w:tc>
          <w:tcPr>
            <w:tcW w:w="1919" w:type="dxa"/>
          </w:tcPr>
          <w:p w:rsidR="00000000" w:rsidRDefault="00000000">
            <w:pPr>
              <w:jc w:val="center"/>
              <w:rPr>
                <w:sz w:val="22"/>
              </w:rPr>
            </w:pPr>
            <w:r>
              <w:rPr>
                <w:sz w:val="22"/>
              </w:rPr>
              <w:t>522 276</w:t>
            </w:r>
          </w:p>
          <w:p w:rsidR="00000000" w:rsidRDefault="00000000">
            <w:pPr>
              <w:jc w:val="center"/>
              <w:rPr>
                <w:sz w:val="22"/>
              </w:rPr>
            </w:pPr>
            <w:r>
              <w:rPr>
                <w:sz w:val="22"/>
              </w:rPr>
              <w:t>263 449</w:t>
            </w:r>
          </w:p>
          <w:p w:rsidR="00000000" w:rsidRDefault="00000000">
            <w:pPr>
              <w:jc w:val="center"/>
              <w:rPr>
                <w:sz w:val="22"/>
              </w:rPr>
            </w:pPr>
            <w:r>
              <w:rPr>
                <w:sz w:val="22"/>
              </w:rPr>
              <w:t>258 827</w:t>
            </w:r>
          </w:p>
        </w:tc>
        <w:tc>
          <w:tcPr>
            <w:tcW w:w="1919" w:type="dxa"/>
          </w:tcPr>
          <w:p w:rsidR="00000000" w:rsidRDefault="00000000">
            <w:pPr>
              <w:jc w:val="center"/>
              <w:rPr>
                <w:sz w:val="22"/>
              </w:rPr>
            </w:pPr>
            <w:r>
              <w:rPr>
                <w:sz w:val="22"/>
              </w:rPr>
              <w:t>95,6</w:t>
            </w:r>
          </w:p>
          <w:p w:rsidR="00000000" w:rsidRDefault="00000000">
            <w:pPr>
              <w:jc w:val="center"/>
              <w:rPr>
                <w:sz w:val="22"/>
              </w:rPr>
            </w:pPr>
            <w:r>
              <w:rPr>
                <w:sz w:val="22"/>
              </w:rPr>
              <w:t>100,5</w:t>
            </w:r>
          </w:p>
          <w:p w:rsidR="00000000" w:rsidRDefault="00000000">
            <w:pPr>
              <w:jc w:val="center"/>
              <w:rPr>
                <w:sz w:val="22"/>
              </w:rPr>
            </w:pPr>
            <w:r>
              <w:rPr>
                <w:sz w:val="22"/>
              </w:rPr>
              <w:t>90,7</w:t>
            </w:r>
          </w:p>
        </w:tc>
        <w:tc>
          <w:tcPr>
            <w:tcW w:w="1920" w:type="dxa"/>
          </w:tcPr>
          <w:p w:rsidR="00000000" w:rsidRDefault="00000000">
            <w:pPr>
              <w:jc w:val="center"/>
              <w:rPr>
                <w:sz w:val="22"/>
              </w:rPr>
            </w:pPr>
          </w:p>
          <w:p w:rsidR="00000000" w:rsidRDefault="00000000">
            <w:pPr>
              <w:jc w:val="center"/>
              <w:rPr>
                <w:sz w:val="22"/>
              </w:rPr>
            </w:pPr>
            <w:r>
              <w:rPr>
                <w:sz w:val="22"/>
              </w:rPr>
              <w:t>0,9</w:t>
            </w:r>
          </w:p>
        </w:tc>
      </w:tr>
      <w:tr w:rsidR="00000000">
        <w:tblPrEx>
          <w:tblCellMar>
            <w:top w:w="0" w:type="dxa"/>
            <w:bottom w:w="0" w:type="dxa"/>
          </w:tblCellMar>
        </w:tblPrEx>
        <w:tc>
          <w:tcPr>
            <w:tcW w:w="1382" w:type="dxa"/>
          </w:tcPr>
          <w:p w:rsidR="00000000" w:rsidRDefault="00000000">
            <w:pPr>
              <w:jc w:val="both"/>
              <w:rPr>
                <w:sz w:val="22"/>
              </w:rPr>
            </w:pPr>
          </w:p>
          <w:p w:rsidR="00000000" w:rsidRDefault="00000000">
            <w:pPr>
              <w:jc w:val="both"/>
              <w:rPr>
                <w:sz w:val="22"/>
              </w:rPr>
            </w:pPr>
            <w:r>
              <w:rPr>
                <w:sz w:val="22"/>
              </w:rPr>
              <w:t>1998</w:t>
            </w:r>
          </w:p>
        </w:tc>
        <w:tc>
          <w:tcPr>
            <w:tcW w:w="760" w:type="dxa"/>
          </w:tcPr>
          <w:p w:rsidR="00000000" w:rsidRDefault="00000000">
            <w:pPr>
              <w:jc w:val="right"/>
              <w:rPr>
                <w:sz w:val="22"/>
              </w:rPr>
            </w:pPr>
            <w:r>
              <w:rPr>
                <w:sz w:val="22"/>
              </w:rPr>
              <w:t>T</w:t>
            </w:r>
          </w:p>
          <w:p w:rsidR="00000000" w:rsidRDefault="00000000">
            <w:pPr>
              <w:jc w:val="right"/>
              <w:rPr>
                <w:sz w:val="22"/>
              </w:rPr>
            </w:pPr>
            <w:r>
              <w:rPr>
                <w:sz w:val="22"/>
              </w:rPr>
              <w:t>G</w:t>
            </w:r>
          </w:p>
          <w:p w:rsidR="00000000" w:rsidRDefault="00000000">
            <w:pPr>
              <w:jc w:val="right"/>
              <w:rPr>
                <w:sz w:val="22"/>
              </w:rPr>
            </w:pPr>
            <w:r>
              <w:rPr>
                <w:sz w:val="22"/>
              </w:rPr>
              <w:t>F</w:t>
            </w:r>
          </w:p>
        </w:tc>
        <w:tc>
          <w:tcPr>
            <w:tcW w:w="1919" w:type="dxa"/>
          </w:tcPr>
          <w:p w:rsidR="00000000" w:rsidRDefault="00000000">
            <w:pPr>
              <w:jc w:val="center"/>
              <w:rPr>
                <w:sz w:val="22"/>
              </w:rPr>
            </w:pPr>
            <w:r>
              <w:rPr>
                <w:sz w:val="22"/>
              </w:rPr>
              <w:t>427 735</w:t>
            </w:r>
          </w:p>
          <w:p w:rsidR="00000000" w:rsidRDefault="00000000">
            <w:pPr>
              <w:jc w:val="center"/>
              <w:rPr>
                <w:sz w:val="22"/>
              </w:rPr>
            </w:pPr>
            <w:r>
              <w:rPr>
                <w:sz w:val="22"/>
              </w:rPr>
              <w:t>226 700</w:t>
            </w:r>
          </w:p>
          <w:p w:rsidR="00000000" w:rsidRDefault="00000000">
            <w:pPr>
              <w:jc w:val="center"/>
              <w:rPr>
                <w:sz w:val="22"/>
              </w:rPr>
            </w:pPr>
            <w:r>
              <w:rPr>
                <w:sz w:val="22"/>
              </w:rPr>
              <w:t>201 035</w:t>
            </w:r>
          </w:p>
        </w:tc>
        <w:tc>
          <w:tcPr>
            <w:tcW w:w="1919" w:type="dxa"/>
          </w:tcPr>
          <w:p w:rsidR="00000000" w:rsidRDefault="00000000">
            <w:pPr>
              <w:jc w:val="center"/>
              <w:rPr>
                <w:sz w:val="22"/>
              </w:rPr>
            </w:pPr>
            <w:r>
              <w:rPr>
                <w:sz w:val="22"/>
              </w:rPr>
              <w:t>545 106</w:t>
            </w:r>
          </w:p>
          <w:p w:rsidR="00000000" w:rsidRDefault="00000000">
            <w:pPr>
              <w:jc w:val="center"/>
              <w:rPr>
                <w:sz w:val="22"/>
              </w:rPr>
            </w:pPr>
            <w:r>
              <w:rPr>
                <w:sz w:val="22"/>
              </w:rPr>
              <w:t>275 152</w:t>
            </w:r>
          </w:p>
          <w:p w:rsidR="00000000" w:rsidRDefault="00000000">
            <w:pPr>
              <w:jc w:val="center"/>
              <w:rPr>
                <w:sz w:val="22"/>
              </w:rPr>
            </w:pPr>
            <w:r>
              <w:rPr>
                <w:sz w:val="22"/>
              </w:rPr>
              <w:t>269 854</w:t>
            </w:r>
          </w:p>
        </w:tc>
        <w:tc>
          <w:tcPr>
            <w:tcW w:w="1919" w:type="dxa"/>
          </w:tcPr>
          <w:p w:rsidR="00000000" w:rsidRDefault="00000000">
            <w:pPr>
              <w:jc w:val="center"/>
              <w:rPr>
                <w:sz w:val="22"/>
              </w:rPr>
            </w:pPr>
            <w:r>
              <w:rPr>
                <w:sz w:val="22"/>
              </w:rPr>
              <w:t>78,5</w:t>
            </w:r>
          </w:p>
          <w:p w:rsidR="00000000" w:rsidRDefault="00000000">
            <w:pPr>
              <w:jc w:val="center"/>
              <w:rPr>
                <w:sz w:val="22"/>
              </w:rPr>
            </w:pPr>
            <w:r>
              <w:rPr>
                <w:sz w:val="22"/>
              </w:rPr>
              <w:t>82,4</w:t>
            </w:r>
          </w:p>
          <w:p w:rsidR="00000000" w:rsidRDefault="00000000">
            <w:pPr>
              <w:jc w:val="center"/>
              <w:rPr>
                <w:sz w:val="22"/>
              </w:rPr>
            </w:pPr>
            <w:r>
              <w:rPr>
                <w:sz w:val="22"/>
              </w:rPr>
              <w:t>74,5</w:t>
            </w:r>
          </w:p>
        </w:tc>
        <w:tc>
          <w:tcPr>
            <w:tcW w:w="1920" w:type="dxa"/>
          </w:tcPr>
          <w:p w:rsidR="00000000" w:rsidRDefault="00000000">
            <w:pPr>
              <w:jc w:val="center"/>
              <w:rPr>
                <w:sz w:val="22"/>
              </w:rPr>
            </w:pPr>
          </w:p>
          <w:p w:rsidR="00000000" w:rsidRDefault="00000000">
            <w:pPr>
              <w:jc w:val="center"/>
              <w:rPr>
                <w:sz w:val="22"/>
              </w:rPr>
            </w:pPr>
            <w:r>
              <w:rPr>
                <w:sz w:val="22"/>
              </w:rPr>
              <w:t>0,9</w:t>
            </w:r>
          </w:p>
        </w:tc>
      </w:tr>
    </w:tbl>
    <w:p w:rsidR="00000000" w:rsidRDefault="00000000">
      <w:pPr>
        <w:jc w:val="both"/>
        <w:rPr>
          <w:sz w:val="22"/>
        </w:rPr>
      </w:pPr>
    </w:p>
    <w:p w:rsidR="00000000" w:rsidRDefault="00000000">
      <w:pPr>
        <w:pStyle w:val="Heading3"/>
        <w:rPr>
          <w:b w:val="0"/>
          <w:i/>
          <w:sz w:val="22"/>
        </w:rPr>
      </w:pPr>
      <w:r>
        <w:rPr>
          <w:b w:val="0"/>
          <w:i/>
          <w:sz w:val="22"/>
          <w:u w:val="single"/>
        </w:rPr>
        <w:t>Source</w:t>
      </w:r>
      <w:r>
        <w:rPr>
          <w:b w:val="0"/>
          <w:i/>
          <w:sz w:val="22"/>
        </w:rPr>
        <w:t xml:space="preserve"> : Direction de la planification, ministère de l’enseignement primaire et secondaire</w:t>
      </w:r>
    </w:p>
    <w:p w:rsidR="00000000" w:rsidRDefault="00000000">
      <w:pPr>
        <w:rPr>
          <w:sz w:val="22"/>
        </w:rPr>
      </w:pPr>
    </w:p>
    <w:p w:rsidR="00000000" w:rsidRDefault="00000000">
      <w:pPr>
        <w:jc w:val="both"/>
        <w:rPr>
          <w:sz w:val="22"/>
        </w:rPr>
      </w:pPr>
      <w:r>
        <w:rPr>
          <w:sz w:val="22"/>
        </w:rPr>
        <w:t>De 1990 à 1998, un décroissement de –1,7% sur tous les sexes confondus a été relevé. La baisse est très ressentie chez les filles –2,0% contre –1,5% chez les garçons. La scolarisation à l’école primaire est marquée par une baisse des effectifs au niveau des élèves et des enseignants de 1990 à 1998, soit une moyenne de –16% et de –1,4%.</w:t>
      </w:r>
    </w:p>
    <w:p w:rsidR="00000000" w:rsidRDefault="00000000">
      <w:pPr>
        <w:jc w:val="both"/>
        <w:rPr>
          <w:sz w:val="22"/>
        </w:rPr>
      </w:pPr>
    </w:p>
    <w:p w:rsidR="00000000" w:rsidRDefault="00000000">
      <w:pPr>
        <w:jc w:val="both"/>
        <w:rPr>
          <w:sz w:val="22"/>
        </w:rPr>
      </w:pPr>
      <w:r>
        <w:rPr>
          <w:sz w:val="22"/>
        </w:rPr>
        <w:t>La diminution ressentie est de –14,4% pour les effectifs. La baisse est moins forte chez les enseignants que chez les élèves –44,6% représente le taux des effectifs des instituteurs effectifs devant les élèves.</w:t>
      </w:r>
    </w:p>
    <w:p w:rsidR="00000000" w:rsidRDefault="00000000">
      <w:pPr>
        <w:jc w:val="both"/>
        <w:rPr>
          <w:sz w:val="22"/>
        </w:rPr>
      </w:pPr>
    </w:p>
    <w:p w:rsidR="00000000" w:rsidRDefault="00000000">
      <w:pPr>
        <w:jc w:val="both"/>
        <w:rPr>
          <w:sz w:val="22"/>
        </w:rPr>
      </w:pPr>
      <w:r>
        <w:rPr>
          <w:sz w:val="22"/>
        </w:rPr>
        <w:t>Le taux d’accroissement pour les deux sexes est de 43% dont 4,4% pour les garçons et de 4,1% pour les filles.</w:t>
      </w:r>
    </w:p>
    <w:p w:rsidR="00000000" w:rsidRDefault="00000000">
      <w:pPr>
        <w:jc w:val="both"/>
        <w:rPr>
          <w:sz w:val="22"/>
        </w:rPr>
      </w:pPr>
    </w:p>
    <w:p w:rsidR="00000000" w:rsidRDefault="00000000">
      <w:pPr>
        <w:jc w:val="both"/>
        <w:rPr>
          <w:b/>
          <w:sz w:val="22"/>
        </w:rPr>
      </w:pPr>
      <w:r>
        <w:rPr>
          <w:b/>
          <w:sz w:val="22"/>
          <w:u w:val="single"/>
        </w:rPr>
        <w:t>Tableau 34</w:t>
      </w:r>
      <w:r>
        <w:rPr>
          <w:b/>
          <w:sz w:val="22"/>
        </w:rPr>
        <w:t> : Evolution du taux brut d’admission en 1</w:t>
      </w:r>
      <w:r>
        <w:rPr>
          <w:b/>
          <w:sz w:val="22"/>
          <w:vertAlign w:val="superscript"/>
        </w:rPr>
        <w:t>ère</w:t>
      </w:r>
      <w:r>
        <w:rPr>
          <w:b/>
          <w:sz w:val="22"/>
        </w:rPr>
        <w:t xml:space="preserve"> année du primaire, de 1991 à 1995</w:t>
      </w:r>
    </w:p>
    <w:p w:rsidR="00000000" w:rsidRDefault="00000000">
      <w:pPr>
        <w:jc w:val="both"/>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9"/>
        <w:gridCol w:w="657"/>
        <w:gridCol w:w="2036"/>
        <w:gridCol w:w="2036"/>
        <w:gridCol w:w="2036"/>
        <w:gridCol w:w="2037"/>
      </w:tblGrid>
      <w:tr w:rsidR="00000000">
        <w:tblPrEx>
          <w:tblCellMar>
            <w:top w:w="0" w:type="dxa"/>
            <w:bottom w:w="0" w:type="dxa"/>
          </w:tblCellMar>
        </w:tblPrEx>
        <w:tc>
          <w:tcPr>
            <w:tcW w:w="999" w:type="dxa"/>
          </w:tcPr>
          <w:p w:rsidR="00000000" w:rsidRDefault="00000000">
            <w:pPr>
              <w:jc w:val="center"/>
              <w:rPr>
                <w:sz w:val="22"/>
              </w:rPr>
            </w:pPr>
            <w:r>
              <w:rPr>
                <w:sz w:val="22"/>
              </w:rPr>
              <w:t>Année</w:t>
            </w:r>
          </w:p>
        </w:tc>
        <w:tc>
          <w:tcPr>
            <w:tcW w:w="657" w:type="dxa"/>
          </w:tcPr>
          <w:p w:rsidR="00000000" w:rsidRDefault="00000000">
            <w:pPr>
              <w:jc w:val="center"/>
              <w:rPr>
                <w:sz w:val="22"/>
              </w:rPr>
            </w:pPr>
            <w:r>
              <w:rPr>
                <w:sz w:val="22"/>
              </w:rPr>
              <w:t>Sexe</w:t>
            </w:r>
          </w:p>
        </w:tc>
        <w:tc>
          <w:tcPr>
            <w:tcW w:w="2036" w:type="dxa"/>
          </w:tcPr>
          <w:p w:rsidR="00000000" w:rsidRDefault="00000000">
            <w:pPr>
              <w:jc w:val="center"/>
              <w:rPr>
                <w:sz w:val="22"/>
              </w:rPr>
            </w:pPr>
            <w:r>
              <w:rPr>
                <w:sz w:val="22"/>
              </w:rPr>
              <w:t>Nouveau entrant en 1</w:t>
            </w:r>
            <w:r>
              <w:rPr>
                <w:sz w:val="22"/>
                <w:vertAlign w:val="superscript"/>
              </w:rPr>
              <w:t>ère</w:t>
            </w:r>
            <w:r>
              <w:rPr>
                <w:sz w:val="22"/>
              </w:rPr>
              <w:t xml:space="preserve"> année</w:t>
            </w:r>
          </w:p>
        </w:tc>
        <w:tc>
          <w:tcPr>
            <w:tcW w:w="2036" w:type="dxa"/>
          </w:tcPr>
          <w:p w:rsidR="00000000" w:rsidRDefault="00000000">
            <w:pPr>
              <w:jc w:val="center"/>
              <w:rPr>
                <w:sz w:val="22"/>
              </w:rPr>
            </w:pPr>
            <w:r>
              <w:rPr>
                <w:sz w:val="22"/>
              </w:rPr>
              <w:t>Population d’âge l’égal d’admission</w:t>
            </w:r>
          </w:p>
        </w:tc>
        <w:tc>
          <w:tcPr>
            <w:tcW w:w="2036" w:type="dxa"/>
          </w:tcPr>
          <w:p w:rsidR="00000000" w:rsidRDefault="00000000">
            <w:pPr>
              <w:jc w:val="center"/>
              <w:rPr>
                <w:sz w:val="22"/>
              </w:rPr>
            </w:pPr>
            <w:r>
              <w:rPr>
                <w:sz w:val="22"/>
              </w:rPr>
              <w:t>Taux brut d’admission</w:t>
            </w:r>
          </w:p>
        </w:tc>
        <w:tc>
          <w:tcPr>
            <w:tcW w:w="2037" w:type="dxa"/>
          </w:tcPr>
          <w:p w:rsidR="00000000" w:rsidRDefault="00000000">
            <w:pPr>
              <w:jc w:val="center"/>
              <w:rPr>
                <w:sz w:val="22"/>
              </w:rPr>
            </w:pPr>
            <w:r>
              <w:rPr>
                <w:sz w:val="22"/>
              </w:rPr>
              <w:t>Indice de parité entre les sexes</w:t>
            </w:r>
          </w:p>
        </w:tc>
      </w:tr>
      <w:tr w:rsidR="00000000">
        <w:tblPrEx>
          <w:tblCellMar>
            <w:top w:w="0" w:type="dxa"/>
            <w:bottom w:w="0" w:type="dxa"/>
          </w:tblCellMar>
        </w:tblPrEx>
        <w:trPr>
          <w:cantSplit/>
        </w:trPr>
        <w:tc>
          <w:tcPr>
            <w:tcW w:w="999" w:type="dxa"/>
            <w:vMerge w:val="restart"/>
          </w:tcPr>
          <w:p w:rsidR="00000000" w:rsidRDefault="00000000">
            <w:pPr>
              <w:jc w:val="both"/>
              <w:rPr>
                <w:sz w:val="22"/>
              </w:rPr>
            </w:pPr>
          </w:p>
          <w:p w:rsidR="00000000" w:rsidRDefault="00000000">
            <w:pPr>
              <w:jc w:val="both"/>
              <w:rPr>
                <w:sz w:val="22"/>
                <w:lang w:val="de-DE"/>
              </w:rPr>
            </w:pPr>
            <w:r>
              <w:rPr>
                <w:sz w:val="22"/>
                <w:lang w:val="de-DE"/>
              </w:rPr>
              <w:t>1991</w:t>
            </w:r>
          </w:p>
        </w:tc>
        <w:tc>
          <w:tcPr>
            <w:tcW w:w="657" w:type="dxa"/>
          </w:tcPr>
          <w:p w:rsidR="00000000" w:rsidRDefault="00000000">
            <w:pPr>
              <w:pStyle w:val="Heading6"/>
              <w:jc w:val="right"/>
              <w:rPr>
                <w:sz w:val="22"/>
                <w:lang w:val="de-DE"/>
              </w:rPr>
            </w:pPr>
            <w:r>
              <w:rPr>
                <w:sz w:val="22"/>
                <w:lang w:val="de-DE"/>
              </w:rPr>
              <w:t>G</w:t>
            </w:r>
          </w:p>
        </w:tc>
        <w:tc>
          <w:tcPr>
            <w:tcW w:w="2036" w:type="dxa"/>
          </w:tcPr>
          <w:p w:rsidR="00000000" w:rsidRDefault="00000000">
            <w:pPr>
              <w:jc w:val="center"/>
              <w:rPr>
                <w:sz w:val="22"/>
                <w:lang w:val="de-DE"/>
              </w:rPr>
            </w:pPr>
            <w:r>
              <w:rPr>
                <w:sz w:val="22"/>
                <w:lang w:val="de-DE"/>
              </w:rPr>
              <w:t>33 751</w:t>
            </w:r>
          </w:p>
        </w:tc>
        <w:tc>
          <w:tcPr>
            <w:tcW w:w="2036" w:type="dxa"/>
          </w:tcPr>
          <w:p w:rsidR="00000000" w:rsidRDefault="00000000">
            <w:pPr>
              <w:ind w:right="284"/>
              <w:jc w:val="right"/>
              <w:rPr>
                <w:sz w:val="22"/>
                <w:lang w:val="de-DE"/>
              </w:rPr>
            </w:pPr>
            <w:r>
              <w:rPr>
                <w:sz w:val="22"/>
                <w:lang w:val="de-DE"/>
              </w:rPr>
              <w:t>47 088</w:t>
            </w:r>
          </w:p>
        </w:tc>
        <w:tc>
          <w:tcPr>
            <w:tcW w:w="2036" w:type="dxa"/>
          </w:tcPr>
          <w:p w:rsidR="00000000" w:rsidRDefault="00000000">
            <w:pPr>
              <w:jc w:val="center"/>
              <w:rPr>
                <w:sz w:val="22"/>
                <w:lang w:val="de-DE"/>
              </w:rPr>
            </w:pPr>
            <w:r>
              <w:rPr>
                <w:sz w:val="22"/>
                <w:lang w:val="de-DE"/>
              </w:rPr>
              <w:t>71,7</w:t>
            </w:r>
          </w:p>
        </w:tc>
        <w:tc>
          <w:tcPr>
            <w:tcW w:w="2037" w:type="dxa"/>
            <w:vMerge w:val="restart"/>
          </w:tcPr>
          <w:p w:rsidR="00000000" w:rsidRDefault="00000000">
            <w:pPr>
              <w:jc w:val="center"/>
              <w:rPr>
                <w:sz w:val="22"/>
                <w:lang w:val="de-DE"/>
              </w:rPr>
            </w:pPr>
          </w:p>
          <w:p w:rsidR="00000000" w:rsidRDefault="00000000">
            <w:pPr>
              <w:jc w:val="center"/>
              <w:rPr>
                <w:sz w:val="22"/>
                <w:lang w:val="de-DE"/>
              </w:rPr>
            </w:pPr>
            <w:r>
              <w:rPr>
                <w:sz w:val="22"/>
                <w:lang w:val="de-DE"/>
              </w:rPr>
              <w:t>0,9</w:t>
            </w:r>
          </w:p>
        </w:tc>
      </w:tr>
      <w:tr w:rsidR="00000000">
        <w:tblPrEx>
          <w:tblCellMar>
            <w:top w:w="0" w:type="dxa"/>
            <w:bottom w:w="0" w:type="dxa"/>
          </w:tblCellMar>
        </w:tblPrEx>
        <w:trPr>
          <w:cantSplit/>
        </w:trPr>
        <w:tc>
          <w:tcPr>
            <w:tcW w:w="999" w:type="dxa"/>
            <w:vMerge/>
          </w:tcPr>
          <w:p w:rsidR="00000000" w:rsidRDefault="00000000">
            <w:pPr>
              <w:jc w:val="both"/>
              <w:rPr>
                <w:sz w:val="22"/>
                <w:lang w:val="de-DE"/>
              </w:rPr>
            </w:pPr>
          </w:p>
        </w:tc>
        <w:tc>
          <w:tcPr>
            <w:tcW w:w="657" w:type="dxa"/>
          </w:tcPr>
          <w:p w:rsidR="00000000" w:rsidRDefault="00000000">
            <w:pPr>
              <w:jc w:val="right"/>
              <w:rPr>
                <w:sz w:val="22"/>
                <w:lang w:val="de-DE"/>
              </w:rPr>
            </w:pPr>
            <w:r>
              <w:rPr>
                <w:sz w:val="22"/>
                <w:lang w:val="de-DE"/>
              </w:rPr>
              <w:t>F</w:t>
            </w:r>
          </w:p>
        </w:tc>
        <w:tc>
          <w:tcPr>
            <w:tcW w:w="2036" w:type="dxa"/>
          </w:tcPr>
          <w:p w:rsidR="00000000" w:rsidRDefault="00000000">
            <w:pPr>
              <w:jc w:val="center"/>
              <w:rPr>
                <w:sz w:val="22"/>
                <w:lang w:val="de-DE"/>
              </w:rPr>
            </w:pPr>
            <w:r>
              <w:rPr>
                <w:sz w:val="22"/>
                <w:lang w:val="de-DE"/>
              </w:rPr>
              <w:t>30 191</w:t>
            </w:r>
          </w:p>
        </w:tc>
        <w:tc>
          <w:tcPr>
            <w:tcW w:w="2036" w:type="dxa"/>
          </w:tcPr>
          <w:p w:rsidR="00000000" w:rsidRDefault="00000000">
            <w:pPr>
              <w:ind w:right="284"/>
              <w:jc w:val="right"/>
              <w:rPr>
                <w:sz w:val="22"/>
                <w:lang w:val="de-DE"/>
              </w:rPr>
            </w:pPr>
            <w:r>
              <w:rPr>
                <w:sz w:val="22"/>
                <w:lang w:val="de-DE"/>
              </w:rPr>
              <w:t>47 015</w:t>
            </w:r>
          </w:p>
        </w:tc>
        <w:tc>
          <w:tcPr>
            <w:tcW w:w="2036" w:type="dxa"/>
          </w:tcPr>
          <w:p w:rsidR="00000000" w:rsidRDefault="00000000">
            <w:pPr>
              <w:jc w:val="center"/>
              <w:rPr>
                <w:sz w:val="22"/>
                <w:lang w:val="de-DE"/>
              </w:rPr>
            </w:pPr>
            <w:r>
              <w:rPr>
                <w:sz w:val="22"/>
                <w:lang w:val="de-DE"/>
              </w:rPr>
              <w:t>64,2</w:t>
            </w:r>
          </w:p>
        </w:tc>
        <w:tc>
          <w:tcPr>
            <w:tcW w:w="2037" w:type="dxa"/>
            <w:vMerge/>
          </w:tcPr>
          <w:p w:rsidR="00000000" w:rsidRDefault="00000000">
            <w:pPr>
              <w:jc w:val="center"/>
              <w:rPr>
                <w:sz w:val="22"/>
                <w:lang w:val="de-DE"/>
              </w:rPr>
            </w:pPr>
          </w:p>
        </w:tc>
      </w:tr>
      <w:tr w:rsidR="00000000">
        <w:tblPrEx>
          <w:tblCellMar>
            <w:top w:w="0" w:type="dxa"/>
            <w:bottom w:w="0" w:type="dxa"/>
          </w:tblCellMar>
        </w:tblPrEx>
        <w:trPr>
          <w:cantSplit/>
        </w:trPr>
        <w:tc>
          <w:tcPr>
            <w:tcW w:w="999" w:type="dxa"/>
            <w:vMerge/>
          </w:tcPr>
          <w:p w:rsidR="00000000" w:rsidRDefault="00000000">
            <w:pPr>
              <w:jc w:val="both"/>
              <w:rPr>
                <w:sz w:val="22"/>
                <w:lang w:val="de-DE"/>
              </w:rPr>
            </w:pPr>
          </w:p>
        </w:tc>
        <w:tc>
          <w:tcPr>
            <w:tcW w:w="657" w:type="dxa"/>
          </w:tcPr>
          <w:p w:rsidR="00000000" w:rsidRDefault="00000000">
            <w:pPr>
              <w:jc w:val="right"/>
              <w:rPr>
                <w:sz w:val="22"/>
                <w:lang w:val="de-DE"/>
              </w:rPr>
            </w:pPr>
            <w:r>
              <w:rPr>
                <w:sz w:val="22"/>
                <w:lang w:val="de-DE"/>
              </w:rPr>
              <w:t>T</w:t>
            </w:r>
          </w:p>
        </w:tc>
        <w:tc>
          <w:tcPr>
            <w:tcW w:w="2036" w:type="dxa"/>
          </w:tcPr>
          <w:p w:rsidR="00000000" w:rsidRDefault="00000000">
            <w:pPr>
              <w:jc w:val="center"/>
              <w:rPr>
                <w:sz w:val="22"/>
                <w:lang w:val="de-DE"/>
              </w:rPr>
            </w:pPr>
            <w:r>
              <w:rPr>
                <w:sz w:val="22"/>
                <w:lang w:val="de-DE"/>
              </w:rPr>
              <w:t>63 942</w:t>
            </w:r>
          </w:p>
        </w:tc>
        <w:tc>
          <w:tcPr>
            <w:tcW w:w="2036" w:type="dxa"/>
          </w:tcPr>
          <w:p w:rsidR="00000000" w:rsidRDefault="00000000">
            <w:pPr>
              <w:rPr>
                <w:sz w:val="22"/>
                <w:lang w:val="de-DE"/>
              </w:rPr>
            </w:pPr>
            <w:r>
              <w:rPr>
                <w:sz w:val="22"/>
                <w:lang w:val="de-DE"/>
              </w:rPr>
              <w:t xml:space="preserve">               94 103</w:t>
            </w:r>
          </w:p>
        </w:tc>
        <w:tc>
          <w:tcPr>
            <w:tcW w:w="2036" w:type="dxa"/>
          </w:tcPr>
          <w:p w:rsidR="00000000" w:rsidRDefault="00000000">
            <w:pPr>
              <w:jc w:val="center"/>
              <w:rPr>
                <w:sz w:val="22"/>
                <w:lang w:val="de-DE"/>
              </w:rPr>
            </w:pPr>
            <w:r>
              <w:rPr>
                <w:sz w:val="22"/>
                <w:lang w:val="de-DE"/>
              </w:rPr>
              <w:t>67,9</w:t>
            </w:r>
          </w:p>
        </w:tc>
        <w:tc>
          <w:tcPr>
            <w:tcW w:w="2037" w:type="dxa"/>
            <w:vMerge/>
          </w:tcPr>
          <w:p w:rsidR="00000000" w:rsidRDefault="00000000">
            <w:pPr>
              <w:jc w:val="center"/>
              <w:rPr>
                <w:sz w:val="22"/>
                <w:lang w:val="de-DE"/>
              </w:rPr>
            </w:pPr>
          </w:p>
        </w:tc>
      </w:tr>
      <w:tr w:rsidR="00000000">
        <w:tblPrEx>
          <w:tblCellMar>
            <w:top w:w="0" w:type="dxa"/>
            <w:bottom w:w="0" w:type="dxa"/>
          </w:tblCellMar>
        </w:tblPrEx>
        <w:trPr>
          <w:cantSplit/>
        </w:trPr>
        <w:tc>
          <w:tcPr>
            <w:tcW w:w="999" w:type="dxa"/>
            <w:vMerge w:val="restart"/>
          </w:tcPr>
          <w:p w:rsidR="00000000" w:rsidRDefault="00000000">
            <w:pPr>
              <w:jc w:val="both"/>
              <w:rPr>
                <w:sz w:val="22"/>
                <w:lang w:val="de-DE"/>
              </w:rPr>
            </w:pPr>
          </w:p>
          <w:p w:rsidR="00000000" w:rsidRDefault="00000000">
            <w:pPr>
              <w:jc w:val="both"/>
              <w:rPr>
                <w:sz w:val="22"/>
                <w:lang w:val="de-DE"/>
              </w:rPr>
            </w:pPr>
            <w:r>
              <w:rPr>
                <w:sz w:val="22"/>
                <w:lang w:val="de-DE"/>
              </w:rPr>
              <w:t>1992</w:t>
            </w:r>
          </w:p>
        </w:tc>
        <w:tc>
          <w:tcPr>
            <w:tcW w:w="657" w:type="dxa"/>
          </w:tcPr>
          <w:p w:rsidR="00000000" w:rsidRDefault="00000000">
            <w:pPr>
              <w:jc w:val="right"/>
              <w:rPr>
                <w:sz w:val="22"/>
                <w:lang w:val="de-DE"/>
              </w:rPr>
            </w:pPr>
            <w:r>
              <w:rPr>
                <w:sz w:val="22"/>
                <w:lang w:val="de-DE"/>
              </w:rPr>
              <w:t>G</w:t>
            </w:r>
          </w:p>
        </w:tc>
        <w:tc>
          <w:tcPr>
            <w:tcW w:w="2036" w:type="dxa"/>
          </w:tcPr>
          <w:p w:rsidR="00000000" w:rsidRDefault="00000000">
            <w:pPr>
              <w:jc w:val="center"/>
              <w:rPr>
                <w:sz w:val="22"/>
              </w:rPr>
            </w:pPr>
            <w:r>
              <w:rPr>
                <w:sz w:val="22"/>
              </w:rPr>
              <w:t>36 633</w:t>
            </w:r>
          </w:p>
        </w:tc>
        <w:tc>
          <w:tcPr>
            <w:tcW w:w="2036" w:type="dxa"/>
          </w:tcPr>
          <w:p w:rsidR="00000000" w:rsidRDefault="00000000">
            <w:pPr>
              <w:rPr>
                <w:sz w:val="22"/>
              </w:rPr>
            </w:pPr>
            <w:r>
              <w:rPr>
                <w:sz w:val="22"/>
              </w:rPr>
              <w:t xml:space="preserve">               40 237</w:t>
            </w:r>
          </w:p>
        </w:tc>
        <w:tc>
          <w:tcPr>
            <w:tcW w:w="2036" w:type="dxa"/>
          </w:tcPr>
          <w:p w:rsidR="00000000" w:rsidRDefault="00000000">
            <w:pPr>
              <w:jc w:val="center"/>
              <w:rPr>
                <w:sz w:val="22"/>
              </w:rPr>
            </w:pPr>
            <w:r>
              <w:rPr>
                <w:sz w:val="22"/>
              </w:rPr>
              <w:t>74,4</w:t>
            </w:r>
          </w:p>
        </w:tc>
        <w:tc>
          <w:tcPr>
            <w:tcW w:w="2037" w:type="dxa"/>
            <w:vMerge w:val="restart"/>
          </w:tcPr>
          <w:p w:rsidR="00000000" w:rsidRDefault="00000000">
            <w:pPr>
              <w:jc w:val="center"/>
              <w:rPr>
                <w:sz w:val="22"/>
              </w:rPr>
            </w:pPr>
          </w:p>
          <w:p w:rsidR="00000000" w:rsidRDefault="00000000">
            <w:pPr>
              <w:jc w:val="center"/>
              <w:rPr>
                <w:sz w:val="22"/>
              </w:rPr>
            </w:pPr>
            <w:r>
              <w:rPr>
                <w:sz w:val="22"/>
              </w:rPr>
              <w:t>0,9</w:t>
            </w:r>
          </w:p>
        </w:tc>
      </w:tr>
      <w:tr w:rsidR="00000000">
        <w:tblPrEx>
          <w:tblCellMar>
            <w:top w:w="0" w:type="dxa"/>
            <w:bottom w:w="0" w:type="dxa"/>
          </w:tblCellMar>
        </w:tblPrEx>
        <w:trPr>
          <w:cantSplit/>
        </w:trPr>
        <w:tc>
          <w:tcPr>
            <w:tcW w:w="999" w:type="dxa"/>
            <w:vMerge/>
          </w:tcPr>
          <w:p w:rsidR="00000000" w:rsidRDefault="00000000">
            <w:pPr>
              <w:jc w:val="both"/>
              <w:rPr>
                <w:sz w:val="22"/>
              </w:rPr>
            </w:pPr>
          </w:p>
        </w:tc>
        <w:tc>
          <w:tcPr>
            <w:tcW w:w="657" w:type="dxa"/>
          </w:tcPr>
          <w:p w:rsidR="00000000" w:rsidRDefault="00000000">
            <w:pPr>
              <w:jc w:val="right"/>
              <w:rPr>
                <w:sz w:val="22"/>
              </w:rPr>
            </w:pPr>
            <w:r>
              <w:rPr>
                <w:sz w:val="22"/>
              </w:rPr>
              <w:t>F</w:t>
            </w:r>
          </w:p>
        </w:tc>
        <w:tc>
          <w:tcPr>
            <w:tcW w:w="2036" w:type="dxa"/>
          </w:tcPr>
          <w:p w:rsidR="00000000" w:rsidRDefault="00000000">
            <w:pPr>
              <w:jc w:val="center"/>
              <w:rPr>
                <w:sz w:val="22"/>
              </w:rPr>
            </w:pPr>
            <w:r>
              <w:rPr>
                <w:sz w:val="22"/>
              </w:rPr>
              <w:t>34 444</w:t>
            </w:r>
          </w:p>
        </w:tc>
        <w:tc>
          <w:tcPr>
            <w:tcW w:w="2036" w:type="dxa"/>
          </w:tcPr>
          <w:p w:rsidR="00000000" w:rsidRDefault="00000000">
            <w:pPr>
              <w:rPr>
                <w:sz w:val="22"/>
              </w:rPr>
            </w:pPr>
            <w:r>
              <w:rPr>
                <w:sz w:val="22"/>
              </w:rPr>
              <w:t xml:space="preserve">               48 917</w:t>
            </w:r>
          </w:p>
        </w:tc>
        <w:tc>
          <w:tcPr>
            <w:tcW w:w="2036" w:type="dxa"/>
          </w:tcPr>
          <w:p w:rsidR="00000000" w:rsidRDefault="00000000">
            <w:pPr>
              <w:jc w:val="center"/>
              <w:rPr>
                <w:sz w:val="22"/>
              </w:rPr>
            </w:pPr>
            <w:r>
              <w:rPr>
                <w:sz w:val="22"/>
              </w:rPr>
              <w:t>70,4</w:t>
            </w:r>
          </w:p>
        </w:tc>
        <w:tc>
          <w:tcPr>
            <w:tcW w:w="2037" w:type="dxa"/>
            <w:vMerge/>
          </w:tcPr>
          <w:p w:rsidR="00000000" w:rsidRDefault="00000000">
            <w:pPr>
              <w:jc w:val="center"/>
              <w:rPr>
                <w:sz w:val="22"/>
              </w:rPr>
            </w:pPr>
          </w:p>
        </w:tc>
      </w:tr>
      <w:tr w:rsidR="00000000">
        <w:tblPrEx>
          <w:tblCellMar>
            <w:top w:w="0" w:type="dxa"/>
            <w:bottom w:w="0" w:type="dxa"/>
          </w:tblCellMar>
        </w:tblPrEx>
        <w:trPr>
          <w:cantSplit/>
        </w:trPr>
        <w:tc>
          <w:tcPr>
            <w:tcW w:w="999" w:type="dxa"/>
            <w:vMerge/>
          </w:tcPr>
          <w:p w:rsidR="00000000" w:rsidRDefault="00000000">
            <w:pPr>
              <w:jc w:val="both"/>
              <w:rPr>
                <w:sz w:val="22"/>
              </w:rPr>
            </w:pPr>
          </w:p>
        </w:tc>
        <w:tc>
          <w:tcPr>
            <w:tcW w:w="657" w:type="dxa"/>
          </w:tcPr>
          <w:p w:rsidR="00000000" w:rsidRDefault="00000000">
            <w:pPr>
              <w:jc w:val="right"/>
              <w:rPr>
                <w:sz w:val="22"/>
              </w:rPr>
            </w:pPr>
            <w:r>
              <w:rPr>
                <w:sz w:val="22"/>
              </w:rPr>
              <w:t>T</w:t>
            </w:r>
          </w:p>
        </w:tc>
        <w:tc>
          <w:tcPr>
            <w:tcW w:w="2036" w:type="dxa"/>
          </w:tcPr>
          <w:p w:rsidR="00000000" w:rsidRDefault="00000000">
            <w:pPr>
              <w:jc w:val="center"/>
              <w:rPr>
                <w:sz w:val="22"/>
              </w:rPr>
            </w:pPr>
            <w:r>
              <w:rPr>
                <w:sz w:val="22"/>
              </w:rPr>
              <w:t>71 077</w:t>
            </w:r>
          </w:p>
        </w:tc>
        <w:tc>
          <w:tcPr>
            <w:tcW w:w="2036" w:type="dxa"/>
          </w:tcPr>
          <w:p w:rsidR="00000000" w:rsidRDefault="00000000">
            <w:pPr>
              <w:rPr>
                <w:sz w:val="22"/>
              </w:rPr>
            </w:pPr>
            <w:r>
              <w:rPr>
                <w:sz w:val="22"/>
              </w:rPr>
              <w:t xml:space="preserve">               98 154</w:t>
            </w:r>
          </w:p>
        </w:tc>
        <w:tc>
          <w:tcPr>
            <w:tcW w:w="2036" w:type="dxa"/>
          </w:tcPr>
          <w:p w:rsidR="00000000" w:rsidRDefault="00000000">
            <w:pPr>
              <w:jc w:val="center"/>
              <w:rPr>
                <w:sz w:val="22"/>
              </w:rPr>
            </w:pPr>
            <w:r>
              <w:rPr>
                <w:sz w:val="22"/>
              </w:rPr>
              <w:t>72,4</w:t>
            </w:r>
          </w:p>
        </w:tc>
        <w:tc>
          <w:tcPr>
            <w:tcW w:w="2037" w:type="dxa"/>
            <w:vMerge/>
          </w:tcPr>
          <w:p w:rsidR="00000000" w:rsidRDefault="00000000">
            <w:pPr>
              <w:jc w:val="center"/>
              <w:rPr>
                <w:sz w:val="22"/>
              </w:rPr>
            </w:pPr>
          </w:p>
        </w:tc>
      </w:tr>
      <w:tr w:rsidR="00000000">
        <w:tblPrEx>
          <w:tblCellMar>
            <w:top w:w="0" w:type="dxa"/>
            <w:bottom w:w="0" w:type="dxa"/>
          </w:tblCellMar>
        </w:tblPrEx>
        <w:trPr>
          <w:cantSplit/>
        </w:trPr>
        <w:tc>
          <w:tcPr>
            <w:tcW w:w="999" w:type="dxa"/>
            <w:vMerge w:val="restart"/>
          </w:tcPr>
          <w:p w:rsidR="00000000" w:rsidRDefault="00000000">
            <w:pPr>
              <w:jc w:val="both"/>
              <w:rPr>
                <w:sz w:val="22"/>
              </w:rPr>
            </w:pPr>
          </w:p>
          <w:p w:rsidR="00000000" w:rsidRDefault="00000000">
            <w:pPr>
              <w:jc w:val="both"/>
              <w:rPr>
                <w:sz w:val="22"/>
              </w:rPr>
            </w:pPr>
            <w:r>
              <w:rPr>
                <w:sz w:val="22"/>
              </w:rPr>
              <w:t>1993</w:t>
            </w:r>
          </w:p>
        </w:tc>
        <w:tc>
          <w:tcPr>
            <w:tcW w:w="657" w:type="dxa"/>
          </w:tcPr>
          <w:p w:rsidR="00000000" w:rsidRDefault="00000000">
            <w:pPr>
              <w:jc w:val="right"/>
              <w:rPr>
                <w:sz w:val="22"/>
              </w:rPr>
            </w:pPr>
            <w:r>
              <w:rPr>
                <w:sz w:val="22"/>
              </w:rPr>
              <w:t>G</w:t>
            </w:r>
          </w:p>
        </w:tc>
        <w:tc>
          <w:tcPr>
            <w:tcW w:w="2036" w:type="dxa"/>
          </w:tcPr>
          <w:p w:rsidR="00000000" w:rsidRDefault="00000000">
            <w:pPr>
              <w:jc w:val="center"/>
              <w:rPr>
                <w:sz w:val="22"/>
              </w:rPr>
            </w:pPr>
            <w:r>
              <w:rPr>
                <w:sz w:val="22"/>
              </w:rPr>
              <w:t>35 902</w:t>
            </w:r>
          </w:p>
        </w:tc>
        <w:tc>
          <w:tcPr>
            <w:tcW w:w="2036" w:type="dxa"/>
          </w:tcPr>
          <w:p w:rsidR="00000000" w:rsidRDefault="00000000">
            <w:pPr>
              <w:rPr>
                <w:sz w:val="22"/>
              </w:rPr>
            </w:pPr>
            <w:r>
              <w:rPr>
                <w:sz w:val="22"/>
              </w:rPr>
              <w:t xml:space="preserve">               51 689</w:t>
            </w:r>
          </w:p>
        </w:tc>
        <w:tc>
          <w:tcPr>
            <w:tcW w:w="2036" w:type="dxa"/>
          </w:tcPr>
          <w:p w:rsidR="00000000" w:rsidRDefault="00000000">
            <w:pPr>
              <w:jc w:val="center"/>
              <w:rPr>
                <w:sz w:val="22"/>
              </w:rPr>
            </w:pPr>
            <w:r>
              <w:rPr>
                <w:sz w:val="22"/>
              </w:rPr>
              <w:t>69,5</w:t>
            </w:r>
          </w:p>
        </w:tc>
        <w:tc>
          <w:tcPr>
            <w:tcW w:w="2037" w:type="dxa"/>
            <w:vMerge w:val="restart"/>
          </w:tcPr>
          <w:p w:rsidR="00000000" w:rsidRDefault="00000000">
            <w:pPr>
              <w:jc w:val="center"/>
              <w:rPr>
                <w:sz w:val="22"/>
              </w:rPr>
            </w:pPr>
          </w:p>
          <w:p w:rsidR="00000000" w:rsidRDefault="00000000">
            <w:pPr>
              <w:jc w:val="center"/>
              <w:rPr>
                <w:sz w:val="22"/>
              </w:rPr>
            </w:pPr>
            <w:r>
              <w:rPr>
                <w:sz w:val="22"/>
              </w:rPr>
              <w:t>0,9</w:t>
            </w:r>
          </w:p>
        </w:tc>
      </w:tr>
      <w:tr w:rsidR="00000000">
        <w:tblPrEx>
          <w:tblCellMar>
            <w:top w:w="0" w:type="dxa"/>
            <w:bottom w:w="0" w:type="dxa"/>
          </w:tblCellMar>
        </w:tblPrEx>
        <w:trPr>
          <w:cantSplit/>
        </w:trPr>
        <w:tc>
          <w:tcPr>
            <w:tcW w:w="999" w:type="dxa"/>
            <w:vMerge/>
          </w:tcPr>
          <w:p w:rsidR="00000000" w:rsidRDefault="00000000">
            <w:pPr>
              <w:jc w:val="both"/>
              <w:rPr>
                <w:sz w:val="22"/>
              </w:rPr>
            </w:pPr>
          </w:p>
        </w:tc>
        <w:tc>
          <w:tcPr>
            <w:tcW w:w="657" w:type="dxa"/>
          </w:tcPr>
          <w:p w:rsidR="00000000" w:rsidRDefault="00000000">
            <w:pPr>
              <w:jc w:val="right"/>
              <w:rPr>
                <w:sz w:val="22"/>
              </w:rPr>
            </w:pPr>
            <w:r>
              <w:rPr>
                <w:sz w:val="22"/>
              </w:rPr>
              <w:t>F</w:t>
            </w:r>
          </w:p>
        </w:tc>
        <w:tc>
          <w:tcPr>
            <w:tcW w:w="2036" w:type="dxa"/>
          </w:tcPr>
          <w:p w:rsidR="00000000" w:rsidRDefault="00000000">
            <w:pPr>
              <w:jc w:val="center"/>
              <w:rPr>
                <w:sz w:val="22"/>
              </w:rPr>
            </w:pPr>
            <w:r>
              <w:rPr>
                <w:sz w:val="22"/>
              </w:rPr>
              <w:t>33 237</w:t>
            </w:r>
          </w:p>
        </w:tc>
        <w:tc>
          <w:tcPr>
            <w:tcW w:w="2036" w:type="dxa"/>
          </w:tcPr>
          <w:p w:rsidR="00000000" w:rsidRDefault="00000000">
            <w:pPr>
              <w:rPr>
                <w:sz w:val="22"/>
              </w:rPr>
            </w:pPr>
            <w:r>
              <w:rPr>
                <w:sz w:val="22"/>
              </w:rPr>
              <w:t xml:space="preserve">               51 114</w:t>
            </w:r>
          </w:p>
        </w:tc>
        <w:tc>
          <w:tcPr>
            <w:tcW w:w="2036" w:type="dxa"/>
          </w:tcPr>
          <w:p w:rsidR="00000000" w:rsidRDefault="00000000">
            <w:pPr>
              <w:jc w:val="center"/>
              <w:rPr>
                <w:sz w:val="22"/>
              </w:rPr>
            </w:pPr>
            <w:r>
              <w:rPr>
                <w:sz w:val="22"/>
              </w:rPr>
              <w:t>65,0</w:t>
            </w:r>
          </w:p>
        </w:tc>
        <w:tc>
          <w:tcPr>
            <w:tcW w:w="2037" w:type="dxa"/>
            <w:vMerge/>
          </w:tcPr>
          <w:p w:rsidR="00000000" w:rsidRDefault="00000000">
            <w:pPr>
              <w:jc w:val="center"/>
              <w:rPr>
                <w:sz w:val="22"/>
              </w:rPr>
            </w:pPr>
          </w:p>
        </w:tc>
      </w:tr>
      <w:tr w:rsidR="00000000">
        <w:tblPrEx>
          <w:tblCellMar>
            <w:top w:w="0" w:type="dxa"/>
            <w:bottom w:w="0" w:type="dxa"/>
          </w:tblCellMar>
        </w:tblPrEx>
        <w:trPr>
          <w:cantSplit/>
        </w:trPr>
        <w:tc>
          <w:tcPr>
            <w:tcW w:w="999" w:type="dxa"/>
            <w:vMerge/>
          </w:tcPr>
          <w:p w:rsidR="00000000" w:rsidRDefault="00000000">
            <w:pPr>
              <w:jc w:val="both"/>
              <w:rPr>
                <w:sz w:val="22"/>
              </w:rPr>
            </w:pPr>
          </w:p>
        </w:tc>
        <w:tc>
          <w:tcPr>
            <w:tcW w:w="657" w:type="dxa"/>
          </w:tcPr>
          <w:p w:rsidR="00000000" w:rsidRDefault="00000000">
            <w:pPr>
              <w:jc w:val="right"/>
              <w:rPr>
                <w:sz w:val="22"/>
              </w:rPr>
            </w:pPr>
            <w:r>
              <w:rPr>
                <w:sz w:val="22"/>
              </w:rPr>
              <w:t>T</w:t>
            </w:r>
          </w:p>
        </w:tc>
        <w:tc>
          <w:tcPr>
            <w:tcW w:w="2036" w:type="dxa"/>
          </w:tcPr>
          <w:p w:rsidR="00000000" w:rsidRDefault="00000000">
            <w:pPr>
              <w:jc w:val="center"/>
              <w:rPr>
                <w:sz w:val="22"/>
              </w:rPr>
            </w:pPr>
            <w:r>
              <w:rPr>
                <w:sz w:val="22"/>
              </w:rPr>
              <w:t>69 139</w:t>
            </w:r>
          </w:p>
        </w:tc>
        <w:tc>
          <w:tcPr>
            <w:tcW w:w="2036" w:type="dxa"/>
          </w:tcPr>
          <w:p w:rsidR="00000000" w:rsidRDefault="00000000">
            <w:pPr>
              <w:rPr>
                <w:sz w:val="22"/>
              </w:rPr>
            </w:pPr>
            <w:r>
              <w:rPr>
                <w:sz w:val="22"/>
              </w:rPr>
              <w:t xml:space="preserve">             102 803</w:t>
            </w:r>
          </w:p>
        </w:tc>
        <w:tc>
          <w:tcPr>
            <w:tcW w:w="2036" w:type="dxa"/>
          </w:tcPr>
          <w:p w:rsidR="00000000" w:rsidRDefault="00000000">
            <w:pPr>
              <w:jc w:val="center"/>
              <w:rPr>
                <w:sz w:val="22"/>
              </w:rPr>
            </w:pPr>
            <w:r>
              <w:rPr>
                <w:sz w:val="22"/>
              </w:rPr>
              <w:t>67,3</w:t>
            </w:r>
          </w:p>
        </w:tc>
        <w:tc>
          <w:tcPr>
            <w:tcW w:w="2037" w:type="dxa"/>
            <w:vMerge/>
          </w:tcPr>
          <w:p w:rsidR="00000000" w:rsidRDefault="00000000">
            <w:pPr>
              <w:jc w:val="center"/>
              <w:rPr>
                <w:sz w:val="22"/>
              </w:rPr>
            </w:pPr>
          </w:p>
        </w:tc>
      </w:tr>
      <w:tr w:rsidR="00000000">
        <w:tblPrEx>
          <w:tblCellMar>
            <w:top w:w="0" w:type="dxa"/>
            <w:bottom w:w="0" w:type="dxa"/>
          </w:tblCellMar>
        </w:tblPrEx>
        <w:trPr>
          <w:cantSplit/>
        </w:trPr>
        <w:tc>
          <w:tcPr>
            <w:tcW w:w="999" w:type="dxa"/>
            <w:vMerge w:val="restart"/>
          </w:tcPr>
          <w:p w:rsidR="00000000" w:rsidRDefault="00000000">
            <w:pPr>
              <w:jc w:val="both"/>
              <w:rPr>
                <w:sz w:val="22"/>
              </w:rPr>
            </w:pPr>
          </w:p>
          <w:p w:rsidR="00000000" w:rsidRDefault="00000000">
            <w:pPr>
              <w:jc w:val="both"/>
              <w:rPr>
                <w:sz w:val="22"/>
              </w:rPr>
            </w:pPr>
            <w:r>
              <w:rPr>
                <w:sz w:val="22"/>
              </w:rPr>
              <w:t>1994</w:t>
            </w:r>
          </w:p>
        </w:tc>
        <w:tc>
          <w:tcPr>
            <w:tcW w:w="657" w:type="dxa"/>
          </w:tcPr>
          <w:p w:rsidR="00000000" w:rsidRDefault="00000000">
            <w:pPr>
              <w:jc w:val="right"/>
              <w:rPr>
                <w:sz w:val="22"/>
              </w:rPr>
            </w:pPr>
            <w:r>
              <w:rPr>
                <w:sz w:val="22"/>
              </w:rPr>
              <w:t>G</w:t>
            </w:r>
          </w:p>
        </w:tc>
        <w:tc>
          <w:tcPr>
            <w:tcW w:w="2036" w:type="dxa"/>
          </w:tcPr>
          <w:p w:rsidR="00000000" w:rsidRDefault="00000000">
            <w:pPr>
              <w:jc w:val="center"/>
              <w:rPr>
                <w:sz w:val="22"/>
              </w:rPr>
            </w:pPr>
            <w:r>
              <w:rPr>
                <w:sz w:val="22"/>
              </w:rPr>
              <w:t>34 202</w:t>
            </w:r>
          </w:p>
        </w:tc>
        <w:tc>
          <w:tcPr>
            <w:tcW w:w="2036" w:type="dxa"/>
          </w:tcPr>
          <w:p w:rsidR="00000000" w:rsidRDefault="00000000">
            <w:pPr>
              <w:rPr>
                <w:sz w:val="22"/>
              </w:rPr>
            </w:pPr>
            <w:r>
              <w:rPr>
                <w:sz w:val="22"/>
              </w:rPr>
              <w:t xml:space="preserve">               54 551</w:t>
            </w:r>
          </w:p>
        </w:tc>
        <w:tc>
          <w:tcPr>
            <w:tcW w:w="2036" w:type="dxa"/>
          </w:tcPr>
          <w:p w:rsidR="00000000" w:rsidRDefault="00000000">
            <w:pPr>
              <w:jc w:val="center"/>
              <w:rPr>
                <w:sz w:val="22"/>
              </w:rPr>
            </w:pPr>
            <w:r>
              <w:rPr>
                <w:sz w:val="22"/>
              </w:rPr>
              <w:t>62,7</w:t>
            </w:r>
          </w:p>
        </w:tc>
        <w:tc>
          <w:tcPr>
            <w:tcW w:w="2037" w:type="dxa"/>
            <w:vMerge w:val="restart"/>
          </w:tcPr>
          <w:p w:rsidR="00000000" w:rsidRDefault="00000000">
            <w:pPr>
              <w:jc w:val="center"/>
              <w:rPr>
                <w:sz w:val="22"/>
              </w:rPr>
            </w:pPr>
          </w:p>
          <w:p w:rsidR="00000000" w:rsidRDefault="00000000">
            <w:pPr>
              <w:jc w:val="center"/>
              <w:rPr>
                <w:sz w:val="22"/>
              </w:rPr>
            </w:pPr>
            <w:r>
              <w:rPr>
                <w:sz w:val="22"/>
              </w:rPr>
              <w:t>0,9</w:t>
            </w:r>
          </w:p>
        </w:tc>
      </w:tr>
      <w:tr w:rsidR="00000000">
        <w:tblPrEx>
          <w:tblCellMar>
            <w:top w:w="0" w:type="dxa"/>
            <w:bottom w:w="0" w:type="dxa"/>
          </w:tblCellMar>
        </w:tblPrEx>
        <w:trPr>
          <w:cantSplit/>
        </w:trPr>
        <w:tc>
          <w:tcPr>
            <w:tcW w:w="999" w:type="dxa"/>
            <w:vMerge/>
          </w:tcPr>
          <w:p w:rsidR="00000000" w:rsidRDefault="00000000">
            <w:pPr>
              <w:jc w:val="both"/>
              <w:rPr>
                <w:sz w:val="22"/>
              </w:rPr>
            </w:pPr>
          </w:p>
        </w:tc>
        <w:tc>
          <w:tcPr>
            <w:tcW w:w="657" w:type="dxa"/>
          </w:tcPr>
          <w:p w:rsidR="00000000" w:rsidRDefault="00000000">
            <w:pPr>
              <w:jc w:val="right"/>
              <w:rPr>
                <w:sz w:val="22"/>
              </w:rPr>
            </w:pPr>
            <w:r>
              <w:rPr>
                <w:sz w:val="22"/>
              </w:rPr>
              <w:t>F</w:t>
            </w:r>
          </w:p>
        </w:tc>
        <w:tc>
          <w:tcPr>
            <w:tcW w:w="2036" w:type="dxa"/>
          </w:tcPr>
          <w:p w:rsidR="00000000" w:rsidRDefault="00000000">
            <w:pPr>
              <w:jc w:val="center"/>
              <w:rPr>
                <w:sz w:val="22"/>
              </w:rPr>
            </w:pPr>
            <w:r>
              <w:rPr>
                <w:sz w:val="22"/>
              </w:rPr>
              <w:t>31 840</w:t>
            </w:r>
          </w:p>
        </w:tc>
        <w:tc>
          <w:tcPr>
            <w:tcW w:w="2036" w:type="dxa"/>
          </w:tcPr>
          <w:p w:rsidR="00000000" w:rsidRDefault="00000000">
            <w:pPr>
              <w:rPr>
                <w:sz w:val="22"/>
              </w:rPr>
            </w:pPr>
            <w:r>
              <w:rPr>
                <w:sz w:val="22"/>
              </w:rPr>
              <w:t xml:space="preserve">               53 674</w:t>
            </w:r>
          </w:p>
        </w:tc>
        <w:tc>
          <w:tcPr>
            <w:tcW w:w="2036" w:type="dxa"/>
          </w:tcPr>
          <w:p w:rsidR="00000000" w:rsidRDefault="00000000">
            <w:pPr>
              <w:jc w:val="center"/>
              <w:rPr>
                <w:sz w:val="22"/>
              </w:rPr>
            </w:pPr>
            <w:r>
              <w:rPr>
                <w:sz w:val="22"/>
              </w:rPr>
              <w:t>59,3</w:t>
            </w:r>
          </w:p>
        </w:tc>
        <w:tc>
          <w:tcPr>
            <w:tcW w:w="2037" w:type="dxa"/>
            <w:vMerge/>
          </w:tcPr>
          <w:p w:rsidR="00000000" w:rsidRDefault="00000000">
            <w:pPr>
              <w:jc w:val="center"/>
              <w:rPr>
                <w:sz w:val="22"/>
              </w:rPr>
            </w:pPr>
          </w:p>
        </w:tc>
      </w:tr>
      <w:tr w:rsidR="00000000">
        <w:tblPrEx>
          <w:tblCellMar>
            <w:top w:w="0" w:type="dxa"/>
            <w:bottom w:w="0" w:type="dxa"/>
          </w:tblCellMar>
        </w:tblPrEx>
        <w:trPr>
          <w:cantSplit/>
        </w:trPr>
        <w:tc>
          <w:tcPr>
            <w:tcW w:w="999" w:type="dxa"/>
            <w:vMerge/>
          </w:tcPr>
          <w:p w:rsidR="00000000" w:rsidRDefault="00000000">
            <w:pPr>
              <w:jc w:val="both"/>
              <w:rPr>
                <w:sz w:val="22"/>
              </w:rPr>
            </w:pPr>
          </w:p>
        </w:tc>
        <w:tc>
          <w:tcPr>
            <w:tcW w:w="657" w:type="dxa"/>
          </w:tcPr>
          <w:p w:rsidR="00000000" w:rsidRDefault="00000000">
            <w:pPr>
              <w:jc w:val="right"/>
              <w:rPr>
                <w:sz w:val="22"/>
              </w:rPr>
            </w:pPr>
            <w:r>
              <w:rPr>
                <w:sz w:val="22"/>
              </w:rPr>
              <w:t>T</w:t>
            </w:r>
          </w:p>
        </w:tc>
        <w:tc>
          <w:tcPr>
            <w:tcW w:w="2036" w:type="dxa"/>
          </w:tcPr>
          <w:p w:rsidR="00000000" w:rsidRDefault="00000000">
            <w:pPr>
              <w:jc w:val="center"/>
              <w:rPr>
                <w:sz w:val="22"/>
              </w:rPr>
            </w:pPr>
            <w:r>
              <w:rPr>
                <w:sz w:val="22"/>
              </w:rPr>
              <w:t>66 042</w:t>
            </w:r>
          </w:p>
        </w:tc>
        <w:tc>
          <w:tcPr>
            <w:tcW w:w="2036" w:type="dxa"/>
          </w:tcPr>
          <w:p w:rsidR="00000000" w:rsidRDefault="00000000">
            <w:pPr>
              <w:rPr>
                <w:sz w:val="22"/>
              </w:rPr>
            </w:pPr>
            <w:r>
              <w:rPr>
                <w:sz w:val="22"/>
              </w:rPr>
              <w:t xml:space="preserve">             108 225</w:t>
            </w:r>
          </w:p>
        </w:tc>
        <w:tc>
          <w:tcPr>
            <w:tcW w:w="2036" w:type="dxa"/>
          </w:tcPr>
          <w:p w:rsidR="00000000" w:rsidRDefault="00000000">
            <w:pPr>
              <w:jc w:val="center"/>
              <w:rPr>
                <w:sz w:val="22"/>
              </w:rPr>
            </w:pPr>
            <w:r>
              <w:rPr>
                <w:sz w:val="22"/>
              </w:rPr>
              <w:t>61,0</w:t>
            </w:r>
          </w:p>
        </w:tc>
        <w:tc>
          <w:tcPr>
            <w:tcW w:w="2037" w:type="dxa"/>
            <w:vMerge/>
          </w:tcPr>
          <w:p w:rsidR="00000000" w:rsidRDefault="00000000">
            <w:pPr>
              <w:jc w:val="center"/>
              <w:rPr>
                <w:sz w:val="22"/>
              </w:rPr>
            </w:pPr>
          </w:p>
        </w:tc>
      </w:tr>
      <w:tr w:rsidR="00000000">
        <w:tblPrEx>
          <w:tblCellMar>
            <w:top w:w="0" w:type="dxa"/>
            <w:bottom w:w="0" w:type="dxa"/>
          </w:tblCellMar>
        </w:tblPrEx>
        <w:trPr>
          <w:cantSplit/>
        </w:trPr>
        <w:tc>
          <w:tcPr>
            <w:tcW w:w="999" w:type="dxa"/>
            <w:vMerge w:val="restart"/>
          </w:tcPr>
          <w:p w:rsidR="00000000" w:rsidRDefault="00000000">
            <w:pPr>
              <w:jc w:val="both"/>
              <w:rPr>
                <w:sz w:val="22"/>
              </w:rPr>
            </w:pPr>
          </w:p>
          <w:p w:rsidR="00000000" w:rsidRDefault="00000000">
            <w:pPr>
              <w:jc w:val="both"/>
              <w:rPr>
                <w:sz w:val="22"/>
              </w:rPr>
            </w:pPr>
            <w:r>
              <w:rPr>
                <w:sz w:val="22"/>
              </w:rPr>
              <w:t>1995</w:t>
            </w:r>
          </w:p>
        </w:tc>
        <w:tc>
          <w:tcPr>
            <w:tcW w:w="657" w:type="dxa"/>
          </w:tcPr>
          <w:p w:rsidR="00000000" w:rsidRDefault="00000000">
            <w:pPr>
              <w:jc w:val="right"/>
              <w:rPr>
                <w:sz w:val="22"/>
              </w:rPr>
            </w:pPr>
            <w:r>
              <w:rPr>
                <w:sz w:val="22"/>
              </w:rPr>
              <w:t>G</w:t>
            </w:r>
          </w:p>
        </w:tc>
        <w:tc>
          <w:tcPr>
            <w:tcW w:w="2036" w:type="dxa"/>
          </w:tcPr>
          <w:p w:rsidR="00000000" w:rsidRDefault="00000000">
            <w:pPr>
              <w:jc w:val="center"/>
              <w:rPr>
                <w:sz w:val="22"/>
              </w:rPr>
            </w:pPr>
            <w:r>
              <w:rPr>
                <w:sz w:val="22"/>
              </w:rPr>
              <w:t>35 991</w:t>
            </w:r>
          </w:p>
        </w:tc>
        <w:tc>
          <w:tcPr>
            <w:tcW w:w="2036" w:type="dxa"/>
          </w:tcPr>
          <w:p w:rsidR="00000000" w:rsidRDefault="00000000">
            <w:pPr>
              <w:rPr>
                <w:sz w:val="22"/>
              </w:rPr>
            </w:pPr>
            <w:r>
              <w:rPr>
                <w:sz w:val="22"/>
              </w:rPr>
              <w:t xml:space="preserve">               57 951</w:t>
            </w:r>
          </w:p>
        </w:tc>
        <w:tc>
          <w:tcPr>
            <w:tcW w:w="2036" w:type="dxa"/>
          </w:tcPr>
          <w:p w:rsidR="00000000" w:rsidRDefault="00000000">
            <w:pPr>
              <w:jc w:val="center"/>
              <w:rPr>
                <w:sz w:val="22"/>
              </w:rPr>
            </w:pPr>
            <w:r>
              <w:rPr>
                <w:sz w:val="22"/>
              </w:rPr>
              <w:t>62,1</w:t>
            </w:r>
          </w:p>
        </w:tc>
        <w:tc>
          <w:tcPr>
            <w:tcW w:w="2037" w:type="dxa"/>
            <w:vMerge w:val="restart"/>
          </w:tcPr>
          <w:p w:rsidR="00000000" w:rsidRDefault="00000000">
            <w:pPr>
              <w:jc w:val="center"/>
              <w:rPr>
                <w:sz w:val="22"/>
              </w:rPr>
            </w:pPr>
          </w:p>
          <w:p w:rsidR="00000000" w:rsidRDefault="00000000">
            <w:pPr>
              <w:jc w:val="center"/>
              <w:rPr>
                <w:sz w:val="22"/>
              </w:rPr>
            </w:pPr>
            <w:r>
              <w:rPr>
                <w:sz w:val="22"/>
              </w:rPr>
              <w:t>0,9</w:t>
            </w:r>
          </w:p>
        </w:tc>
      </w:tr>
      <w:tr w:rsidR="00000000">
        <w:tblPrEx>
          <w:tblCellMar>
            <w:top w:w="0" w:type="dxa"/>
            <w:bottom w:w="0" w:type="dxa"/>
          </w:tblCellMar>
        </w:tblPrEx>
        <w:trPr>
          <w:cantSplit/>
        </w:trPr>
        <w:tc>
          <w:tcPr>
            <w:tcW w:w="999" w:type="dxa"/>
            <w:vMerge/>
          </w:tcPr>
          <w:p w:rsidR="00000000" w:rsidRDefault="00000000">
            <w:pPr>
              <w:jc w:val="both"/>
              <w:rPr>
                <w:sz w:val="22"/>
              </w:rPr>
            </w:pPr>
          </w:p>
        </w:tc>
        <w:tc>
          <w:tcPr>
            <w:tcW w:w="657" w:type="dxa"/>
          </w:tcPr>
          <w:p w:rsidR="00000000" w:rsidRDefault="00000000">
            <w:pPr>
              <w:jc w:val="right"/>
              <w:rPr>
                <w:sz w:val="22"/>
              </w:rPr>
            </w:pPr>
            <w:r>
              <w:rPr>
                <w:sz w:val="22"/>
              </w:rPr>
              <w:t>F</w:t>
            </w:r>
          </w:p>
        </w:tc>
        <w:tc>
          <w:tcPr>
            <w:tcW w:w="2036" w:type="dxa"/>
          </w:tcPr>
          <w:p w:rsidR="00000000" w:rsidRDefault="00000000">
            <w:pPr>
              <w:jc w:val="center"/>
              <w:rPr>
                <w:sz w:val="22"/>
              </w:rPr>
            </w:pPr>
            <w:r>
              <w:rPr>
                <w:sz w:val="22"/>
              </w:rPr>
              <w:t>30 540</w:t>
            </w:r>
          </w:p>
        </w:tc>
        <w:tc>
          <w:tcPr>
            <w:tcW w:w="2036" w:type="dxa"/>
          </w:tcPr>
          <w:p w:rsidR="00000000" w:rsidRDefault="00000000">
            <w:pPr>
              <w:rPr>
                <w:sz w:val="22"/>
              </w:rPr>
            </w:pPr>
            <w:r>
              <w:rPr>
                <w:sz w:val="22"/>
              </w:rPr>
              <w:t xml:space="preserve">               56 770</w:t>
            </w:r>
          </w:p>
        </w:tc>
        <w:tc>
          <w:tcPr>
            <w:tcW w:w="2036" w:type="dxa"/>
          </w:tcPr>
          <w:p w:rsidR="00000000" w:rsidRDefault="00000000">
            <w:pPr>
              <w:jc w:val="center"/>
              <w:rPr>
                <w:sz w:val="22"/>
              </w:rPr>
            </w:pPr>
            <w:r>
              <w:rPr>
                <w:sz w:val="22"/>
              </w:rPr>
              <w:t>53,8</w:t>
            </w:r>
          </w:p>
        </w:tc>
        <w:tc>
          <w:tcPr>
            <w:tcW w:w="2037" w:type="dxa"/>
            <w:vMerge/>
          </w:tcPr>
          <w:p w:rsidR="00000000" w:rsidRDefault="00000000">
            <w:pPr>
              <w:jc w:val="both"/>
              <w:rPr>
                <w:sz w:val="22"/>
              </w:rPr>
            </w:pPr>
          </w:p>
        </w:tc>
      </w:tr>
      <w:tr w:rsidR="00000000">
        <w:tblPrEx>
          <w:tblCellMar>
            <w:top w:w="0" w:type="dxa"/>
            <w:bottom w:w="0" w:type="dxa"/>
          </w:tblCellMar>
        </w:tblPrEx>
        <w:trPr>
          <w:cantSplit/>
        </w:trPr>
        <w:tc>
          <w:tcPr>
            <w:tcW w:w="999" w:type="dxa"/>
            <w:vMerge/>
          </w:tcPr>
          <w:p w:rsidR="00000000" w:rsidRDefault="00000000">
            <w:pPr>
              <w:jc w:val="both"/>
              <w:rPr>
                <w:sz w:val="22"/>
              </w:rPr>
            </w:pPr>
          </w:p>
        </w:tc>
        <w:tc>
          <w:tcPr>
            <w:tcW w:w="657" w:type="dxa"/>
          </w:tcPr>
          <w:p w:rsidR="00000000" w:rsidRDefault="00000000">
            <w:pPr>
              <w:jc w:val="right"/>
              <w:rPr>
                <w:sz w:val="22"/>
              </w:rPr>
            </w:pPr>
            <w:r>
              <w:rPr>
                <w:sz w:val="22"/>
              </w:rPr>
              <w:t>T</w:t>
            </w:r>
          </w:p>
        </w:tc>
        <w:tc>
          <w:tcPr>
            <w:tcW w:w="2036" w:type="dxa"/>
          </w:tcPr>
          <w:p w:rsidR="00000000" w:rsidRDefault="00000000">
            <w:pPr>
              <w:jc w:val="center"/>
              <w:rPr>
                <w:sz w:val="22"/>
              </w:rPr>
            </w:pPr>
            <w:r>
              <w:rPr>
                <w:sz w:val="22"/>
              </w:rPr>
              <w:t>66 531</w:t>
            </w:r>
          </w:p>
        </w:tc>
        <w:tc>
          <w:tcPr>
            <w:tcW w:w="2036" w:type="dxa"/>
          </w:tcPr>
          <w:p w:rsidR="00000000" w:rsidRDefault="00000000">
            <w:pPr>
              <w:rPr>
                <w:sz w:val="22"/>
              </w:rPr>
            </w:pPr>
            <w:r>
              <w:rPr>
                <w:sz w:val="22"/>
              </w:rPr>
              <w:t xml:space="preserve">             114 721</w:t>
            </w:r>
          </w:p>
        </w:tc>
        <w:tc>
          <w:tcPr>
            <w:tcW w:w="2036" w:type="dxa"/>
          </w:tcPr>
          <w:p w:rsidR="00000000" w:rsidRDefault="00000000">
            <w:pPr>
              <w:jc w:val="center"/>
              <w:rPr>
                <w:sz w:val="22"/>
              </w:rPr>
            </w:pPr>
            <w:r>
              <w:rPr>
                <w:sz w:val="22"/>
              </w:rPr>
              <w:t>58,0</w:t>
            </w:r>
          </w:p>
        </w:tc>
        <w:tc>
          <w:tcPr>
            <w:tcW w:w="2037" w:type="dxa"/>
            <w:vMerge/>
          </w:tcPr>
          <w:p w:rsidR="00000000" w:rsidRDefault="00000000">
            <w:pPr>
              <w:jc w:val="both"/>
              <w:rPr>
                <w:sz w:val="22"/>
              </w:rPr>
            </w:pPr>
          </w:p>
        </w:tc>
      </w:tr>
    </w:tbl>
    <w:p w:rsidR="00000000" w:rsidRDefault="00000000">
      <w:pPr>
        <w:jc w:val="both"/>
        <w:rPr>
          <w:sz w:val="22"/>
        </w:rPr>
      </w:pPr>
    </w:p>
    <w:p w:rsidR="00000000" w:rsidRDefault="00000000">
      <w:pPr>
        <w:pStyle w:val="BodyTextIndent3"/>
        <w:ind w:left="851" w:hanging="851"/>
        <w:rPr>
          <w:i/>
          <w:sz w:val="22"/>
        </w:rPr>
      </w:pPr>
      <w:r>
        <w:rPr>
          <w:i/>
          <w:sz w:val="22"/>
          <w:u w:val="single"/>
        </w:rPr>
        <w:t>Source</w:t>
      </w:r>
      <w:r>
        <w:rPr>
          <w:i/>
          <w:sz w:val="22"/>
        </w:rPr>
        <w:t xml:space="preserve"> : Direction des études et de la planification, ministère de l’enseignement primaire et secondaire, 1998.</w:t>
      </w:r>
    </w:p>
    <w:p w:rsidR="00000000" w:rsidRDefault="00000000">
      <w:pPr>
        <w:jc w:val="both"/>
        <w:rPr>
          <w:sz w:val="22"/>
        </w:rPr>
      </w:pPr>
    </w:p>
    <w:p w:rsidR="00000000" w:rsidRDefault="00000000">
      <w:pPr>
        <w:jc w:val="both"/>
        <w:rPr>
          <w:b/>
          <w:sz w:val="22"/>
        </w:rPr>
      </w:pPr>
      <w:r>
        <w:rPr>
          <w:b/>
          <w:sz w:val="22"/>
          <w:u w:val="single"/>
        </w:rPr>
        <w:t>Tableau n° 35</w:t>
      </w:r>
      <w:r>
        <w:rPr>
          <w:b/>
          <w:sz w:val="22"/>
        </w:rPr>
        <w:t> : Taux de redoublement dans le primaire</w:t>
      </w:r>
    </w:p>
    <w:p w:rsidR="00000000" w:rsidRDefault="00000000">
      <w:pPr>
        <w:jc w:val="both"/>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9"/>
        <w:gridCol w:w="1314"/>
        <w:gridCol w:w="1314"/>
        <w:gridCol w:w="1314"/>
        <w:gridCol w:w="1314"/>
        <w:gridCol w:w="1314"/>
        <w:gridCol w:w="1314"/>
      </w:tblGrid>
      <w:tr w:rsidR="00000000">
        <w:tblPrEx>
          <w:tblCellMar>
            <w:top w:w="0" w:type="dxa"/>
            <w:bottom w:w="0" w:type="dxa"/>
          </w:tblCellMar>
        </w:tblPrEx>
        <w:trPr>
          <w:cantSplit/>
        </w:trPr>
        <w:tc>
          <w:tcPr>
            <w:tcW w:w="1899" w:type="dxa"/>
          </w:tcPr>
          <w:p w:rsidR="00000000" w:rsidRDefault="00000000">
            <w:pPr>
              <w:jc w:val="both"/>
              <w:rPr>
                <w:sz w:val="22"/>
              </w:rPr>
            </w:pPr>
            <w:r>
              <w:rPr>
                <w:sz w:val="22"/>
              </w:rPr>
              <w:t>Niveau</w:t>
            </w:r>
          </w:p>
        </w:tc>
        <w:tc>
          <w:tcPr>
            <w:tcW w:w="7884" w:type="dxa"/>
            <w:gridSpan w:val="6"/>
          </w:tcPr>
          <w:p w:rsidR="00000000" w:rsidRDefault="00000000">
            <w:pPr>
              <w:pStyle w:val="Heading5"/>
              <w:rPr>
                <w:sz w:val="22"/>
              </w:rPr>
            </w:pPr>
            <w:r>
              <w:rPr>
                <w:sz w:val="22"/>
              </w:rPr>
              <w:t>Primaire</w:t>
            </w:r>
          </w:p>
        </w:tc>
      </w:tr>
      <w:tr w:rsidR="00000000">
        <w:tblPrEx>
          <w:tblCellMar>
            <w:top w:w="0" w:type="dxa"/>
            <w:bottom w:w="0" w:type="dxa"/>
          </w:tblCellMar>
        </w:tblPrEx>
        <w:tc>
          <w:tcPr>
            <w:tcW w:w="1899" w:type="dxa"/>
          </w:tcPr>
          <w:p w:rsidR="00000000" w:rsidRDefault="00000000">
            <w:pPr>
              <w:jc w:val="both"/>
              <w:rPr>
                <w:sz w:val="22"/>
              </w:rPr>
            </w:pPr>
            <w:r>
              <w:rPr>
                <w:sz w:val="22"/>
              </w:rPr>
              <w:t>Classe</w:t>
            </w:r>
          </w:p>
        </w:tc>
        <w:tc>
          <w:tcPr>
            <w:tcW w:w="1314" w:type="dxa"/>
          </w:tcPr>
          <w:p w:rsidR="00000000" w:rsidRDefault="00000000">
            <w:pPr>
              <w:jc w:val="both"/>
              <w:rPr>
                <w:sz w:val="22"/>
              </w:rPr>
            </w:pPr>
            <w:r>
              <w:rPr>
                <w:sz w:val="22"/>
              </w:rPr>
              <w:t>CP1</w:t>
            </w:r>
          </w:p>
        </w:tc>
        <w:tc>
          <w:tcPr>
            <w:tcW w:w="1314" w:type="dxa"/>
          </w:tcPr>
          <w:p w:rsidR="00000000" w:rsidRDefault="00000000">
            <w:pPr>
              <w:jc w:val="both"/>
              <w:rPr>
                <w:sz w:val="22"/>
              </w:rPr>
            </w:pPr>
            <w:r>
              <w:rPr>
                <w:sz w:val="22"/>
              </w:rPr>
              <w:t>CP2</w:t>
            </w:r>
          </w:p>
        </w:tc>
        <w:tc>
          <w:tcPr>
            <w:tcW w:w="1314" w:type="dxa"/>
          </w:tcPr>
          <w:p w:rsidR="00000000" w:rsidRDefault="00000000">
            <w:pPr>
              <w:jc w:val="both"/>
              <w:rPr>
                <w:sz w:val="22"/>
              </w:rPr>
            </w:pPr>
            <w:r>
              <w:rPr>
                <w:sz w:val="22"/>
              </w:rPr>
              <w:t>CE1</w:t>
            </w:r>
          </w:p>
        </w:tc>
        <w:tc>
          <w:tcPr>
            <w:tcW w:w="1314" w:type="dxa"/>
          </w:tcPr>
          <w:p w:rsidR="00000000" w:rsidRDefault="00000000">
            <w:pPr>
              <w:jc w:val="both"/>
              <w:rPr>
                <w:sz w:val="22"/>
              </w:rPr>
            </w:pPr>
            <w:r>
              <w:rPr>
                <w:sz w:val="22"/>
              </w:rPr>
              <w:t>CE2</w:t>
            </w:r>
          </w:p>
        </w:tc>
        <w:tc>
          <w:tcPr>
            <w:tcW w:w="1314" w:type="dxa"/>
          </w:tcPr>
          <w:p w:rsidR="00000000" w:rsidRDefault="00000000">
            <w:pPr>
              <w:jc w:val="both"/>
              <w:rPr>
                <w:sz w:val="22"/>
              </w:rPr>
            </w:pPr>
            <w:r>
              <w:rPr>
                <w:sz w:val="22"/>
              </w:rPr>
              <w:t>CM1</w:t>
            </w:r>
          </w:p>
        </w:tc>
        <w:tc>
          <w:tcPr>
            <w:tcW w:w="1314" w:type="dxa"/>
          </w:tcPr>
          <w:p w:rsidR="00000000" w:rsidRDefault="00000000">
            <w:pPr>
              <w:jc w:val="both"/>
              <w:rPr>
                <w:sz w:val="22"/>
              </w:rPr>
            </w:pPr>
            <w:r>
              <w:rPr>
                <w:sz w:val="22"/>
              </w:rPr>
              <w:t>CM2</w:t>
            </w:r>
          </w:p>
        </w:tc>
      </w:tr>
      <w:tr w:rsidR="00000000">
        <w:tblPrEx>
          <w:tblCellMar>
            <w:top w:w="0" w:type="dxa"/>
            <w:bottom w:w="0" w:type="dxa"/>
          </w:tblCellMar>
        </w:tblPrEx>
        <w:tc>
          <w:tcPr>
            <w:tcW w:w="1899" w:type="dxa"/>
          </w:tcPr>
          <w:p w:rsidR="00000000" w:rsidRDefault="00000000">
            <w:pPr>
              <w:jc w:val="both"/>
              <w:rPr>
                <w:sz w:val="22"/>
              </w:rPr>
            </w:pPr>
            <w:r>
              <w:rPr>
                <w:sz w:val="22"/>
              </w:rPr>
              <w:t>Pourcentage</w:t>
            </w:r>
          </w:p>
        </w:tc>
        <w:tc>
          <w:tcPr>
            <w:tcW w:w="1314" w:type="dxa"/>
          </w:tcPr>
          <w:p w:rsidR="00000000" w:rsidRDefault="00000000">
            <w:pPr>
              <w:jc w:val="both"/>
              <w:rPr>
                <w:sz w:val="22"/>
              </w:rPr>
            </w:pPr>
            <w:r>
              <w:rPr>
                <w:sz w:val="22"/>
              </w:rPr>
              <w:t>36%</w:t>
            </w:r>
          </w:p>
        </w:tc>
        <w:tc>
          <w:tcPr>
            <w:tcW w:w="1314" w:type="dxa"/>
          </w:tcPr>
          <w:p w:rsidR="00000000" w:rsidRDefault="00000000">
            <w:pPr>
              <w:jc w:val="both"/>
              <w:rPr>
                <w:sz w:val="22"/>
              </w:rPr>
            </w:pPr>
            <w:r>
              <w:rPr>
                <w:sz w:val="22"/>
              </w:rPr>
              <w:t>23%</w:t>
            </w:r>
          </w:p>
        </w:tc>
        <w:tc>
          <w:tcPr>
            <w:tcW w:w="1314" w:type="dxa"/>
          </w:tcPr>
          <w:p w:rsidR="00000000" w:rsidRDefault="00000000">
            <w:pPr>
              <w:jc w:val="both"/>
              <w:rPr>
                <w:sz w:val="22"/>
              </w:rPr>
            </w:pPr>
            <w:r>
              <w:rPr>
                <w:sz w:val="22"/>
              </w:rPr>
              <w:t>42%</w:t>
            </w:r>
          </w:p>
        </w:tc>
        <w:tc>
          <w:tcPr>
            <w:tcW w:w="1314" w:type="dxa"/>
          </w:tcPr>
          <w:p w:rsidR="00000000" w:rsidRDefault="00000000">
            <w:pPr>
              <w:jc w:val="both"/>
              <w:rPr>
                <w:sz w:val="22"/>
              </w:rPr>
            </w:pPr>
            <w:r>
              <w:rPr>
                <w:sz w:val="22"/>
              </w:rPr>
              <w:t>36%</w:t>
            </w:r>
          </w:p>
        </w:tc>
        <w:tc>
          <w:tcPr>
            <w:tcW w:w="1314" w:type="dxa"/>
          </w:tcPr>
          <w:p w:rsidR="00000000" w:rsidRDefault="00000000">
            <w:pPr>
              <w:jc w:val="both"/>
              <w:rPr>
                <w:sz w:val="22"/>
              </w:rPr>
            </w:pPr>
            <w:r>
              <w:rPr>
                <w:sz w:val="22"/>
              </w:rPr>
              <w:t>33%</w:t>
            </w:r>
          </w:p>
        </w:tc>
        <w:tc>
          <w:tcPr>
            <w:tcW w:w="1314" w:type="dxa"/>
          </w:tcPr>
          <w:p w:rsidR="00000000" w:rsidRDefault="00000000">
            <w:pPr>
              <w:jc w:val="both"/>
              <w:rPr>
                <w:sz w:val="22"/>
              </w:rPr>
            </w:pPr>
            <w:r>
              <w:rPr>
                <w:sz w:val="22"/>
              </w:rPr>
              <w:t>38%</w:t>
            </w:r>
          </w:p>
        </w:tc>
      </w:tr>
    </w:tbl>
    <w:p w:rsidR="00000000" w:rsidRDefault="00000000">
      <w:pPr>
        <w:jc w:val="both"/>
        <w:rPr>
          <w:sz w:val="22"/>
        </w:rPr>
      </w:pPr>
    </w:p>
    <w:p w:rsidR="00000000" w:rsidRDefault="00000000">
      <w:pPr>
        <w:jc w:val="both"/>
        <w:rPr>
          <w:i/>
          <w:sz w:val="22"/>
        </w:rPr>
      </w:pPr>
      <w:r>
        <w:rPr>
          <w:i/>
          <w:sz w:val="22"/>
          <w:u w:val="single"/>
        </w:rPr>
        <w:t>Source</w:t>
      </w:r>
      <w:r>
        <w:rPr>
          <w:i/>
          <w:sz w:val="22"/>
        </w:rPr>
        <w:t> : Direction des études et de la planification, MEPS 1998.</w:t>
      </w:r>
    </w:p>
    <w:p w:rsidR="00000000" w:rsidRDefault="00000000">
      <w:pPr>
        <w:jc w:val="both"/>
        <w:rPr>
          <w:sz w:val="22"/>
        </w:rPr>
      </w:pPr>
    </w:p>
    <w:p w:rsidR="00000000" w:rsidRDefault="00000000">
      <w:pPr>
        <w:jc w:val="both"/>
        <w:rPr>
          <w:sz w:val="22"/>
        </w:rPr>
      </w:pPr>
    </w:p>
    <w:p w:rsidR="00000000" w:rsidRDefault="00000000">
      <w:pPr>
        <w:jc w:val="both"/>
        <w:rPr>
          <w:sz w:val="22"/>
        </w:rPr>
      </w:pPr>
      <w:r>
        <w:rPr>
          <w:sz w:val="22"/>
        </w:rPr>
        <w:t>Les redoublements, les abandons et les échecs aux examens sont considérables et élevés. L’abandon de l’enseignement public peut s’expliquer notamment par l’inscription des enfants dans des écoles privées. La féminisation de la fonction d’instituteur est en évolution. Dans les villes, beaucoup de classes sont tenues par des femmes.</w:t>
      </w:r>
    </w:p>
    <w:p w:rsidR="00000000" w:rsidRDefault="00000000">
      <w:pPr>
        <w:jc w:val="both"/>
        <w:rPr>
          <w:sz w:val="22"/>
        </w:rPr>
      </w:pPr>
    </w:p>
    <w:p w:rsidR="00000000" w:rsidRDefault="00000000">
      <w:pPr>
        <w:jc w:val="both"/>
        <w:rPr>
          <w:sz w:val="22"/>
        </w:rPr>
      </w:pPr>
      <w:r>
        <w:rPr>
          <w:sz w:val="22"/>
        </w:rPr>
        <w:t>De 1980 à 1990, le taux à été en hausse soit, de 24% à 32,8%</w:t>
      </w:r>
    </w:p>
    <w:p w:rsidR="00000000" w:rsidRDefault="00000000">
      <w:pPr>
        <w:jc w:val="both"/>
        <w:rPr>
          <w:sz w:val="22"/>
        </w:rPr>
      </w:pPr>
      <w:r>
        <w:rPr>
          <w:sz w:val="22"/>
        </w:rPr>
        <w:t>De 1980 à 1985, le pourcentage des enseignantes est passé, de 24,6% à 29,3% soit une augmentation de 19,10% contrairement à celui des hommes qui connaît un fléchissement de –4,9% soit 75% en 1980 et 71,7% en 1985.</w:t>
      </w:r>
    </w:p>
    <w:p w:rsidR="00000000" w:rsidRDefault="00000000">
      <w:pPr>
        <w:jc w:val="both"/>
        <w:rPr>
          <w:sz w:val="22"/>
        </w:rPr>
      </w:pPr>
    </w:p>
    <w:p w:rsidR="00000000" w:rsidRDefault="00000000">
      <w:pPr>
        <w:jc w:val="both"/>
        <w:rPr>
          <w:sz w:val="22"/>
        </w:rPr>
      </w:pPr>
      <w:r>
        <w:rPr>
          <w:sz w:val="22"/>
        </w:rPr>
        <w:t>Par ailleurs de 1985 à 1990, cette tendance est passée de 29,3% à 32,8%, pour les femmes, soit une évolution de 11,9% contre - 6,2% chez les hommes soit, 87,9 à 81,5%.</w:t>
      </w:r>
    </w:p>
    <w:p w:rsidR="00000000" w:rsidRDefault="00000000">
      <w:pPr>
        <w:jc w:val="both"/>
        <w:rPr>
          <w:sz w:val="22"/>
        </w:rPr>
      </w:pPr>
    </w:p>
    <w:p w:rsidR="00000000" w:rsidRDefault="00000000">
      <w:pPr>
        <w:pStyle w:val="Heading4"/>
        <w:rPr>
          <w:b/>
          <w:sz w:val="22"/>
        </w:rPr>
      </w:pPr>
      <w:r>
        <w:rPr>
          <w:b/>
          <w:sz w:val="22"/>
          <w:u w:val="none"/>
        </w:rPr>
        <w:t xml:space="preserve">C - </w:t>
      </w:r>
      <w:r>
        <w:rPr>
          <w:b/>
          <w:sz w:val="22"/>
        </w:rPr>
        <w:t>L’enseignement secondaire et technique</w:t>
      </w:r>
    </w:p>
    <w:p w:rsidR="00000000" w:rsidRDefault="00000000">
      <w:pPr>
        <w:jc w:val="both"/>
        <w:rPr>
          <w:sz w:val="22"/>
        </w:rPr>
      </w:pPr>
    </w:p>
    <w:p w:rsidR="00000000" w:rsidRDefault="00000000">
      <w:pPr>
        <w:jc w:val="both"/>
        <w:rPr>
          <w:sz w:val="22"/>
        </w:rPr>
      </w:pPr>
      <w:r>
        <w:rPr>
          <w:sz w:val="22"/>
        </w:rPr>
        <w:t>Le taux de scolarisation au cycle secondaire pour les enfants de 12 à 19 ans (1</w:t>
      </w:r>
      <w:r>
        <w:rPr>
          <w:sz w:val="22"/>
          <w:vertAlign w:val="superscript"/>
        </w:rPr>
        <w:t>er</w:t>
      </w:r>
      <w:r>
        <w:rPr>
          <w:sz w:val="22"/>
        </w:rPr>
        <w:t xml:space="preserve"> degré) est de 84%, soit 26% des filles.</w:t>
      </w:r>
    </w:p>
    <w:p w:rsidR="00000000" w:rsidRDefault="00000000">
      <w:pPr>
        <w:jc w:val="both"/>
        <w:rPr>
          <w:sz w:val="22"/>
        </w:rPr>
      </w:pPr>
    </w:p>
    <w:p w:rsidR="00000000" w:rsidRDefault="00000000">
      <w:pPr>
        <w:jc w:val="both"/>
        <w:rPr>
          <w:sz w:val="22"/>
        </w:rPr>
      </w:pPr>
      <w:r>
        <w:rPr>
          <w:sz w:val="22"/>
        </w:rPr>
        <w:t>Au niveau des collèges, la prédominance des filles est plus remarquable que dans les lycées. Le taux de scolarisation dans les collèges est de 71% pour les garçons contre 58,4 pour les filles. Dans les lycées, la situation est la même, 29% contre 12%.</w:t>
      </w:r>
    </w:p>
    <w:p w:rsidR="00000000" w:rsidRDefault="00000000">
      <w:pPr>
        <w:jc w:val="both"/>
        <w:rPr>
          <w:sz w:val="22"/>
        </w:rPr>
      </w:pPr>
    </w:p>
    <w:p w:rsidR="00000000" w:rsidRDefault="00000000">
      <w:pPr>
        <w:jc w:val="both"/>
        <w:rPr>
          <w:sz w:val="22"/>
        </w:rPr>
      </w:pPr>
      <w:r>
        <w:rPr>
          <w:sz w:val="22"/>
        </w:rPr>
        <w:t>Les données statistiques montrent qu’il y a une faible participation féminine. Celle-ci est due aux barrières mentales (influences familiales, poids des traditions, coutumes, croyances, division du travail, problèmes sexuels et affectifs, pauvreté, violences de toute nature). La déperdition scolaire au niveau des filles est très élevée. Sur 1000 élèves admis au collège, 365 atteignent la  classe terminale et 202 réussissent au baccalauréat. Le pourcentage des filles est toujours en dessous de celui des garçons. Le taux de participation des filles, surtout dans les établissements d’enseignement technique, est très faible. La répartition détaillée par sexe n’est pas précisée au cycle d’enseignement technique et professionnel. Du fait des récents conflits, certains établissements ouverts n’ont pas transmis les données nécessaires. En outre, il faut aussi noter que d’autres établissements notamment, certains centres de métiers demeurent fermés. Il existe une différence dans l’évolution de la scolarisation entre le ministère de l’enseignement général et celui de l’enseignement technique qui éprouve beaucoup de difficultés : carence de personnel, de matériel, de locaux.</w:t>
      </w:r>
    </w:p>
    <w:p w:rsidR="00000000" w:rsidRDefault="00000000">
      <w:pPr>
        <w:jc w:val="both"/>
        <w:rPr>
          <w:sz w:val="22"/>
        </w:rPr>
      </w:pPr>
    </w:p>
    <w:p w:rsidR="00000000" w:rsidRDefault="00000000">
      <w:pPr>
        <w:jc w:val="both"/>
        <w:rPr>
          <w:b/>
          <w:sz w:val="22"/>
        </w:rPr>
      </w:pPr>
      <w:r>
        <w:rPr>
          <w:b/>
          <w:sz w:val="22"/>
          <w:u w:val="single"/>
        </w:rPr>
        <w:t>Tableau n° 36</w:t>
      </w:r>
      <w:r>
        <w:rPr>
          <w:b/>
          <w:sz w:val="22"/>
        </w:rPr>
        <w:t xml:space="preserve"> : Effectifs au cycle secondaire de l’enseignement général </w:t>
      </w:r>
    </w:p>
    <w:p w:rsidR="00000000" w:rsidRDefault="00000000">
      <w:pPr>
        <w:jc w:val="both"/>
        <w:rPr>
          <w:sz w:val="22"/>
        </w:rPr>
      </w:pP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74"/>
        <w:gridCol w:w="963"/>
        <w:gridCol w:w="1050"/>
        <w:gridCol w:w="1050"/>
        <w:gridCol w:w="1041"/>
        <w:gridCol w:w="9"/>
        <w:gridCol w:w="1050"/>
        <w:gridCol w:w="1050"/>
        <w:gridCol w:w="1050"/>
      </w:tblGrid>
      <w:tr w:rsidR="00000000">
        <w:tblPrEx>
          <w:tblCellMar>
            <w:top w:w="0" w:type="dxa"/>
            <w:bottom w:w="0" w:type="dxa"/>
          </w:tblCellMar>
        </w:tblPrEx>
        <w:trPr>
          <w:cantSplit/>
        </w:trPr>
        <w:tc>
          <w:tcPr>
            <w:tcW w:w="2574" w:type="dxa"/>
            <w:vMerge w:val="restart"/>
          </w:tcPr>
          <w:p w:rsidR="00000000" w:rsidRDefault="00000000">
            <w:pPr>
              <w:jc w:val="both"/>
              <w:rPr>
                <w:sz w:val="22"/>
              </w:rPr>
            </w:pPr>
          </w:p>
          <w:p w:rsidR="00000000" w:rsidRDefault="00000000">
            <w:pPr>
              <w:rPr>
                <w:sz w:val="22"/>
              </w:rPr>
            </w:pPr>
            <w:r>
              <w:rPr>
                <w:sz w:val="22"/>
              </w:rPr>
              <w:t>Collège d’enseignement général (CEG)</w:t>
            </w:r>
          </w:p>
        </w:tc>
        <w:tc>
          <w:tcPr>
            <w:tcW w:w="963" w:type="dxa"/>
            <w:vMerge w:val="restart"/>
          </w:tcPr>
          <w:p w:rsidR="00000000" w:rsidRDefault="00000000">
            <w:pPr>
              <w:jc w:val="both"/>
              <w:rPr>
                <w:sz w:val="22"/>
              </w:rPr>
            </w:pPr>
            <w:r>
              <w:rPr>
                <w:sz w:val="22"/>
              </w:rPr>
              <w:t>Année</w:t>
            </w:r>
          </w:p>
        </w:tc>
        <w:tc>
          <w:tcPr>
            <w:tcW w:w="3141" w:type="dxa"/>
            <w:gridSpan w:val="3"/>
          </w:tcPr>
          <w:p w:rsidR="00000000" w:rsidRDefault="00000000">
            <w:pPr>
              <w:jc w:val="both"/>
              <w:rPr>
                <w:sz w:val="22"/>
              </w:rPr>
            </w:pPr>
            <w:r>
              <w:rPr>
                <w:sz w:val="22"/>
              </w:rPr>
              <w:t>Elèves</w:t>
            </w:r>
          </w:p>
        </w:tc>
        <w:tc>
          <w:tcPr>
            <w:tcW w:w="3159" w:type="dxa"/>
            <w:gridSpan w:val="4"/>
          </w:tcPr>
          <w:p w:rsidR="00000000" w:rsidRDefault="00000000">
            <w:pPr>
              <w:jc w:val="both"/>
              <w:rPr>
                <w:sz w:val="22"/>
              </w:rPr>
            </w:pPr>
            <w:r>
              <w:rPr>
                <w:sz w:val="22"/>
              </w:rPr>
              <w:t>Enseignants</w:t>
            </w:r>
          </w:p>
        </w:tc>
      </w:tr>
      <w:tr w:rsidR="00000000">
        <w:tblPrEx>
          <w:tblCellMar>
            <w:top w:w="0" w:type="dxa"/>
            <w:bottom w:w="0" w:type="dxa"/>
          </w:tblCellMar>
        </w:tblPrEx>
        <w:trPr>
          <w:cantSplit/>
        </w:trPr>
        <w:tc>
          <w:tcPr>
            <w:tcW w:w="2574" w:type="dxa"/>
            <w:vMerge/>
          </w:tcPr>
          <w:p w:rsidR="00000000" w:rsidRDefault="00000000">
            <w:pPr>
              <w:jc w:val="both"/>
              <w:rPr>
                <w:sz w:val="22"/>
              </w:rPr>
            </w:pPr>
          </w:p>
        </w:tc>
        <w:tc>
          <w:tcPr>
            <w:tcW w:w="963" w:type="dxa"/>
            <w:vMerge/>
          </w:tcPr>
          <w:p w:rsidR="00000000" w:rsidRDefault="00000000">
            <w:pPr>
              <w:jc w:val="both"/>
              <w:rPr>
                <w:sz w:val="22"/>
              </w:rPr>
            </w:pPr>
          </w:p>
        </w:tc>
        <w:tc>
          <w:tcPr>
            <w:tcW w:w="1050" w:type="dxa"/>
          </w:tcPr>
          <w:p w:rsidR="00000000" w:rsidRDefault="00000000">
            <w:pPr>
              <w:jc w:val="both"/>
              <w:rPr>
                <w:sz w:val="22"/>
              </w:rPr>
            </w:pPr>
          </w:p>
          <w:p w:rsidR="00000000" w:rsidRDefault="00000000">
            <w:pPr>
              <w:jc w:val="both"/>
              <w:rPr>
                <w:sz w:val="22"/>
                <w:lang w:val="de-DE"/>
              </w:rPr>
            </w:pPr>
            <w:r>
              <w:rPr>
                <w:sz w:val="22"/>
                <w:lang w:val="de-DE"/>
              </w:rPr>
              <w:t>H</w:t>
            </w:r>
          </w:p>
        </w:tc>
        <w:tc>
          <w:tcPr>
            <w:tcW w:w="1050" w:type="dxa"/>
          </w:tcPr>
          <w:p w:rsidR="00000000" w:rsidRDefault="00000000">
            <w:pPr>
              <w:jc w:val="both"/>
              <w:rPr>
                <w:sz w:val="22"/>
                <w:lang w:val="de-DE"/>
              </w:rPr>
            </w:pPr>
          </w:p>
          <w:p w:rsidR="00000000" w:rsidRDefault="00000000">
            <w:pPr>
              <w:jc w:val="both"/>
              <w:rPr>
                <w:sz w:val="22"/>
                <w:lang w:val="de-DE"/>
              </w:rPr>
            </w:pPr>
            <w:r>
              <w:rPr>
                <w:sz w:val="22"/>
                <w:lang w:val="de-DE"/>
              </w:rPr>
              <w:t>F</w:t>
            </w:r>
          </w:p>
        </w:tc>
        <w:tc>
          <w:tcPr>
            <w:tcW w:w="1050" w:type="dxa"/>
            <w:gridSpan w:val="2"/>
          </w:tcPr>
          <w:p w:rsidR="00000000" w:rsidRDefault="00000000">
            <w:pPr>
              <w:jc w:val="both"/>
              <w:rPr>
                <w:sz w:val="22"/>
                <w:lang w:val="de-DE"/>
              </w:rPr>
            </w:pPr>
          </w:p>
          <w:p w:rsidR="00000000" w:rsidRDefault="00000000">
            <w:pPr>
              <w:jc w:val="both"/>
              <w:rPr>
                <w:sz w:val="22"/>
                <w:lang w:val="de-DE"/>
              </w:rPr>
            </w:pPr>
            <w:r>
              <w:rPr>
                <w:sz w:val="22"/>
                <w:lang w:val="de-DE"/>
              </w:rPr>
              <w:t>T</w:t>
            </w:r>
          </w:p>
        </w:tc>
        <w:tc>
          <w:tcPr>
            <w:tcW w:w="1050" w:type="dxa"/>
          </w:tcPr>
          <w:p w:rsidR="00000000" w:rsidRDefault="00000000">
            <w:pPr>
              <w:jc w:val="both"/>
              <w:rPr>
                <w:sz w:val="22"/>
                <w:lang w:val="de-DE"/>
              </w:rPr>
            </w:pPr>
          </w:p>
          <w:p w:rsidR="00000000" w:rsidRDefault="00000000">
            <w:pPr>
              <w:jc w:val="both"/>
              <w:rPr>
                <w:sz w:val="22"/>
                <w:lang w:val="de-DE"/>
              </w:rPr>
            </w:pPr>
            <w:r>
              <w:rPr>
                <w:sz w:val="22"/>
                <w:lang w:val="de-DE"/>
              </w:rPr>
              <w:t>H</w:t>
            </w:r>
          </w:p>
        </w:tc>
        <w:tc>
          <w:tcPr>
            <w:tcW w:w="1050" w:type="dxa"/>
          </w:tcPr>
          <w:p w:rsidR="00000000" w:rsidRDefault="00000000">
            <w:pPr>
              <w:jc w:val="both"/>
              <w:rPr>
                <w:sz w:val="22"/>
                <w:lang w:val="de-DE"/>
              </w:rPr>
            </w:pPr>
          </w:p>
          <w:p w:rsidR="00000000" w:rsidRDefault="00000000">
            <w:pPr>
              <w:jc w:val="both"/>
              <w:rPr>
                <w:sz w:val="22"/>
                <w:lang w:val="de-DE"/>
              </w:rPr>
            </w:pPr>
            <w:r>
              <w:rPr>
                <w:sz w:val="22"/>
                <w:lang w:val="de-DE"/>
              </w:rPr>
              <w:t>F</w:t>
            </w:r>
          </w:p>
        </w:tc>
        <w:tc>
          <w:tcPr>
            <w:tcW w:w="1050" w:type="dxa"/>
          </w:tcPr>
          <w:p w:rsidR="00000000" w:rsidRDefault="00000000">
            <w:pPr>
              <w:jc w:val="both"/>
              <w:rPr>
                <w:sz w:val="22"/>
                <w:lang w:val="de-DE"/>
              </w:rPr>
            </w:pPr>
          </w:p>
          <w:p w:rsidR="00000000" w:rsidRDefault="00000000">
            <w:pPr>
              <w:jc w:val="both"/>
              <w:rPr>
                <w:sz w:val="22"/>
                <w:lang w:val="de-DE"/>
              </w:rPr>
            </w:pPr>
            <w:r>
              <w:rPr>
                <w:sz w:val="22"/>
                <w:lang w:val="de-DE"/>
              </w:rPr>
              <w:t>T</w:t>
            </w:r>
          </w:p>
        </w:tc>
      </w:tr>
      <w:tr w:rsidR="00000000">
        <w:tblPrEx>
          <w:tblCellMar>
            <w:top w:w="0" w:type="dxa"/>
            <w:bottom w:w="0" w:type="dxa"/>
          </w:tblCellMar>
        </w:tblPrEx>
        <w:trPr>
          <w:cantSplit/>
        </w:trPr>
        <w:tc>
          <w:tcPr>
            <w:tcW w:w="2574" w:type="dxa"/>
            <w:vMerge/>
          </w:tcPr>
          <w:p w:rsidR="00000000" w:rsidRDefault="00000000">
            <w:pPr>
              <w:jc w:val="both"/>
              <w:rPr>
                <w:sz w:val="22"/>
                <w:lang w:val="de-DE"/>
              </w:rPr>
            </w:pPr>
          </w:p>
        </w:tc>
        <w:tc>
          <w:tcPr>
            <w:tcW w:w="963" w:type="dxa"/>
          </w:tcPr>
          <w:p w:rsidR="00000000" w:rsidRDefault="00000000">
            <w:pPr>
              <w:jc w:val="both"/>
              <w:rPr>
                <w:sz w:val="22"/>
              </w:rPr>
            </w:pPr>
            <w:r>
              <w:rPr>
                <w:sz w:val="22"/>
              </w:rPr>
              <w:t>1997</w:t>
            </w:r>
          </w:p>
          <w:p w:rsidR="00000000" w:rsidRDefault="00000000">
            <w:pPr>
              <w:jc w:val="both"/>
              <w:rPr>
                <w:sz w:val="22"/>
              </w:rPr>
            </w:pPr>
            <w:r>
              <w:rPr>
                <w:sz w:val="22"/>
              </w:rPr>
              <w:t>1998</w:t>
            </w:r>
          </w:p>
        </w:tc>
        <w:tc>
          <w:tcPr>
            <w:tcW w:w="1050" w:type="dxa"/>
          </w:tcPr>
          <w:p w:rsidR="00000000" w:rsidRDefault="00000000">
            <w:pPr>
              <w:jc w:val="both"/>
              <w:rPr>
                <w:sz w:val="22"/>
              </w:rPr>
            </w:pPr>
            <w:r>
              <w:rPr>
                <w:sz w:val="22"/>
              </w:rPr>
              <w:t>79 682</w:t>
            </w:r>
          </w:p>
          <w:p w:rsidR="00000000" w:rsidRDefault="00000000">
            <w:pPr>
              <w:jc w:val="both"/>
              <w:rPr>
                <w:sz w:val="22"/>
              </w:rPr>
            </w:pPr>
            <w:r>
              <w:rPr>
                <w:sz w:val="22"/>
              </w:rPr>
              <w:t>61 989</w:t>
            </w:r>
          </w:p>
        </w:tc>
        <w:tc>
          <w:tcPr>
            <w:tcW w:w="1050" w:type="dxa"/>
          </w:tcPr>
          <w:p w:rsidR="00000000" w:rsidRDefault="00000000">
            <w:pPr>
              <w:jc w:val="both"/>
              <w:rPr>
                <w:sz w:val="22"/>
              </w:rPr>
            </w:pPr>
            <w:r>
              <w:rPr>
                <w:sz w:val="22"/>
              </w:rPr>
              <w:t>65 676</w:t>
            </w:r>
          </w:p>
          <w:p w:rsidR="00000000" w:rsidRDefault="00000000">
            <w:pPr>
              <w:jc w:val="both"/>
              <w:rPr>
                <w:sz w:val="22"/>
              </w:rPr>
            </w:pPr>
            <w:r>
              <w:rPr>
                <w:sz w:val="22"/>
              </w:rPr>
              <w:t>51 299</w:t>
            </w:r>
          </w:p>
        </w:tc>
        <w:tc>
          <w:tcPr>
            <w:tcW w:w="1050" w:type="dxa"/>
            <w:gridSpan w:val="2"/>
          </w:tcPr>
          <w:p w:rsidR="00000000" w:rsidRDefault="00000000">
            <w:pPr>
              <w:jc w:val="both"/>
              <w:rPr>
                <w:sz w:val="22"/>
              </w:rPr>
            </w:pPr>
            <w:r>
              <w:rPr>
                <w:sz w:val="22"/>
              </w:rPr>
              <w:t>145 358</w:t>
            </w:r>
          </w:p>
          <w:p w:rsidR="00000000" w:rsidRDefault="00000000">
            <w:pPr>
              <w:jc w:val="both"/>
              <w:rPr>
                <w:sz w:val="22"/>
              </w:rPr>
            </w:pPr>
            <w:r>
              <w:rPr>
                <w:sz w:val="22"/>
              </w:rPr>
              <w:t>113 288</w:t>
            </w:r>
          </w:p>
        </w:tc>
        <w:tc>
          <w:tcPr>
            <w:tcW w:w="1050" w:type="dxa"/>
          </w:tcPr>
          <w:p w:rsidR="00000000" w:rsidRDefault="00000000">
            <w:pPr>
              <w:jc w:val="both"/>
              <w:rPr>
                <w:sz w:val="22"/>
              </w:rPr>
            </w:pPr>
            <w:r>
              <w:rPr>
                <w:sz w:val="22"/>
              </w:rPr>
              <w:t>3 348</w:t>
            </w:r>
          </w:p>
          <w:p w:rsidR="00000000" w:rsidRDefault="00000000">
            <w:pPr>
              <w:jc w:val="both"/>
              <w:rPr>
                <w:sz w:val="22"/>
              </w:rPr>
            </w:pPr>
            <w:r>
              <w:rPr>
                <w:sz w:val="22"/>
              </w:rPr>
              <w:t>2 918</w:t>
            </w:r>
          </w:p>
        </w:tc>
        <w:tc>
          <w:tcPr>
            <w:tcW w:w="1050" w:type="dxa"/>
          </w:tcPr>
          <w:p w:rsidR="00000000" w:rsidRDefault="00000000">
            <w:pPr>
              <w:jc w:val="both"/>
              <w:rPr>
                <w:sz w:val="22"/>
              </w:rPr>
            </w:pPr>
            <w:r>
              <w:rPr>
                <w:sz w:val="22"/>
              </w:rPr>
              <w:t>444</w:t>
            </w:r>
          </w:p>
          <w:p w:rsidR="00000000" w:rsidRDefault="00000000">
            <w:pPr>
              <w:jc w:val="both"/>
              <w:rPr>
                <w:sz w:val="22"/>
              </w:rPr>
            </w:pPr>
            <w:r>
              <w:rPr>
                <w:sz w:val="22"/>
              </w:rPr>
              <w:t>386</w:t>
            </w:r>
          </w:p>
        </w:tc>
        <w:tc>
          <w:tcPr>
            <w:tcW w:w="1050" w:type="dxa"/>
          </w:tcPr>
          <w:p w:rsidR="00000000" w:rsidRDefault="00000000">
            <w:pPr>
              <w:jc w:val="both"/>
              <w:rPr>
                <w:sz w:val="22"/>
              </w:rPr>
            </w:pPr>
            <w:r>
              <w:rPr>
                <w:sz w:val="22"/>
              </w:rPr>
              <w:t>3 792</w:t>
            </w:r>
          </w:p>
          <w:p w:rsidR="00000000" w:rsidRDefault="00000000">
            <w:pPr>
              <w:jc w:val="both"/>
              <w:rPr>
                <w:sz w:val="22"/>
              </w:rPr>
            </w:pPr>
            <w:r>
              <w:rPr>
                <w:sz w:val="22"/>
              </w:rPr>
              <w:t>3 304</w:t>
            </w:r>
          </w:p>
        </w:tc>
      </w:tr>
      <w:tr w:rsidR="00000000">
        <w:tblPrEx>
          <w:tblCellMar>
            <w:top w:w="0" w:type="dxa"/>
            <w:bottom w:w="0" w:type="dxa"/>
          </w:tblCellMar>
        </w:tblPrEx>
        <w:tc>
          <w:tcPr>
            <w:tcW w:w="2574" w:type="dxa"/>
          </w:tcPr>
          <w:p w:rsidR="00000000" w:rsidRDefault="00000000">
            <w:pPr>
              <w:rPr>
                <w:sz w:val="22"/>
              </w:rPr>
            </w:pPr>
            <w:r>
              <w:rPr>
                <w:sz w:val="22"/>
              </w:rPr>
              <w:t>Lycée d’enseignement général</w:t>
            </w:r>
          </w:p>
        </w:tc>
        <w:tc>
          <w:tcPr>
            <w:tcW w:w="963" w:type="dxa"/>
          </w:tcPr>
          <w:p w:rsidR="00000000" w:rsidRDefault="00000000">
            <w:pPr>
              <w:jc w:val="both"/>
              <w:rPr>
                <w:sz w:val="22"/>
              </w:rPr>
            </w:pPr>
            <w:r>
              <w:rPr>
                <w:sz w:val="22"/>
              </w:rPr>
              <w:t>1997</w:t>
            </w:r>
          </w:p>
          <w:p w:rsidR="00000000" w:rsidRDefault="00000000">
            <w:pPr>
              <w:jc w:val="both"/>
              <w:rPr>
                <w:sz w:val="22"/>
              </w:rPr>
            </w:pPr>
            <w:r>
              <w:rPr>
                <w:sz w:val="22"/>
              </w:rPr>
              <w:t>1998</w:t>
            </w:r>
          </w:p>
        </w:tc>
        <w:tc>
          <w:tcPr>
            <w:tcW w:w="1050" w:type="dxa"/>
          </w:tcPr>
          <w:p w:rsidR="00000000" w:rsidRDefault="00000000">
            <w:pPr>
              <w:jc w:val="both"/>
              <w:rPr>
                <w:sz w:val="22"/>
              </w:rPr>
            </w:pPr>
            <w:r>
              <w:rPr>
                <w:sz w:val="22"/>
              </w:rPr>
              <w:t>23 675</w:t>
            </w:r>
          </w:p>
          <w:p w:rsidR="00000000" w:rsidRDefault="00000000">
            <w:pPr>
              <w:jc w:val="both"/>
              <w:rPr>
                <w:sz w:val="22"/>
              </w:rPr>
            </w:pPr>
            <w:r>
              <w:rPr>
                <w:sz w:val="22"/>
              </w:rPr>
              <w:t>23 105</w:t>
            </w:r>
          </w:p>
        </w:tc>
        <w:tc>
          <w:tcPr>
            <w:tcW w:w="1050" w:type="dxa"/>
          </w:tcPr>
          <w:p w:rsidR="00000000" w:rsidRDefault="00000000">
            <w:pPr>
              <w:jc w:val="both"/>
              <w:rPr>
                <w:sz w:val="22"/>
              </w:rPr>
            </w:pPr>
            <w:r>
              <w:rPr>
                <w:sz w:val="22"/>
              </w:rPr>
              <w:t>11 740</w:t>
            </w:r>
          </w:p>
          <w:p w:rsidR="00000000" w:rsidRDefault="00000000">
            <w:pPr>
              <w:jc w:val="both"/>
              <w:rPr>
                <w:sz w:val="22"/>
              </w:rPr>
            </w:pPr>
            <w:r>
              <w:rPr>
                <w:sz w:val="22"/>
              </w:rPr>
              <w:t>12 402</w:t>
            </w:r>
          </w:p>
        </w:tc>
        <w:tc>
          <w:tcPr>
            <w:tcW w:w="1050" w:type="dxa"/>
            <w:gridSpan w:val="2"/>
          </w:tcPr>
          <w:p w:rsidR="00000000" w:rsidRDefault="00000000">
            <w:pPr>
              <w:jc w:val="both"/>
              <w:rPr>
                <w:sz w:val="22"/>
              </w:rPr>
            </w:pPr>
            <w:r>
              <w:rPr>
                <w:sz w:val="22"/>
              </w:rPr>
              <w:t>35 415</w:t>
            </w:r>
          </w:p>
          <w:p w:rsidR="00000000" w:rsidRDefault="00000000">
            <w:pPr>
              <w:jc w:val="both"/>
              <w:rPr>
                <w:sz w:val="22"/>
              </w:rPr>
            </w:pPr>
            <w:r>
              <w:rPr>
                <w:sz w:val="22"/>
              </w:rPr>
              <w:t>35 507</w:t>
            </w:r>
          </w:p>
        </w:tc>
        <w:tc>
          <w:tcPr>
            <w:tcW w:w="1050" w:type="dxa"/>
          </w:tcPr>
          <w:p w:rsidR="00000000" w:rsidRDefault="00000000">
            <w:pPr>
              <w:jc w:val="both"/>
              <w:rPr>
                <w:sz w:val="22"/>
              </w:rPr>
            </w:pPr>
            <w:r>
              <w:rPr>
                <w:sz w:val="22"/>
              </w:rPr>
              <w:t>1 758</w:t>
            </w:r>
          </w:p>
          <w:p w:rsidR="00000000" w:rsidRDefault="00000000">
            <w:pPr>
              <w:jc w:val="both"/>
              <w:rPr>
                <w:sz w:val="22"/>
              </w:rPr>
            </w:pPr>
            <w:r>
              <w:rPr>
                <w:sz w:val="22"/>
              </w:rPr>
              <w:t>1 729</w:t>
            </w:r>
          </w:p>
        </w:tc>
        <w:tc>
          <w:tcPr>
            <w:tcW w:w="1050" w:type="dxa"/>
          </w:tcPr>
          <w:p w:rsidR="00000000" w:rsidRDefault="00000000">
            <w:pPr>
              <w:jc w:val="both"/>
              <w:rPr>
                <w:sz w:val="22"/>
              </w:rPr>
            </w:pPr>
            <w:r>
              <w:rPr>
                <w:sz w:val="22"/>
              </w:rPr>
              <w:t>202</w:t>
            </w:r>
          </w:p>
          <w:p w:rsidR="00000000" w:rsidRDefault="00000000">
            <w:pPr>
              <w:jc w:val="both"/>
              <w:rPr>
                <w:sz w:val="22"/>
              </w:rPr>
            </w:pPr>
            <w:r>
              <w:rPr>
                <w:sz w:val="22"/>
              </w:rPr>
              <w:t>215</w:t>
            </w:r>
          </w:p>
        </w:tc>
        <w:tc>
          <w:tcPr>
            <w:tcW w:w="1050" w:type="dxa"/>
          </w:tcPr>
          <w:p w:rsidR="00000000" w:rsidRDefault="00000000">
            <w:pPr>
              <w:jc w:val="both"/>
              <w:rPr>
                <w:sz w:val="22"/>
              </w:rPr>
            </w:pPr>
            <w:r>
              <w:rPr>
                <w:sz w:val="22"/>
              </w:rPr>
              <w:t>1 960</w:t>
            </w:r>
          </w:p>
          <w:p w:rsidR="00000000" w:rsidRDefault="00000000">
            <w:pPr>
              <w:jc w:val="both"/>
              <w:rPr>
                <w:sz w:val="22"/>
              </w:rPr>
            </w:pPr>
            <w:r>
              <w:rPr>
                <w:sz w:val="22"/>
              </w:rPr>
              <w:t>1 944</w:t>
            </w:r>
          </w:p>
        </w:tc>
      </w:tr>
      <w:tr w:rsidR="00000000">
        <w:tblPrEx>
          <w:tblCellMar>
            <w:top w:w="0" w:type="dxa"/>
            <w:bottom w:w="0" w:type="dxa"/>
          </w:tblCellMar>
        </w:tblPrEx>
        <w:tc>
          <w:tcPr>
            <w:tcW w:w="2574" w:type="dxa"/>
          </w:tcPr>
          <w:p w:rsidR="00000000" w:rsidRDefault="00000000">
            <w:pPr>
              <w:jc w:val="both"/>
              <w:rPr>
                <w:sz w:val="22"/>
              </w:rPr>
            </w:pPr>
          </w:p>
          <w:p w:rsidR="00000000" w:rsidRDefault="00000000">
            <w:pPr>
              <w:jc w:val="both"/>
              <w:rPr>
                <w:sz w:val="22"/>
              </w:rPr>
            </w:pPr>
            <w:r>
              <w:rPr>
                <w:sz w:val="22"/>
              </w:rPr>
              <w:t>TOTAL</w:t>
            </w:r>
          </w:p>
        </w:tc>
        <w:tc>
          <w:tcPr>
            <w:tcW w:w="963" w:type="dxa"/>
          </w:tcPr>
          <w:p w:rsidR="00000000" w:rsidRDefault="00000000">
            <w:pPr>
              <w:jc w:val="both"/>
              <w:rPr>
                <w:sz w:val="22"/>
              </w:rPr>
            </w:pPr>
            <w:r>
              <w:rPr>
                <w:sz w:val="22"/>
              </w:rPr>
              <w:t>1997</w:t>
            </w:r>
          </w:p>
          <w:p w:rsidR="00000000" w:rsidRDefault="00000000">
            <w:pPr>
              <w:jc w:val="both"/>
              <w:rPr>
                <w:sz w:val="22"/>
              </w:rPr>
            </w:pPr>
            <w:r>
              <w:rPr>
                <w:sz w:val="22"/>
              </w:rPr>
              <w:t>1998</w:t>
            </w:r>
          </w:p>
        </w:tc>
        <w:tc>
          <w:tcPr>
            <w:tcW w:w="1050" w:type="dxa"/>
          </w:tcPr>
          <w:p w:rsidR="00000000" w:rsidRDefault="00000000">
            <w:pPr>
              <w:jc w:val="both"/>
              <w:rPr>
                <w:sz w:val="22"/>
              </w:rPr>
            </w:pPr>
            <w:r>
              <w:rPr>
                <w:sz w:val="22"/>
              </w:rPr>
              <w:t>133 357</w:t>
            </w:r>
          </w:p>
          <w:p w:rsidR="00000000" w:rsidRDefault="00000000">
            <w:pPr>
              <w:jc w:val="both"/>
              <w:rPr>
                <w:sz w:val="22"/>
              </w:rPr>
            </w:pPr>
            <w:r>
              <w:rPr>
                <w:sz w:val="22"/>
              </w:rPr>
              <w:t>85 094</w:t>
            </w:r>
          </w:p>
        </w:tc>
        <w:tc>
          <w:tcPr>
            <w:tcW w:w="1050" w:type="dxa"/>
          </w:tcPr>
          <w:p w:rsidR="00000000" w:rsidRDefault="00000000">
            <w:pPr>
              <w:jc w:val="both"/>
              <w:rPr>
                <w:sz w:val="22"/>
              </w:rPr>
            </w:pPr>
            <w:r>
              <w:rPr>
                <w:sz w:val="22"/>
              </w:rPr>
              <w:t>77 416</w:t>
            </w:r>
          </w:p>
          <w:p w:rsidR="00000000" w:rsidRDefault="00000000">
            <w:pPr>
              <w:jc w:val="both"/>
              <w:rPr>
                <w:sz w:val="22"/>
              </w:rPr>
            </w:pPr>
            <w:r>
              <w:rPr>
                <w:sz w:val="22"/>
              </w:rPr>
              <w:t>63 701</w:t>
            </w:r>
          </w:p>
        </w:tc>
        <w:tc>
          <w:tcPr>
            <w:tcW w:w="1050" w:type="dxa"/>
            <w:gridSpan w:val="2"/>
          </w:tcPr>
          <w:p w:rsidR="00000000" w:rsidRDefault="00000000">
            <w:pPr>
              <w:jc w:val="both"/>
              <w:rPr>
                <w:sz w:val="22"/>
              </w:rPr>
            </w:pPr>
            <w:r>
              <w:rPr>
                <w:sz w:val="22"/>
              </w:rPr>
              <w:t>210 773</w:t>
            </w:r>
          </w:p>
          <w:p w:rsidR="00000000" w:rsidRDefault="00000000">
            <w:pPr>
              <w:jc w:val="both"/>
              <w:rPr>
                <w:sz w:val="22"/>
              </w:rPr>
            </w:pPr>
            <w:r>
              <w:rPr>
                <w:sz w:val="22"/>
              </w:rPr>
              <w:t>148 795</w:t>
            </w:r>
          </w:p>
        </w:tc>
        <w:tc>
          <w:tcPr>
            <w:tcW w:w="1050" w:type="dxa"/>
          </w:tcPr>
          <w:p w:rsidR="00000000" w:rsidRDefault="00000000">
            <w:pPr>
              <w:jc w:val="both"/>
              <w:rPr>
                <w:sz w:val="22"/>
              </w:rPr>
            </w:pPr>
            <w:r>
              <w:rPr>
                <w:sz w:val="22"/>
              </w:rPr>
              <w:t>5 106</w:t>
            </w:r>
          </w:p>
          <w:p w:rsidR="00000000" w:rsidRDefault="00000000">
            <w:pPr>
              <w:jc w:val="both"/>
              <w:rPr>
                <w:sz w:val="22"/>
              </w:rPr>
            </w:pPr>
            <w:r>
              <w:rPr>
                <w:sz w:val="22"/>
              </w:rPr>
              <w:t>4 647</w:t>
            </w:r>
          </w:p>
        </w:tc>
        <w:tc>
          <w:tcPr>
            <w:tcW w:w="1050" w:type="dxa"/>
          </w:tcPr>
          <w:p w:rsidR="00000000" w:rsidRDefault="00000000">
            <w:pPr>
              <w:jc w:val="both"/>
              <w:rPr>
                <w:sz w:val="22"/>
              </w:rPr>
            </w:pPr>
            <w:r>
              <w:rPr>
                <w:sz w:val="22"/>
              </w:rPr>
              <w:t>646</w:t>
            </w:r>
          </w:p>
          <w:p w:rsidR="00000000" w:rsidRDefault="00000000">
            <w:pPr>
              <w:jc w:val="both"/>
              <w:rPr>
                <w:sz w:val="22"/>
              </w:rPr>
            </w:pPr>
            <w:r>
              <w:rPr>
                <w:sz w:val="22"/>
              </w:rPr>
              <w:t>601</w:t>
            </w:r>
          </w:p>
        </w:tc>
        <w:tc>
          <w:tcPr>
            <w:tcW w:w="1050" w:type="dxa"/>
          </w:tcPr>
          <w:p w:rsidR="00000000" w:rsidRDefault="00000000">
            <w:pPr>
              <w:jc w:val="both"/>
              <w:rPr>
                <w:sz w:val="22"/>
              </w:rPr>
            </w:pPr>
            <w:r>
              <w:rPr>
                <w:sz w:val="22"/>
              </w:rPr>
              <w:t>5 752</w:t>
            </w:r>
          </w:p>
          <w:p w:rsidR="00000000" w:rsidRDefault="00000000">
            <w:pPr>
              <w:jc w:val="both"/>
              <w:rPr>
                <w:sz w:val="22"/>
              </w:rPr>
            </w:pPr>
            <w:r>
              <w:rPr>
                <w:sz w:val="22"/>
              </w:rPr>
              <w:t>5 248</w:t>
            </w:r>
          </w:p>
        </w:tc>
      </w:tr>
    </w:tbl>
    <w:p w:rsidR="00000000" w:rsidRDefault="00000000">
      <w:pPr>
        <w:jc w:val="both"/>
        <w:rPr>
          <w:sz w:val="22"/>
        </w:rPr>
      </w:pPr>
    </w:p>
    <w:p w:rsidR="00000000" w:rsidRDefault="00000000">
      <w:pPr>
        <w:jc w:val="both"/>
        <w:rPr>
          <w:i/>
          <w:sz w:val="22"/>
        </w:rPr>
      </w:pPr>
      <w:r>
        <w:rPr>
          <w:i/>
          <w:sz w:val="22"/>
          <w:u w:val="single"/>
        </w:rPr>
        <w:t>Source</w:t>
      </w:r>
      <w:r>
        <w:rPr>
          <w:i/>
          <w:sz w:val="22"/>
        </w:rPr>
        <w:t xml:space="preserve"> : Direction de la planification, ministère de l’enseignement primaire et secondaire, 1998.</w:t>
      </w:r>
    </w:p>
    <w:p w:rsidR="00000000" w:rsidRDefault="00000000">
      <w:pPr>
        <w:jc w:val="both"/>
        <w:rPr>
          <w:sz w:val="22"/>
        </w:rPr>
      </w:pPr>
    </w:p>
    <w:p w:rsidR="00000000" w:rsidRDefault="00000000">
      <w:pPr>
        <w:jc w:val="both"/>
        <w:rPr>
          <w:sz w:val="22"/>
        </w:rPr>
      </w:pPr>
    </w:p>
    <w:p w:rsidR="00000000" w:rsidRDefault="00000000">
      <w:pPr>
        <w:jc w:val="both"/>
        <w:rPr>
          <w:b/>
          <w:sz w:val="22"/>
        </w:rPr>
      </w:pPr>
      <w:r>
        <w:rPr>
          <w:b/>
          <w:sz w:val="22"/>
          <w:u w:val="single"/>
        </w:rPr>
        <w:br w:type="page"/>
        <w:t>Tableau 37</w:t>
      </w:r>
      <w:r>
        <w:rPr>
          <w:b/>
          <w:sz w:val="22"/>
        </w:rPr>
        <w:t xml:space="preserve"> : Effectifs au cycle secondaire de l’enseignement technique et professionnel </w:t>
      </w:r>
    </w:p>
    <w:p w:rsidR="00000000" w:rsidRDefault="00000000">
      <w:pPr>
        <w:jc w:val="both"/>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59"/>
        <w:gridCol w:w="631"/>
        <w:gridCol w:w="632"/>
        <w:gridCol w:w="631"/>
        <w:gridCol w:w="632"/>
        <w:gridCol w:w="631"/>
        <w:gridCol w:w="632"/>
        <w:gridCol w:w="631"/>
        <w:gridCol w:w="632"/>
        <w:gridCol w:w="631"/>
        <w:gridCol w:w="632"/>
        <w:gridCol w:w="631"/>
        <w:gridCol w:w="632"/>
      </w:tblGrid>
      <w:tr w:rsidR="00000000">
        <w:tblPrEx>
          <w:tblCellMar>
            <w:top w:w="0" w:type="dxa"/>
            <w:bottom w:w="0" w:type="dxa"/>
          </w:tblCellMar>
        </w:tblPrEx>
        <w:trPr>
          <w:cantSplit/>
        </w:trPr>
        <w:tc>
          <w:tcPr>
            <w:tcW w:w="2259" w:type="dxa"/>
            <w:vMerge w:val="restart"/>
          </w:tcPr>
          <w:p w:rsidR="00000000" w:rsidRDefault="00000000">
            <w:pPr>
              <w:jc w:val="center"/>
              <w:rPr>
                <w:sz w:val="22"/>
              </w:rPr>
            </w:pPr>
            <w:r>
              <w:rPr>
                <w:sz w:val="22"/>
              </w:rPr>
              <w:t>Année</w:t>
            </w:r>
          </w:p>
        </w:tc>
        <w:tc>
          <w:tcPr>
            <w:tcW w:w="3789" w:type="dxa"/>
            <w:gridSpan w:val="6"/>
          </w:tcPr>
          <w:p w:rsidR="00000000" w:rsidRDefault="00000000">
            <w:pPr>
              <w:jc w:val="center"/>
              <w:rPr>
                <w:sz w:val="22"/>
              </w:rPr>
            </w:pPr>
            <w:r>
              <w:rPr>
                <w:sz w:val="22"/>
              </w:rPr>
              <w:t>1997</w:t>
            </w:r>
          </w:p>
        </w:tc>
        <w:tc>
          <w:tcPr>
            <w:tcW w:w="3789" w:type="dxa"/>
            <w:gridSpan w:val="6"/>
          </w:tcPr>
          <w:p w:rsidR="00000000" w:rsidRDefault="00000000">
            <w:pPr>
              <w:jc w:val="center"/>
              <w:rPr>
                <w:sz w:val="22"/>
              </w:rPr>
            </w:pPr>
            <w:r>
              <w:rPr>
                <w:sz w:val="22"/>
              </w:rPr>
              <w:t>1998</w:t>
            </w:r>
          </w:p>
        </w:tc>
      </w:tr>
      <w:tr w:rsidR="00000000">
        <w:tblPrEx>
          <w:tblCellMar>
            <w:top w:w="0" w:type="dxa"/>
            <w:bottom w:w="0" w:type="dxa"/>
          </w:tblCellMar>
        </w:tblPrEx>
        <w:trPr>
          <w:cantSplit/>
        </w:trPr>
        <w:tc>
          <w:tcPr>
            <w:tcW w:w="2259" w:type="dxa"/>
            <w:vMerge/>
          </w:tcPr>
          <w:p w:rsidR="00000000" w:rsidRDefault="00000000">
            <w:pPr>
              <w:jc w:val="center"/>
              <w:rPr>
                <w:sz w:val="22"/>
              </w:rPr>
            </w:pPr>
          </w:p>
        </w:tc>
        <w:tc>
          <w:tcPr>
            <w:tcW w:w="1894" w:type="dxa"/>
            <w:gridSpan w:val="3"/>
          </w:tcPr>
          <w:p w:rsidR="00000000" w:rsidRDefault="00000000">
            <w:pPr>
              <w:jc w:val="center"/>
              <w:rPr>
                <w:sz w:val="22"/>
              </w:rPr>
            </w:pPr>
            <w:r>
              <w:rPr>
                <w:sz w:val="22"/>
              </w:rPr>
              <w:t>Elèves</w:t>
            </w:r>
          </w:p>
        </w:tc>
        <w:tc>
          <w:tcPr>
            <w:tcW w:w="1895" w:type="dxa"/>
            <w:gridSpan w:val="3"/>
          </w:tcPr>
          <w:p w:rsidR="00000000" w:rsidRDefault="00000000">
            <w:pPr>
              <w:jc w:val="center"/>
              <w:rPr>
                <w:sz w:val="22"/>
              </w:rPr>
            </w:pPr>
            <w:r>
              <w:rPr>
                <w:sz w:val="22"/>
              </w:rPr>
              <w:t>Enseignants</w:t>
            </w:r>
          </w:p>
        </w:tc>
        <w:tc>
          <w:tcPr>
            <w:tcW w:w="1894" w:type="dxa"/>
            <w:gridSpan w:val="3"/>
          </w:tcPr>
          <w:p w:rsidR="00000000" w:rsidRDefault="00000000">
            <w:pPr>
              <w:jc w:val="center"/>
              <w:rPr>
                <w:sz w:val="22"/>
              </w:rPr>
            </w:pPr>
            <w:r>
              <w:rPr>
                <w:sz w:val="22"/>
              </w:rPr>
              <w:t>Elèves</w:t>
            </w:r>
          </w:p>
        </w:tc>
        <w:tc>
          <w:tcPr>
            <w:tcW w:w="1895" w:type="dxa"/>
            <w:gridSpan w:val="3"/>
          </w:tcPr>
          <w:p w:rsidR="00000000" w:rsidRDefault="00000000">
            <w:pPr>
              <w:jc w:val="center"/>
              <w:rPr>
                <w:sz w:val="22"/>
              </w:rPr>
            </w:pPr>
            <w:r>
              <w:rPr>
                <w:sz w:val="22"/>
              </w:rPr>
              <w:t>enseignants</w:t>
            </w:r>
          </w:p>
        </w:tc>
      </w:tr>
      <w:tr w:rsidR="00000000">
        <w:tblPrEx>
          <w:tblCellMar>
            <w:top w:w="0" w:type="dxa"/>
            <w:bottom w:w="0" w:type="dxa"/>
          </w:tblCellMar>
        </w:tblPrEx>
        <w:tc>
          <w:tcPr>
            <w:tcW w:w="2259" w:type="dxa"/>
          </w:tcPr>
          <w:p w:rsidR="00000000" w:rsidRDefault="00000000">
            <w:pPr>
              <w:rPr>
                <w:sz w:val="22"/>
              </w:rPr>
            </w:pPr>
            <w:r>
              <w:rPr>
                <w:sz w:val="22"/>
              </w:rPr>
              <w:t>Sexe</w:t>
            </w:r>
          </w:p>
        </w:tc>
        <w:tc>
          <w:tcPr>
            <w:tcW w:w="631" w:type="dxa"/>
          </w:tcPr>
          <w:p w:rsidR="00000000" w:rsidRDefault="00000000">
            <w:pPr>
              <w:jc w:val="both"/>
              <w:rPr>
                <w:sz w:val="22"/>
                <w:lang w:val="de-DE"/>
              </w:rPr>
            </w:pPr>
            <w:r>
              <w:rPr>
                <w:sz w:val="22"/>
                <w:lang w:val="de-DE"/>
              </w:rPr>
              <w:t>H</w:t>
            </w:r>
          </w:p>
        </w:tc>
        <w:tc>
          <w:tcPr>
            <w:tcW w:w="632" w:type="dxa"/>
          </w:tcPr>
          <w:p w:rsidR="00000000" w:rsidRDefault="00000000">
            <w:pPr>
              <w:jc w:val="both"/>
              <w:rPr>
                <w:sz w:val="22"/>
                <w:lang w:val="de-DE"/>
              </w:rPr>
            </w:pPr>
            <w:r>
              <w:rPr>
                <w:sz w:val="22"/>
                <w:lang w:val="de-DE"/>
              </w:rPr>
              <w:t>F</w:t>
            </w:r>
          </w:p>
        </w:tc>
        <w:tc>
          <w:tcPr>
            <w:tcW w:w="631" w:type="dxa"/>
          </w:tcPr>
          <w:p w:rsidR="00000000" w:rsidRDefault="00000000">
            <w:pPr>
              <w:jc w:val="both"/>
              <w:rPr>
                <w:sz w:val="22"/>
                <w:lang w:val="de-DE"/>
              </w:rPr>
            </w:pPr>
            <w:r>
              <w:rPr>
                <w:sz w:val="22"/>
                <w:lang w:val="de-DE"/>
              </w:rPr>
              <w:t>T</w:t>
            </w:r>
          </w:p>
        </w:tc>
        <w:tc>
          <w:tcPr>
            <w:tcW w:w="632" w:type="dxa"/>
          </w:tcPr>
          <w:p w:rsidR="00000000" w:rsidRDefault="00000000">
            <w:pPr>
              <w:jc w:val="both"/>
              <w:rPr>
                <w:sz w:val="22"/>
                <w:lang w:val="de-DE"/>
              </w:rPr>
            </w:pPr>
            <w:r>
              <w:rPr>
                <w:sz w:val="22"/>
                <w:lang w:val="de-DE"/>
              </w:rPr>
              <w:t>H</w:t>
            </w:r>
          </w:p>
        </w:tc>
        <w:tc>
          <w:tcPr>
            <w:tcW w:w="631" w:type="dxa"/>
          </w:tcPr>
          <w:p w:rsidR="00000000" w:rsidRDefault="00000000">
            <w:pPr>
              <w:jc w:val="both"/>
              <w:rPr>
                <w:sz w:val="22"/>
                <w:lang w:val="de-DE"/>
              </w:rPr>
            </w:pPr>
            <w:r>
              <w:rPr>
                <w:sz w:val="22"/>
                <w:lang w:val="de-DE"/>
              </w:rPr>
              <w:t>F</w:t>
            </w:r>
          </w:p>
        </w:tc>
        <w:tc>
          <w:tcPr>
            <w:tcW w:w="632" w:type="dxa"/>
          </w:tcPr>
          <w:p w:rsidR="00000000" w:rsidRDefault="00000000">
            <w:pPr>
              <w:jc w:val="both"/>
              <w:rPr>
                <w:sz w:val="22"/>
                <w:lang w:val="de-DE"/>
              </w:rPr>
            </w:pPr>
            <w:r>
              <w:rPr>
                <w:sz w:val="22"/>
                <w:lang w:val="de-DE"/>
              </w:rPr>
              <w:t>T</w:t>
            </w:r>
          </w:p>
        </w:tc>
        <w:tc>
          <w:tcPr>
            <w:tcW w:w="631" w:type="dxa"/>
          </w:tcPr>
          <w:p w:rsidR="00000000" w:rsidRDefault="00000000">
            <w:pPr>
              <w:jc w:val="both"/>
              <w:rPr>
                <w:sz w:val="22"/>
                <w:lang w:val="de-DE"/>
              </w:rPr>
            </w:pPr>
            <w:r>
              <w:rPr>
                <w:sz w:val="22"/>
                <w:lang w:val="de-DE"/>
              </w:rPr>
              <w:t>H</w:t>
            </w:r>
          </w:p>
        </w:tc>
        <w:tc>
          <w:tcPr>
            <w:tcW w:w="632" w:type="dxa"/>
          </w:tcPr>
          <w:p w:rsidR="00000000" w:rsidRDefault="00000000">
            <w:pPr>
              <w:jc w:val="both"/>
              <w:rPr>
                <w:sz w:val="22"/>
                <w:lang w:val="de-DE"/>
              </w:rPr>
            </w:pPr>
            <w:r>
              <w:rPr>
                <w:sz w:val="22"/>
                <w:lang w:val="de-DE"/>
              </w:rPr>
              <w:t>F</w:t>
            </w:r>
          </w:p>
        </w:tc>
        <w:tc>
          <w:tcPr>
            <w:tcW w:w="631" w:type="dxa"/>
          </w:tcPr>
          <w:p w:rsidR="00000000" w:rsidRDefault="00000000">
            <w:pPr>
              <w:jc w:val="both"/>
              <w:rPr>
                <w:sz w:val="22"/>
                <w:lang w:val="de-DE"/>
              </w:rPr>
            </w:pPr>
            <w:r>
              <w:rPr>
                <w:sz w:val="22"/>
                <w:lang w:val="de-DE"/>
              </w:rPr>
              <w:t>T</w:t>
            </w:r>
          </w:p>
        </w:tc>
        <w:tc>
          <w:tcPr>
            <w:tcW w:w="632" w:type="dxa"/>
          </w:tcPr>
          <w:p w:rsidR="00000000" w:rsidRDefault="00000000">
            <w:pPr>
              <w:jc w:val="both"/>
              <w:rPr>
                <w:sz w:val="22"/>
                <w:lang w:val="de-DE"/>
              </w:rPr>
            </w:pPr>
            <w:r>
              <w:rPr>
                <w:sz w:val="22"/>
                <w:lang w:val="de-DE"/>
              </w:rPr>
              <w:t>H</w:t>
            </w:r>
          </w:p>
        </w:tc>
        <w:tc>
          <w:tcPr>
            <w:tcW w:w="631" w:type="dxa"/>
          </w:tcPr>
          <w:p w:rsidR="00000000" w:rsidRDefault="00000000">
            <w:pPr>
              <w:jc w:val="both"/>
              <w:rPr>
                <w:sz w:val="22"/>
                <w:lang w:val="de-DE"/>
              </w:rPr>
            </w:pPr>
            <w:r>
              <w:rPr>
                <w:sz w:val="22"/>
                <w:lang w:val="de-DE"/>
              </w:rPr>
              <w:t>F</w:t>
            </w:r>
          </w:p>
        </w:tc>
        <w:tc>
          <w:tcPr>
            <w:tcW w:w="632" w:type="dxa"/>
          </w:tcPr>
          <w:p w:rsidR="00000000" w:rsidRDefault="00000000">
            <w:pPr>
              <w:jc w:val="both"/>
              <w:rPr>
                <w:sz w:val="22"/>
                <w:lang w:val="de-DE"/>
              </w:rPr>
            </w:pPr>
            <w:r>
              <w:rPr>
                <w:sz w:val="22"/>
                <w:lang w:val="de-DE"/>
              </w:rPr>
              <w:t>T</w:t>
            </w:r>
          </w:p>
        </w:tc>
      </w:tr>
      <w:tr w:rsidR="00000000">
        <w:tblPrEx>
          <w:tblCellMar>
            <w:top w:w="0" w:type="dxa"/>
            <w:bottom w:w="0" w:type="dxa"/>
          </w:tblCellMar>
        </w:tblPrEx>
        <w:tc>
          <w:tcPr>
            <w:tcW w:w="2259" w:type="dxa"/>
          </w:tcPr>
          <w:p w:rsidR="00000000" w:rsidRDefault="00000000">
            <w:pPr>
              <w:rPr>
                <w:sz w:val="22"/>
              </w:rPr>
            </w:pPr>
            <w:r>
              <w:rPr>
                <w:sz w:val="22"/>
              </w:rPr>
              <w:t>Centres de métiers</w:t>
            </w:r>
          </w:p>
        </w:tc>
        <w:tc>
          <w:tcPr>
            <w:tcW w:w="631" w:type="dxa"/>
          </w:tcPr>
          <w:p w:rsidR="00000000" w:rsidRDefault="00000000">
            <w:pPr>
              <w:jc w:val="right"/>
              <w:rPr>
                <w:sz w:val="22"/>
              </w:rPr>
            </w:pPr>
            <w:r>
              <w:rPr>
                <w:sz w:val="22"/>
              </w:rPr>
              <w:t>1 270</w:t>
            </w:r>
          </w:p>
        </w:tc>
        <w:tc>
          <w:tcPr>
            <w:tcW w:w="632" w:type="dxa"/>
          </w:tcPr>
          <w:p w:rsidR="00000000" w:rsidRDefault="00000000">
            <w:pPr>
              <w:jc w:val="right"/>
              <w:rPr>
                <w:sz w:val="22"/>
              </w:rPr>
            </w:pPr>
            <w:r>
              <w:rPr>
                <w:sz w:val="22"/>
              </w:rPr>
              <w:t>897</w:t>
            </w:r>
          </w:p>
        </w:tc>
        <w:tc>
          <w:tcPr>
            <w:tcW w:w="631" w:type="dxa"/>
          </w:tcPr>
          <w:p w:rsidR="00000000" w:rsidRDefault="00000000">
            <w:pPr>
              <w:jc w:val="right"/>
              <w:rPr>
                <w:sz w:val="22"/>
              </w:rPr>
            </w:pPr>
            <w:r>
              <w:rPr>
                <w:sz w:val="22"/>
              </w:rPr>
              <w:t>2 167</w:t>
            </w:r>
          </w:p>
        </w:tc>
        <w:tc>
          <w:tcPr>
            <w:tcW w:w="632" w:type="dxa"/>
          </w:tcPr>
          <w:p w:rsidR="00000000" w:rsidRDefault="00000000">
            <w:pPr>
              <w:jc w:val="right"/>
              <w:rPr>
                <w:sz w:val="22"/>
              </w:rPr>
            </w:pPr>
            <w:r>
              <w:rPr>
                <w:sz w:val="22"/>
              </w:rPr>
              <w:t>-</w:t>
            </w:r>
          </w:p>
        </w:tc>
        <w:tc>
          <w:tcPr>
            <w:tcW w:w="631" w:type="dxa"/>
          </w:tcPr>
          <w:p w:rsidR="00000000" w:rsidRDefault="00000000">
            <w:pPr>
              <w:jc w:val="right"/>
              <w:rPr>
                <w:sz w:val="22"/>
              </w:rPr>
            </w:pPr>
            <w:r>
              <w:rPr>
                <w:sz w:val="22"/>
              </w:rPr>
              <w:t>-</w:t>
            </w:r>
          </w:p>
        </w:tc>
        <w:tc>
          <w:tcPr>
            <w:tcW w:w="632" w:type="dxa"/>
          </w:tcPr>
          <w:p w:rsidR="00000000" w:rsidRDefault="00000000">
            <w:pPr>
              <w:jc w:val="right"/>
              <w:rPr>
                <w:sz w:val="22"/>
              </w:rPr>
            </w:pPr>
            <w:r>
              <w:rPr>
                <w:sz w:val="22"/>
              </w:rPr>
              <w:t>218</w:t>
            </w:r>
          </w:p>
        </w:tc>
        <w:tc>
          <w:tcPr>
            <w:tcW w:w="631" w:type="dxa"/>
          </w:tcPr>
          <w:p w:rsidR="00000000" w:rsidRDefault="00000000">
            <w:pPr>
              <w:jc w:val="right"/>
              <w:rPr>
                <w:sz w:val="22"/>
              </w:rPr>
            </w:pPr>
            <w:r>
              <w:rPr>
                <w:sz w:val="22"/>
              </w:rPr>
              <w:t>718</w:t>
            </w:r>
          </w:p>
        </w:tc>
        <w:tc>
          <w:tcPr>
            <w:tcW w:w="632" w:type="dxa"/>
          </w:tcPr>
          <w:p w:rsidR="00000000" w:rsidRDefault="00000000">
            <w:pPr>
              <w:jc w:val="right"/>
              <w:rPr>
                <w:sz w:val="22"/>
              </w:rPr>
            </w:pPr>
            <w:r>
              <w:rPr>
                <w:sz w:val="22"/>
              </w:rPr>
              <w:t>614</w:t>
            </w:r>
          </w:p>
        </w:tc>
        <w:tc>
          <w:tcPr>
            <w:tcW w:w="631" w:type="dxa"/>
          </w:tcPr>
          <w:p w:rsidR="00000000" w:rsidRDefault="00000000">
            <w:pPr>
              <w:jc w:val="right"/>
              <w:rPr>
                <w:sz w:val="22"/>
              </w:rPr>
            </w:pPr>
            <w:r>
              <w:rPr>
                <w:sz w:val="22"/>
              </w:rPr>
              <w:t>1 332</w:t>
            </w:r>
          </w:p>
        </w:tc>
        <w:tc>
          <w:tcPr>
            <w:tcW w:w="632" w:type="dxa"/>
          </w:tcPr>
          <w:p w:rsidR="00000000" w:rsidRDefault="00000000">
            <w:pPr>
              <w:jc w:val="right"/>
              <w:rPr>
                <w:sz w:val="22"/>
              </w:rPr>
            </w:pPr>
            <w:r>
              <w:rPr>
                <w:sz w:val="22"/>
              </w:rPr>
              <w:t>-</w:t>
            </w:r>
          </w:p>
        </w:tc>
        <w:tc>
          <w:tcPr>
            <w:tcW w:w="631" w:type="dxa"/>
          </w:tcPr>
          <w:p w:rsidR="00000000" w:rsidRDefault="00000000">
            <w:pPr>
              <w:jc w:val="right"/>
              <w:rPr>
                <w:sz w:val="22"/>
              </w:rPr>
            </w:pPr>
            <w:r>
              <w:rPr>
                <w:sz w:val="22"/>
              </w:rPr>
              <w:t>-</w:t>
            </w:r>
          </w:p>
        </w:tc>
        <w:tc>
          <w:tcPr>
            <w:tcW w:w="632" w:type="dxa"/>
          </w:tcPr>
          <w:p w:rsidR="00000000" w:rsidRDefault="00000000">
            <w:pPr>
              <w:jc w:val="right"/>
              <w:rPr>
                <w:sz w:val="22"/>
              </w:rPr>
            </w:pPr>
            <w:r>
              <w:rPr>
                <w:sz w:val="22"/>
              </w:rPr>
              <w:t>208</w:t>
            </w:r>
          </w:p>
        </w:tc>
      </w:tr>
      <w:tr w:rsidR="00000000">
        <w:tblPrEx>
          <w:tblCellMar>
            <w:top w:w="0" w:type="dxa"/>
            <w:bottom w:w="0" w:type="dxa"/>
          </w:tblCellMar>
        </w:tblPrEx>
        <w:tc>
          <w:tcPr>
            <w:tcW w:w="2259" w:type="dxa"/>
          </w:tcPr>
          <w:p w:rsidR="00000000" w:rsidRDefault="00000000">
            <w:pPr>
              <w:rPr>
                <w:sz w:val="22"/>
              </w:rPr>
            </w:pPr>
            <w:r>
              <w:rPr>
                <w:sz w:val="22"/>
              </w:rPr>
              <w:t>Collèges d’enseignement technique</w:t>
            </w:r>
          </w:p>
        </w:tc>
        <w:tc>
          <w:tcPr>
            <w:tcW w:w="631" w:type="dxa"/>
          </w:tcPr>
          <w:p w:rsidR="00000000" w:rsidRDefault="00000000">
            <w:pPr>
              <w:jc w:val="right"/>
              <w:rPr>
                <w:sz w:val="22"/>
              </w:rPr>
            </w:pPr>
          </w:p>
          <w:p w:rsidR="00000000" w:rsidRDefault="00000000">
            <w:pPr>
              <w:jc w:val="right"/>
              <w:rPr>
                <w:sz w:val="22"/>
              </w:rPr>
            </w:pPr>
            <w:r>
              <w:rPr>
                <w:sz w:val="22"/>
              </w:rPr>
              <w:t>4 800</w:t>
            </w:r>
          </w:p>
        </w:tc>
        <w:tc>
          <w:tcPr>
            <w:tcW w:w="632" w:type="dxa"/>
          </w:tcPr>
          <w:p w:rsidR="00000000" w:rsidRDefault="00000000">
            <w:pPr>
              <w:jc w:val="right"/>
              <w:rPr>
                <w:sz w:val="22"/>
              </w:rPr>
            </w:pPr>
          </w:p>
          <w:p w:rsidR="00000000" w:rsidRDefault="00000000">
            <w:pPr>
              <w:jc w:val="right"/>
              <w:rPr>
                <w:sz w:val="22"/>
              </w:rPr>
            </w:pPr>
            <w:r>
              <w:rPr>
                <w:sz w:val="22"/>
              </w:rPr>
              <w:t>3 551</w:t>
            </w:r>
          </w:p>
        </w:tc>
        <w:tc>
          <w:tcPr>
            <w:tcW w:w="631" w:type="dxa"/>
          </w:tcPr>
          <w:p w:rsidR="00000000" w:rsidRDefault="00000000">
            <w:pPr>
              <w:jc w:val="right"/>
              <w:rPr>
                <w:sz w:val="22"/>
              </w:rPr>
            </w:pPr>
          </w:p>
          <w:p w:rsidR="00000000" w:rsidRDefault="00000000">
            <w:pPr>
              <w:jc w:val="right"/>
              <w:rPr>
                <w:sz w:val="22"/>
              </w:rPr>
            </w:pPr>
            <w:r>
              <w:rPr>
                <w:sz w:val="22"/>
              </w:rPr>
              <w:t>8 351</w:t>
            </w:r>
          </w:p>
        </w:tc>
        <w:tc>
          <w:tcPr>
            <w:tcW w:w="632" w:type="dxa"/>
          </w:tcPr>
          <w:p w:rsidR="00000000" w:rsidRDefault="00000000">
            <w:pPr>
              <w:jc w:val="right"/>
              <w:rPr>
                <w:sz w:val="22"/>
              </w:rPr>
            </w:pPr>
          </w:p>
          <w:p w:rsidR="00000000" w:rsidRDefault="00000000">
            <w:pPr>
              <w:jc w:val="right"/>
              <w:rPr>
                <w:sz w:val="22"/>
              </w:rPr>
            </w:pPr>
            <w:r>
              <w:rPr>
                <w:sz w:val="22"/>
              </w:rPr>
              <w:t>-</w:t>
            </w:r>
          </w:p>
        </w:tc>
        <w:tc>
          <w:tcPr>
            <w:tcW w:w="631" w:type="dxa"/>
          </w:tcPr>
          <w:p w:rsidR="00000000" w:rsidRDefault="00000000">
            <w:pPr>
              <w:jc w:val="right"/>
              <w:rPr>
                <w:sz w:val="22"/>
              </w:rPr>
            </w:pPr>
          </w:p>
          <w:p w:rsidR="00000000" w:rsidRDefault="00000000">
            <w:pPr>
              <w:jc w:val="right"/>
              <w:rPr>
                <w:sz w:val="22"/>
              </w:rPr>
            </w:pPr>
            <w:r>
              <w:rPr>
                <w:sz w:val="22"/>
              </w:rPr>
              <w:t>-</w:t>
            </w:r>
          </w:p>
        </w:tc>
        <w:tc>
          <w:tcPr>
            <w:tcW w:w="632" w:type="dxa"/>
          </w:tcPr>
          <w:p w:rsidR="00000000" w:rsidRDefault="00000000">
            <w:pPr>
              <w:jc w:val="right"/>
              <w:rPr>
                <w:sz w:val="22"/>
              </w:rPr>
            </w:pPr>
          </w:p>
          <w:p w:rsidR="00000000" w:rsidRDefault="00000000">
            <w:pPr>
              <w:jc w:val="right"/>
              <w:rPr>
                <w:sz w:val="22"/>
              </w:rPr>
            </w:pPr>
            <w:r>
              <w:rPr>
                <w:sz w:val="22"/>
              </w:rPr>
              <w:t>770</w:t>
            </w:r>
          </w:p>
        </w:tc>
        <w:tc>
          <w:tcPr>
            <w:tcW w:w="631" w:type="dxa"/>
          </w:tcPr>
          <w:p w:rsidR="00000000" w:rsidRDefault="00000000">
            <w:pPr>
              <w:jc w:val="right"/>
              <w:rPr>
                <w:sz w:val="22"/>
              </w:rPr>
            </w:pPr>
          </w:p>
          <w:p w:rsidR="00000000" w:rsidRDefault="00000000">
            <w:pPr>
              <w:jc w:val="right"/>
              <w:rPr>
                <w:sz w:val="22"/>
              </w:rPr>
            </w:pPr>
            <w:r>
              <w:rPr>
                <w:sz w:val="22"/>
              </w:rPr>
              <w:t>4 577</w:t>
            </w:r>
          </w:p>
        </w:tc>
        <w:tc>
          <w:tcPr>
            <w:tcW w:w="632" w:type="dxa"/>
          </w:tcPr>
          <w:p w:rsidR="00000000" w:rsidRDefault="00000000">
            <w:pPr>
              <w:jc w:val="right"/>
              <w:rPr>
                <w:sz w:val="22"/>
              </w:rPr>
            </w:pPr>
          </w:p>
          <w:p w:rsidR="00000000" w:rsidRDefault="00000000">
            <w:pPr>
              <w:jc w:val="right"/>
              <w:rPr>
                <w:sz w:val="22"/>
              </w:rPr>
            </w:pPr>
            <w:r>
              <w:rPr>
                <w:sz w:val="22"/>
              </w:rPr>
              <w:t>4 355</w:t>
            </w:r>
          </w:p>
        </w:tc>
        <w:tc>
          <w:tcPr>
            <w:tcW w:w="631" w:type="dxa"/>
          </w:tcPr>
          <w:p w:rsidR="00000000" w:rsidRDefault="00000000">
            <w:pPr>
              <w:jc w:val="right"/>
              <w:rPr>
                <w:sz w:val="22"/>
              </w:rPr>
            </w:pPr>
          </w:p>
          <w:p w:rsidR="00000000" w:rsidRDefault="00000000">
            <w:pPr>
              <w:jc w:val="right"/>
              <w:rPr>
                <w:sz w:val="22"/>
              </w:rPr>
            </w:pPr>
            <w:r>
              <w:rPr>
                <w:sz w:val="22"/>
              </w:rPr>
              <w:t>8 932</w:t>
            </w:r>
          </w:p>
        </w:tc>
        <w:tc>
          <w:tcPr>
            <w:tcW w:w="632" w:type="dxa"/>
          </w:tcPr>
          <w:p w:rsidR="00000000" w:rsidRDefault="00000000">
            <w:pPr>
              <w:jc w:val="right"/>
              <w:rPr>
                <w:sz w:val="22"/>
              </w:rPr>
            </w:pPr>
          </w:p>
          <w:p w:rsidR="00000000" w:rsidRDefault="00000000">
            <w:pPr>
              <w:jc w:val="right"/>
              <w:rPr>
                <w:sz w:val="22"/>
              </w:rPr>
            </w:pPr>
            <w:r>
              <w:rPr>
                <w:sz w:val="22"/>
              </w:rPr>
              <w:t>-</w:t>
            </w:r>
          </w:p>
        </w:tc>
        <w:tc>
          <w:tcPr>
            <w:tcW w:w="631" w:type="dxa"/>
          </w:tcPr>
          <w:p w:rsidR="00000000" w:rsidRDefault="00000000">
            <w:pPr>
              <w:jc w:val="right"/>
              <w:rPr>
                <w:sz w:val="22"/>
              </w:rPr>
            </w:pPr>
          </w:p>
          <w:p w:rsidR="00000000" w:rsidRDefault="00000000">
            <w:pPr>
              <w:jc w:val="right"/>
              <w:rPr>
                <w:sz w:val="22"/>
              </w:rPr>
            </w:pPr>
            <w:r>
              <w:rPr>
                <w:sz w:val="22"/>
              </w:rPr>
              <w:t>-</w:t>
            </w:r>
          </w:p>
        </w:tc>
        <w:tc>
          <w:tcPr>
            <w:tcW w:w="632" w:type="dxa"/>
          </w:tcPr>
          <w:p w:rsidR="00000000" w:rsidRDefault="00000000">
            <w:pPr>
              <w:jc w:val="right"/>
              <w:rPr>
                <w:sz w:val="22"/>
              </w:rPr>
            </w:pPr>
          </w:p>
          <w:p w:rsidR="00000000" w:rsidRDefault="00000000">
            <w:pPr>
              <w:jc w:val="right"/>
              <w:rPr>
                <w:sz w:val="22"/>
              </w:rPr>
            </w:pPr>
            <w:r>
              <w:rPr>
                <w:sz w:val="22"/>
              </w:rPr>
              <w:t>552</w:t>
            </w:r>
          </w:p>
        </w:tc>
      </w:tr>
      <w:tr w:rsidR="00000000">
        <w:tblPrEx>
          <w:tblCellMar>
            <w:top w:w="0" w:type="dxa"/>
            <w:bottom w:w="0" w:type="dxa"/>
          </w:tblCellMar>
        </w:tblPrEx>
        <w:tc>
          <w:tcPr>
            <w:tcW w:w="2259" w:type="dxa"/>
          </w:tcPr>
          <w:p w:rsidR="00000000" w:rsidRDefault="00000000">
            <w:pPr>
              <w:rPr>
                <w:sz w:val="22"/>
              </w:rPr>
            </w:pPr>
            <w:r>
              <w:rPr>
                <w:sz w:val="22"/>
              </w:rPr>
              <w:t>Lycée technique</w:t>
            </w:r>
          </w:p>
        </w:tc>
        <w:tc>
          <w:tcPr>
            <w:tcW w:w="631" w:type="dxa"/>
          </w:tcPr>
          <w:p w:rsidR="00000000" w:rsidRDefault="00000000">
            <w:pPr>
              <w:jc w:val="right"/>
              <w:rPr>
                <w:sz w:val="22"/>
              </w:rPr>
            </w:pPr>
          </w:p>
        </w:tc>
        <w:tc>
          <w:tcPr>
            <w:tcW w:w="632" w:type="dxa"/>
          </w:tcPr>
          <w:p w:rsidR="00000000" w:rsidRDefault="00000000">
            <w:pPr>
              <w:jc w:val="right"/>
              <w:rPr>
                <w:sz w:val="22"/>
              </w:rPr>
            </w:pPr>
          </w:p>
        </w:tc>
        <w:tc>
          <w:tcPr>
            <w:tcW w:w="631" w:type="dxa"/>
          </w:tcPr>
          <w:p w:rsidR="00000000" w:rsidRDefault="00000000">
            <w:pPr>
              <w:jc w:val="right"/>
              <w:rPr>
                <w:sz w:val="22"/>
              </w:rPr>
            </w:pPr>
            <w:r>
              <w:rPr>
                <w:sz w:val="22"/>
              </w:rPr>
              <w:t>10 060</w:t>
            </w:r>
          </w:p>
        </w:tc>
        <w:tc>
          <w:tcPr>
            <w:tcW w:w="632" w:type="dxa"/>
          </w:tcPr>
          <w:p w:rsidR="00000000" w:rsidRDefault="00000000">
            <w:pPr>
              <w:jc w:val="right"/>
              <w:rPr>
                <w:sz w:val="22"/>
              </w:rPr>
            </w:pPr>
            <w:r>
              <w:rPr>
                <w:sz w:val="22"/>
              </w:rPr>
              <w:t>383</w:t>
            </w:r>
          </w:p>
        </w:tc>
        <w:tc>
          <w:tcPr>
            <w:tcW w:w="631" w:type="dxa"/>
          </w:tcPr>
          <w:p w:rsidR="00000000" w:rsidRDefault="00000000">
            <w:pPr>
              <w:jc w:val="right"/>
              <w:rPr>
                <w:sz w:val="22"/>
              </w:rPr>
            </w:pPr>
            <w:r>
              <w:rPr>
                <w:sz w:val="22"/>
              </w:rPr>
              <w:t>59</w:t>
            </w:r>
          </w:p>
        </w:tc>
        <w:tc>
          <w:tcPr>
            <w:tcW w:w="632" w:type="dxa"/>
          </w:tcPr>
          <w:p w:rsidR="00000000" w:rsidRDefault="00000000">
            <w:pPr>
              <w:jc w:val="right"/>
              <w:rPr>
                <w:sz w:val="22"/>
              </w:rPr>
            </w:pPr>
            <w:r>
              <w:rPr>
                <w:sz w:val="22"/>
              </w:rPr>
              <w:t>442</w:t>
            </w:r>
          </w:p>
        </w:tc>
        <w:tc>
          <w:tcPr>
            <w:tcW w:w="631" w:type="dxa"/>
          </w:tcPr>
          <w:p w:rsidR="00000000" w:rsidRDefault="00000000">
            <w:pPr>
              <w:jc w:val="right"/>
              <w:rPr>
                <w:sz w:val="22"/>
              </w:rPr>
            </w:pPr>
            <w:r>
              <w:rPr>
                <w:sz w:val="22"/>
              </w:rPr>
              <w:t>7 727</w:t>
            </w:r>
          </w:p>
        </w:tc>
        <w:tc>
          <w:tcPr>
            <w:tcW w:w="632" w:type="dxa"/>
          </w:tcPr>
          <w:p w:rsidR="00000000" w:rsidRDefault="00000000">
            <w:pPr>
              <w:jc w:val="right"/>
              <w:rPr>
                <w:sz w:val="22"/>
              </w:rPr>
            </w:pPr>
            <w:r>
              <w:rPr>
                <w:sz w:val="22"/>
              </w:rPr>
              <w:t>3 949</w:t>
            </w:r>
          </w:p>
        </w:tc>
        <w:tc>
          <w:tcPr>
            <w:tcW w:w="631" w:type="dxa"/>
          </w:tcPr>
          <w:p w:rsidR="00000000" w:rsidRDefault="00000000">
            <w:pPr>
              <w:jc w:val="right"/>
              <w:rPr>
                <w:sz w:val="22"/>
              </w:rPr>
            </w:pPr>
            <w:r>
              <w:rPr>
                <w:sz w:val="22"/>
              </w:rPr>
              <w:t>11 676</w:t>
            </w:r>
          </w:p>
        </w:tc>
        <w:tc>
          <w:tcPr>
            <w:tcW w:w="632" w:type="dxa"/>
          </w:tcPr>
          <w:p w:rsidR="00000000" w:rsidRDefault="00000000">
            <w:pPr>
              <w:jc w:val="right"/>
              <w:rPr>
                <w:sz w:val="22"/>
              </w:rPr>
            </w:pPr>
            <w:r>
              <w:rPr>
                <w:sz w:val="22"/>
              </w:rPr>
              <w:t>391</w:t>
            </w:r>
          </w:p>
        </w:tc>
        <w:tc>
          <w:tcPr>
            <w:tcW w:w="631" w:type="dxa"/>
          </w:tcPr>
          <w:p w:rsidR="00000000" w:rsidRDefault="00000000">
            <w:pPr>
              <w:jc w:val="right"/>
              <w:rPr>
                <w:sz w:val="22"/>
              </w:rPr>
            </w:pPr>
            <w:r>
              <w:rPr>
                <w:sz w:val="22"/>
              </w:rPr>
              <w:t>60</w:t>
            </w:r>
          </w:p>
        </w:tc>
        <w:tc>
          <w:tcPr>
            <w:tcW w:w="632" w:type="dxa"/>
          </w:tcPr>
          <w:p w:rsidR="00000000" w:rsidRDefault="00000000">
            <w:pPr>
              <w:jc w:val="right"/>
              <w:rPr>
                <w:sz w:val="22"/>
              </w:rPr>
            </w:pPr>
            <w:r>
              <w:rPr>
                <w:sz w:val="22"/>
              </w:rPr>
              <w:t>451</w:t>
            </w:r>
          </w:p>
        </w:tc>
      </w:tr>
      <w:tr w:rsidR="00000000">
        <w:tblPrEx>
          <w:tblCellMar>
            <w:top w:w="0" w:type="dxa"/>
            <w:bottom w:w="0" w:type="dxa"/>
          </w:tblCellMar>
        </w:tblPrEx>
        <w:tc>
          <w:tcPr>
            <w:tcW w:w="2259" w:type="dxa"/>
          </w:tcPr>
          <w:p w:rsidR="00000000" w:rsidRDefault="00000000">
            <w:pPr>
              <w:rPr>
                <w:sz w:val="22"/>
              </w:rPr>
            </w:pPr>
            <w:r>
              <w:rPr>
                <w:sz w:val="22"/>
              </w:rPr>
              <w:t>Ecoles professionnelles</w:t>
            </w:r>
          </w:p>
        </w:tc>
        <w:tc>
          <w:tcPr>
            <w:tcW w:w="631" w:type="dxa"/>
          </w:tcPr>
          <w:p w:rsidR="00000000" w:rsidRDefault="00000000">
            <w:pPr>
              <w:jc w:val="right"/>
              <w:rPr>
                <w:sz w:val="22"/>
              </w:rPr>
            </w:pPr>
            <w:r>
              <w:rPr>
                <w:sz w:val="22"/>
              </w:rPr>
              <w:t>344</w:t>
            </w:r>
          </w:p>
        </w:tc>
        <w:tc>
          <w:tcPr>
            <w:tcW w:w="632" w:type="dxa"/>
          </w:tcPr>
          <w:p w:rsidR="00000000" w:rsidRDefault="00000000">
            <w:pPr>
              <w:jc w:val="right"/>
              <w:rPr>
                <w:sz w:val="22"/>
              </w:rPr>
            </w:pPr>
            <w:r>
              <w:rPr>
                <w:sz w:val="22"/>
              </w:rPr>
              <w:t>683</w:t>
            </w:r>
          </w:p>
        </w:tc>
        <w:tc>
          <w:tcPr>
            <w:tcW w:w="631" w:type="dxa"/>
          </w:tcPr>
          <w:p w:rsidR="00000000" w:rsidRDefault="00000000">
            <w:pPr>
              <w:jc w:val="right"/>
              <w:rPr>
                <w:sz w:val="22"/>
              </w:rPr>
            </w:pPr>
            <w:r>
              <w:rPr>
                <w:sz w:val="22"/>
              </w:rPr>
              <w:t>1 027</w:t>
            </w:r>
          </w:p>
        </w:tc>
        <w:tc>
          <w:tcPr>
            <w:tcW w:w="632" w:type="dxa"/>
          </w:tcPr>
          <w:p w:rsidR="00000000" w:rsidRDefault="00000000">
            <w:pPr>
              <w:jc w:val="right"/>
              <w:rPr>
                <w:sz w:val="22"/>
              </w:rPr>
            </w:pPr>
            <w:r>
              <w:rPr>
                <w:sz w:val="22"/>
              </w:rPr>
              <w:t>177</w:t>
            </w:r>
          </w:p>
        </w:tc>
        <w:tc>
          <w:tcPr>
            <w:tcW w:w="631" w:type="dxa"/>
          </w:tcPr>
          <w:p w:rsidR="00000000" w:rsidRDefault="00000000">
            <w:pPr>
              <w:jc w:val="right"/>
              <w:rPr>
                <w:sz w:val="22"/>
              </w:rPr>
            </w:pPr>
            <w:r>
              <w:rPr>
                <w:sz w:val="22"/>
              </w:rPr>
              <w:t>41</w:t>
            </w:r>
          </w:p>
        </w:tc>
        <w:tc>
          <w:tcPr>
            <w:tcW w:w="632" w:type="dxa"/>
          </w:tcPr>
          <w:p w:rsidR="00000000" w:rsidRDefault="00000000">
            <w:pPr>
              <w:jc w:val="right"/>
              <w:rPr>
                <w:sz w:val="22"/>
              </w:rPr>
            </w:pPr>
            <w:r>
              <w:rPr>
                <w:sz w:val="22"/>
              </w:rPr>
              <w:t>218</w:t>
            </w:r>
          </w:p>
        </w:tc>
        <w:tc>
          <w:tcPr>
            <w:tcW w:w="631" w:type="dxa"/>
          </w:tcPr>
          <w:p w:rsidR="00000000" w:rsidRDefault="00000000">
            <w:pPr>
              <w:jc w:val="right"/>
              <w:rPr>
                <w:sz w:val="22"/>
              </w:rPr>
            </w:pPr>
            <w:r>
              <w:rPr>
                <w:sz w:val="22"/>
              </w:rPr>
              <w:t>335</w:t>
            </w:r>
          </w:p>
        </w:tc>
        <w:tc>
          <w:tcPr>
            <w:tcW w:w="632" w:type="dxa"/>
          </w:tcPr>
          <w:p w:rsidR="00000000" w:rsidRDefault="00000000">
            <w:pPr>
              <w:jc w:val="right"/>
              <w:rPr>
                <w:sz w:val="22"/>
              </w:rPr>
            </w:pPr>
            <w:r>
              <w:rPr>
                <w:sz w:val="22"/>
              </w:rPr>
              <w:t>1 145</w:t>
            </w:r>
          </w:p>
        </w:tc>
        <w:tc>
          <w:tcPr>
            <w:tcW w:w="631" w:type="dxa"/>
          </w:tcPr>
          <w:p w:rsidR="00000000" w:rsidRDefault="00000000">
            <w:pPr>
              <w:jc w:val="right"/>
              <w:rPr>
                <w:sz w:val="22"/>
              </w:rPr>
            </w:pPr>
            <w:r>
              <w:rPr>
                <w:sz w:val="22"/>
              </w:rPr>
              <w:t>1 480</w:t>
            </w:r>
          </w:p>
        </w:tc>
        <w:tc>
          <w:tcPr>
            <w:tcW w:w="632" w:type="dxa"/>
          </w:tcPr>
          <w:p w:rsidR="00000000" w:rsidRDefault="00000000">
            <w:pPr>
              <w:jc w:val="right"/>
              <w:rPr>
                <w:sz w:val="22"/>
              </w:rPr>
            </w:pPr>
            <w:r>
              <w:rPr>
                <w:sz w:val="22"/>
              </w:rPr>
              <w:t>171</w:t>
            </w:r>
          </w:p>
        </w:tc>
        <w:tc>
          <w:tcPr>
            <w:tcW w:w="631" w:type="dxa"/>
          </w:tcPr>
          <w:p w:rsidR="00000000" w:rsidRDefault="00000000">
            <w:pPr>
              <w:jc w:val="right"/>
              <w:rPr>
                <w:sz w:val="22"/>
              </w:rPr>
            </w:pPr>
            <w:r>
              <w:rPr>
                <w:sz w:val="22"/>
              </w:rPr>
              <w:t>37</w:t>
            </w:r>
          </w:p>
        </w:tc>
        <w:tc>
          <w:tcPr>
            <w:tcW w:w="632" w:type="dxa"/>
          </w:tcPr>
          <w:p w:rsidR="00000000" w:rsidRDefault="00000000">
            <w:pPr>
              <w:jc w:val="right"/>
              <w:rPr>
                <w:sz w:val="22"/>
              </w:rPr>
            </w:pPr>
            <w:r>
              <w:rPr>
                <w:sz w:val="22"/>
              </w:rPr>
              <w:t>208</w:t>
            </w:r>
          </w:p>
        </w:tc>
      </w:tr>
    </w:tbl>
    <w:p w:rsidR="00000000" w:rsidRDefault="00000000">
      <w:pPr>
        <w:jc w:val="both"/>
        <w:rPr>
          <w:sz w:val="22"/>
        </w:rPr>
      </w:pPr>
    </w:p>
    <w:p w:rsidR="00000000" w:rsidRDefault="00000000">
      <w:pPr>
        <w:jc w:val="both"/>
        <w:rPr>
          <w:i/>
          <w:sz w:val="22"/>
        </w:rPr>
      </w:pPr>
      <w:r>
        <w:rPr>
          <w:i/>
          <w:sz w:val="22"/>
          <w:u w:val="single"/>
        </w:rPr>
        <w:t>Source</w:t>
      </w:r>
      <w:r>
        <w:rPr>
          <w:i/>
          <w:sz w:val="22"/>
        </w:rPr>
        <w:t xml:space="preserve"> :</w:t>
      </w:r>
      <w:r>
        <w:rPr>
          <w:sz w:val="22"/>
        </w:rPr>
        <w:t xml:space="preserve"> </w:t>
      </w:r>
      <w:r>
        <w:rPr>
          <w:i/>
          <w:sz w:val="22"/>
        </w:rPr>
        <w:t>Direction de la planification, ministère de l’enseignement technique, 1998.</w:t>
      </w:r>
    </w:p>
    <w:p w:rsidR="00000000" w:rsidRDefault="00000000">
      <w:pPr>
        <w:jc w:val="both"/>
        <w:rPr>
          <w:sz w:val="22"/>
        </w:rPr>
      </w:pPr>
    </w:p>
    <w:p w:rsidR="00000000" w:rsidRDefault="00000000">
      <w:pPr>
        <w:jc w:val="both"/>
        <w:rPr>
          <w:sz w:val="22"/>
        </w:rPr>
      </w:pPr>
    </w:p>
    <w:p w:rsidR="00000000" w:rsidRDefault="00000000">
      <w:pPr>
        <w:jc w:val="both"/>
        <w:rPr>
          <w:b/>
          <w:sz w:val="22"/>
        </w:rPr>
      </w:pPr>
      <w:r>
        <w:rPr>
          <w:b/>
          <w:sz w:val="22"/>
          <w:u w:val="single"/>
        </w:rPr>
        <w:t>Tableau n° 38</w:t>
      </w:r>
      <w:r>
        <w:rPr>
          <w:b/>
          <w:sz w:val="22"/>
        </w:rPr>
        <w:t> : Taux de redoublement au collège</w:t>
      </w:r>
    </w:p>
    <w:p w:rsidR="00000000" w:rsidRDefault="00000000">
      <w:pPr>
        <w:jc w:val="both"/>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62"/>
        <w:gridCol w:w="1968"/>
        <w:gridCol w:w="1969"/>
        <w:gridCol w:w="1969"/>
        <w:gridCol w:w="1969"/>
      </w:tblGrid>
      <w:tr w:rsidR="00000000">
        <w:tblPrEx>
          <w:tblCellMar>
            <w:top w:w="0" w:type="dxa"/>
            <w:bottom w:w="0" w:type="dxa"/>
          </w:tblCellMar>
        </w:tblPrEx>
        <w:trPr>
          <w:cantSplit/>
        </w:trPr>
        <w:tc>
          <w:tcPr>
            <w:tcW w:w="1962" w:type="dxa"/>
          </w:tcPr>
          <w:p w:rsidR="00000000" w:rsidRDefault="00000000">
            <w:pPr>
              <w:jc w:val="center"/>
              <w:rPr>
                <w:sz w:val="22"/>
              </w:rPr>
            </w:pPr>
            <w:r>
              <w:rPr>
                <w:sz w:val="22"/>
              </w:rPr>
              <w:t>Niveau</w:t>
            </w:r>
          </w:p>
        </w:tc>
        <w:tc>
          <w:tcPr>
            <w:tcW w:w="7875" w:type="dxa"/>
            <w:gridSpan w:val="4"/>
          </w:tcPr>
          <w:p w:rsidR="00000000" w:rsidRDefault="00000000">
            <w:pPr>
              <w:jc w:val="center"/>
              <w:rPr>
                <w:sz w:val="22"/>
              </w:rPr>
            </w:pPr>
            <w:r>
              <w:rPr>
                <w:sz w:val="22"/>
              </w:rPr>
              <w:t>Collège</w:t>
            </w:r>
          </w:p>
        </w:tc>
      </w:tr>
      <w:tr w:rsidR="00000000">
        <w:tblPrEx>
          <w:tblCellMar>
            <w:top w:w="0" w:type="dxa"/>
            <w:bottom w:w="0" w:type="dxa"/>
          </w:tblCellMar>
        </w:tblPrEx>
        <w:tc>
          <w:tcPr>
            <w:tcW w:w="1962" w:type="dxa"/>
          </w:tcPr>
          <w:p w:rsidR="00000000" w:rsidRDefault="00000000">
            <w:pPr>
              <w:pStyle w:val="Heading3"/>
              <w:rPr>
                <w:b w:val="0"/>
                <w:sz w:val="22"/>
              </w:rPr>
            </w:pPr>
            <w:r>
              <w:rPr>
                <w:b w:val="0"/>
                <w:sz w:val="22"/>
              </w:rPr>
              <w:t>Classe</w:t>
            </w:r>
          </w:p>
        </w:tc>
        <w:tc>
          <w:tcPr>
            <w:tcW w:w="1968" w:type="dxa"/>
          </w:tcPr>
          <w:p w:rsidR="00000000" w:rsidRDefault="00000000">
            <w:pPr>
              <w:jc w:val="center"/>
              <w:rPr>
                <w:sz w:val="22"/>
              </w:rPr>
            </w:pPr>
            <w:r>
              <w:rPr>
                <w:sz w:val="22"/>
              </w:rPr>
              <w:t>6</w:t>
            </w:r>
            <w:r>
              <w:rPr>
                <w:sz w:val="22"/>
                <w:vertAlign w:val="superscript"/>
              </w:rPr>
              <w:t>ème</w:t>
            </w:r>
          </w:p>
        </w:tc>
        <w:tc>
          <w:tcPr>
            <w:tcW w:w="1969" w:type="dxa"/>
          </w:tcPr>
          <w:p w:rsidR="00000000" w:rsidRDefault="00000000">
            <w:pPr>
              <w:jc w:val="center"/>
              <w:rPr>
                <w:sz w:val="22"/>
              </w:rPr>
            </w:pPr>
            <w:r>
              <w:rPr>
                <w:sz w:val="22"/>
              </w:rPr>
              <w:t>5</w:t>
            </w:r>
            <w:r>
              <w:rPr>
                <w:sz w:val="22"/>
                <w:vertAlign w:val="superscript"/>
              </w:rPr>
              <w:t>ème</w:t>
            </w:r>
          </w:p>
        </w:tc>
        <w:tc>
          <w:tcPr>
            <w:tcW w:w="1969" w:type="dxa"/>
          </w:tcPr>
          <w:p w:rsidR="00000000" w:rsidRDefault="00000000">
            <w:pPr>
              <w:jc w:val="center"/>
              <w:rPr>
                <w:sz w:val="22"/>
              </w:rPr>
            </w:pPr>
            <w:r>
              <w:rPr>
                <w:sz w:val="22"/>
              </w:rPr>
              <w:t>4</w:t>
            </w:r>
            <w:r>
              <w:rPr>
                <w:sz w:val="22"/>
                <w:vertAlign w:val="superscript"/>
              </w:rPr>
              <w:t>ème</w:t>
            </w:r>
          </w:p>
        </w:tc>
        <w:tc>
          <w:tcPr>
            <w:tcW w:w="1969" w:type="dxa"/>
          </w:tcPr>
          <w:p w:rsidR="00000000" w:rsidRDefault="00000000">
            <w:pPr>
              <w:jc w:val="center"/>
              <w:rPr>
                <w:sz w:val="22"/>
              </w:rPr>
            </w:pPr>
            <w:r>
              <w:rPr>
                <w:sz w:val="22"/>
              </w:rPr>
              <w:t>3</w:t>
            </w:r>
            <w:r>
              <w:rPr>
                <w:sz w:val="22"/>
                <w:vertAlign w:val="superscript"/>
              </w:rPr>
              <w:t>ème</w:t>
            </w:r>
          </w:p>
        </w:tc>
      </w:tr>
      <w:tr w:rsidR="00000000">
        <w:tblPrEx>
          <w:tblCellMar>
            <w:top w:w="0" w:type="dxa"/>
            <w:bottom w:w="0" w:type="dxa"/>
          </w:tblCellMar>
        </w:tblPrEx>
        <w:tc>
          <w:tcPr>
            <w:tcW w:w="1962" w:type="dxa"/>
          </w:tcPr>
          <w:p w:rsidR="00000000" w:rsidRDefault="00000000">
            <w:pPr>
              <w:jc w:val="both"/>
              <w:rPr>
                <w:sz w:val="22"/>
              </w:rPr>
            </w:pPr>
            <w:r>
              <w:rPr>
                <w:sz w:val="22"/>
              </w:rPr>
              <w:t>Pourcentage</w:t>
            </w:r>
          </w:p>
        </w:tc>
        <w:tc>
          <w:tcPr>
            <w:tcW w:w="1968" w:type="dxa"/>
          </w:tcPr>
          <w:p w:rsidR="00000000" w:rsidRDefault="00000000">
            <w:pPr>
              <w:jc w:val="center"/>
              <w:rPr>
                <w:sz w:val="22"/>
              </w:rPr>
            </w:pPr>
            <w:r>
              <w:rPr>
                <w:sz w:val="22"/>
              </w:rPr>
              <w:t>39%</w:t>
            </w:r>
          </w:p>
        </w:tc>
        <w:tc>
          <w:tcPr>
            <w:tcW w:w="1969" w:type="dxa"/>
          </w:tcPr>
          <w:p w:rsidR="00000000" w:rsidRDefault="00000000">
            <w:pPr>
              <w:jc w:val="center"/>
              <w:rPr>
                <w:sz w:val="22"/>
              </w:rPr>
            </w:pPr>
            <w:r>
              <w:rPr>
                <w:sz w:val="22"/>
              </w:rPr>
              <w:t>35%</w:t>
            </w:r>
          </w:p>
        </w:tc>
        <w:tc>
          <w:tcPr>
            <w:tcW w:w="1969" w:type="dxa"/>
          </w:tcPr>
          <w:p w:rsidR="00000000" w:rsidRDefault="00000000">
            <w:pPr>
              <w:jc w:val="center"/>
              <w:rPr>
                <w:sz w:val="22"/>
              </w:rPr>
            </w:pPr>
            <w:r>
              <w:rPr>
                <w:sz w:val="22"/>
              </w:rPr>
              <w:t>34%</w:t>
            </w:r>
          </w:p>
        </w:tc>
        <w:tc>
          <w:tcPr>
            <w:tcW w:w="1969" w:type="dxa"/>
          </w:tcPr>
          <w:p w:rsidR="00000000" w:rsidRDefault="00000000">
            <w:pPr>
              <w:jc w:val="center"/>
              <w:rPr>
                <w:sz w:val="22"/>
              </w:rPr>
            </w:pPr>
            <w:r>
              <w:rPr>
                <w:sz w:val="22"/>
              </w:rPr>
              <w:t>30%</w:t>
            </w:r>
          </w:p>
        </w:tc>
      </w:tr>
    </w:tbl>
    <w:p w:rsidR="00000000" w:rsidRDefault="00000000">
      <w:pPr>
        <w:jc w:val="both"/>
        <w:rPr>
          <w:sz w:val="22"/>
        </w:rPr>
      </w:pPr>
    </w:p>
    <w:p w:rsidR="00000000" w:rsidRDefault="00000000">
      <w:pPr>
        <w:ind w:left="851" w:hanging="851"/>
        <w:jc w:val="both"/>
        <w:rPr>
          <w:i/>
          <w:sz w:val="22"/>
        </w:rPr>
      </w:pPr>
      <w:r>
        <w:rPr>
          <w:i/>
          <w:sz w:val="22"/>
          <w:u w:val="single"/>
        </w:rPr>
        <w:t>Source</w:t>
      </w:r>
      <w:r>
        <w:rPr>
          <w:i/>
          <w:sz w:val="22"/>
        </w:rPr>
        <w:t xml:space="preserve"> : Direction de la planification et des études, ministère de l’enseignement primaire, secondaire et supérieur, chargé de la recherche scientifique, 1998.</w:t>
      </w:r>
    </w:p>
    <w:p w:rsidR="00000000" w:rsidRDefault="00000000">
      <w:pPr>
        <w:jc w:val="both"/>
        <w:rPr>
          <w:sz w:val="22"/>
        </w:rPr>
      </w:pPr>
    </w:p>
    <w:p w:rsidR="00000000" w:rsidRDefault="00000000">
      <w:pPr>
        <w:pStyle w:val="BodyText"/>
        <w:rPr>
          <w:sz w:val="22"/>
        </w:rPr>
      </w:pPr>
      <w:r>
        <w:rPr>
          <w:sz w:val="22"/>
        </w:rPr>
        <w:t xml:space="preserve">C’est à ce niveau scolaire qu’on note un nombre croissant d’abandons. Les filles abandonnent à cause des faits cités ci-dessus et les garçons vont à la recherche des emplois. </w:t>
      </w:r>
    </w:p>
    <w:p w:rsidR="00000000" w:rsidRDefault="00000000">
      <w:pPr>
        <w:jc w:val="both"/>
        <w:rPr>
          <w:sz w:val="22"/>
        </w:rPr>
      </w:pPr>
    </w:p>
    <w:p w:rsidR="00000000" w:rsidRDefault="00000000">
      <w:pPr>
        <w:jc w:val="both"/>
        <w:rPr>
          <w:sz w:val="22"/>
        </w:rPr>
      </w:pPr>
      <w:r>
        <w:rPr>
          <w:sz w:val="22"/>
        </w:rPr>
        <w:t xml:space="preserve">L’enseignement technique et professionnel, plus théorique que pratique et néanmoins peu développé, permet aux diplômés de trouver facilement du travail et des débouchés que ceux de l’enseignement général. C’est en cela que depuis les années 1998, les effectifs du centre de métier agricole (CMA), au collège d’enseignement technique agricole (CETA) sont en augmentation. Mais certains élèves préfèrent s’inscrire dans l’enseignement général. </w:t>
      </w:r>
    </w:p>
    <w:p w:rsidR="00000000" w:rsidRDefault="00000000">
      <w:pPr>
        <w:jc w:val="both"/>
        <w:rPr>
          <w:sz w:val="22"/>
        </w:rPr>
      </w:pPr>
    </w:p>
    <w:p w:rsidR="00000000" w:rsidRDefault="00000000">
      <w:pPr>
        <w:jc w:val="both"/>
        <w:rPr>
          <w:sz w:val="22"/>
        </w:rPr>
      </w:pPr>
      <w:r>
        <w:rPr>
          <w:sz w:val="22"/>
        </w:rPr>
        <w:t>Le personnel enseignant féminin dans les collèges d’enseignement général (CEG) est faible ce, contrairement au cycle primaire. C’est ainsi qu’en 1997, on comptait 444 enseignantes du secondaire contre 2 245 enseignantes au niveau primaire. En 1998, les effectifs ont baissé, ils sont de 386 au collège, contre 2 487 au primaire. Alors que dans les lycées, les effectifs étaient en 1997, de 202 et, en 1998, le nombre est passé à 215 enseignantes. Dans l’enseignement technique et professionnel, le nombre total d’enseignants est de 442, dont 59 femmes pour le lycée technique de Brazzaville en 1997 et, 218, dont 41 femmes dans les écoles professionnelles. Les centres de formation et les centres de métiers (agricole, industriel, forestier et d’arts ménagers) n’ont pas les mêmes avantages que les autres écoles. Il se pose beaucoup de problèmes de formation et d’encadrement. Les femmes sont sous représentées.</w:t>
      </w:r>
    </w:p>
    <w:p w:rsidR="00000000" w:rsidRDefault="00000000">
      <w:pPr>
        <w:jc w:val="both"/>
        <w:rPr>
          <w:sz w:val="22"/>
        </w:rPr>
      </w:pPr>
    </w:p>
    <w:p w:rsidR="00000000" w:rsidRDefault="00000000">
      <w:pPr>
        <w:jc w:val="both"/>
        <w:rPr>
          <w:b/>
          <w:sz w:val="22"/>
        </w:rPr>
      </w:pPr>
      <w:r>
        <w:rPr>
          <w:b/>
          <w:sz w:val="22"/>
          <w:u w:val="single"/>
        </w:rPr>
        <w:br w:type="page"/>
        <w:t>Tableau n° 39</w:t>
      </w:r>
      <w:r>
        <w:rPr>
          <w:b/>
          <w:sz w:val="22"/>
        </w:rPr>
        <w:t xml:space="preserve"> : Ratios dans l’enseignement technique et professionnel </w:t>
      </w:r>
    </w:p>
    <w:p w:rsidR="00000000" w:rsidRDefault="00000000">
      <w:pPr>
        <w:jc w:val="both"/>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21"/>
        <w:gridCol w:w="1849"/>
        <w:gridCol w:w="1850"/>
        <w:gridCol w:w="1849"/>
        <w:gridCol w:w="1850"/>
      </w:tblGrid>
      <w:tr w:rsidR="00000000">
        <w:tblPrEx>
          <w:tblCellMar>
            <w:top w:w="0" w:type="dxa"/>
            <w:bottom w:w="0" w:type="dxa"/>
          </w:tblCellMar>
        </w:tblPrEx>
        <w:tc>
          <w:tcPr>
            <w:tcW w:w="2421" w:type="dxa"/>
          </w:tcPr>
          <w:p w:rsidR="00000000" w:rsidRDefault="00000000">
            <w:pPr>
              <w:jc w:val="center"/>
              <w:rPr>
                <w:sz w:val="22"/>
              </w:rPr>
            </w:pPr>
            <w:r>
              <w:rPr>
                <w:sz w:val="22"/>
              </w:rPr>
              <w:t>Ratio</w:t>
            </w:r>
          </w:p>
        </w:tc>
        <w:tc>
          <w:tcPr>
            <w:tcW w:w="1849" w:type="dxa"/>
          </w:tcPr>
          <w:p w:rsidR="00000000" w:rsidRDefault="00000000">
            <w:pPr>
              <w:jc w:val="center"/>
              <w:rPr>
                <w:sz w:val="22"/>
              </w:rPr>
            </w:pPr>
            <w:r>
              <w:rPr>
                <w:sz w:val="22"/>
              </w:rPr>
              <w:t>Centres de métiers</w:t>
            </w:r>
          </w:p>
        </w:tc>
        <w:tc>
          <w:tcPr>
            <w:tcW w:w="1850" w:type="dxa"/>
          </w:tcPr>
          <w:p w:rsidR="00000000" w:rsidRDefault="00000000">
            <w:pPr>
              <w:jc w:val="center"/>
              <w:rPr>
                <w:sz w:val="22"/>
              </w:rPr>
            </w:pPr>
            <w:r>
              <w:rPr>
                <w:sz w:val="22"/>
              </w:rPr>
              <w:t>Collèges d’enseignement technique</w:t>
            </w:r>
          </w:p>
        </w:tc>
        <w:tc>
          <w:tcPr>
            <w:tcW w:w="1849" w:type="dxa"/>
          </w:tcPr>
          <w:p w:rsidR="00000000" w:rsidRDefault="00000000">
            <w:pPr>
              <w:jc w:val="center"/>
              <w:rPr>
                <w:sz w:val="22"/>
              </w:rPr>
            </w:pPr>
            <w:r>
              <w:rPr>
                <w:sz w:val="22"/>
              </w:rPr>
              <w:t>Lycées techniques</w:t>
            </w:r>
          </w:p>
        </w:tc>
        <w:tc>
          <w:tcPr>
            <w:tcW w:w="1850" w:type="dxa"/>
          </w:tcPr>
          <w:p w:rsidR="00000000" w:rsidRDefault="00000000">
            <w:pPr>
              <w:jc w:val="center"/>
              <w:rPr>
                <w:sz w:val="22"/>
              </w:rPr>
            </w:pPr>
            <w:r>
              <w:rPr>
                <w:sz w:val="22"/>
              </w:rPr>
              <w:t>Ecoles professionnelles</w:t>
            </w:r>
          </w:p>
        </w:tc>
      </w:tr>
      <w:tr w:rsidR="00000000">
        <w:tblPrEx>
          <w:tblCellMar>
            <w:top w:w="0" w:type="dxa"/>
            <w:bottom w:w="0" w:type="dxa"/>
          </w:tblCellMar>
        </w:tblPrEx>
        <w:tc>
          <w:tcPr>
            <w:tcW w:w="2421" w:type="dxa"/>
          </w:tcPr>
          <w:p w:rsidR="00000000" w:rsidRDefault="00000000">
            <w:pPr>
              <w:pStyle w:val="Heading3"/>
              <w:rPr>
                <w:b w:val="0"/>
                <w:sz w:val="22"/>
              </w:rPr>
            </w:pPr>
            <w:r>
              <w:rPr>
                <w:b w:val="0"/>
                <w:sz w:val="22"/>
              </w:rPr>
              <w:t>Elèves / salles</w:t>
            </w:r>
          </w:p>
        </w:tc>
        <w:tc>
          <w:tcPr>
            <w:tcW w:w="1849" w:type="dxa"/>
          </w:tcPr>
          <w:p w:rsidR="00000000" w:rsidRDefault="00000000">
            <w:pPr>
              <w:jc w:val="center"/>
              <w:rPr>
                <w:sz w:val="22"/>
              </w:rPr>
            </w:pPr>
            <w:r>
              <w:rPr>
                <w:sz w:val="22"/>
              </w:rPr>
              <w:t>38</w:t>
            </w:r>
          </w:p>
        </w:tc>
        <w:tc>
          <w:tcPr>
            <w:tcW w:w="1850" w:type="dxa"/>
          </w:tcPr>
          <w:p w:rsidR="00000000" w:rsidRDefault="00000000">
            <w:pPr>
              <w:jc w:val="center"/>
              <w:rPr>
                <w:sz w:val="22"/>
              </w:rPr>
            </w:pPr>
            <w:r>
              <w:rPr>
                <w:sz w:val="22"/>
              </w:rPr>
              <w:t>64</w:t>
            </w:r>
          </w:p>
        </w:tc>
        <w:tc>
          <w:tcPr>
            <w:tcW w:w="1849" w:type="dxa"/>
          </w:tcPr>
          <w:p w:rsidR="00000000" w:rsidRDefault="00000000">
            <w:pPr>
              <w:jc w:val="center"/>
              <w:rPr>
                <w:sz w:val="22"/>
              </w:rPr>
            </w:pPr>
            <w:r>
              <w:rPr>
                <w:sz w:val="22"/>
              </w:rPr>
              <w:t>62</w:t>
            </w:r>
          </w:p>
        </w:tc>
        <w:tc>
          <w:tcPr>
            <w:tcW w:w="1850" w:type="dxa"/>
          </w:tcPr>
          <w:p w:rsidR="00000000" w:rsidRDefault="00000000">
            <w:pPr>
              <w:jc w:val="center"/>
              <w:rPr>
                <w:sz w:val="22"/>
              </w:rPr>
            </w:pPr>
            <w:r>
              <w:rPr>
                <w:sz w:val="22"/>
              </w:rPr>
              <w:t>15</w:t>
            </w:r>
          </w:p>
        </w:tc>
      </w:tr>
      <w:tr w:rsidR="00000000">
        <w:tblPrEx>
          <w:tblCellMar>
            <w:top w:w="0" w:type="dxa"/>
            <w:bottom w:w="0" w:type="dxa"/>
          </w:tblCellMar>
        </w:tblPrEx>
        <w:tc>
          <w:tcPr>
            <w:tcW w:w="2421" w:type="dxa"/>
          </w:tcPr>
          <w:p w:rsidR="00000000" w:rsidRDefault="00000000">
            <w:pPr>
              <w:jc w:val="both"/>
              <w:rPr>
                <w:sz w:val="22"/>
              </w:rPr>
            </w:pPr>
            <w:r>
              <w:rPr>
                <w:sz w:val="22"/>
              </w:rPr>
              <w:t>Elèves / tables bancs</w:t>
            </w:r>
          </w:p>
        </w:tc>
        <w:tc>
          <w:tcPr>
            <w:tcW w:w="1849" w:type="dxa"/>
          </w:tcPr>
          <w:p w:rsidR="00000000" w:rsidRDefault="00000000">
            <w:pPr>
              <w:jc w:val="center"/>
              <w:rPr>
                <w:sz w:val="22"/>
              </w:rPr>
            </w:pPr>
            <w:r>
              <w:rPr>
                <w:sz w:val="22"/>
              </w:rPr>
              <w:t>2</w:t>
            </w:r>
          </w:p>
        </w:tc>
        <w:tc>
          <w:tcPr>
            <w:tcW w:w="1850" w:type="dxa"/>
          </w:tcPr>
          <w:p w:rsidR="00000000" w:rsidRDefault="00000000">
            <w:pPr>
              <w:jc w:val="center"/>
              <w:rPr>
                <w:sz w:val="22"/>
              </w:rPr>
            </w:pPr>
            <w:r>
              <w:rPr>
                <w:sz w:val="22"/>
              </w:rPr>
              <w:t>3</w:t>
            </w:r>
          </w:p>
        </w:tc>
        <w:tc>
          <w:tcPr>
            <w:tcW w:w="1849" w:type="dxa"/>
          </w:tcPr>
          <w:p w:rsidR="00000000" w:rsidRDefault="00000000">
            <w:pPr>
              <w:jc w:val="center"/>
              <w:rPr>
                <w:sz w:val="22"/>
              </w:rPr>
            </w:pPr>
            <w:r>
              <w:rPr>
                <w:sz w:val="22"/>
              </w:rPr>
              <w:t>3</w:t>
            </w:r>
          </w:p>
        </w:tc>
        <w:tc>
          <w:tcPr>
            <w:tcW w:w="1850" w:type="dxa"/>
          </w:tcPr>
          <w:p w:rsidR="00000000" w:rsidRDefault="00000000">
            <w:pPr>
              <w:jc w:val="center"/>
              <w:rPr>
                <w:sz w:val="22"/>
              </w:rPr>
            </w:pPr>
            <w:r>
              <w:rPr>
                <w:sz w:val="22"/>
              </w:rPr>
              <w:t>1</w:t>
            </w:r>
          </w:p>
        </w:tc>
      </w:tr>
      <w:tr w:rsidR="00000000">
        <w:tblPrEx>
          <w:tblCellMar>
            <w:top w:w="0" w:type="dxa"/>
            <w:bottom w:w="0" w:type="dxa"/>
          </w:tblCellMar>
        </w:tblPrEx>
        <w:tc>
          <w:tcPr>
            <w:tcW w:w="2421" w:type="dxa"/>
          </w:tcPr>
          <w:p w:rsidR="00000000" w:rsidRDefault="00000000">
            <w:pPr>
              <w:jc w:val="both"/>
              <w:rPr>
                <w:sz w:val="22"/>
              </w:rPr>
            </w:pPr>
            <w:r>
              <w:rPr>
                <w:sz w:val="22"/>
              </w:rPr>
              <w:t>Elèves / tables dessin</w:t>
            </w:r>
          </w:p>
        </w:tc>
        <w:tc>
          <w:tcPr>
            <w:tcW w:w="1849" w:type="dxa"/>
          </w:tcPr>
          <w:p w:rsidR="00000000" w:rsidRDefault="00000000">
            <w:pPr>
              <w:jc w:val="center"/>
              <w:rPr>
                <w:sz w:val="22"/>
              </w:rPr>
            </w:pPr>
            <w:r>
              <w:rPr>
                <w:sz w:val="22"/>
              </w:rPr>
              <w:t>-</w:t>
            </w:r>
          </w:p>
        </w:tc>
        <w:tc>
          <w:tcPr>
            <w:tcW w:w="1850" w:type="dxa"/>
          </w:tcPr>
          <w:p w:rsidR="00000000" w:rsidRDefault="00000000">
            <w:pPr>
              <w:jc w:val="center"/>
              <w:rPr>
                <w:sz w:val="22"/>
              </w:rPr>
            </w:pPr>
            <w:r>
              <w:rPr>
                <w:sz w:val="22"/>
              </w:rPr>
              <w:t>23</w:t>
            </w:r>
          </w:p>
        </w:tc>
        <w:tc>
          <w:tcPr>
            <w:tcW w:w="1849" w:type="dxa"/>
          </w:tcPr>
          <w:p w:rsidR="00000000" w:rsidRDefault="00000000">
            <w:pPr>
              <w:jc w:val="center"/>
              <w:rPr>
                <w:sz w:val="22"/>
              </w:rPr>
            </w:pPr>
            <w:r>
              <w:rPr>
                <w:sz w:val="22"/>
              </w:rPr>
              <w:t>34</w:t>
            </w:r>
          </w:p>
        </w:tc>
        <w:tc>
          <w:tcPr>
            <w:tcW w:w="1850" w:type="dxa"/>
          </w:tcPr>
          <w:p w:rsidR="00000000" w:rsidRDefault="00000000">
            <w:pPr>
              <w:jc w:val="center"/>
              <w:rPr>
                <w:sz w:val="22"/>
              </w:rPr>
            </w:pPr>
            <w:r>
              <w:rPr>
                <w:sz w:val="22"/>
              </w:rPr>
              <w:t>-</w:t>
            </w:r>
          </w:p>
        </w:tc>
      </w:tr>
      <w:tr w:rsidR="00000000">
        <w:tblPrEx>
          <w:tblCellMar>
            <w:top w:w="0" w:type="dxa"/>
            <w:bottom w:w="0" w:type="dxa"/>
          </w:tblCellMar>
        </w:tblPrEx>
        <w:tc>
          <w:tcPr>
            <w:tcW w:w="2421" w:type="dxa"/>
          </w:tcPr>
          <w:p w:rsidR="00000000" w:rsidRDefault="00000000">
            <w:pPr>
              <w:jc w:val="both"/>
              <w:rPr>
                <w:sz w:val="22"/>
              </w:rPr>
            </w:pPr>
            <w:r>
              <w:rPr>
                <w:sz w:val="22"/>
              </w:rPr>
              <w:t>Elèves / tabourets</w:t>
            </w:r>
          </w:p>
        </w:tc>
        <w:tc>
          <w:tcPr>
            <w:tcW w:w="1849" w:type="dxa"/>
          </w:tcPr>
          <w:p w:rsidR="00000000" w:rsidRDefault="00000000">
            <w:pPr>
              <w:jc w:val="center"/>
              <w:rPr>
                <w:sz w:val="22"/>
              </w:rPr>
            </w:pPr>
            <w:r>
              <w:rPr>
                <w:sz w:val="22"/>
              </w:rPr>
              <w:t>11</w:t>
            </w:r>
          </w:p>
        </w:tc>
        <w:tc>
          <w:tcPr>
            <w:tcW w:w="1850" w:type="dxa"/>
          </w:tcPr>
          <w:p w:rsidR="00000000" w:rsidRDefault="00000000">
            <w:pPr>
              <w:jc w:val="center"/>
              <w:rPr>
                <w:sz w:val="22"/>
              </w:rPr>
            </w:pPr>
            <w:r>
              <w:rPr>
                <w:sz w:val="22"/>
              </w:rPr>
              <w:t>18</w:t>
            </w:r>
          </w:p>
        </w:tc>
        <w:tc>
          <w:tcPr>
            <w:tcW w:w="1849" w:type="dxa"/>
          </w:tcPr>
          <w:p w:rsidR="00000000" w:rsidRDefault="00000000">
            <w:pPr>
              <w:jc w:val="center"/>
              <w:rPr>
                <w:sz w:val="22"/>
              </w:rPr>
            </w:pPr>
            <w:r>
              <w:rPr>
                <w:sz w:val="22"/>
              </w:rPr>
              <w:t>43</w:t>
            </w:r>
          </w:p>
        </w:tc>
        <w:tc>
          <w:tcPr>
            <w:tcW w:w="1850" w:type="dxa"/>
          </w:tcPr>
          <w:p w:rsidR="00000000" w:rsidRDefault="00000000">
            <w:pPr>
              <w:jc w:val="center"/>
              <w:rPr>
                <w:sz w:val="22"/>
              </w:rPr>
            </w:pPr>
            <w:r>
              <w:rPr>
                <w:sz w:val="22"/>
              </w:rPr>
              <w:t>514</w:t>
            </w:r>
          </w:p>
        </w:tc>
      </w:tr>
      <w:tr w:rsidR="00000000">
        <w:tblPrEx>
          <w:tblCellMar>
            <w:top w:w="0" w:type="dxa"/>
            <w:bottom w:w="0" w:type="dxa"/>
          </w:tblCellMar>
        </w:tblPrEx>
        <w:tc>
          <w:tcPr>
            <w:tcW w:w="2421" w:type="dxa"/>
          </w:tcPr>
          <w:p w:rsidR="00000000" w:rsidRDefault="00000000">
            <w:pPr>
              <w:jc w:val="both"/>
              <w:rPr>
                <w:sz w:val="22"/>
              </w:rPr>
            </w:pPr>
            <w:r>
              <w:rPr>
                <w:sz w:val="22"/>
              </w:rPr>
              <w:t>Elèves /établis</w:t>
            </w:r>
          </w:p>
        </w:tc>
        <w:tc>
          <w:tcPr>
            <w:tcW w:w="1849" w:type="dxa"/>
          </w:tcPr>
          <w:p w:rsidR="00000000" w:rsidRDefault="00000000">
            <w:pPr>
              <w:jc w:val="center"/>
              <w:rPr>
                <w:sz w:val="22"/>
              </w:rPr>
            </w:pPr>
            <w:r>
              <w:rPr>
                <w:sz w:val="22"/>
              </w:rPr>
              <w:t>14</w:t>
            </w:r>
          </w:p>
        </w:tc>
        <w:tc>
          <w:tcPr>
            <w:tcW w:w="1850" w:type="dxa"/>
          </w:tcPr>
          <w:p w:rsidR="00000000" w:rsidRDefault="00000000">
            <w:pPr>
              <w:jc w:val="center"/>
              <w:rPr>
                <w:sz w:val="22"/>
              </w:rPr>
            </w:pPr>
            <w:r>
              <w:rPr>
                <w:sz w:val="22"/>
              </w:rPr>
              <w:t>24</w:t>
            </w:r>
          </w:p>
        </w:tc>
        <w:tc>
          <w:tcPr>
            <w:tcW w:w="1849" w:type="dxa"/>
          </w:tcPr>
          <w:p w:rsidR="00000000" w:rsidRDefault="00000000">
            <w:pPr>
              <w:jc w:val="center"/>
              <w:rPr>
                <w:sz w:val="22"/>
              </w:rPr>
            </w:pPr>
            <w:r>
              <w:rPr>
                <w:sz w:val="22"/>
              </w:rPr>
              <w:t>253</w:t>
            </w:r>
          </w:p>
        </w:tc>
        <w:tc>
          <w:tcPr>
            <w:tcW w:w="1850" w:type="dxa"/>
          </w:tcPr>
          <w:p w:rsidR="00000000" w:rsidRDefault="00000000">
            <w:pPr>
              <w:jc w:val="center"/>
              <w:rPr>
                <w:sz w:val="22"/>
              </w:rPr>
            </w:pPr>
            <w:r>
              <w:rPr>
                <w:sz w:val="22"/>
              </w:rPr>
              <w:t>-</w:t>
            </w:r>
          </w:p>
        </w:tc>
      </w:tr>
    </w:tbl>
    <w:p w:rsidR="00000000" w:rsidRDefault="00000000">
      <w:pPr>
        <w:spacing w:line="120" w:lineRule="exact"/>
        <w:jc w:val="both"/>
        <w:rPr>
          <w:i/>
          <w:sz w:val="10"/>
          <w:u w:val="single"/>
        </w:rPr>
      </w:pPr>
    </w:p>
    <w:p w:rsidR="00000000" w:rsidRDefault="00000000">
      <w:pPr>
        <w:jc w:val="both"/>
        <w:rPr>
          <w:i/>
          <w:sz w:val="22"/>
        </w:rPr>
      </w:pPr>
      <w:r>
        <w:rPr>
          <w:i/>
          <w:sz w:val="22"/>
          <w:u w:val="single"/>
        </w:rPr>
        <w:t>Source</w:t>
      </w:r>
      <w:r>
        <w:rPr>
          <w:i/>
          <w:sz w:val="22"/>
        </w:rPr>
        <w:t xml:space="preserve"> : Service enquête UNESCO au ministère de l’enseignement technique et professionnel, 1998.</w:t>
      </w:r>
    </w:p>
    <w:p w:rsidR="00000000" w:rsidRDefault="00000000">
      <w:pPr>
        <w:jc w:val="both"/>
        <w:rPr>
          <w:i/>
          <w:sz w:val="22"/>
        </w:rPr>
      </w:pPr>
    </w:p>
    <w:p w:rsidR="00000000" w:rsidRDefault="00000000">
      <w:pPr>
        <w:jc w:val="both"/>
        <w:rPr>
          <w:i/>
          <w:sz w:val="22"/>
        </w:rPr>
      </w:pPr>
    </w:p>
    <w:p w:rsidR="00000000" w:rsidRDefault="00000000">
      <w:pPr>
        <w:pStyle w:val="Heading3"/>
        <w:rPr>
          <w:sz w:val="22"/>
        </w:rPr>
      </w:pPr>
      <w:r>
        <w:rPr>
          <w:sz w:val="22"/>
          <w:u w:val="single"/>
        </w:rPr>
        <w:t>Tableau n° 40</w:t>
      </w:r>
      <w:r>
        <w:rPr>
          <w:sz w:val="22"/>
        </w:rPr>
        <w:t> : Ratios dans l’enseignement technique et professionnel, 1997 – 1998</w:t>
      </w:r>
    </w:p>
    <w:p w:rsidR="00000000" w:rsidRDefault="00000000">
      <w:pPr>
        <w:jc w:val="both"/>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21"/>
        <w:gridCol w:w="1849"/>
        <w:gridCol w:w="1850"/>
        <w:gridCol w:w="1849"/>
        <w:gridCol w:w="1850"/>
      </w:tblGrid>
      <w:tr w:rsidR="00000000">
        <w:tblPrEx>
          <w:tblCellMar>
            <w:top w:w="0" w:type="dxa"/>
            <w:bottom w:w="0" w:type="dxa"/>
          </w:tblCellMar>
        </w:tblPrEx>
        <w:tc>
          <w:tcPr>
            <w:tcW w:w="2421" w:type="dxa"/>
          </w:tcPr>
          <w:p w:rsidR="00000000" w:rsidRDefault="00000000">
            <w:pPr>
              <w:jc w:val="center"/>
              <w:rPr>
                <w:sz w:val="22"/>
              </w:rPr>
            </w:pPr>
            <w:r>
              <w:rPr>
                <w:sz w:val="22"/>
              </w:rPr>
              <w:t>Ratio</w:t>
            </w:r>
          </w:p>
        </w:tc>
        <w:tc>
          <w:tcPr>
            <w:tcW w:w="1849" w:type="dxa"/>
          </w:tcPr>
          <w:p w:rsidR="00000000" w:rsidRDefault="00000000">
            <w:pPr>
              <w:jc w:val="center"/>
              <w:rPr>
                <w:sz w:val="22"/>
              </w:rPr>
            </w:pPr>
            <w:r>
              <w:rPr>
                <w:sz w:val="22"/>
              </w:rPr>
              <w:t xml:space="preserve">Centres de Métiers </w:t>
            </w:r>
          </w:p>
        </w:tc>
        <w:tc>
          <w:tcPr>
            <w:tcW w:w="1850" w:type="dxa"/>
          </w:tcPr>
          <w:p w:rsidR="00000000" w:rsidRDefault="00000000">
            <w:pPr>
              <w:jc w:val="center"/>
              <w:rPr>
                <w:sz w:val="22"/>
              </w:rPr>
            </w:pPr>
            <w:r>
              <w:rPr>
                <w:sz w:val="22"/>
              </w:rPr>
              <w:t>Collèges d’enseignement technique</w:t>
            </w:r>
          </w:p>
        </w:tc>
        <w:tc>
          <w:tcPr>
            <w:tcW w:w="1849" w:type="dxa"/>
          </w:tcPr>
          <w:p w:rsidR="00000000" w:rsidRDefault="00000000">
            <w:pPr>
              <w:jc w:val="center"/>
              <w:rPr>
                <w:sz w:val="22"/>
              </w:rPr>
            </w:pPr>
            <w:r>
              <w:rPr>
                <w:sz w:val="22"/>
              </w:rPr>
              <w:t>Lycées techniques</w:t>
            </w:r>
          </w:p>
        </w:tc>
        <w:tc>
          <w:tcPr>
            <w:tcW w:w="1850" w:type="dxa"/>
          </w:tcPr>
          <w:p w:rsidR="00000000" w:rsidRDefault="00000000">
            <w:pPr>
              <w:jc w:val="center"/>
              <w:rPr>
                <w:sz w:val="22"/>
              </w:rPr>
            </w:pPr>
            <w:r>
              <w:rPr>
                <w:sz w:val="22"/>
              </w:rPr>
              <w:t>Ecoles professionnelles</w:t>
            </w:r>
          </w:p>
        </w:tc>
      </w:tr>
      <w:tr w:rsidR="00000000">
        <w:tblPrEx>
          <w:tblCellMar>
            <w:top w:w="0" w:type="dxa"/>
            <w:bottom w:w="0" w:type="dxa"/>
          </w:tblCellMar>
        </w:tblPrEx>
        <w:tc>
          <w:tcPr>
            <w:tcW w:w="2421" w:type="dxa"/>
          </w:tcPr>
          <w:p w:rsidR="00000000" w:rsidRDefault="00000000">
            <w:pPr>
              <w:pStyle w:val="Heading3"/>
              <w:rPr>
                <w:b w:val="0"/>
                <w:sz w:val="22"/>
              </w:rPr>
            </w:pPr>
            <w:r>
              <w:rPr>
                <w:b w:val="0"/>
                <w:sz w:val="22"/>
              </w:rPr>
              <w:t>Elèves / salles</w:t>
            </w:r>
          </w:p>
        </w:tc>
        <w:tc>
          <w:tcPr>
            <w:tcW w:w="1849" w:type="dxa"/>
          </w:tcPr>
          <w:p w:rsidR="00000000" w:rsidRDefault="00000000">
            <w:pPr>
              <w:ind w:right="284"/>
              <w:jc w:val="right"/>
              <w:rPr>
                <w:sz w:val="22"/>
              </w:rPr>
            </w:pPr>
            <w:r>
              <w:rPr>
                <w:sz w:val="22"/>
              </w:rPr>
              <w:t>23</w:t>
            </w:r>
          </w:p>
        </w:tc>
        <w:tc>
          <w:tcPr>
            <w:tcW w:w="1850" w:type="dxa"/>
          </w:tcPr>
          <w:p w:rsidR="00000000" w:rsidRDefault="00000000">
            <w:pPr>
              <w:ind w:right="284"/>
              <w:jc w:val="right"/>
              <w:rPr>
                <w:sz w:val="22"/>
              </w:rPr>
            </w:pPr>
            <w:r>
              <w:rPr>
                <w:sz w:val="22"/>
              </w:rPr>
              <w:t>71</w:t>
            </w:r>
          </w:p>
        </w:tc>
        <w:tc>
          <w:tcPr>
            <w:tcW w:w="1849" w:type="dxa"/>
          </w:tcPr>
          <w:p w:rsidR="00000000" w:rsidRDefault="00000000">
            <w:pPr>
              <w:ind w:right="284"/>
              <w:jc w:val="right"/>
              <w:rPr>
                <w:sz w:val="22"/>
              </w:rPr>
            </w:pPr>
            <w:r>
              <w:rPr>
                <w:sz w:val="22"/>
              </w:rPr>
              <w:t>74</w:t>
            </w:r>
          </w:p>
        </w:tc>
        <w:tc>
          <w:tcPr>
            <w:tcW w:w="1850" w:type="dxa"/>
          </w:tcPr>
          <w:p w:rsidR="00000000" w:rsidRDefault="00000000">
            <w:pPr>
              <w:ind w:right="284"/>
              <w:jc w:val="right"/>
              <w:rPr>
                <w:sz w:val="22"/>
              </w:rPr>
            </w:pPr>
            <w:r>
              <w:rPr>
                <w:sz w:val="22"/>
              </w:rPr>
              <w:t>27</w:t>
            </w:r>
          </w:p>
        </w:tc>
      </w:tr>
      <w:tr w:rsidR="00000000">
        <w:tblPrEx>
          <w:tblCellMar>
            <w:top w:w="0" w:type="dxa"/>
            <w:bottom w:w="0" w:type="dxa"/>
          </w:tblCellMar>
        </w:tblPrEx>
        <w:tc>
          <w:tcPr>
            <w:tcW w:w="2421" w:type="dxa"/>
          </w:tcPr>
          <w:p w:rsidR="00000000" w:rsidRDefault="00000000">
            <w:pPr>
              <w:jc w:val="both"/>
              <w:rPr>
                <w:sz w:val="22"/>
              </w:rPr>
            </w:pPr>
            <w:r>
              <w:rPr>
                <w:sz w:val="22"/>
              </w:rPr>
              <w:t>Elèves / tables bancs</w:t>
            </w:r>
          </w:p>
        </w:tc>
        <w:tc>
          <w:tcPr>
            <w:tcW w:w="1849" w:type="dxa"/>
          </w:tcPr>
          <w:p w:rsidR="00000000" w:rsidRDefault="00000000">
            <w:pPr>
              <w:ind w:right="284"/>
              <w:jc w:val="right"/>
              <w:rPr>
                <w:sz w:val="22"/>
              </w:rPr>
            </w:pPr>
            <w:r>
              <w:rPr>
                <w:sz w:val="22"/>
              </w:rPr>
              <w:t>1</w:t>
            </w:r>
          </w:p>
        </w:tc>
        <w:tc>
          <w:tcPr>
            <w:tcW w:w="1850" w:type="dxa"/>
          </w:tcPr>
          <w:p w:rsidR="00000000" w:rsidRDefault="00000000">
            <w:pPr>
              <w:ind w:right="284"/>
              <w:jc w:val="right"/>
              <w:rPr>
                <w:sz w:val="22"/>
              </w:rPr>
            </w:pPr>
            <w:r>
              <w:rPr>
                <w:sz w:val="22"/>
              </w:rPr>
              <w:t>4</w:t>
            </w:r>
          </w:p>
        </w:tc>
        <w:tc>
          <w:tcPr>
            <w:tcW w:w="1849" w:type="dxa"/>
          </w:tcPr>
          <w:p w:rsidR="00000000" w:rsidRDefault="00000000">
            <w:pPr>
              <w:ind w:right="284"/>
              <w:jc w:val="right"/>
              <w:rPr>
                <w:sz w:val="22"/>
              </w:rPr>
            </w:pPr>
            <w:r>
              <w:rPr>
                <w:sz w:val="22"/>
              </w:rPr>
              <w:t>5</w:t>
            </w:r>
          </w:p>
        </w:tc>
        <w:tc>
          <w:tcPr>
            <w:tcW w:w="1850" w:type="dxa"/>
          </w:tcPr>
          <w:p w:rsidR="00000000" w:rsidRDefault="00000000">
            <w:pPr>
              <w:ind w:right="284"/>
              <w:jc w:val="right"/>
              <w:rPr>
                <w:sz w:val="22"/>
              </w:rPr>
            </w:pPr>
            <w:r>
              <w:rPr>
                <w:sz w:val="22"/>
              </w:rPr>
              <w:t>3</w:t>
            </w:r>
          </w:p>
        </w:tc>
      </w:tr>
      <w:tr w:rsidR="00000000">
        <w:tblPrEx>
          <w:tblCellMar>
            <w:top w:w="0" w:type="dxa"/>
            <w:bottom w:w="0" w:type="dxa"/>
          </w:tblCellMar>
        </w:tblPrEx>
        <w:tc>
          <w:tcPr>
            <w:tcW w:w="2421" w:type="dxa"/>
          </w:tcPr>
          <w:p w:rsidR="00000000" w:rsidRDefault="00000000">
            <w:pPr>
              <w:jc w:val="both"/>
              <w:rPr>
                <w:sz w:val="22"/>
              </w:rPr>
            </w:pPr>
            <w:r>
              <w:rPr>
                <w:sz w:val="22"/>
              </w:rPr>
              <w:t>Elèves / tables dessin</w:t>
            </w:r>
          </w:p>
        </w:tc>
        <w:tc>
          <w:tcPr>
            <w:tcW w:w="1849" w:type="dxa"/>
          </w:tcPr>
          <w:p w:rsidR="00000000" w:rsidRDefault="00000000">
            <w:pPr>
              <w:ind w:right="284"/>
              <w:jc w:val="right"/>
              <w:rPr>
                <w:sz w:val="22"/>
              </w:rPr>
            </w:pPr>
            <w:r>
              <w:rPr>
                <w:sz w:val="22"/>
              </w:rPr>
              <w:t>-</w:t>
            </w:r>
          </w:p>
        </w:tc>
        <w:tc>
          <w:tcPr>
            <w:tcW w:w="1850" w:type="dxa"/>
          </w:tcPr>
          <w:p w:rsidR="00000000" w:rsidRDefault="00000000">
            <w:pPr>
              <w:ind w:right="284"/>
              <w:jc w:val="right"/>
              <w:rPr>
                <w:sz w:val="22"/>
              </w:rPr>
            </w:pPr>
            <w:r>
              <w:rPr>
                <w:sz w:val="22"/>
              </w:rPr>
              <w:t>50</w:t>
            </w:r>
          </w:p>
        </w:tc>
        <w:tc>
          <w:tcPr>
            <w:tcW w:w="1849" w:type="dxa"/>
          </w:tcPr>
          <w:p w:rsidR="00000000" w:rsidRDefault="00000000">
            <w:pPr>
              <w:ind w:right="284"/>
              <w:jc w:val="right"/>
              <w:rPr>
                <w:sz w:val="22"/>
              </w:rPr>
            </w:pPr>
            <w:r>
              <w:rPr>
                <w:sz w:val="22"/>
              </w:rPr>
              <w:t>46</w:t>
            </w:r>
          </w:p>
        </w:tc>
        <w:tc>
          <w:tcPr>
            <w:tcW w:w="1850" w:type="dxa"/>
          </w:tcPr>
          <w:p w:rsidR="00000000" w:rsidRDefault="00000000">
            <w:pPr>
              <w:ind w:right="284"/>
              <w:jc w:val="right"/>
              <w:rPr>
                <w:sz w:val="22"/>
              </w:rPr>
            </w:pPr>
            <w:r>
              <w:rPr>
                <w:sz w:val="22"/>
              </w:rPr>
              <w:t>-</w:t>
            </w:r>
          </w:p>
        </w:tc>
      </w:tr>
      <w:tr w:rsidR="00000000">
        <w:tblPrEx>
          <w:tblCellMar>
            <w:top w:w="0" w:type="dxa"/>
            <w:bottom w:w="0" w:type="dxa"/>
          </w:tblCellMar>
        </w:tblPrEx>
        <w:tc>
          <w:tcPr>
            <w:tcW w:w="2421" w:type="dxa"/>
          </w:tcPr>
          <w:p w:rsidR="00000000" w:rsidRDefault="00000000">
            <w:pPr>
              <w:jc w:val="both"/>
              <w:rPr>
                <w:sz w:val="22"/>
              </w:rPr>
            </w:pPr>
            <w:r>
              <w:rPr>
                <w:sz w:val="22"/>
              </w:rPr>
              <w:t>Elèves / tabourets</w:t>
            </w:r>
          </w:p>
        </w:tc>
        <w:tc>
          <w:tcPr>
            <w:tcW w:w="1849" w:type="dxa"/>
          </w:tcPr>
          <w:p w:rsidR="00000000" w:rsidRDefault="00000000">
            <w:pPr>
              <w:ind w:right="284"/>
              <w:jc w:val="right"/>
              <w:rPr>
                <w:sz w:val="22"/>
              </w:rPr>
            </w:pPr>
            <w:r>
              <w:rPr>
                <w:sz w:val="22"/>
              </w:rPr>
              <w:t>83</w:t>
            </w:r>
          </w:p>
        </w:tc>
        <w:tc>
          <w:tcPr>
            <w:tcW w:w="1850" w:type="dxa"/>
          </w:tcPr>
          <w:p w:rsidR="00000000" w:rsidRDefault="00000000">
            <w:pPr>
              <w:ind w:right="284"/>
              <w:jc w:val="right"/>
              <w:rPr>
                <w:sz w:val="22"/>
              </w:rPr>
            </w:pPr>
            <w:r>
              <w:rPr>
                <w:sz w:val="22"/>
              </w:rPr>
              <w:t>49</w:t>
            </w:r>
          </w:p>
        </w:tc>
        <w:tc>
          <w:tcPr>
            <w:tcW w:w="1849" w:type="dxa"/>
          </w:tcPr>
          <w:p w:rsidR="00000000" w:rsidRDefault="00000000">
            <w:pPr>
              <w:ind w:right="284"/>
              <w:jc w:val="right"/>
              <w:rPr>
                <w:sz w:val="22"/>
              </w:rPr>
            </w:pPr>
            <w:r>
              <w:rPr>
                <w:sz w:val="22"/>
              </w:rPr>
              <w:t>53</w:t>
            </w:r>
          </w:p>
        </w:tc>
        <w:tc>
          <w:tcPr>
            <w:tcW w:w="1850" w:type="dxa"/>
          </w:tcPr>
          <w:p w:rsidR="00000000" w:rsidRDefault="00000000">
            <w:pPr>
              <w:ind w:right="284"/>
              <w:jc w:val="right"/>
              <w:rPr>
                <w:sz w:val="22"/>
              </w:rPr>
            </w:pPr>
            <w:r>
              <w:rPr>
                <w:sz w:val="22"/>
              </w:rPr>
              <w:t>740</w:t>
            </w:r>
          </w:p>
        </w:tc>
      </w:tr>
      <w:tr w:rsidR="00000000">
        <w:tblPrEx>
          <w:tblCellMar>
            <w:top w:w="0" w:type="dxa"/>
            <w:bottom w:w="0" w:type="dxa"/>
          </w:tblCellMar>
        </w:tblPrEx>
        <w:tc>
          <w:tcPr>
            <w:tcW w:w="2421" w:type="dxa"/>
          </w:tcPr>
          <w:p w:rsidR="00000000" w:rsidRDefault="00000000">
            <w:pPr>
              <w:jc w:val="both"/>
              <w:rPr>
                <w:sz w:val="22"/>
              </w:rPr>
            </w:pPr>
            <w:r>
              <w:rPr>
                <w:sz w:val="22"/>
              </w:rPr>
              <w:t>Elèves /établis</w:t>
            </w:r>
          </w:p>
        </w:tc>
        <w:tc>
          <w:tcPr>
            <w:tcW w:w="1849" w:type="dxa"/>
          </w:tcPr>
          <w:p w:rsidR="00000000" w:rsidRDefault="00000000">
            <w:pPr>
              <w:ind w:right="284"/>
              <w:jc w:val="right"/>
              <w:rPr>
                <w:sz w:val="22"/>
              </w:rPr>
            </w:pPr>
            <w:r>
              <w:rPr>
                <w:sz w:val="22"/>
              </w:rPr>
              <w:t>14</w:t>
            </w:r>
          </w:p>
        </w:tc>
        <w:tc>
          <w:tcPr>
            <w:tcW w:w="1850" w:type="dxa"/>
          </w:tcPr>
          <w:p w:rsidR="00000000" w:rsidRDefault="00000000">
            <w:pPr>
              <w:ind w:right="284"/>
              <w:jc w:val="right"/>
              <w:rPr>
                <w:sz w:val="22"/>
              </w:rPr>
            </w:pPr>
            <w:r>
              <w:rPr>
                <w:sz w:val="22"/>
              </w:rPr>
              <w:t>105</w:t>
            </w:r>
          </w:p>
        </w:tc>
        <w:tc>
          <w:tcPr>
            <w:tcW w:w="1849" w:type="dxa"/>
          </w:tcPr>
          <w:p w:rsidR="00000000" w:rsidRDefault="00000000">
            <w:pPr>
              <w:ind w:right="284"/>
              <w:jc w:val="right"/>
              <w:rPr>
                <w:sz w:val="22"/>
              </w:rPr>
            </w:pPr>
            <w:r>
              <w:rPr>
                <w:sz w:val="22"/>
              </w:rPr>
              <w:t>449</w:t>
            </w:r>
          </w:p>
        </w:tc>
        <w:tc>
          <w:tcPr>
            <w:tcW w:w="1850" w:type="dxa"/>
          </w:tcPr>
          <w:p w:rsidR="00000000" w:rsidRDefault="00000000">
            <w:pPr>
              <w:ind w:right="284"/>
              <w:jc w:val="right"/>
              <w:rPr>
                <w:sz w:val="22"/>
              </w:rPr>
            </w:pPr>
            <w:r>
              <w:rPr>
                <w:sz w:val="22"/>
              </w:rPr>
              <w:t>-</w:t>
            </w:r>
          </w:p>
        </w:tc>
      </w:tr>
    </w:tbl>
    <w:p w:rsidR="00000000" w:rsidRDefault="00000000">
      <w:pPr>
        <w:jc w:val="both"/>
        <w:rPr>
          <w:sz w:val="22"/>
        </w:rPr>
      </w:pPr>
    </w:p>
    <w:p w:rsidR="00000000" w:rsidRDefault="00000000">
      <w:pPr>
        <w:jc w:val="both"/>
        <w:rPr>
          <w:sz w:val="22"/>
        </w:rPr>
      </w:pPr>
    </w:p>
    <w:p w:rsidR="00000000" w:rsidRDefault="00000000">
      <w:pPr>
        <w:jc w:val="both"/>
        <w:rPr>
          <w:b/>
          <w:sz w:val="22"/>
        </w:rPr>
      </w:pPr>
      <w:r>
        <w:rPr>
          <w:b/>
          <w:sz w:val="22"/>
          <w:u w:val="single"/>
        </w:rPr>
        <w:t>Tableau n° 41</w:t>
      </w:r>
      <w:r>
        <w:rPr>
          <w:b/>
          <w:sz w:val="22"/>
        </w:rPr>
        <w:t> : Evolution des résultats aux examens de sortie des écoles professionnelles</w:t>
      </w:r>
    </w:p>
    <w:p w:rsidR="00000000" w:rsidRDefault="00000000">
      <w:pPr>
        <w:jc w:val="both"/>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50"/>
        <w:gridCol w:w="2450"/>
        <w:gridCol w:w="2450"/>
        <w:gridCol w:w="2451"/>
      </w:tblGrid>
      <w:tr w:rsidR="00000000">
        <w:tblPrEx>
          <w:tblCellMar>
            <w:top w:w="0" w:type="dxa"/>
            <w:bottom w:w="0" w:type="dxa"/>
          </w:tblCellMar>
        </w:tblPrEx>
        <w:tc>
          <w:tcPr>
            <w:tcW w:w="2450" w:type="dxa"/>
          </w:tcPr>
          <w:p w:rsidR="00000000" w:rsidRDefault="00000000">
            <w:pPr>
              <w:jc w:val="center"/>
              <w:rPr>
                <w:sz w:val="22"/>
              </w:rPr>
            </w:pPr>
            <w:r>
              <w:rPr>
                <w:sz w:val="22"/>
              </w:rPr>
              <w:t>Année</w:t>
            </w:r>
          </w:p>
        </w:tc>
        <w:tc>
          <w:tcPr>
            <w:tcW w:w="2450" w:type="dxa"/>
          </w:tcPr>
          <w:p w:rsidR="00000000" w:rsidRDefault="00000000">
            <w:pPr>
              <w:jc w:val="center"/>
              <w:rPr>
                <w:sz w:val="22"/>
              </w:rPr>
            </w:pPr>
            <w:r>
              <w:rPr>
                <w:sz w:val="22"/>
              </w:rPr>
              <w:t>Inscrits</w:t>
            </w:r>
          </w:p>
        </w:tc>
        <w:tc>
          <w:tcPr>
            <w:tcW w:w="2450" w:type="dxa"/>
          </w:tcPr>
          <w:p w:rsidR="00000000" w:rsidRDefault="00000000">
            <w:pPr>
              <w:jc w:val="center"/>
              <w:rPr>
                <w:sz w:val="22"/>
              </w:rPr>
            </w:pPr>
            <w:r>
              <w:rPr>
                <w:sz w:val="22"/>
              </w:rPr>
              <w:t>Présentés</w:t>
            </w:r>
          </w:p>
        </w:tc>
        <w:tc>
          <w:tcPr>
            <w:tcW w:w="2451" w:type="dxa"/>
          </w:tcPr>
          <w:p w:rsidR="00000000" w:rsidRDefault="00000000">
            <w:pPr>
              <w:pStyle w:val="Heading7"/>
              <w:rPr>
                <w:b w:val="0"/>
                <w:sz w:val="22"/>
              </w:rPr>
            </w:pPr>
            <w:r>
              <w:rPr>
                <w:b w:val="0"/>
                <w:sz w:val="22"/>
              </w:rPr>
              <w:t>Admis</w:t>
            </w:r>
          </w:p>
        </w:tc>
      </w:tr>
      <w:tr w:rsidR="00000000">
        <w:tblPrEx>
          <w:tblCellMar>
            <w:top w:w="0" w:type="dxa"/>
            <w:bottom w:w="0" w:type="dxa"/>
          </w:tblCellMar>
        </w:tblPrEx>
        <w:tc>
          <w:tcPr>
            <w:tcW w:w="2450" w:type="dxa"/>
          </w:tcPr>
          <w:p w:rsidR="00000000" w:rsidRDefault="00000000">
            <w:pPr>
              <w:jc w:val="center"/>
              <w:rPr>
                <w:sz w:val="22"/>
              </w:rPr>
            </w:pPr>
            <w:r>
              <w:rPr>
                <w:sz w:val="22"/>
              </w:rPr>
              <w:t>1984</w:t>
            </w:r>
          </w:p>
        </w:tc>
        <w:tc>
          <w:tcPr>
            <w:tcW w:w="2450" w:type="dxa"/>
          </w:tcPr>
          <w:p w:rsidR="00000000" w:rsidRDefault="00000000">
            <w:pPr>
              <w:ind w:right="1134"/>
              <w:jc w:val="right"/>
              <w:rPr>
                <w:sz w:val="22"/>
              </w:rPr>
            </w:pPr>
            <w:r>
              <w:rPr>
                <w:sz w:val="22"/>
              </w:rPr>
              <w:t>1799</w:t>
            </w:r>
          </w:p>
        </w:tc>
        <w:tc>
          <w:tcPr>
            <w:tcW w:w="2450" w:type="dxa"/>
          </w:tcPr>
          <w:p w:rsidR="00000000" w:rsidRDefault="00000000">
            <w:pPr>
              <w:ind w:right="1134"/>
              <w:jc w:val="right"/>
              <w:rPr>
                <w:sz w:val="22"/>
              </w:rPr>
            </w:pPr>
            <w:r>
              <w:rPr>
                <w:sz w:val="22"/>
              </w:rPr>
              <w:t>1787</w:t>
            </w:r>
          </w:p>
        </w:tc>
        <w:tc>
          <w:tcPr>
            <w:tcW w:w="2451" w:type="dxa"/>
          </w:tcPr>
          <w:p w:rsidR="00000000" w:rsidRDefault="00000000">
            <w:pPr>
              <w:ind w:right="1134"/>
              <w:jc w:val="right"/>
              <w:rPr>
                <w:sz w:val="22"/>
              </w:rPr>
            </w:pPr>
            <w:r>
              <w:rPr>
                <w:sz w:val="22"/>
              </w:rPr>
              <w:t>1541</w:t>
            </w:r>
          </w:p>
        </w:tc>
      </w:tr>
      <w:tr w:rsidR="00000000">
        <w:tblPrEx>
          <w:tblCellMar>
            <w:top w:w="0" w:type="dxa"/>
            <w:bottom w:w="0" w:type="dxa"/>
          </w:tblCellMar>
        </w:tblPrEx>
        <w:tc>
          <w:tcPr>
            <w:tcW w:w="2450" w:type="dxa"/>
          </w:tcPr>
          <w:p w:rsidR="00000000" w:rsidRDefault="00000000">
            <w:pPr>
              <w:jc w:val="center"/>
              <w:rPr>
                <w:sz w:val="22"/>
              </w:rPr>
            </w:pPr>
            <w:r>
              <w:rPr>
                <w:sz w:val="22"/>
              </w:rPr>
              <w:t>1985</w:t>
            </w:r>
          </w:p>
        </w:tc>
        <w:tc>
          <w:tcPr>
            <w:tcW w:w="2450" w:type="dxa"/>
          </w:tcPr>
          <w:p w:rsidR="00000000" w:rsidRDefault="00000000">
            <w:pPr>
              <w:ind w:right="1134"/>
              <w:jc w:val="right"/>
              <w:rPr>
                <w:sz w:val="22"/>
              </w:rPr>
            </w:pPr>
            <w:r>
              <w:rPr>
                <w:sz w:val="22"/>
              </w:rPr>
              <w:t>2446</w:t>
            </w:r>
          </w:p>
        </w:tc>
        <w:tc>
          <w:tcPr>
            <w:tcW w:w="2450" w:type="dxa"/>
          </w:tcPr>
          <w:p w:rsidR="00000000" w:rsidRDefault="00000000">
            <w:pPr>
              <w:ind w:right="1134"/>
              <w:jc w:val="right"/>
              <w:rPr>
                <w:sz w:val="22"/>
              </w:rPr>
            </w:pPr>
            <w:r>
              <w:rPr>
                <w:sz w:val="22"/>
              </w:rPr>
              <w:t>2435</w:t>
            </w:r>
          </w:p>
        </w:tc>
        <w:tc>
          <w:tcPr>
            <w:tcW w:w="2451" w:type="dxa"/>
          </w:tcPr>
          <w:p w:rsidR="00000000" w:rsidRDefault="00000000">
            <w:pPr>
              <w:ind w:right="1134"/>
              <w:jc w:val="right"/>
              <w:rPr>
                <w:sz w:val="22"/>
              </w:rPr>
            </w:pPr>
            <w:r>
              <w:rPr>
                <w:sz w:val="22"/>
              </w:rPr>
              <w:t>2363</w:t>
            </w:r>
          </w:p>
        </w:tc>
      </w:tr>
      <w:tr w:rsidR="00000000">
        <w:tblPrEx>
          <w:tblCellMar>
            <w:top w:w="0" w:type="dxa"/>
            <w:bottom w:w="0" w:type="dxa"/>
          </w:tblCellMar>
        </w:tblPrEx>
        <w:tc>
          <w:tcPr>
            <w:tcW w:w="2450" w:type="dxa"/>
          </w:tcPr>
          <w:p w:rsidR="00000000" w:rsidRDefault="00000000">
            <w:pPr>
              <w:jc w:val="center"/>
              <w:rPr>
                <w:sz w:val="22"/>
              </w:rPr>
            </w:pPr>
            <w:r>
              <w:rPr>
                <w:sz w:val="22"/>
              </w:rPr>
              <w:t>1986</w:t>
            </w:r>
          </w:p>
        </w:tc>
        <w:tc>
          <w:tcPr>
            <w:tcW w:w="2450" w:type="dxa"/>
          </w:tcPr>
          <w:p w:rsidR="00000000" w:rsidRDefault="00000000">
            <w:pPr>
              <w:ind w:right="1134"/>
              <w:jc w:val="right"/>
              <w:rPr>
                <w:sz w:val="22"/>
              </w:rPr>
            </w:pPr>
            <w:r>
              <w:rPr>
                <w:sz w:val="22"/>
              </w:rPr>
              <w:t>2229</w:t>
            </w:r>
          </w:p>
        </w:tc>
        <w:tc>
          <w:tcPr>
            <w:tcW w:w="2450" w:type="dxa"/>
          </w:tcPr>
          <w:p w:rsidR="00000000" w:rsidRDefault="00000000">
            <w:pPr>
              <w:ind w:right="1134"/>
              <w:jc w:val="right"/>
              <w:rPr>
                <w:sz w:val="22"/>
              </w:rPr>
            </w:pPr>
            <w:r>
              <w:rPr>
                <w:sz w:val="22"/>
              </w:rPr>
              <w:t>2137</w:t>
            </w:r>
          </w:p>
        </w:tc>
        <w:tc>
          <w:tcPr>
            <w:tcW w:w="2451" w:type="dxa"/>
          </w:tcPr>
          <w:p w:rsidR="00000000" w:rsidRDefault="00000000">
            <w:pPr>
              <w:ind w:right="1134"/>
              <w:jc w:val="right"/>
              <w:rPr>
                <w:sz w:val="22"/>
              </w:rPr>
            </w:pPr>
            <w:r>
              <w:rPr>
                <w:sz w:val="22"/>
              </w:rPr>
              <w:t>2122</w:t>
            </w:r>
          </w:p>
        </w:tc>
      </w:tr>
      <w:tr w:rsidR="00000000">
        <w:tblPrEx>
          <w:tblCellMar>
            <w:top w:w="0" w:type="dxa"/>
            <w:bottom w:w="0" w:type="dxa"/>
          </w:tblCellMar>
        </w:tblPrEx>
        <w:tc>
          <w:tcPr>
            <w:tcW w:w="2450" w:type="dxa"/>
          </w:tcPr>
          <w:p w:rsidR="00000000" w:rsidRDefault="00000000">
            <w:pPr>
              <w:jc w:val="center"/>
              <w:rPr>
                <w:sz w:val="22"/>
              </w:rPr>
            </w:pPr>
            <w:r>
              <w:rPr>
                <w:sz w:val="22"/>
              </w:rPr>
              <w:t>1987</w:t>
            </w:r>
          </w:p>
        </w:tc>
        <w:tc>
          <w:tcPr>
            <w:tcW w:w="2450" w:type="dxa"/>
          </w:tcPr>
          <w:p w:rsidR="00000000" w:rsidRDefault="00000000">
            <w:pPr>
              <w:ind w:right="1134"/>
              <w:jc w:val="right"/>
              <w:rPr>
                <w:sz w:val="22"/>
              </w:rPr>
            </w:pPr>
            <w:r>
              <w:rPr>
                <w:sz w:val="22"/>
              </w:rPr>
              <w:t>2115</w:t>
            </w:r>
          </w:p>
        </w:tc>
        <w:tc>
          <w:tcPr>
            <w:tcW w:w="2450" w:type="dxa"/>
          </w:tcPr>
          <w:p w:rsidR="00000000" w:rsidRDefault="00000000">
            <w:pPr>
              <w:ind w:right="1134"/>
              <w:jc w:val="right"/>
              <w:rPr>
                <w:sz w:val="22"/>
              </w:rPr>
            </w:pPr>
            <w:r>
              <w:rPr>
                <w:sz w:val="22"/>
              </w:rPr>
              <w:t>2101</w:t>
            </w:r>
          </w:p>
        </w:tc>
        <w:tc>
          <w:tcPr>
            <w:tcW w:w="2451" w:type="dxa"/>
          </w:tcPr>
          <w:p w:rsidR="00000000" w:rsidRDefault="00000000">
            <w:pPr>
              <w:ind w:right="1134"/>
              <w:jc w:val="right"/>
              <w:rPr>
                <w:sz w:val="22"/>
              </w:rPr>
            </w:pPr>
            <w:r>
              <w:rPr>
                <w:sz w:val="22"/>
              </w:rPr>
              <w:t>1919</w:t>
            </w:r>
          </w:p>
        </w:tc>
      </w:tr>
      <w:tr w:rsidR="00000000">
        <w:tblPrEx>
          <w:tblCellMar>
            <w:top w:w="0" w:type="dxa"/>
            <w:bottom w:w="0" w:type="dxa"/>
          </w:tblCellMar>
        </w:tblPrEx>
        <w:tc>
          <w:tcPr>
            <w:tcW w:w="2450" w:type="dxa"/>
          </w:tcPr>
          <w:p w:rsidR="00000000" w:rsidRDefault="00000000">
            <w:pPr>
              <w:jc w:val="center"/>
              <w:rPr>
                <w:sz w:val="22"/>
              </w:rPr>
            </w:pPr>
            <w:r>
              <w:rPr>
                <w:sz w:val="22"/>
              </w:rPr>
              <w:t>1988</w:t>
            </w:r>
          </w:p>
        </w:tc>
        <w:tc>
          <w:tcPr>
            <w:tcW w:w="2450" w:type="dxa"/>
          </w:tcPr>
          <w:p w:rsidR="00000000" w:rsidRDefault="00000000">
            <w:pPr>
              <w:ind w:right="1134"/>
              <w:jc w:val="right"/>
              <w:rPr>
                <w:sz w:val="22"/>
              </w:rPr>
            </w:pPr>
            <w:r>
              <w:rPr>
                <w:sz w:val="22"/>
              </w:rPr>
              <w:t>1634</w:t>
            </w:r>
          </w:p>
        </w:tc>
        <w:tc>
          <w:tcPr>
            <w:tcW w:w="2450" w:type="dxa"/>
          </w:tcPr>
          <w:p w:rsidR="00000000" w:rsidRDefault="00000000">
            <w:pPr>
              <w:ind w:right="1134"/>
              <w:jc w:val="right"/>
              <w:rPr>
                <w:sz w:val="22"/>
              </w:rPr>
            </w:pPr>
            <w:r>
              <w:rPr>
                <w:sz w:val="22"/>
              </w:rPr>
              <w:t>1627</w:t>
            </w:r>
          </w:p>
        </w:tc>
        <w:tc>
          <w:tcPr>
            <w:tcW w:w="2451" w:type="dxa"/>
          </w:tcPr>
          <w:p w:rsidR="00000000" w:rsidRDefault="00000000">
            <w:pPr>
              <w:ind w:right="1134"/>
              <w:jc w:val="right"/>
              <w:rPr>
                <w:sz w:val="22"/>
              </w:rPr>
            </w:pPr>
            <w:r>
              <w:rPr>
                <w:sz w:val="22"/>
              </w:rPr>
              <w:t>1486</w:t>
            </w:r>
          </w:p>
        </w:tc>
      </w:tr>
      <w:tr w:rsidR="00000000">
        <w:tblPrEx>
          <w:tblCellMar>
            <w:top w:w="0" w:type="dxa"/>
            <w:bottom w:w="0" w:type="dxa"/>
          </w:tblCellMar>
        </w:tblPrEx>
        <w:tc>
          <w:tcPr>
            <w:tcW w:w="2450" w:type="dxa"/>
          </w:tcPr>
          <w:p w:rsidR="00000000" w:rsidRDefault="00000000">
            <w:pPr>
              <w:jc w:val="center"/>
              <w:rPr>
                <w:sz w:val="22"/>
              </w:rPr>
            </w:pPr>
            <w:r>
              <w:rPr>
                <w:sz w:val="22"/>
              </w:rPr>
              <w:t>1989</w:t>
            </w:r>
          </w:p>
        </w:tc>
        <w:tc>
          <w:tcPr>
            <w:tcW w:w="2450" w:type="dxa"/>
          </w:tcPr>
          <w:p w:rsidR="00000000" w:rsidRDefault="00000000">
            <w:pPr>
              <w:ind w:right="1134"/>
              <w:jc w:val="right"/>
              <w:rPr>
                <w:sz w:val="22"/>
              </w:rPr>
            </w:pPr>
            <w:r>
              <w:rPr>
                <w:sz w:val="22"/>
              </w:rPr>
              <w:t>1338</w:t>
            </w:r>
          </w:p>
        </w:tc>
        <w:tc>
          <w:tcPr>
            <w:tcW w:w="2450" w:type="dxa"/>
          </w:tcPr>
          <w:p w:rsidR="00000000" w:rsidRDefault="00000000">
            <w:pPr>
              <w:ind w:right="1134"/>
              <w:jc w:val="right"/>
              <w:rPr>
                <w:sz w:val="22"/>
              </w:rPr>
            </w:pPr>
            <w:r>
              <w:rPr>
                <w:sz w:val="22"/>
              </w:rPr>
              <w:t>1321</w:t>
            </w:r>
          </w:p>
        </w:tc>
        <w:tc>
          <w:tcPr>
            <w:tcW w:w="2451" w:type="dxa"/>
          </w:tcPr>
          <w:p w:rsidR="00000000" w:rsidRDefault="00000000">
            <w:pPr>
              <w:ind w:right="1134"/>
              <w:jc w:val="right"/>
              <w:rPr>
                <w:sz w:val="22"/>
              </w:rPr>
            </w:pPr>
            <w:r>
              <w:rPr>
                <w:sz w:val="22"/>
              </w:rPr>
              <w:t>1243</w:t>
            </w:r>
          </w:p>
        </w:tc>
      </w:tr>
      <w:tr w:rsidR="00000000">
        <w:tblPrEx>
          <w:tblCellMar>
            <w:top w:w="0" w:type="dxa"/>
            <w:bottom w:w="0" w:type="dxa"/>
          </w:tblCellMar>
        </w:tblPrEx>
        <w:tc>
          <w:tcPr>
            <w:tcW w:w="2450" w:type="dxa"/>
          </w:tcPr>
          <w:p w:rsidR="00000000" w:rsidRDefault="00000000">
            <w:pPr>
              <w:jc w:val="center"/>
              <w:rPr>
                <w:sz w:val="22"/>
              </w:rPr>
            </w:pPr>
            <w:r>
              <w:rPr>
                <w:sz w:val="22"/>
              </w:rPr>
              <w:t>1990</w:t>
            </w:r>
          </w:p>
        </w:tc>
        <w:tc>
          <w:tcPr>
            <w:tcW w:w="2450" w:type="dxa"/>
          </w:tcPr>
          <w:p w:rsidR="00000000" w:rsidRDefault="00000000">
            <w:pPr>
              <w:ind w:right="1134"/>
              <w:jc w:val="right"/>
              <w:rPr>
                <w:sz w:val="22"/>
              </w:rPr>
            </w:pPr>
            <w:r>
              <w:rPr>
                <w:sz w:val="22"/>
              </w:rPr>
              <w:t>957</w:t>
            </w:r>
          </w:p>
        </w:tc>
        <w:tc>
          <w:tcPr>
            <w:tcW w:w="2450" w:type="dxa"/>
          </w:tcPr>
          <w:p w:rsidR="00000000" w:rsidRDefault="00000000">
            <w:pPr>
              <w:ind w:right="1134"/>
              <w:jc w:val="right"/>
              <w:rPr>
                <w:sz w:val="22"/>
              </w:rPr>
            </w:pPr>
            <w:r>
              <w:rPr>
                <w:sz w:val="22"/>
              </w:rPr>
              <w:t>956</w:t>
            </w:r>
          </w:p>
        </w:tc>
        <w:tc>
          <w:tcPr>
            <w:tcW w:w="2451" w:type="dxa"/>
          </w:tcPr>
          <w:p w:rsidR="00000000" w:rsidRDefault="00000000">
            <w:pPr>
              <w:ind w:right="1134"/>
              <w:jc w:val="right"/>
              <w:rPr>
                <w:sz w:val="22"/>
              </w:rPr>
            </w:pPr>
            <w:r>
              <w:rPr>
                <w:sz w:val="22"/>
              </w:rPr>
              <w:t>927</w:t>
            </w:r>
          </w:p>
        </w:tc>
      </w:tr>
      <w:tr w:rsidR="00000000">
        <w:tblPrEx>
          <w:tblCellMar>
            <w:top w:w="0" w:type="dxa"/>
            <w:bottom w:w="0" w:type="dxa"/>
          </w:tblCellMar>
        </w:tblPrEx>
        <w:tc>
          <w:tcPr>
            <w:tcW w:w="2450" w:type="dxa"/>
          </w:tcPr>
          <w:p w:rsidR="00000000" w:rsidRDefault="00000000">
            <w:pPr>
              <w:jc w:val="center"/>
              <w:rPr>
                <w:sz w:val="22"/>
              </w:rPr>
            </w:pPr>
            <w:r>
              <w:rPr>
                <w:sz w:val="22"/>
              </w:rPr>
              <w:t>1991</w:t>
            </w:r>
          </w:p>
        </w:tc>
        <w:tc>
          <w:tcPr>
            <w:tcW w:w="2450" w:type="dxa"/>
          </w:tcPr>
          <w:p w:rsidR="00000000" w:rsidRDefault="00000000">
            <w:pPr>
              <w:ind w:right="1134"/>
              <w:jc w:val="right"/>
              <w:rPr>
                <w:sz w:val="22"/>
              </w:rPr>
            </w:pPr>
            <w:r>
              <w:rPr>
                <w:sz w:val="22"/>
              </w:rPr>
              <w:t>866</w:t>
            </w:r>
          </w:p>
        </w:tc>
        <w:tc>
          <w:tcPr>
            <w:tcW w:w="2450" w:type="dxa"/>
          </w:tcPr>
          <w:p w:rsidR="00000000" w:rsidRDefault="00000000">
            <w:pPr>
              <w:ind w:right="1134"/>
              <w:jc w:val="right"/>
              <w:rPr>
                <w:sz w:val="22"/>
              </w:rPr>
            </w:pPr>
            <w:r>
              <w:rPr>
                <w:sz w:val="22"/>
              </w:rPr>
              <w:t>865</w:t>
            </w:r>
          </w:p>
        </w:tc>
        <w:tc>
          <w:tcPr>
            <w:tcW w:w="2451" w:type="dxa"/>
          </w:tcPr>
          <w:p w:rsidR="00000000" w:rsidRDefault="00000000">
            <w:pPr>
              <w:ind w:right="1134"/>
              <w:jc w:val="right"/>
              <w:rPr>
                <w:sz w:val="22"/>
              </w:rPr>
            </w:pPr>
            <w:r>
              <w:rPr>
                <w:sz w:val="22"/>
              </w:rPr>
              <w:t>824</w:t>
            </w:r>
          </w:p>
        </w:tc>
      </w:tr>
      <w:tr w:rsidR="00000000">
        <w:tblPrEx>
          <w:tblCellMar>
            <w:top w:w="0" w:type="dxa"/>
            <w:bottom w:w="0" w:type="dxa"/>
          </w:tblCellMar>
        </w:tblPrEx>
        <w:tc>
          <w:tcPr>
            <w:tcW w:w="2450" w:type="dxa"/>
          </w:tcPr>
          <w:p w:rsidR="00000000" w:rsidRDefault="00000000">
            <w:pPr>
              <w:jc w:val="center"/>
              <w:rPr>
                <w:sz w:val="22"/>
              </w:rPr>
            </w:pPr>
            <w:r>
              <w:rPr>
                <w:sz w:val="22"/>
              </w:rPr>
              <w:t>1992</w:t>
            </w:r>
          </w:p>
        </w:tc>
        <w:tc>
          <w:tcPr>
            <w:tcW w:w="2450" w:type="dxa"/>
          </w:tcPr>
          <w:p w:rsidR="00000000" w:rsidRDefault="00000000">
            <w:pPr>
              <w:ind w:right="1134"/>
              <w:jc w:val="right"/>
              <w:rPr>
                <w:sz w:val="22"/>
              </w:rPr>
            </w:pPr>
            <w:r>
              <w:rPr>
                <w:sz w:val="22"/>
              </w:rPr>
              <w:t>767</w:t>
            </w:r>
          </w:p>
        </w:tc>
        <w:tc>
          <w:tcPr>
            <w:tcW w:w="2450" w:type="dxa"/>
          </w:tcPr>
          <w:p w:rsidR="00000000" w:rsidRDefault="00000000">
            <w:pPr>
              <w:ind w:right="1134"/>
              <w:jc w:val="right"/>
              <w:rPr>
                <w:sz w:val="22"/>
              </w:rPr>
            </w:pPr>
            <w:r>
              <w:rPr>
                <w:sz w:val="22"/>
              </w:rPr>
              <w:t>766</w:t>
            </w:r>
          </w:p>
        </w:tc>
        <w:tc>
          <w:tcPr>
            <w:tcW w:w="2451" w:type="dxa"/>
          </w:tcPr>
          <w:p w:rsidR="00000000" w:rsidRDefault="00000000">
            <w:pPr>
              <w:ind w:right="1134"/>
              <w:jc w:val="right"/>
              <w:rPr>
                <w:sz w:val="22"/>
              </w:rPr>
            </w:pPr>
            <w:r>
              <w:rPr>
                <w:sz w:val="22"/>
              </w:rPr>
              <w:t>707</w:t>
            </w:r>
          </w:p>
        </w:tc>
      </w:tr>
      <w:tr w:rsidR="00000000">
        <w:tblPrEx>
          <w:tblCellMar>
            <w:top w:w="0" w:type="dxa"/>
            <w:bottom w:w="0" w:type="dxa"/>
          </w:tblCellMar>
        </w:tblPrEx>
        <w:tc>
          <w:tcPr>
            <w:tcW w:w="2450" w:type="dxa"/>
          </w:tcPr>
          <w:p w:rsidR="00000000" w:rsidRDefault="00000000">
            <w:pPr>
              <w:jc w:val="center"/>
              <w:rPr>
                <w:sz w:val="22"/>
              </w:rPr>
            </w:pPr>
            <w:r>
              <w:rPr>
                <w:sz w:val="22"/>
              </w:rPr>
              <w:t>1993</w:t>
            </w:r>
          </w:p>
        </w:tc>
        <w:tc>
          <w:tcPr>
            <w:tcW w:w="2450" w:type="dxa"/>
          </w:tcPr>
          <w:p w:rsidR="00000000" w:rsidRDefault="00000000">
            <w:pPr>
              <w:ind w:right="1134"/>
              <w:jc w:val="right"/>
              <w:rPr>
                <w:sz w:val="22"/>
              </w:rPr>
            </w:pPr>
            <w:r>
              <w:rPr>
                <w:sz w:val="22"/>
              </w:rPr>
              <w:t>531</w:t>
            </w:r>
          </w:p>
        </w:tc>
        <w:tc>
          <w:tcPr>
            <w:tcW w:w="2450" w:type="dxa"/>
          </w:tcPr>
          <w:p w:rsidR="00000000" w:rsidRDefault="00000000">
            <w:pPr>
              <w:ind w:right="1134"/>
              <w:jc w:val="right"/>
              <w:rPr>
                <w:sz w:val="22"/>
              </w:rPr>
            </w:pPr>
            <w:r>
              <w:rPr>
                <w:sz w:val="22"/>
              </w:rPr>
              <w:t>530</w:t>
            </w:r>
          </w:p>
        </w:tc>
        <w:tc>
          <w:tcPr>
            <w:tcW w:w="2451" w:type="dxa"/>
          </w:tcPr>
          <w:p w:rsidR="00000000" w:rsidRDefault="00000000">
            <w:pPr>
              <w:ind w:right="1134"/>
              <w:jc w:val="right"/>
              <w:rPr>
                <w:sz w:val="22"/>
              </w:rPr>
            </w:pPr>
            <w:r>
              <w:rPr>
                <w:sz w:val="22"/>
              </w:rPr>
              <w:t>474</w:t>
            </w:r>
          </w:p>
        </w:tc>
      </w:tr>
      <w:tr w:rsidR="00000000">
        <w:tblPrEx>
          <w:tblCellMar>
            <w:top w:w="0" w:type="dxa"/>
            <w:bottom w:w="0" w:type="dxa"/>
          </w:tblCellMar>
        </w:tblPrEx>
        <w:tc>
          <w:tcPr>
            <w:tcW w:w="2450" w:type="dxa"/>
          </w:tcPr>
          <w:p w:rsidR="00000000" w:rsidRDefault="00000000">
            <w:pPr>
              <w:jc w:val="center"/>
              <w:rPr>
                <w:sz w:val="22"/>
              </w:rPr>
            </w:pPr>
            <w:r>
              <w:rPr>
                <w:sz w:val="22"/>
              </w:rPr>
              <w:t>1994</w:t>
            </w:r>
          </w:p>
        </w:tc>
        <w:tc>
          <w:tcPr>
            <w:tcW w:w="2450" w:type="dxa"/>
          </w:tcPr>
          <w:p w:rsidR="00000000" w:rsidRDefault="00000000">
            <w:pPr>
              <w:ind w:right="1134"/>
              <w:jc w:val="right"/>
              <w:rPr>
                <w:sz w:val="22"/>
              </w:rPr>
            </w:pPr>
            <w:r>
              <w:rPr>
                <w:sz w:val="22"/>
              </w:rPr>
              <w:t>1586</w:t>
            </w:r>
          </w:p>
        </w:tc>
        <w:tc>
          <w:tcPr>
            <w:tcW w:w="2450" w:type="dxa"/>
          </w:tcPr>
          <w:p w:rsidR="00000000" w:rsidRDefault="00000000">
            <w:pPr>
              <w:ind w:right="1134"/>
              <w:jc w:val="right"/>
              <w:rPr>
                <w:sz w:val="22"/>
              </w:rPr>
            </w:pPr>
            <w:r>
              <w:rPr>
                <w:sz w:val="22"/>
              </w:rPr>
              <w:t>1582</w:t>
            </w:r>
          </w:p>
        </w:tc>
        <w:tc>
          <w:tcPr>
            <w:tcW w:w="2451" w:type="dxa"/>
          </w:tcPr>
          <w:p w:rsidR="00000000" w:rsidRDefault="00000000">
            <w:pPr>
              <w:ind w:right="1134"/>
              <w:jc w:val="right"/>
              <w:rPr>
                <w:sz w:val="22"/>
              </w:rPr>
            </w:pPr>
            <w:r>
              <w:rPr>
                <w:sz w:val="22"/>
              </w:rPr>
              <w:t>1569</w:t>
            </w:r>
          </w:p>
        </w:tc>
      </w:tr>
      <w:tr w:rsidR="00000000">
        <w:tblPrEx>
          <w:tblCellMar>
            <w:top w:w="0" w:type="dxa"/>
            <w:bottom w:w="0" w:type="dxa"/>
          </w:tblCellMar>
        </w:tblPrEx>
        <w:tc>
          <w:tcPr>
            <w:tcW w:w="2450" w:type="dxa"/>
          </w:tcPr>
          <w:p w:rsidR="00000000" w:rsidRDefault="00000000">
            <w:pPr>
              <w:jc w:val="center"/>
              <w:rPr>
                <w:sz w:val="22"/>
              </w:rPr>
            </w:pPr>
            <w:r>
              <w:rPr>
                <w:sz w:val="22"/>
              </w:rPr>
              <w:t>1995</w:t>
            </w:r>
          </w:p>
        </w:tc>
        <w:tc>
          <w:tcPr>
            <w:tcW w:w="2450" w:type="dxa"/>
          </w:tcPr>
          <w:p w:rsidR="00000000" w:rsidRDefault="00000000">
            <w:pPr>
              <w:ind w:right="1134"/>
              <w:jc w:val="right"/>
              <w:rPr>
                <w:sz w:val="22"/>
              </w:rPr>
            </w:pPr>
            <w:r>
              <w:rPr>
                <w:sz w:val="22"/>
              </w:rPr>
              <w:t>1568</w:t>
            </w:r>
          </w:p>
        </w:tc>
        <w:tc>
          <w:tcPr>
            <w:tcW w:w="2450" w:type="dxa"/>
          </w:tcPr>
          <w:p w:rsidR="00000000" w:rsidRDefault="00000000">
            <w:pPr>
              <w:ind w:right="1134"/>
              <w:jc w:val="right"/>
              <w:rPr>
                <w:sz w:val="22"/>
              </w:rPr>
            </w:pPr>
            <w:r>
              <w:rPr>
                <w:sz w:val="22"/>
              </w:rPr>
              <w:t>1565</w:t>
            </w:r>
          </w:p>
        </w:tc>
        <w:tc>
          <w:tcPr>
            <w:tcW w:w="2451" w:type="dxa"/>
          </w:tcPr>
          <w:p w:rsidR="00000000" w:rsidRDefault="00000000">
            <w:pPr>
              <w:ind w:right="1134"/>
              <w:jc w:val="right"/>
              <w:rPr>
                <w:sz w:val="22"/>
              </w:rPr>
            </w:pPr>
            <w:r>
              <w:rPr>
                <w:sz w:val="22"/>
              </w:rPr>
              <w:t>1496</w:t>
            </w:r>
          </w:p>
        </w:tc>
      </w:tr>
    </w:tbl>
    <w:p w:rsidR="00000000" w:rsidRDefault="00000000">
      <w:pPr>
        <w:jc w:val="both"/>
        <w:rPr>
          <w:sz w:val="22"/>
        </w:rPr>
      </w:pPr>
    </w:p>
    <w:p w:rsidR="00000000" w:rsidRDefault="00000000">
      <w:pPr>
        <w:jc w:val="both"/>
        <w:rPr>
          <w:i/>
          <w:sz w:val="22"/>
        </w:rPr>
      </w:pPr>
      <w:r>
        <w:rPr>
          <w:i/>
          <w:sz w:val="22"/>
          <w:u w:val="single"/>
        </w:rPr>
        <w:t>Source</w:t>
      </w:r>
      <w:r>
        <w:rPr>
          <w:i/>
          <w:sz w:val="22"/>
        </w:rPr>
        <w:t xml:space="preserve"> : Direction des examens et concours, METP, 1998.</w:t>
      </w:r>
    </w:p>
    <w:p w:rsidR="00000000" w:rsidRDefault="00000000">
      <w:pPr>
        <w:jc w:val="both"/>
        <w:rPr>
          <w:b/>
          <w:sz w:val="22"/>
          <w:u w:val="single"/>
        </w:rPr>
      </w:pPr>
    </w:p>
    <w:p w:rsidR="00000000" w:rsidRDefault="00000000">
      <w:pPr>
        <w:jc w:val="both"/>
        <w:rPr>
          <w:b/>
          <w:sz w:val="22"/>
          <w:u w:val="single"/>
        </w:rPr>
      </w:pPr>
      <w:r>
        <w:rPr>
          <w:b/>
          <w:sz w:val="22"/>
        </w:rPr>
        <w:t xml:space="preserve">D - </w:t>
      </w:r>
      <w:r>
        <w:rPr>
          <w:b/>
          <w:sz w:val="22"/>
          <w:u w:val="single"/>
        </w:rPr>
        <w:t>L’enseignement supérieur</w:t>
      </w:r>
    </w:p>
    <w:p w:rsidR="00000000" w:rsidRDefault="00000000">
      <w:pPr>
        <w:jc w:val="both"/>
        <w:rPr>
          <w:sz w:val="22"/>
        </w:rPr>
      </w:pPr>
    </w:p>
    <w:p w:rsidR="00000000" w:rsidRDefault="00000000">
      <w:pPr>
        <w:jc w:val="both"/>
        <w:rPr>
          <w:sz w:val="22"/>
        </w:rPr>
      </w:pPr>
      <w:r>
        <w:rPr>
          <w:sz w:val="22"/>
        </w:rPr>
        <w:t>Le taux de scolarisation, au niveau universitaire est affligeant. Les jeunes filles ne représentent que 18,6% de l’ensemble des étudiants de l’Université Marien NGOUABI jusqu’en 1995.</w:t>
      </w:r>
    </w:p>
    <w:p w:rsidR="00000000" w:rsidRDefault="00000000">
      <w:pPr>
        <w:jc w:val="both"/>
        <w:rPr>
          <w:sz w:val="22"/>
        </w:rPr>
      </w:pPr>
    </w:p>
    <w:p w:rsidR="00000000" w:rsidRDefault="00000000">
      <w:pPr>
        <w:jc w:val="both"/>
        <w:rPr>
          <w:sz w:val="22"/>
        </w:rPr>
      </w:pPr>
      <w:r>
        <w:rPr>
          <w:sz w:val="22"/>
        </w:rPr>
        <w:t>La déperdition scolaire pour les filles est forte au fur et à mesure que l’on avance dans le cycle scolaire : sur 1.000 filles admises en première année du premier cycle, 60 seulement arrivent à l’université. D’où la prédominance de la population estudiantine masculine en général. Cette prédominance est manifeste dans les disciplines dites « masculines ». C’est ainsi que la présence féminine est de :</w:t>
      </w:r>
    </w:p>
    <w:p w:rsidR="00000000" w:rsidRDefault="00000000">
      <w:pPr>
        <w:jc w:val="both"/>
        <w:rPr>
          <w:sz w:val="22"/>
        </w:rPr>
      </w:pPr>
    </w:p>
    <w:p w:rsidR="00000000" w:rsidRDefault="00000000">
      <w:pPr>
        <w:numPr>
          <w:ilvl w:val="0"/>
          <w:numId w:val="134"/>
        </w:numPr>
        <w:jc w:val="both"/>
        <w:rPr>
          <w:sz w:val="22"/>
        </w:rPr>
      </w:pPr>
      <w:r>
        <w:rPr>
          <w:sz w:val="22"/>
        </w:rPr>
        <w:t>11% en sciences naturelles ;</w:t>
      </w:r>
    </w:p>
    <w:p w:rsidR="00000000" w:rsidRDefault="00000000">
      <w:pPr>
        <w:numPr>
          <w:ilvl w:val="0"/>
          <w:numId w:val="134"/>
        </w:numPr>
        <w:jc w:val="both"/>
        <w:rPr>
          <w:sz w:val="22"/>
        </w:rPr>
      </w:pPr>
      <w:r>
        <w:rPr>
          <w:sz w:val="22"/>
        </w:rPr>
        <w:t>18% en économie ;</w:t>
      </w:r>
    </w:p>
    <w:p w:rsidR="00000000" w:rsidRDefault="00000000">
      <w:pPr>
        <w:numPr>
          <w:ilvl w:val="0"/>
          <w:numId w:val="134"/>
        </w:numPr>
        <w:jc w:val="both"/>
        <w:rPr>
          <w:sz w:val="22"/>
        </w:rPr>
      </w:pPr>
      <w:r>
        <w:rPr>
          <w:sz w:val="22"/>
        </w:rPr>
        <w:t>5 à 7% en sciences exactes ;</w:t>
      </w:r>
    </w:p>
    <w:p w:rsidR="00000000" w:rsidRDefault="00000000">
      <w:pPr>
        <w:numPr>
          <w:ilvl w:val="0"/>
          <w:numId w:val="134"/>
        </w:numPr>
        <w:jc w:val="both"/>
        <w:rPr>
          <w:sz w:val="22"/>
        </w:rPr>
      </w:pPr>
      <w:r>
        <w:rPr>
          <w:sz w:val="22"/>
        </w:rPr>
        <w:t>12% en sciences agronomiques ;</w:t>
      </w:r>
    </w:p>
    <w:p w:rsidR="00000000" w:rsidRDefault="00000000">
      <w:pPr>
        <w:numPr>
          <w:ilvl w:val="0"/>
          <w:numId w:val="134"/>
        </w:numPr>
        <w:jc w:val="both"/>
        <w:rPr>
          <w:sz w:val="22"/>
        </w:rPr>
      </w:pPr>
      <w:r>
        <w:rPr>
          <w:sz w:val="22"/>
        </w:rPr>
        <w:t>21% en médecine.</w:t>
      </w:r>
    </w:p>
    <w:p w:rsidR="00000000" w:rsidRDefault="00000000">
      <w:pPr>
        <w:rPr>
          <w:sz w:val="22"/>
        </w:rPr>
      </w:pPr>
    </w:p>
    <w:p w:rsidR="00000000" w:rsidRDefault="00000000">
      <w:pPr>
        <w:pStyle w:val="BodyText"/>
        <w:rPr>
          <w:sz w:val="22"/>
        </w:rPr>
      </w:pPr>
      <w:r>
        <w:rPr>
          <w:sz w:val="22"/>
        </w:rPr>
        <w:t>Cette situation est déjà sensible dans les établissements techniques et professionnels du secondaire premier et second degré (19,2% contre 12%).</w:t>
      </w:r>
    </w:p>
    <w:p w:rsidR="00000000" w:rsidRDefault="00000000">
      <w:pPr>
        <w:rPr>
          <w:sz w:val="22"/>
        </w:rPr>
      </w:pPr>
    </w:p>
    <w:p w:rsidR="00000000" w:rsidRDefault="00000000">
      <w:pPr>
        <w:rPr>
          <w:sz w:val="22"/>
        </w:rPr>
      </w:pPr>
    </w:p>
    <w:p w:rsidR="00000000" w:rsidRDefault="00000000">
      <w:pPr>
        <w:rPr>
          <w:b/>
          <w:sz w:val="22"/>
        </w:rPr>
      </w:pPr>
      <w:r>
        <w:rPr>
          <w:b/>
          <w:sz w:val="22"/>
          <w:u w:val="single"/>
        </w:rPr>
        <w:t>Tableau n° 42</w:t>
      </w:r>
      <w:r>
        <w:rPr>
          <w:b/>
          <w:sz w:val="22"/>
        </w:rPr>
        <w:t xml:space="preserve"> : Evolution des effectifs des étudiants par sexe </w:t>
      </w:r>
    </w:p>
    <w:p w:rsidR="00000000" w:rsidRDefault="00000000">
      <w:pPr>
        <w:jc w:val="right"/>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73"/>
        <w:gridCol w:w="3273"/>
        <w:gridCol w:w="3273"/>
      </w:tblGrid>
      <w:tr w:rsidR="00000000">
        <w:tblPrEx>
          <w:tblCellMar>
            <w:top w:w="0" w:type="dxa"/>
            <w:bottom w:w="0" w:type="dxa"/>
          </w:tblCellMar>
        </w:tblPrEx>
        <w:tc>
          <w:tcPr>
            <w:tcW w:w="3273" w:type="dxa"/>
          </w:tcPr>
          <w:p w:rsidR="00000000" w:rsidRDefault="00000000">
            <w:pPr>
              <w:jc w:val="center"/>
              <w:rPr>
                <w:sz w:val="22"/>
              </w:rPr>
            </w:pPr>
            <w:r>
              <w:rPr>
                <w:sz w:val="22"/>
              </w:rPr>
              <w:t>Année</w:t>
            </w:r>
          </w:p>
        </w:tc>
        <w:tc>
          <w:tcPr>
            <w:tcW w:w="3273" w:type="dxa"/>
          </w:tcPr>
          <w:p w:rsidR="00000000" w:rsidRDefault="00000000">
            <w:pPr>
              <w:jc w:val="center"/>
              <w:rPr>
                <w:sz w:val="22"/>
              </w:rPr>
            </w:pPr>
            <w:r>
              <w:rPr>
                <w:sz w:val="22"/>
              </w:rPr>
              <w:t>Hommes</w:t>
            </w:r>
          </w:p>
        </w:tc>
        <w:tc>
          <w:tcPr>
            <w:tcW w:w="3273" w:type="dxa"/>
          </w:tcPr>
          <w:p w:rsidR="00000000" w:rsidRDefault="00000000">
            <w:pPr>
              <w:jc w:val="center"/>
              <w:rPr>
                <w:sz w:val="22"/>
              </w:rPr>
            </w:pPr>
            <w:r>
              <w:rPr>
                <w:sz w:val="22"/>
              </w:rPr>
              <w:t>Femmes</w:t>
            </w:r>
          </w:p>
        </w:tc>
      </w:tr>
      <w:tr w:rsidR="00000000">
        <w:tblPrEx>
          <w:tblCellMar>
            <w:top w:w="0" w:type="dxa"/>
            <w:bottom w:w="0" w:type="dxa"/>
          </w:tblCellMar>
        </w:tblPrEx>
        <w:tc>
          <w:tcPr>
            <w:tcW w:w="3273" w:type="dxa"/>
          </w:tcPr>
          <w:p w:rsidR="00000000" w:rsidRDefault="00000000">
            <w:pPr>
              <w:jc w:val="center"/>
              <w:rPr>
                <w:sz w:val="22"/>
              </w:rPr>
            </w:pPr>
            <w:r>
              <w:rPr>
                <w:sz w:val="22"/>
              </w:rPr>
              <w:t>1980</w:t>
            </w:r>
          </w:p>
        </w:tc>
        <w:tc>
          <w:tcPr>
            <w:tcW w:w="3273" w:type="dxa"/>
          </w:tcPr>
          <w:p w:rsidR="00000000" w:rsidRDefault="00000000">
            <w:pPr>
              <w:ind w:right="1134"/>
              <w:jc w:val="right"/>
              <w:rPr>
                <w:sz w:val="22"/>
              </w:rPr>
            </w:pPr>
            <w:r>
              <w:rPr>
                <w:sz w:val="22"/>
              </w:rPr>
              <w:t>85,7</w:t>
            </w:r>
          </w:p>
        </w:tc>
        <w:tc>
          <w:tcPr>
            <w:tcW w:w="3273" w:type="dxa"/>
          </w:tcPr>
          <w:p w:rsidR="00000000" w:rsidRDefault="00000000">
            <w:pPr>
              <w:ind w:right="1134"/>
              <w:jc w:val="right"/>
              <w:rPr>
                <w:sz w:val="22"/>
              </w:rPr>
            </w:pPr>
            <w:r>
              <w:rPr>
                <w:sz w:val="22"/>
              </w:rPr>
              <w:t>14,28</w:t>
            </w:r>
          </w:p>
        </w:tc>
      </w:tr>
      <w:tr w:rsidR="00000000">
        <w:tblPrEx>
          <w:tblCellMar>
            <w:top w:w="0" w:type="dxa"/>
            <w:bottom w:w="0" w:type="dxa"/>
          </w:tblCellMar>
        </w:tblPrEx>
        <w:tc>
          <w:tcPr>
            <w:tcW w:w="3273" w:type="dxa"/>
          </w:tcPr>
          <w:p w:rsidR="00000000" w:rsidRDefault="00000000">
            <w:pPr>
              <w:jc w:val="center"/>
              <w:rPr>
                <w:sz w:val="22"/>
              </w:rPr>
            </w:pPr>
            <w:r>
              <w:rPr>
                <w:sz w:val="22"/>
              </w:rPr>
              <w:t>1985</w:t>
            </w:r>
          </w:p>
        </w:tc>
        <w:tc>
          <w:tcPr>
            <w:tcW w:w="3273" w:type="dxa"/>
          </w:tcPr>
          <w:p w:rsidR="00000000" w:rsidRDefault="00000000">
            <w:pPr>
              <w:ind w:right="1134"/>
              <w:jc w:val="right"/>
              <w:rPr>
                <w:sz w:val="22"/>
              </w:rPr>
            </w:pPr>
            <w:r>
              <w:rPr>
                <w:sz w:val="22"/>
              </w:rPr>
              <w:t>84,16</w:t>
            </w:r>
          </w:p>
        </w:tc>
        <w:tc>
          <w:tcPr>
            <w:tcW w:w="3273" w:type="dxa"/>
          </w:tcPr>
          <w:p w:rsidR="00000000" w:rsidRDefault="00000000">
            <w:pPr>
              <w:ind w:right="1134"/>
              <w:jc w:val="right"/>
              <w:rPr>
                <w:sz w:val="22"/>
              </w:rPr>
            </w:pPr>
            <w:r>
              <w:rPr>
                <w:sz w:val="22"/>
              </w:rPr>
              <w:t>15,84</w:t>
            </w:r>
          </w:p>
        </w:tc>
      </w:tr>
      <w:tr w:rsidR="00000000">
        <w:tblPrEx>
          <w:tblCellMar>
            <w:top w:w="0" w:type="dxa"/>
            <w:bottom w:w="0" w:type="dxa"/>
          </w:tblCellMar>
        </w:tblPrEx>
        <w:tc>
          <w:tcPr>
            <w:tcW w:w="3273" w:type="dxa"/>
          </w:tcPr>
          <w:p w:rsidR="00000000" w:rsidRDefault="00000000">
            <w:pPr>
              <w:jc w:val="center"/>
              <w:rPr>
                <w:sz w:val="22"/>
              </w:rPr>
            </w:pPr>
            <w:r>
              <w:rPr>
                <w:sz w:val="22"/>
              </w:rPr>
              <w:t>1990</w:t>
            </w:r>
          </w:p>
        </w:tc>
        <w:tc>
          <w:tcPr>
            <w:tcW w:w="3273" w:type="dxa"/>
          </w:tcPr>
          <w:p w:rsidR="00000000" w:rsidRDefault="00000000">
            <w:pPr>
              <w:ind w:right="1134"/>
              <w:jc w:val="right"/>
              <w:rPr>
                <w:sz w:val="22"/>
              </w:rPr>
            </w:pPr>
            <w:r>
              <w:rPr>
                <w:sz w:val="22"/>
              </w:rPr>
              <w:t xml:space="preserve">                 84</w:t>
            </w:r>
          </w:p>
        </w:tc>
        <w:tc>
          <w:tcPr>
            <w:tcW w:w="3273" w:type="dxa"/>
          </w:tcPr>
          <w:p w:rsidR="00000000" w:rsidRDefault="00000000">
            <w:pPr>
              <w:ind w:right="1134"/>
              <w:jc w:val="right"/>
              <w:rPr>
                <w:sz w:val="22"/>
              </w:rPr>
            </w:pPr>
            <w:r>
              <w:rPr>
                <w:sz w:val="22"/>
              </w:rPr>
              <w:t xml:space="preserve">                16</w:t>
            </w:r>
          </w:p>
        </w:tc>
      </w:tr>
      <w:tr w:rsidR="00000000">
        <w:tblPrEx>
          <w:tblCellMar>
            <w:top w:w="0" w:type="dxa"/>
            <w:bottom w:w="0" w:type="dxa"/>
          </w:tblCellMar>
        </w:tblPrEx>
        <w:tc>
          <w:tcPr>
            <w:tcW w:w="3273" w:type="dxa"/>
          </w:tcPr>
          <w:p w:rsidR="00000000" w:rsidRDefault="00000000">
            <w:pPr>
              <w:jc w:val="center"/>
              <w:rPr>
                <w:sz w:val="22"/>
              </w:rPr>
            </w:pPr>
            <w:r>
              <w:rPr>
                <w:sz w:val="22"/>
              </w:rPr>
              <w:t>1992</w:t>
            </w:r>
          </w:p>
        </w:tc>
        <w:tc>
          <w:tcPr>
            <w:tcW w:w="3273" w:type="dxa"/>
          </w:tcPr>
          <w:p w:rsidR="00000000" w:rsidRDefault="00000000">
            <w:pPr>
              <w:ind w:right="1134"/>
              <w:jc w:val="right"/>
              <w:rPr>
                <w:sz w:val="22"/>
              </w:rPr>
            </w:pPr>
            <w:r>
              <w:rPr>
                <w:sz w:val="22"/>
              </w:rPr>
              <w:t>81,39</w:t>
            </w:r>
          </w:p>
        </w:tc>
        <w:tc>
          <w:tcPr>
            <w:tcW w:w="3273" w:type="dxa"/>
          </w:tcPr>
          <w:p w:rsidR="00000000" w:rsidRDefault="00000000">
            <w:pPr>
              <w:ind w:right="1134"/>
              <w:jc w:val="right"/>
              <w:rPr>
                <w:sz w:val="22"/>
              </w:rPr>
            </w:pPr>
            <w:r>
              <w:rPr>
                <w:sz w:val="22"/>
              </w:rPr>
              <w:t>18,61</w:t>
            </w:r>
          </w:p>
        </w:tc>
      </w:tr>
    </w:tbl>
    <w:p w:rsidR="00000000" w:rsidRDefault="00000000">
      <w:pPr>
        <w:spacing w:line="120" w:lineRule="exact"/>
        <w:jc w:val="both"/>
        <w:rPr>
          <w:sz w:val="10"/>
        </w:rPr>
      </w:pPr>
    </w:p>
    <w:p w:rsidR="00000000" w:rsidRDefault="00000000">
      <w:pPr>
        <w:jc w:val="both"/>
        <w:rPr>
          <w:sz w:val="22"/>
        </w:rPr>
      </w:pPr>
      <w:r>
        <w:rPr>
          <w:sz w:val="22"/>
        </w:rPr>
        <w:t>* En pourcentage</w:t>
      </w:r>
    </w:p>
    <w:p w:rsidR="00000000" w:rsidRDefault="00000000">
      <w:pPr>
        <w:spacing w:line="120" w:lineRule="exact"/>
        <w:jc w:val="both"/>
        <w:rPr>
          <w:sz w:val="10"/>
        </w:rPr>
      </w:pPr>
    </w:p>
    <w:p w:rsidR="00000000" w:rsidRDefault="00000000">
      <w:pPr>
        <w:rPr>
          <w:sz w:val="22"/>
        </w:rPr>
      </w:pPr>
      <w:r>
        <w:rPr>
          <w:i/>
          <w:sz w:val="22"/>
          <w:u w:val="single"/>
        </w:rPr>
        <w:t>Source</w:t>
      </w:r>
      <w:r>
        <w:rPr>
          <w:i/>
          <w:sz w:val="22"/>
        </w:rPr>
        <w:t xml:space="preserve"> :</w:t>
      </w:r>
      <w:r>
        <w:rPr>
          <w:sz w:val="22"/>
        </w:rPr>
        <w:t xml:space="preserve"> </w:t>
      </w:r>
      <w:r>
        <w:rPr>
          <w:i/>
          <w:sz w:val="22"/>
        </w:rPr>
        <w:t>Service de la planification universitaire.</w:t>
      </w:r>
    </w:p>
    <w:p w:rsidR="00000000" w:rsidRDefault="00000000">
      <w:pPr>
        <w:spacing w:line="120" w:lineRule="exact"/>
        <w:ind w:left="709" w:hanging="709"/>
        <w:jc w:val="both"/>
        <w:rPr>
          <w:sz w:val="10"/>
          <w:u w:val="single"/>
        </w:rPr>
      </w:pPr>
    </w:p>
    <w:p w:rsidR="00000000" w:rsidRDefault="00000000">
      <w:pPr>
        <w:ind w:left="709" w:hanging="709"/>
        <w:jc w:val="both"/>
        <w:rPr>
          <w:sz w:val="22"/>
        </w:rPr>
      </w:pPr>
      <w:r>
        <w:rPr>
          <w:sz w:val="22"/>
          <w:u w:val="single"/>
        </w:rPr>
        <w:t>Notes</w:t>
      </w:r>
      <w:r>
        <w:rPr>
          <w:sz w:val="22"/>
        </w:rPr>
        <w:t> : Les nombreuses guerres qui ont émaillé la vie congolaise n’ont pas permis de disposer de données exactes entre 1993 et 1998.</w:t>
      </w:r>
    </w:p>
    <w:p w:rsidR="00000000" w:rsidRDefault="00000000">
      <w:pPr>
        <w:rPr>
          <w:sz w:val="22"/>
        </w:rPr>
      </w:pPr>
    </w:p>
    <w:p w:rsidR="00000000" w:rsidRDefault="00000000">
      <w:pPr>
        <w:pStyle w:val="BodyText"/>
        <w:rPr>
          <w:sz w:val="22"/>
        </w:rPr>
      </w:pPr>
      <w:r>
        <w:rPr>
          <w:sz w:val="22"/>
        </w:rPr>
        <w:t>La déperdition scolaire est, notamment, due aux barrières psychologiques et à la défection précoce.</w:t>
      </w:r>
    </w:p>
    <w:p w:rsidR="00000000" w:rsidRDefault="00000000">
      <w:pPr>
        <w:rPr>
          <w:sz w:val="22"/>
        </w:rPr>
      </w:pPr>
    </w:p>
    <w:p w:rsidR="00000000" w:rsidRDefault="00000000">
      <w:pPr>
        <w:rPr>
          <w:b/>
          <w:sz w:val="22"/>
          <w:u w:val="single"/>
        </w:rPr>
      </w:pPr>
      <w:r>
        <w:rPr>
          <w:b/>
          <w:sz w:val="22"/>
        </w:rPr>
        <w:t xml:space="preserve">E - </w:t>
      </w:r>
      <w:r>
        <w:rPr>
          <w:b/>
          <w:sz w:val="22"/>
          <w:u w:val="single"/>
        </w:rPr>
        <w:t>L’évolution de la scolarité en général</w:t>
      </w:r>
    </w:p>
    <w:p w:rsidR="00000000" w:rsidRDefault="00000000">
      <w:pPr>
        <w:rPr>
          <w:sz w:val="22"/>
        </w:rPr>
      </w:pPr>
    </w:p>
    <w:p w:rsidR="00000000" w:rsidRDefault="00000000">
      <w:pPr>
        <w:jc w:val="both"/>
        <w:rPr>
          <w:sz w:val="22"/>
        </w:rPr>
      </w:pPr>
      <w:r>
        <w:rPr>
          <w:sz w:val="22"/>
        </w:rPr>
        <w:t>Avec un taux de scolarisation de 98,8% des enfants de 6 à 11 ans, le Congo avait atteint le taux le plus élevé du monde. La population scolarisée avoisine les 800.000 enfants pour une population estimée à deux millions huit cent mille habitants.</w:t>
      </w:r>
    </w:p>
    <w:p w:rsidR="00000000" w:rsidRDefault="00000000">
      <w:pPr>
        <w:jc w:val="both"/>
        <w:rPr>
          <w:sz w:val="22"/>
        </w:rPr>
      </w:pPr>
    </w:p>
    <w:p w:rsidR="00000000" w:rsidRDefault="00000000">
      <w:pPr>
        <w:pStyle w:val="BodyText"/>
        <w:rPr>
          <w:sz w:val="22"/>
        </w:rPr>
      </w:pPr>
      <w:r>
        <w:rPr>
          <w:sz w:val="22"/>
        </w:rPr>
        <w:t>Avec 0,75% d’étudiants dans l’enseignement supérieur, par rapport à l’ensemble de la population, le Congo approche les pays développés comme la France (1,9%), le Japon (2,13%) et la Suède (2,4%).</w:t>
      </w:r>
    </w:p>
    <w:p w:rsidR="00000000" w:rsidRDefault="00000000">
      <w:pPr>
        <w:jc w:val="both"/>
        <w:rPr>
          <w:sz w:val="22"/>
        </w:rPr>
      </w:pPr>
    </w:p>
    <w:p w:rsidR="00000000" w:rsidRDefault="00000000">
      <w:pPr>
        <w:jc w:val="both"/>
        <w:rPr>
          <w:sz w:val="22"/>
        </w:rPr>
      </w:pPr>
      <w:r>
        <w:rPr>
          <w:sz w:val="22"/>
        </w:rPr>
        <w:t>L’évolution de la scolarisation se présente de la manière suivante :</w:t>
      </w:r>
    </w:p>
    <w:p w:rsidR="00000000" w:rsidRDefault="00000000">
      <w:pPr>
        <w:jc w:val="both"/>
        <w:rPr>
          <w:sz w:val="22"/>
        </w:rPr>
      </w:pPr>
    </w:p>
    <w:p w:rsidR="00000000" w:rsidRDefault="00000000">
      <w:pPr>
        <w:numPr>
          <w:ilvl w:val="0"/>
          <w:numId w:val="134"/>
        </w:numPr>
        <w:jc w:val="both"/>
        <w:rPr>
          <w:sz w:val="22"/>
        </w:rPr>
      </w:pPr>
      <w:r>
        <w:rPr>
          <w:sz w:val="22"/>
        </w:rPr>
        <w:t>taux de scolarisation au cycle préscolaire : 2,8% dont 50% de filles ;</w:t>
      </w:r>
    </w:p>
    <w:p w:rsidR="00000000" w:rsidRDefault="00000000">
      <w:pPr>
        <w:numPr>
          <w:ilvl w:val="0"/>
          <w:numId w:val="134"/>
        </w:numPr>
        <w:jc w:val="both"/>
        <w:rPr>
          <w:sz w:val="22"/>
        </w:rPr>
      </w:pPr>
      <w:r>
        <w:rPr>
          <w:sz w:val="22"/>
        </w:rPr>
        <w:t>taux de scolarisation au cycle primaire : 100% ;</w:t>
      </w:r>
    </w:p>
    <w:p w:rsidR="00000000" w:rsidRDefault="00000000">
      <w:pPr>
        <w:numPr>
          <w:ilvl w:val="0"/>
          <w:numId w:val="134"/>
        </w:numPr>
        <w:jc w:val="both"/>
        <w:rPr>
          <w:sz w:val="22"/>
        </w:rPr>
      </w:pPr>
      <w:r>
        <w:rPr>
          <w:sz w:val="22"/>
        </w:rPr>
        <w:t>taux de scolarisation au cycle secondaire : 21% dont 26% de filles ;</w:t>
      </w:r>
    </w:p>
    <w:p w:rsidR="00000000" w:rsidRDefault="00000000">
      <w:pPr>
        <w:numPr>
          <w:ilvl w:val="0"/>
          <w:numId w:val="134"/>
        </w:numPr>
        <w:jc w:val="both"/>
        <w:rPr>
          <w:sz w:val="22"/>
        </w:rPr>
      </w:pPr>
      <w:r>
        <w:rPr>
          <w:sz w:val="22"/>
        </w:rPr>
        <w:t>taux de scolarisation au cycle supérieur : 81,4% dont 18% de filles ;</w:t>
      </w:r>
    </w:p>
    <w:p w:rsidR="00000000" w:rsidRDefault="00000000">
      <w:pPr>
        <w:numPr>
          <w:ilvl w:val="0"/>
          <w:numId w:val="134"/>
        </w:numPr>
        <w:jc w:val="both"/>
        <w:rPr>
          <w:sz w:val="22"/>
        </w:rPr>
      </w:pPr>
      <w:r>
        <w:rPr>
          <w:sz w:val="22"/>
        </w:rPr>
        <w:t>taux d’analphabétisation : 30% ;</w:t>
      </w:r>
    </w:p>
    <w:p w:rsidR="00000000" w:rsidRDefault="00000000">
      <w:pPr>
        <w:numPr>
          <w:ilvl w:val="0"/>
          <w:numId w:val="134"/>
        </w:numPr>
        <w:jc w:val="both"/>
        <w:rPr>
          <w:sz w:val="22"/>
        </w:rPr>
      </w:pPr>
      <w:r>
        <w:rPr>
          <w:sz w:val="22"/>
        </w:rPr>
        <w:br w:type="page"/>
        <w:t>taux de réussites aux examens :</w:t>
      </w:r>
    </w:p>
    <w:p w:rsidR="00000000" w:rsidRDefault="00000000">
      <w:pPr>
        <w:ind w:left="360" w:firstLine="349"/>
        <w:jc w:val="both"/>
        <w:rPr>
          <w:sz w:val="22"/>
        </w:rPr>
      </w:pPr>
      <w:r>
        <w:rPr>
          <w:sz w:val="22"/>
        </w:rPr>
        <w:t>CEPE : 44% en 1989 ;</w:t>
      </w:r>
    </w:p>
    <w:p w:rsidR="00000000" w:rsidRDefault="00000000">
      <w:pPr>
        <w:ind w:left="360" w:firstLine="349"/>
        <w:jc w:val="both"/>
        <w:rPr>
          <w:sz w:val="22"/>
        </w:rPr>
      </w:pPr>
      <w:r>
        <w:rPr>
          <w:sz w:val="22"/>
        </w:rPr>
        <w:t>BEPC : 28,19% en 1990 ;</w:t>
      </w:r>
    </w:p>
    <w:p w:rsidR="00000000" w:rsidRDefault="00000000">
      <w:pPr>
        <w:jc w:val="both"/>
        <w:rPr>
          <w:sz w:val="22"/>
        </w:rPr>
      </w:pPr>
      <w:r>
        <w:rPr>
          <w:sz w:val="22"/>
        </w:rPr>
        <w:t>- 6% des filles admises au primaire arrivent à l’université.</w:t>
      </w:r>
    </w:p>
    <w:p w:rsidR="00000000" w:rsidRDefault="00000000">
      <w:pPr>
        <w:rPr>
          <w:sz w:val="22"/>
        </w:rPr>
      </w:pPr>
    </w:p>
    <w:p w:rsidR="00000000" w:rsidRDefault="00000000">
      <w:pPr>
        <w:rPr>
          <w:sz w:val="22"/>
        </w:rPr>
      </w:pPr>
    </w:p>
    <w:p w:rsidR="00000000" w:rsidRDefault="00000000">
      <w:pPr>
        <w:rPr>
          <w:b/>
          <w:sz w:val="22"/>
        </w:rPr>
      </w:pPr>
      <w:r>
        <w:rPr>
          <w:b/>
          <w:sz w:val="22"/>
          <w:u w:val="single"/>
        </w:rPr>
        <w:t>Tableau 43</w:t>
      </w:r>
      <w:r>
        <w:rPr>
          <w:b/>
          <w:sz w:val="22"/>
        </w:rPr>
        <w:t> : Taux de scolarisation des filles en 1990</w:t>
      </w:r>
    </w:p>
    <w:p w:rsidR="00000000" w:rsidRDefault="00000000">
      <w:pPr>
        <w:rPr>
          <w:b/>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17"/>
        <w:gridCol w:w="1393"/>
        <w:gridCol w:w="1393"/>
        <w:gridCol w:w="1393"/>
        <w:gridCol w:w="1393"/>
        <w:gridCol w:w="1394"/>
      </w:tblGrid>
      <w:tr w:rsidR="00000000">
        <w:tblPrEx>
          <w:tblCellMar>
            <w:top w:w="0" w:type="dxa"/>
            <w:bottom w:w="0" w:type="dxa"/>
          </w:tblCellMar>
        </w:tblPrEx>
        <w:tc>
          <w:tcPr>
            <w:tcW w:w="2817" w:type="dxa"/>
          </w:tcPr>
          <w:p w:rsidR="00000000" w:rsidRDefault="00000000">
            <w:pPr>
              <w:jc w:val="center"/>
              <w:rPr>
                <w:sz w:val="22"/>
              </w:rPr>
            </w:pPr>
            <w:r>
              <w:rPr>
                <w:sz w:val="22"/>
              </w:rPr>
              <w:t>Cycle</w:t>
            </w:r>
          </w:p>
        </w:tc>
        <w:tc>
          <w:tcPr>
            <w:tcW w:w="1393" w:type="dxa"/>
          </w:tcPr>
          <w:p w:rsidR="00000000" w:rsidRDefault="00000000">
            <w:pPr>
              <w:jc w:val="center"/>
              <w:rPr>
                <w:sz w:val="22"/>
              </w:rPr>
            </w:pPr>
            <w:r>
              <w:rPr>
                <w:sz w:val="22"/>
              </w:rPr>
              <w:t>Préscolaire</w:t>
            </w:r>
          </w:p>
        </w:tc>
        <w:tc>
          <w:tcPr>
            <w:tcW w:w="1393" w:type="dxa"/>
          </w:tcPr>
          <w:p w:rsidR="00000000" w:rsidRDefault="00000000">
            <w:pPr>
              <w:jc w:val="center"/>
              <w:rPr>
                <w:sz w:val="22"/>
              </w:rPr>
            </w:pPr>
            <w:r>
              <w:rPr>
                <w:sz w:val="22"/>
              </w:rPr>
              <w:t>Primaire</w:t>
            </w:r>
          </w:p>
        </w:tc>
        <w:tc>
          <w:tcPr>
            <w:tcW w:w="1393" w:type="dxa"/>
          </w:tcPr>
          <w:p w:rsidR="00000000" w:rsidRDefault="00000000">
            <w:pPr>
              <w:jc w:val="center"/>
              <w:rPr>
                <w:sz w:val="22"/>
              </w:rPr>
            </w:pPr>
            <w:r>
              <w:rPr>
                <w:sz w:val="22"/>
              </w:rPr>
              <w:t>Secondaire</w:t>
            </w:r>
          </w:p>
          <w:p w:rsidR="00000000" w:rsidRDefault="00000000">
            <w:pPr>
              <w:jc w:val="center"/>
              <w:rPr>
                <w:sz w:val="22"/>
              </w:rPr>
            </w:pPr>
            <w:r>
              <w:rPr>
                <w:sz w:val="22"/>
              </w:rPr>
              <w:t>I</w:t>
            </w:r>
          </w:p>
        </w:tc>
        <w:tc>
          <w:tcPr>
            <w:tcW w:w="1393" w:type="dxa"/>
          </w:tcPr>
          <w:p w:rsidR="00000000" w:rsidRDefault="00000000">
            <w:pPr>
              <w:jc w:val="center"/>
              <w:rPr>
                <w:sz w:val="22"/>
              </w:rPr>
            </w:pPr>
            <w:r>
              <w:rPr>
                <w:sz w:val="22"/>
              </w:rPr>
              <w:t>Secondaire</w:t>
            </w:r>
          </w:p>
          <w:p w:rsidR="00000000" w:rsidRDefault="00000000">
            <w:pPr>
              <w:jc w:val="center"/>
              <w:rPr>
                <w:sz w:val="22"/>
              </w:rPr>
            </w:pPr>
            <w:r>
              <w:rPr>
                <w:sz w:val="22"/>
              </w:rPr>
              <w:t>II</w:t>
            </w:r>
          </w:p>
        </w:tc>
        <w:tc>
          <w:tcPr>
            <w:tcW w:w="1394" w:type="dxa"/>
          </w:tcPr>
          <w:p w:rsidR="00000000" w:rsidRDefault="00000000">
            <w:pPr>
              <w:jc w:val="center"/>
              <w:rPr>
                <w:sz w:val="22"/>
              </w:rPr>
            </w:pPr>
            <w:r>
              <w:rPr>
                <w:sz w:val="22"/>
              </w:rPr>
              <w:t>Supérieur</w:t>
            </w:r>
          </w:p>
        </w:tc>
      </w:tr>
      <w:tr w:rsidR="00000000">
        <w:tblPrEx>
          <w:tblCellMar>
            <w:top w:w="0" w:type="dxa"/>
            <w:bottom w:w="0" w:type="dxa"/>
          </w:tblCellMar>
        </w:tblPrEx>
        <w:tc>
          <w:tcPr>
            <w:tcW w:w="2817" w:type="dxa"/>
          </w:tcPr>
          <w:p w:rsidR="00000000" w:rsidRDefault="00000000">
            <w:pPr>
              <w:rPr>
                <w:sz w:val="22"/>
              </w:rPr>
            </w:pPr>
            <w:r>
              <w:rPr>
                <w:sz w:val="22"/>
              </w:rPr>
              <w:t xml:space="preserve">Taux de scolarisation </w:t>
            </w:r>
          </w:p>
        </w:tc>
        <w:tc>
          <w:tcPr>
            <w:tcW w:w="1393" w:type="dxa"/>
          </w:tcPr>
          <w:p w:rsidR="00000000" w:rsidRDefault="00000000">
            <w:pPr>
              <w:ind w:right="284"/>
              <w:jc w:val="right"/>
              <w:rPr>
                <w:sz w:val="22"/>
              </w:rPr>
            </w:pPr>
            <w:r>
              <w:rPr>
                <w:sz w:val="22"/>
              </w:rPr>
              <w:t>2,8%</w:t>
            </w:r>
          </w:p>
        </w:tc>
        <w:tc>
          <w:tcPr>
            <w:tcW w:w="1393" w:type="dxa"/>
          </w:tcPr>
          <w:p w:rsidR="00000000" w:rsidRDefault="00000000">
            <w:pPr>
              <w:ind w:right="284"/>
              <w:jc w:val="right"/>
              <w:rPr>
                <w:sz w:val="22"/>
              </w:rPr>
            </w:pPr>
            <w:r>
              <w:rPr>
                <w:sz w:val="22"/>
              </w:rPr>
              <w:t>101,4%</w:t>
            </w:r>
          </w:p>
        </w:tc>
        <w:tc>
          <w:tcPr>
            <w:tcW w:w="1393" w:type="dxa"/>
          </w:tcPr>
          <w:p w:rsidR="00000000" w:rsidRDefault="00000000">
            <w:pPr>
              <w:ind w:right="284"/>
              <w:jc w:val="right"/>
              <w:rPr>
                <w:sz w:val="22"/>
              </w:rPr>
            </w:pPr>
            <w:r>
              <w:rPr>
                <w:sz w:val="22"/>
              </w:rPr>
              <w:t>71,6%</w:t>
            </w:r>
          </w:p>
        </w:tc>
        <w:tc>
          <w:tcPr>
            <w:tcW w:w="1393" w:type="dxa"/>
          </w:tcPr>
          <w:p w:rsidR="00000000" w:rsidRDefault="00000000">
            <w:pPr>
              <w:ind w:right="284"/>
              <w:jc w:val="right"/>
              <w:rPr>
                <w:sz w:val="22"/>
              </w:rPr>
            </w:pPr>
            <w:r>
              <w:rPr>
                <w:sz w:val="22"/>
              </w:rPr>
              <w:t>20,7%</w:t>
            </w:r>
          </w:p>
        </w:tc>
        <w:tc>
          <w:tcPr>
            <w:tcW w:w="1394" w:type="dxa"/>
          </w:tcPr>
          <w:p w:rsidR="00000000" w:rsidRDefault="00000000">
            <w:pPr>
              <w:ind w:right="284"/>
              <w:jc w:val="right"/>
              <w:rPr>
                <w:sz w:val="22"/>
              </w:rPr>
            </w:pPr>
            <w:r>
              <w:rPr>
                <w:sz w:val="22"/>
              </w:rPr>
              <w:t>5,9%</w:t>
            </w:r>
          </w:p>
        </w:tc>
      </w:tr>
      <w:tr w:rsidR="00000000">
        <w:tblPrEx>
          <w:tblCellMar>
            <w:top w:w="0" w:type="dxa"/>
            <w:bottom w:w="0" w:type="dxa"/>
          </w:tblCellMar>
        </w:tblPrEx>
        <w:tc>
          <w:tcPr>
            <w:tcW w:w="2817" w:type="dxa"/>
          </w:tcPr>
          <w:p w:rsidR="00000000" w:rsidRDefault="00000000">
            <w:pPr>
              <w:rPr>
                <w:sz w:val="22"/>
              </w:rPr>
            </w:pPr>
            <w:r>
              <w:rPr>
                <w:sz w:val="22"/>
              </w:rPr>
              <w:t>Pourcentage filles</w:t>
            </w:r>
          </w:p>
        </w:tc>
        <w:tc>
          <w:tcPr>
            <w:tcW w:w="1393" w:type="dxa"/>
          </w:tcPr>
          <w:p w:rsidR="00000000" w:rsidRDefault="00000000">
            <w:pPr>
              <w:ind w:right="284"/>
              <w:jc w:val="right"/>
              <w:rPr>
                <w:sz w:val="22"/>
              </w:rPr>
            </w:pPr>
            <w:r>
              <w:rPr>
                <w:sz w:val="22"/>
              </w:rPr>
              <w:t>50%</w:t>
            </w:r>
          </w:p>
        </w:tc>
        <w:tc>
          <w:tcPr>
            <w:tcW w:w="1393" w:type="dxa"/>
          </w:tcPr>
          <w:p w:rsidR="00000000" w:rsidRDefault="00000000">
            <w:pPr>
              <w:ind w:right="284"/>
              <w:jc w:val="right"/>
              <w:rPr>
                <w:sz w:val="22"/>
              </w:rPr>
            </w:pPr>
            <w:r>
              <w:rPr>
                <w:sz w:val="22"/>
              </w:rPr>
              <w:t>47,5%</w:t>
            </w:r>
          </w:p>
        </w:tc>
        <w:tc>
          <w:tcPr>
            <w:tcW w:w="1393" w:type="dxa"/>
          </w:tcPr>
          <w:p w:rsidR="00000000" w:rsidRDefault="00000000">
            <w:pPr>
              <w:ind w:right="284"/>
              <w:jc w:val="right"/>
              <w:rPr>
                <w:sz w:val="22"/>
              </w:rPr>
            </w:pPr>
            <w:r>
              <w:rPr>
                <w:sz w:val="22"/>
              </w:rPr>
              <w:t>44,4%</w:t>
            </w:r>
          </w:p>
        </w:tc>
        <w:tc>
          <w:tcPr>
            <w:tcW w:w="1393" w:type="dxa"/>
          </w:tcPr>
          <w:p w:rsidR="00000000" w:rsidRDefault="00000000">
            <w:pPr>
              <w:ind w:right="284"/>
              <w:jc w:val="right"/>
              <w:rPr>
                <w:sz w:val="22"/>
              </w:rPr>
            </w:pPr>
            <w:r>
              <w:rPr>
                <w:sz w:val="22"/>
              </w:rPr>
              <w:t>25,9%</w:t>
            </w:r>
          </w:p>
        </w:tc>
        <w:tc>
          <w:tcPr>
            <w:tcW w:w="1394" w:type="dxa"/>
          </w:tcPr>
          <w:p w:rsidR="00000000" w:rsidRDefault="00000000">
            <w:pPr>
              <w:ind w:right="284"/>
              <w:jc w:val="right"/>
              <w:rPr>
                <w:sz w:val="22"/>
              </w:rPr>
            </w:pPr>
            <w:r>
              <w:rPr>
                <w:sz w:val="22"/>
              </w:rPr>
              <w:t>18%</w:t>
            </w:r>
          </w:p>
        </w:tc>
      </w:tr>
    </w:tbl>
    <w:p w:rsidR="00000000" w:rsidRDefault="00000000">
      <w:pPr>
        <w:rPr>
          <w:sz w:val="22"/>
        </w:rPr>
      </w:pPr>
    </w:p>
    <w:p w:rsidR="00000000" w:rsidRDefault="00000000">
      <w:pPr>
        <w:rPr>
          <w:i/>
          <w:sz w:val="22"/>
        </w:rPr>
      </w:pPr>
      <w:r>
        <w:rPr>
          <w:i/>
          <w:sz w:val="22"/>
          <w:u w:val="single"/>
        </w:rPr>
        <w:t>Source</w:t>
      </w:r>
      <w:r>
        <w:rPr>
          <w:i/>
          <w:sz w:val="22"/>
        </w:rPr>
        <w:t xml:space="preserve"> : Rapport situation des enfants et des femmes (UNICEF).</w:t>
      </w:r>
    </w:p>
    <w:p w:rsidR="00000000" w:rsidRDefault="00000000">
      <w:pPr>
        <w:rPr>
          <w:sz w:val="22"/>
        </w:rPr>
      </w:pPr>
    </w:p>
    <w:p w:rsidR="00000000" w:rsidRDefault="00000000">
      <w:pPr>
        <w:rPr>
          <w:sz w:val="22"/>
        </w:rPr>
      </w:pPr>
      <w:r>
        <w:rPr>
          <w:b/>
          <w:sz w:val="22"/>
        </w:rPr>
        <w:t xml:space="preserve">II - </w:t>
      </w:r>
      <w:r>
        <w:rPr>
          <w:b/>
          <w:sz w:val="22"/>
          <w:u w:val="single"/>
        </w:rPr>
        <w:t>Les dépenses de l’éducation</w:t>
      </w:r>
    </w:p>
    <w:p w:rsidR="00000000" w:rsidRDefault="00000000">
      <w:pPr>
        <w:rPr>
          <w:sz w:val="22"/>
        </w:rPr>
      </w:pPr>
    </w:p>
    <w:p w:rsidR="00000000" w:rsidRDefault="00000000">
      <w:pPr>
        <w:pStyle w:val="BodyText"/>
        <w:rPr>
          <w:sz w:val="22"/>
        </w:rPr>
      </w:pPr>
      <w:r>
        <w:rPr>
          <w:sz w:val="22"/>
        </w:rPr>
        <w:t>Le Gouvernement Congolais consacre un budget substantiel à l’enseignement, malgré les résultats qui ne semblent pas être ceux que l’on peut espérer. Il y a donc une certaine disproportion entre les moyens alloués et le rendement.</w:t>
      </w:r>
    </w:p>
    <w:p w:rsidR="00000000" w:rsidRDefault="00000000">
      <w:pPr>
        <w:jc w:val="both"/>
        <w:rPr>
          <w:sz w:val="22"/>
        </w:rPr>
      </w:pPr>
    </w:p>
    <w:p w:rsidR="00000000" w:rsidRDefault="00000000">
      <w:pPr>
        <w:jc w:val="both"/>
        <w:rPr>
          <w:sz w:val="22"/>
        </w:rPr>
      </w:pPr>
      <w:r>
        <w:rPr>
          <w:sz w:val="22"/>
        </w:rPr>
        <w:t>Les dépenses ordinaires pour l’éducation représentent en moyenne 6,1% du PNB. Toutefois, ce pourcentage est en régression depuis 1993. Le Gouvernement avait mis un accent sur l’enseignement primaire. Ainsi, de 1990 à 1998, 51,5% des dépenses publiques ordinaires d’éducation y étaient consacrées.</w:t>
      </w:r>
    </w:p>
    <w:p w:rsidR="00000000" w:rsidRDefault="00000000">
      <w:pPr>
        <w:jc w:val="both"/>
        <w:rPr>
          <w:sz w:val="22"/>
        </w:rPr>
      </w:pPr>
    </w:p>
    <w:p w:rsidR="00000000" w:rsidRDefault="00000000">
      <w:pPr>
        <w:jc w:val="both"/>
        <w:rPr>
          <w:sz w:val="22"/>
        </w:rPr>
      </w:pPr>
      <w:r>
        <w:rPr>
          <w:sz w:val="22"/>
        </w:rPr>
        <w:t xml:space="preserve">En général, un effort financier était fait par l’Etat depuis 1990. Toutefois, on note une grande instabilité. Entre 1990 et 1992, les dépenses sont passées de 36.068 millions de FCFA à 64.138 millions de FCFA, soit un accroissement de 33,4%. </w:t>
      </w:r>
    </w:p>
    <w:p w:rsidR="00000000" w:rsidRDefault="00000000">
      <w:pPr>
        <w:jc w:val="both"/>
        <w:rPr>
          <w:sz w:val="22"/>
        </w:rPr>
      </w:pPr>
    </w:p>
    <w:p w:rsidR="00000000" w:rsidRDefault="00000000">
      <w:pPr>
        <w:tabs>
          <w:tab w:val="left" w:pos="1680"/>
        </w:tabs>
        <w:ind w:left="1680" w:hanging="1680"/>
        <w:rPr>
          <w:b/>
          <w:sz w:val="22"/>
        </w:rPr>
      </w:pPr>
      <w:r>
        <w:rPr>
          <w:b/>
          <w:sz w:val="22"/>
          <w:u w:val="single"/>
        </w:rPr>
        <w:t>Tableau n° 44</w:t>
      </w:r>
      <w:r>
        <w:rPr>
          <w:b/>
          <w:sz w:val="22"/>
        </w:rPr>
        <w:t> :</w:t>
      </w:r>
      <w:r>
        <w:rPr>
          <w:b/>
          <w:sz w:val="22"/>
        </w:rPr>
        <w:tab/>
        <w:t xml:space="preserve">Poids des dépenses publiques ordinaires d’éducation dans le budget de fonctionnement de l’Etat* </w:t>
      </w:r>
    </w:p>
    <w:p w:rsidR="00000000" w:rsidRDefault="00000000">
      <w:pPr>
        <w:jc w:val="both"/>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65"/>
        <w:gridCol w:w="1676"/>
        <w:gridCol w:w="1674"/>
        <w:gridCol w:w="1674"/>
        <w:gridCol w:w="1674"/>
        <w:gridCol w:w="1674"/>
      </w:tblGrid>
      <w:tr w:rsidR="00000000">
        <w:tblPrEx>
          <w:tblCellMar>
            <w:top w:w="0" w:type="dxa"/>
            <w:bottom w:w="0" w:type="dxa"/>
          </w:tblCellMar>
        </w:tblPrEx>
        <w:trPr>
          <w:cantSplit/>
        </w:trPr>
        <w:tc>
          <w:tcPr>
            <w:tcW w:w="1465" w:type="dxa"/>
            <w:vMerge w:val="restart"/>
          </w:tcPr>
          <w:p w:rsidR="00000000" w:rsidRDefault="00000000">
            <w:pPr>
              <w:jc w:val="center"/>
              <w:rPr>
                <w:sz w:val="22"/>
              </w:rPr>
            </w:pPr>
          </w:p>
          <w:p w:rsidR="00000000" w:rsidRDefault="00000000">
            <w:pPr>
              <w:jc w:val="center"/>
              <w:rPr>
                <w:sz w:val="22"/>
              </w:rPr>
            </w:pPr>
            <w:r>
              <w:rPr>
                <w:sz w:val="22"/>
              </w:rPr>
              <w:t>Années</w:t>
            </w:r>
          </w:p>
        </w:tc>
        <w:tc>
          <w:tcPr>
            <w:tcW w:w="1676" w:type="dxa"/>
            <w:vMerge w:val="restart"/>
          </w:tcPr>
          <w:p w:rsidR="00000000" w:rsidRDefault="00000000">
            <w:pPr>
              <w:jc w:val="center"/>
              <w:rPr>
                <w:sz w:val="22"/>
              </w:rPr>
            </w:pPr>
            <w:r>
              <w:rPr>
                <w:sz w:val="22"/>
              </w:rPr>
              <w:t>Budget de l’Etat</w:t>
            </w:r>
          </w:p>
        </w:tc>
        <w:tc>
          <w:tcPr>
            <w:tcW w:w="3348" w:type="dxa"/>
            <w:gridSpan w:val="2"/>
          </w:tcPr>
          <w:p w:rsidR="00000000" w:rsidRDefault="00000000">
            <w:pPr>
              <w:jc w:val="center"/>
              <w:rPr>
                <w:sz w:val="22"/>
              </w:rPr>
            </w:pPr>
            <w:r>
              <w:rPr>
                <w:sz w:val="22"/>
              </w:rPr>
              <w:t>Dépenses totales d’éducation</w:t>
            </w:r>
          </w:p>
        </w:tc>
        <w:tc>
          <w:tcPr>
            <w:tcW w:w="3348" w:type="dxa"/>
            <w:gridSpan w:val="2"/>
          </w:tcPr>
          <w:p w:rsidR="00000000" w:rsidRDefault="00000000">
            <w:pPr>
              <w:jc w:val="center"/>
              <w:rPr>
                <w:sz w:val="22"/>
              </w:rPr>
            </w:pPr>
            <w:r>
              <w:rPr>
                <w:sz w:val="22"/>
              </w:rPr>
              <w:t>Dépenses du primaire</w:t>
            </w:r>
          </w:p>
        </w:tc>
      </w:tr>
      <w:tr w:rsidR="00000000">
        <w:tblPrEx>
          <w:tblCellMar>
            <w:top w:w="0" w:type="dxa"/>
            <w:bottom w:w="0" w:type="dxa"/>
          </w:tblCellMar>
        </w:tblPrEx>
        <w:trPr>
          <w:cantSplit/>
        </w:trPr>
        <w:tc>
          <w:tcPr>
            <w:tcW w:w="1465" w:type="dxa"/>
            <w:vMerge/>
          </w:tcPr>
          <w:p w:rsidR="00000000" w:rsidRDefault="00000000">
            <w:pPr>
              <w:jc w:val="both"/>
              <w:rPr>
                <w:sz w:val="22"/>
              </w:rPr>
            </w:pPr>
          </w:p>
        </w:tc>
        <w:tc>
          <w:tcPr>
            <w:tcW w:w="1676" w:type="dxa"/>
            <w:vMerge/>
          </w:tcPr>
          <w:p w:rsidR="00000000" w:rsidRDefault="00000000">
            <w:pPr>
              <w:jc w:val="both"/>
              <w:rPr>
                <w:sz w:val="22"/>
              </w:rPr>
            </w:pPr>
          </w:p>
        </w:tc>
        <w:tc>
          <w:tcPr>
            <w:tcW w:w="1674" w:type="dxa"/>
          </w:tcPr>
          <w:p w:rsidR="00000000" w:rsidRDefault="00000000">
            <w:pPr>
              <w:jc w:val="center"/>
              <w:rPr>
                <w:sz w:val="22"/>
              </w:rPr>
            </w:pPr>
            <w:r>
              <w:rPr>
                <w:sz w:val="22"/>
              </w:rPr>
              <w:t>Valeur</w:t>
            </w:r>
          </w:p>
        </w:tc>
        <w:tc>
          <w:tcPr>
            <w:tcW w:w="1674" w:type="dxa"/>
          </w:tcPr>
          <w:p w:rsidR="00000000" w:rsidRDefault="00000000">
            <w:pPr>
              <w:jc w:val="center"/>
              <w:rPr>
                <w:sz w:val="22"/>
              </w:rPr>
            </w:pPr>
            <w:r>
              <w:rPr>
                <w:sz w:val="22"/>
              </w:rPr>
              <w:t>Pourcentage</w:t>
            </w:r>
          </w:p>
        </w:tc>
        <w:tc>
          <w:tcPr>
            <w:tcW w:w="1674" w:type="dxa"/>
          </w:tcPr>
          <w:p w:rsidR="00000000" w:rsidRDefault="00000000">
            <w:pPr>
              <w:jc w:val="center"/>
              <w:rPr>
                <w:sz w:val="22"/>
              </w:rPr>
            </w:pPr>
            <w:r>
              <w:rPr>
                <w:sz w:val="22"/>
              </w:rPr>
              <w:t>Valeur</w:t>
            </w:r>
          </w:p>
        </w:tc>
        <w:tc>
          <w:tcPr>
            <w:tcW w:w="1674" w:type="dxa"/>
          </w:tcPr>
          <w:p w:rsidR="00000000" w:rsidRDefault="00000000">
            <w:pPr>
              <w:jc w:val="center"/>
              <w:rPr>
                <w:sz w:val="22"/>
              </w:rPr>
            </w:pPr>
            <w:r>
              <w:rPr>
                <w:sz w:val="22"/>
              </w:rPr>
              <w:t>Pourcentage</w:t>
            </w:r>
          </w:p>
        </w:tc>
      </w:tr>
      <w:tr w:rsidR="00000000">
        <w:tblPrEx>
          <w:tblCellMar>
            <w:top w:w="0" w:type="dxa"/>
            <w:bottom w:w="0" w:type="dxa"/>
          </w:tblCellMar>
        </w:tblPrEx>
        <w:tc>
          <w:tcPr>
            <w:tcW w:w="1465" w:type="dxa"/>
          </w:tcPr>
          <w:p w:rsidR="00000000" w:rsidRDefault="00000000">
            <w:pPr>
              <w:jc w:val="center"/>
              <w:rPr>
                <w:sz w:val="22"/>
              </w:rPr>
            </w:pPr>
            <w:r>
              <w:rPr>
                <w:sz w:val="22"/>
              </w:rPr>
              <w:t>1990</w:t>
            </w:r>
          </w:p>
        </w:tc>
        <w:tc>
          <w:tcPr>
            <w:tcW w:w="1676" w:type="dxa"/>
          </w:tcPr>
          <w:p w:rsidR="00000000" w:rsidRDefault="00000000">
            <w:pPr>
              <w:ind w:right="284"/>
              <w:jc w:val="right"/>
              <w:rPr>
                <w:sz w:val="22"/>
              </w:rPr>
            </w:pPr>
            <w:r>
              <w:rPr>
                <w:sz w:val="22"/>
              </w:rPr>
              <w:t>141.000</w:t>
            </w:r>
          </w:p>
        </w:tc>
        <w:tc>
          <w:tcPr>
            <w:tcW w:w="1674" w:type="dxa"/>
          </w:tcPr>
          <w:p w:rsidR="00000000" w:rsidRDefault="00000000">
            <w:pPr>
              <w:ind w:right="284"/>
              <w:jc w:val="right"/>
              <w:rPr>
                <w:sz w:val="22"/>
              </w:rPr>
            </w:pPr>
            <w:r>
              <w:rPr>
                <w:sz w:val="22"/>
              </w:rPr>
              <w:t>36.068</w:t>
            </w:r>
          </w:p>
        </w:tc>
        <w:tc>
          <w:tcPr>
            <w:tcW w:w="1674" w:type="dxa"/>
          </w:tcPr>
          <w:p w:rsidR="00000000" w:rsidRDefault="00000000">
            <w:pPr>
              <w:jc w:val="center"/>
              <w:rPr>
                <w:sz w:val="22"/>
              </w:rPr>
            </w:pPr>
            <w:r>
              <w:rPr>
                <w:sz w:val="22"/>
              </w:rPr>
              <w:t>25,6%</w:t>
            </w:r>
          </w:p>
        </w:tc>
        <w:tc>
          <w:tcPr>
            <w:tcW w:w="1674" w:type="dxa"/>
          </w:tcPr>
          <w:p w:rsidR="00000000" w:rsidRDefault="00000000">
            <w:pPr>
              <w:ind w:right="284"/>
              <w:jc w:val="right"/>
              <w:rPr>
                <w:sz w:val="22"/>
              </w:rPr>
            </w:pPr>
            <w:r>
              <w:rPr>
                <w:sz w:val="22"/>
              </w:rPr>
              <w:t>19.029</w:t>
            </w:r>
          </w:p>
        </w:tc>
        <w:tc>
          <w:tcPr>
            <w:tcW w:w="1674" w:type="dxa"/>
          </w:tcPr>
          <w:p w:rsidR="00000000" w:rsidRDefault="00000000">
            <w:pPr>
              <w:jc w:val="center"/>
              <w:rPr>
                <w:sz w:val="22"/>
              </w:rPr>
            </w:pPr>
            <w:r>
              <w:rPr>
                <w:sz w:val="22"/>
              </w:rPr>
              <w:t>13,5%</w:t>
            </w:r>
          </w:p>
        </w:tc>
      </w:tr>
      <w:tr w:rsidR="00000000">
        <w:tblPrEx>
          <w:tblCellMar>
            <w:top w:w="0" w:type="dxa"/>
            <w:bottom w:w="0" w:type="dxa"/>
          </w:tblCellMar>
        </w:tblPrEx>
        <w:tc>
          <w:tcPr>
            <w:tcW w:w="1465" w:type="dxa"/>
          </w:tcPr>
          <w:p w:rsidR="00000000" w:rsidRDefault="00000000">
            <w:pPr>
              <w:jc w:val="center"/>
              <w:rPr>
                <w:sz w:val="22"/>
              </w:rPr>
            </w:pPr>
            <w:r>
              <w:rPr>
                <w:sz w:val="22"/>
              </w:rPr>
              <w:t>1991</w:t>
            </w:r>
          </w:p>
        </w:tc>
        <w:tc>
          <w:tcPr>
            <w:tcW w:w="1676" w:type="dxa"/>
          </w:tcPr>
          <w:p w:rsidR="00000000" w:rsidRDefault="00000000">
            <w:pPr>
              <w:ind w:right="284"/>
              <w:jc w:val="right"/>
              <w:rPr>
                <w:sz w:val="22"/>
              </w:rPr>
            </w:pPr>
            <w:r>
              <w:rPr>
                <w:sz w:val="22"/>
              </w:rPr>
              <w:t>209.427</w:t>
            </w:r>
          </w:p>
        </w:tc>
        <w:tc>
          <w:tcPr>
            <w:tcW w:w="1674" w:type="dxa"/>
          </w:tcPr>
          <w:p w:rsidR="00000000" w:rsidRDefault="00000000">
            <w:pPr>
              <w:ind w:right="284"/>
              <w:jc w:val="right"/>
              <w:rPr>
                <w:sz w:val="22"/>
              </w:rPr>
            </w:pPr>
            <w:r>
              <w:rPr>
                <w:sz w:val="22"/>
              </w:rPr>
              <w:t>60.679</w:t>
            </w:r>
          </w:p>
        </w:tc>
        <w:tc>
          <w:tcPr>
            <w:tcW w:w="1674" w:type="dxa"/>
          </w:tcPr>
          <w:p w:rsidR="00000000" w:rsidRDefault="00000000">
            <w:pPr>
              <w:jc w:val="center"/>
              <w:rPr>
                <w:sz w:val="22"/>
              </w:rPr>
            </w:pPr>
            <w:r>
              <w:rPr>
                <w:sz w:val="22"/>
              </w:rPr>
              <w:t>29,0%</w:t>
            </w:r>
          </w:p>
        </w:tc>
        <w:tc>
          <w:tcPr>
            <w:tcW w:w="1674" w:type="dxa"/>
          </w:tcPr>
          <w:p w:rsidR="00000000" w:rsidRDefault="00000000">
            <w:pPr>
              <w:ind w:right="284"/>
              <w:jc w:val="right"/>
              <w:rPr>
                <w:sz w:val="22"/>
              </w:rPr>
            </w:pPr>
            <w:r>
              <w:rPr>
                <w:sz w:val="22"/>
              </w:rPr>
              <w:t>32.619</w:t>
            </w:r>
          </w:p>
        </w:tc>
        <w:tc>
          <w:tcPr>
            <w:tcW w:w="1674" w:type="dxa"/>
          </w:tcPr>
          <w:p w:rsidR="00000000" w:rsidRDefault="00000000">
            <w:pPr>
              <w:jc w:val="center"/>
              <w:rPr>
                <w:sz w:val="22"/>
              </w:rPr>
            </w:pPr>
            <w:r>
              <w:rPr>
                <w:sz w:val="22"/>
              </w:rPr>
              <w:t>15,6%</w:t>
            </w:r>
          </w:p>
        </w:tc>
      </w:tr>
      <w:tr w:rsidR="00000000">
        <w:tblPrEx>
          <w:tblCellMar>
            <w:top w:w="0" w:type="dxa"/>
            <w:bottom w:w="0" w:type="dxa"/>
          </w:tblCellMar>
        </w:tblPrEx>
        <w:tc>
          <w:tcPr>
            <w:tcW w:w="1465" w:type="dxa"/>
          </w:tcPr>
          <w:p w:rsidR="00000000" w:rsidRDefault="00000000">
            <w:pPr>
              <w:jc w:val="center"/>
              <w:rPr>
                <w:sz w:val="22"/>
              </w:rPr>
            </w:pPr>
            <w:r>
              <w:rPr>
                <w:sz w:val="22"/>
              </w:rPr>
              <w:t>1992</w:t>
            </w:r>
          </w:p>
        </w:tc>
        <w:tc>
          <w:tcPr>
            <w:tcW w:w="1676" w:type="dxa"/>
          </w:tcPr>
          <w:p w:rsidR="00000000" w:rsidRDefault="00000000">
            <w:pPr>
              <w:ind w:right="284"/>
              <w:jc w:val="right"/>
              <w:rPr>
                <w:sz w:val="22"/>
              </w:rPr>
            </w:pPr>
            <w:r>
              <w:rPr>
                <w:sz w:val="22"/>
              </w:rPr>
              <w:t>252.240</w:t>
            </w:r>
          </w:p>
        </w:tc>
        <w:tc>
          <w:tcPr>
            <w:tcW w:w="1674" w:type="dxa"/>
          </w:tcPr>
          <w:p w:rsidR="00000000" w:rsidRDefault="00000000">
            <w:pPr>
              <w:ind w:right="284"/>
              <w:jc w:val="right"/>
              <w:rPr>
                <w:sz w:val="22"/>
              </w:rPr>
            </w:pPr>
            <w:r>
              <w:rPr>
                <w:sz w:val="22"/>
              </w:rPr>
              <w:t>64.138</w:t>
            </w:r>
          </w:p>
        </w:tc>
        <w:tc>
          <w:tcPr>
            <w:tcW w:w="1674" w:type="dxa"/>
          </w:tcPr>
          <w:p w:rsidR="00000000" w:rsidRDefault="00000000">
            <w:pPr>
              <w:jc w:val="center"/>
              <w:rPr>
                <w:sz w:val="22"/>
              </w:rPr>
            </w:pPr>
            <w:r>
              <w:rPr>
                <w:sz w:val="22"/>
              </w:rPr>
              <w:t>25,4%</w:t>
            </w:r>
          </w:p>
        </w:tc>
        <w:tc>
          <w:tcPr>
            <w:tcW w:w="1674" w:type="dxa"/>
          </w:tcPr>
          <w:p w:rsidR="00000000" w:rsidRDefault="00000000">
            <w:pPr>
              <w:ind w:right="284"/>
              <w:jc w:val="right"/>
              <w:rPr>
                <w:sz w:val="22"/>
              </w:rPr>
            </w:pPr>
            <w:r>
              <w:rPr>
                <w:sz w:val="22"/>
              </w:rPr>
              <w:t>32.665</w:t>
            </w:r>
          </w:p>
        </w:tc>
        <w:tc>
          <w:tcPr>
            <w:tcW w:w="1674" w:type="dxa"/>
          </w:tcPr>
          <w:p w:rsidR="00000000" w:rsidRDefault="00000000">
            <w:pPr>
              <w:jc w:val="center"/>
              <w:rPr>
                <w:sz w:val="22"/>
              </w:rPr>
            </w:pPr>
            <w:r>
              <w:rPr>
                <w:sz w:val="22"/>
              </w:rPr>
              <w:t>13,0%</w:t>
            </w:r>
          </w:p>
        </w:tc>
      </w:tr>
      <w:tr w:rsidR="00000000">
        <w:tblPrEx>
          <w:tblCellMar>
            <w:top w:w="0" w:type="dxa"/>
            <w:bottom w:w="0" w:type="dxa"/>
          </w:tblCellMar>
        </w:tblPrEx>
        <w:tc>
          <w:tcPr>
            <w:tcW w:w="1465" w:type="dxa"/>
          </w:tcPr>
          <w:p w:rsidR="00000000" w:rsidRDefault="00000000">
            <w:pPr>
              <w:jc w:val="center"/>
              <w:rPr>
                <w:sz w:val="22"/>
              </w:rPr>
            </w:pPr>
            <w:r>
              <w:rPr>
                <w:sz w:val="22"/>
              </w:rPr>
              <w:t>1993</w:t>
            </w:r>
          </w:p>
        </w:tc>
        <w:tc>
          <w:tcPr>
            <w:tcW w:w="1676" w:type="dxa"/>
          </w:tcPr>
          <w:p w:rsidR="00000000" w:rsidRDefault="00000000">
            <w:pPr>
              <w:ind w:right="284"/>
              <w:jc w:val="right"/>
              <w:rPr>
                <w:sz w:val="22"/>
              </w:rPr>
            </w:pPr>
            <w:r>
              <w:rPr>
                <w:sz w:val="22"/>
              </w:rPr>
              <w:t>205.386</w:t>
            </w:r>
          </w:p>
        </w:tc>
        <w:tc>
          <w:tcPr>
            <w:tcW w:w="1674" w:type="dxa"/>
          </w:tcPr>
          <w:p w:rsidR="00000000" w:rsidRDefault="00000000">
            <w:pPr>
              <w:ind w:right="284"/>
              <w:jc w:val="right"/>
              <w:rPr>
                <w:sz w:val="22"/>
              </w:rPr>
            </w:pPr>
            <w:r>
              <w:rPr>
                <w:sz w:val="22"/>
              </w:rPr>
              <w:t>58.392</w:t>
            </w:r>
          </w:p>
        </w:tc>
        <w:tc>
          <w:tcPr>
            <w:tcW w:w="1674" w:type="dxa"/>
          </w:tcPr>
          <w:p w:rsidR="00000000" w:rsidRDefault="00000000">
            <w:pPr>
              <w:jc w:val="center"/>
              <w:rPr>
                <w:sz w:val="22"/>
              </w:rPr>
            </w:pPr>
            <w:r>
              <w:rPr>
                <w:sz w:val="22"/>
              </w:rPr>
              <w:t>28,4%</w:t>
            </w:r>
          </w:p>
        </w:tc>
        <w:tc>
          <w:tcPr>
            <w:tcW w:w="1674" w:type="dxa"/>
          </w:tcPr>
          <w:p w:rsidR="00000000" w:rsidRDefault="00000000">
            <w:pPr>
              <w:ind w:right="284"/>
              <w:jc w:val="right"/>
              <w:rPr>
                <w:sz w:val="22"/>
              </w:rPr>
            </w:pPr>
            <w:r>
              <w:rPr>
                <w:sz w:val="22"/>
              </w:rPr>
              <w:t>28.330</w:t>
            </w:r>
          </w:p>
        </w:tc>
        <w:tc>
          <w:tcPr>
            <w:tcW w:w="1674" w:type="dxa"/>
          </w:tcPr>
          <w:p w:rsidR="00000000" w:rsidRDefault="00000000">
            <w:pPr>
              <w:jc w:val="center"/>
              <w:rPr>
                <w:sz w:val="22"/>
              </w:rPr>
            </w:pPr>
            <w:r>
              <w:rPr>
                <w:sz w:val="22"/>
              </w:rPr>
              <w:t>13,8%</w:t>
            </w:r>
          </w:p>
        </w:tc>
      </w:tr>
      <w:tr w:rsidR="00000000">
        <w:tblPrEx>
          <w:tblCellMar>
            <w:top w:w="0" w:type="dxa"/>
            <w:bottom w:w="0" w:type="dxa"/>
          </w:tblCellMar>
        </w:tblPrEx>
        <w:tc>
          <w:tcPr>
            <w:tcW w:w="1465" w:type="dxa"/>
          </w:tcPr>
          <w:p w:rsidR="00000000" w:rsidRDefault="00000000">
            <w:pPr>
              <w:jc w:val="center"/>
              <w:rPr>
                <w:sz w:val="22"/>
              </w:rPr>
            </w:pPr>
            <w:r>
              <w:rPr>
                <w:sz w:val="22"/>
              </w:rPr>
              <w:t>1994</w:t>
            </w:r>
          </w:p>
        </w:tc>
        <w:tc>
          <w:tcPr>
            <w:tcW w:w="1676" w:type="dxa"/>
          </w:tcPr>
          <w:p w:rsidR="00000000" w:rsidRDefault="00000000">
            <w:pPr>
              <w:ind w:right="284"/>
              <w:jc w:val="right"/>
              <w:rPr>
                <w:sz w:val="22"/>
              </w:rPr>
            </w:pPr>
            <w:r>
              <w:rPr>
                <w:sz w:val="22"/>
              </w:rPr>
              <w:t>210.000</w:t>
            </w:r>
          </w:p>
        </w:tc>
        <w:tc>
          <w:tcPr>
            <w:tcW w:w="1674" w:type="dxa"/>
          </w:tcPr>
          <w:p w:rsidR="00000000" w:rsidRDefault="00000000">
            <w:pPr>
              <w:ind w:right="284"/>
              <w:jc w:val="right"/>
              <w:rPr>
                <w:sz w:val="22"/>
              </w:rPr>
            </w:pPr>
            <w:r>
              <w:rPr>
                <w:sz w:val="22"/>
              </w:rPr>
              <w:t>58.253</w:t>
            </w:r>
          </w:p>
        </w:tc>
        <w:tc>
          <w:tcPr>
            <w:tcW w:w="1674" w:type="dxa"/>
          </w:tcPr>
          <w:p w:rsidR="00000000" w:rsidRDefault="00000000">
            <w:pPr>
              <w:jc w:val="center"/>
              <w:rPr>
                <w:sz w:val="22"/>
              </w:rPr>
            </w:pPr>
            <w:r>
              <w:rPr>
                <w:sz w:val="22"/>
              </w:rPr>
              <w:t>27,7%</w:t>
            </w:r>
          </w:p>
        </w:tc>
        <w:tc>
          <w:tcPr>
            <w:tcW w:w="1674" w:type="dxa"/>
          </w:tcPr>
          <w:p w:rsidR="00000000" w:rsidRDefault="00000000">
            <w:pPr>
              <w:ind w:right="284"/>
              <w:jc w:val="right"/>
              <w:rPr>
                <w:sz w:val="22"/>
              </w:rPr>
            </w:pPr>
            <w:r>
              <w:rPr>
                <w:sz w:val="22"/>
              </w:rPr>
              <w:t>29.038</w:t>
            </w:r>
          </w:p>
        </w:tc>
        <w:tc>
          <w:tcPr>
            <w:tcW w:w="1674" w:type="dxa"/>
          </w:tcPr>
          <w:p w:rsidR="00000000" w:rsidRDefault="00000000">
            <w:pPr>
              <w:jc w:val="center"/>
              <w:rPr>
                <w:sz w:val="22"/>
              </w:rPr>
            </w:pPr>
            <w:r>
              <w:rPr>
                <w:sz w:val="22"/>
              </w:rPr>
              <w:t>13,8%</w:t>
            </w:r>
          </w:p>
        </w:tc>
      </w:tr>
      <w:tr w:rsidR="00000000">
        <w:tblPrEx>
          <w:tblCellMar>
            <w:top w:w="0" w:type="dxa"/>
            <w:bottom w:w="0" w:type="dxa"/>
          </w:tblCellMar>
        </w:tblPrEx>
        <w:tc>
          <w:tcPr>
            <w:tcW w:w="1465" w:type="dxa"/>
          </w:tcPr>
          <w:p w:rsidR="00000000" w:rsidRDefault="00000000">
            <w:pPr>
              <w:jc w:val="center"/>
              <w:rPr>
                <w:sz w:val="22"/>
              </w:rPr>
            </w:pPr>
            <w:r>
              <w:rPr>
                <w:sz w:val="22"/>
              </w:rPr>
              <w:t>1995</w:t>
            </w:r>
          </w:p>
        </w:tc>
        <w:tc>
          <w:tcPr>
            <w:tcW w:w="1676" w:type="dxa"/>
          </w:tcPr>
          <w:p w:rsidR="00000000" w:rsidRDefault="00000000">
            <w:pPr>
              <w:ind w:right="284"/>
              <w:jc w:val="right"/>
              <w:rPr>
                <w:sz w:val="22"/>
              </w:rPr>
            </w:pPr>
            <w:r>
              <w:rPr>
                <w:sz w:val="22"/>
              </w:rPr>
              <w:t>177.454</w:t>
            </w:r>
          </w:p>
        </w:tc>
        <w:tc>
          <w:tcPr>
            <w:tcW w:w="1674" w:type="dxa"/>
          </w:tcPr>
          <w:p w:rsidR="00000000" w:rsidRDefault="00000000">
            <w:pPr>
              <w:ind w:right="284"/>
              <w:jc w:val="right"/>
              <w:rPr>
                <w:sz w:val="22"/>
              </w:rPr>
            </w:pPr>
            <w:r>
              <w:rPr>
                <w:sz w:val="22"/>
              </w:rPr>
              <w:t>52.066</w:t>
            </w:r>
          </w:p>
        </w:tc>
        <w:tc>
          <w:tcPr>
            <w:tcW w:w="1674" w:type="dxa"/>
          </w:tcPr>
          <w:p w:rsidR="00000000" w:rsidRDefault="00000000">
            <w:pPr>
              <w:jc w:val="center"/>
              <w:rPr>
                <w:sz w:val="22"/>
              </w:rPr>
            </w:pPr>
            <w:r>
              <w:rPr>
                <w:sz w:val="22"/>
              </w:rPr>
              <w:t>28 ,7%</w:t>
            </w:r>
          </w:p>
        </w:tc>
        <w:tc>
          <w:tcPr>
            <w:tcW w:w="1674" w:type="dxa"/>
          </w:tcPr>
          <w:p w:rsidR="00000000" w:rsidRDefault="00000000">
            <w:pPr>
              <w:ind w:right="284"/>
              <w:jc w:val="right"/>
              <w:rPr>
                <w:sz w:val="22"/>
              </w:rPr>
            </w:pPr>
            <w:r>
              <w:rPr>
                <w:sz w:val="22"/>
              </w:rPr>
              <w:t>26.213</w:t>
            </w:r>
          </w:p>
        </w:tc>
        <w:tc>
          <w:tcPr>
            <w:tcW w:w="1674" w:type="dxa"/>
          </w:tcPr>
          <w:p w:rsidR="00000000" w:rsidRDefault="00000000">
            <w:pPr>
              <w:jc w:val="center"/>
              <w:rPr>
                <w:sz w:val="22"/>
              </w:rPr>
            </w:pPr>
            <w:r>
              <w:rPr>
                <w:sz w:val="22"/>
              </w:rPr>
              <w:t>14,8%</w:t>
            </w:r>
          </w:p>
        </w:tc>
      </w:tr>
      <w:tr w:rsidR="00000000">
        <w:tblPrEx>
          <w:tblCellMar>
            <w:top w:w="0" w:type="dxa"/>
            <w:bottom w:w="0" w:type="dxa"/>
          </w:tblCellMar>
        </w:tblPrEx>
        <w:tc>
          <w:tcPr>
            <w:tcW w:w="1465" w:type="dxa"/>
          </w:tcPr>
          <w:p w:rsidR="00000000" w:rsidRDefault="00000000">
            <w:pPr>
              <w:jc w:val="center"/>
              <w:rPr>
                <w:sz w:val="22"/>
              </w:rPr>
            </w:pPr>
            <w:r>
              <w:rPr>
                <w:sz w:val="22"/>
              </w:rPr>
              <w:t>1996</w:t>
            </w:r>
          </w:p>
        </w:tc>
        <w:tc>
          <w:tcPr>
            <w:tcW w:w="1676" w:type="dxa"/>
          </w:tcPr>
          <w:p w:rsidR="00000000" w:rsidRDefault="00000000">
            <w:pPr>
              <w:ind w:right="284"/>
              <w:jc w:val="right"/>
              <w:rPr>
                <w:sz w:val="22"/>
              </w:rPr>
            </w:pPr>
            <w:r>
              <w:rPr>
                <w:sz w:val="22"/>
              </w:rPr>
              <w:t>182.000</w:t>
            </w:r>
          </w:p>
        </w:tc>
        <w:tc>
          <w:tcPr>
            <w:tcW w:w="1674" w:type="dxa"/>
          </w:tcPr>
          <w:p w:rsidR="00000000" w:rsidRDefault="00000000">
            <w:pPr>
              <w:ind w:right="284"/>
              <w:jc w:val="right"/>
              <w:rPr>
                <w:sz w:val="22"/>
              </w:rPr>
            </w:pPr>
            <w:r>
              <w:rPr>
                <w:sz w:val="22"/>
              </w:rPr>
              <w:t>39.984</w:t>
            </w:r>
          </w:p>
        </w:tc>
        <w:tc>
          <w:tcPr>
            <w:tcW w:w="1674" w:type="dxa"/>
          </w:tcPr>
          <w:p w:rsidR="00000000" w:rsidRDefault="00000000">
            <w:pPr>
              <w:jc w:val="center"/>
              <w:rPr>
                <w:sz w:val="22"/>
              </w:rPr>
            </w:pPr>
            <w:r>
              <w:rPr>
                <w:sz w:val="22"/>
              </w:rPr>
              <w:t>22,O%</w:t>
            </w:r>
          </w:p>
        </w:tc>
        <w:tc>
          <w:tcPr>
            <w:tcW w:w="1674" w:type="dxa"/>
          </w:tcPr>
          <w:p w:rsidR="00000000" w:rsidRDefault="00000000">
            <w:pPr>
              <w:ind w:right="284"/>
              <w:jc w:val="right"/>
              <w:rPr>
                <w:sz w:val="22"/>
              </w:rPr>
            </w:pPr>
            <w:r>
              <w:rPr>
                <w:sz w:val="22"/>
              </w:rPr>
              <w:t>23.965</w:t>
            </w:r>
          </w:p>
        </w:tc>
        <w:tc>
          <w:tcPr>
            <w:tcW w:w="1674" w:type="dxa"/>
          </w:tcPr>
          <w:p w:rsidR="00000000" w:rsidRDefault="00000000">
            <w:pPr>
              <w:jc w:val="center"/>
              <w:rPr>
                <w:sz w:val="22"/>
              </w:rPr>
            </w:pPr>
            <w:r>
              <w:rPr>
                <w:sz w:val="22"/>
              </w:rPr>
              <w:t>13,2%</w:t>
            </w:r>
          </w:p>
        </w:tc>
      </w:tr>
      <w:tr w:rsidR="00000000">
        <w:tblPrEx>
          <w:tblCellMar>
            <w:top w:w="0" w:type="dxa"/>
            <w:bottom w:w="0" w:type="dxa"/>
          </w:tblCellMar>
        </w:tblPrEx>
        <w:tc>
          <w:tcPr>
            <w:tcW w:w="1465" w:type="dxa"/>
          </w:tcPr>
          <w:p w:rsidR="00000000" w:rsidRDefault="00000000">
            <w:pPr>
              <w:jc w:val="center"/>
              <w:rPr>
                <w:sz w:val="22"/>
              </w:rPr>
            </w:pPr>
            <w:r>
              <w:rPr>
                <w:sz w:val="22"/>
              </w:rPr>
              <w:t>1997</w:t>
            </w:r>
          </w:p>
        </w:tc>
        <w:tc>
          <w:tcPr>
            <w:tcW w:w="1676" w:type="dxa"/>
          </w:tcPr>
          <w:p w:rsidR="00000000" w:rsidRDefault="00000000">
            <w:pPr>
              <w:ind w:right="284"/>
              <w:jc w:val="right"/>
              <w:rPr>
                <w:sz w:val="22"/>
              </w:rPr>
            </w:pPr>
            <w:r>
              <w:rPr>
                <w:sz w:val="22"/>
              </w:rPr>
              <w:t>204.000</w:t>
            </w:r>
          </w:p>
        </w:tc>
        <w:tc>
          <w:tcPr>
            <w:tcW w:w="1674" w:type="dxa"/>
          </w:tcPr>
          <w:p w:rsidR="00000000" w:rsidRDefault="00000000">
            <w:pPr>
              <w:ind w:right="284"/>
              <w:jc w:val="right"/>
              <w:rPr>
                <w:sz w:val="22"/>
              </w:rPr>
            </w:pPr>
            <w:r>
              <w:rPr>
                <w:sz w:val="22"/>
              </w:rPr>
              <w:t>48.425</w:t>
            </w:r>
          </w:p>
        </w:tc>
        <w:tc>
          <w:tcPr>
            <w:tcW w:w="1674" w:type="dxa"/>
          </w:tcPr>
          <w:p w:rsidR="00000000" w:rsidRDefault="00000000">
            <w:pPr>
              <w:jc w:val="center"/>
              <w:rPr>
                <w:sz w:val="22"/>
              </w:rPr>
            </w:pPr>
            <w:r>
              <w:rPr>
                <w:sz w:val="22"/>
              </w:rPr>
              <w:t>23,7%</w:t>
            </w:r>
          </w:p>
        </w:tc>
        <w:tc>
          <w:tcPr>
            <w:tcW w:w="1674" w:type="dxa"/>
          </w:tcPr>
          <w:p w:rsidR="00000000" w:rsidRDefault="00000000">
            <w:pPr>
              <w:ind w:right="284"/>
              <w:jc w:val="right"/>
              <w:rPr>
                <w:sz w:val="22"/>
              </w:rPr>
            </w:pPr>
            <w:r>
              <w:rPr>
                <w:sz w:val="22"/>
              </w:rPr>
              <w:t>23.596</w:t>
            </w:r>
          </w:p>
        </w:tc>
        <w:tc>
          <w:tcPr>
            <w:tcW w:w="1674" w:type="dxa"/>
          </w:tcPr>
          <w:p w:rsidR="00000000" w:rsidRDefault="00000000">
            <w:pPr>
              <w:jc w:val="center"/>
              <w:rPr>
                <w:sz w:val="22"/>
              </w:rPr>
            </w:pPr>
            <w:r>
              <w:rPr>
                <w:sz w:val="22"/>
              </w:rPr>
              <w:t>11,5%</w:t>
            </w:r>
          </w:p>
        </w:tc>
      </w:tr>
      <w:tr w:rsidR="00000000">
        <w:tblPrEx>
          <w:tblCellMar>
            <w:top w:w="0" w:type="dxa"/>
            <w:bottom w:w="0" w:type="dxa"/>
          </w:tblCellMar>
        </w:tblPrEx>
        <w:tc>
          <w:tcPr>
            <w:tcW w:w="1465" w:type="dxa"/>
          </w:tcPr>
          <w:p w:rsidR="00000000" w:rsidRDefault="00000000">
            <w:pPr>
              <w:jc w:val="center"/>
              <w:rPr>
                <w:sz w:val="22"/>
              </w:rPr>
            </w:pPr>
            <w:r>
              <w:rPr>
                <w:sz w:val="22"/>
              </w:rPr>
              <w:t>1998</w:t>
            </w:r>
          </w:p>
        </w:tc>
        <w:tc>
          <w:tcPr>
            <w:tcW w:w="1676" w:type="dxa"/>
          </w:tcPr>
          <w:p w:rsidR="00000000" w:rsidRDefault="00000000">
            <w:pPr>
              <w:ind w:right="284"/>
              <w:jc w:val="right"/>
              <w:rPr>
                <w:sz w:val="22"/>
              </w:rPr>
            </w:pPr>
            <w:r>
              <w:rPr>
                <w:sz w:val="22"/>
              </w:rPr>
              <w:t>222.400</w:t>
            </w:r>
          </w:p>
        </w:tc>
        <w:tc>
          <w:tcPr>
            <w:tcW w:w="1674" w:type="dxa"/>
          </w:tcPr>
          <w:p w:rsidR="00000000" w:rsidRDefault="00000000">
            <w:pPr>
              <w:ind w:right="284"/>
              <w:jc w:val="right"/>
              <w:rPr>
                <w:sz w:val="22"/>
              </w:rPr>
            </w:pPr>
            <w:r>
              <w:rPr>
                <w:sz w:val="22"/>
              </w:rPr>
              <w:t>52.152</w:t>
            </w:r>
          </w:p>
        </w:tc>
        <w:tc>
          <w:tcPr>
            <w:tcW w:w="1674" w:type="dxa"/>
          </w:tcPr>
          <w:p w:rsidR="00000000" w:rsidRDefault="00000000">
            <w:pPr>
              <w:jc w:val="center"/>
              <w:rPr>
                <w:sz w:val="22"/>
              </w:rPr>
            </w:pPr>
            <w:r>
              <w:rPr>
                <w:sz w:val="22"/>
              </w:rPr>
              <w:t>23,%</w:t>
            </w:r>
          </w:p>
        </w:tc>
        <w:tc>
          <w:tcPr>
            <w:tcW w:w="1674" w:type="dxa"/>
          </w:tcPr>
          <w:p w:rsidR="00000000" w:rsidRDefault="00000000">
            <w:pPr>
              <w:ind w:right="284"/>
              <w:jc w:val="right"/>
              <w:rPr>
                <w:sz w:val="22"/>
              </w:rPr>
            </w:pPr>
            <w:r>
              <w:rPr>
                <w:sz w:val="22"/>
              </w:rPr>
              <w:t>24.982</w:t>
            </w:r>
          </w:p>
        </w:tc>
        <w:tc>
          <w:tcPr>
            <w:tcW w:w="1674" w:type="dxa"/>
          </w:tcPr>
          <w:p w:rsidR="00000000" w:rsidRDefault="00000000">
            <w:pPr>
              <w:jc w:val="center"/>
              <w:rPr>
                <w:sz w:val="22"/>
              </w:rPr>
            </w:pPr>
            <w:r>
              <w:rPr>
                <w:sz w:val="22"/>
              </w:rPr>
              <w:t>11,2%</w:t>
            </w:r>
          </w:p>
        </w:tc>
      </w:tr>
      <w:tr w:rsidR="00000000">
        <w:tblPrEx>
          <w:tblCellMar>
            <w:top w:w="0" w:type="dxa"/>
            <w:bottom w:w="0" w:type="dxa"/>
          </w:tblCellMar>
        </w:tblPrEx>
        <w:tc>
          <w:tcPr>
            <w:tcW w:w="1465" w:type="dxa"/>
          </w:tcPr>
          <w:p w:rsidR="00000000" w:rsidRDefault="00000000">
            <w:pPr>
              <w:jc w:val="center"/>
              <w:rPr>
                <w:sz w:val="22"/>
              </w:rPr>
            </w:pPr>
            <w:r>
              <w:rPr>
                <w:sz w:val="22"/>
              </w:rPr>
              <w:t>1999</w:t>
            </w:r>
          </w:p>
        </w:tc>
        <w:tc>
          <w:tcPr>
            <w:tcW w:w="1676" w:type="dxa"/>
          </w:tcPr>
          <w:p w:rsidR="00000000" w:rsidRDefault="00000000">
            <w:pPr>
              <w:ind w:right="284"/>
              <w:jc w:val="right"/>
              <w:rPr>
                <w:sz w:val="22"/>
              </w:rPr>
            </w:pPr>
            <w:r>
              <w:rPr>
                <w:sz w:val="22"/>
              </w:rPr>
              <w:t>200.506</w:t>
            </w:r>
          </w:p>
        </w:tc>
        <w:tc>
          <w:tcPr>
            <w:tcW w:w="1674" w:type="dxa"/>
          </w:tcPr>
          <w:p w:rsidR="00000000" w:rsidRDefault="00000000">
            <w:pPr>
              <w:ind w:right="284"/>
              <w:jc w:val="right"/>
              <w:rPr>
                <w:sz w:val="22"/>
              </w:rPr>
            </w:pPr>
            <w:r>
              <w:rPr>
                <w:sz w:val="22"/>
              </w:rPr>
              <w:t>52.129</w:t>
            </w:r>
          </w:p>
        </w:tc>
        <w:tc>
          <w:tcPr>
            <w:tcW w:w="1674" w:type="dxa"/>
          </w:tcPr>
          <w:p w:rsidR="00000000" w:rsidRDefault="00000000">
            <w:pPr>
              <w:jc w:val="center"/>
              <w:rPr>
                <w:sz w:val="22"/>
              </w:rPr>
            </w:pPr>
            <w:r>
              <w:rPr>
                <w:sz w:val="22"/>
              </w:rPr>
              <w:t>26,3%</w:t>
            </w:r>
          </w:p>
        </w:tc>
        <w:tc>
          <w:tcPr>
            <w:tcW w:w="1674" w:type="dxa"/>
          </w:tcPr>
          <w:p w:rsidR="00000000" w:rsidRDefault="00000000">
            <w:pPr>
              <w:ind w:right="284"/>
              <w:jc w:val="right"/>
              <w:rPr>
                <w:sz w:val="22"/>
              </w:rPr>
            </w:pPr>
            <w:r>
              <w:rPr>
                <w:sz w:val="22"/>
              </w:rPr>
              <w:t>26.716</w:t>
            </w:r>
          </w:p>
        </w:tc>
        <w:tc>
          <w:tcPr>
            <w:tcW w:w="1674" w:type="dxa"/>
          </w:tcPr>
          <w:p w:rsidR="00000000" w:rsidRDefault="00000000">
            <w:pPr>
              <w:jc w:val="center"/>
              <w:rPr>
                <w:sz w:val="22"/>
              </w:rPr>
            </w:pPr>
            <w:r>
              <w:rPr>
                <w:sz w:val="22"/>
              </w:rPr>
              <w:t>13,7%</w:t>
            </w:r>
          </w:p>
        </w:tc>
      </w:tr>
    </w:tbl>
    <w:p w:rsidR="00000000" w:rsidRDefault="00000000">
      <w:pPr>
        <w:jc w:val="both"/>
        <w:rPr>
          <w:sz w:val="22"/>
        </w:rPr>
      </w:pPr>
      <w:r>
        <w:rPr>
          <w:sz w:val="22"/>
        </w:rPr>
        <w:t>* En millions de F CFA</w:t>
      </w:r>
    </w:p>
    <w:p w:rsidR="00000000" w:rsidRDefault="00000000">
      <w:pPr>
        <w:rPr>
          <w:i/>
          <w:sz w:val="22"/>
        </w:rPr>
      </w:pPr>
      <w:r>
        <w:rPr>
          <w:i/>
          <w:sz w:val="22"/>
          <w:u w:val="single"/>
        </w:rPr>
        <w:t>Source</w:t>
      </w:r>
      <w:r>
        <w:rPr>
          <w:sz w:val="22"/>
        </w:rPr>
        <w:t xml:space="preserve"> :</w:t>
      </w:r>
      <w:r>
        <w:rPr>
          <w:i/>
          <w:sz w:val="22"/>
        </w:rPr>
        <w:t xml:space="preserve"> Bilan du système éducatif congolais, 1998.</w:t>
      </w:r>
    </w:p>
    <w:p w:rsidR="00000000" w:rsidRDefault="00000000">
      <w:pPr>
        <w:rPr>
          <w:sz w:val="22"/>
        </w:rPr>
      </w:pPr>
    </w:p>
    <w:p w:rsidR="00000000" w:rsidRDefault="00000000">
      <w:pPr>
        <w:rPr>
          <w:b/>
          <w:sz w:val="22"/>
        </w:rPr>
      </w:pPr>
      <w:r>
        <w:rPr>
          <w:b/>
          <w:sz w:val="22"/>
          <w:u w:val="single"/>
        </w:rPr>
        <w:br w:type="page"/>
        <w:t>Tableau n° 45</w:t>
      </w:r>
      <w:r>
        <w:rPr>
          <w:b/>
          <w:sz w:val="22"/>
        </w:rPr>
        <w:t> : Financement de l’éducation en matière de formation</w:t>
      </w:r>
    </w:p>
    <w:p w:rsidR="00000000" w:rsidRDefault="00000000">
      <w:pPr>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21"/>
        <w:gridCol w:w="1624"/>
        <w:gridCol w:w="1625"/>
        <w:gridCol w:w="1624"/>
        <w:gridCol w:w="1625"/>
      </w:tblGrid>
      <w:tr w:rsidR="00000000">
        <w:tblPrEx>
          <w:tblCellMar>
            <w:top w:w="0" w:type="dxa"/>
            <w:bottom w:w="0" w:type="dxa"/>
          </w:tblCellMar>
        </w:tblPrEx>
        <w:tc>
          <w:tcPr>
            <w:tcW w:w="3321" w:type="dxa"/>
          </w:tcPr>
          <w:p w:rsidR="00000000" w:rsidRDefault="00000000">
            <w:pPr>
              <w:jc w:val="center"/>
              <w:rPr>
                <w:sz w:val="22"/>
              </w:rPr>
            </w:pPr>
            <w:r>
              <w:rPr>
                <w:sz w:val="22"/>
              </w:rPr>
              <w:t>Années</w:t>
            </w:r>
          </w:p>
        </w:tc>
        <w:tc>
          <w:tcPr>
            <w:tcW w:w="1624" w:type="dxa"/>
          </w:tcPr>
          <w:p w:rsidR="00000000" w:rsidRDefault="00000000">
            <w:pPr>
              <w:jc w:val="center"/>
              <w:rPr>
                <w:sz w:val="22"/>
              </w:rPr>
            </w:pPr>
            <w:r>
              <w:rPr>
                <w:sz w:val="22"/>
              </w:rPr>
              <w:t>1995</w:t>
            </w:r>
          </w:p>
        </w:tc>
        <w:tc>
          <w:tcPr>
            <w:tcW w:w="1625" w:type="dxa"/>
          </w:tcPr>
          <w:p w:rsidR="00000000" w:rsidRDefault="00000000">
            <w:pPr>
              <w:jc w:val="center"/>
              <w:rPr>
                <w:sz w:val="22"/>
              </w:rPr>
            </w:pPr>
            <w:r>
              <w:rPr>
                <w:sz w:val="22"/>
              </w:rPr>
              <w:t>1996</w:t>
            </w:r>
          </w:p>
        </w:tc>
        <w:tc>
          <w:tcPr>
            <w:tcW w:w="1624" w:type="dxa"/>
          </w:tcPr>
          <w:p w:rsidR="00000000" w:rsidRDefault="00000000">
            <w:pPr>
              <w:jc w:val="center"/>
              <w:rPr>
                <w:sz w:val="22"/>
              </w:rPr>
            </w:pPr>
            <w:r>
              <w:rPr>
                <w:sz w:val="22"/>
              </w:rPr>
              <w:t>1997</w:t>
            </w:r>
          </w:p>
        </w:tc>
        <w:tc>
          <w:tcPr>
            <w:tcW w:w="1625" w:type="dxa"/>
          </w:tcPr>
          <w:p w:rsidR="00000000" w:rsidRDefault="00000000">
            <w:pPr>
              <w:jc w:val="center"/>
              <w:rPr>
                <w:sz w:val="22"/>
              </w:rPr>
            </w:pPr>
            <w:r>
              <w:rPr>
                <w:sz w:val="22"/>
              </w:rPr>
              <w:t>1998</w:t>
            </w:r>
          </w:p>
        </w:tc>
      </w:tr>
      <w:tr w:rsidR="00000000">
        <w:tblPrEx>
          <w:tblCellMar>
            <w:top w:w="0" w:type="dxa"/>
            <w:bottom w:w="0" w:type="dxa"/>
          </w:tblCellMar>
        </w:tblPrEx>
        <w:tc>
          <w:tcPr>
            <w:tcW w:w="3321" w:type="dxa"/>
          </w:tcPr>
          <w:p w:rsidR="00000000" w:rsidRDefault="00000000">
            <w:pPr>
              <w:rPr>
                <w:sz w:val="22"/>
              </w:rPr>
            </w:pPr>
            <w:r>
              <w:rPr>
                <w:sz w:val="22"/>
              </w:rPr>
              <w:t>Personnels</w:t>
            </w:r>
          </w:p>
        </w:tc>
        <w:tc>
          <w:tcPr>
            <w:tcW w:w="1624" w:type="dxa"/>
          </w:tcPr>
          <w:p w:rsidR="00000000" w:rsidRDefault="00000000">
            <w:pPr>
              <w:ind w:right="284"/>
              <w:jc w:val="right"/>
              <w:rPr>
                <w:sz w:val="22"/>
              </w:rPr>
            </w:pPr>
            <w:r>
              <w:rPr>
                <w:sz w:val="22"/>
              </w:rPr>
              <w:t>35.277,88</w:t>
            </w:r>
          </w:p>
        </w:tc>
        <w:tc>
          <w:tcPr>
            <w:tcW w:w="1625" w:type="dxa"/>
          </w:tcPr>
          <w:p w:rsidR="00000000" w:rsidRDefault="00000000">
            <w:pPr>
              <w:ind w:right="284"/>
              <w:jc w:val="right"/>
              <w:rPr>
                <w:sz w:val="22"/>
              </w:rPr>
            </w:pPr>
            <w:r>
              <w:rPr>
                <w:sz w:val="22"/>
              </w:rPr>
              <w:t>32.071,00</w:t>
            </w:r>
          </w:p>
        </w:tc>
        <w:tc>
          <w:tcPr>
            <w:tcW w:w="1624" w:type="dxa"/>
          </w:tcPr>
          <w:p w:rsidR="00000000" w:rsidRDefault="00000000">
            <w:pPr>
              <w:ind w:right="284"/>
              <w:jc w:val="right"/>
              <w:rPr>
                <w:sz w:val="22"/>
              </w:rPr>
            </w:pPr>
            <w:r>
              <w:rPr>
                <w:sz w:val="22"/>
              </w:rPr>
              <w:t>31.235,89</w:t>
            </w:r>
          </w:p>
        </w:tc>
        <w:tc>
          <w:tcPr>
            <w:tcW w:w="1625" w:type="dxa"/>
          </w:tcPr>
          <w:p w:rsidR="00000000" w:rsidRDefault="00000000">
            <w:pPr>
              <w:ind w:right="284"/>
              <w:jc w:val="right"/>
              <w:rPr>
                <w:sz w:val="22"/>
              </w:rPr>
            </w:pPr>
            <w:r>
              <w:rPr>
                <w:sz w:val="22"/>
              </w:rPr>
              <w:t>34.564,78</w:t>
            </w:r>
          </w:p>
        </w:tc>
      </w:tr>
      <w:tr w:rsidR="00000000">
        <w:tblPrEx>
          <w:tblCellMar>
            <w:top w:w="0" w:type="dxa"/>
            <w:bottom w:w="0" w:type="dxa"/>
          </w:tblCellMar>
        </w:tblPrEx>
        <w:tc>
          <w:tcPr>
            <w:tcW w:w="3321" w:type="dxa"/>
          </w:tcPr>
          <w:p w:rsidR="00000000" w:rsidRDefault="00000000">
            <w:pPr>
              <w:rPr>
                <w:sz w:val="22"/>
              </w:rPr>
            </w:pPr>
            <w:r>
              <w:rPr>
                <w:sz w:val="22"/>
              </w:rPr>
              <w:t>Matériels</w:t>
            </w:r>
          </w:p>
        </w:tc>
        <w:tc>
          <w:tcPr>
            <w:tcW w:w="1624" w:type="dxa"/>
          </w:tcPr>
          <w:p w:rsidR="00000000" w:rsidRDefault="00000000">
            <w:pPr>
              <w:ind w:right="284"/>
              <w:jc w:val="right"/>
              <w:rPr>
                <w:sz w:val="22"/>
              </w:rPr>
            </w:pPr>
            <w:r>
              <w:rPr>
                <w:sz w:val="22"/>
              </w:rPr>
              <w:t>1.286,61</w:t>
            </w:r>
          </w:p>
        </w:tc>
        <w:tc>
          <w:tcPr>
            <w:tcW w:w="1625" w:type="dxa"/>
          </w:tcPr>
          <w:p w:rsidR="00000000" w:rsidRDefault="00000000">
            <w:pPr>
              <w:ind w:right="284"/>
              <w:jc w:val="right"/>
              <w:rPr>
                <w:sz w:val="22"/>
              </w:rPr>
            </w:pPr>
            <w:r>
              <w:rPr>
                <w:sz w:val="22"/>
              </w:rPr>
              <w:t>1.287,00</w:t>
            </w:r>
          </w:p>
        </w:tc>
        <w:tc>
          <w:tcPr>
            <w:tcW w:w="1624" w:type="dxa"/>
          </w:tcPr>
          <w:p w:rsidR="00000000" w:rsidRDefault="00000000">
            <w:pPr>
              <w:ind w:right="284"/>
              <w:jc w:val="right"/>
              <w:rPr>
                <w:sz w:val="22"/>
              </w:rPr>
            </w:pPr>
            <w:r>
              <w:rPr>
                <w:sz w:val="22"/>
              </w:rPr>
              <w:t>2.030,00</w:t>
            </w:r>
          </w:p>
        </w:tc>
        <w:tc>
          <w:tcPr>
            <w:tcW w:w="1625" w:type="dxa"/>
          </w:tcPr>
          <w:p w:rsidR="00000000" w:rsidRDefault="00000000">
            <w:pPr>
              <w:ind w:right="284"/>
              <w:jc w:val="right"/>
              <w:rPr>
                <w:sz w:val="22"/>
              </w:rPr>
            </w:pPr>
            <w:r>
              <w:rPr>
                <w:sz w:val="22"/>
              </w:rPr>
              <w:t>3.346,00</w:t>
            </w:r>
          </w:p>
        </w:tc>
      </w:tr>
      <w:tr w:rsidR="00000000">
        <w:tblPrEx>
          <w:tblCellMar>
            <w:top w:w="0" w:type="dxa"/>
            <w:bottom w:w="0" w:type="dxa"/>
          </w:tblCellMar>
        </w:tblPrEx>
        <w:tc>
          <w:tcPr>
            <w:tcW w:w="3321" w:type="dxa"/>
          </w:tcPr>
          <w:p w:rsidR="00000000" w:rsidRDefault="00000000">
            <w:pPr>
              <w:rPr>
                <w:sz w:val="22"/>
              </w:rPr>
            </w:pPr>
            <w:r>
              <w:rPr>
                <w:sz w:val="22"/>
              </w:rPr>
              <w:t>Transferts</w:t>
            </w:r>
          </w:p>
        </w:tc>
        <w:tc>
          <w:tcPr>
            <w:tcW w:w="1624" w:type="dxa"/>
          </w:tcPr>
          <w:p w:rsidR="00000000" w:rsidRDefault="00000000">
            <w:pPr>
              <w:ind w:right="284"/>
              <w:jc w:val="right"/>
              <w:rPr>
                <w:sz w:val="22"/>
              </w:rPr>
            </w:pPr>
            <w:r>
              <w:rPr>
                <w:sz w:val="22"/>
              </w:rPr>
              <w:t>14.429,00</w:t>
            </w:r>
          </w:p>
        </w:tc>
        <w:tc>
          <w:tcPr>
            <w:tcW w:w="1625" w:type="dxa"/>
          </w:tcPr>
          <w:p w:rsidR="00000000" w:rsidRDefault="00000000">
            <w:pPr>
              <w:ind w:right="284"/>
              <w:jc w:val="right"/>
              <w:rPr>
                <w:sz w:val="22"/>
              </w:rPr>
            </w:pPr>
            <w:r>
              <w:rPr>
                <w:sz w:val="22"/>
              </w:rPr>
              <w:t>14.060,00</w:t>
            </w:r>
          </w:p>
        </w:tc>
        <w:tc>
          <w:tcPr>
            <w:tcW w:w="1624" w:type="dxa"/>
          </w:tcPr>
          <w:p w:rsidR="00000000" w:rsidRDefault="00000000">
            <w:pPr>
              <w:ind w:right="284"/>
              <w:jc w:val="right"/>
              <w:rPr>
                <w:sz w:val="22"/>
              </w:rPr>
            </w:pPr>
            <w:r>
              <w:rPr>
                <w:sz w:val="22"/>
              </w:rPr>
              <w:t>14.836,00</w:t>
            </w:r>
          </w:p>
        </w:tc>
        <w:tc>
          <w:tcPr>
            <w:tcW w:w="1625" w:type="dxa"/>
          </w:tcPr>
          <w:p w:rsidR="00000000" w:rsidRDefault="00000000">
            <w:pPr>
              <w:ind w:right="284"/>
              <w:jc w:val="right"/>
              <w:rPr>
                <w:sz w:val="22"/>
              </w:rPr>
            </w:pPr>
            <w:r>
              <w:rPr>
                <w:sz w:val="22"/>
              </w:rPr>
              <w:t>15.154,75</w:t>
            </w:r>
          </w:p>
        </w:tc>
      </w:tr>
      <w:tr w:rsidR="00000000">
        <w:tblPrEx>
          <w:tblCellMar>
            <w:top w:w="0" w:type="dxa"/>
            <w:bottom w:w="0" w:type="dxa"/>
          </w:tblCellMar>
        </w:tblPrEx>
        <w:tc>
          <w:tcPr>
            <w:tcW w:w="3321" w:type="dxa"/>
          </w:tcPr>
          <w:p w:rsidR="00000000" w:rsidRDefault="00000000">
            <w:pPr>
              <w:rPr>
                <w:sz w:val="22"/>
              </w:rPr>
            </w:pPr>
            <w:r>
              <w:rPr>
                <w:sz w:val="22"/>
              </w:rPr>
              <w:t>Investissement</w:t>
            </w:r>
          </w:p>
        </w:tc>
        <w:tc>
          <w:tcPr>
            <w:tcW w:w="1624" w:type="dxa"/>
          </w:tcPr>
          <w:p w:rsidR="00000000" w:rsidRDefault="00000000">
            <w:pPr>
              <w:ind w:right="284"/>
              <w:jc w:val="right"/>
              <w:rPr>
                <w:sz w:val="22"/>
              </w:rPr>
            </w:pPr>
            <w:r>
              <w:rPr>
                <w:sz w:val="22"/>
              </w:rPr>
              <w:t>1.218,00</w:t>
            </w:r>
          </w:p>
        </w:tc>
        <w:tc>
          <w:tcPr>
            <w:tcW w:w="1625" w:type="dxa"/>
          </w:tcPr>
          <w:p w:rsidR="00000000" w:rsidRDefault="00000000">
            <w:pPr>
              <w:ind w:right="284"/>
              <w:jc w:val="right"/>
              <w:rPr>
                <w:sz w:val="22"/>
              </w:rPr>
            </w:pPr>
            <w:r>
              <w:rPr>
                <w:sz w:val="22"/>
              </w:rPr>
              <w:t>2.475,00</w:t>
            </w:r>
          </w:p>
        </w:tc>
        <w:tc>
          <w:tcPr>
            <w:tcW w:w="1624" w:type="dxa"/>
          </w:tcPr>
          <w:p w:rsidR="00000000" w:rsidRDefault="00000000">
            <w:pPr>
              <w:ind w:right="284"/>
              <w:jc w:val="right"/>
              <w:rPr>
                <w:sz w:val="22"/>
              </w:rPr>
            </w:pPr>
            <w:r>
              <w:rPr>
                <w:sz w:val="22"/>
              </w:rPr>
              <w:t>5.137,00</w:t>
            </w:r>
          </w:p>
        </w:tc>
        <w:tc>
          <w:tcPr>
            <w:tcW w:w="1625" w:type="dxa"/>
          </w:tcPr>
          <w:p w:rsidR="00000000" w:rsidRDefault="00000000">
            <w:pPr>
              <w:ind w:right="284"/>
              <w:jc w:val="right"/>
              <w:rPr>
                <w:sz w:val="22"/>
              </w:rPr>
            </w:pPr>
            <w:r>
              <w:rPr>
                <w:sz w:val="22"/>
              </w:rPr>
              <w:t>2,907,00</w:t>
            </w:r>
          </w:p>
        </w:tc>
      </w:tr>
      <w:tr w:rsidR="00000000">
        <w:tblPrEx>
          <w:tblCellMar>
            <w:top w:w="0" w:type="dxa"/>
            <w:bottom w:w="0" w:type="dxa"/>
          </w:tblCellMar>
        </w:tblPrEx>
        <w:tc>
          <w:tcPr>
            <w:tcW w:w="3321" w:type="dxa"/>
          </w:tcPr>
          <w:p w:rsidR="00000000" w:rsidRDefault="00000000">
            <w:pPr>
              <w:rPr>
                <w:sz w:val="22"/>
              </w:rPr>
            </w:pPr>
            <w:r>
              <w:rPr>
                <w:sz w:val="22"/>
              </w:rPr>
              <w:t>Budget éducation / Budget Etat</w:t>
            </w:r>
          </w:p>
        </w:tc>
        <w:tc>
          <w:tcPr>
            <w:tcW w:w="1624" w:type="dxa"/>
          </w:tcPr>
          <w:p w:rsidR="00000000" w:rsidRDefault="00000000">
            <w:pPr>
              <w:ind w:right="284"/>
              <w:jc w:val="right"/>
              <w:rPr>
                <w:sz w:val="22"/>
              </w:rPr>
            </w:pPr>
            <w:r>
              <w:rPr>
                <w:sz w:val="22"/>
              </w:rPr>
              <w:t>10,7%</w:t>
            </w:r>
          </w:p>
        </w:tc>
        <w:tc>
          <w:tcPr>
            <w:tcW w:w="1625" w:type="dxa"/>
          </w:tcPr>
          <w:p w:rsidR="00000000" w:rsidRDefault="00000000">
            <w:pPr>
              <w:ind w:right="284"/>
              <w:jc w:val="right"/>
              <w:rPr>
                <w:sz w:val="22"/>
              </w:rPr>
            </w:pPr>
          </w:p>
        </w:tc>
        <w:tc>
          <w:tcPr>
            <w:tcW w:w="1624" w:type="dxa"/>
          </w:tcPr>
          <w:p w:rsidR="00000000" w:rsidRDefault="00000000">
            <w:pPr>
              <w:ind w:right="284"/>
              <w:jc w:val="right"/>
              <w:rPr>
                <w:sz w:val="22"/>
              </w:rPr>
            </w:pPr>
            <w:r>
              <w:rPr>
                <w:sz w:val="22"/>
              </w:rPr>
              <w:t>10,6%</w:t>
            </w:r>
          </w:p>
        </w:tc>
        <w:tc>
          <w:tcPr>
            <w:tcW w:w="1625" w:type="dxa"/>
          </w:tcPr>
          <w:p w:rsidR="00000000" w:rsidRDefault="00000000">
            <w:pPr>
              <w:ind w:right="284"/>
              <w:jc w:val="right"/>
              <w:rPr>
                <w:sz w:val="22"/>
              </w:rPr>
            </w:pPr>
            <w:r>
              <w:rPr>
                <w:sz w:val="22"/>
              </w:rPr>
              <w:t>9,8%</w:t>
            </w:r>
          </w:p>
        </w:tc>
      </w:tr>
    </w:tbl>
    <w:p w:rsidR="00000000" w:rsidRDefault="00000000">
      <w:pPr>
        <w:rPr>
          <w:sz w:val="22"/>
        </w:rPr>
      </w:pPr>
    </w:p>
    <w:p w:rsidR="00000000" w:rsidRDefault="00000000">
      <w:pPr>
        <w:rPr>
          <w:i/>
          <w:sz w:val="22"/>
        </w:rPr>
      </w:pPr>
      <w:r>
        <w:rPr>
          <w:i/>
          <w:sz w:val="22"/>
          <w:u w:val="single"/>
        </w:rPr>
        <w:t>Source</w:t>
      </w:r>
      <w:r>
        <w:rPr>
          <w:i/>
          <w:sz w:val="22"/>
        </w:rPr>
        <w:t xml:space="preserve"> : Bilan du système éducatif congolais, 1998.</w:t>
      </w:r>
    </w:p>
    <w:p w:rsidR="00000000" w:rsidRDefault="00000000">
      <w:pPr>
        <w:rPr>
          <w:sz w:val="22"/>
        </w:rPr>
      </w:pPr>
    </w:p>
    <w:p w:rsidR="00000000" w:rsidRDefault="00000000">
      <w:pPr>
        <w:ind w:left="1134" w:hanging="1134"/>
        <w:jc w:val="both"/>
        <w:rPr>
          <w:sz w:val="22"/>
        </w:rPr>
      </w:pPr>
      <w:r>
        <w:rPr>
          <w:sz w:val="22"/>
          <w:u w:val="single"/>
        </w:rPr>
        <w:t>Remarque</w:t>
      </w:r>
      <w:r>
        <w:rPr>
          <w:sz w:val="22"/>
        </w:rPr>
        <w:t> : Le budget en général, représente 10% du budget de l’Etat. Mais, les plus grosses dépenses se font dans le paiement du personnel. Par contre, les investissements ne représentent qu’une faible part.</w:t>
      </w:r>
    </w:p>
    <w:p w:rsidR="00000000" w:rsidRDefault="00000000">
      <w:pPr>
        <w:rPr>
          <w:sz w:val="22"/>
        </w:rPr>
      </w:pPr>
    </w:p>
    <w:p w:rsidR="00000000" w:rsidRDefault="00000000">
      <w:pPr>
        <w:rPr>
          <w:sz w:val="22"/>
        </w:rPr>
      </w:pPr>
    </w:p>
    <w:p w:rsidR="00000000" w:rsidRDefault="00000000">
      <w:pPr>
        <w:tabs>
          <w:tab w:val="left" w:pos="1575"/>
        </w:tabs>
        <w:ind w:left="1575" w:hanging="1575"/>
        <w:jc w:val="both"/>
        <w:rPr>
          <w:b/>
          <w:sz w:val="22"/>
        </w:rPr>
      </w:pPr>
      <w:r>
        <w:rPr>
          <w:b/>
          <w:sz w:val="22"/>
        </w:rPr>
        <w:t>SECTION II -</w:t>
      </w:r>
      <w:r>
        <w:rPr>
          <w:sz w:val="22"/>
        </w:rPr>
        <w:tab/>
      </w:r>
      <w:r>
        <w:rPr>
          <w:b/>
          <w:sz w:val="22"/>
          <w:u w:val="single"/>
        </w:rPr>
        <w:t>L’accès aux mêmes programmes, aux mêmes examens, à un personnel enseignant possédant les qualifications de même ordre, à des locaux scolaires et à un équipement de même qualité</w:t>
      </w:r>
      <w:r>
        <w:rPr>
          <w:b/>
          <w:sz w:val="22"/>
        </w:rPr>
        <w:t>.</w:t>
      </w:r>
    </w:p>
    <w:p w:rsidR="00000000" w:rsidRDefault="00000000">
      <w:pPr>
        <w:rPr>
          <w:b/>
          <w:sz w:val="22"/>
        </w:rPr>
      </w:pPr>
    </w:p>
    <w:p w:rsidR="00000000" w:rsidRDefault="00000000">
      <w:pPr>
        <w:rPr>
          <w:sz w:val="22"/>
        </w:rPr>
      </w:pPr>
      <w:r>
        <w:rPr>
          <w:sz w:val="22"/>
        </w:rPr>
        <w:t xml:space="preserve">Au Congo, il n’existe pas de mesures discriminatoires en matière de programmes scolaires. On note l’existence d’un secteur public et privé. </w:t>
      </w:r>
    </w:p>
    <w:p w:rsidR="00000000" w:rsidRDefault="00000000">
      <w:pPr>
        <w:rPr>
          <w:sz w:val="22"/>
        </w:rPr>
      </w:pPr>
    </w:p>
    <w:p w:rsidR="00000000" w:rsidRDefault="00000000">
      <w:pPr>
        <w:pStyle w:val="BodyText"/>
        <w:rPr>
          <w:sz w:val="22"/>
        </w:rPr>
      </w:pPr>
      <w:r>
        <w:rPr>
          <w:sz w:val="22"/>
        </w:rPr>
        <w:t>Avant la nationalisation de l’enseignement en 1965 il a existé un enseignement laïc et un enseignement privé. L’enseignement privé était dispensé par les confessions religieuses qui se sont prononcées en faveur de l’éducation séparée des filles et des garçons. Tout en suivant le programme officiel ou le programme d’Etat, il était dispensé dans ces écoles un enseignement religieux (cours de catéchisme, de bible, préparation à tous les sacrements de l’Eglise). Les jeunes filles étaient préparées à leur tâche de futures maîtresses de maison : elles étaient formées à l’enseignement ménager (couture, tricot, raccommodage, cuisine, puériculture, entretien de la maison, travaux champêtres), mais aussi à la musique classique ou religieuse ; tandis que pour les garçons, l’accent est mis sur les métiers dits « masculins » en plus de l’enseignement religieux  et du programme d’Etat. Des prix spéciaux étaient octroyés à la fin de l’année scolaire. Cependant, les examens étaient les mêmes pour tous.</w:t>
      </w:r>
    </w:p>
    <w:p w:rsidR="00000000" w:rsidRDefault="00000000">
      <w:pPr>
        <w:rPr>
          <w:sz w:val="22"/>
        </w:rPr>
      </w:pPr>
    </w:p>
    <w:p w:rsidR="00000000" w:rsidRDefault="00000000">
      <w:pPr>
        <w:pStyle w:val="BodyText"/>
        <w:rPr>
          <w:sz w:val="22"/>
        </w:rPr>
      </w:pPr>
      <w:r>
        <w:rPr>
          <w:sz w:val="22"/>
        </w:rPr>
        <w:t>Compte tenu de ces spécificités sexospécifiques, des équipements adéquats étaient nécessaires pour chaque formation. C’est ainsi que pour les cours de cuisine ou de repassage, par exemple, il fallait des équipements appropriés.</w:t>
      </w:r>
    </w:p>
    <w:p w:rsidR="00000000" w:rsidRDefault="00000000">
      <w:pPr>
        <w:rPr>
          <w:sz w:val="22"/>
        </w:rPr>
      </w:pPr>
    </w:p>
    <w:p w:rsidR="00000000" w:rsidRDefault="00000000">
      <w:pPr>
        <w:pStyle w:val="BodyText"/>
        <w:rPr>
          <w:sz w:val="22"/>
        </w:rPr>
      </w:pPr>
      <w:r>
        <w:rPr>
          <w:sz w:val="22"/>
        </w:rPr>
        <w:t>Avec la nationalisation de l’enseignement, les cours dits spécifiques ou l’enseignement confessionnel sont supprimés. Ils sont dispensés en privé. Cependant, pour l’éducation des filles, l’État  continue de recourir à une éducation spécialisée. C’est le cas, par exemple du collège technique féminin Saint Jean-Bosco situé à Poto-Poto.</w:t>
      </w:r>
    </w:p>
    <w:p w:rsidR="00000000" w:rsidRDefault="00000000">
      <w:pPr>
        <w:pStyle w:val="BodyText"/>
        <w:rPr>
          <w:sz w:val="22"/>
        </w:rPr>
      </w:pPr>
    </w:p>
    <w:p w:rsidR="00000000" w:rsidRDefault="00000000">
      <w:pPr>
        <w:pStyle w:val="BodyText"/>
        <w:rPr>
          <w:sz w:val="22"/>
        </w:rPr>
      </w:pPr>
      <w:r>
        <w:rPr>
          <w:sz w:val="22"/>
        </w:rPr>
        <w:t>La nationalisation de l’enseignement a produit des résultats mitigés. Ceci justifie, avec l’avènement de la démocratie au Congo, et au lendemain de la Conférence Nationale Souveraine (qui a conduit à la modification de la loi n° 008/90), et de la Conférence de JOMTIEM en 1990, le recours à l’enseignement privé.</w:t>
      </w:r>
    </w:p>
    <w:p w:rsidR="00000000" w:rsidRDefault="00000000">
      <w:pPr>
        <w:pStyle w:val="BodyText"/>
        <w:rPr>
          <w:sz w:val="22"/>
        </w:rPr>
      </w:pPr>
    </w:p>
    <w:p w:rsidR="00000000" w:rsidRDefault="00000000">
      <w:pPr>
        <w:pStyle w:val="BodyText"/>
        <w:rPr>
          <w:sz w:val="22"/>
        </w:rPr>
      </w:pPr>
      <w:r>
        <w:rPr>
          <w:sz w:val="22"/>
        </w:rPr>
        <w:t>Aujourd’hui, il s’avère difficile de contrôler les programmes enseignés dans les établissements privés. On doit, cependant, relever que ces établissements diffusent des enseignements qui contribuent à l’éveil des élèves. Il s’agit de l’apprentissage de la musique, de l’informatique, des langues vivantes étrangères. Dans les écoles confessionnelles, les cours de religion, de morale ont été réorganisés. Mais, au niveau de l’enseignement confessionnel, une difficulté apparaît : la convention entre le Gouvernement Congolais et les confessions religieuses devant leur restituer l’ensemble de leurs bâtiments n’a pas encore été signée alors que l’Acte n° 049/91/CNT/P/S du 21 juin 1991 de la Conférence Nationale Souveraine autorisait cette restitution. Quelques écoles ont été restituées en 1995, suite à la décision du Conseil des Ministres, et dix (10) établissements ont été rétrocédés à l’Eglise Catholique suivant la note de service n° 303 signée en juillet 1999 pour la rentrée scolaire 1999-2000.</w:t>
      </w:r>
    </w:p>
    <w:p w:rsidR="00000000" w:rsidRDefault="00000000">
      <w:pPr>
        <w:pStyle w:val="BodyText"/>
        <w:rPr>
          <w:sz w:val="22"/>
        </w:rPr>
      </w:pPr>
    </w:p>
    <w:p w:rsidR="00000000" w:rsidRDefault="00000000">
      <w:pPr>
        <w:pStyle w:val="BodyText"/>
        <w:rPr>
          <w:sz w:val="22"/>
        </w:rPr>
      </w:pPr>
    </w:p>
    <w:p w:rsidR="00000000" w:rsidRDefault="00000000">
      <w:pPr>
        <w:pStyle w:val="BodyText"/>
        <w:rPr>
          <w:b/>
          <w:sz w:val="22"/>
        </w:rPr>
      </w:pPr>
      <w:r>
        <w:rPr>
          <w:b/>
          <w:sz w:val="22"/>
        </w:rPr>
        <w:t xml:space="preserve">SECTION III- </w:t>
      </w:r>
      <w:r>
        <w:rPr>
          <w:b/>
          <w:sz w:val="22"/>
          <w:u w:val="single"/>
        </w:rPr>
        <w:t>L’élimination de toute conception stéréotypée de l’homme et de la femme</w:t>
      </w:r>
    </w:p>
    <w:p w:rsidR="00000000" w:rsidRDefault="00000000">
      <w:pPr>
        <w:pStyle w:val="BodyText"/>
        <w:rPr>
          <w:sz w:val="22"/>
        </w:rPr>
      </w:pPr>
    </w:p>
    <w:p w:rsidR="00000000" w:rsidRDefault="00000000">
      <w:pPr>
        <w:pStyle w:val="BodyText"/>
        <w:rPr>
          <w:sz w:val="22"/>
        </w:rPr>
      </w:pPr>
      <w:r>
        <w:rPr>
          <w:sz w:val="22"/>
        </w:rPr>
        <w:t>L’élimination de toute conception stéréotypée de l’homme et de la femme suppose la remise en cause de l’éducation traditionnelle.</w:t>
      </w:r>
    </w:p>
    <w:p w:rsidR="00000000" w:rsidRDefault="00000000">
      <w:pPr>
        <w:pStyle w:val="BodyText"/>
        <w:rPr>
          <w:sz w:val="22"/>
          <w:u w:val="single"/>
        </w:rPr>
      </w:pPr>
    </w:p>
    <w:p w:rsidR="00000000" w:rsidRDefault="00000000">
      <w:pPr>
        <w:pStyle w:val="BodyText"/>
        <w:rPr>
          <w:b/>
          <w:sz w:val="22"/>
        </w:rPr>
      </w:pPr>
      <w:r>
        <w:rPr>
          <w:b/>
          <w:sz w:val="22"/>
        </w:rPr>
        <w:t xml:space="preserve">I - </w:t>
      </w:r>
      <w:r>
        <w:rPr>
          <w:b/>
          <w:sz w:val="22"/>
          <w:u w:val="single"/>
        </w:rPr>
        <w:t>Une éducation familiale stéréotypée</w:t>
      </w:r>
      <w:r>
        <w:rPr>
          <w:b/>
          <w:sz w:val="22"/>
        </w:rPr>
        <w:t> :</w:t>
      </w:r>
    </w:p>
    <w:p w:rsidR="00000000" w:rsidRDefault="00000000">
      <w:pPr>
        <w:pStyle w:val="BodyText"/>
        <w:rPr>
          <w:sz w:val="22"/>
        </w:rPr>
      </w:pPr>
    </w:p>
    <w:p w:rsidR="00000000" w:rsidRDefault="00000000">
      <w:pPr>
        <w:pStyle w:val="BodyText"/>
        <w:rPr>
          <w:sz w:val="22"/>
        </w:rPr>
      </w:pPr>
      <w:r>
        <w:rPr>
          <w:sz w:val="22"/>
        </w:rPr>
        <w:t>Pendant longtemps, la scolarisation des filles était considérée comme un placement non rentable. Il était préférable d’éduquer la jeune fille aux tâches ménagères et maternelles. Ce qui la préparait à sa future vie de femme au foyer et de mère. Elle est mariée très tôt contre une dot conséquente. Le garçon, par contre, était scolarisé plus tôt ou plus longtemps. Il était considéré comme l’appui de la famille, comme celui qui restera dans la famille et qui apportera tout le confort matériel dont elle a besoin.</w:t>
      </w:r>
    </w:p>
    <w:p w:rsidR="00000000" w:rsidRDefault="00000000">
      <w:pPr>
        <w:pStyle w:val="BodyText"/>
        <w:rPr>
          <w:sz w:val="22"/>
        </w:rPr>
      </w:pPr>
    </w:p>
    <w:p w:rsidR="00000000" w:rsidRDefault="00000000">
      <w:pPr>
        <w:pStyle w:val="BodyText"/>
        <w:rPr>
          <w:sz w:val="22"/>
        </w:rPr>
      </w:pPr>
      <w:r>
        <w:rPr>
          <w:sz w:val="22"/>
        </w:rPr>
        <w:t>La jeune fille reçoit traditionnellement une éducation particulière. Elle est initiée de manière différente selon les régions et les coutumes à affronter la vie d’adulte. Ainsi dans la région du Kouilou, l’initiation (après rapt) était faite dans la case spéciale dite de « TCHIKOUMBI ». Des femmes spécialisées lui apprenaient non seulement la manière de tenir sa maison, de se tenir en société mais aussi la manière de s’y prendre avec son mari quant aux relations sexuelles. Les rites secrets n’étaient connues que par les seules initiées.</w:t>
      </w:r>
    </w:p>
    <w:p w:rsidR="00000000" w:rsidRDefault="00000000">
      <w:pPr>
        <w:pStyle w:val="BodyText"/>
        <w:rPr>
          <w:sz w:val="22"/>
        </w:rPr>
      </w:pPr>
    </w:p>
    <w:p w:rsidR="00000000" w:rsidRDefault="00000000">
      <w:pPr>
        <w:pStyle w:val="BodyText"/>
        <w:rPr>
          <w:sz w:val="22"/>
        </w:rPr>
      </w:pPr>
      <w:r>
        <w:rPr>
          <w:sz w:val="22"/>
        </w:rPr>
        <w:t>Dans la région du Pool et dans certaines tribus, la charge de l’initiation revenait à une tante. Cette dernière était aussi chargée de « faciliter le travail » de l’époux lors de la nuit nuptiale en préparant l’hymen de la future épouse qui devait déjà être souple. La jeune fille qui, bien souvent était déjà promise à son futur conjoint dès le sein de sa mère était élevée dans l’objectif de n’être que l’épouse de ce dernier.</w:t>
      </w:r>
    </w:p>
    <w:p w:rsidR="00000000" w:rsidRDefault="00000000">
      <w:pPr>
        <w:pStyle w:val="BodyText"/>
        <w:rPr>
          <w:sz w:val="22"/>
        </w:rPr>
      </w:pPr>
    </w:p>
    <w:p w:rsidR="00000000" w:rsidRDefault="00000000">
      <w:pPr>
        <w:pStyle w:val="BodyText"/>
        <w:rPr>
          <w:sz w:val="22"/>
        </w:rPr>
      </w:pPr>
      <w:r>
        <w:rPr>
          <w:sz w:val="22"/>
        </w:rPr>
        <w:t>La tradition OMENGA et la circoncision des jeunes dans la région de la Cuvette rappellent certaines règles sacrées qui permettent l’intégration dans la société adulte. Le non-respect de ces règles peut entraîner une malédiction.</w:t>
      </w:r>
    </w:p>
    <w:p w:rsidR="00000000" w:rsidRDefault="00000000">
      <w:pPr>
        <w:pStyle w:val="BodyText"/>
        <w:rPr>
          <w:sz w:val="22"/>
        </w:rPr>
      </w:pPr>
    </w:p>
    <w:p w:rsidR="00000000" w:rsidRDefault="00000000">
      <w:pPr>
        <w:pStyle w:val="BodyText"/>
        <w:rPr>
          <w:sz w:val="22"/>
        </w:rPr>
      </w:pPr>
      <w:r>
        <w:rPr>
          <w:sz w:val="22"/>
        </w:rPr>
        <w:t>En plus de cette éducation traditionnelle la jeune fille était préparée à sa vie de future épouse par des religieuses aussi bien en ville que dans les confessions religieuses (catholiques, protestantes). Elle vivait dans des internats où elle recevait une éducation selon le modèle occidental. Ainsi préparée, la jeune fille était bonne à marier. Il n’y avait pas d’autre issue que le mariage. Alors, elle était une bonne source de revenus car la dot demandée devait tenir compte de tout ce que l’on a dépensé pour son éducation mais aussi du fait que faisant partie d’une autre famille, la famille d’origine ne pourra plus rien obtenir d’elle (financièrement).</w:t>
      </w:r>
    </w:p>
    <w:p w:rsidR="00000000" w:rsidRDefault="00000000">
      <w:pPr>
        <w:pStyle w:val="BodyText"/>
        <w:rPr>
          <w:sz w:val="22"/>
        </w:rPr>
      </w:pPr>
    </w:p>
    <w:p w:rsidR="00000000" w:rsidRDefault="00000000">
      <w:pPr>
        <w:pStyle w:val="BodyText"/>
        <w:rPr>
          <w:sz w:val="22"/>
        </w:rPr>
      </w:pPr>
      <w:r>
        <w:rPr>
          <w:sz w:val="22"/>
        </w:rPr>
        <w:t>Dans sa famille, la jeune fille est poussée vers les jeux dits « pour filles » : poupée, dînette et l’on prenait bien garde qu’elle ne s’intéresse pas du tout aux jeux dits « pour garçons ». Par la suite, la jeune fille est scolarisée durant une brève période, généralement, jusqu’au cours moyen. Ensuite, c’est le mariage précoce, la déperdition scolaire suite aux charges ménagères qui l’accablent.</w:t>
      </w:r>
    </w:p>
    <w:p w:rsidR="00000000" w:rsidRDefault="00000000">
      <w:pPr>
        <w:pStyle w:val="BodyText"/>
        <w:rPr>
          <w:sz w:val="22"/>
        </w:rPr>
      </w:pPr>
    </w:p>
    <w:p w:rsidR="00000000" w:rsidRDefault="00000000">
      <w:pPr>
        <w:pStyle w:val="BodyText"/>
        <w:rPr>
          <w:sz w:val="22"/>
        </w:rPr>
      </w:pPr>
      <w:r>
        <w:rPr>
          <w:sz w:val="22"/>
        </w:rPr>
        <w:t>Le garçon, qui constitue le socle de la famille, est dispensé de toutes les charges ménagères ; il est encouragé dans ses études, dans ses jeux et dans sa vie de futur chef de famille. Son éducation de base est différente de celle de la fille. Il est vite envoyé dans les écoles de métiers. A l’école occidentale, une éducation lui est donnée à part, dans une école pour les garçons, aussi bien dans l’enseignement public que dans l’enseignement privé (surtout dans le milieu confessionnel).</w:t>
      </w:r>
    </w:p>
    <w:p w:rsidR="00000000" w:rsidRDefault="00000000">
      <w:pPr>
        <w:pStyle w:val="BodyText"/>
        <w:rPr>
          <w:sz w:val="22"/>
        </w:rPr>
      </w:pPr>
    </w:p>
    <w:p w:rsidR="00000000" w:rsidRDefault="00000000">
      <w:pPr>
        <w:pStyle w:val="BodyText"/>
        <w:rPr>
          <w:b/>
          <w:sz w:val="22"/>
          <w:u w:val="single"/>
        </w:rPr>
      </w:pPr>
      <w:r>
        <w:rPr>
          <w:b/>
          <w:sz w:val="22"/>
        </w:rPr>
        <w:t xml:space="preserve">II – </w:t>
      </w:r>
      <w:r>
        <w:rPr>
          <w:b/>
          <w:sz w:val="22"/>
          <w:u w:val="single"/>
        </w:rPr>
        <w:t>La sous-représentativité des femmes</w:t>
      </w:r>
    </w:p>
    <w:p w:rsidR="00000000" w:rsidRDefault="00000000">
      <w:pPr>
        <w:pStyle w:val="BodyText"/>
        <w:rPr>
          <w:sz w:val="22"/>
        </w:rPr>
      </w:pPr>
    </w:p>
    <w:p w:rsidR="00000000" w:rsidRDefault="00000000">
      <w:pPr>
        <w:pStyle w:val="BodyText"/>
        <w:rPr>
          <w:sz w:val="22"/>
        </w:rPr>
      </w:pPr>
      <w:r>
        <w:rPr>
          <w:sz w:val="22"/>
        </w:rPr>
        <w:t xml:space="preserve">Tous les enfants congolais reçoivent la même éducation. En effet, le Congo, pour tenir compte des recommandations de l’UNESCO, a souscrit à celle relative à la démocratisation de l’enseignement pour donner les mêmes chances d’accès à l’éducation a tous les enfants. </w:t>
      </w:r>
    </w:p>
    <w:p w:rsidR="00000000" w:rsidRDefault="00000000">
      <w:pPr>
        <w:pStyle w:val="BodyText"/>
        <w:rPr>
          <w:sz w:val="22"/>
        </w:rPr>
      </w:pPr>
    </w:p>
    <w:p w:rsidR="00000000" w:rsidRDefault="00000000">
      <w:pPr>
        <w:pStyle w:val="BodyText"/>
        <w:rPr>
          <w:sz w:val="22"/>
        </w:rPr>
      </w:pPr>
      <w:r>
        <w:rPr>
          <w:sz w:val="22"/>
        </w:rPr>
        <w:t>La Conférence Mondiale sur l’Education pour Tous de JOMTIEM (Thaïlande) en 1990 avait décidé qu’il est une priorité absolue d’assurer l’accès des filles à l’éducation et d’améliorer la qualité de l’éducation qui leur est dispensée. Le Congo s’est jeté après JOMTIEM à doter la totalité des enfants d’une alphabétisation irréversible. Dans l’enseignement primaire, un effort a été fait pour mettre un accent particulier sur la réduction des disparités entre les filles et les garçons. De ce fait , le taux de scolarisation s’était amélioré et était supérieur à 70%.</w:t>
      </w:r>
    </w:p>
    <w:p w:rsidR="00000000" w:rsidRDefault="00000000">
      <w:pPr>
        <w:pStyle w:val="BodyText"/>
        <w:rPr>
          <w:sz w:val="22"/>
        </w:rPr>
      </w:pPr>
    </w:p>
    <w:p w:rsidR="00000000" w:rsidRDefault="00000000">
      <w:pPr>
        <w:pStyle w:val="BodyText"/>
        <w:rPr>
          <w:sz w:val="22"/>
        </w:rPr>
      </w:pPr>
      <w:r>
        <w:rPr>
          <w:sz w:val="22"/>
        </w:rPr>
        <w:t>Le Congo, pays signataire de différentes conventions et ayant participé à de grandes conférences internationales sur les femmes fait l’effort d’éliminer la conception stéréotypée de l’homme et de la femme. Ainsi, il prend en compte les recommandations des conférences suivantes :</w:t>
      </w:r>
    </w:p>
    <w:p w:rsidR="00000000" w:rsidRDefault="00000000">
      <w:pPr>
        <w:pStyle w:val="BodyText"/>
        <w:rPr>
          <w:sz w:val="22"/>
        </w:rPr>
      </w:pPr>
    </w:p>
    <w:p w:rsidR="00000000" w:rsidRDefault="00000000">
      <w:pPr>
        <w:pStyle w:val="BodyText"/>
        <w:numPr>
          <w:ilvl w:val="0"/>
          <w:numId w:val="207"/>
        </w:numPr>
        <w:rPr>
          <w:sz w:val="22"/>
        </w:rPr>
      </w:pPr>
      <w:r>
        <w:rPr>
          <w:sz w:val="22"/>
        </w:rPr>
        <w:t>la troisième Conférence Mondiale sur les femmes (Nairobi, Kenya en 1985) qui dans les stratégies prospectives d’action pour la promotion de la femme jusqu’à l’an 2000 demande l’accroissement du nombre de jeunes filles dans l’enseignement scientifique et technique ;</w:t>
      </w:r>
    </w:p>
    <w:p w:rsidR="00000000" w:rsidRDefault="00000000">
      <w:pPr>
        <w:pStyle w:val="BodyText"/>
        <w:numPr>
          <w:ilvl w:val="0"/>
          <w:numId w:val="207"/>
        </w:numPr>
        <w:rPr>
          <w:sz w:val="22"/>
        </w:rPr>
      </w:pPr>
      <w:r>
        <w:rPr>
          <w:sz w:val="22"/>
        </w:rPr>
        <w:t>la quatrième Conférence Mondiale sur les femmes (Beijing, Chine) en 1995, qui réaffirme qu’il est indispensable d’améliorer l’accès des femmes à la formation professionnelle, scientifique et technique et à l’éducation permanente pour obtenir les conditions d’un développement durable au service de l’individu ;</w:t>
      </w:r>
    </w:p>
    <w:p w:rsidR="00000000" w:rsidRDefault="00000000">
      <w:pPr>
        <w:pStyle w:val="BodyText"/>
        <w:numPr>
          <w:ilvl w:val="0"/>
          <w:numId w:val="207"/>
        </w:numPr>
        <w:rPr>
          <w:sz w:val="22"/>
        </w:rPr>
      </w:pPr>
      <w:r>
        <w:rPr>
          <w:sz w:val="22"/>
        </w:rPr>
        <w:t>le forum régional de l’Afrique sur femmes, sciences et technologie (Ouagadougou, Burkina Faso, en janvier 1999) qui décidait qu’il était temps d’assurer aux hommes et aux femmes l’égalité des droits, des responsabilités et des chances dans tous les domaines et plus particulièrement dans celui de la science et la technologie.</w:t>
      </w:r>
    </w:p>
    <w:p w:rsidR="00000000" w:rsidRDefault="00000000">
      <w:pPr>
        <w:pStyle w:val="BodyText"/>
        <w:rPr>
          <w:sz w:val="22"/>
        </w:rPr>
      </w:pPr>
    </w:p>
    <w:p w:rsidR="00000000" w:rsidRDefault="00000000">
      <w:pPr>
        <w:pStyle w:val="BodyText"/>
        <w:rPr>
          <w:sz w:val="22"/>
        </w:rPr>
      </w:pPr>
      <w:r>
        <w:rPr>
          <w:sz w:val="22"/>
        </w:rPr>
        <w:t>Ainsi, certains domaines de l’éducation ne seraient plus des chasses gardées ou des filières réservées aux seuls hommes tout comme l’enseignement technique ne serait plus considéré comme la voie de garage pour ceux qui auraient échoué dans leurs études au niveau de l’enseignement général.</w:t>
      </w:r>
    </w:p>
    <w:p w:rsidR="00000000" w:rsidRDefault="00000000">
      <w:pPr>
        <w:pStyle w:val="BodyText"/>
        <w:rPr>
          <w:b/>
          <w:sz w:val="22"/>
        </w:rPr>
      </w:pPr>
    </w:p>
    <w:p w:rsidR="00000000" w:rsidRDefault="00000000">
      <w:pPr>
        <w:pStyle w:val="BodyText"/>
        <w:rPr>
          <w:sz w:val="22"/>
        </w:rPr>
      </w:pPr>
      <w:r>
        <w:rPr>
          <w:b/>
          <w:sz w:val="22"/>
        </w:rPr>
        <w:t xml:space="preserve">A - </w:t>
      </w:r>
      <w:r>
        <w:rPr>
          <w:b/>
          <w:sz w:val="22"/>
          <w:u w:val="single"/>
        </w:rPr>
        <w:t>La représentativité des filles à l’université Marien NGOUABI</w:t>
      </w:r>
    </w:p>
    <w:p w:rsidR="00000000" w:rsidRDefault="00000000">
      <w:pPr>
        <w:pStyle w:val="BodyText"/>
        <w:rPr>
          <w:sz w:val="22"/>
        </w:rPr>
      </w:pPr>
    </w:p>
    <w:p w:rsidR="00000000" w:rsidRDefault="00000000">
      <w:pPr>
        <w:pStyle w:val="BodyText"/>
        <w:rPr>
          <w:sz w:val="22"/>
        </w:rPr>
      </w:pPr>
      <w:r>
        <w:rPr>
          <w:sz w:val="22"/>
        </w:rPr>
        <w:t>Malgré toutes les recommandations internationales, les progrès restent timides. En 1999, l’université comptait 25% des filles pour un effectif de 14279 étudiants. Le corps enseignant permanent compte 550 enseignants dont 42 femmes soit 7,6% de l’ensemble reparties selon les grades suivants : 4 chargées d’enseignement techniques et professionnel, 22 assistantes et 16 maîtres assistantes.</w:t>
      </w:r>
    </w:p>
    <w:p w:rsidR="00000000" w:rsidRDefault="00000000">
      <w:pPr>
        <w:pStyle w:val="BodyText"/>
        <w:rPr>
          <w:sz w:val="22"/>
        </w:rPr>
      </w:pPr>
      <w:r>
        <w:rPr>
          <w:sz w:val="22"/>
        </w:rPr>
        <w:t>Les statistiques universitaires en 1998 montrent les résultats ci-après et qui sont faibles.</w:t>
      </w:r>
    </w:p>
    <w:p w:rsidR="00000000" w:rsidRDefault="00000000">
      <w:pPr>
        <w:pStyle w:val="BodyText"/>
        <w:rPr>
          <w:sz w:val="22"/>
        </w:rPr>
      </w:pPr>
    </w:p>
    <w:p w:rsidR="00000000" w:rsidRDefault="00000000">
      <w:pPr>
        <w:pStyle w:val="BodyText"/>
        <w:rPr>
          <w:b/>
          <w:sz w:val="22"/>
        </w:rPr>
      </w:pPr>
      <w:r>
        <w:rPr>
          <w:b/>
          <w:sz w:val="22"/>
          <w:u w:val="single"/>
        </w:rPr>
        <w:t>Tableau n° 46</w:t>
      </w:r>
      <w:r>
        <w:rPr>
          <w:b/>
          <w:sz w:val="22"/>
        </w:rPr>
        <w:t> : La représentativité des filles à la Faculté des sciences économiques</w:t>
      </w:r>
    </w:p>
    <w:p w:rsidR="00000000" w:rsidRDefault="00000000">
      <w:pPr>
        <w:pStyle w:val="BodyText"/>
        <w:jc w:val="center"/>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3"/>
        <w:gridCol w:w="1634"/>
        <w:gridCol w:w="1633"/>
        <w:gridCol w:w="1634"/>
        <w:gridCol w:w="1633"/>
        <w:gridCol w:w="1634"/>
      </w:tblGrid>
      <w:tr w:rsidR="00000000">
        <w:tblPrEx>
          <w:tblCellMar>
            <w:top w:w="0" w:type="dxa"/>
            <w:bottom w:w="0" w:type="dxa"/>
          </w:tblCellMar>
        </w:tblPrEx>
        <w:tc>
          <w:tcPr>
            <w:tcW w:w="1633" w:type="dxa"/>
          </w:tcPr>
          <w:p w:rsidR="00000000" w:rsidRDefault="00000000">
            <w:pPr>
              <w:pStyle w:val="BodyText"/>
              <w:jc w:val="center"/>
              <w:rPr>
                <w:sz w:val="22"/>
              </w:rPr>
            </w:pPr>
            <w:r>
              <w:rPr>
                <w:sz w:val="22"/>
              </w:rPr>
              <w:t>Année</w:t>
            </w:r>
          </w:p>
        </w:tc>
        <w:tc>
          <w:tcPr>
            <w:tcW w:w="1634" w:type="dxa"/>
          </w:tcPr>
          <w:p w:rsidR="00000000" w:rsidRDefault="00000000">
            <w:pPr>
              <w:pStyle w:val="BodyText"/>
              <w:jc w:val="center"/>
              <w:rPr>
                <w:sz w:val="22"/>
              </w:rPr>
            </w:pPr>
            <w:r>
              <w:rPr>
                <w:sz w:val="22"/>
              </w:rPr>
              <w:t>Total</w:t>
            </w:r>
          </w:p>
        </w:tc>
        <w:tc>
          <w:tcPr>
            <w:tcW w:w="1633" w:type="dxa"/>
          </w:tcPr>
          <w:p w:rsidR="00000000" w:rsidRDefault="00000000">
            <w:pPr>
              <w:pStyle w:val="BodyText"/>
              <w:jc w:val="center"/>
              <w:rPr>
                <w:sz w:val="22"/>
              </w:rPr>
            </w:pPr>
            <w:r>
              <w:rPr>
                <w:sz w:val="22"/>
              </w:rPr>
              <w:t>Hommes</w:t>
            </w:r>
          </w:p>
        </w:tc>
        <w:tc>
          <w:tcPr>
            <w:tcW w:w="1634" w:type="dxa"/>
          </w:tcPr>
          <w:p w:rsidR="00000000" w:rsidRDefault="00000000">
            <w:pPr>
              <w:pStyle w:val="BodyText"/>
              <w:jc w:val="center"/>
              <w:rPr>
                <w:sz w:val="22"/>
              </w:rPr>
            </w:pPr>
            <w:r>
              <w:rPr>
                <w:sz w:val="22"/>
              </w:rPr>
              <w:t>Femmes</w:t>
            </w:r>
          </w:p>
        </w:tc>
        <w:tc>
          <w:tcPr>
            <w:tcW w:w="1633" w:type="dxa"/>
          </w:tcPr>
          <w:p w:rsidR="00000000" w:rsidRDefault="00000000">
            <w:pPr>
              <w:pStyle w:val="BodyText"/>
              <w:jc w:val="center"/>
              <w:rPr>
                <w:sz w:val="22"/>
              </w:rPr>
            </w:pPr>
            <w:r>
              <w:rPr>
                <w:sz w:val="22"/>
              </w:rPr>
              <w:t>% F</w:t>
            </w:r>
          </w:p>
        </w:tc>
        <w:tc>
          <w:tcPr>
            <w:tcW w:w="1634" w:type="dxa"/>
          </w:tcPr>
          <w:p w:rsidR="00000000" w:rsidRDefault="00000000">
            <w:pPr>
              <w:pStyle w:val="BodyText"/>
              <w:jc w:val="center"/>
              <w:rPr>
                <w:sz w:val="22"/>
              </w:rPr>
            </w:pPr>
            <w:r>
              <w:rPr>
                <w:sz w:val="22"/>
              </w:rPr>
              <w:t>%H</w:t>
            </w:r>
          </w:p>
        </w:tc>
      </w:tr>
      <w:tr w:rsidR="00000000">
        <w:tblPrEx>
          <w:tblCellMar>
            <w:top w:w="0" w:type="dxa"/>
            <w:bottom w:w="0" w:type="dxa"/>
          </w:tblCellMar>
        </w:tblPrEx>
        <w:tc>
          <w:tcPr>
            <w:tcW w:w="1633" w:type="dxa"/>
          </w:tcPr>
          <w:p w:rsidR="00000000" w:rsidRDefault="00000000">
            <w:pPr>
              <w:pStyle w:val="BodyText"/>
              <w:rPr>
                <w:sz w:val="22"/>
              </w:rPr>
            </w:pPr>
            <w:r>
              <w:rPr>
                <w:sz w:val="22"/>
              </w:rPr>
              <w:t>1</w:t>
            </w:r>
            <w:r>
              <w:rPr>
                <w:sz w:val="22"/>
                <w:vertAlign w:val="superscript"/>
              </w:rPr>
              <w:t>ère</w:t>
            </w:r>
            <w:r>
              <w:rPr>
                <w:sz w:val="22"/>
              </w:rPr>
              <w:t xml:space="preserve"> année</w:t>
            </w:r>
          </w:p>
        </w:tc>
        <w:tc>
          <w:tcPr>
            <w:tcW w:w="1634" w:type="dxa"/>
          </w:tcPr>
          <w:p w:rsidR="00000000" w:rsidRDefault="00000000">
            <w:pPr>
              <w:pStyle w:val="BodyText"/>
              <w:ind w:right="567"/>
              <w:jc w:val="right"/>
              <w:rPr>
                <w:sz w:val="22"/>
              </w:rPr>
            </w:pPr>
            <w:r>
              <w:rPr>
                <w:sz w:val="22"/>
              </w:rPr>
              <w:t>2214</w:t>
            </w:r>
          </w:p>
        </w:tc>
        <w:tc>
          <w:tcPr>
            <w:tcW w:w="1633" w:type="dxa"/>
          </w:tcPr>
          <w:p w:rsidR="00000000" w:rsidRDefault="00000000">
            <w:pPr>
              <w:pStyle w:val="BodyText"/>
              <w:ind w:right="567"/>
              <w:jc w:val="right"/>
              <w:rPr>
                <w:sz w:val="22"/>
              </w:rPr>
            </w:pPr>
            <w:r>
              <w:rPr>
                <w:sz w:val="22"/>
              </w:rPr>
              <w:t>1606</w:t>
            </w:r>
          </w:p>
        </w:tc>
        <w:tc>
          <w:tcPr>
            <w:tcW w:w="1634" w:type="dxa"/>
          </w:tcPr>
          <w:p w:rsidR="00000000" w:rsidRDefault="00000000">
            <w:pPr>
              <w:pStyle w:val="BodyText"/>
              <w:ind w:right="567"/>
              <w:jc w:val="right"/>
              <w:rPr>
                <w:sz w:val="22"/>
              </w:rPr>
            </w:pPr>
            <w:r>
              <w:rPr>
                <w:sz w:val="22"/>
              </w:rPr>
              <w:t>608</w:t>
            </w:r>
          </w:p>
        </w:tc>
        <w:tc>
          <w:tcPr>
            <w:tcW w:w="1633" w:type="dxa"/>
          </w:tcPr>
          <w:p w:rsidR="00000000" w:rsidRDefault="00000000">
            <w:pPr>
              <w:pStyle w:val="BodyText"/>
              <w:ind w:right="567"/>
              <w:jc w:val="right"/>
              <w:rPr>
                <w:sz w:val="22"/>
              </w:rPr>
            </w:pPr>
            <w:r>
              <w:rPr>
                <w:sz w:val="22"/>
              </w:rPr>
              <w:t>27,54</w:t>
            </w:r>
          </w:p>
        </w:tc>
        <w:tc>
          <w:tcPr>
            <w:tcW w:w="1634" w:type="dxa"/>
          </w:tcPr>
          <w:p w:rsidR="00000000" w:rsidRDefault="00000000">
            <w:pPr>
              <w:pStyle w:val="BodyText"/>
              <w:ind w:right="567"/>
              <w:jc w:val="right"/>
              <w:rPr>
                <w:sz w:val="22"/>
              </w:rPr>
            </w:pPr>
            <w:r>
              <w:rPr>
                <w:sz w:val="22"/>
              </w:rPr>
              <w:t>72,54</w:t>
            </w:r>
          </w:p>
        </w:tc>
      </w:tr>
      <w:tr w:rsidR="00000000">
        <w:tblPrEx>
          <w:tblCellMar>
            <w:top w:w="0" w:type="dxa"/>
            <w:bottom w:w="0" w:type="dxa"/>
          </w:tblCellMar>
        </w:tblPrEx>
        <w:tc>
          <w:tcPr>
            <w:tcW w:w="1633" w:type="dxa"/>
          </w:tcPr>
          <w:p w:rsidR="00000000" w:rsidRDefault="00000000">
            <w:pPr>
              <w:pStyle w:val="BodyText"/>
              <w:rPr>
                <w:sz w:val="22"/>
              </w:rPr>
            </w:pPr>
            <w:r>
              <w:rPr>
                <w:sz w:val="22"/>
              </w:rPr>
              <w:t>2</w:t>
            </w:r>
            <w:r>
              <w:rPr>
                <w:sz w:val="22"/>
                <w:vertAlign w:val="superscript"/>
              </w:rPr>
              <w:t>ème</w:t>
            </w:r>
            <w:r>
              <w:rPr>
                <w:sz w:val="22"/>
              </w:rPr>
              <w:t xml:space="preserve"> année</w:t>
            </w:r>
          </w:p>
        </w:tc>
        <w:tc>
          <w:tcPr>
            <w:tcW w:w="1634" w:type="dxa"/>
          </w:tcPr>
          <w:p w:rsidR="00000000" w:rsidRDefault="00000000">
            <w:pPr>
              <w:pStyle w:val="BodyText"/>
              <w:ind w:right="567"/>
              <w:jc w:val="right"/>
              <w:rPr>
                <w:sz w:val="22"/>
              </w:rPr>
            </w:pPr>
            <w:r>
              <w:rPr>
                <w:sz w:val="22"/>
              </w:rPr>
              <w:t>694</w:t>
            </w:r>
          </w:p>
        </w:tc>
        <w:tc>
          <w:tcPr>
            <w:tcW w:w="1633" w:type="dxa"/>
          </w:tcPr>
          <w:p w:rsidR="00000000" w:rsidRDefault="00000000">
            <w:pPr>
              <w:pStyle w:val="BodyText"/>
              <w:ind w:right="567"/>
              <w:jc w:val="right"/>
              <w:rPr>
                <w:sz w:val="22"/>
              </w:rPr>
            </w:pPr>
            <w:r>
              <w:rPr>
                <w:sz w:val="22"/>
              </w:rPr>
              <w:t>592</w:t>
            </w:r>
          </w:p>
        </w:tc>
        <w:tc>
          <w:tcPr>
            <w:tcW w:w="1634" w:type="dxa"/>
          </w:tcPr>
          <w:p w:rsidR="00000000" w:rsidRDefault="00000000">
            <w:pPr>
              <w:pStyle w:val="BodyText"/>
              <w:ind w:right="567"/>
              <w:jc w:val="right"/>
              <w:rPr>
                <w:sz w:val="22"/>
              </w:rPr>
            </w:pPr>
            <w:r>
              <w:rPr>
                <w:sz w:val="22"/>
              </w:rPr>
              <w:t>102</w:t>
            </w:r>
          </w:p>
        </w:tc>
        <w:tc>
          <w:tcPr>
            <w:tcW w:w="1633" w:type="dxa"/>
          </w:tcPr>
          <w:p w:rsidR="00000000" w:rsidRDefault="00000000">
            <w:pPr>
              <w:pStyle w:val="BodyText"/>
              <w:ind w:right="567"/>
              <w:jc w:val="right"/>
              <w:rPr>
                <w:sz w:val="22"/>
              </w:rPr>
            </w:pPr>
            <w:r>
              <w:rPr>
                <w:sz w:val="22"/>
              </w:rPr>
              <w:t>14,69</w:t>
            </w:r>
          </w:p>
        </w:tc>
        <w:tc>
          <w:tcPr>
            <w:tcW w:w="1634" w:type="dxa"/>
          </w:tcPr>
          <w:p w:rsidR="00000000" w:rsidRDefault="00000000">
            <w:pPr>
              <w:pStyle w:val="BodyText"/>
              <w:ind w:right="567"/>
              <w:jc w:val="right"/>
              <w:rPr>
                <w:sz w:val="22"/>
              </w:rPr>
            </w:pPr>
            <w:r>
              <w:rPr>
                <w:sz w:val="22"/>
              </w:rPr>
              <w:t>72,53</w:t>
            </w:r>
          </w:p>
        </w:tc>
      </w:tr>
      <w:tr w:rsidR="00000000">
        <w:tblPrEx>
          <w:tblCellMar>
            <w:top w:w="0" w:type="dxa"/>
            <w:bottom w:w="0" w:type="dxa"/>
          </w:tblCellMar>
        </w:tblPrEx>
        <w:tc>
          <w:tcPr>
            <w:tcW w:w="1633" w:type="dxa"/>
          </w:tcPr>
          <w:p w:rsidR="00000000" w:rsidRDefault="00000000">
            <w:pPr>
              <w:pStyle w:val="BodyText"/>
              <w:rPr>
                <w:sz w:val="22"/>
              </w:rPr>
            </w:pPr>
            <w:r>
              <w:rPr>
                <w:sz w:val="22"/>
              </w:rPr>
              <w:t>Licence</w:t>
            </w:r>
          </w:p>
        </w:tc>
        <w:tc>
          <w:tcPr>
            <w:tcW w:w="1634" w:type="dxa"/>
          </w:tcPr>
          <w:p w:rsidR="00000000" w:rsidRDefault="00000000">
            <w:pPr>
              <w:pStyle w:val="BodyText"/>
              <w:ind w:right="567"/>
              <w:jc w:val="right"/>
              <w:rPr>
                <w:sz w:val="22"/>
              </w:rPr>
            </w:pPr>
            <w:r>
              <w:rPr>
                <w:sz w:val="22"/>
              </w:rPr>
              <w:t>576</w:t>
            </w:r>
          </w:p>
        </w:tc>
        <w:tc>
          <w:tcPr>
            <w:tcW w:w="1633" w:type="dxa"/>
          </w:tcPr>
          <w:p w:rsidR="00000000" w:rsidRDefault="00000000">
            <w:pPr>
              <w:pStyle w:val="BodyText"/>
              <w:ind w:right="567"/>
              <w:jc w:val="right"/>
              <w:rPr>
                <w:sz w:val="22"/>
              </w:rPr>
            </w:pPr>
            <w:r>
              <w:rPr>
                <w:sz w:val="22"/>
              </w:rPr>
              <w:t>479</w:t>
            </w:r>
          </w:p>
        </w:tc>
        <w:tc>
          <w:tcPr>
            <w:tcW w:w="1634" w:type="dxa"/>
          </w:tcPr>
          <w:p w:rsidR="00000000" w:rsidRDefault="00000000">
            <w:pPr>
              <w:pStyle w:val="BodyText"/>
              <w:ind w:right="567"/>
              <w:jc w:val="right"/>
              <w:rPr>
                <w:sz w:val="22"/>
              </w:rPr>
            </w:pPr>
            <w:r>
              <w:rPr>
                <w:sz w:val="22"/>
              </w:rPr>
              <w:t>97</w:t>
            </w:r>
          </w:p>
        </w:tc>
        <w:tc>
          <w:tcPr>
            <w:tcW w:w="1633" w:type="dxa"/>
          </w:tcPr>
          <w:p w:rsidR="00000000" w:rsidRDefault="00000000">
            <w:pPr>
              <w:pStyle w:val="BodyText"/>
              <w:ind w:right="567"/>
              <w:jc w:val="right"/>
              <w:rPr>
                <w:sz w:val="22"/>
              </w:rPr>
            </w:pPr>
            <w:r>
              <w:rPr>
                <w:sz w:val="22"/>
              </w:rPr>
              <w:t>16,84</w:t>
            </w:r>
          </w:p>
        </w:tc>
        <w:tc>
          <w:tcPr>
            <w:tcW w:w="1634" w:type="dxa"/>
          </w:tcPr>
          <w:p w:rsidR="00000000" w:rsidRDefault="00000000">
            <w:pPr>
              <w:pStyle w:val="BodyText"/>
              <w:ind w:right="567"/>
              <w:jc w:val="right"/>
              <w:rPr>
                <w:sz w:val="22"/>
              </w:rPr>
            </w:pPr>
            <w:r>
              <w:rPr>
                <w:sz w:val="22"/>
              </w:rPr>
              <w:t>85,30</w:t>
            </w:r>
          </w:p>
        </w:tc>
      </w:tr>
      <w:tr w:rsidR="00000000">
        <w:tblPrEx>
          <w:tblCellMar>
            <w:top w:w="0" w:type="dxa"/>
            <w:bottom w:w="0" w:type="dxa"/>
          </w:tblCellMar>
        </w:tblPrEx>
        <w:tc>
          <w:tcPr>
            <w:tcW w:w="1633" w:type="dxa"/>
          </w:tcPr>
          <w:p w:rsidR="00000000" w:rsidRDefault="00000000">
            <w:pPr>
              <w:pStyle w:val="BodyText"/>
              <w:rPr>
                <w:sz w:val="22"/>
              </w:rPr>
            </w:pPr>
            <w:r>
              <w:rPr>
                <w:sz w:val="22"/>
              </w:rPr>
              <w:t>Maîtrise</w:t>
            </w:r>
          </w:p>
        </w:tc>
        <w:tc>
          <w:tcPr>
            <w:tcW w:w="1634" w:type="dxa"/>
          </w:tcPr>
          <w:p w:rsidR="00000000" w:rsidRDefault="00000000">
            <w:pPr>
              <w:pStyle w:val="BodyText"/>
              <w:ind w:right="567"/>
              <w:jc w:val="right"/>
              <w:rPr>
                <w:sz w:val="22"/>
              </w:rPr>
            </w:pPr>
            <w:r>
              <w:rPr>
                <w:sz w:val="22"/>
              </w:rPr>
              <w:t>1000</w:t>
            </w:r>
          </w:p>
        </w:tc>
        <w:tc>
          <w:tcPr>
            <w:tcW w:w="1633" w:type="dxa"/>
          </w:tcPr>
          <w:p w:rsidR="00000000" w:rsidRDefault="00000000">
            <w:pPr>
              <w:pStyle w:val="BodyText"/>
              <w:ind w:right="567"/>
              <w:jc w:val="right"/>
              <w:rPr>
                <w:sz w:val="22"/>
              </w:rPr>
            </w:pPr>
            <w:r>
              <w:rPr>
                <w:sz w:val="22"/>
              </w:rPr>
              <w:t>819</w:t>
            </w:r>
          </w:p>
        </w:tc>
        <w:tc>
          <w:tcPr>
            <w:tcW w:w="1634" w:type="dxa"/>
          </w:tcPr>
          <w:p w:rsidR="00000000" w:rsidRDefault="00000000">
            <w:pPr>
              <w:pStyle w:val="BodyText"/>
              <w:ind w:right="567"/>
              <w:jc w:val="right"/>
              <w:rPr>
                <w:sz w:val="22"/>
              </w:rPr>
            </w:pPr>
            <w:r>
              <w:rPr>
                <w:sz w:val="22"/>
              </w:rPr>
              <w:t>181</w:t>
            </w:r>
          </w:p>
        </w:tc>
        <w:tc>
          <w:tcPr>
            <w:tcW w:w="1633" w:type="dxa"/>
          </w:tcPr>
          <w:p w:rsidR="00000000" w:rsidRDefault="00000000">
            <w:pPr>
              <w:pStyle w:val="BodyText"/>
              <w:ind w:right="567"/>
              <w:jc w:val="right"/>
              <w:rPr>
                <w:sz w:val="22"/>
              </w:rPr>
            </w:pPr>
            <w:r>
              <w:rPr>
                <w:sz w:val="22"/>
              </w:rPr>
              <w:t>18,1</w:t>
            </w:r>
          </w:p>
        </w:tc>
        <w:tc>
          <w:tcPr>
            <w:tcW w:w="1634" w:type="dxa"/>
          </w:tcPr>
          <w:p w:rsidR="00000000" w:rsidRDefault="00000000">
            <w:pPr>
              <w:pStyle w:val="BodyText"/>
              <w:ind w:right="567"/>
              <w:jc w:val="right"/>
              <w:rPr>
                <w:sz w:val="22"/>
              </w:rPr>
            </w:pPr>
            <w:r>
              <w:rPr>
                <w:sz w:val="22"/>
              </w:rPr>
              <w:t>53,15</w:t>
            </w:r>
          </w:p>
        </w:tc>
      </w:tr>
      <w:tr w:rsidR="00000000">
        <w:tblPrEx>
          <w:tblCellMar>
            <w:top w:w="0" w:type="dxa"/>
            <w:bottom w:w="0" w:type="dxa"/>
          </w:tblCellMar>
        </w:tblPrEx>
        <w:trPr>
          <w:trHeight w:val="70"/>
        </w:trPr>
        <w:tc>
          <w:tcPr>
            <w:tcW w:w="1633" w:type="dxa"/>
          </w:tcPr>
          <w:p w:rsidR="00000000" w:rsidRDefault="00000000">
            <w:pPr>
              <w:pStyle w:val="BodyText"/>
              <w:rPr>
                <w:b/>
                <w:sz w:val="22"/>
              </w:rPr>
            </w:pPr>
            <w:r>
              <w:rPr>
                <w:b/>
                <w:sz w:val="22"/>
              </w:rPr>
              <w:t>Total</w:t>
            </w:r>
          </w:p>
        </w:tc>
        <w:tc>
          <w:tcPr>
            <w:tcW w:w="1634" w:type="dxa"/>
          </w:tcPr>
          <w:p w:rsidR="00000000" w:rsidRDefault="00000000">
            <w:pPr>
              <w:pStyle w:val="BodyText"/>
              <w:ind w:right="567"/>
              <w:jc w:val="right"/>
              <w:rPr>
                <w:sz w:val="22"/>
              </w:rPr>
            </w:pPr>
            <w:r>
              <w:rPr>
                <w:sz w:val="22"/>
              </w:rPr>
              <w:t>4484</w:t>
            </w:r>
          </w:p>
        </w:tc>
        <w:tc>
          <w:tcPr>
            <w:tcW w:w="1633" w:type="dxa"/>
          </w:tcPr>
          <w:p w:rsidR="00000000" w:rsidRDefault="00000000">
            <w:pPr>
              <w:pStyle w:val="BodyText"/>
              <w:ind w:right="567"/>
              <w:jc w:val="right"/>
              <w:rPr>
                <w:sz w:val="22"/>
              </w:rPr>
            </w:pPr>
            <w:r>
              <w:rPr>
                <w:sz w:val="22"/>
              </w:rPr>
              <w:t>3496</w:t>
            </w:r>
          </w:p>
        </w:tc>
        <w:tc>
          <w:tcPr>
            <w:tcW w:w="1634" w:type="dxa"/>
          </w:tcPr>
          <w:p w:rsidR="00000000" w:rsidRDefault="00000000">
            <w:pPr>
              <w:pStyle w:val="BodyText"/>
              <w:ind w:right="567"/>
              <w:jc w:val="right"/>
              <w:rPr>
                <w:sz w:val="22"/>
              </w:rPr>
            </w:pPr>
            <w:r>
              <w:rPr>
                <w:sz w:val="22"/>
              </w:rPr>
              <w:t>988</w:t>
            </w:r>
          </w:p>
        </w:tc>
        <w:tc>
          <w:tcPr>
            <w:tcW w:w="1633" w:type="dxa"/>
          </w:tcPr>
          <w:p w:rsidR="00000000" w:rsidRDefault="00000000">
            <w:pPr>
              <w:pStyle w:val="BodyText"/>
              <w:ind w:right="567"/>
              <w:jc w:val="right"/>
              <w:rPr>
                <w:sz w:val="22"/>
              </w:rPr>
            </w:pPr>
            <w:r>
              <w:rPr>
                <w:sz w:val="22"/>
              </w:rPr>
              <w:t>22,03</w:t>
            </w:r>
          </w:p>
        </w:tc>
        <w:tc>
          <w:tcPr>
            <w:tcW w:w="1634" w:type="dxa"/>
          </w:tcPr>
          <w:p w:rsidR="00000000" w:rsidRDefault="00000000">
            <w:pPr>
              <w:pStyle w:val="BodyText"/>
              <w:ind w:right="567"/>
              <w:jc w:val="right"/>
              <w:rPr>
                <w:sz w:val="22"/>
              </w:rPr>
            </w:pPr>
            <w:r>
              <w:rPr>
                <w:sz w:val="22"/>
              </w:rPr>
              <w:t>77,97</w:t>
            </w:r>
          </w:p>
        </w:tc>
      </w:tr>
    </w:tbl>
    <w:p w:rsidR="00000000" w:rsidRDefault="00000000">
      <w:pPr>
        <w:pStyle w:val="BodyText"/>
        <w:spacing w:line="120" w:lineRule="exact"/>
        <w:rPr>
          <w:sz w:val="10"/>
        </w:rPr>
      </w:pPr>
    </w:p>
    <w:p w:rsidR="00000000" w:rsidRDefault="00000000">
      <w:pPr>
        <w:pStyle w:val="BodyText"/>
        <w:jc w:val="left"/>
        <w:rPr>
          <w:i/>
          <w:sz w:val="22"/>
        </w:rPr>
      </w:pPr>
      <w:r>
        <w:rPr>
          <w:i/>
          <w:sz w:val="22"/>
          <w:u w:val="single"/>
        </w:rPr>
        <w:t>Source</w:t>
      </w:r>
      <w:r>
        <w:rPr>
          <w:i/>
          <w:sz w:val="22"/>
        </w:rPr>
        <w:t> : Service de la planification universitaire. Données statistiques 13 décembre 2000</w:t>
      </w:r>
    </w:p>
    <w:p w:rsidR="00000000" w:rsidRDefault="00000000">
      <w:pPr>
        <w:pStyle w:val="BodyText"/>
        <w:rPr>
          <w:i/>
          <w:sz w:val="22"/>
        </w:rPr>
      </w:pPr>
    </w:p>
    <w:p w:rsidR="00000000" w:rsidRDefault="00000000">
      <w:pPr>
        <w:pStyle w:val="BodyText"/>
        <w:rPr>
          <w:sz w:val="22"/>
        </w:rPr>
      </w:pPr>
      <w:r>
        <w:rPr>
          <w:sz w:val="22"/>
        </w:rPr>
        <w:t>Ce tableau confirme la fébrilité de l’engagement des filles dans les matières scientifiques.</w:t>
      </w:r>
    </w:p>
    <w:p w:rsidR="00000000" w:rsidRDefault="00000000">
      <w:pPr>
        <w:pStyle w:val="BodyText"/>
        <w:spacing w:line="120" w:lineRule="exact"/>
        <w:rPr>
          <w:sz w:val="10"/>
        </w:rPr>
      </w:pPr>
    </w:p>
    <w:p w:rsidR="00000000" w:rsidRDefault="00000000">
      <w:pPr>
        <w:pStyle w:val="BodyText"/>
        <w:rPr>
          <w:sz w:val="22"/>
        </w:rPr>
      </w:pPr>
      <w:r>
        <w:rPr>
          <w:sz w:val="22"/>
        </w:rPr>
        <w:t>L’éducation de base, principalement au niveau familial pèse énormément sur la vie future de la jeune fille. La division du travail dès le jeune âge joue un rôle néfaste dans le mental des enfants. C’est ce qui explique ce comportement dans la vie d’adulte.</w:t>
      </w:r>
    </w:p>
    <w:p w:rsidR="00000000" w:rsidRDefault="00000000">
      <w:pPr>
        <w:pStyle w:val="BodyText"/>
        <w:spacing w:line="120" w:lineRule="exact"/>
        <w:rPr>
          <w:sz w:val="10"/>
        </w:rPr>
      </w:pPr>
    </w:p>
    <w:p w:rsidR="00000000" w:rsidRDefault="00000000">
      <w:pPr>
        <w:pStyle w:val="BodyText"/>
        <w:rPr>
          <w:sz w:val="22"/>
        </w:rPr>
      </w:pPr>
      <w:r>
        <w:rPr>
          <w:sz w:val="22"/>
        </w:rPr>
        <w:t>Les tableaux suivants nous indiquent la présence plus nombreuse des jeunes filles dans les filières littéraires, peut-être plus accessibles, pensent-elles. Les statistiques de l’année universitaire 1998-1999 sont parlantes.</w:t>
      </w:r>
    </w:p>
    <w:p w:rsidR="00000000" w:rsidRDefault="00000000">
      <w:pPr>
        <w:pStyle w:val="BodyText"/>
        <w:rPr>
          <w:sz w:val="22"/>
        </w:rPr>
      </w:pPr>
    </w:p>
    <w:p w:rsidR="00000000" w:rsidRDefault="00000000">
      <w:pPr>
        <w:pStyle w:val="BodyText"/>
        <w:rPr>
          <w:b/>
          <w:sz w:val="22"/>
        </w:rPr>
      </w:pPr>
      <w:r>
        <w:rPr>
          <w:b/>
          <w:sz w:val="22"/>
          <w:u w:val="single"/>
        </w:rPr>
        <w:t>Tableau n° 47</w:t>
      </w:r>
      <w:r>
        <w:rPr>
          <w:b/>
          <w:sz w:val="22"/>
        </w:rPr>
        <w:t> : La représentativité des filles à la Faculté des lettres et des sciences humaines*</w:t>
      </w:r>
    </w:p>
    <w:p w:rsidR="00000000" w:rsidRDefault="00000000">
      <w:pPr>
        <w:pStyle w:val="BodyText"/>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6"/>
        <w:gridCol w:w="1637"/>
        <w:gridCol w:w="1636"/>
        <w:gridCol w:w="1637"/>
        <w:gridCol w:w="1636"/>
        <w:gridCol w:w="1637"/>
      </w:tblGrid>
      <w:tr w:rsidR="00000000">
        <w:tblPrEx>
          <w:tblCellMar>
            <w:top w:w="0" w:type="dxa"/>
            <w:bottom w:w="0" w:type="dxa"/>
          </w:tblCellMar>
        </w:tblPrEx>
        <w:tc>
          <w:tcPr>
            <w:tcW w:w="1636" w:type="dxa"/>
          </w:tcPr>
          <w:p w:rsidR="00000000" w:rsidRDefault="00000000">
            <w:pPr>
              <w:pStyle w:val="BodyText"/>
              <w:jc w:val="center"/>
              <w:rPr>
                <w:sz w:val="22"/>
              </w:rPr>
            </w:pPr>
            <w:r>
              <w:rPr>
                <w:sz w:val="22"/>
              </w:rPr>
              <w:t>Année</w:t>
            </w:r>
          </w:p>
        </w:tc>
        <w:tc>
          <w:tcPr>
            <w:tcW w:w="1637" w:type="dxa"/>
          </w:tcPr>
          <w:p w:rsidR="00000000" w:rsidRDefault="00000000">
            <w:pPr>
              <w:pStyle w:val="BodyText"/>
              <w:jc w:val="center"/>
              <w:rPr>
                <w:sz w:val="22"/>
              </w:rPr>
            </w:pPr>
            <w:r>
              <w:rPr>
                <w:sz w:val="22"/>
              </w:rPr>
              <w:t>Total</w:t>
            </w:r>
          </w:p>
        </w:tc>
        <w:tc>
          <w:tcPr>
            <w:tcW w:w="1636" w:type="dxa"/>
          </w:tcPr>
          <w:p w:rsidR="00000000" w:rsidRDefault="00000000">
            <w:pPr>
              <w:pStyle w:val="BodyText"/>
              <w:jc w:val="center"/>
              <w:rPr>
                <w:sz w:val="22"/>
              </w:rPr>
            </w:pPr>
            <w:r>
              <w:rPr>
                <w:sz w:val="22"/>
              </w:rPr>
              <w:t>Hommes</w:t>
            </w:r>
          </w:p>
        </w:tc>
        <w:tc>
          <w:tcPr>
            <w:tcW w:w="1637" w:type="dxa"/>
          </w:tcPr>
          <w:p w:rsidR="00000000" w:rsidRDefault="00000000">
            <w:pPr>
              <w:pStyle w:val="BodyText"/>
              <w:jc w:val="center"/>
              <w:rPr>
                <w:sz w:val="22"/>
              </w:rPr>
            </w:pPr>
            <w:r>
              <w:rPr>
                <w:sz w:val="22"/>
              </w:rPr>
              <w:t>Femmes</w:t>
            </w:r>
          </w:p>
        </w:tc>
        <w:tc>
          <w:tcPr>
            <w:tcW w:w="1636" w:type="dxa"/>
          </w:tcPr>
          <w:p w:rsidR="00000000" w:rsidRDefault="00000000">
            <w:pPr>
              <w:pStyle w:val="BodyText"/>
              <w:jc w:val="center"/>
              <w:rPr>
                <w:sz w:val="22"/>
              </w:rPr>
            </w:pPr>
            <w:r>
              <w:rPr>
                <w:sz w:val="22"/>
              </w:rPr>
              <w:t>% F</w:t>
            </w:r>
          </w:p>
        </w:tc>
        <w:tc>
          <w:tcPr>
            <w:tcW w:w="1637" w:type="dxa"/>
          </w:tcPr>
          <w:p w:rsidR="00000000" w:rsidRDefault="00000000">
            <w:pPr>
              <w:pStyle w:val="BodyText"/>
              <w:jc w:val="center"/>
              <w:rPr>
                <w:sz w:val="22"/>
              </w:rPr>
            </w:pPr>
            <w:r>
              <w:rPr>
                <w:sz w:val="22"/>
              </w:rPr>
              <w:t>% H</w:t>
            </w:r>
          </w:p>
        </w:tc>
      </w:tr>
      <w:tr w:rsidR="00000000">
        <w:tblPrEx>
          <w:tblCellMar>
            <w:top w:w="0" w:type="dxa"/>
            <w:bottom w:w="0" w:type="dxa"/>
          </w:tblCellMar>
        </w:tblPrEx>
        <w:tc>
          <w:tcPr>
            <w:tcW w:w="1636" w:type="dxa"/>
          </w:tcPr>
          <w:p w:rsidR="00000000" w:rsidRDefault="00000000">
            <w:pPr>
              <w:pStyle w:val="BodyText"/>
              <w:rPr>
                <w:sz w:val="22"/>
              </w:rPr>
            </w:pPr>
            <w:r>
              <w:rPr>
                <w:sz w:val="22"/>
              </w:rPr>
              <w:t>1</w:t>
            </w:r>
            <w:r>
              <w:rPr>
                <w:sz w:val="22"/>
                <w:vertAlign w:val="superscript"/>
              </w:rPr>
              <w:t>ère</w:t>
            </w:r>
            <w:r>
              <w:rPr>
                <w:sz w:val="22"/>
              </w:rPr>
              <w:t xml:space="preserve"> année</w:t>
            </w:r>
          </w:p>
        </w:tc>
        <w:tc>
          <w:tcPr>
            <w:tcW w:w="1637" w:type="dxa"/>
          </w:tcPr>
          <w:p w:rsidR="00000000" w:rsidRDefault="00000000">
            <w:pPr>
              <w:pStyle w:val="BodyText"/>
              <w:ind w:right="567"/>
              <w:jc w:val="right"/>
              <w:rPr>
                <w:sz w:val="22"/>
              </w:rPr>
            </w:pPr>
            <w:r>
              <w:rPr>
                <w:sz w:val="22"/>
              </w:rPr>
              <w:t>2181</w:t>
            </w:r>
          </w:p>
        </w:tc>
        <w:tc>
          <w:tcPr>
            <w:tcW w:w="1636" w:type="dxa"/>
          </w:tcPr>
          <w:p w:rsidR="00000000" w:rsidRDefault="00000000">
            <w:pPr>
              <w:pStyle w:val="BodyText"/>
              <w:ind w:right="567"/>
              <w:jc w:val="right"/>
              <w:rPr>
                <w:sz w:val="22"/>
              </w:rPr>
            </w:pPr>
            <w:r>
              <w:rPr>
                <w:sz w:val="22"/>
              </w:rPr>
              <w:t>1461</w:t>
            </w:r>
          </w:p>
        </w:tc>
        <w:tc>
          <w:tcPr>
            <w:tcW w:w="1637" w:type="dxa"/>
          </w:tcPr>
          <w:p w:rsidR="00000000" w:rsidRDefault="00000000">
            <w:pPr>
              <w:pStyle w:val="BodyText"/>
              <w:ind w:right="567"/>
              <w:jc w:val="right"/>
              <w:rPr>
                <w:sz w:val="22"/>
              </w:rPr>
            </w:pPr>
            <w:r>
              <w:rPr>
                <w:sz w:val="22"/>
              </w:rPr>
              <w:t>720</w:t>
            </w:r>
          </w:p>
        </w:tc>
        <w:tc>
          <w:tcPr>
            <w:tcW w:w="1636" w:type="dxa"/>
          </w:tcPr>
          <w:p w:rsidR="00000000" w:rsidRDefault="00000000">
            <w:pPr>
              <w:pStyle w:val="BodyText"/>
              <w:ind w:right="567"/>
              <w:jc w:val="right"/>
              <w:rPr>
                <w:sz w:val="22"/>
              </w:rPr>
            </w:pPr>
            <w:r>
              <w:rPr>
                <w:sz w:val="22"/>
              </w:rPr>
              <w:t>33,01</w:t>
            </w:r>
          </w:p>
        </w:tc>
        <w:tc>
          <w:tcPr>
            <w:tcW w:w="1637" w:type="dxa"/>
          </w:tcPr>
          <w:p w:rsidR="00000000" w:rsidRDefault="00000000">
            <w:pPr>
              <w:pStyle w:val="BodyText"/>
              <w:ind w:right="567"/>
              <w:jc w:val="right"/>
              <w:rPr>
                <w:sz w:val="22"/>
              </w:rPr>
            </w:pPr>
            <w:r>
              <w:rPr>
                <w:sz w:val="22"/>
              </w:rPr>
              <w:t>66,98</w:t>
            </w:r>
          </w:p>
        </w:tc>
      </w:tr>
      <w:tr w:rsidR="00000000">
        <w:tblPrEx>
          <w:tblCellMar>
            <w:top w:w="0" w:type="dxa"/>
            <w:bottom w:w="0" w:type="dxa"/>
          </w:tblCellMar>
        </w:tblPrEx>
        <w:tc>
          <w:tcPr>
            <w:tcW w:w="1636" w:type="dxa"/>
          </w:tcPr>
          <w:p w:rsidR="00000000" w:rsidRDefault="00000000">
            <w:pPr>
              <w:pStyle w:val="BodyText"/>
              <w:rPr>
                <w:sz w:val="22"/>
              </w:rPr>
            </w:pPr>
            <w:r>
              <w:rPr>
                <w:sz w:val="22"/>
              </w:rPr>
              <w:t>2</w:t>
            </w:r>
            <w:r>
              <w:rPr>
                <w:sz w:val="22"/>
                <w:vertAlign w:val="superscript"/>
              </w:rPr>
              <w:t>ème</w:t>
            </w:r>
            <w:r>
              <w:rPr>
                <w:sz w:val="22"/>
              </w:rPr>
              <w:t xml:space="preserve"> année</w:t>
            </w:r>
          </w:p>
        </w:tc>
        <w:tc>
          <w:tcPr>
            <w:tcW w:w="1637" w:type="dxa"/>
          </w:tcPr>
          <w:p w:rsidR="00000000" w:rsidRDefault="00000000">
            <w:pPr>
              <w:pStyle w:val="BodyText"/>
              <w:ind w:right="567"/>
              <w:jc w:val="right"/>
              <w:rPr>
                <w:sz w:val="22"/>
              </w:rPr>
            </w:pPr>
            <w:r>
              <w:rPr>
                <w:sz w:val="22"/>
              </w:rPr>
              <w:t>1404</w:t>
            </w:r>
          </w:p>
        </w:tc>
        <w:tc>
          <w:tcPr>
            <w:tcW w:w="1636" w:type="dxa"/>
          </w:tcPr>
          <w:p w:rsidR="00000000" w:rsidRDefault="00000000">
            <w:pPr>
              <w:pStyle w:val="BodyText"/>
              <w:ind w:right="567"/>
              <w:jc w:val="right"/>
              <w:rPr>
                <w:sz w:val="22"/>
              </w:rPr>
            </w:pPr>
            <w:r>
              <w:rPr>
                <w:sz w:val="22"/>
              </w:rPr>
              <w:t>1000</w:t>
            </w:r>
          </w:p>
        </w:tc>
        <w:tc>
          <w:tcPr>
            <w:tcW w:w="1637" w:type="dxa"/>
          </w:tcPr>
          <w:p w:rsidR="00000000" w:rsidRDefault="00000000">
            <w:pPr>
              <w:pStyle w:val="BodyText"/>
              <w:ind w:right="567"/>
              <w:jc w:val="right"/>
              <w:rPr>
                <w:sz w:val="22"/>
              </w:rPr>
            </w:pPr>
            <w:r>
              <w:rPr>
                <w:sz w:val="22"/>
              </w:rPr>
              <w:t>404</w:t>
            </w:r>
          </w:p>
        </w:tc>
        <w:tc>
          <w:tcPr>
            <w:tcW w:w="1636" w:type="dxa"/>
          </w:tcPr>
          <w:p w:rsidR="00000000" w:rsidRDefault="00000000">
            <w:pPr>
              <w:pStyle w:val="BodyText"/>
              <w:ind w:right="567"/>
              <w:jc w:val="right"/>
              <w:rPr>
                <w:sz w:val="22"/>
              </w:rPr>
            </w:pPr>
            <w:r>
              <w:rPr>
                <w:sz w:val="22"/>
              </w:rPr>
              <w:t>28,77</w:t>
            </w:r>
          </w:p>
        </w:tc>
        <w:tc>
          <w:tcPr>
            <w:tcW w:w="1637" w:type="dxa"/>
          </w:tcPr>
          <w:p w:rsidR="00000000" w:rsidRDefault="00000000">
            <w:pPr>
              <w:pStyle w:val="BodyText"/>
              <w:ind w:right="567"/>
              <w:jc w:val="right"/>
              <w:rPr>
                <w:sz w:val="22"/>
              </w:rPr>
            </w:pPr>
            <w:r>
              <w:rPr>
                <w:sz w:val="22"/>
              </w:rPr>
              <w:t>71,22</w:t>
            </w:r>
          </w:p>
        </w:tc>
      </w:tr>
      <w:tr w:rsidR="00000000">
        <w:tblPrEx>
          <w:tblCellMar>
            <w:top w:w="0" w:type="dxa"/>
            <w:bottom w:w="0" w:type="dxa"/>
          </w:tblCellMar>
        </w:tblPrEx>
        <w:tc>
          <w:tcPr>
            <w:tcW w:w="1636" w:type="dxa"/>
          </w:tcPr>
          <w:p w:rsidR="00000000" w:rsidRDefault="00000000">
            <w:pPr>
              <w:pStyle w:val="BodyText"/>
              <w:rPr>
                <w:sz w:val="22"/>
              </w:rPr>
            </w:pPr>
            <w:r>
              <w:rPr>
                <w:sz w:val="22"/>
              </w:rPr>
              <w:t>Licence</w:t>
            </w:r>
          </w:p>
        </w:tc>
        <w:tc>
          <w:tcPr>
            <w:tcW w:w="1637" w:type="dxa"/>
          </w:tcPr>
          <w:p w:rsidR="00000000" w:rsidRDefault="00000000">
            <w:pPr>
              <w:pStyle w:val="BodyText"/>
              <w:ind w:right="567"/>
              <w:jc w:val="right"/>
              <w:rPr>
                <w:sz w:val="22"/>
              </w:rPr>
            </w:pPr>
            <w:r>
              <w:rPr>
                <w:sz w:val="22"/>
              </w:rPr>
              <w:t>1730</w:t>
            </w:r>
          </w:p>
        </w:tc>
        <w:tc>
          <w:tcPr>
            <w:tcW w:w="1636" w:type="dxa"/>
          </w:tcPr>
          <w:p w:rsidR="00000000" w:rsidRDefault="00000000">
            <w:pPr>
              <w:pStyle w:val="BodyText"/>
              <w:ind w:right="567"/>
              <w:jc w:val="right"/>
              <w:rPr>
                <w:sz w:val="22"/>
              </w:rPr>
            </w:pPr>
            <w:r>
              <w:rPr>
                <w:sz w:val="22"/>
              </w:rPr>
              <w:t>1234</w:t>
            </w:r>
          </w:p>
        </w:tc>
        <w:tc>
          <w:tcPr>
            <w:tcW w:w="1637" w:type="dxa"/>
          </w:tcPr>
          <w:p w:rsidR="00000000" w:rsidRDefault="00000000">
            <w:pPr>
              <w:pStyle w:val="BodyText"/>
              <w:ind w:right="567"/>
              <w:jc w:val="right"/>
              <w:rPr>
                <w:sz w:val="22"/>
              </w:rPr>
            </w:pPr>
            <w:r>
              <w:rPr>
                <w:sz w:val="22"/>
              </w:rPr>
              <w:t>496</w:t>
            </w:r>
          </w:p>
        </w:tc>
        <w:tc>
          <w:tcPr>
            <w:tcW w:w="1636" w:type="dxa"/>
          </w:tcPr>
          <w:p w:rsidR="00000000" w:rsidRDefault="00000000">
            <w:pPr>
              <w:pStyle w:val="BodyText"/>
              <w:ind w:right="567"/>
              <w:jc w:val="right"/>
              <w:rPr>
                <w:sz w:val="22"/>
              </w:rPr>
            </w:pPr>
            <w:r>
              <w:rPr>
                <w:sz w:val="22"/>
              </w:rPr>
              <w:t>28,67</w:t>
            </w:r>
          </w:p>
        </w:tc>
        <w:tc>
          <w:tcPr>
            <w:tcW w:w="1637" w:type="dxa"/>
          </w:tcPr>
          <w:p w:rsidR="00000000" w:rsidRDefault="00000000">
            <w:pPr>
              <w:pStyle w:val="BodyText"/>
              <w:ind w:right="567"/>
              <w:jc w:val="right"/>
              <w:rPr>
                <w:sz w:val="22"/>
              </w:rPr>
            </w:pPr>
            <w:r>
              <w:rPr>
                <w:sz w:val="22"/>
              </w:rPr>
              <w:t>71,32</w:t>
            </w:r>
          </w:p>
        </w:tc>
      </w:tr>
      <w:tr w:rsidR="00000000">
        <w:tblPrEx>
          <w:tblCellMar>
            <w:top w:w="0" w:type="dxa"/>
            <w:bottom w:w="0" w:type="dxa"/>
          </w:tblCellMar>
        </w:tblPrEx>
        <w:tc>
          <w:tcPr>
            <w:tcW w:w="1636" w:type="dxa"/>
          </w:tcPr>
          <w:p w:rsidR="00000000" w:rsidRDefault="00000000">
            <w:pPr>
              <w:pStyle w:val="BodyText"/>
              <w:rPr>
                <w:sz w:val="22"/>
              </w:rPr>
            </w:pPr>
            <w:r>
              <w:rPr>
                <w:sz w:val="22"/>
              </w:rPr>
              <w:t>Maîtrise</w:t>
            </w:r>
          </w:p>
        </w:tc>
        <w:tc>
          <w:tcPr>
            <w:tcW w:w="1637" w:type="dxa"/>
          </w:tcPr>
          <w:p w:rsidR="00000000" w:rsidRDefault="00000000">
            <w:pPr>
              <w:pStyle w:val="BodyText"/>
              <w:ind w:right="567"/>
              <w:jc w:val="right"/>
              <w:rPr>
                <w:sz w:val="22"/>
              </w:rPr>
            </w:pPr>
            <w:r>
              <w:rPr>
                <w:sz w:val="22"/>
              </w:rPr>
              <w:t>509</w:t>
            </w:r>
          </w:p>
        </w:tc>
        <w:tc>
          <w:tcPr>
            <w:tcW w:w="1636" w:type="dxa"/>
          </w:tcPr>
          <w:p w:rsidR="00000000" w:rsidRDefault="00000000">
            <w:pPr>
              <w:pStyle w:val="BodyText"/>
              <w:ind w:right="567"/>
              <w:jc w:val="right"/>
              <w:rPr>
                <w:sz w:val="22"/>
              </w:rPr>
            </w:pPr>
            <w:r>
              <w:rPr>
                <w:sz w:val="22"/>
              </w:rPr>
              <w:t>385</w:t>
            </w:r>
          </w:p>
        </w:tc>
        <w:tc>
          <w:tcPr>
            <w:tcW w:w="1637" w:type="dxa"/>
          </w:tcPr>
          <w:p w:rsidR="00000000" w:rsidRDefault="00000000">
            <w:pPr>
              <w:pStyle w:val="BodyText"/>
              <w:ind w:right="567"/>
              <w:jc w:val="right"/>
              <w:rPr>
                <w:sz w:val="22"/>
              </w:rPr>
            </w:pPr>
            <w:r>
              <w:rPr>
                <w:sz w:val="22"/>
              </w:rPr>
              <w:t>124</w:t>
            </w:r>
          </w:p>
        </w:tc>
        <w:tc>
          <w:tcPr>
            <w:tcW w:w="1636" w:type="dxa"/>
          </w:tcPr>
          <w:p w:rsidR="00000000" w:rsidRDefault="00000000">
            <w:pPr>
              <w:pStyle w:val="BodyText"/>
              <w:ind w:right="567"/>
              <w:jc w:val="right"/>
              <w:rPr>
                <w:sz w:val="22"/>
              </w:rPr>
            </w:pPr>
            <w:r>
              <w:rPr>
                <w:sz w:val="22"/>
              </w:rPr>
              <w:t>24,36</w:t>
            </w:r>
          </w:p>
        </w:tc>
        <w:tc>
          <w:tcPr>
            <w:tcW w:w="1637" w:type="dxa"/>
          </w:tcPr>
          <w:p w:rsidR="00000000" w:rsidRDefault="00000000">
            <w:pPr>
              <w:pStyle w:val="BodyText"/>
              <w:ind w:right="567"/>
              <w:jc w:val="right"/>
              <w:rPr>
                <w:sz w:val="22"/>
              </w:rPr>
            </w:pPr>
            <w:r>
              <w:rPr>
                <w:sz w:val="22"/>
              </w:rPr>
              <w:t>75,63</w:t>
            </w:r>
          </w:p>
        </w:tc>
      </w:tr>
      <w:tr w:rsidR="00000000">
        <w:tblPrEx>
          <w:tblCellMar>
            <w:top w:w="0" w:type="dxa"/>
            <w:bottom w:w="0" w:type="dxa"/>
          </w:tblCellMar>
        </w:tblPrEx>
        <w:tc>
          <w:tcPr>
            <w:tcW w:w="1636" w:type="dxa"/>
          </w:tcPr>
          <w:p w:rsidR="00000000" w:rsidRDefault="00000000">
            <w:pPr>
              <w:pStyle w:val="BodyText"/>
              <w:rPr>
                <w:b/>
                <w:sz w:val="22"/>
              </w:rPr>
            </w:pPr>
            <w:r>
              <w:rPr>
                <w:b/>
                <w:sz w:val="22"/>
              </w:rPr>
              <w:t xml:space="preserve">Total </w:t>
            </w:r>
          </w:p>
        </w:tc>
        <w:tc>
          <w:tcPr>
            <w:tcW w:w="1637" w:type="dxa"/>
          </w:tcPr>
          <w:p w:rsidR="00000000" w:rsidRDefault="00000000">
            <w:pPr>
              <w:pStyle w:val="BodyText"/>
              <w:ind w:right="567"/>
              <w:jc w:val="right"/>
              <w:rPr>
                <w:sz w:val="22"/>
              </w:rPr>
            </w:pPr>
            <w:r>
              <w:rPr>
                <w:sz w:val="22"/>
              </w:rPr>
              <w:t>5824</w:t>
            </w:r>
          </w:p>
        </w:tc>
        <w:tc>
          <w:tcPr>
            <w:tcW w:w="1636" w:type="dxa"/>
          </w:tcPr>
          <w:p w:rsidR="00000000" w:rsidRDefault="00000000">
            <w:pPr>
              <w:pStyle w:val="BodyText"/>
              <w:ind w:right="567"/>
              <w:jc w:val="right"/>
              <w:rPr>
                <w:sz w:val="22"/>
              </w:rPr>
            </w:pPr>
            <w:r>
              <w:rPr>
                <w:sz w:val="22"/>
              </w:rPr>
              <w:t>4080</w:t>
            </w:r>
          </w:p>
        </w:tc>
        <w:tc>
          <w:tcPr>
            <w:tcW w:w="1637" w:type="dxa"/>
          </w:tcPr>
          <w:p w:rsidR="00000000" w:rsidRDefault="00000000">
            <w:pPr>
              <w:pStyle w:val="BodyText"/>
              <w:ind w:right="567"/>
              <w:jc w:val="right"/>
              <w:rPr>
                <w:sz w:val="22"/>
              </w:rPr>
            </w:pPr>
            <w:r>
              <w:rPr>
                <w:sz w:val="22"/>
              </w:rPr>
              <w:t>1744</w:t>
            </w:r>
          </w:p>
        </w:tc>
        <w:tc>
          <w:tcPr>
            <w:tcW w:w="1636" w:type="dxa"/>
          </w:tcPr>
          <w:p w:rsidR="00000000" w:rsidRDefault="00000000">
            <w:pPr>
              <w:pStyle w:val="BodyText"/>
              <w:ind w:right="567"/>
              <w:jc w:val="right"/>
              <w:rPr>
                <w:sz w:val="22"/>
              </w:rPr>
            </w:pPr>
            <w:r>
              <w:rPr>
                <w:sz w:val="22"/>
              </w:rPr>
              <w:t>29,95</w:t>
            </w:r>
          </w:p>
        </w:tc>
        <w:tc>
          <w:tcPr>
            <w:tcW w:w="1637" w:type="dxa"/>
          </w:tcPr>
          <w:p w:rsidR="00000000" w:rsidRDefault="00000000">
            <w:pPr>
              <w:pStyle w:val="BodyText"/>
              <w:ind w:right="567"/>
              <w:jc w:val="right"/>
              <w:rPr>
                <w:sz w:val="22"/>
              </w:rPr>
            </w:pPr>
            <w:r>
              <w:rPr>
                <w:sz w:val="22"/>
              </w:rPr>
              <w:t>70,07</w:t>
            </w:r>
          </w:p>
        </w:tc>
      </w:tr>
    </w:tbl>
    <w:p w:rsidR="00000000" w:rsidRDefault="00000000">
      <w:pPr>
        <w:pStyle w:val="BodyText"/>
        <w:spacing w:line="120" w:lineRule="exact"/>
        <w:rPr>
          <w:sz w:val="10"/>
        </w:rPr>
      </w:pPr>
    </w:p>
    <w:p w:rsidR="00000000" w:rsidRDefault="00000000">
      <w:pPr>
        <w:pStyle w:val="BodyText"/>
        <w:rPr>
          <w:sz w:val="22"/>
        </w:rPr>
      </w:pPr>
      <w:r>
        <w:rPr>
          <w:sz w:val="22"/>
        </w:rPr>
        <w:t>Langues vivantes – Histoire – Géographie –Techniques et Sciences de la communication</w:t>
      </w:r>
    </w:p>
    <w:p w:rsidR="00000000" w:rsidRDefault="00000000">
      <w:pPr>
        <w:pStyle w:val="BodyText"/>
        <w:spacing w:line="120" w:lineRule="exact"/>
        <w:rPr>
          <w:sz w:val="10"/>
        </w:rPr>
      </w:pPr>
    </w:p>
    <w:p w:rsidR="00000000" w:rsidRDefault="00000000">
      <w:pPr>
        <w:pStyle w:val="BodyText"/>
        <w:rPr>
          <w:i/>
          <w:sz w:val="22"/>
        </w:rPr>
      </w:pPr>
      <w:r>
        <w:rPr>
          <w:i/>
          <w:sz w:val="22"/>
          <w:u w:val="single"/>
        </w:rPr>
        <w:t>Source</w:t>
      </w:r>
      <w:r>
        <w:rPr>
          <w:i/>
          <w:sz w:val="22"/>
        </w:rPr>
        <w:t> : Service de la planification universitaire.</w:t>
      </w:r>
    </w:p>
    <w:p w:rsidR="00000000" w:rsidRDefault="00000000">
      <w:pPr>
        <w:pStyle w:val="BodyText"/>
        <w:spacing w:line="120" w:lineRule="exact"/>
        <w:rPr>
          <w:sz w:val="10"/>
        </w:rPr>
      </w:pPr>
    </w:p>
    <w:p w:rsidR="00000000" w:rsidRDefault="00000000">
      <w:pPr>
        <w:pStyle w:val="BodyText"/>
        <w:rPr>
          <w:sz w:val="22"/>
        </w:rPr>
      </w:pPr>
      <w:r>
        <w:t xml:space="preserve">A la faculté de droit, les étudiants ont tendance à croire qu’il suffit  d’apprendre toutes les lois par cœur et de les reproduire dans les devoirs. C’est un leurre. Les études de droit démontrent qu’il faut composer, savoir </w:t>
      </w:r>
      <w:r>
        <w:rPr>
          <w:sz w:val="22"/>
        </w:rPr>
        <w:t xml:space="preserve">disserter aussi. L’on se rend alors compte que la tâche est ardue. C’est l’une des grandes causes de défection dans cet établissement. </w:t>
      </w:r>
    </w:p>
    <w:p w:rsidR="00000000" w:rsidRDefault="00000000">
      <w:pPr>
        <w:pStyle w:val="BodyText"/>
        <w:rPr>
          <w:sz w:val="22"/>
        </w:rPr>
      </w:pPr>
    </w:p>
    <w:p w:rsidR="00000000" w:rsidRDefault="00000000">
      <w:pPr>
        <w:pStyle w:val="BodyText"/>
        <w:rPr>
          <w:b/>
          <w:sz w:val="22"/>
        </w:rPr>
      </w:pPr>
      <w:r>
        <w:rPr>
          <w:b/>
          <w:sz w:val="22"/>
          <w:u w:val="single"/>
        </w:rPr>
        <w:t>Tableau n° 48</w:t>
      </w:r>
      <w:r>
        <w:rPr>
          <w:b/>
          <w:sz w:val="22"/>
        </w:rPr>
        <w:t> : La représentativité des filles à la Faculté de droit</w:t>
      </w:r>
    </w:p>
    <w:p w:rsidR="00000000" w:rsidRDefault="00000000">
      <w:pPr>
        <w:pStyle w:val="BodyText"/>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9"/>
        <w:gridCol w:w="1640"/>
        <w:gridCol w:w="1639"/>
        <w:gridCol w:w="1640"/>
        <w:gridCol w:w="1639"/>
        <w:gridCol w:w="1640"/>
      </w:tblGrid>
      <w:tr w:rsidR="00000000">
        <w:tblPrEx>
          <w:tblCellMar>
            <w:top w:w="0" w:type="dxa"/>
            <w:bottom w:w="0" w:type="dxa"/>
          </w:tblCellMar>
        </w:tblPrEx>
        <w:tc>
          <w:tcPr>
            <w:tcW w:w="1639" w:type="dxa"/>
          </w:tcPr>
          <w:p w:rsidR="00000000" w:rsidRDefault="00000000">
            <w:pPr>
              <w:pStyle w:val="BodyText"/>
              <w:jc w:val="center"/>
              <w:rPr>
                <w:sz w:val="22"/>
              </w:rPr>
            </w:pPr>
            <w:r>
              <w:rPr>
                <w:sz w:val="22"/>
              </w:rPr>
              <w:t>Année</w:t>
            </w:r>
          </w:p>
        </w:tc>
        <w:tc>
          <w:tcPr>
            <w:tcW w:w="1640" w:type="dxa"/>
          </w:tcPr>
          <w:p w:rsidR="00000000" w:rsidRDefault="00000000">
            <w:pPr>
              <w:pStyle w:val="BodyText"/>
              <w:jc w:val="center"/>
              <w:rPr>
                <w:sz w:val="22"/>
              </w:rPr>
            </w:pPr>
            <w:r>
              <w:rPr>
                <w:sz w:val="22"/>
              </w:rPr>
              <w:t>Total</w:t>
            </w:r>
          </w:p>
        </w:tc>
        <w:tc>
          <w:tcPr>
            <w:tcW w:w="1639" w:type="dxa"/>
          </w:tcPr>
          <w:p w:rsidR="00000000" w:rsidRDefault="00000000">
            <w:pPr>
              <w:pStyle w:val="BodyText"/>
              <w:jc w:val="center"/>
              <w:rPr>
                <w:sz w:val="22"/>
              </w:rPr>
            </w:pPr>
            <w:r>
              <w:rPr>
                <w:sz w:val="22"/>
              </w:rPr>
              <w:t>Hommes</w:t>
            </w:r>
          </w:p>
        </w:tc>
        <w:tc>
          <w:tcPr>
            <w:tcW w:w="1640" w:type="dxa"/>
          </w:tcPr>
          <w:p w:rsidR="00000000" w:rsidRDefault="00000000">
            <w:pPr>
              <w:pStyle w:val="BodyText"/>
              <w:jc w:val="center"/>
              <w:rPr>
                <w:sz w:val="22"/>
              </w:rPr>
            </w:pPr>
            <w:r>
              <w:rPr>
                <w:sz w:val="22"/>
              </w:rPr>
              <w:t>Femmes</w:t>
            </w:r>
          </w:p>
        </w:tc>
        <w:tc>
          <w:tcPr>
            <w:tcW w:w="1639" w:type="dxa"/>
          </w:tcPr>
          <w:p w:rsidR="00000000" w:rsidRDefault="00000000">
            <w:pPr>
              <w:pStyle w:val="BodyText"/>
              <w:jc w:val="center"/>
              <w:rPr>
                <w:sz w:val="22"/>
              </w:rPr>
            </w:pPr>
            <w:r>
              <w:rPr>
                <w:sz w:val="22"/>
              </w:rPr>
              <w:t>% F</w:t>
            </w:r>
          </w:p>
        </w:tc>
        <w:tc>
          <w:tcPr>
            <w:tcW w:w="1640" w:type="dxa"/>
          </w:tcPr>
          <w:p w:rsidR="00000000" w:rsidRDefault="00000000">
            <w:pPr>
              <w:pStyle w:val="BodyText"/>
              <w:jc w:val="center"/>
              <w:rPr>
                <w:sz w:val="22"/>
              </w:rPr>
            </w:pPr>
            <w:r>
              <w:rPr>
                <w:sz w:val="22"/>
              </w:rPr>
              <w:t>% H</w:t>
            </w:r>
          </w:p>
        </w:tc>
      </w:tr>
      <w:tr w:rsidR="00000000">
        <w:tblPrEx>
          <w:tblCellMar>
            <w:top w:w="0" w:type="dxa"/>
            <w:bottom w:w="0" w:type="dxa"/>
          </w:tblCellMar>
        </w:tblPrEx>
        <w:tc>
          <w:tcPr>
            <w:tcW w:w="1639" w:type="dxa"/>
          </w:tcPr>
          <w:p w:rsidR="00000000" w:rsidRDefault="00000000">
            <w:pPr>
              <w:pStyle w:val="BodyText"/>
              <w:rPr>
                <w:sz w:val="22"/>
              </w:rPr>
            </w:pPr>
            <w:r>
              <w:rPr>
                <w:sz w:val="22"/>
              </w:rPr>
              <w:t>1</w:t>
            </w:r>
            <w:r>
              <w:rPr>
                <w:sz w:val="22"/>
                <w:vertAlign w:val="superscript"/>
              </w:rPr>
              <w:t>ère</w:t>
            </w:r>
            <w:r>
              <w:rPr>
                <w:sz w:val="22"/>
              </w:rPr>
              <w:t xml:space="preserve"> année</w:t>
            </w:r>
          </w:p>
        </w:tc>
        <w:tc>
          <w:tcPr>
            <w:tcW w:w="1640" w:type="dxa"/>
          </w:tcPr>
          <w:p w:rsidR="00000000" w:rsidRDefault="00000000">
            <w:pPr>
              <w:pStyle w:val="BodyText"/>
              <w:ind w:right="567"/>
              <w:jc w:val="right"/>
              <w:rPr>
                <w:sz w:val="22"/>
              </w:rPr>
            </w:pPr>
            <w:r>
              <w:rPr>
                <w:sz w:val="22"/>
              </w:rPr>
              <w:t>582</w:t>
            </w:r>
          </w:p>
        </w:tc>
        <w:tc>
          <w:tcPr>
            <w:tcW w:w="1639" w:type="dxa"/>
          </w:tcPr>
          <w:p w:rsidR="00000000" w:rsidRDefault="00000000">
            <w:pPr>
              <w:pStyle w:val="BodyText"/>
              <w:ind w:right="567"/>
              <w:jc w:val="right"/>
              <w:rPr>
                <w:sz w:val="22"/>
              </w:rPr>
            </w:pPr>
            <w:r>
              <w:rPr>
                <w:sz w:val="22"/>
              </w:rPr>
              <w:t>423</w:t>
            </w:r>
          </w:p>
        </w:tc>
        <w:tc>
          <w:tcPr>
            <w:tcW w:w="1640" w:type="dxa"/>
          </w:tcPr>
          <w:p w:rsidR="00000000" w:rsidRDefault="00000000">
            <w:pPr>
              <w:pStyle w:val="BodyText"/>
              <w:ind w:right="567"/>
              <w:jc w:val="right"/>
              <w:rPr>
                <w:sz w:val="22"/>
              </w:rPr>
            </w:pPr>
            <w:r>
              <w:rPr>
                <w:sz w:val="22"/>
              </w:rPr>
              <w:t>159</w:t>
            </w:r>
          </w:p>
        </w:tc>
        <w:tc>
          <w:tcPr>
            <w:tcW w:w="1639" w:type="dxa"/>
          </w:tcPr>
          <w:p w:rsidR="00000000" w:rsidRDefault="00000000">
            <w:pPr>
              <w:pStyle w:val="BodyText"/>
              <w:ind w:right="567"/>
              <w:jc w:val="right"/>
              <w:rPr>
                <w:sz w:val="22"/>
              </w:rPr>
            </w:pPr>
            <w:r>
              <w:rPr>
                <w:sz w:val="22"/>
              </w:rPr>
              <w:t>27,31</w:t>
            </w:r>
          </w:p>
        </w:tc>
        <w:tc>
          <w:tcPr>
            <w:tcW w:w="1640" w:type="dxa"/>
          </w:tcPr>
          <w:p w:rsidR="00000000" w:rsidRDefault="00000000">
            <w:pPr>
              <w:pStyle w:val="BodyText"/>
              <w:ind w:right="567"/>
              <w:jc w:val="right"/>
              <w:rPr>
                <w:sz w:val="22"/>
              </w:rPr>
            </w:pPr>
            <w:r>
              <w:rPr>
                <w:sz w:val="22"/>
              </w:rPr>
              <w:t>72,68</w:t>
            </w:r>
          </w:p>
        </w:tc>
      </w:tr>
      <w:tr w:rsidR="00000000">
        <w:tblPrEx>
          <w:tblCellMar>
            <w:top w:w="0" w:type="dxa"/>
            <w:bottom w:w="0" w:type="dxa"/>
          </w:tblCellMar>
        </w:tblPrEx>
        <w:tc>
          <w:tcPr>
            <w:tcW w:w="1639" w:type="dxa"/>
          </w:tcPr>
          <w:p w:rsidR="00000000" w:rsidRDefault="00000000">
            <w:pPr>
              <w:pStyle w:val="BodyText"/>
              <w:rPr>
                <w:sz w:val="22"/>
              </w:rPr>
            </w:pPr>
            <w:r>
              <w:rPr>
                <w:sz w:val="22"/>
              </w:rPr>
              <w:t>2</w:t>
            </w:r>
            <w:r>
              <w:rPr>
                <w:sz w:val="22"/>
                <w:vertAlign w:val="superscript"/>
              </w:rPr>
              <w:t>ème</w:t>
            </w:r>
            <w:r>
              <w:rPr>
                <w:sz w:val="22"/>
              </w:rPr>
              <w:t xml:space="preserve"> année</w:t>
            </w:r>
          </w:p>
        </w:tc>
        <w:tc>
          <w:tcPr>
            <w:tcW w:w="1640" w:type="dxa"/>
          </w:tcPr>
          <w:p w:rsidR="00000000" w:rsidRDefault="00000000">
            <w:pPr>
              <w:pStyle w:val="BodyText"/>
              <w:ind w:right="567"/>
              <w:jc w:val="right"/>
              <w:rPr>
                <w:sz w:val="22"/>
              </w:rPr>
            </w:pPr>
            <w:r>
              <w:rPr>
                <w:sz w:val="22"/>
              </w:rPr>
              <w:t>310</w:t>
            </w:r>
          </w:p>
        </w:tc>
        <w:tc>
          <w:tcPr>
            <w:tcW w:w="1639" w:type="dxa"/>
          </w:tcPr>
          <w:p w:rsidR="00000000" w:rsidRDefault="00000000">
            <w:pPr>
              <w:pStyle w:val="BodyText"/>
              <w:ind w:right="567"/>
              <w:jc w:val="right"/>
              <w:rPr>
                <w:sz w:val="22"/>
              </w:rPr>
            </w:pPr>
            <w:r>
              <w:rPr>
                <w:sz w:val="22"/>
              </w:rPr>
              <w:t>225</w:t>
            </w:r>
          </w:p>
        </w:tc>
        <w:tc>
          <w:tcPr>
            <w:tcW w:w="1640" w:type="dxa"/>
          </w:tcPr>
          <w:p w:rsidR="00000000" w:rsidRDefault="00000000">
            <w:pPr>
              <w:pStyle w:val="BodyText"/>
              <w:ind w:right="567"/>
              <w:jc w:val="right"/>
              <w:rPr>
                <w:sz w:val="22"/>
              </w:rPr>
            </w:pPr>
            <w:r>
              <w:rPr>
                <w:sz w:val="22"/>
              </w:rPr>
              <w:t>85</w:t>
            </w:r>
          </w:p>
        </w:tc>
        <w:tc>
          <w:tcPr>
            <w:tcW w:w="1639" w:type="dxa"/>
          </w:tcPr>
          <w:p w:rsidR="00000000" w:rsidRDefault="00000000">
            <w:pPr>
              <w:pStyle w:val="BodyText"/>
              <w:ind w:right="567"/>
              <w:jc w:val="right"/>
              <w:rPr>
                <w:sz w:val="22"/>
              </w:rPr>
            </w:pPr>
            <w:r>
              <w:rPr>
                <w:sz w:val="22"/>
              </w:rPr>
              <w:t>27,41</w:t>
            </w:r>
          </w:p>
        </w:tc>
        <w:tc>
          <w:tcPr>
            <w:tcW w:w="1640" w:type="dxa"/>
          </w:tcPr>
          <w:p w:rsidR="00000000" w:rsidRDefault="00000000">
            <w:pPr>
              <w:pStyle w:val="BodyText"/>
              <w:ind w:right="567"/>
              <w:jc w:val="right"/>
              <w:rPr>
                <w:sz w:val="22"/>
              </w:rPr>
            </w:pPr>
            <w:r>
              <w:rPr>
                <w:sz w:val="22"/>
              </w:rPr>
              <w:t>72,58</w:t>
            </w:r>
          </w:p>
        </w:tc>
      </w:tr>
      <w:tr w:rsidR="00000000">
        <w:tblPrEx>
          <w:tblCellMar>
            <w:top w:w="0" w:type="dxa"/>
            <w:bottom w:w="0" w:type="dxa"/>
          </w:tblCellMar>
        </w:tblPrEx>
        <w:tc>
          <w:tcPr>
            <w:tcW w:w="1639" w:type="dxa"/>
          </w:tcPr>
          <w:p w:rsidR="00000000" w:rsidRDefault="00000000">
            <w:pPr>
              <w:pStyle w:val="BodyText"/>
              <w:rPr>
                <w:sz w:val="22"/>
              </w:rPr>
            </w:pPr>
            <w:r>
              <w:rPr>
                <w:sz w:val="22"/>
              </w:rPr>
              <w:t>3</w:t>
            </w:r>
            <w:r>
              <w:rPr>
                <w:sz w:val="22"/>
                <w:vertAlign w:val="superscript"/>
              </w:rPr>
              <w:t>ème</w:t>
            </w:r>
            <w:r>
              <w:rPr>
                <w:sz w:val="22"/>
              </w:rPr>
              <w:t xml:space="preserve"> année</w:t>
            </w:r>
          </w:p>
        </w:tc>
        <w:tc>
          <w:tcPr>
            <w:tcW w:w="1640" w:type="dxa"/>
          </w:tcPr>
          <w:p w:rsidR="00000000" w:rsidRDefault="00000000">
            <w:pPr>
              <w:pStyle w:val="BodyText"/>
              <w:ind w:right="567"/>
              <w:jc w:val="right"/>
              <w:rPr>
                <w:sz w:val="22"/>
              </w:rPr>
            </w:pPr>
            <w:r>
              <w:rPr>
                <w:sz w:val="22"/>
              </w:rPr>
              <w:t>386</w:t>
            </w:r>
          </w:p>
        </w:tc>
        <w:tc>
          <w:tcPr>
            <w:tcW w:w="1639" w:type="dxa"/>
          </w:tcPr>
          <w:p w:rsidR="00000000" w:rsidRDefault="00000000">
            <w:pPr>
              <w:pStyle w:val="BodyText"/>
              <w:ind w:right="567"/>
              <w:jc w:val="right"/>
              <w:rPr>
                <w:sz w:val="22"/>
              </w:rPr>
            </w:pPr>
            <w:r>
              <w:rPr>
                <w:sz w:val="22"/>
              </w:rPr>
              <w:t>298</w:t>
            </w:r>
          </w:p>
        </w:tc>
        <w:tc>
          <w:tcPr>
            <w:tcW w:w="1640" w:type="dxa"/>
          </w:tcPr>
          <w:p w:rsidR="00000000" w:rsidRDefault="00000000">
            <w:pPr>
              <w:pStyle w:val="BodyText"/>
              <w:ind w:right="567"/>
              <w:jc w:val="right"/>
              <w:rPr>
                <w:sz w:val="22"/>
              </w:rPr>
            </w:pPr>
            <w:r>
              <w:rPr>
                <w:sz w:val="22"/>
              </w:rPr>
              <w:t>88</w:t>
            </w:r>
          </w:p>
        </w:tc>
        <w:tc>
          <w:tcPr>
            <w:tcW w:w="1639" w:type="dxa"/>
          </w:tcPr>
          <w:p w:rsidR="00000000" w:rsidRDefault="00000000">
            <w:pPr>
              <w:pStyle w:val="BodyText"/>
              <w:ind w:right="567"/>
              <w:jc w:val="right"/>
              <w:rPr>
                <w:sz w:val="22"/>
              </w:rPr>
            </w:pPr>
            <w:r>
              <w:rPr>
                <w:sz w:val="22"/>
              </w:rPr>
              <w:t>22,79</w:t>
            </w:r>
          </w:p>
        </w:tc>
        <w:tc>
          <w:tcPr>
            <w:tcW w:w="1640" w:type="dxa"/>
          </w:tcPr>
          <w:p w:rsidR="00000000" w:rsidRDefault="00000000">
            <w:pPr>
              <w:pStyle w:val="BodyText"/>
              <w:ind w:right="567"/>
              <w:jc w:val="right"/>
              <w:rPr>
                <w:sz w:val="22"/>
              </w:rPr>
            </w:pPr>
            <w:r>
              <w:rPr>
                <w:sz w:val="22"/>
              </w:rPr>
              <w:t>77,20</w:t>
            </w:r>
          </w:p>
        </w:tc>
      </w:tr>
      <w:tr w:rsidR="00000000">
        <w:tblPrEx>
          <w:tblCellMar>
            <w:top w:w="0" w:type="dxa"/>
            <w:bottom w:w="0" w:type="dxa"/>
          </w:tblCellMar>
        </w:tblPrEx>
        <w:tc>
          <w:tcPr>
            <w:tcW w:w="1639" w:type="dxa"/>
          </w:tcPr>
          <w:p w:rsidR="00000000" w:rsidRDefault="00000000">
            <w:pPr>
              <w:pStyle w:val="BodyText"/>
              <w:rPr>
                <w:sz w:val="22"/>
              </w:rPr>
            </w:pPr>
            <w:r>
              <w:rPr>
                <w:sz w:val="22"/>
              </w:rPr>
              <w:t>Maîtrise</w:t>
            </w:r>
          </w:p>
        </w:tc>
        <w:tc>
          <w:tcPr>
            <w:tcW w:w="1640" w:type="dxa"/>
          </w:tcPr>
          <w:p w:rsidR="00000000" w:rsidRDefault="00000000">
            <w:pPr>
              <w:pStyle w:val="BodyText"/>
              <w:ind w:right="567"/>
              <w:jc w:val="right"/>
              <w:rPr>
                <w:sz w:val="22"/>
              </w:rPr>
            </w:pPr>
            <w:r>
              <w:rPr>
                <w:sz w:val="22"/>
              </w:rPr>
              <w:t>266</w:t>
            </w:r>
          </w:p>
        </w:tc>
        <w:tc>
          <w:tcPr>
            <w:tcW w:w="1639" w:type="dxa"/>
          </w:tcPr>
          <w:p w:rsidR="00000000" w:rsidRDefault="00000000">
            <w:pPr>
              <w:pStyle w:val="BodyText"/>
              <w:ind w:right="567"/>
              <w:jc w:val="right"/>
              <w:rPr>
                <w:sz w:val="22"/>
              </w:rPr>
            </w:pPr>
            <w:r>
              <w:rPr>
                <w:sz w:val="22"/>
              </w:rPr>
              <w:t>216</w:t>
            </w:r>
          </w:p>
        </w:tc>
        <w:tc>
          <w:tcPr>
            <w:tcW w:w="1640" w:type="dxa"/>
          </w:tcPr>
          <w:p w:rsidR="00000000" w:rsidRDefault="00000000">
            <w:pPr>
              <w:pStyle w:val="BodyText"/>
              <w:ind w:right="567"/>
              <w:jc w:val="right"/>
              <w:rPr>
                <w:sz w:val="22"/>
              </w:rPr>
            </w:pPr>
            <w:r>
              <w:rPr>
                <w:sz w:val="22"/>
              </w:rPr>
              <w:t>50</w:t>
            </w:r>
          </w:p>
        </w:tc>
        <w:tc>
          <w:tcPr>
            <w:tcW w:w="1639" w:type="dxa"/>
          </w:tcPr>
          <w:p w:rsidR="00000000" w:rsidRDefault="00000000">
            <w:pPr>
              <w:pStyle w:val="BodyText"/>
              <w:ind w:right="567"/>
              <w:jc w:val="right"/>
              <w:rPr>
                <w:sz w:val="22"/>
              </w:rPr>
            </w:pPr>
            <w:r>
              <w:rPr>
                <w:sz w:val="22"/>
              </w:rPr>
              <w:t>18,79</w:t>
            </w:r>
          </w:p>
        </w:tc>
        <w:tc>
          <w:tcPr>
            <w:tcW w:w="1640" w:type="dxa"/>
          </w:tcPr>
          <w:p w:rsidR="00000000" w:rsidRDefault="00000000">
            <w:pPr>
              <w:pStyle w:val="BodyText"/>
              <w:ind w:right="567"/>
              <w:jc w:val="right"/>
              <w:rPr>
                <w:sz w:val="22"/>
              </w:rPr>
            </w:pPr>
            <w:r>
              <w:rPr>
                <w:sz w:val="22"/>
              </w:rPr>
              <w:t>81,20</w:t>
            </w:r>
          </w:p>
        </w:tc>
      </w:tr>
      <w:tr w:rsidR="00000000">
        <w:tblPrEx>
          <w:tblCellMar>
            <w:top w:w="0" w:type="dxa"/>
            <w:bottom w:w="0" w:type="dxa"/>
          </w:tblCellMar>
        </w:tblPrEx>
        <w:tc>
          <w:tcPr>
            <w:tcW w:w="1639" w:type="dxa"/>
          </w:tcPr>
          <w:p w:rsidR="00000000" w:rsidRDefault="00000000">
            <w:pPr>
              <w:pStyle w:val="BodyText"/>
              <w:rPr>
                <w:b/>
                <w:sz w:val="22"/>
              </w:rPr>
            </w:pPr>
            <w:r>
              <w:rPr>
                <w:b/>
                <w:sz w:val="22"/>
              </w:rPr>
              <w:t xml:space="preserve">Total </w:t>
            </w:r>
          </w:p>
        </w:tc>
        <w:tc>
          <w:tcPr>
            <w:tcW w:w="1640" w:type="dxa"/>
          </w:tcPr>
          <w:p w:rsidR="00000000" w:rsidRDefault="00000000">
            <w:pPr>
              <w:pStyle w:val="BodyText"/>
              <w:ind w:right="567"/>
              <w:jc w:val="right"/>
              <w:rPr>
                <w:sz w:val="22"/>
              </w:rPr>
            </w:pPr>
            <w:r>
              <w:rPr>
                <w:sz w:val="22"/>
              </w:rPr>
              <w:t>1544</w:t>
            </w:r>
          </w:p>
        </w:tc>
        <w:tc>
          <w:tcPr>
            <w:tcW w:w="1639" w:type="dxa"/>
          </w:tcPr>
          <w:p w:rsidR="00000000" w:rsidRDefault="00000000">
            <w:pPr>
              <w:pStyle w:val="BodyText"/>
              <w:ind w:right="567"/>
              <w:jc w:val="right"/>
              <w:rPr>
                <w:sz w:val="22"/>
              </w:rPr>
            </w:pPr>
            <w:r>
              <w:rPr>
                <w:sz w:val="22"/>
              </w:rPr>
              <w:t>1162</w:t>
            </w:r>
          </w:p>
        </w:tc>
        <w:tc>
          <w:tcPr>
            <w:tcW w:w="1640" w:type="dxa"/>
          </w:tcPr>
          <w:p w:rsidR="00000000" w:rsidRDefault="00000000">
            <w:pPr>
              <w:pStyle w:val="BodyText"/>
              <w:ind w:right="567"/>
              <w:jc w:val="right"/>
              <w:rPr>
                <w:sz w:val="22"/>
              </w:rPr>
            </w:pPr>
            <w:r>
              <w:rPr>
                <w:sz w:val="22"/>
              </w:rPr>
              <w:t>382</w:t>
            </w:r>
          </w:p>
        </w:tc>
        <w:tc>
          <w:tcPr>
            <w:tcW w:w="1639" w:type="dxa"/>
          </w:tcPr>
          <w:p w:rsidR="00000000" w:rsidRDefault="00000000">
            <w:pPr>
              <w:pStyle w:val="BodyText"/>
              <w:ind w:right="567"/>
              <w:jc w:val="right"/>
              <w:rPr>
                <w:sz w:val="22"/>
              </w:rPr>
            </w:pPr>
            <w:r>
              <w:rPr>
                <w:sz w:val="22"/>
              </w:rPr>
              <w:t>24,74</w:t>
            </w:r>
          </w:p>
        </w:tc>
        <w:tc>
          <w:tcPr>
            <w:tcW w:w="1640" w:type="dxa"/>
          </w:tcPr>
          <w:p w:rsidR="00000000" w:rsidRDefault="00000000">
            <w:pPr>
              <w:pStyle w:val="BodyText"/>
              <w:ind w:right="567"/>
              <w:jc w:val="right"/>
              <w:rPr>
                <w:sz w:val="22"/>
              </w:rPr>
            </w:pPr>
            <w:r>
              <w:rPr>
                <w:sz w:val="22"/>
              </w:rPr>
              <w:t>75,26</w:t>
            </w:r>
          </w:p>
        </w:tc>
      </w:tr>
    </w:tbl>
    <w:p w:rsidR="00000000" w:rsidRDefault="00000000">
      <w:pPr>
        <w:pStyle w:val="BodyText"/>
        <w:spacing w:line="120" w:lineRule="exact"/>
        <w:rPr>
          <w:i/>
          <w:sz w:val="10"/>
          <w:u w:val="single"/>
        </w:rPr>
      </w:pPr>
    </w:p>
    <w:p w:rsidR="00000000" w:rsidRDefault="00000000">
      <w:pPr>
        <w:pStyle w:val="BodyText"/>
        <w:rPr>
          <w:sz w:val="22"/>
        </w:rPr>
      </w:pPr>
      <w:r>
        <w:rPr>
          <w:i/>
          <w:sz w:val="22"/>
          <w:u w:val="single"/>
        </w:rPr>
        <w:t>Source</w:t>
      </w:r>
      <w:r>
        <w:rPr>
          <w:i/>
          <w:sz w:val="22"/>
        </w:rPr>
        <w:t xml:space="preserve"> : Service de la planification universitaire.</w:t>
      </w:r>
    </w:p>
    <w:p w:rsidR="00000000" w:rsidRDefault="00000000">
      <w:pPr>
        <w:pStyle w:val="BodyText"/>
        <w:rPr>
          <w:sz w:val="22"/>
        </w:rPr>
      </w:pPr>
      <w:r>
        <w:rPr>
          <w:sz w:val="22"/>
        </w:rPr>
        <w:t xml:space="preserve">A la faculté des sciences, si l’on note un grand engouement dès la première année, le désenchantement va grandissant au fil des années. Les causes sont peut-être dues à un manque d’informations dès le lycée, mais peut-être aussi au manque d’aptitudes véritables pour des matières qui impliquent des calculs rébarbatifs aux yeux des étudiantes. A la faculté des sciences, les recherches en laboratoires, les travaux pratiques ne sont pas toujours agréables, et les conditions d’enseignement sont peu attrayantes. </w:t>
      </w:r>
    </w:p>
    <w:p w:rsidR="00000000" w:rsidRDefault="00000000">
      <w:pPr>
        <w:pStyle w:val="BodyText"/>
        <w:rPr>
          <w:sz w:val="22"/>
        </w:rPr>
      </w:pPr>
    </w:p>
    <w:p w:rsidR="00000000" w:rsidRDefault="00000000">
      <w:pPr>
        <w:pStyle w:val="BodyText"/>
        <w:rPr>
          <w:b/>
          <w:sz w:val="22"/>
        </w:rPr>
      </w:pPr>
      <w:r>
        <w:rPr>
          <w:b/>
          <w:sz w:val="22"/>
          <w:u w:val="single"/>
        </w:rPr>
        <w:t>Tableau n° 49</w:t>
      </w:r>
      <w:r>
        <w:rPr>
          <w:b/>
          <w:sz w:val="22"/>
        </w:rPr>
        <w:t xml:space="preserve"> : La représentativité des filles à la Faculté des sciences </w:t>
      </w:r>
    </w:p>
    <w:p w:rsidR="00000000" w:rsidRDefault="00000000">
      <w:pPr>
        <w:pStyle w:val="BodyText"/>
        <w:rPr>
          <w:sz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3"/>
        <w:gridCol w:w="1634"/>
        <w:gridCol w:w="1633"/>
        <w:gridCol w:w="1634"/>
        <w:gridCol w:w="1633"/>
        <w:gridCol w:w="1634"/>
      </w:tblGrid>
      <w:tr w:rsidR="00000000">
        <w:tblPrEx>
          <w:tblCellMar>
            <w:top w:w="0" w:type="dxa"/>
            <w:bottom w:w="0" w:type="dxa"/>
          </w:tblCellMar>
        </w:tblPrEx>
        <w:tc>
          <w:tcPr>
            <w:tcW w:w="1633" w:type="dxa"/>
          </w:tcPr>
          <w:p w:rsidR="00000000" w:rsidRDefault="00000000">
            <w:pPr>
              <w:pStyle w:val="BodyText"/>
              <w:jc w:val="center"/>
              <w:rPr>
                <w:sz w:val="22"/>
              </w:rPr>
            </w:pPr>
            <w:r>
              <w:rPr>
                <w:sz w:val="22"/>
              </w:rPr>
              <w:t>Année</w:t>
            </w:r>
          </w:p>
        </w:tc>
        <w:tc>
          <w:tcPr>
            <w:tcW w:w="1634" w:type="dxa"/>
          </w:tcPr>
          <w:p w:rsidR="00000000" w:rsidRDefault="00000000">
            <w:pPr>
              <w:pStyle w:val="BodyText"/>
              <w:jc w:val="center"/>
              <w:rPr>
                <w:sz w:val="22"/>
              </w:rPr>
            </w:pPr>
            <w:r>
              <w:rPr>
                <w:sz w:val="22"/>
              </w:rPr>
              <w:t>Total</w:t>
            </w:r>
          </w:p>
        </w:tc>
        <w:tc>
          <w:tcPr>
            <w:tcW w:w="1633" w:type="dxa"/>
          </w:tcPr>
          <w:p w:rsidR="00000000" w:rsidRDefault="00000000">
            <w:pPr>
              <w:pStyle w:val="BodyText"/>
              <w:jc w:val="center"/>
              <w:rPr>
                <w:sz w:val="22"/>
              </w:rPr>
            </w:pPr>
            <w:r>
              <w:rPr>
                <w:sz w:val="22"/>
              </w:rPr>
              <w:t>Hommes</w:t>
            </w:r>
          </w:p>
        </w:tc>
        <w:tc>
          <w:tcPr>
            <w:tcW w:w="1634" w:type="dxa"/>
          </w:tcPr>
          <w:p w:rsidR="00000000" w:rsidRDefault="00000000">
            <w:pPr>
              <w:pStyle w:val="BodyText"/>
              <w:jc w:val="center"/>
              <w:rPr>
                <w:sz w:val="22"/>
              </w:rPr>
            </w:pPr>
            <w:r>
              <w:rPr>
                <w:sz w:val="22"/>
              </w:rPr>
              <w:t>Femmes</w:t>
            </w:r>
          </w:p>
        </w:tc>
        <w:tc>
          <w:tcPr>
            <w:tcW w:w="1633" w:type="dxa"/>
          </w:tcPr>
          <w:p w:rsidR="00000000" w:rsidRDefault="00000000">
            <w:pPr>
              <w:pStyle w:val="BodyText"/>
              <w:jc w:val="center"/>
              <w:rPr>
                <w:sz w:val="22"/>
              </w:rPr>
            </w:pPr>
            <w:r>
              <w:rPr>
                <w:sz w:val="22"/>
              </w:rPr>
              <w:t>% F</w:t>
            </w:r>
          </w:p>
        </w:tc>
        <w:tc>
          <w:tcPr>
            <w:tcW w:w="1634" w:type="dxa"/>
          </w:tcPr>
          <w:p w:rsidR="00000000" w:rsidRDefault="00000000">
            <w:pPr>
              <w:pStyle w:val="BodyText"/>
              <w:jc w:val="center"/>
              <w:rPr>
                <w:sz w:val="22"/>
              </w:rPr>
            </w:pPr>
            <w:r>
              <w:rPr>
                <w:sz w:val="22"/>
              </w:rPr>
              <w:t>% H</w:t>
            </w:r>
          </w:p>
        </w:tc>
      </w:tr>
      <w:tr w:rsidR="00000000">
        <w:tblPrEx>
          <w:tblCellMar>
            <w:top w:w="0" w:type="dxa"/>
            <w:bottom w:w="0" w:type="dxa"/>
          </w:tblCellMar>
        </w:tblPrEx>
        <w:tc>
          <w:tcPr>
            <w:tcW w:w="1633" w:type="dxa"/>
          </w:tcPr>
          <w:p w:rsidR="00000000" w:rsidRDefault="00000000">
            <w:pPr>
              <w:pStyle w:val="BodyText"/>
              <w:rPr>
                <w:sz w:val="22"/>
              </w:rPr>
            </w:pPr>
            <w:r>
              <w:rPr>
                <w:sz w:val="22"/>
              </w:rPr>
              <w:t>1</w:t>
            </w:r>
            <w:r>
              <w:rPr>
                <w:sz w:val="22"/>
                <w:vertAlign w:val="superscript"/>
              </w:rPr>
              <w:t>ère</w:t>
            </w:r>
            <w:r>
              <w:rPr>
                <w:sz w:val="22"/>
              </w:rPr>
              <w:t xml:space="preserve"> année</w:t>
            </w:r>
          </w:p>
        </w:tc>
        <w:tc>
          <w:tcPr>
            <w:tcW w:w="1634" w:type="dxa"/>
          </w:tcPr>
          <w:p w:rsidR="00000000" w:rsidRDefault="00000000">
            <w:pPr>
              <w:pStyle w:val="BodyText"/>
              <w:ind w:right="567"/>
              <w:jc w:val="right"/>
              <w:rPr>
                <w:sz w:val="22"/>
              </w:rPr>
            </w:pPr>
            <w:r>
              <w:rPr>
                <w:sz w:val="22"/>
              </w:rPr>
              <w:t>373</w:t>
            </w:r>
          </w:p>
        </w:tc>
        <w:tc>
          <w:tcPr>
            <w:tcW w:w="1633" w:type="dxa"/>
          </w:tcPr>
          <w:p w:rsidR="00000000" w:rsidRDefault="00000000">
            <w:pPr>
              <w:pStyle w:val="BodyText"/>
              <w:ind w:right="567"/>
              <w:jc w:val="right"/>
              <w:rPr>
                <w:sz w:val="22"/>
              </w:rPr>
            </w:pPr>
            <w:r>
              <w:rPr>
                <w:sz w:val="22"/>
              </w:rPr>
              <w:t>329</w:t>
            </w:r>
          </w:p>
        </w:tc>
        <w:tc>
          <w:tcPr>
            <w:tcW w:w="1634" w:type="dxa"/>
          </w:tcPr>
          <w:p w:rsidR="00000000" w:rsidRDefault="00000000">
            <w:pPr>
              <w:pStyle w:val="BodyText"/>
              <w:ind w:right="567"/>
              <w:jc w:val="right"/>
              <w:rPr>
                <w:sz w:val="22"/>
              </w:rPr>
            </w:pPr>
            <w:r>
              <w:rPr>
                <w:sz w:val="22"/>
              </w:rPr>
              <w:t>44</w:t>
            </w:r>
          </w:p>
        </w:tc>
        <w:tc>
          <w:tcPr>
            <w:tcW w:w="1633" w:type="dxa"/>
          </w:tcPr>
          <w:p w:rsidR="00000000" w:rsidRDefault="00000000">
            <w:pPr>
              <w:pStyle w:val="BodyText"/>
              <w:ind w:right="567"/>
              <w:jc w:val="right"/>
              <w:rPr>
                <w:sz w:val="22"/>
              </w:rPr>
            </w:pPr>
            <w:r>
              <w:rPr>
                <w:sz w:val="22"/>
              </w:rPr>
              <w:t>11,79</w:t>
            </w:r>
          </w:p>
        </w:tc>
        <w:tc>
          <w:tcPr>
            <w:tcW w:w="1634" w:type="dxa"/>
          </w:tcPr>
          <w:p w:rsidR="00000000" w:rsidRDefault="00000000">
            <w:pPr>
              <w:pStyle w:val="BodyText"/>
              <w:ind w:right="567"/>
              <w:jc w:val="right"/>
              <w:rPr>
                <w:sz w:val="22"/>
              </w:rPr>
            </w:pPr>
            <w:r>
              <w:rPr>
                <w:sz w:val="22"/>
              </w:rPr>
              <w:t>88,20</w:t>
            </w:r>
          </w:p>
        </w:tc>
      </w:tr>
      <w:tr w:rsidR="00000000">
        <w:tblPrEx>
          <w:tblCellMar>
            <w:top w:w="0" w:type="dxa"/>
            <w:bottom w:w="0" w:type="dxa"/>
          </w:tblCellMar>
        </w:tblPrEx>
        <w:tc>
          <w:tcPr>
            <w:tcW w:w="1633" w:type="dxa"/>
          </w:tcPr>
          <w:p w:rsidR="00000000" w:rsidRDefault="00000000">
            <w:pPr>
              <w:pStyle w:val="BodyText"/>
              <w:rPr>
                <w:sz w:val="22"/>
              </w:rPr>
            </w:pPr>
            <w:r>
              <w:rPr>
                <w:sz w:val="22"/>
              </w:rPr>
              <w:t>2</w:t>
            </w:r>
            <w:r>
              <w:rPr>
                <w:sz w:val="22"/>
                <w:vertAlign w:val="superscript"/>
              </w:rPr>
              <w:t>ème</w:t>
            </w:r>
            <w:r>
              <w:rPr>
                <w:sz w:val="22"/>
              </w:rPr>
              <w:t xml:space="preserve"> année</w:t>
            </w:r>
          </w:p>
        </w:tc>
        <w:tc>
          <w:tcPr>
            <w:tcW w:w="1634" w:type="dxa"/>
          </w:tcPr>
          <w:p w:rsidR="00000000" w:rsidRDefault="00000000">
            <w:pPr>
              <w:pStyle w:val="BodyText"/>
              <w:ind w:right="567"/>
              <w:jc w:val="right"/>
              <w:rPr>
                <w:sz w:val="22"/>
              </w:rPr>
            </w:pPr>
            <w:r>
              <w:rPr>
                <w:sz w:val="22"/>
              </w:rPr>
              <w:t>185</w:t>
            </w:r>
          </w:p>
        </w:tc>
        <w:tc>
          <w:tcPr>
            <w:tcW w:w="1633" w:type="dxa"/>
          </w:tcPr>
          <w:p w:rsidR="00000000" w:rsidRDefault="00000000">
            <w:pPr>
              <w:pStyle w:val="BodyText"/>
              <w:ind w:right="567"/>
              <w:jc w:val="right"/>
              <w:rPr>
                <w:sz w:val="22"/>
              </w:rPr>
            </w:pPr>
            <w:r>
              <w:rPr>
                <w:sz w:val="22"/>
              </w:rPr>
              <w:t>176</w:t>
            </w:r>
          </w:p>
        </w:tc>
        <w:tc>
          <w:tcPr>
            <w:tcW w:w="1634" w:type="dxa"/>
          </w:tcPr>
          <w:p w:rsidR="00000000" w:rsidRDefault="00000000">
            <w:pPr>
              <w:pStyle w:val="BodyText"/>
              <w:ind w:right="567"/>
              <w:jc w:val="right"/>
              <w:rPr>
                <w:sz w:val="22"/>
              </w:rPr>
            </w:pPr>
            <w:r>
              <w:rPr>
                <w:sz w:val="22"/>
              </w:rPr>
              <w:t>9</w:t>
            </w:r>
          </w:p>
        </w:tc>
        <w:tc>
          <w:tcPr>
            <w:tcW w:w="1633" w:type="dxa"/>
          </w:tcPr>
          <w:p w:rsidR="00000000" w:rsidRDefault="00000000">
            <w:pPr>
              <w:pStyle w:val="BodyText"/>
              <w:ind w:right="567"/>
              <w:jc w:val="right"/>
              <w:rPr>
                <w:sz w:val="22"/>
              </w:rPr>
            </w:pPr>
            <w:r>
              <w:rPr>
                <w:sz w:val="22"/>
              </w:rPr>
              <w:t xml:space="preserve">4,86 </w:t>
            </w:r>
          </w:p>
        </w:tc>
        <w:tc>
          <w:tcPr>
            <w:tcW w:w="1634" w:type="dxa"/>
          </w:tcPr>
          <w:p w:rsidR="00000000" w:rsidRDefault="00000000">
            <w:pPr>
              <w:pStyle w:val="BodyText"/>
              <w:ind w:right="567"/>
              <w:jc w:val="right"/>
              <w:rPr>
                <w:sz w:val="22"/>
              </w:rPr>
            </w:pPr>
            <w:r>
              <w:rPr>
                <w:sz w:val="22"/>
              </w:rPr>
              <w:t>95,13</w:t>
            </w:r>
          </w:p>
        </w:tc>
      </w:tr>
      <w:tr w:rsidR="00000000">
        <w:tblPrEx>
          <w:tblCellMar>
            <w:top w:w="0" w:type="dxa"/>
            <w:bottom w:w="0" w:type="dxa"/>
          </w:tblCellMar>
        </w:tblPrEx>
        <w:tc>
          <w:tcPr>
            <w:tcW w:w="1633" w:type="dxa"/>
          </w:tcPr>
          <w:p w:rsidR="00000000" w:rsidRDefault="00000000">
            <w:pPr>
              <w:pStyle w:val="BodyText"/>
              <w:rPr>
                <w:sz w:val="22"/>
              </w:rPr>
            </w:pPr>
            <w:r>
              <w:rPr>
                <w:sz w:val="22"/>
              </w:rPr>
              <w:t>Licence</w:t>
            </w:r>
          </w:p>
        </w:tc>
        <w:tc>
          <w:tcPr>
            <w:tcW w:w="1634" w:type="dxa"/>
          </w:tcPr>
          <w:p w:rsidR="00000000" w:rsidRDefault="00000000">
            <w:pPr>
              <w:pStyle w:val="BodyText"/>
              <w:ind w:right="567"/>
              <w:jc w:val="right"/>
              <w:rPr>
                <w:sz w:val="22"/>
              </w:rPr>
            </w:pPr>
            <w:r>
              <w:rPr>
                <w:sz w:val="22"/>
              </w:rPr>
              <w:t>333</w:t>
            </w:r>
          </w:p>
        </w:tc>
        <w:tc>
          <w:tcPr>
            <w:tcW w:w="1633" w:type="dxa"/>
          </w:tcPr>
          <w:p w:rsidR="00000000" w:rsidRDefault="00000000">
            <w:pPr>
              <w:pStyle w:val="BodyText"/>
              <w:ind w:right="567"/>
              <w:jc w:val="right"/>
              <w:rPr>
                <w:sz w:val="22"/>
              </w:rPr>
            </w:pPr>
            <w:r>
              <w:rPr>
                <w:sz w:val="22"/>
              </w:rPr>
              <w:t>304</w:t>
            </w:r>
          </w:p>
        </w:tc>
        <w:tc>
          <w:tcPr>
            <w:tcW w:w="1634" w:type="dxa"/>
          </w:tcPr>
          <w:p w:rsidR="00000000" w:rsidRDefault="00000000">
            <w:pPr>
              <w:pStyle w:val="BodyText"/>
              <w:ind w:right="567"/>
              <w:jc w:val="right"/>
              <w:rPr>
                <w:sz w:val="22"/>
              </w:rPr>
            </w:pPr>
            <w:r>
              <w:rPr>
                <w:sz w:val="22"/>
              </w:rPr>
              <w:t>29</w:t>
            </w:r>
          </w:p>
        </w:tc>
        <w:tc>
          <w:tcPr>
            <w:tcW w:w="1633" w:type="dxa"/>
          </w:tcPr>
          <w:p w:rsidR="00000000" w:rsidRDefault="00000000">
            <w:pPr>
              <w:pStyle w:val="BodyText"/>
              <w:ind w:right="567"/>
              <w:jc w:val="right"/>
              <w:rPr>
                <w:sz w:val="22"/>
              </w:rPr>
            </w:pPr>
            <w:r>
              <w:rPr>
                <w:sz w:val="22"/>
              </w:rPr>
              <w:t>8,70</w:t>
            </w:r>
          </w:p>
        </w:tc>
        <w:tc>
          <w:tcPr>
            <w:tcW w:w="1634" w:type="dxa"/>
          </w:tcPr>
          <w:p w:rsidR="00000000" w:rsidRDefault="00000000">
            <w:pPr>
              <w:pStyle w:val="BodyText"/>
              <w:ind w:right="567"/>
              <w:jc w:val="right"/>
              <w:rPr>
                <w:sz w:val="22"/>
              </w:rPr>
            </w:pPr>
            <w:r>
              <w:rPr>
                <w:sz w:val="22"/>
              </w:rPr>
              <w:t>91,29</w:t>
            </w:r>
          </w:p>
        </w:tc>
      </w:tr>
      <w:tr w:rsidR="00000000">
        <w:tblPrEx>
          <w:tblCellMar>
            <w:top w:w="0" w:type="dxa"/>
            <w:bottom w:w="0" w:type="dxa"/>
          </w:tblCellMar>
        </w:tblPrEx>
        <w:tc>
          <w:tcPr>
            <w:tcW w:w="1633" w:type="dxa"/>
          </w:tcPr>
          <w:p w:rsidR="00000000" w:rsidRDefault="00000000">
            <w:pPr>
              <w:pStyle w:val="BodyText"/>
              <w:rPr>
                <w:b/>
                <w:sz w:val="22"/>
              </w:rPr>
            </w:pPr>
            <w:r>
              <w:rPr>
                <w:b/>
                <w:sz w:val="22"/>
              </w:rPr>
              <w:t xml:space="preserve">Total </w:t>
            </w:r>
          </w:p>
        </w:tc>
        <w:tc>
          <w:tcPr>
            <w:tcW w:w="1634" w:type="dxa"/>
          </w:tcPr>
          <w:p w:rsidR="00000000" w:rsidRDefault="00000000">
            <w:pPr>
              <w:pStyle w:val="BodyText"/>
              <w:ind w:right="567"/>
              <w:jc w:val="right"/>
              <w:rPr>
                <w:sz w:val="22"/>
              </w:rPr>
            </w:pPr>
            <w:r>
              <w:rPr>
                <w:sz w:val="22"/>
              </w:rPr>
              <w:t>891</w:t>
            </w:r>
          </w:p>
        </w:tc>
        <w:tc>
          <w:tcPr>
            <w:tcW w:w="1633" w:type="dxa"/>
          </w:tcPr>
          <w:p w:rsidR="00000000" w:rsidRDefault="00000000">
            <w:pPr>
              <w:pStyle w:val="BodyText"/>
              <w:ind w:right="567"/>
              <w:jc w:val="right"/>
              <w:rPr>
                <w:sz w:val="22"/>
              </w:rPr>
            </w:pPr>
            <w:r>
              <w:rPr>
                <w:sz w:val="22"/>
              </w:rPr>
              <w:t>809</w:t>
            </w:r>
          </w:p>
        </w:tc>
        <w:tc>
          <w:tcPr>
            <w:tcW w:w="1634" w:type="dxa"/>
          </w:tcPr>
          <w:p w:rsidR="00000000" w:rsidRDefault="00000000">
            <w:pPr>
              <w:pStyle w:val="BodyText"/>
              <w:ind w:right="567"/>
              <w:jc w:val="right"/>
              <w:rPr>
                <w:sz w:val="22"/>
              </w:rPr>
            </w:pPr>
            <w:r>
              <w:rPr>
                <w:sz w:val="22"/>
              </w:rPr>
              <w:t>82</w:t>
            </w:r>
          </w:p>
        </w:tc>
        <w:tc>
          <w:tcPr>
            <w:tcW w:w="1633" w:type="dxa"/>
          </w:tcPr>
          <w:p w:rsidR="00000000" w:rsidRDefault="00000000">
            <w:pPr>
              <w:pStyle w:val="BodyText"/>
              <w:ind w:right="567"/>
              <w:jc w:val="right"/>
              <w:rPr>
                <w:sz w:val="22"/>
              </w:rPr>
            </w:pPr>
            <w:r>
              <w:rPr>
                <w:sz w:val="22"/>
              </w:rPr>
              <w:t>9,20</w:t>
            </w:r>
          </w:p>
        </w:tc>
        <w:tc>
          <w:tcPr>
            <w:tcW w:w="1634" w:type="dxa"/>
          </w:tcPr>
          <w:p w:rsidR="00000000" w:rsidRDefault="00000000">
            <w:pPr>
              <w:pStyle w:val="BodyText"/>
              <w:ind w:right="567"/>
              <w:jc w:val="right"/>
              <w:rPr>
                <w:sz w:val="22"/>
              </w:rPr>
            </w:pPr>
            <w:r>
              <w:rPr>
                <w:sz w:val="22"/>
              </w:rPr>
              <w:t>90,79</w:t>
            </w:r>
          </w:p>
        </w:tc>
      </w:tr>
    </w:tbl>
    <w:p w:rsidR="00000000" w:rsidRDefault="00000000">
      <w:pPr>
        <w:pStyle w:val="BodyText"/>
        <w:spacing w:line="120" w:lineRule="exact"/>
        <w:rPr>
          <w:sz w:val="10"/>
        </w:rPr>
      </w:pPr>
    </w:p>
    <w:p w:rsidR="00000000" w:rsidRDefault="00000000">
      <w:pPr>
        <w:pStyle w:val="BodyText"/>
        <w:rPr>
          <w:i/>
          <w:sz w:val="22"/>
        </w:rPr>
      </w:pPr>
      <w:r>
        <w:rPr>
          <w:i/>
          <w:sz w:val="22"/>
          <w:u w:val="single"/>
        </w:rPr>
        <w:t>Source</w:t>
      </w:r>
      <w:r>
        <w:rPr>
          <w:i/>
          <w:sz w:val="22"/>
        </w:rPr>
        <w:t xml:space="preserve"> : Service de la planification universitaire.</w:t>
      </w:r>
    </w:p>
    <w:p w:rsidR="00000000" w:rsidRDefault="00000000">
      <w:pPr>
        <w:pStyle w:val="BodyText"/>
        <w:rPr>
          <w:sz w:val="22"/>
        </w:rPr>
      </w:pPr>
    </w:p>
    <w:p w:rsidR="00000000" w:rsidRDefault="00000000">
      <w:pPr>
        <w:pStyle w:val="BodyText"/>
        <w:rPr>
          <w:sz w:val="22"/>
        </w:rPr>
      </w:pPr>
      <w:r>
        <w:rPr>
          <w:sz w:val="22"/>
        </w:rPr>
        <w:t>La situation n’est guère plus reluisante dans les écoles ou les instituts de formation comme l’Institut Supérieur de gestion, l’Institut de Développement Rural, l’Ecole Normale Polytechnique, l’Ecole Nationale d’Administration et de Magistrature, la Faculté des Sciences de la Santé, l’Ecole Normale Supérieure.</w:t>
      </w:r>
    </w:p>
    <w:p w:rsidR="00000000" w:rsidRDefault="00000000">
      <w:pPr>
        <w:pStyle w:val="BodyText"/>
        <w:rPr>
          <w:sz w:val="22"/>
        </w:rPr>
      </w:pPr>
    </w:p>
    <w:p w:rsidR="00000000" w:rsidRDefault="00000000">
      <w:pPr>
        <w:pStyle w:val="BodyText"/>
        <w:rPr>
          <w:sz w:val="22"/>
        </w:rPr>
      </w:pPr>
      <w:r>
        <w:rPr>
          <w:sz w:val="22"/>
        </w:rPr>
        <w:t>Un constat est à faire : à l’Institut Supérieur de Gestion, l’écart est moins criard. Mais ce qui est surprenant, c’est la présence assez faible voire même très faible des filles à l’Ecole Normale Supérieure et à la faculté des sciences de la santé. On ne reconnaît plus, au regard des statistiques, le rôle de la femme en tant que garante de l’éducation de la famille, de la santé, dans sa famille et dans la société. L’image stéréotypée des études de médecine à travers le monde (longues, difficiles, sélectives) joue sûrement une influence néfaste  chez la jeune fille congolaise.</w:t>
      </w:r>
    </w:p>
    <w:p w:rsidR="00000000" w:rsidRDefault="00000000">
      <w:pPr>
        <w:pStyle w:val="BodyText"/>
        <w:rPr>
          <w:sz w:val="22"/>
        </w:rPr>
      </w:pPr>
    </w:p>
    <w:p w:rsidR="00000000" w:rsidRDefault="00000000">
      <w:pPr>
        <w:pStyle w:val="BodyText"/>
        <w:rPr>
          <w:b/>
          <w:sz w:val="22"/>
        </w:rPr>
      </w:pPr>
      <w:r>
        <w:rPr>
          <w:b/>
          <w:sz w:val="22"/>
          <w:u w:val="single"/>
        </w:rPr>
        <w:t>Tableau n° 50</w:t>
      </w:r>
      <w:r>
        <w:rPr>
          <w:b/>
          <w:sz w:val="22"/>
        </w:rPr>
        <w:t> : Représentativité des filles à l’Ecole Normale Supérieure</w:t>
      </w:r>
    </w:p>
    <w:p w:rsidR="00000000" w:rsidRDefault="00000000">
      <w:pPr>
        <w:pStyle w:val="BodyText"/>
        <w:rPr>
          <w:sz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3"/>
        <w:gridCol w:w="1634"/>
        <w:gridCol w:w="1633"/>
        <w:gridCol w:w="1634"/>
        <w:gridCol w:w="1633"/>
        <w:gridCol w:w="1634"/>
      </w:tblGrid>
      <w:tr w:rsidR="00000000">
        <w:tblPrEx>
          <w:tblCellMar>
            <w:top w:w="0" w:type="dxa"/>
            <w:bottom w:w="0" w:type="dxa"/>
          </w:tblCellMar>
        </w:tblPrEx>
        <w:tc>
          <w:tcPr>
            <w:tcW w:w="1633" w:type="dxa"/>
          </w:tcPr>
          <w:p w:rsidR="00000000" w:rsidRDefault="00000000">
            <w:pPr>
              <w:pStyle w:val="BodyText"/>
              <w:jc w:val="center"/>
              <w:rPr>
                <w:sz w:val="22"/>
              </w:rPr>
            </w:pPr>
            <w:r>
              <w:rPr>
                <w:sz w:val="22"/>
              </w:rPr>
              <w:t>Année</w:t>
            </w:r>
          </w:p>
        </w:tc>
        <w:tc>
          <w:tcPr>
            <w:tcW w:w="1634" w:type="dxa"/>
          </w:tcPr>
          <w:p w:rsidR="00000000" w:rsidRDefault="00000000">
            <w:pPr>
              <w:pStyle w:val="BodyText"/>
              <w:jc w:val="center"/>
              <w:rPr>
                <w:sz w:val="22"/>
              </w:rPr>
            </w:pPr>
            <w:r>
              <w:rPr>
                <w:sz w:val="22"/>
              </w:rPr>
              <w:t>Total</w:t>
            </w:r>
          </w:p>
        </w:tc>
        <w:tc>
          <w:tcPr>
            <w:tcW w:w="1633" w:type="dxa"/>
          </w:tcPr>
          <w:p w:rsidR="00000000" w:rsidRDefault="00000000">
            <w:pPr>
              <w:pStyle w:val="BodyText"/>
              <w:jc w:val="center"/>
              <w:rPr>
                <w:sz w:val="22"/>
              </w:rPr>
            </w:pPr>
            <w:r>
              <w:rPr>
                <w:sz w:val="22"/>
              </w:rPr>
              <w:t>Hommes</w:t>
            </w:r>
          </w:p>
        </w:tc>
        <w:tc>
          <w:tcPr>
            <w:tcW w:w="1634" w:type="dxa"/>
          </w:tcPr>
          <w:p w:rsidR="00000000" w:rsidRDefault="00000000">
            <w:pPr>
              <w:pStyle w:val="BodyText"/>
              <w:jc w:val="center"/>
              <w:rPr>
                <w:sz w:val="22"/>
              </w:rPr>
            </w:pPr>
            <w:r>
              <w:rPr>
                <w:sz w:val="22"/>
              </w:rPr>
              <w:t>Femmes</w:t>
            </w:r>
          </w:p>
        </w:tc>
        <w:tc>
          <w:tcPr>
            <w:tcW w:w="1633" w:type="dxa"/>
          </w:tcPr>
          <w:p w:rsidR="00000000" w:rsidRDefault="00000000">
            <w:pPr>
              <w:pStyle w:val="BodyText"/>
              <w:jc w:val="center"/>
              <w:rPr>
                <w:sz w:val="22"/>
              </w:rPr>
            </w:pPr>
            <w:r>
              <w:rPr>
                <w:sz w:val="22"/>
              </w:rPr>
              <w:t>% F</w:t>
            </w:r>
          </w:p>
        </w:tc>
        <w:tc>
          <w:tcPr>
            <w:tcW w:w="1634" w:type="dxa"/>
          </w:tcPr>
          <w:p w:rsidR="00000000" w:rsidRDefault="00000000">
            <w:pPr>
              <w:pStyle w:val="BodyText"/>
              <w:jc w:val="center"/>
              <w:rPr>
                <w:sz w:val="22"/>
              </w:rPr>
            </w:pPr>
            <w:r>
              <w:rPr>
                <w:sz w:val="22"/>
              </w:rPr>
              <w:t>% H</w:t>
            </w:r>
          </w:p>
        </w:tc>
      </w:tr>
      <w:tr w:rsidR="00000000">
        <w:tblPrEx>
          <w:tblCellMar>
            <w:top w:w="0" w:type="dxa"/>
            <w:bottom w:w="0" w:type="dxa"/>
          </w:tblCellMar>
        </w:tblPrEx>
        <w:tc>
          <w:tcPr>
            <w:tcW w:w="1633" w:type="dxa"/>
          </w:tcPr>
          <w:p w:rsidR="00000000" w:rsidRDefault="00000000">
            <w:pPr>
              <w:pStyle w:val="BodyText"/>
              <w:rPr>
                <w:sz w:val="22"/>
              </w:rPr>
            </w:pPr>
            <w:r>
              <w:rPr>
                <w:sz w:val="22"/>
              </w:rPr>
              <w:t>1</w:t>
            </w:r>
            <w:r>
              <w:rPr>
                <w:sz w:val="22"/>
                <w:vertAlign w:val="superscript"/>
              </w:rPr>
              <w:t>ère</w:t>
            </w:r>
            <w:r>
              <w:rPr>
                <w:sz w:val="22"/>
              </w:rPr>
              <w:t xml:space="preserve"> année</w:t>
            </w:r>
          </w:p>
        </w:tc>
        <w:tc>
          <w:tcPr>
            <w:tcW w:w="1634" w:type="dxa"/>
          </w:tcPr>
          <w:p w:rsidR="00000000" w:rsidRDefault="00000000">
            <w:pPr>
              <w:pStyle w:val="BodyText"/>
              <w:ind w:right="567"/>
              <w:jc w:val="right"/>
              <w:rPr>
                <w:sz w:val="22"/>
              </w:rPr>
            </w:pPr>
            <w:r>
              <w:rPr>
                <w:sz w:val="22"/>
              </w:rPr>
              <w:t>128</w:t>
            </w:r>
          </w:p>
        </w:tc>
        <w:tc>
          <w:tcPr>
            <w:tcW w:w="1633" w:type="dxa"/>
          </w:tcPr>
          <w:p w:rsidR="00000000" w:rsidRDefault="00000000">
            <w:pPr>
              <w:pStyle w:val="BodyText"/>
              <w:ind w:right="567"/>
              <w:jc w:val="right"/>
              <w:rPr>
                <w:sz w:val="22"/>
              </w:rPr>
            </w:pPr>
            <w:r>
              <w:rPr>
                <w:sz w:val="22"/>
              </w:rPr>
              <w:t>108</w:t>
            </w:r>
          </w:p>
        </w:tc>
        <w:tc>
          <w:tcPr>
            <w:tcW w:w="1634" w:type="dxa"/>
          </w:tcPr>
          <w:p w:rsidR="00000000" w:rsidRDefault="00000000">
            <w:pPr>
              <w:pStyle w:val="BodyText"/>
              <w:ind w:right="567"/>
              <w:jc w:val="right"/>
              <w:rPr>
                <w:sz w:val="22"/>
              </w:rPr>
            </w:pPr>
            <w:r>
              <w:rPr>
                <w:sz w:val="22"/>
              </w:rPr>
              <w:t>20</w:t>
            </w:r>
          </w:p>
        </w:tc>
        <w:tc>
          <w:tcPr>
            <w:tcW w:w="1633" w:type="dxa"/>
          </w:tcPr>
          <w:p w:rsidR="00000000" w:rsidRDefault="00000000">
            <w:pPr>
              <w:pStyle w:val="BodyText"/>
              <w:ind w:right="567"/>
              <w:jc w:val="right"/>
              <w:rPr>
                <w:sz w:val="22"/>
              </w:rPr>
            </w:pPr>
            <w:r>
              <w:rPr>
                <w:sz w:val="22"/>
              </w:rPr>
              <w:t>15,62</w:t>
            </w:r>
          </w:p>
        </w:tc>
        <w:tc>
          <w:tcPr>
            <w:tcW w:w="1634" w:type="dxa"/>
          </w:tcPr>
          <w:p w:rsidR="00000000" w:rsidRDefault="00000000">
            <w:pPr>
              <w:pStyle w:val="BodyText"/>
              <w:ind w:right="567"/>
              <w:jc w:val="right"/>
              <w:rPr>
                <w:sz w:val="22"/>
              </w:rPr>
            </w:pPr>
            <w:r>
              <w:rPr>
                <w:sz w:val="22"/>
              </w:rPr>
              <w:t>84,37</w:t>
            </w:r>
          </w:p>
        </w:tc>
      </w:tr>
      <w:tr w:rsidR="00000000">
        <w:tblPrEx>
          <w:tblCellMar>
            <w:top w:w="0" w:type="dxa"/>
            <w:bottom w:w="0" w:type="dxa"/>
          </w:tblCellMar>
        </w:tblPrEx>
        <w:tc>
          <w:tcPr>
            <w:tcW w:w="1633" w:type="dxa"/>
          </w:tcPr>
          <w:p w:rsidR="00000000" w:rsidRDefault="00000000">
            <w:pPr>
              <w:pStyle w:val="BodyText"/>
              <w:rPr>
                <w:sz w:val="22"/>
              </w:rPr>
            </w:pPr>
            <w:r>
              <w:rPr>
                <w:sz w:val="22"/>
              </w:rPr>
              <w:t>2</w:t>
            </w:r>
            <w:r>
              <w:rPr>
                <w:sz w:val="22"/>
                <w:vertAlign w:val="superscript"/>
              </w:rPr>
              <w:t>ème</w:t>
            </w:r>
            <w:r>
              <w:rPr>
                <w:sz w:val="22"/>
              </w:rPr>
              <w:t xml:space="preserve"> année</w:t>
            </w:r>
          </w:p>
        </w:tc>
        <w:tc>
          <w:tcPr>
            <w:tcW w:w="1634" w:type="dxa"/>
          </w:tcPr>
          <w:p w:rsidR="00000000" w:rsidRDefault="00000000">
            <w:pPr>
              <w:pStyle w:val="BodyText"/>
              <w:ind w:right="567"/>
              <w:jc w:val="right"/>
              <w:rPr>
                <w:sz w:val="22"/>
              </w:rPr>
            </w:pPr>
            <w:r>
              <w:rPr>
                <w:sz w:val="22"/>
              </w:rPr>
              <w:t>109</w:t>
            </w:r>
          </w:p>
        </w:tc>
        <w:tc>
          <w:tcPr>
            <w:tcW w:w="1633" w:type="dxa"/>
          </w:tcPr>
          <w:p w:rsidR="00000000" w:rsidRDefault="00000000">
            <w:pPr>
              <w:pStyle w:val="BodyText"/>
              <w:ind w:right="567"/>
              <w:jc w:val="right"/>
              <w:rPr>
                <w:sz w:val="22"/>
              </w:rPr>
            </w:pPr>
            <w:r>
              <w:rPr>
                <w:sz w:val="22"/>
              </w:rPr>
              <w:t>88</w:t>
            </w:r>
          </w:p>
        </w:tc>
        <w:tc>
          <w:tcPr>
            <w:tcW w:w="1634" w:type="dxa"/>
          </w:tcPr>
          <w:p w:rsidR="00000000" w:rsidRDefault="00000000">
            <w:pPr>
              <w:pStyle w:val="BodyText"/>
              <w:ind w:right="567"/>
              <w:jc w:val="right"/>
              <w:rPr>
                <w:sz w:val="22"/>
              </w:rPr>
            </w:pPr>
            <w:r>
              <w:rPr>
                <w:sz w:val="22"/>
              </w:rPr>
              <w:t>21</w:t>
            </w:r>
          </w:p>
        </w:tc>
        <w:tc>
          <w:tcPr>
            <w:tcW w:w="1633" w:type="dxa"/>
          </w:tcPr>
          <w:p w:rsidR="00000000" w:rsidRDefault="00000000">
            <w:pPr>
              <w:pStyle w:val="BodyText"/>
              <w:ind w:right="567"/>
              <w:jc w:val="right"/>
              <w:rPr>
                <w:sz w:val="22"/>
              </w:rPr>
            </w:pPr>
            <w:r>
              <w:rPr>
                <w:sz w:val="22"/>
              </w:rPr>
              <w:t>19,26</w:t>
            </w:r>
          </w:p>
        </w:tc>
        <w:tc>
          <w:tcPr>
            <w:tcW w:w="1634" w:type="dxa"/>
          </w:tcPr>
          <w:p w:rsidR="00000000" w:rsidRDefault="00000000">
            <w:pPr>
              <w:pStyle w:val="BodyText"/>
              <w:ind w:right="567"/>
              <w:jc w:val="right"/>
              <w:rPr>
                <w:sz w:val="22"/>
              </w:rPr>
            </w:pPr>
            <w:r>
              <w:rPr>
                <w:sz w:val="22"/>
              </w:rPr>
              <w:t>80,73</w:t>
            </w:r>
          </w:p>
        </w:tc>
      </w:tr>
      <w:tr w:rsidR="00000000">
        <w:tblPrEx>
          <w:tblCellMar>
            <w:top w:w="0" w:type="dxa"/>
            <w:bottom w:w="0" w:type="dxa"/>
          </w:tblCellMar>
        </w:tblPrEx>
        <w:tc>
          <w:tcPr>
            <w:tcW w:w="1633" w:type="dxa"/>
          </w:tcPr>
          <w:p w:rsidR="00000000" w:rsidRDefault="00000000">
            <w:pPr>
              <w:pStyle w:val="BodyText"/>
              <w:rPr>
                <w:sz w:val="22"/>
              </w:rPr>
            </w:pPr>
            <w:r>
              <w:rPr>
                <w:sz w:val="22"/>
              </w:rPr>
              <w:t>3</w:t>
            </w:r>
            <w:r>
              <w:rPr>
                <w:sz w:val="22"/>
                <w:vertAlign w:val="superscript"/>
              </w:rPr>
              <w:t>ème</w:t>
            </w:r>
            <w:r>
              <w:rPr>
                <w:sz w:val="22"/>
              </w:rPr>
              <w:t xml:space="preserve"> année</w:t>
            </w:r>
          </w:p>
        </w:tc>
        <w:tc>
          <w:tcPr>
            <w:tcW w:w="1634" w:type="dxa"/>
          </w:tcPr>
          <w:p w:rsidR="00000000" w:rsidRDefault="00000000">
            <w:pPr>
              <w:pStyle w:val="BodyText"/>
              <w:ind w:right="567"/>
              <w:jc w:val="right"/>
              <w:rPr>
                <w:sz w:val="22"/>
              </w:rPr>
            </w:pPr>
            <w:r>
              <w:rPr>
                <w:sz w:val="22"/>
              </w:rPr>
              <w:t>179</w:t>
            </w:r>
          </w:p>
        </w:tc>
        <w:tc>
          <w:tcPr>
            <w:tcW w:w="1633" w:type="dxa"/>
          </w:tcPr>
          <w:p w:rsidR="00000000" w:rsidRDefault="00000000">
            <w:pPr>
              <w:pStyle w:val="BodyText"/>
              <w:ind w:right="567"/>
              <w:jc w:val="right"/>
              <w:rPr>
                <w:sz w:val="22"/>
              </w:rPr>
            </w:pPr>
            <w:r>
              <w:rPr>
                <w:sz w:val="22"/>
              </w:rPr>
              <w:t>149</w:t>
            </w:r>
          </w:p>
        </w:tc>
        <w:tc>
          <w:tcPr>
            <w:tcW w:w="1634" w:type="dxa"/>
          </w:tcPr>
          <w:p w:rsidR="00000000" w:rsidRDefault="00000000">
            <w:pPr>
              <w:pStyle w:val="BodyText"/>
              <w:ind w:right="567"/>
              <w:jc w:val="right"/>
              <w:rPr>
                <w:sz w:val="22"/>
              </w:rPr>
            </w:pPr>
            <w:r>
              <w:rPr>
                <w:sz w:val="22"/>
              </w:rPr>
              <w:t>30</w:t>
            </w:r>
          </w:p>
        </w:tc>
        <w:tc>
          <w:tcPr>
            <w:tcW w:w="1633" w:type="dxa"/>
          </w:tcPr>
          <w:p w:rsidR="00000000" w:rsidRDefault="00000000">
            <w:pPr>
              <w:pStyle w:val="BodyText"/>
              <w:ind w:right="567"/>
              <w:jc w:val="right"/>
              <w:rPr>
                <w:sz w:val="22"/>
              </w:rPr>
            </w:pPr>
            <w:r>
              <w:rPr>
                <w:sz w:val="22"/>
              </w:rPr>
              <w:t>16,75</w:t>
            </w:r>
          </w:p>
        </w:tc>
        <w:tc>
          <w:tcPr>
            <w:tcW w:w="1634" w:type="dxa"/>
          </w:tcPr>
          <w:p w:rsidR="00000000" w:rsidRDefault="00000000">
            <w:pPr>
              <w:pStyle w:val="BodyText"/>
              <w:ind w:right="567"/>
              <w:jc w:val="right"/>
              <w:rPr>
                <w:sz w:val="22"/>
              </w:rPr>
            </w:pPr>
            <w:r>
              <w:rPr>
                <w:sz w:val="22"/>
              </w:rPr>
              <w:t>83,24</w:t>
            </w:r>
          </w:p>
        </w:tc>
      </w:tr>
      <w:tr w:rsidR="00000000">
        <w:tblPrEx>
          <w:tblCellMar>
            <w:top w:w="0" w:type="dxa"/>
            <w:bottom w:w="0" w:type="dxa"/>
          </w:tblCellMar>
        </w:tblPrEx>
        <w:tc>
          <w:tcPr>
            <w:tcW w:w="1633" w:type="dxa"/>
          </w:tcPr>
          <w:p w:rsidR="00000000" w:rsidRDefault="00000000">
            <w:pPr>
              <w:pStyle w:val="BodyText"/>
              <w:rPr>
                <w:sz w:val="22"/>
              </w:rPr>
            </w:pPr>
            <w:r>
              <w:rPr>
                <w:sz w:val="22"/>
              </w:rPr>
              <w:t>4</w:t>
            </w:r>
            <w:r>
              <w:rPr>
                <w:sz w:val="22"/>
                <w:vertAlign w:val="superscript"/>
              </w:rPr>
              <w:t>ème</w:t>
            </w:r>
            <w:r>
              <w:rPr>
                <w:sz w:val="22"/>
              </w:rPr>
              <w:t xml:space="preserve"> année</w:t>
            </w:r>
          </w:p>
        </w:tc>
        <w:tc>
          <w:tcPr>
            <w:tcW w:w="1634" w:type="dxa"/>
          </w:tcPr>
          <w:p w:rsidR="00000000" w:rsidRDefault="00000000">
            <w:pPr>
              <w:pStyle w:val="BodyText"/>
              <w:ind w:right="567"/>
              <w:jc w:val="right"/>
              <w:rPr>
                <w:sz w:val="22"/>
              </w:rPr>
            </w:pPr>
            <w:r>
              <w:rPr>
                <w:sz w:val="22"/>
              </w:rPr>
              <w:t>127</w:t>
            </w:r>
          </w:p>
        </w:tc>
        <w:tc>
          <w:tcPr>
            <w:tcW w:w="1633" w:type="dxa"/>
          </w:tcPr>
          <w:p w:rsidR="00000000" w:rsidRDefault="00000000">
            <w:pPr>
              <w:pStyle w:val="BodyText"/>
              <w:ind w:right="567"/>
              <w:jc w:val="right"/>
              <w:rPr>
                <w:sz w:val="22"/>
              </w:rPr>
            </w:pPr>
            <w:r>
              <w:rPr>
                <w:sz w:val="22"/>
              </w:rPr>
              <w:t>109</w:t>
            </w:r>
          </w:p>
        </w:tc>
        <w:tc>
          <w:tcPr>
            <w:tcW w:w="1634" w:type="dxa"/>
          </w:tcPr>
          <w:p w:rsidR="00000000" w:rsidRDefault="00000000">
            <w:pPr>
              <w:pStyle w:val="BodyText"/>
              <w:ind w:right="567"/>
              <w:jc w:val="right"/>
              <w:rPr>
                <w:sz w:val="22"/>
              </w:rPr>
            </w:pPr>
            <w:r>
              <w:rPr>
                <w:sz w:val="22"/>
              </w:rPr>
              <w:t>18</w:t>
            </w:r>
          </w:p>
        </w:tc>
        <w:tc>
          <w:tcPr>
            <w:tcW w:w="1633" w:type="dxa"/>
          </w:tcPr>
          <w:p w:rsidR="00000000" w:rsidRDefault="00000000">
            <w:pPr>
              <w:pStyle w:val="BodyText"/>
              <w:ind w:right="567"/>
              <w:jc w:val="right"/>
              <w:rPr>
                <w:sz w:val="22"/>
              </w:rPr>
            </w:pPr>
            <w:r>
              <w:rPr>
                <w:sz w:val="22"/>
              </w:rPr>
              <w:t>14,17</w:t>
            </w:r>
          </w:p>
        </w:tc>
        <w:tc>
          <w:tcPr>
            <w:tcW w:w="1634" w:type="dxa"/>
          </w:tcPr>
          <w:p w:rsidR="00000000" w:rsidRDefault="00000000">
            <w:pPr>
              <w:pStyle w:val="BodyText"/>
              <w:ind w:right="567"/>
              <w:jc w:val="right"/>
              <w:rPr>
                <w:sz w:val="22"/>
              </w:rPr>
            </w:pPr>
            <w:r>
              <w:rPr>
                <w:sz w:val="22"/>
              </w:rPr>
              <w:t>85,24</w:t>
            </w:r>
          </w:p>
        </w:tc>
      </w:tr>
      <w:tr w:rsidR="00000000">
        <w:tblPrEx>
          <w:tblCellMar>
            <w:top w:w="0" w:type="dxa"/>
            <w:bottom w:w="0" w:type="dxa"/>
          </w:tblCellMar>
        </w:tblPrEx>
        <w:tc>
          <w:tcPr>
            <w:tcW w:w="1633" w:type="dxa"/>
          </w:tcPr>
          <w:p w:rsidR="00000000" w:rsidRDefault="00000000">
            <w:pPr>
              <w:pStyle w:val="BodyText"/>
              <w:rPr>
                <w:sz w:val="22"/>
              </w:rPr>
            </w:pPr>
            <w:r>
              <w:rPr>
                <w:sz w:val="22"/>
              </w:rPr>
              <w:t>5</w:t>
            </w:r>
            <w:r>
              <w:rPr>
                <w:sz w:val="22"/>
                <w:vertAlign w:val="superscript"/>
              </w:rPr>
              <w:t>ème</w:t>
            </w:r>
            <w:r>
              <w:rPr>
                <w:sz w:val="22"/>
              </w:rPr>
              <w:t xml:space="preserve"> année  CAPES</w:t>
            </w:r>
          </w:p>
        </w:tc>
        <w:tc>
          <w:tcPr>
            <w:tcW w:w="1634" w:type="dxa"/>
          </w:tcPr>
          <w:p w:rsidR="00000000" w:rsidRDefault="00000000">
            <w:pPr>
              <w:pStyle w:val="BodyText"/>
              <w:ind w:right="567"/>
              <w:jc w:val="right"/>
              <w:rPr>
                <w:sz w:val="22"/>
              </w:rPr>
            </w:pPr>
            <w:r>
              <w:rPr>
                <w:sz w:val="22"/>
              </w:rPr>
              <w:t>116</w:t>
            </w:r>
          </w:p>
        </w:tc>
        <w:tc>
          <w:tcPr>
            <w:tcW w:w="1633" w:type="dxa"/>
          </w:tcPr>
          <w:p w:rsidR="00000000" w:rsidRDefault="00000000">
            <w:pPr>
              <w:pStyle w:val="BodyText"/>
              <w:ind w:right="567"/>
              <w:jc w:val="right"/>
              <w:rPr>
                <w:sz w:val="22"/>
              </w:rPr>
            </w:pPr>
            <w:r>
              <w:rPr>
                <w:sz w:val="22"/>
              </w:rPr>
              <w:t>104</w:t>
            </w:r>
          </w:p>
        </w:tc>
        <w:tc>
          <w:tcPr>
            <w:tcW w:w="1634" w:type="dxa"/>
          </w:tcPr>
          <w:p w:rsidR="00000000" w:rsidRDefault="00000000">
            <w:pPr>
              <w:pStyle w:val="BodyText"/>
              <w:ind w:right="567"/>
              <w:jc w:val="right"/>
              <w:rPr>
                <w:sz w:val="22"/>
              </w:rPr>
            </w:pPr>
            <w:r>
              <w:rPr>
                <w:sz w:val="22"/>
              </w:rPr>
              <w:t>12</w:t>
            </w:r>
          </w:p>
        </w:tc>
        <w:tc>
          <w:tcPr>
            <w:tcW w:w="1633" w:type="dxa"/>
          </w:tcPr>
          <w:p w:rsidR="00000000" w:rsidRDefault="00000000">
            <w:pPr>
              <w:pStyle w:val="BodyText"/>
              <w:ind w:right="567"/>
              <w:jc w:val="right"/>
              <w:rPr>
                <w:sz w:val="22"/>
              </w:rPr>
            </w:pPr>
            <w:r>
              <w:rPr>
                <w:sz w:val="22"/>
              </w:rPr>
              <w:t>10,34</w:t>
            </w:r>
          </w:p>
        </w:tc>
        <w:tc>
          <w:tcPr>
            <w:tcW w:w="1634" w:type="dxa"/>
          </w:tcPr>
          <w:p w:rsidR="00000000" w:rsidRDefault="00000000">
            <w:pPr>
              <w:pStyle w:val="BodyText"/>
              <w:ind w:right="567"/>
              <w:jc w:val="right"/>
              <w:rPr>
                <w:sz w:val="22"/>
              </w:rPr>
            </w:pPr>
            <w:r>
              <w:rPr>
                <w:sz w:val="22"/>
              </w:rPr>
              <w:t>89,65</w:t>
            </w:r>
          </w:p>
        </w:tc>
      </w:tr>
      <w:tr w:rsidR="00000000">
        <w:tblPrEx>
          <w:tblCellMar>
            <w:top w:w="0" w:type="dxa"/>
            <w:bottom w:w="0" w:type="dxa"/>
          </w:tblCellMar>
        </w:tblPrEx>
        <w:tc>
          <w:tcPr>
            <w:tcW w:w="1633" w:type="dxa"/>
          </w:tcPr>
          <w:p w:rsidR="00000000" w:rsidRDefault="00000000">
            <w:pPr>
              <w:pStyle w:val="BodyText"/>
              <w:rPr>
                <w:b/>
                <w:sz w:val="22"/>
              </w:rPr>
            </w:pPr>
            <w:r>
              <w:rPr>
                <w:b/>
                <w:sz w:val="22"/>
              </w:rPr>
              <w:t>Total</w:t>
            </w:r>
          </w:p>
        </w:tc>
        <w:tc>
          <w:tcPr>
            <w:tcW w:w="1634" w:type="dxa"/>
          </w:tcPr>
          <w:p w:rsidR="00000000" w:rsidRDefault="00000000">
            <w:pPr>
              <w:pStyle w:val="BodyText"/>
              <w:ind w:right="567"/>
              <w:jc w:val="right"/>
              <w:rPr>
                <w:sz w:val="22"/>
              </w:rPr>
            </w:pPr>
            <w:r>
              <w:rPr>
                <w:sz w:val="22"/>
              </w:rPr>
              <w:t>659</w:t>
            </w:r>
          </w:p>
        </w:tc>
        <w:tc>
          <w:tcPr>
            <w:tcW w:w="1633" w:type="dxa"/>
          </w:tcPr>
          <w:p w:rsidR="00000000" w:rsidRDefault="00000000">
            <w:pPr>
              <w:pStyle w:val="BodyText"/>
              <w:ind w:right="567"/>
              <w:jc w:val="right"/>
              <w:rPr>
                <w:sz w:val="22"/>
              </w:rPr>
            </w:pPr>
            <w:r>
              <w:rPr>
                <w:sz w:val="22"/>
              </w:rPr>
              <w:t>558</w:t>
            </w:r>
          </w:p>
        </w:tc>
        <w:tc>
          <w:tcPr>
            <w:tcW w:w="1634" w:type="dxa"/>
          </w:tcPr>
          <w:p w:rsidR="00000000" w:rsidRDefault="00000000">
            <w:pPr>
              <w:pStyle w:val="BodyText"/>
              <w:ind w:right="567"/>
              <w:jc w:val="right"/>
              <w:rPr>
                <w:sz w:val="22"/>
              </w:rPr>
            </w:pPr>
            <w:r>
              <w:rPr>
                <w:sz w:val="22"/>
              </w:rPr>
              <w:t>101</w:t>
            </w:r>
          </w:p>
        </w:tc>
        <w:tc>
          <w:tcPr>
            <w:tcW w:w="1633" w:type="dxa"/>
          </w:tcPr>
          <w:p w:rsidR="00000000" w:rsidRDefault="00000000">
            <w:pPr>
              <w:pStyle w:val="BodyText"/>
              <w:ind w:right="567"/>
              <w:jc w:val="right"/>
              <w:rPr>
                <w:sz w:val="22"/>
              </w:rPr>
            </w:pPr>
            <w:r>
              <w:rPr>
                <w:sz w:val="22"/>
              </w:rPr>
              <w:t>15,32</w:t>
            </w:r>
          </w:p>
        </w:tc>
        <w:tc>
          <w:tcPr>
            <w:tcW w:w="1634" w:type="dxa"/>
          </w:tcPr>
          <w:p w:rsidR="00000000" w:rsidRDefault="00000000">
            <w:pPr>
              <w:pStyle w:val="BodyText"/>
              <w:ind w:right="567"/>
              <w:jc w:val="right"/>
              <w:rPr>
                <w:sz w:val="22"/>
              </w:rPr>
            </w:pPr>
            <w:r>
              <w:rPr>
                <w:sz w:val="22"/>
              </w:rPr>
              <w:t>84,68</w:t>
            </w:r>
          </w:p>
        </w:tc>
      </w:tr>
    </w:tbl>
    <w:p w:rsidR="00000000" w:rsidRDefault="00000000">
      <w:pPr>
        <w:pStyle w:val="BodyText"/>
        <w:spacing w:line="120" w:lineRule="exact"/>
        <w:rPr>
          <w:sz w:val="10"/>
        </w:rPr>
      </w:pPr>
    </w:p>
    <w:p w:rsidR="00000000" w:rsidRDefault="00000000">
      <w:pPr>
        <w:pStyle w:val="BodyText"/>
        <w:rPr>
          <w:i/>
          <w:sz w:val="22"/>
        </w:rPr>
      </w:pPr>
      <w:r>
        <w:rPr>
          <w:i/>
          <w:sz w:val="22"/>
          <w:u w:val="single"/>
        </w:rPr>
        <w:t>Source </w:t>
      </w:r>
      <w:r>
        <w:rPr>
          <w:i/>
          <w:sz w:val="22"/>
        </w:rPr>
        <w:t>: service de la planification universitaire</w:t>
      </w:r>
    </w:p>
    <w:p w:rsidR="00000000" w:rsidRDefault="00000000">
      <w:pPr>
        <w:pStyle w:val="BodyText"/>
        <w:rPr>
          <w:sz w:val="22"/>
        </w:rPr>
      </w:pPr>
    </w:p>
    <w:p w:rsidR="00000000" w:rsidRDefault="00000000">
      <w:pPr>
        <w:pStyle w:val="BodyText"/>
        <w:rPr>
          <w:sz w:val="22"/>
        </w:rPr>
      </w:pPr>
    </w:p>
    <w:p w:rsidR="00000000" w:rsidRDefault="00000000">
      <w:pPr>
        <w:pStyle w:val="BodyText"/>
        <w:rPr>
          <w:b/>
          <w:sz w:val="22"/>
        </w:rPr>
      </w:pPr>
      <w:r>
        <w:rPr>
          <w:b/>
          <w:sz w:val="22"/>
          <w:u w:val="single"/>
        </w:rPr>
        <w:t>Tableau n° 51</w:t>
      </w:r>
      <w:r>
        <w:rPr>
          <w:b/>
          <w:sz w:val="22"/>
        </w:rPr>
        <w:t> : Représentativité des filles à la Faculté des sciences de la santé</w:t>
      </w:r>
    </w:p>
    <w:p w:rsidR="00000000" w:rsidRDefault="00000000">
      <w:pPr>
        <w:pStyle w:val="BodyText"/>
        <w:rPr>
          <w:sz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3"/>
        <w:gridCol w:w="1634"/>
        <w:gridCol w:w="1633"/>
        <w:gridCol w:w="1634"/>
        <w:gridCol w:w="1633"/>
        <w:gridCol w:w="1634"/>
      </w:tblGrid>
      <w:tr w:rsidR="00000000">
        <w:tblPrEx>
          <w:tblCellMar>
            <w:top w:w="0" w:type="dxa"/>
            <w:bottom w:w="0" w:type="dxa"/>
          </w:tblCellMar>
        </w:tblPrEx>
        <w:trPr>
          <w:tblHeader/>
        </w:trPr>
        <w:tc>
          <w:tcPr>
            <w:tcW w:w="1633" w:type="dxa"/>
          </w:tcPr>
          <w:p w:rsidR="00000000" w:rsidRDefault="00000000">
            <w:pPr>
              <w:pStyle w:val="BodyText"/>
              <w:jc w:val="center"/>
              <w:rPr>
                <w:sz w:val="22"/>
              </w:rPr>
            </w:pPr>
            <w:r>
              <w:rPr>
                <w:sz w:val="22"/>
              </w:rPr>
              <w:t>Année</w:t>
            </w:r>
          </w:p>
        </w:tc>
        <w:tc>
          <w:tcPr>
            <w:tcW w:w="1634" w:type="dxa"/>
          </w:tcPr>
          <w:p w:rsidR="00000000" w:rsidRDefault="00000000">
            <w:pPr>
              <w:pStyle w:val="BodyText"/>
              <w:jc w:val="center"/>
              <w:rPr>
                <w:sz w:val="22"/>
              </w:rPr>
            </w:pPr>
            <w:r>
              <w:rPr>
                <w:sz w:val="22"/>
              </w:rPr>
              <w:t>Total</w:t>
            </w:r>
          </w:p>
        </w:tc>
        <w:tc>
          <w:tcPr>
            <w:tcW w:w="1633" w:type="dxa"/>
          </w:tcPr>
          <w:p w:rsidR="00000000" w:rsidRDefault="00000000">
            <w:pPr>
              <w:pStyle w:val="BodyText"/>
              <w:jc w:val="center"/>
              <w:rPr>
                <w:sz w:val="22"/>
              </w:rPr>
            </w:pPr>
            <w:r>
              <w:rPr>
                <w:sz w:val="22"/>
              </w:rPr>
              <w:t>Hommes</w:t>
            </w:r>
          </w:p>
        </w:tc>
        <w:tc>
          <w:tcPr>
            <w:tcW w:w="1634" w:type="dxa"/>
          </w:tcPr>
          <w:p w:rsidR="00000000" w:rsidRDefault="00000000">
            <w:pPr>
              <w:pStyle w:val="BodyText"/>
              <w:jc w:val="center"/>
              <w:rPr>
                <w:sz w:val="22"/>
              </w:rPr>
            </w:pPr>
            <w:r>
              <w:rPr>
                <w:sz w:val="22"/>
              </w:rPr>
              <w:t>Femmes</w:t>
            </w:r>
          </w:p>
        </w:tc>
        <w:tc>
          <w:tcPr>
            <w:tcW w:w="1633" w:type="dxa"/>
          </w:tcPr>
          <w:p w:rsidR="00000000" w:rsidRDefault="00000000">
            <w:pPr>
              <w:pStyle w:val="BodyText"/>
              <w:jc w:val="center"/>
              <w:rPr>
                <w:sz w:val="22"/>
              </w:rPr>
            </w:pPr>
            <w:r>
              <w:rPr>
                <w:sz w:val="22"/>
              </w:rPr>
              <w:t>% F</w:t>
            </w:r>
          </w:p>
        </w:tc>
        <w:tc>
          <w:tcPr>
            <w:tcW w:w="1634" w:type="dxa"/>
          </w:tcPr>
          <w:p w:rsidR="00000000" w:rsidRDefault="00000000">
            <w:pPr>
              <w:pStyle w:val="BodyText"/>
              <w:jc w:val="center"/>
              <w:rPr>
                <w:sz w:val="22"/>
              </w:rPr>
            </w:pPr>
            <w:r>
              <w:rPr>
                <w:sz w:val="22"/>
              </w:rPr>
              <w:t>% H</w:t>
            </w:r>
          </w:p>
        </w:tc>
      </w:tr>
      <w:tr w:rsidR="00000000">
        <w:tblPrEx>
          <w:tblCellMar>
            <w:top w:w="0" w:type="dxa"/>
            <w:bottom w:w="0" w:type="dxa"/>
          </w:tblCellMar>
        </w:tblPrEx>
        <w:tc>
          <w:tcPr>
            <w:tcW w:w="1633" w:type="dxa"/>
          </w:tcPr>
          <w:p w:rsidR="00000000" w:rsidRDefault="00000000">
            <w:pPr>
              <w:pStyle w:val="BodyText"/>
              <w:rPr>
                <w:sz w:val="22"/>
              </w:rPr>
            </w:pPr>
            <w:r>
              <w:rPr>
                <w:sz w:val="22"/>
              </w:rPr>
              <w:t>1</w:t>
            </w:r>
            <w:r>
              <w:rPr>
                <w:sz w:val="22"/>
                <w:vertAlign w:val="superscript"/>
              </w:rPr>
              <w:t>ère</w:t>
            </w:r>
            <w:r>
              <w:rPr>
                <w:sz w:val="22"/>
              </w:rPr>
              <w:t xml:space="preserve"> année</w:t>
            </w:r>
          </w:p>
        </w:tc>
        <w:tc>
          <w:tcPr>
            <w:tcW w:w="1634" w:type="dxa"/>
          </w:tcPr>
          <w:p w:rsidR="00000000" w:rsidRDefault="00000000">
            <w:pPr>
              <w:pStyle w:val="BodyText"/>
              <w:ind w:right="567"/>
              <w:jc w:val="right"/>
              <w:rPr>
                <w:sz w:val="22"/>
              </w:rPr>
            </w:pPr>
            <w:r>
              <w:rPr>
                <w:sz w:val="22"/>
              </w:rPr>
              <w:t>66</w:t>
            </w:r>
          </w:p>
        </w:tc>
        <w:tc>
          <w:tcPr>
            <w:tcW w:w="1633" w:type="dxa"/>
          </w:tcPr>
          <w:p w:rsidR="00000000" w:rsidRDefault="00000000">
            <w:pPr>
              <w:pStyle w:val="BodyText"/>
              <w:ind w:right="567"/>
              <w:jc w:val="right"/>
              <w:rPr>
                <w:sz w:val="22"/>
              </w:rPr>
            </w:pPr>
            <w:r>
              <w:rPr>
                <w:sz w:val="22"/>
              </w:rPr>
              <w:t>53</w:t>
            </w:r>
          </w:p>
        </w:tc>
        <w:tc>
          <w:tcPr>
            <w:tcW w:w="1634" w:type="dxa"/>
          </w:tcPr>
          <w:p w:rsidR="00000000" w:rsidRDefault="00000000">
            <w:pPr>
              <w:pStyle w:val="BodyText"/>
              <w:ind w:right="567"/>
              <w:jc w:val="right"/>
              <w:rPr>
                <w:sz w:val="22"/>
              </w:rPr>
            </w:pPr>
            <w:r>
              <w:rPr>
                <w:sz w:val="22"/>
              </w:rPr>
              <w:t>13</w:t>
            </w:r>
          </w:p>
        </w:tc>
        <w:tc>
          <w:tcPr>
            <w:tcW w:w="1633" w:type="dxa"/>
          </w:tcPr>
          <w:p w:rsidR="00000000" w:rsidRDefault="00000000">
            <w:pPr>
              <w:pStyle w:val="BodyText"/>
              <w:ind w:right="567"/>
              <w:jc w:val="right"/>
              <w:rPr>
                <w:sz w:val="22"/>
              </w:rPr>
            </w:pPr>
            <w:r>
              <w:rPr>
                <w:sz w:val="22"/>
              </w:rPr>
              <w:t>19,69</w:t>
            </w:r>
          </w:p>
        </w:tc>
        <w:tc>
          <w:tcPr>
            <w:tcW w:w="1634" w:type="dxa"/>
          </w:tcPr>
          <w:p w:rsidR="00000000" w:rsidRDefault="00000000">
            <w:pPr>
              <w:pStyle w:val="BodyText"/>
              <w:ind w:right="567"/>
              <w:jc w:val="right"/>
              <w:rPr>
                <w:sz w:val="22"/>
              </w:rPr>
            </w:pPr>
            <w:r>
              <w:rPr>
                <w:sz w:val="22"/>
              </w:rPr>
              <w:t>80,30</w:t>
            </w:r>
          </w:p>
        </w:tc>
      </w:tr>
      <w:tr w:rsidR="00000000">
        <w:tblPrEx>
          <w:tblCellMar>
            <w:top w:w="0" w:type="dxa"/>
            <w:bottom w:w="0" w:type="dxa"/>
          </w:tblCellMar>
        </w:tblPrEx>
        <w:tc>
          <w:tcPr>
            <w:tcW w:w="1633" w:type="dxa"/>
          </w:tcPr>
          <w:p w:rsidR="00000000" w:rsidRDefault="00000000">
            <w:pPr>
              <w:pStyle w:val="BodyText"/>
              <w:rPr>
                <w:sz w:val="22"/>
              </w:rPr>
            </w:pPr>
            <w:r>
              <w:rPr>
                <w:sz w:val="22"/>
              </w:rPr>
              <w:t>2</w:t>
            </w:r>
            <w:r>
              <w:rPr>
                <w:sz w:val="22"/>
                <w:vertAlign w:val="superscript"/>
              </w:rPr>
              <w:t>ème</w:t>
            </w:r>
            <w:r>
              <w:rPr>
                <w:sz w:val="22"/>
              </w:rPr>
              <w:t xml:space="preserve"> année</w:t>
            </w:r>
          </w:p>
        </w:tc>
        <w:tc>
          <w:tcPr>
            <w:tcW w:w="1634" w:type="dxa"/>
          </w:tcPr>
          <w:p w:rsidR="00000000" w:rsidRDefault="00000000">
            <w:pPr>
              <w:pStyle w:val="BodyText"/>
              <w:ind w:right="567"/>
              <w:jc w:val="right"/>
              <w:rPr>
                <w:sz w:val="22"/>
              </w:rPr>
            </w:pPr>
            <w:r>
              <w:rPr>
                <w:sz w:val="22"/>
              </w:rPr>
              <w:t>63</w:t>
            </w:r>
          </w:p>
        </w:tc>
        <w:tc>
          <w:tcPr>
            <w:tcW w:w="1633" w:type="dxa"/>
          </w:tcPr>
          <w:p w:rsidR="00000000" w:rsidRDefault="00000000">
            <w:pPr>
              <w:pStyle w:val="BodyText"/>
              <w:ind w:right="567"/>
              <w:jc w:val="right"/>
              <w:rPr>
                <w:sz w:val="22"/>
              </w:rPr>
            </w:pPr>
            <w:r>
              <w:rPr>
                <w:sz w:val="22"/>
              </w:rPr>
              <w:t xml:space="preserve">59 </w:t>
            </w:r>
          </w:p>
        </w:tc>
        <w:tc>
          <w:tcPr>
            <w:tcW w:w="1634" w:type="dxa"/>
          </w:tcPr>
          <w:p w:rsidR="00000000" w:rsidRDefault="00000000">
            <w:pPr>
              <w:pStyle w:val="BodyText"/>
              <w:ind w:right="567"/>
              <w:jc w:val="right"/>
              <w:rPr>
                <w:sz w:val="22"/>
              </w:rPr>
            </w:pPr>
            <w:r>
              <w:rPr>
                <w:sz w:val="22"/>
              </w:rPr>
              <w:t>4</w:t>
            </w:r>
          </w:p>
        </w:tc>
        <w:tc>
          <w:tcPr>
            <w:tcW w:w="1633" w:type="dxa"/>
          </w:tcPr>
          <w:p w:rsidR="00000000" w:rsidRDefault="00000000">
            <w:pPr>
              <w:pStyle w:val="BodyText"/>
              <w:ind w:right="567"/>
              <w:jc w:val="right"/>
              <w:rPr>
                <w:sz w:val="22"/>
              </w:rPr>
            </w:pPr>
            <w:r>
              <w:rPr>
                <w:sz w:val="22"/>
              </w:rPr>
              <w:t>6,34</w:t>
            </w:r>
          </w:p>
        </w:tc>
        <w:tc>
          <w:tcPr>
            <w:tcW w:w="1634" w:type="dxa"/>
          </w:tcPr>
          <w:p w:rsidR="00000000" w:rsidRDefault="00000000">
            <w:pPr>
              <w:pStyle w:val="BodyText"/>
              <w:ind w:right="567"/>
              <w:jc w:val="right"/>
              <w:rPr>
                <w:sz w:val="22"/>
              </w:rPr>
            </w:pPr>
            <w:r>
              <w:rPr>
                <w:sz w:val="22"/>
              </w:rPr>
              <w:t>93,65</w:t>
            </w:r>
          </w:p>
        </w:tc>
      </w:tr>
      <w:tr w:rsidR="00000000">
        <w:tblPrEx>
          <w:tblCellMar>
            <w:top w:w="0" w:type="dxa"/>
            <w:bottom w:w="0" w:type="dxa"/>
          </w:tblCellMar>
        </w:tblPrEx>
        <w:tc>
          <w:tcPr>
            <w:tcW w:w="1633" w:type="dxa"/>
          </w:tcPr>
          <w:p w:rsidR="00000000" w:rsidRDefault="00000000">
            <w:pPr>
              <w:pStyle w:val="BodyText"/>
              <w:rPr>
                <w:sz w:val="22"/>
              </w:rPr>
            </w:pPr>
            <w:r>
              <w:rPr>
                <w:sz w:val="22"/>
              </w:rPr>
              <w:t>3</w:t>
            </w:r>
            <w:r>
              <w:rPr>
                <w:sz w:val="22"/>
                <w:vertAlign w:val="superscript"/>
              </w:rPr>
              <w:t>ème</w:t>
            </w:r>
            <w:r>
              <w:rPr>
                <w:sz w:val="22"/>
              </w:rPr>
              <w:t xml:space="preserve"> année</w:t>
            </w:r>
          </w:p>
        </w:tc>
        <w:tc>
          <w:tcPr>
            <w:tcW w:w="1634" w:type="dxa"/>
          </w:tcPr>
          <w:p w:rsidR="00000000" w:rsidRDefault="00000000">
            <w:pPr>
              <w:pStyle w:val="BodyText"/>
              <w:ind w:right="567"/>
              <w:jc w:val="right"/>
              <w:rPr>
                <w:sz w:val="22"/>
              </w:rPr>
            </w:pPr>
            <w:r>
              <w:rPr>
                <w:sz w:val="22"/>
              </w:rPr>
              <w:t>54</w:t>
            </w:r>
          </w:p>
        </w:tc>
        <w:tc>
          <w:tcPr>
            <w:tcW w:w="1633" w:type="dxa"/>
          </w:tcPr>
          <w:p w:rsidR="00000000" w:rsidRDefault="00000000">
            <w:pPr>
              <w:pStyle w:val="BodyText"/>
              <w:ind w:right="567"/>
              <w:jc w:val="right"/>
              <w:rPr>
                <w:sz w:val="22"/>
              </w:rPr>
            </w:pPr>
            <w:r>
              <w:rPr>
                <w:sz w:val="22"/>
              </w:rPr>
              <w:t>46</w:t>
            </w:r>
          </w:p>
        </w:tc>
        <w:tc>
          <w:tcPr>
            <w:tcW w:w="1634" w:type="dxa"/>
          </w:tcPr>
          <w:p w:rsidR="00000000" w:rsidRDefault="00000000">
            <w:pPr>
              <w:pStyle w:val="BodyText"/>
              <w:ind w:right="567"/>
              <w:jc w:val="right"/>
              <w:rPr>
                <w:sz w:val="22"/>
              </w:rPr>
            </w:pPr>
            <w:r>
              <w:rPr>
                <w:sz w:val="22"/>
              </w:rPr>
              <w:t>8</w:t>
            </w:r>
          </w:p>
        </w:tc>
        <w:tc>
          <w:tcPr>
            <w:tcW w:w="1633" w:type="dxa"/>
          </w:tcPr>
          <w:p w:rsidR="00000000" w:rsidRDefault="00000000">
            <w:pPr>
              <w:pStyle w:val="BodyText"/>
              <w:ind w:right="567"/>
              <w:jc w:val="right"/>
              <w:rPr>
                <w:sz w:val="22"/>
              </w:rPr>
            </w:pPr>
            <w:r>
              <w:rPr>
                <w:sz w:val="22"/>
              </w:rPr>
              <w:t>14,81</w:t>
            </w:r>
          </w:p>
        </w:tc>
        <w:tc>
          <w:tcPr>
            <w:tcW w:w="1634" w:type="dxa"/>
          </w:tcPr>
          <w:p w:rsidR="00000000" w:rsidRDefault="00000000">
            <w:pPr>
              <w:pStyle w:val="BodyText"/>
              <w:ind w:right="567"/>
              <w:jc w:val="right"/>
              <w:rPr>
                <w:sz w:val="22"/>
              </w:rPr>
            </w:pPr>
            <w:r>
              <w:rPr>
                <w:sz w:val="22"/>
              </w:rPr>
              <w:t>85,18</w:t>
            </w:r>
          </w:p>
        </w:tc>
      </w:tr>
      <w:tr w:rsidR="00000000">
        <w:tblPrEx>
          <w:tblCellMar>
            <w:top w:w="0" w:type="dxa"/>
            <w:bottom w:w="0" w:type="dxa"/>
          </w:tblCellMar>
        </w:tblPrEx>
        <w:tc>
          <w:tcPr>
            <w:tcW w:w="1633" w:type="dxa"/>
          </w:tcPr>
          <w:p w:rsidR="00000000" w:rsidRDefault="00000000">
            <w:pPr>
              <w:pStyle w:val="BodyText"/>
              <w:rPr>
                <w:sz w:val="22"/>
              </w:rPr>
            </w:pPr>
            <w:r>
              <w:rPr>
                <w:sz w:val="22"/>
              </w:rPr>
              <w:t>4</w:t>
            </w:r>
            <w:r>
              <w:rPr>
                <w:sz w:val="22"/>
                <w:vertAlign w:val="superscript"/>
              </w:rPr>
              <w:t>ème</w:t>
            </w:r>
            <w:r>
              <w:rPr>
                <w:sz w:val="22"/>
              </w:rPr>
              <w:t xml:space="preserve"> année</w:t>
            </w:r>
          </w:p>
        </w:tc>
        <w:tc>
          <w:tcPr>
            <w:tcW w:w="1634" w:type="dxa"/>
          </w:tcPr>
          <w:p w:rsidR="00000000" w:rsidRDefault="00000000">
            <w:pPr>
              <w:pStyle w:val="BodyText"/>
              <w:ind w:right="567"/>
              <w:jc w:val="right"/>
              <w:rPr>
                <w:sz w:val="22"/>
              </w:rPr>
            </w:pPr>
            <w:r>
              <w:rPr>
                <w:sz w:val="22"/>
              </w:rPr>
              <w:t>20</w:t>
            </w:r>
          </w:p>
        </w:tc>
        <w:tc>
          <w:tcPr>
            <w:tcW w:w="1633" w:type="dxa"/>
          </w:tcPr>
          <w:p w:rsidR="00000000" w:rsidRDefault="00000000">
            <w:pPr>
              <w:pStyle w:val="BodyText"/>
              <w:ind w:right="567"/>
              <w:jc w:val="right"/>
              <w:rPr>
                <w:sz w:val="22"/>
              </w:rPr>
            </w:pPr>
            <w:r>
              <w:rPr>
                <w:sz w:val="22"/>
              </w:rPr>
              <w:t>14</w:t>
            </w:r>
          </w:p>
        </w:tc>
        <w:tc>
          <w:tcPr>
            <w:tcW w:w="1634" w:type="dxa"/>
          </w:tcPr>
          <w:p w:rsidR="00000000" w:rsidRDefault="00000000">
            <w:pPr>
              <w:pStyle w:val="BodyText"/>
              <w:ind w:right="567"/>
              <w:jc w:val="right"/>
              <w:rPr>
                <w:sz w:val="22"/>
              </w:rPr>
            </w:pPr>
            <w:r>
              <w:rPr>
                <w:sz w:val="22"/>
              </w:rPr>
              <w:t>6</w:t>
            </w:r>
          </w:p>
        </w:tc>
        <w:tc>
          <w:tcPr>
            <w:tcW w:w="1633" w:type="dxa"/>
          </w:tcPr>
          <w:p w:rsidR="00000000" w:rsidRDefault="00000000">
            <w:pPr>
              <w:pStyle w:val="BodyText"/>
              <w:ind w:right="567"/>
              <w:jc w:val="right"/>
              <w:rPr>
                <w:sz w:val="22"/>
              </w:rPr>
            </w:pPr>
            <w:r>
              <w:rPr>
                <w:sz w:val="22"/>
              </w:rPr>
              <w:t>30</w:t>
            </w:r>
          </w:p>
        </w:tc>
        <w:tc>
          <w:tcPr>
            <w:tcW w:w="1634" w:type="dxa"/>
          </w:tcPr>
          <w:p w:rsidR="00000000" w:rsidRDefault="00000000">
            <w:pPr>
              <w:pStyle w:val="BodyText"/>
              <w:ind w:right="567"/>
              <w:jc w:val="right"/>
              <w:rPr>
                <w:sz w:val="22"/>
              </w:rPr>
            </w:pPr>
            <w:r>
              <w:rPr>
                <w:sz w:val="22"/>
              </w:rPr>
              <w:t>70</w:t>
            </w:r>
          </w:p>
        </w:tc>
      </w:tr>
      <w:tr w:rsidR="00000000">
        <w:tblPrEx>
          <w:tblCellMar>
            <w:top w:w="0" w:type="dxa"/>
            <w:bottom w:w="0" w:type="dxa"/>
          </w:tblCellMar>
        </w:tblPrEx>
        <w:tc>
          <w:tcPr>
            <w:tcW w:w="1633" w:type="dxa"/>
          </w:tcPr>
          <w:p w:rsidR="00000000" w:rsidRDefault="00000000">
            <w:pPr>
              <w:pStyle w:val="BodyText"/>
              <w:rPr>
                <w:sz w:val="22"/>
              </w:rPr>
            </w:pPr>
            <w:r>
              <w:rPr>
                <w:sz w:val="22"/>
              </w:rPr>
              <w:t>5</w:t>
            </w:r>
            <w:r>
              <w:rPr>
                <w:sz w:val="22"/>
                <w:vertAlign w:val="superscript"/>
              </w:rPr>
              <w:t>ème</w:t>
            </w:r>
            <w:r>
              <w:rPr>
                <w:sz w:val="22"/>
              </w:rPr>
              <w:t xml:space="preserve"> année</w:t>
            </w:r>
          </w:p>
        </w:tc>
        <w:tc>
          <w:tcPr>
            <w:tcW w:w="1634" w:type="dxa"/>
          </w:tcPr>
          <w:p w:rsidR="00000000" w:rsidRDefault="00000000">
            <w:pPr>
              <w:pStyle w:val="BodyText"/>
              <w:ind w:right="567"/>
              <w:jc w:val="right"/>
              <w:rPr>
                <w:sz w:val="22"/>
              </w:rPr>
            </w:pPr>
            <w:r>
              <w:rPr>
                <w:sz w:val="22"/>
              </w:rPr>
              <w:t>27</w:t>
            </w:r>
          </w:p>
        </w:tc>
        <w:tc>
          <w:tcPr>
            <w:tcW w:w="1633" w:type="dxa"/>
          </w:tcPr>
          <w:p w:rsidR="00000000" w:rsidRDefault="00000000">
            <w:pPr>
              <w:pStyle w:val="BodyText"/>
              <w:ind w:right="567"/>
              <w:jc w:val="right"/>
              <w:rPr>
                <w:sz w:val="22"/>
              </w:rPr>
            </w:pPr>
            <w:r>
              <w:rPr>
                <w:sz w:val="22"/>
              </w:rPr>
              <w:t>22</w:t>
            </w:r>
          </w:p>
        </w:tc>
        <w:tc>
          <w:tcPr>
            <w:tcW w:w="1634" w:type="dxa"/>
          </w:tcPr>
          <w:p w:rsidR="00000000" w:rsidRDefault="00000000">
            <w:pPr>
              <w:pStyle w:val="BodyText"/>
              <w:ind w:right="567"/>
              <w:jc w:val="right"/>
              <w:rPr>
                <w:sz w:val="22"/>
              </w:rPr>
            </w:pPr>
            <w:r>
              <w:rPr>
                <w:sz w:val="22"/>
              </w:rPr>
              <w:t>5</w:t>
            </w:r>
          </w:p>
        </w:tc>
        <w:tc>
          <w:tcPr>
            <w:tcW w:w="1633" w:type="dxa"/>
          </w:tcPr>
          <w:p w:rsidR="00000000" w:rsidRDefault="00000000">
            <w:pPr>
              <w:pStyle w:val="BodyText"/>
              <w:ind w:right="567"/>
              <w:jc w:val="right"/>
              <w:rPr>
                <w:sz w:val="22"/>
              </w:rPr>
            </w:pPr>
            <w:r>
              <w:rPr>
                <w:sz w:val="22"/>
              </w:rPr>
              <w:t>18,51</w:t>
            </w:r>
          </w:p>
        </w:tc>
        <w:tc>
          <w:tcPr>
            <w:tcW w:w="1634" w:type="dxa"/>
          </w:tcPr>
          <w:p w:rsidR="00000000" w:rsidRDefault="00000000">
            <w:pPr>
              <w:pStyle w:val="BodyText"/>
              <w:ind w:right="567"/>
              <w:jc w:val="right"/>
              <w:rPr>
                <w:sz w:val="22"/>
              </w:rPr>
            </w:pPr>
            <w:r>
              <w:rPr>
                <w:sz w:val="22"/>
              </w:rPr>
              <w:t>81,48</w:t>
            </w:r>
          </w:p>
        </w:tc>
      </w:tr>
      <w:tr w:rsidR="00000000">
        <w:tblPrEx>
          <w:tblCellMar>
            <w:top w:w="0" w:type="dxa"/>
            <w:bottom w:w="0" w:type="dxa"/>
          </w:tblCellMar>
        </w:tblPrEx>
        <w:tc>
          <w:tcPr>
            <w:tcW w:w="1633" w:type="dxa"/>
          </w:tcPr>
          <w:p w:rsidR="00000000" w:rsidRDefault="00000000">
            <w:pPr>
              <w:pStyle w:val="BodyText"/>
              <w:rPr>
                <w:sz w:val="22"/>
              </w:rPr>
            </w:pPr>
            <w:r>
              <w:rPr>
                <w:sz w:val="22"/>
              </w:rPr>
              <w:t>6</w:t>
            </w:r>
            <w:r>
              <w:rPr>
                <w:sz w:val="22"/>
                <w:vertAlign w:val="superscript"/>
              </w:rPr>
              <w:t>ème</w:t>
            </w:r>
            <w:r>
              <w:rPr>
                <w:sz w:val="22"/>
              </w:rPr>
              <w:t xml:space="preserve"> année</w:t>
            </w:r>
          </w:p>
        </w:tc>
        <w:tc>
          <w:tcPr>
            <w:tcW w:w="1634" w:type="dxa"/>
          </w:tcPr>
          <w:p w:rsidR="00000000" w:rsidRDefault="00000000">
            <w:pPr>
              <w:pStyle w:val="BodyText"/>
              <w:ind w:right="567"/>
              <w:jc w:val="right"/>
              <w:rPr>
                <w:sz w:val="22"/>
                <w:lang w:val="en-GB"/>
              </w:rPr>
            </w:pPr>
            <w:r>
              <w:rPr>
                <w:sz w:val="22"/>
                <w:lang w:val="en-GB"/>
              </w:rPr>
              <w:t>32</w:t>
            </w:r>
          </w:p>
        </w:tc>
        <w:tc>
          <w:tcPr>
            <w:tcW w:w="1633" w:type="dxa"/>
          </w:tcPr>
          <w:p w:rsidR="00000000" w:rsidRDefault="00000000">
            <w:pPr>
              <w:pStyle w:val="BodyText"/>
              <w:ind w:right="567"/>
              <w:jc w:val="right"/>
              <w:rPr>
                <w:sz w:val="22"/>
                <w:lang w:val="en-GB"/>
              </w:rPr>
            </w:pPr>
            <w:r>
              <w:rPr>
                <w:sz w:val="22"/>
                <w:lang w:val="en-GB"/>
              </w:rPr>
              <w:t>25</w:t>
            </w:r>
          </w:p>
        </w:tc>
        <w:tc>
          <w:tcPr>
            <w:tcW w:w="1634" w:type="dxa"/>
          </w:tcPr>
          <w:p w:rsidR="00000000" w:rsidRDefault="00000000">
            <w:pPr>
              <w:pStyle w:val="BodyText"/>
              <w:ind w:right="567"/>
              <w:jc w:val="right"/>
              <w:rPr>
                <w:sz w:val="22"/>
                <w:lang w:val="en-GB"/>
              </w:rPr>
            </w:pPr>
            <w:r>
              <w:rPr>
                <w:sz w:val="22"/>
                <w:lang w:val="en-GB"/>
              </w:rPr>
              <w:t>7</w:t>
            </w:r>
          </w:p>
        </w:tc>
        <w:tc>
          <w:tcPr>
            <w:tcW w:w="1633" w:type="dxa"/>
          </w:tcPr>
          <w:p w:rsidR="00000000" w:rsidRDefault="00000000">
            <w:pPr>
              <w:pStyle w:val="BodyText"/>
              <w:ind w:right="567"/>
              <w:jc w:val="right"/>
              <w:rPr>
                <w:sz w:val="22"/>
                <w:lang w:val="en-GB"/>
              </w:rPr>
            </w:pPr>
            <w:r>
              <w:rPr>
                <w:sz w:val="22"/>
                <w:lang w:val="en-GB"/>
              </w:rPr>
              <w:t>21,87</w:t>
            </w:r>
          </w:p>
        </w:tc>
        <w:tc>
          <w:tcPr>
            <w:tcW w:w="1634" w:type="dxa"/>
          </w:tcPr>
          <w:p w:rsidR="00000000" w:rsidRDefault="00000000">
            <w:pPr>
              <w:pStyle w:val="BodyText"/>
              <w:ind w:right="567"/>
              <w:jc w:val="right"/>
              <w:rPr>
                <w:sz w:val="22"/>
                <w:lang w:val="en-GB"/>
              </w:rPr>
            </w:pPr>
            <w:r>
              <w:rPr>
                <w:sz w:val="22"/>
                <w:lang w:val="en-GB"/>
              </w:rPr>
              <w:t>78,12</w:t>
            </w:r>
          </w:p>
        </w:tc>
      </w:tr>
      <w:tr w:rsidR="00000000">
        <w:tblPrEx>
          <w:tblCellMar>
            <w:top w:w="0" w:type="dxa"/>
            <w:bottom w:w="0" w:type="dxa"/>
          </w:tblCellMar>
        </w:tblPrEx>
        <w:tc>
          <w:tcPr>
            <w:tcW w:w="1633" w:type="dxa"/>
          </w:tcPr>
          <w:p w:rsidR="00000000" w:rsidRDefault="00000000">
            <w:pPr>
              <w:pStyle w:val="BodyText"/>
              <w:rPr>
                <w:sz w:val="22"/>
                <w:lang w:val="en-GB"/>
              </w:rPr>
            </w:pPr>
            <w:r>
              <w:rPr>
                <w:sz w:val="22"/>
                <w:lang w:val="en-GB"/>
              </w:rPr>
              <w:t>7</w:t>
            </w:r>
            <w:r>
              <w:rPr>
                <w:sz w:val="22"/>
                <w:vertAlign w:val="superscript"/>
                <w:lang w:val="en-GB"/>
              </w:rPr>
              <w:t>ème</w:t>
            </w:r>
            <w:r>
              <w:rPr>
                <w:sz w:val="22"/>
                <w:lang w:val="en-GB"/>
              </w:rPr>
              <w:t xml:space="preserve"> année</w:t>
            </w:r>
          </w:p>
        </w:tc>
        <w:tc>
          <w:tcPr>
            <w:tcW w:w="1634" w:type="dxa"/>
          </w:tcPr>
          <w:p w:rsidR="00000000" w:rsidRDefault="00000000">
            <w:pPr>
              <w:pStyle w:val="BodyText"/>
              <w:ind w:right="567"/>
              <w:jc w:val="right"/>
              <w:rPr>
                <w:sz w:val="22"/>
                <w:lang w:val="en-GB"/>
              </w:rPr>
            </w:pPr>
            <w:r>
              <w:rPr>
                <w:sz w:val="22"/>
                <w:lang w:val="en-GB"/>
              </w:rPr>
              <w:t>50</w:t>
            </w:r>
          </w:p>
        </w:tc>
        <w:tc>
          <w:tcPr>
            <w:tcW w:w="1633" w:type="dxa"/>
          </w:tcPr>
          <w:p w:rsidR="00000000" w:rsidRDefault="00000000">
            <w:pPr>
              <w:pStyle w:val="BodyText"/>
              <w:ind w:right="567"/>
              <w:jc w:val="right"/>
              <w:rPr>
                <w:sz w:val="22"/>
                <w:lang w:val="en-GB"/>
              </w:rPr>
            </w:pPr>
            <w:r>
              <w:rPr>
                <w:sz w:val="22"/>
                <w:lang w:val="en-GB"/>
              </w:rPr>
              <w:t>41</w:t>
            </w:r>
          </w:p>
        </w:tc>
        <w:tc>
          <w:tcPr>
            <w:tcW w:w="1634" w:type="dxa"/>
          </w:tcPr>
          <w:p w:rsidR="00000000" w:rsidRDefault="00000000">
            <w:pPr>
              <w:pStyle w:val="BodyText"/>
              <w:ind w:right="567"/>
              <w:jc w:val="right"/>
              <w:rPr>
                <w:sz w:val="22"/>
                <w:lang w:val="en-GB"/>
              </w:rPr>
            </w:pPr>
            <w:r>
              <w:rPr>
                <w:sz w:val="22"/>
                <w:lang w:val="en-GB"/>
              </w:rPr>
              <w:t>9</w:t>
            </w:r>
          </w:p>
        </w:tc>
        <w:tc>
          <w:tcPr>
            <w:tcW w:w="1633" w:type="dxa"/>
          </w:tcPr>
          <w:p w:rsidR="00000000" w:rsidRDefault="00000000">
            <w:pPr>
              <w:pStyle w:val="BodyText"/>
              <w:ind w:right="567"/>
              <w:jc w:val="right"/>
              <w:rPr>
                <w:sz w:val="22"/>
                <w:lang w:val="en-GB"/>
              </w:rPr>
            </w:pPr>
            <w:r>
              <w:rPr>
                <w:sz w:val="22"/>
                <w:lang w:val="en-GB"/>
              </w:rPr>
              <w:t>18</w:t>
            </w:r>
          </w:p>
        </w:tc>
        <w:tc>
          <w:tcPr>
            <w:tcW w:w="1634" w:type="dxa"/>
          </w:tcPr>
          <w:p w:rsidR="00000000" w:rsidRDefault="00000000">
            <w:pPr>
              <w:pStyle w:val="BodyText"/>
              <w:ind w:right="567"/>
              <w:jc w:val="right"/>
              <w:rPr>
                <w:sz w:val="22"/>
                <w:lang w:val="en-GB"/>
              </w:rPr>
            </w:pPr>
            <w:r>
              <w:rPr>
                <w:sz w:val="22"/>
                <w:lang w:val="en-GB"/>
              </w:rPr>
              <w:t>82</w:t>
            </w:r>
          </w:p>
        </w:tc>
      </w:tr>
      <w:tr w:rsidR="00000000">
        <w:tblPrEx>
          <w:tblCellMar>
            <w:top w:w="0" w:type="dxa"/>
            <w:bottom w:w="0" w:type="dxa"/>
          </w:tblCellMar>
        </w:tblPrEx>
        <w:tc>
          <w:tcPr>
            <w:tcW w:w="1633" w:type="dxa"/>
          </w:tcPr>
          <w:p w:rsidR="00000000" w:rsidRDefault="00000000">
            <w:pPr>
              <w:pStyle w:val="BodyText"/>
              <w:rPr>
                <w:b/>
                <w:sz w:val="22"/>
                <w:lang w:val="en-GB"/>
              </w:rPr>
            </w:pPr>
            <w:r>
              <w:rPr>
                <w:b/>
                <w:sz w:val="22"/>
                <w:lang w:val="en-GB"/>
              </w:rPr>
              <w:t>Total</w:t>
            </w:r>
          </w:p>
        </w:tc>
        <w:tc>
          <w:tcPr>
            <w:tcW w:w="1634" w:type="dxa"/>
          </w:tcPr>
          <w:p w:rsidR="00000000" w:rsidRDefault="00000000">
            <w:pPr>
              <w:pStyle w:val="BodyText"/>
              <w:ind w:right="567"/>
              <w:jc w:val="right"/>
              <w:rPr>
                <w:sz w:val="22"/>
                <w:lang w:val="en-GB"/>
              </w:rPr>
            </w:pPr>
            <w:r>
              <w:rPr>
                <w:sz w:val="22"/>
                <w:lang w:val="en-GB"/>
              </w:rPr>
              <w:t>312</w:t>
            </w:r>
          </w:p>
        </w:tc>
        <w:tc>
          <w:tcPr>
            <w:tcW w:w="1633" w:type="dxa"/>
          </w:tcPr>
          <w:p w:rsidR="00000000" w:rsidRDefault="00000000">
            <w:pPr>
              <w:pStyle w:val="BodyText"/>
              <w:ind w:right="567"/>
              <w:jc w:val="right"/>
              <w:rPr>
                <w:sz w:val="22"/>
              </w:rPr>
            </w:pPr>
            <w:r>
              <w:rPr>
                <w:sz w:val="22"/>
              </w:rPr>
              <w:t>260</w:t>
            </w:r>
          </w:p>
        </w:tc>
        <w:tc>
          <w:tcPr>
            <w:tcW w:w="1634" w:type="dxa"/>
          </w:tcPr>
          <w:p w:rsidR="00000000" w:rsidRDefault="00000000">
            <w:pPr>
              <w:pStyle w:val="BodyText"/>
              <w:ind w:right="567"/>
              <w:jc w:val="right"/>
              <w:rPr>
                <w:sz w:val="22"/>
              </w:rPr>
            </w:pPr>
            <w:r>
              <w:rPr>
                <w:sz w:val="22"/>
              </w:rPr>
              <w:t>52</w:t>
            </w:r>
          </w:p>
        </w:tc>
        <w:tc>
          <w:tcPr>
            <w:tcW w:w="1633" w:type="dxa"/>
          </w:tcPr>
          <w:p w:rsidR="00000000" w:rsidRDefault="00000000">
            <w:pPr>
              <w:pStyle w:val="BodyText"/>
              <w:ind w:right="567"/>
              <w:jc w:val="right"/>
              <w:rPr>
                <w:sz w:val="22"/>
              </w:rPr>
            </w:pPr>
            <w:r>
              <w:rPr>
                <w:sz w:val="22"/>
              </w:rPr>
              <w:t>16,67</w:t>
            </w:r>
          </w:p>
        </w:tc>
        <w:tc>
          <w:tcPr>
            <w:tcW w:w="1634" w:type="dxa"/>
          </w:tcPr>
          <w:p w:rsidR="00000000" w:rsidRDefault="00000000">
            <w:pPr>
              <w:pStyle w:val="BodyText"/>
              <w:ind w:right="567"/>
              <w:jc w:val="right"/>
              <w:rPr>
                <w:sz w:val="22"/>
              </w:rPr>
            </w:pPr>
            <w:r>
              <w:rPr>
                <w:sz w:val="22"/>
              </w:rPr>
              <w:t>83,33</w:t>
            </w:r>
          </w:p>
        </w:tc>
      </w:tr>
    </w:tbl>
    <w:p w:rsidR="00000000" w:rsidRDefault="00000000">
      <w:pPr>
        <w:pStyle w:val="BodyText"/>
        <w:spacing w:line="120" w:lineRule="exact"/>
        <w:rPr>
          <w:i/>
          <w:sz w:val="10"/>
          <w:u w:val="single"/>
        </w:rPr>
      </w:pPr>
    </w:p>
    <w:p w:rsidR="00000000" w:rsidRDefault="00000000">
      <w:pPr>
        <w:pStyle w:val="BodyText"/>
        <w:rPr>
          <w:i/>
          <w:sz w:val="22"/>
        </w:rPr>
      </w:pPr>
      <w:r>
        <w:rPr>
          <w:i/>
          <w:sz w:val="22"/>
          <w:u w:val="single"/>
        </w:rPr>
        <w:t>Source </w:t>
      </w:r>
      <w:r>
        <w:rPr>
          <w:i/>
          <w:sz w:val="22"/>
        </w:rPr>
        <w:t>: service de la planification universitaire</w:t>
      </w:r>
    </w:p>
    <w:p w:rsidR="00000000" w:rsidRDefault="00000000">
      <w:pPr>
        <w:pStyle w:val="BodyText"/>
        <w:spacing w:line="120" w:lineRule="exact"/>
        <w:rPr>
          <w:sz w:val="10"/>
        </w:rPr>
      </w:pPr>
    </w:p>
    <w:p w:rsidR="00000000" w:rsidRDefault="00000000">
      <w:pPr>
        <w:pStyle w:val="BodyText"/>
        <w:ind w:left="567" w:hanging="567"/>
        <w:rPr>
          <w:i/>
          <w:sz w:val="22"/>
        </w:rPr>
      </w:pPr>
      <w:r>
        <w:rPr>
          <w:i/>
          <w:sz w:val="22"/>
          <w:u w:val="single"/>
        </w:rPr>
        <w:t>Note</w:t>
      </w:r>
      <w:r>
        <w:rPr>
          <w:i/>
          <w:sz w:val="22"/>
        </w:rPr>
        <w:t> : La longueur des études est notoire. De plus les étudiants y  sont admis à la suite d’un concours. Ce qui explique le nombre limité d’étudiants. Les étudiants sont boursiers dès la première année.</w:t>
      </w:r>
    </w:p>
    <w:p w:rsidR="00000000" w:rsidRDefault="00000000">
      <w:pPr>
        <w:pStyle w:val="BodyText"/>
        <w:rPr>
          <w:sz w:val="22"/>
        </w:rPr>
      </w:pPr>
    </w:p>
    <w:p w:rsidR="00000000" w:rsidRDefault="00000000">
      <w:pPr>
        <w:pStyle w:val="BodyText"/>
        <w:rPr>
          <w:sz w:val="22"/>
        </w:rPr>
      </w:pPr>
      <w:r>
        <w:rPr>
          <w:sz w:val="22"/>
        </w:rPr>
        <w:t>Les étudiants sont très peu attirés par l’Institut Supérieur d’Education Physique et Sportive. L’opinion n’accorde pas beaucoup d’importance à la formation dispensée dans cet établissement. Quel est l’avenir d’un professeur d’éducation physique ? Quelles sont les infrastructures dans les établissements scolaires ? L’éducation physique, pour quoi faire si ce n’est pour obtenir quelques points de plus aux examens d’Etat ?</w:t>
      </w:r>
    </w:p>
    <w:p w:rsidR="00000000" w:rsidRDefault="00000000">
      <w:pPr>
        <w:pStyle w:val="BodyText"/>
        <w:rPr>
          <w:sz w:val="22"/>
        </w:rPr>
      </w:pPr>
    </w:p>
    <w:p w:rsidR="00000000" w:rsidRDefault="00000000">
      <w:pPr>
        <w:pStyle w:val="BodyText"/>
        <w:rPr>
          <w:b/>
          <w:sz w:val="22"/>
        </w:rPr>
      </w:pPr>
      <w:r>
        <w:rPr>
          <w:b/>
          <w:sz w:val="22"/>
          <w:u w:val="single"/>
        </w:rPr>
        <w:t>Tableau n° 52</w:t>
      </w:r>
      <w:r>
        <w:rPr>
          <w:b/>
          <w:sz w:val="22"/>
        </w:rPr>
        <w:t> : Représentativité des filles à l’Institut Supérieur d’Education physique et sportive</w:t>
      </w:r>
    </w:p>
    <w:p w:rsidR="00000000" w:rsidRDefault="00000000">
      <w:pPr>
        <w:pStyle w:val="BodyText"/>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3"/>
        <w:gridCol w:w="1634"/>
        <w:gridCol w:w="1633"/>
        <w:gridCol w:w="1634"/>
        <w:gridCol w:w="1633"/>
        <w:gridCol w:w="1634"/>
      </w:tblGrid>
      <w:tr w:rsidR="00000000">
        <w:tblPrEx>
          <w:tblCellMar>
            <w:top w:w="0" w:type="dxa"/>
            <w:bottom w:w="0" w:type="dxa"/>
          </w:tblCellMar>
        </w:tblPrEx>
        <w:tc>
          <w:tcPr>
            <w:tcW w:w="1633" w:type="dxa"/>
          </w:tcPr>
          <w:p w:rsidR="00000000" w:rsidRDefault="00000000">
            <w:pPr>
              <w:pStyle w:val="BodyText"/>
              <w:jc w:val="center"/>
              <w:rPr>
                <w:sz w:val="22"/>
              </w:rPr>
            </w:pPr>
            <w:r>
              <w:rPr>
                <w:sz w:val="22"/>
              </w:rPr>
              <w:t>Année</w:t>
            </w:r>
          </w:p>
        </w:tc>
        <w:tc>
          <w:tcPr>
            <w:tcW w:w="1634" w:type="dxa"/>
          </w:tcPr>
          <w:p w:rsidR="00000000" w:rsidRDefault="00000000">
            <w:pPr>
              <w:pStyle w:val="BodyText"/>
              <w:jc w:val="center"/>
              <w:rPr>
                <w:sz w:val="22"/>
              </w:rPr>
            </w:pPr>
            <w:r>
              <w:rPr>
                <w:sz w:val="22"/>
              </w:rPr>
              <w:t>Total</w:t>
            </w:r>
          </w:p>
        </w:tc>
        <w:tc>
          <w:tcPr>
            <w:tcW w:w="1633" w:type="dxa"/>
          </w:tcPr>
          <w:p w:rsidR="00000000" w:rsidRDefault="00000000">
            <w:pPr>
              <w:pStyle w:val="BodyText"/>
              <w:jc w:val="center"/>
              <w:rPr>
                <w:sz w:val="22"/>
              </w:rPr>
            </w:pPr>
            <w:r>
              <w:rPr>
                <w:sz w:val="22"/>
              </w:rPr>
              <w:t>Hommes</w:t>
            </w:r>
          </w:p>
        </w:tc>
        <w:tc>
          <w:tcPr>
            <w:tcW w:w="1634" w:type="dxa"/>
          </w:tcPr>
          <w:p w:rsidR="00000000" w:rsidRDefault="00000000">
            <w:pPr>
              <w:pStyle w:val="BodyText"/>
              <w:jc w:val="center"/>
              <w:rPr>
                <w:sz w:val="22"/>
              </w:rPr>
            </w:pPr>
            <w:r>
              <w:rPr>
                <w:sz w:val="22"/>
              </w:rPr>
              <w:t>Femmes</w:t>
            </w:r>
          </w:p>
        </w:tc>
        <w:tc>
          <w:tcPr>
            <w:tcW w:w="1633" w:type="dxa"/>
          </w:tcPr>
          <w:p w:rsidR="00000000" w:rsidRDefault="00000000">
            <w:pPr>
              <w:pStyle w:val="BodyText"/>
              <w:jc w:val="center"/>
              <w:rPr>
                <w:sz w:val="22"/>
              </w:rPr>
            </w:pPr>
            <w:r>
              <w:rPr>
                <w:sz w:val="22"/>
              </w:rPr>
              <w:t>% F</w:t>
            </w:r>
          </w:p>
        </w:tc>
        <w:tc>
          <w:tcPr>
            <w:tcW w:w="1634" w:type="dxa"/>
          </w:tcPr>
          <w:p w:rsidR="00000000" w:rsidRDefault="00000000">
            <w:pPr>
              <w:pStyle w:val="BodyText"/>
              <w:jc w:val="center"/>
              <w:rPr>
                <w:sz w:val="22"/>
              </w:rPr>
            </w:pPr>
            <w:r>
              <w:rPr>
                <w:sz w:val="22"/>
              </w:rPr>
              <w:t>% H</w:t>
            </w:r>
          </w:p>
        </w:tc>
      </w:tr>
      <w:tr w:rsidR="00000000">
        <w:tblPrEx>
          <w:tblCellMar>
            <w:top w:w="0" w:type="dxa"/>
            <w:bottom w:w="0" w:type="dxa"/>
          </w:tblCellMar>
        </w:tblPrEx>
        <w:tc>
          <w:tcPr>
            <w:tcW w:w="1633" w:type="dxa"/>
          </w:tcPr>
          <w:p w:rsidR="00000000" w:rsidRDefault="00000000">
            <w:pPr>
              <w:pStyle w:val="BodyText"/>
              <w:rPr>
                <w:sz w:val="22"/>
              </w:rPr>
            </w:pPr>
            <w:r>
              <w:rPr>
                <w:sz w:val="22"/>
              </w:rPr>
              <w:t>1</w:t>
            </w:r>
            <w:r>
              <w:rPr>
                <w:sz w:val="22"/>
                <w:vertAlign w:val="superscript"/>
              </w:rPr>
              <w:t>ère</w:t>
            </w:r>
            <w:r>
              <w:rPr>
                <w:sz w:val="22"/>
              </w:rPr>
              <w:t xml:space="preserve"> année</w:t>
            </w:r>
          </w:p>
        </w:tc>
        <w:tc>
          <w:tcPr>
            <w:tcW w:w="1634" w:type="dxa"/>
          </w:tcPr>
          <w:p w:rsidR="00000000" w:rsidRDefault="00000000">
            <w:pPr>
              <w:pStyle w:val="BodyText"/>
              <w:ind w:right="567"/>
              <w:jc w:val="right"/>
              <w:rPr>
                <w:sz w:val="22"/>
              </w:rPr>
            </w:pPr>
            <w:r>
              <w:rPr>
                <w:sz w:val="22"/>
              </w:rPr>
              <w:t>70</w:t>
            </w:r>
          </w:p>
        </w:tc>
        <w:tc>
          <w:tcPr>
            <w:tcW w:w="1633" w:type="dxa"/>
          </w:tcPr>
          <w:p w:rsidR="00000000" w:rsidRDefault="00000000">
            <w:pPr>
              <w:pStyle w:val="BodyText"/>
              <w:ind w:right="567"/>
              <w:jc w:val="right"/>
              <w:rPr>
                <w:sz w:val="22"/>
              </w:rPr>
            </w:pPr>
            <w:r>
              <w:rPr>
                <w:sz w:val="22"/>
              </w:rPr>
              <w:t>62</w:t>
            </w:r>
          </w:p>
        </w:tc>
        <w:tc>
          <w:tcPr>
            <w:tcW w:w="1634" w:type="dxa"/>
          </w:tcPr>
          <w:p w:rsidR="00000000" w:rsidRDefault="00000000">
            <w:pPr>
              <w:pStyle w:val="BodyText"/>
              <w:ind w:right="567"/>
              <w:jc w:val="right"/>
              <w:rPr>
                <w:sz w:val="22"/>
              </w:rPr>
            </w:pPr>
            <w:r>
              <w:rPr>
                <w:sz w:val="22"/>
              </w:rPr>
              <w:t>8</w:t>
            </w:r>
          </w:p>
        </w:tc>
        <w:tc>
          <w:tcPr>
            <w:tcW w:w="1633" w:type="dxa"/>
          </w:tcPr>
          <w:p w:rsidR="00000000" w:rsidRDefault="00000000">
            <w:pPr>
              <w:pStyle w:val="BodyText"/>
              <w:ind w:right="567"/>
              <w:jc w:val="right"/>
              <w:rPr>
                <w:sz w:val="22"/>
              </w:rPr>
            </w:pPr>
            <w:r>
              <w:rPr>
                <w:sz w:val="22"/>
              </w:rPr>
              <w:t>11,42</w:t>
            </w:r>
          </w:p>
        </w:tc>
        <w:tc>
          <w:tcPr>
            <w:tcW w:w="1634" w:type="dxa"/>
          </w:tcPr>
          <w:p w:rsidR="00000000" w:rsidRDefault="00000000">
            <w:pPr>
              <w:pStyle w:val="BodyText"/>
              <w:ind w:right="567"/>
              <w:jc w:val="right"/>
              <w:rPr>
                <w:sz w:val="22"/>
              </w:rPr>
            </w:pPr>
            <w:r>
              <w:rPr>
                <w:sz w:val="22"/>
              </w:rPr>
              <w:t>88,57</w:t>
            </w:r>
          </w:p>
        </w:tc>
      </w:tr>
      <w:tr w:rsidR="00000000">
        <w:tblPrEx>
          <w:tblCellMar>
            <w:top w:w="0" w:type="dxa"/>
            <w:bottom w:w="0" w:type="dxa"/>
          </w:tblCellMar>
        </w:tblPrEx>
        <w:tc>
          <w:tcPr>
            <w:tcW w:w="1633" w:type="dxa"/>
          </w:tcPr>
          <w:p w:rsidR="00000000" w:rsidRDefault="00000000">
            <w:pPr>
              <w:pStyle w:val="BodyText"/>
              <w:rPr>
                <w:sz w:val="22"/>
              </w:rPr>
            </w:pPr>
            <w:r>
              <w:rPr>
                <w:sz w:val="22"/>
              </w:rPr>
              <w:t>2</w:t>
            </w:r>
            <w:r>
              <w:rPr>
                <w:sz w:val="22"/>
                <w:vertAlign w:val="superscript"/>
              </w:rPr>
              <w:t>ème</w:t>
            </w:r>
            <w:r>
              <w:rPr>
                <w:sz w:val="22"/>
              </w:rPr>
              <w:t xml:space="preserve"> année</w:t>
            </w:r>
          </w:p>
        </w:tc>
        <w:tc>
          <w:tcPr>
            <w:tcW w:w="1634" w:type="dxa"/>
          </w:tcPr>
          <w:p w:rsidR="00000000" w:rsidRDefault="00000000">
            <w:pPr>
              <w:pStyle w:val="BodyText"/>
              <w:ind w:right="567"/>
              <w:jc w:val="right"/>
              <w:rPr>
                <w:sz w:val="22"/>
              </w:rPr>
            </w:pPr>
            <w:r>
              <w:rPr>
                <w:sz w:val="22"/>
              </w:rPr>
              <w:t>87</w:t>
            </w:r>
          </w:p>
        </w:tc>
        <w:tc>
          <w:tcPr>
            <w:tcW w:w="1633" w:type="dxa"/>
          </w:tcPr>
          <w:p w:rsidR="00000000" w:rsidRDefault="00000000">
            <w:pPr>
              <w:pStyle w:val="BodyText"/>
              <w:ind w:right="567"/>
              <w:jc w:val="right"/>
              <w:rPr>
                <w:sz w:val="22"/>
              </w:rPr>
            </w:pPr>
            <w:r>
              <w:rPr>
                <w:sz w:val="22"/>
              </w:rPr>
              <w:t>73</w:t>
            </w:r>
          </w:p>
        </w:tc>
        <w:tc>
          <w:tcPr>
            <w:tcW w:w="1634" w:type="dxa"/>
          </w:tcPr>
          <w:p w:rsidR="00000000" w:rsidRDefault="00000000">
            <w:pPr>
              <w:pStyle w:val="BodyText"/>
              <w:ind w:right="567"/>
              <w:jc w:val="right"/>
              <w:rPr>
                <w:sz w:val="22"/>
              </w:rPr>
            </w:pPr>
            <w:r>
              <w:rPr>
                <w:sz w:val="22"/>
              </w:rPr>
              <w:t>62</w:t>
            </w:r>
          </w:p>
        </w:tc>
        <w:tc>
          <w:tcPr>
            <w:tcW w:w="1633" w:type="dxa"/>
          </w:tcPr>
          <w:p w:rsidR="00000000" w:rsidRDefault="00000000">
            <w:pPr>
              <w:pStyle w:val="BodyText"/>
              <w:ind w:right="567"/>
              <w:jc w:val="right"/>
              <w:rPr>
                <w:sz w:val="22"/>
              </w:rPr>
            </w:pPr>
            <w:r>
              <w:rPr>
                <w:sz w:val="22"/>
              </w:rPr>
              <w:t>16,09</w:t>
            </w:r>
          </w:p>
        </w:tc>
        <w:tc>
          <w:tcPr>
            <w:tcW w:w="1634" w:type="dxa"/>
          </w:tcPr>
          <w:p w:rsidR="00000000" w:rsidRDefault="00000000">
            <w:pPr>
              <w:pStyle w:val="BodyText"/>
              <w:ind w:right="567"/>
              <w:jc w:val="right"/>
              <w:rPr>
                <w:sz w:val="22"/>
              </w:rPr>
            </w:pPr>
            <w:r>
              <w:rPr>
                <w:sz w:val="22"/>
              </w:rPr>
              <w:t>83,90</w:t>
            </w:r>
          </w:p>
        </w:tc>
      </w:tr>
      <w:tr w:rsidR="00000000">
        <w:tblPrEx>
          <w:tblCellMar>
            <w:top w:w="0" w:type="dxa"/>
            <w:bottom w:w="0" w:type="dxa"/>
          </w:tblCellMar>
        </w:tblPrEx>
        <w:tc>
          <w:tcPr>
            <w:tcW w:w="1633" w:type="dxa"/>
          </w:tcPr>
          <w:p w:rsidR="00000000" w:rsidRDefault="00000000">
            <w:pPr>
              <w:pStyle w:val="BodyText"/>
              <w:rPr>
                <w:sz w:val="22"/>
              </w:rPr>
            </w:pPr>
            <w:r>
              <w:rPr>
                <w:sz w:val="22"/>
              </w:rPr>
              <w:t>3</w:t>
            </w:r>
            <w:r>
              <w:rPr>
                <w:sz w:val="22"/>
                <w:vertAlign w:val="superscript"/>
              </w:rPr>
              <w:t>ème</w:t>
            </w:r>
            <w:r>
              <w:rPr>
                <w:sz w:val="22"/>
              </w:rPr>
              <w:t xml:space="preserve"> année</w:t>
            </w:r>
          </w:p>
        </w:tc>
        <w:tc>
          <w:tcPr>
            <w:tcW w:w="1634" w:type="dxa"/>
          </w:tcPr>
          <w:p w:rsidR="00000000" w:rsidRDefault="00000000">
            <w:pPr>
              <w:pStyle w:val="BodyText"/>
              <w:ind w:right="567"/>
              <w:jc w:val="right"/>
              <w:rPr>
                <w:sz w:val="22"/>
              </w:rPr>
            </w:pPr>
            <w:r>
              <w:rPr>
                <w:sz w:val="22"/>
              </w:rPr>
              <w:t>43</w:t>
            </w:r>
          </w:p>
        </w:tc>
        <w:tc>
          <w:tcPr>
            <w:tcW w:w="1633" w:type="dxa"/>
          </w:tcPr>
          <w:p w:rsidR="00000000" w:rsidRDefault="00000000">
            <w:pPr>
              <w:pStyle w:val="BodyText"/>
              <w:ind w:right="567"/>
              <w:jc w:val="right"/>
              <w:rPr>
                <w:sz w:val="22"/>
              </w:rPr>
            </w:pPr>
            <w:r>
              <w:rPr>
                <w:sz w:val="22"/>
              </w:rPr>
              <w:t>37</w:t>
            </w:r>
          </w:p>
        </w:tc>
        <w:tc>
          <w:tcPr>
            <w:tcW w:w="1634" w:type="dxa"/>
          </w:tcPr>
          <w:p w:rsidR="00000000" w:rsidRDefault="00000000">
            <w:pPr>
              <w:pStyle w:val="BodyText"/>
              <w:ind w:right="567"/>
              <w:jc w:val="right"/>
              <w:rPr>
                <w:sz w:val="22"/>
              </w:rPr>
            </w:pPr>
            <w:r>
              <w:rPr>
                <w:sz w:val="22"/>
              </w:rPr>
              <w:t>73</w:t>
            </w:r>
          </w:p>
        </w:tc>
        <w:tc>
          <w:tcPr>
            <w:tcW w:w="1633" w:type="dxa"/>
          </w:tcPr>
          <w:p w:rsidR="00000000" w:rsidRDefault="00000000">
            <w:pPr>
              <w:pStyle w:val="BodyText"/>
              <w:ind w:right="567"/>
              <w:jc w:val="right"/>
              <w:rPr>
                <w:sz w:val="22"/>
              </w:rPr>
            </w:pPr>
            <w:r>
              <w:rPr>
                <w:sz w:val="22"/>
              </w:rPr>
              <w:t>13,95</w:t>
            </w:r>
          </w:p>
        </w:tc>
        <w:tc>
          <w:tcPr>
            <w:tcW w:w="1634" w:type="dxa"/>
          </w:tcPr>
          <w:p w:rsidR="00000000" w:rsidRDefault="00000000">
            <w:pPr>
              <w:pStyle w:val="BodyText"/>
              <w:ind w:right="567"/>
              <w:jc w:val="right"/>
              <w:rPr>
                <w:sz w:val="22"/>
              </w:rPr>
            </w:pPr>
            <w:r>
              <w:rPr>
                <w:sz w:val="22"/>
              </w:rPr>
              <w:t>86,04</w:t>
            </w:r>
          </w:p>
        </w:tc>
      </w:tr>
      <w:tr w:rsidR="00000000">
        <w:tblPrEx>
          <w:tblCellMar>
            <w:top w:w="0" w:type="dxa"/>
            <w:bottom w:w="0" w:type="dxa"/>
          </w:tblCellMar>
        </w:tblPrEx>
        <w:tc>
          <w:tcPr>
            <w:tcW w:w="1633" w:type="dxa"/>
          </w:tcPr>
          <w:p w:rsidR="00000000" w:rsidRDefault="00000000">
            <w:pPr>
              <w:pStyle w:val="BodyText"/>
              <w:rPr>
                <w:sz w:val="22"/>
              </w:rPr>
            </w:pPr>
            <w:r>
              <w:rPr>
                <w:sz w:val="22"/>
              </w:rPr>
              <w:t>4</w:t>
            </w:r>
            <w:r>
              <w:rPr>
                <w:sz w:val="22"/>
                <w:vertAlign w:val="superscript"/>
              </w:rPr>
              <w:t>ème</w:t>
            </w:r>
            <w:r>
              <w:rPr>
                <w:sz w:val="22"/>
              </w:rPr>
              <w:t xml:space="preserve"> année</w:t>
            </w:r>
          </w:p>
        </w:tc>
        <w:tc>
          <w:tcPr>
            <w:tcW w:w="1634" w:type="dxa"/>
          </w:tcPr>
          <w:p w:rsidR="00000000" w:rsidRDefault="00000000">
            <w:pPr>
              <w:pStyle w:val="BodyText"/>
              <w:ind w:right="567"/>
              <w:jc w:val="right"/>
              <w:rPr>
                <w:sz w:val="22"/>
              </w:rPr>
            </w:pPr>
            <w:r>
              <w:rPr>
                <w:sz w:val="22"/>
              </w:rPr>
              <w:t>33</w:t>
            </w:r>
          </w:p>
        </w:tc>
        <w:tc>
          <w:tcPr>
            <w:tcW w:w="1633" w:type="dxa"/>
          </w:tcPr>
          <w:p w:rsidR="00000000" w:rsidRDefault="00000000">
            <w:pPr>
              <w:pStyle w:val="BodyText"/>
              <w:ind w:right="567"/>
              <w:jc w:val="right"/>
              <w:rPr>
                <w:sz w:val="22"/>
              </w:rPr>
            </w:pPr>
            <w:r>
              <w:rPr>
                <w:sz w:val="22"/>
              </w:rPr>
              <w:t>32</w:t>
            </w:r>
          </w:p>
        </w:tc>
        <w:tc>
          <w:tcPr>
            <w:tcW w:w="1634" w:type="dxa"/>
          </w:tcPr>
          <w:p w:rsidR="00000000" w:rsidRDefault="00000000">
            <w:pPr>
              <w:pStyle w:val="BodyText"/>
              <w:ind w:right="567"/>
              <w:jc w:val="right"/>
              <w:rPr>
                <w:sz w:val="22"/>
              </w:rPr>
            </w:pPr>
            <w:r>
              <w:rPr>
                <w:sz w:val="22"/>
              </w:rPr>
              <w:t>32</w:t>
            </w:r>
          </w:p>
        </w:tc>
        <w:tc>
          <w:tcPr>
            <w:tcW w:w="1633" w:type="dxa"/>
          </w:tcPr>
          <w:p w:rsidR="00000000" w:rsidRDefault="00000000">
            <w:pPr>
              <w:pStyle w:val="BodyText"/>
              <w:ind w:right="567"/>
              <w:jc w:val="right"/>
              <w:rPr>
                <w:sz w:val="22"/>
              </w:rPr>
            </w:pPr>
            <w:r>
              <w:rPr>
                <w:sz w:val="22"/>
              </w:rPr>
              <w:t>3,03</w:t>
            </w:r>
          </w:p>
        </w:tc>
        <w:tc>
          <w:tcPr>
            <w:tcW w:w="1634" w:type="dxa"/>
          </w:tcPr>
          <w:p w:rsidR="00000000" w:rsidRDefault="00000000">
            <w:pPr>
              <w:pStyle w:val="BodyText"/>
              <w:ind w:right="567"/>
              <w:jc w:val="right"/>
              <w:rPr>
                <w:sz w:val="22"/>
              </w:rPr>
            </w:pPr>
            <w:r>
              <w:rPr>
                <w:sz w:val="22"/>
              </w:rPr>
              <w:t>96,96</w:t>
            </w:r>
          </w:p>
        </w:tc>
      </w:tr>
      <w:tr w:rsidR="00000000">
        <w:tblPrEx>
          <w:tblCellMar>
            <w:top w:w="0" w:type="dxa"/>
            <w:bottom w:w="0" w:type="dxa"/>
          </w:tblCellMar>
        </w:tblPrEx>
        <w:tc>
          <w:tcPr>
            <w:tcW w:w="1633" w:type="dxa"/>
          </w:tcPr>
          <w:p w:rsidR="00000000" w:rsidRDefault="00000000">
            <w:pPr>
              <w:pStyle w:val="BodyText"/>
              <w:rPr>
                <w:b/>
                <w:sz w:val="22"/>
              </w:rPr>
            </w:pPr>
            <w:r>
              <w:rPr>
                <w:b/>
                <w:sz w:val="22"/>
              </w:rPr>
              <w:t xml:space="preserve">Total </w:t>
            </w:r>
          </w:p>
        </w:tc>
        <w:tc>
          <w:tcPr>
            <w:tcW w:w="1634" w:type="dxa"/>
          </w:tcPr>
          <w:p w:rsidR="00000000" w:rsidRDefault="00000000">
            <w:pPr>
              <w:pStyle w:val="BodyText"/>
              <w:ind w:right="567"/>
              <w:jc w:val="right"/>
              <w:rPr>
                <w:sz w:val="22"/>
              </w:rPr>
            </w:pPr>
            <w:r>
              <w:rPr>
                <w:sz w:val="22"/>
              </w:rPr>
              <w:t>233</w:t>
            </w:r>
          </w:p>
        </w:tc>
        <w:tc>
          <w:tcPr>
            <w:tcW w:w="1633" w:type="dxa"/>
          </w:tcPr>
          <w:p w:rsidR="00000000" w:rsidRDefault="00000000">
            <w:pPr>
              <w:pStyle w:val="BodyText"/>
              <w:ind w:right="567"/>
              <w:jc w:val="right"/>
              <w:rPr>
                <w:sz w:val="22"/>
              </w:rPr>
            </w:pPr>
            <w:r>
              <w:rPr>
                <w:sz w:val="22"/>
              </w:rPr>
              <w:t>204</w:t>
            </w:r>
          </w:p>
        </w:tc>
        <w:tc>
          <w:tcPr>
            <w:tcW w:w="1634" w:type="dxa"/>
          </w:tcPr>
          <w:p w:rsidR="00000000" w:rsidRDefault="00000000">
            <w:pPr>
              <w:pStyle w:val="BodyText"/>
              <w:ind w:right="567"/>
              <w:jc w:val="right"/>
              <w:rPr>
                <w:sz w:val="22"/>
              </w:rPr>
            </w:pPr>
            <w:r>
              <w:rPr>
                <w:sz w:val="22"/>
              </w:rPr>
              <w:t>175</w:t>
            </w:r>
          </w:p>
        </w:tc>
        <w:tc>
          <w:tcPr>
            <w:tcW w:w="1633" w:type="dxa"/>
          </w:tcPr>
          <w:p w:rsidR="00000000" w:rsidRDefault="00000000">
            <w:pPr>
              <w:pStyle w:val="BodyText"/>
              <w:ind w:right="567"/>
              <w:jc w:val="right"/>
              <w:rPr>
                <w:sz w:val="22"/>
              </w:rPr>
            </w:pPr>
            <w:r>
              <w:rPr>
                <w:sz w:val="22"/>
              </w:rPr>
              <w:t>12,44</w:t>
            </w:r>
          </w:p>
        </w:tc>
        <w:tc>
          <w:tcPr>
            <w:tcW w:w="1634" w:type="dxa"/>
          </w:tcPr>
          <w:p w:rsidR="00000000" w:rsidRDefault="00000000">
            <w:pPr>
              <w:pStyle w:val="BodyText"/>
              <w:ind w:right="567"/>
              <w:jc w:val="right"/>
              <w:rPr>
                <w:sz w:val="22"/>
              </w:rPr>
            </w:pPr>
            <w:r>
              <w:rPr>
                <w:sz w:val="22"/>
              </w:rPr>
              <w:t>87,56</w:t>
            </w:r>
          </w:p>
        </w:tc>
      </w:tr>
    </w:tbl>
    <w:p w:rsidR="00000000" w:rsidRDefault="00000000">
      <w:pPr>
        <w:pStyle w:val="BodyText"/>
        <w:spacing w:line="120" w:lineRule="exact"/>
        <w:rPr>
          <w:i/>
          <w:sz w:val="10"/>
          <w:u w:val="single"/>
        </w:rPr>
      </w:pPr>
    </w:p>
    <w:p w:rsidR="00000000" w:rsidRDefault="00000000">
      <w:pPr>
        <w:pStyle w:val="BodyText"/>
        <w:rPr>
          <w:sz w:val="22"/>
        </w:rPr>
      </w:pPr>
      <w:r>
        <w:rPr>
          <w:i/>
          <w:sz w:val="22"/>
          <w:u w:val="single"/>
        </w:rPr>
        <w:t>Source</w:t>
      </w:r>
      <w:r>
        <w:rPr>
          <w:i/>
          <w:sz w:val="22"/>
        </w:rPr>
        <w:t xml:space="preserve"> : service de la planification universitaire</w:t>
      </w:r>
    </w:p>
    <w:p w:rsidR="00000000" w:rsidRDefault="00000000">
      <w:pPr>
        <w:pStyle w:val="BodyText"/>
        <w:rPr>
          <w:b/>
          <w:sz w:val="22"/>
        </w:rPr>
      </w:pPr>
    </w:p>
    <w:p w:rsidR="00000000" w:rsidRDefault="00000000">
      <w:pPr>
        <w:pStyle w:val="BodyText"/>
        <w:rPr>
          <w:b/>
          <w:sz w:val="22"/>
        </w:rPr>
      </w:pPr>
      <w:r>
        <w:rPr>
          <w:b/>
          <w:sz w:val="22"/>
        </w:rPr>
        <w:t xml:space="preserve">B - </w:t>
      </w:r>
      <w:r>
        <w:rPr>
          <w:b/>
          <w:sz w:val="22"/>
          <w:u w:val="single"/>
        </w:rPr>
        <w:t>La représentativité des femmes dans le corps enseignant</w:t>
      </w:r>
      <w:r>
        <w:rPr>
          <w:b/>
          <w:sz w:val="22"/>
        </w:rPr>
        <w:t>.</w:t>
      </w:r>
    </w:p>
    <w:p w:rsidR="00000000" w:rsidRDefault="00000000">
      <w:pPr>
        <w:pStyle w:val="BodyText"/>
        <w:rPr>
          <w:sz w:val="22"/>
        </w:rPr>
      </w:pPr>
    </w:p>
    <w:p w:rsidR="00000000" w:rsidRDefault="00000000">
      <w:pPr>
        <w:pStyle w:val="BodyText"/>
        <w:rPr>
          <w:sz w:val="22"/>
        </w:rPr>
      </w:pPr>
      <w:r>
        <w:rPr>
          <w:sz w:val="22"/>
        </w:rPr>
        <w:t>Au niveau universitaire, le corps enseignant n’obéit pas non plus à la règle d’équité entre le sexe masculin et le sexe féminin. Ici encore, il y a plus d’enseignants dans les matières littéraires que dans les matières scientifiques ou professionnelles. Le constat fait dans les établissements d’enseignement supérieur concernant les étudiants se répercute au niveau des enseignants.</w:t>
      </w:r>
    </w:p>
    <w:p w:rsidR="00000000" w:rsidRDefault="00000000">
      <w:pPr>
        <w:pStyle w:val="BodyText"/>
        <w:rPr>
          <w:sz w:val="22"/>
        </w:rPr>
      </w:pPr>
    </w:p>
    <w:p w:rsidR="00000000" w:rsidRDefault="00000000">
      <w:pPr>
        <w:pStyle w:val="BodyText"/>
        <w:rPr>
          <w:sz w:val="22"/>
        </w:rPr>
      </w:pPr>
      <w:r>
        <w:rPr>
          <w:sz w:val="22"/>
        </w:rPr>
        <w:t>A l’Université Marien NGOUABI, les femmes sont assistantes, maîtres-assistantes. Il n’y a pas encore de maître de conférence.</w:t>
      </w:r>
    </w:p>
    <w:p w:rsidR="00000000" w:rsidRDefault="00000000">
      <w:pPr>
        <w:pStyle w:val="BodyText"/>
        <w:rPr>
          <w:sz w:val="22"/>
        </w:rPr>
      </w:pPr>
    </w:p>
    <w:p w:rsidR="00000000" w:rsidRDefault="00000000">
      <w:pPr>
        <w:pStyle w:val="BodyText"/>
        <w:rPr>
          <w:sz w:val="22"/>
        </w:rPr>
      </w:pPr>
      <w:r>
        <w:rPr>
          <w:sz w:val="22"/>
        </w:rPr>
        <w:t>Il est important de signaler que cette situation n’est pas imputable seulement à l’État. Les femmes et les hommes congolais jouissent de tous les droits et il revient à chacun de tirer le meilleur profit d’un tel contexte juridique. La volonté individuelle et celle des pouvoirs publics doivent se conjuguer pour inverser les tendances actuelles afin que la législation favorable profite aux femmes.</w:t>
      </w:r>
    </w:p>
    <w:p w:rsidR="00000000" w:rsidRDefault="00000000">
      <w:pPr>
        <w:pStyle w:val="BodyText"/>
        <w:rPr>
          <w:sz w:val="22"/>
        </w:rPr>
      </w:pPr>
      <w:r>
        <w:rPr>
          <w:sz w:val="22"/>
        </w:rPr>
        <w:br w:type="page"/>
      </w:r>
      <w:r>
        <w:rPr>
          <w:b/>
          <w:sz w:val="22"/>
          <w:u w:val="single"/>
        </w:rPr>
        <w:t>Tableau n° 53</w:t>
      </w:r>
      <w:r>
        <w:rPr>
          <w:b/>
          <w:sz w:val="22"/>
        </w:rPr>
        <w:t> : effectifs du personnel enseignant</w:t>
      </w:r>
      <w:r>
        <w:rPr>
          <w:sz w:val="22"/>
        </w:rPr>
        <w:t>*</w:t>
      </w:r>
    </w:p>
    <w:p w:rsidR="00000000" w:rsidRDefault="00000000">
      <w:pPr>
        <w:pStyle w:val="BodyText"/>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0"/>
        <w:gridCol w:w="1959"/>
        <w:gridCol w:w="1960"/>
        <w:gridCol w:w="1960"/>
        <w:gridCol w:w="1960"/>
      </w:tblGrid>
      <w:tr w:rsidR="00000000">
        <w:tblPrEx>
          <w:tblCellMar>
            <w:top w:w="0" w:type="dxa"/>
            <w:bottom w:w="0" w:type="dxa"/>
          </w:tblCellMar>
        </w:tblPrEx>
        <w:tc>
          <w:tcPr>
            <w:tcW w:w="1980" w:type="dxa"/>
          </w:tcPr>
          <w:p w:rsidR="00000000" w:rsidRDefault="00000000">
            <w:pPr>
              <w:pStyle w:val="BodyText"/>
              <w:jc w:val="center"/>
              <w:rPr>
                <w:sz w:val="22"/>
              </w:rPr>
            </w:pPr>
            <w:r>
              <w:rPr>
                <w:sz w:val="22"/>
              </w:rPr>
              <w:t>Etablissements</w:t>
            </w:r>
          </w:p>
        </w:tc>
        <w:tc>
          <w:tcPr>
            <w:tcW w:w="1959" w:type="dxa"/>
          </w:tcPr>
          <w:p w:rsidR="00000000" w:rsidRDefault="00000000">
            <w:pPr>
              <w:pStyle w:val="BodyText"/>
              <w:jc w:val="center"/>
              <w:rPr>
                <w:sz w:val="22"/>
              </w:rPr>
            </w:pPr>
            <w:r>
              <w:rPr>
                <w:sz w:val="22"/>
              </w:rPr>
              <w:t>Hommes</w:t>
            </w:r>
          </w:p>
        </w:tc>
        <w:tc>
          <w:tcPr>
            <w:tcW w:w="1960" w:type="dxa"/>
          </w:tcPr>
          <w:p w:rsidR="00000000" w:rsidRDefault="00000000">
            <w:pPr>
              <w:pStyle w:val="BodyText"/>
              <w:jc w:val="center"/>
              <w:rPr>
                <w:sz w:val="22"/>
              </w:rPr>
            </w:pPr>
            <w:r>
              <w:rPr>
                <w:sz w:val="22"/>
              </w:rPr>
              <w:t>Femmes</w:t>
            </w:r>
          </w:p>
        </w:tc>
        <w:tc>
          <w:tcPr>
            <w:tcW w:w="1960" w:type="dxa"/>
          </w:tcPr>
          <w:p w:rsidR="00000000" w:rsidRDefault="00000000">
            <w:pPr>
              <w:pStyle w:val="BodyText"/>
              <w:jc w:val="center"/>
              <w:rPr>
                <w:sz w:val="22"/>
              </w:rPr>
            </w:pPr>
            <w:r>
              <w:rPr>
                <w:sz w:val="22"/>
              </w:rPr>
              <w:t>Fonctionnaires</w:t>
            </w:r>
          </w:p>
        </w:tc>
        <w:tc>
          <w:tcPr>
            <w:tcW w:w="1960" w:type="dxa"/>
          </w:tcPr>
          <w:p w:rsidR="00000000" w:rsidRDefault="00000000">
            <w:pPr>
              <w:pStyle w:val="BodyText"/>
              <w:jc w:val="center"/>
              <w:rPr>
                <w:sz w:val="22"/>
              </w:rPr>
            </w:pPr>
            <w:r>
              <w:rPr>
                <w:sz w:val="22"/>
              </w:rPr>
              <w:t>Contractuels</w:t>
            </w:r>
          </w:p>
        </w:tc>
      </w:tr>
      <w:tr w:rsidR="00000000">
        <w:tblPrEx>
          <w:tblCellMar>
            <w:top w:w="0" w:type="dxa"/>
            <w:bottom w:w="0" w:type="dxa"/>
          </w:tblCellMar>
        </w:tblPrEx>
        <w:tc>
          <w:tcPr>
            <w:tcW w:w="1980" w:type="dxa"/>
          </w:tcPr>
          <w:p w:rsidR="00000000" w:rsidRDefault="00000000">
            <w:pPr>
              <w:pStyle w:val="BodyText"/>
              <w:rPr>
                <w:sz w:val="22"/>
              </w:rPr>
            </w:pPr>
            <w:r>
              <w:rPr>
                <w:sz w:val="22"/>
              </w:rPr>
              <w:t>FLSH</w:t>
            </w:r>
          </w:p>
        </w:tc>
        <w:tc>
          <w:tcPr>
            <w:tcW w:w="1959" w:type="dxa"/>
          </w:tcPr>
          <w:p w:rsidR="00000000" w:rsidRDefault="00000000">
            <w:pPr>
              <w:pStyle w:val="BodyText"/>
              <w:ind w:right="567"/>
              <w:jc w:val="right"/>
              <w:rPr>
                <w:sz w:val="22"/>
              </w:rPr>
            </w:pPr>
            <w:r>
              <w:rPr>
                <w:sz w:val="22"/>
              </w:rPr>
              <w:t>113</w:t>
            </w:r>
          </w:p>
        </w:tc>
        <w:tc>
          <w:tcPr>
            <w:tcW w:w="1960" w:type="dxa"/>
          </w:tcPr>
          <w:p w:rsidR="00000000" w:rsidRDefault="00000000">
            <w:pPr>
              <w:pStyle w:val="BodyText"/>
              <w:ind w:right="567"/>
              <w:jc w:val="right"/>
              <w:rPr>
                <w:sz w:val="22"/>
              </w:rPr>
            </w:pPr>
            <w:r>
              <w:rPr>
                <w:sz w:val="22"/>
              </w:rPr>
              <w:t>10</w:t>
            </w:r>
          </w:p>
        </w:tc>
        <w:tc>
          <w:tcPr>
            <w:tcW w:w="1960" w:type="dxa"/>
          </w:tcPr>
          <w:p w:rsidR="00000000" w:rsidRDefault="00000000">
            <w:pPr>
              <w:pStyle w:val="BodyText"/>
              <w:ind w:right="567"/>
              <w:jc w:val="right"/>
              <w:rPr>
                <w:sz w:val="22"/>
              </w:rPr>
            </w:pPr>
            <w:r>
              <w:rPr>
                <w:sz w:val="22"/>
              </w:rPr>
              <w:t>116</w:t>
            </w:r>
          </w:p>
        </w:tc>
        <w:tc>
          <w:tcPr>
            <w:tcW w:w="1960" w:type="dxa"/>
          </w:tcPr>
          <w:p w:rsidR="00000000" w:rsidRDefault="00000000">
            <w:pPr>
              <w:pStyle w:val="BodyText"/>
              <w:ind w:right="567"/>
              <w:jc w:val="right"/>
              <w:rPr>
                <w:sz w:val="22"/>
              </w:rPr>
            </w:pPr>
            <w:r>
              <w:rPr>
                <w:sz w:val="22"/>
              </w:rPr>
              <w:t>7</w:t>
            </w:r>
          </w:p>
        </w:tc>
      </w:tr>
      <w:tr w:rsidR="00000000">
        <w:tblPrEx>
          <w:tblCellMar>
            <w:top w:w="0" w:type="dxa"/>
            <w:bottom w:w="0" w:type="dxa"/>
          </w:tblCellMar>
        </w:tblPrEx>
        <w:tc>
          <w:tcPr>
            <w:tcW w:w="1980" w:type="dxa"/>
          </w:tcPr>
          <w:p w:rsidR="00000000" w:rsidRDefault="00000000">
            <w:pPr>
              <w:pStyle w:val="BodyText"/>
              <w:rPr>
                <w:sz w:val="22"/>
              </w:rPr>
            </w:pPr>
            <w:r>
              <w:rPr>
                <w:sz w:val="22"/>
              </w:rPr>
              <w:t>F/SCES</w:t>
            </w:r>
          </w:p>
        </w:tc>
        <w:tc>
          <w:tcPr>
            <w:tcW w:w="1959" w:type="dxa"/>
          </w:tcPr>
          <w:p w:rsidR="00000000" w:rsidRDefault="00000000">
            <w:pPr>
              <w:pStyle w:val="BodyText"/>
              <w:ind w:right="567"/>
              <w:jc w:val="right"/>
              <w:rPr>
                <w:sz w:val="22"/>
              </w:rPr>
            </w:pPr>
            <w:r>
              <w:rPr>
                <w:sz w:val="22"/>
              </w:rPr>
              <w:t>85</w:t>
            </w:r>
          </w:p>
        </w:tc>
        <w:tc>
          <w:tcPr>
            <w:tcW w:w="1960" w:type="dxa"/>
          </w:tcPr>
          <w:p w:rsidR="00000000" w:rsidRDefault="00000000">
            <w:pPr>
              <w:pStyle w:val="BodyText"/>
              <w:ind w:right="567"/>
              <w:jc w:val="right"/>
              <w:rPr>
                <w:sz w:val="22"/>
              </w:rPr>
            </w:pPr>
            <w:r>
              <w:rPr>
                <w:sz w:val="22"/>
              </w:rPr>
              <w:t>6</w:t>
            </w:r>
          </w:p>
        </w:tc>
        <w:tc>
          <w:tcPr>
            <w:tcW w:w="1960" w:type="dxa"/>
          </w:tcPr>
          <w:p w:rsidR="00000000" w:rsidRDefault="00000000">
            <w:pPr>
              <w:pStyle w:val="BodyText"/>
              <w:ind w:right="567"/>
              <w:jc w:val="right"/>
              <w:rPr>
                <w:sz w:val="22"/>
              </w:rPr>
            </w:pPr>
            <w:r>
              <w:rPr>
                <w:sz w:val="22"/>
              </w:rPr>
              <w:t>85</w:t>
            </w:r>
          </w:p>
        </w:tc>
        <w:tc>
          <w:tcPr>
            <w:tcW w:w="1960" w:type="dxa"/>
          </w:tcPr>
          <w:p w:rsidR="00000000" w:rsidRDefault="00000000">
            <w:pPr>
              <w:pStyle w:val="BodyText"/>
              <w:ind w:right="567"/>
              <w:jc w:val="right"/>
              <w:rPr>
                <w:sz w:val="22"/>
              </w:rPr>
            </w:pPr>
            <w:r>
              <w:rPr>
                <w:sz w:val="22"/>
              </w:rPr>
              <w:t>6</w:t>
            </w:r>
          </w:p>
        </w:tc>
      </w:tr>
      <w:tr w:rsidR="00000000">
        <w:tblPrEx>
          <w:tblCellMar>
            <w:top w:w="0" w:type="dxa"/>
            <w:bottom w:w="0" w:type="dxa"/>
          </w:tblCellMar>
        </w:tblPrEx>
        <w:tc>
          <w:tcPr>
            <w:tcW w:w="1980" w:type="dxa"/>
          </w:tcPr>
          <w:p w:rsidR="00000000" w:rsidRDefault="00000000">
            <w:pPr>
              <w:pStyle w:val="BodyText"/>
              <w:rPr>
                <w:sz w:val="22"/>
              </w:rPr>
            </w:pPr>
            <w:r>
              <w:rPr>
                <w:sz w:val="22"/>
              </w:rPr>
              <w:t>F/Droit</w:t>
            </w:r>
          </w:p>
        </w:tc>
        <w:tc>
          <w:tcPr>
            <w:tcW w:w="1959" w:type="dxa"/>
          </w:tcPr>
          <w:p w:rsidR="00000000" w:rsidRDefault="00000000">
            <w:pPr>
              <w:pStyle w:val="BodyText"/>
              <w:ind w:right="567"/>
              <w:jc w:val="right"/>
              <w:rPr>
                <w:sz w:val="22"/>
              </w:rPr>
            </w:pPr>
            <w:r>
              <w:rPr>
                <w:sz w:val="22"/>
              </w:rPr>
              <w:t>31</w:t>
            </w:r>
          </w:p>
        </w:tc>
        <w:tc>
          <w:tcPr>
            <w:tcW w:w="1960" w:type="dxa"/>
          </w:tcPr>
          <w:p w:rsidR="00000000" w:rsidRDefault="00000000">
            <w:pPr>
              <w:pStyle w:val="BodyText"/>
              <w:ind w:right="567"/>
              <w:jc w:val="right"/>
              <w:rPr>
                <w:sz w:val="22"/>
              </w:rPr>
            </w:pPr>
            <w:r>
              <w:rPr>
                <w:sz w:val="22"/>
              </w:rPr>
              <w:t>2</w:t>
            </w:r>
          </w:p>
        </w:tc>
        <w:tc>
          <w:tcPr>
            <w:tcW w:w="1960" w:type="dxa"/>
          </w:tcPr>
          <w:p w:rsidR="00000000" w:rsidRDefault="00000000">
            <w:pPr>
              <w:pStyle w:val="BodyText"/>
              <w:ind w:right="567"/>
              <w:jc w:val="right"/>
              <w:rPr>
                <w:sz w:val="22"/>
              </w:rPr>
            </w:pPr>
            <w:r>
              <w:rPr>
                <w:sz w:val="22"/>
              </w:rPr>
              <w:t>24</w:t>
            </w:r>
          </w:p>
        </w:tc>
        <w:tc>
          <w:tcPr>
            <w:tcW w:w="1960" w:type="dxa"/>
          </w:tcPr>
          <w:p w:rsidR="00000000" w:rsidRDefault="00000000">
            <w:pPr>
              <w:pStyle w:val="BodyText"/>
              <w:ind w:right="567"/>
              <w:jc w:val="right"/>
              <w:rPr>
                <w:sz w:val="22"/>
              </w:rPr>
            </w:pPr>
            <w:r>
              <w:rPr>
                <w:sz w:val="22"/>
              </w:rPr>
              <w:t>9</w:t>
            </w:r>
          </w:p>
        </w:tc>
      </w:tr>
      <w:tr w:rsidR="00000000">
        <w:tblPrEx>
          <w:tblCellMar>
            <w:top w:w="0" w:type="dxa"/>
            <w:bottom w:w="0" w:type="dxa"/>
          </w:tblCellMar>
        </w:tblPrEx>
        <w:tc>
          <w:tcPr>
            <w:tcW w:w="1980" w:type="dxa"/>
          </w:tcPr>
          <w:p w:rsidR="00000000" w:rsidRDefault="00000000">
            <w:pPr>
              <w:pStyle w:val="BodyText"/>
              <w:rPr>
                <w:sz w:val="22"/>
              </w:rPr>
            </w:pPr>
            <w:r>
              <w:rPr>
                <w:sz w:val="22"/>
              </w:rPr>
              <w:t>FSE</w:t>
            </w:r>
          </w:p>
        </w:tc>
        <w:tc>
          <w:tcPr>
            <w:tcW w:w="1959" w:type="dxa"/>
          </w:tcPr>
          <w:p w:rsidR="00000000" w:rsidRDefault="00000000">
            <w:pPr>
              <w:pStyle w:val="BodyText"/>
              <w:ind w:right="567"/>
              <w:jc w:val="right"/>
              <w:rPr>
                <w:sz w:val="22"/>
              </w:rPr>
            </w:pPr>
            <w:r>
              <w:rPr>
                <w:sz w:val="22"/>
              </w:rPr>
              <w:t>36</w:t>
            </w:r>
          </w:p>
        </w:tc>
        <w:tc>
          <w:tcPr>
            <w:tcW w:w="1960" w:type="dxa"/>
          </w:tcPr>
          <w:p w:rsidR="00000000" w:rsidRDefault="00000000">
            <w:pPr>
              <w:pStyle w:val="BodyText"/>
              <w:ind w:right="567"/>
              <w:jc w:val="right"/>
              <w:rPr>
                <w:sz w:val="22"/>
              </w:rPr>
            </w:pPr>
            <w:r>
              <w:rPr>
                <w:sz w:val="22"/>
              </w:rPr>
              <w:t>1</w:t>
            </w:r>
          </w:p>
        </w:tc>
        <w:tc>
          <w:tcPr>
            <w:tcW w:w="1960" w:type="dxa"/>
          </w:tcPr>
          <w:p w:rsidR="00000000" w:rsidRDefault="00000000">
            <w:pPr>
              <w:pStyle w:val="BodyText"/>
              <w:ind w:right="567"/>
              <w:jc w:val="right"/>
              <w:rPr>
                <w:sz w:val="22"/>
              </w:rPr>
            </w:pPr>
            <w:r>
              <w:rPr>
                <w:sz w:val="22"/>
              </w:rPr>
              <w:t>34</w:t>
            </w:r>
          </w:p>
        </w:tc>
        <w:tc>
          <w:tcPr>
            <w:tcW w:w="1960" w:type="dxa"/>
          </w:tcPr>
          <w:p w:rsidR="00000000" w:rsidRDefault="00000000">
            <w:pPr>
              <w:pStyle w:val="BodyText"/>
              <w:ind w:right="567"/>
              <w:jc w:val="right"/>
              <w:rPr>
                <w:sz w:val="22"/>
              </w:rPr>
            </w:pPr>
            <w:r>
              <w:rPr>
                <w:sz w:val="22"/>
              </w:rPr>
              <w:t>3</w:t>
            </w:r>
          </w:p>
        </w:tc>
      </w:tr>
      <w:tr w:rsidR="00000000">
        <w:tblPrEx>
          <w:tblCellMar>
            <w:top w:w="0" w:type="dxa"/>
            <w:bottom w:w="0" w:type="dxa"/>
          </w:tblCellMar>
        </w:tblPrEx>
        <w:tc>
          <w:tcPr>
            <w:tcW w:w="1980" w:type="dxa"/>
          </w:tcPr>
          <w:p w:rsidR="00000000" w:rsidRDefault="00000000">
            <w:pPr>
              <w:pStyle w:val="BodyText"/>
              <w:rPr>
                <w:sz w:val="22"/>
              </w:rPr>
            </w:pPr>
            <w:r>
              <w:rPr>
                <w:sz w:val="22"/>
              </w:rPr>
              <w:t>FSSA</w:t>
            </w:r>
          </w:p>
        </w:tc>
        <w:tc>
          <w:tcPr>
            <w:tcW w:w="1959" w:type="dxa"/>
          </w:tcPr>
          <w:p w:rsidR="00000000" w:rsidRDefault="00000000">
            <w:pPr>
              <w:pStyle w:val="BodyText"/>
              <w:ind w:right="567"/>
              <w:jc w:val="right"/>
              <w:rPr>
                <w:sz w:val="22"/>
              </w:rPr>
            </w:pPr>
            <w:r>
              <w:rPr>
                <w:sz w:val="22"/>
              </w:rPr>
              <w:t>45</w:t>
            </w:r>
          </w:p>
        </w:tc>
        <w:tc>
          <w:tcPr>
            <w:tcW w:w="1960" w:type="dxa"/>
          </w:tcPr>
          <w:p w:rsidR="00000000" w:rsidRDefault="00000000">
            <w:pPr>
              <w:pStyle w:val="BodyText"/>
              <w:ind w:right="567"/>
              <w:jc w:val="right"/>
              <w:rPr>
                <w:sz w:val="22"/>
              </w:rPr>
            </w:pPr>
            <w:r>
              <w:rPr>
                <w:sz w:val="22"/>
              </w:rPr>
              <w:t>6</w:t>
            </w:r>
          </w:p>
        </w:tc>
        <w:tc>
          <w:tcPr>
            <w:tcW w:w="1960" w:type="dxa"/>
          </w:tcPr>
          <w:p w:rsidR="00000000" w:rsidRDefault="00000000">
            <w:pPr>
              <w:pStyle w:val="BodyText"/>
              <w:ind w:right="567"/>
              <w:jc w:val="right"/>
              <w:rPr>
                <w:sz w:val="22"/>
              </w:rPr>
            </w:pPr>
            <w:r>
              <w:rPr>
                <w:sz w:val="22"/>
              </w:rPr>
              <w:t>46</w:t>
            </w:r>
          </w:p>
        </w:tc>
        <w:tc>
          <w:tcPr>
            <w:tcW w:w="1960" w:type="dxa"/>
          </w:tcPr>
          <w:p w:rsidR="00000000" w:rsidRDefault="00000000">
            <w:pPr>
              <w:pStyle w:val="BodyText"/>
              <w:ind w:right="567"/>
              <w:jc w:val="right"/>
              <w:rPr>
                <w:sz w:val="22"/>
              </w:rPr>
            </w:pPr>
            <w:r>
              <w:rPr>
                <w:sz w:val="22"/>
              </w:rPr>
              <w:t>5</w:t>
            </w:r>
          </w:p>
        </w:tc>
      </w:tr>
      <w:tr w:rsidR="00000000">
        <w:tblPrEx>
          <w:tblCellMar>
            <w:top w:w="0" w:type="dxa"/>
            <w:bottom w:w="0" w:type="dxa"/>
          </w:tblCellMar>
        </w:tblPrEx>
        <w:tc>
          <w:tcPr>
            <w:tcW w:w="1980" w:type="dxa"/>
          </w:tcPr>
          <w:p w:rsidR="00000000" w:rsidRDefault="00000000">
            <w:pPr>
              <w:pStyle w:val="BodyText"/>
              <w:rPr>
                <w:sz w:val="22"/>
              </w:rPr>
            </w:pPr>
            <w:r>
              <w:rPr>
                <w:sz w:val="22"/>
              </w:rPr>
              <w:t>ENS</w:t>
            </w:r>
          </w:p>
        </w:tc>
        <w:tc>
          <w:tcPr>
            <w:tcW w:w="1959" w:type="dxa"/>
          </w:tcPr>
          <w:p w:rsidR="00000000" w:rsidRDefault="00000000">
            <w:pPr>
              <w:pStyle w:val="BodyText"/>
              <w:ind w:right="567"/>
              <w:jc w:val="right"/>
              <w:rPr>
                <w:sz w:val="22"/>
                <w:lang w:val="en-GB"/>
              </w:rPr>
            </w:pPr>
            <w:r>
              <w:rPr>
                <w:sz w:val="22"/>
                <w:lang w:val="en-GB"/>
              </w:rPr>
              <w:t>70</w:t>
            </w:r>
          </w:p>
        </w:tc>
        <w:tc>
          <w:tcPr>
            <w:tcW w:w="1960" w:type="dxa"/>
          </w:tcPr>
          <w:p w:rsidR="00000000" w:rsidRDefault="00000000">
            <w:pPr>
              <w:pStyle w:val="BodyText"/>
              <w:ind w:right="567"/>
              <w:jc w:val="right"/>
              <w:rPr>
                <w:sz w:val="22"/>
                <w:lang w:val="en-GB"/>
              </w:rPr>
            </w:pPr>
            <w:r>
              <w:rPr>
                <w:sz w:val="22"/>
                <w:lang w:val="en-GB"/>
              </w:rPr>
              <w:t>8</w:t>
            </w:r>
          </w:p>
        </w:tc>
        <w:tc>
          <w:tcPr>
            <w:tcW w:w="1960" w:type="dxa"/>
          </w:tcPr>
          <w:p w:rsidR="00000000" w:rsidRDefault="00000000">
            <w:pPr>
              <w:pStyle w:val="BodyText"/>
              <w:ind w:right="567"/>
              <w:jc w:val="right"/>
              <w:rPr>
                <w:sz w:val="22"/>
                <w:lang w:val="en-GB"/>
              </w:rPr>
            </w:pPr>
            <w:r>
              <w:rPr>
                <w:sz w:val="22"/>
                <w:lang w:val="en-GB"/>
              </w:rPr>
              <w:t>68</w:t>
            </w:r>
          </w:p>
        </w:tc>
        <w:tc>
          <w:tcPr>
            <w:tcW w:w="1960" w:type="dxa"/>
          </w:tcPr>
          <w:p w:rsidR="00000000" w:rsidRDefault="00000000">
            <w:pPr>
              <w:pStyle w:val="BodyText"/>
              <w:ind w:right="567"/>
              <w:jc w:val="right"/>
              <w:rPr>
                <w:sz w:val="22"/>
                <w:lang w:val="en-GB"/>
              </w:rPr>
            </w:pPr>
            <w:r>
              <w:rPr>
                <w:sz w:val="22"/>
                <w:lang w:val="en-GB"/>
              </w:rPr>
              <w:t>10</w:t>
            </w:r>
          </w:p>
        </w:tc>
      </w:tr>
      <w:tr w:rsidR="00000000">
        <w:tblPrEx>
          <w:tblCellMar>
            <w:top w:w="0" w:type="dxa"/>
            <w:bottom w:w="0" w:type="dxa"/>
          </w:tblCellMar>
        </w:tblPrEx>
        <w:tc>
          <w:tcPr>
            <w:tcW w:w="1980" w:type="dxa"/>
          </w:tcPr>
          <w:p w:rsidR="00000000" w:rsidRDefault="00000000">
            <w:pPr>
              <w:pStyle w:val="BodyText"/>
              <w:rPr>
                <w:sz w:val="22"/>
                <w:lang w:val="en-GB"/>
              </w:rPr>
            </w:pPr>
            <w:r>
              <w:rPr>
                <w:sz w:val="22"/>
                <w:lang w:val="en-GB"/>
              </w:rPr>
              <w:t>ENAM</w:t>
            </w:r>
          </w:p>
        </w:tc>
        <w:tc>
          <w:tcPr>
            <w:tcW w:w="1959" w:type="dxa"/>
          </w:tcPr>
          <w:p w:rsidR="00000000" w:rsidRDefault="00000000">
            <w:pPr>
              <w:pStyle w:val="BodyText"/>
              <w:ind w:right="567"/>
              <w:jc w:val="right"/>
              <w:rPr>
                <w:sz w:val="22"/>
                <w:lang w:val="en-GB"/>
              </w:rPr>
            </w:pPr>
            <w:r>
              <w:rPr>
                <w:sz w:val="22"/>
                <w:lang w:val="en-GB"/>
              </w:rPr>
              <w:t>26</w:t>
            </w:r>
          </w:p>
        </w:tc>
        <w:tc>
          <w:tcPr>
            <w:tcW w:w="1960" w:type="dxa"/>
          </w:tcPr>
          <w:p w:rsidR="00000000" w:rsidRDefault="00000000">
            <w:pPr>
              <w:pStyle w:val="BodyText"/>
              <w:ind w:right="567"/>
              <w:jc w:val="right"/>
              <w:rPr>
                <w:sz w:val="22"/>
                <w:lang w:val="en-GB"/>
              </w:rPr>
            </w:pPr>
            <w:r>
              <w:rPr>
                <w:sz w:val="22"/>
                <w:lang w:val="en-GB"/>
              </w:rPr>
              <w:t>0</w:t>
            </w:r>
          </w:p>
        </w:tc>
        <w:tc>
          <w:tcPr>
            <w:tcW w:w="1960" w:type="dxa"/>
          </w:tcPr>
          <w:p w:rsidR="00000000" w:rsidRDefault="00000000">
            <w:pPr>
              <w:pStyle w:val="BodyText"/>
              <w:ind w:right="567"/>
              <w:jc w:val="right"/>
              <w:rPr>
                <w:sz w:val="22"/>
                <w:lang w:val="en-GB"/>
              </w:rPr>
            </w:pPr>
            <w:r>
              <w:rPr>
                <w:sz w:val="22"/>
                <w:lang w:val="en-GB"/>
              </w:rPr>
              <w:t>21</w:t>
            </w:r>
          </w:p>
        </w:tc>
        <w:tc>
          <w:tcPr>
            <w:tcW w:w="1960" w:type="dxa"/>
          </w:tcPr>
          <w:p w:rsidR="00000000" w:rsidRDefault="00000000">
            <w:pPr>
              <w:pStyle w:val="BodyText"/>
              <w:ind w:right="567"/>
              <w:jc w:val="right"/>
              <w:rPr>
                <w:sz w:val="22"/>
                <w:lang w:val="en-GB"/>
              </w:rPr>
            </w:pPr>
            <w:r>
              <w:rPr>
                <w:sz w:val="22"/>
                <w:lang w:val="en-GB"/>
              </w:rPr>
              <w:t>5</w:t>
            </w:r>
          </w:p>
        </w:tc>
      </w:tr>
      <w:tr w:rsidR="00000000">
        <w:tblPrEx>
          <w:tblCellMar>
            <w:top w:w="0" w:type="dxa"/>
            <w:bottom w:w="0" w:type="dxa"/>
          </w:tblCellMar>
        </w:tblPrEx>
        <w:tc>
          <w:tcPr>
            <w:tcW w:w="1980" w:type="dxa"/>
          </w:tcPr>
          <w:p w:rsidR="00000000" w:rsidRDefault="00000000">
            <w:pPr>
              <w:pStyle w:val="BodyText"/>
              <w:rPr>
                <w:sz w:val="22"/>
                <w:lang w:val="en-GB"/>
              </w:rPr>
            </w:pPr>
            <w:r>
              <w:rPr>
                <w:sz w:val="22"/>
                <w:lang w:val="en-GB"/>
              </w:rPr>
              <w:t>ENSP</w:t>
            </w:r>
          </w:p>
        </w:tc>
        <w:tc>
          <w:tcPr>
            <w:tcW w:w="1959" w:type="dxa"/>
          </w:tcPr>
          <w:p w:rsidR="00000000" w:rsidRDefault="00000000">
            <w:pPr>
              <w:pStyle w:val="BodyText"/>
              <w:ind w:right="567"/>
              <w:jc w:val="right"/>
              <w:rPr>
                <w:sz w:val="22"/>
                <w:lang w:val="en-GB"/>
              </w:rPr>
            </w:pPr>
            <w:r>
              <w:rPr>
                <w:sz w:val="22"/>
                <w:lang w:val="en-GB"/>
              </w:rPr>
              <w:t>27</w:t>
            </w:r>
          </w:p>
        </w:tc>
        <w:tc>
          <w:tcPr>
            <w:tcW w:w="1960" w:type="dxa"/>
          </w:tcPr>
          <w:p w:rsidR="00000000" w:rsidRDefault="00000000">
            <w:pPr>
              <w:pStyle w:val="BodyText"/>
              <w:ind w:right="567"/>
              <w:jc w:val="right"/>
              <w:rPr>
                <w:sz w:val="22"/>
                <w:lang w:val="en-GB"/>
              </w:rPr>
            </w:pPr>
            <w:r>
              <w:rPr>
                <w:sz w:val="22"/>
                <w:lang w:val="en-GB"/>
              </w:rPr>
              <w:t>4</w:t>
            </w:r>
          </w:p>
        </w:tc>
        <w:tc>
          <w:tcPr>
            <w:tcW w:w="1960" w:type="dxa"/>
          </w:tcPr>
          <w:p w:rsidR="00000000" w:rsidRDefault="00000000">
            <w:pPr>
              <w:pStyle w:val="BodyText"/>
              <w:ind w:right="567"/>
              <w:jc w:val="right"/>
              <w:rPr>
                <w:sz w:val="22"/>
                <w:lang w:val="en-GB"/>
              </w:rPr>
            </w:pPr>
            <w:r>
              <w:rPr>
                <w:sz w:val="22"/>
                <w:lang w:val="en-GB"/>
              </w:rPr>
              <w:t>22</w:t>
            </w:r>
          </w:p>
        </w:tc>
        <w:tc>
          <w:tcPr>
            <w:tcW w:w="1960" w:type="dxa"/>
          </w:tcPr>
          <w:p w:rsidR="00000000" w:rsidRDefault="00000000">
            <w:pPr>
              <w:pStyle w:val="BodyText"/>
              <w:ind w:right="567"/>
              <w:jc w:val="right"/>
              <w:rPr>
                <w:sz w:val="22"/>
                <w:lang w:val="en-GB"/>
              </w:rPr>
            </w:pPr>
            <w:r>
              <w:rPr>
                <w:sz w:val="22"/>
                <w:lang w:val="en-GB"/>
              </w:rPr>
              <w:t>9</w:t>
            </w:r>
          </w:p>
        </w:tc>
      </w:tr>
      <w:tr w:rsidR="00000000">
        <w:tblPrEx>
          <w:tblCellMar>
            <w:top w:w="0" w:type="dxa"/>
            <w:bottom w:w="0" w:type="dxa"/>
          </w:tblCellMar>
        </w:tblPrEx>
        <w:tc>
          <w:tcPr>
            <w:tcW w:w="1980" w:type="dxa"/>
          </w:tcPr>
          <w:p w:rsidR="00000000" w:rsidRDefault="00000000">
            <w:pPr>
              <w:pStyle w:val="BodyText"/>
              <w:rPr>
                <w:sz w:val="22"/>
                <w:lang w:val="en-GB"/>
              </w:rPr>
            </w:pPr>
            <w:r>
              <w:rPr>
                <w:sz w:val="22"/>
                <w:lang w:val="en-GB"/>
              </w:rPr>
              <w:t>IDR</w:t>
            </w:r>
          </w:p>
        </w:tc>
        <w:tc>
          <w:tcPr>
            <w:tcW w:w="1959" w:type="dxa"/>
          </w:tcPr>
          <w:p w:rsidR="00000000" w:rsidRDefault="00000000">
            <w:pPr>
              <w:pStyle w:val="BodyText"/>
              <w:ind w:right="567"/>
              <w:jc w:val="right"/>
              <w:rPr>
                <w:sz w:val="22"/>
                <w:lang w:val="en-GB"/>
              </w:rPr>
            </w:pPr>
            <w:r>
              <w:rPr>
                <w:sz w:val="22"/>
                <w:lang w:val="en-GB"/>
              </w:rPr>
              <w:t>31</w:t>
            </w:r>
          </w:p>
        </w:tc>
        <w:tc>
          <w:tcPr>
            <w:tcW w:w="1960" w:type="dxa"/>
          </w:tcPr>
          <w:p w:rsidR="00000000" w:rsidRDefault="00000000">
            <w:pPr>
              <w:pStyle w:val="BodyText"/>
              <w:ind w:right="567"/>
              <w:jc w:val="right"/>
              <w:rPr>
                <w:sz w:val="22"/>
                <w:lang w:val="en-GB"/>
              </w:rPr>
            </w:pPr>
            <w:r>
              <w:rPr>
                <w:sz w:val="22"/>
                <w:lang w:val="en-GB"/>
              </w:rPr>
              <w:t>3</w:t>
            </w:r>
          </w:p>
        </w:tc>
        <w:tc>
          <w:tcPr>
            <w:tcW w:w="1960" w:type="dxa"/>
          </w:tcPr>
          <w:p w:rsidR="00000000" w:rsidRDefault="00000000">
            <w:pPr>
              <w:pStyle w:val="BodyText"/>
              <w:ind w:right="567"/>
              <w:jc w:val="right"/>
              <w:rPr>
                <w:sz w:val="22"/>
                <w:lang w:val="en-GB"/>
              </w:rPr>
            </w:pPr>
            <w:r>
              <w:rPr>
                <w:sz w:val="22"/>
                <w:lang w:val="en-GB"/>
              </w:rPr>
              <w:t>31</w:t>
            </w:r>
          </w:p>
        </w:tc>
        <w:tc>
          <w:tcPr>
            <w:tcW w:w="1960" w:type="dxa"/>
          </w:tcPr>
          <w:p w:rsidR="00000000" w:rsidRDefault="00000000">
            <w:pPr>
              <w:pStyle w:val="BodyText"/>
              <w:ind w:right="567"/>
              <w:jc w:val="right"/>
              <w:rPr>
                <w:sz w:val="22"/>
                <w:lang w:val="en-GB"/>
              </w:rPr>
            </w:pPr>
            <w:r>
              <w:rPr>
                <w:sz w:val="22"/>
                <w:lang w:val="en-GB"/>
              </w:rPr>
              <w:t>3</w:t>
            </w:r>
          </w:p>
        </w:tc>
      </w:tr>
      <w:tr w:rsidR="00000000">
        <w:tblPrEx>
          <w:tblCellMar>
            <w:top w:w="0" w:type="dxa"/>
            <w:bottom w:w="0" w:type="dxa"/>
          </w:tblCellMar>
        </w:tblPrEx>
        <w:tc>
          <w:tcPr>
            <w:tcW w:w="1980" w:type="dxa"/>
          </w:tcPr>
          <w:p w:rsidR="00000000" w:rsidRDefault="00000000">
            <w:pPr>
              <w:pStyle w:val="BodyText"/>
              <w:rPr>
                <w:sz w:val="22"/>
                <w:lang w:val="en-GB"/>
              </w:rPr>
            </w:pPr>
            <w:r>
              <w:rPr>
                <w:sz w:val="22"/>
                <w:lang w:val="en-GB"/>
              </w:rPr>
              <w:t>ISEPS</w:t>
            </w:r>
          </w:p>
        </w:tc>
        <w:tc>
          <w:tcPr>
            <w:tcW w:w="1959" w:type="dxa"/>
          </w:tcPr>
          <w:p w:rsidR="00000000" w:rsidRDefault="00000000">
            <w:pPr>
              <w:pStyle w:val="BodyText"/>
              <w:ind w:right="567"/>
              <w:jc w:val="right"/>
              <w:rPr>
                <w:sz w:val="22"/>
              </w:rPr>
            </w:pPr>
            <w:r>
              <w:rPr>
                <w:sz w:val="22"/>
              </w:rPr>
              <w:t>29</w:t>
            </w:r>
          </w:p>
        </w:tc>
        <w:tc>
          <w:tcPr>
            <w:tcW w:w="1960" w:type="dxa"/>
          </w:tcPr>
          <w:p w:rsidR="00000000" w:rsidRDefault="00000000">
            <w:pPr>
              <w:pStyle w:val="BodyText"/>
              <w:ind w:right="567"/>
              <w:jc w:val="right"/>
              <w:rPr>
                <w:sz w:val="22"/>
              </w:rPr>
            </w:pPr>
            <w:r>
              <w:rPr>
                <w:sz w:val="22"/>
              </w:rPr>
              <w:t>0</w:t>
            </w:r>
          </w:p>
        </w:tc>
        <w:tc>
          <w:tcPr>
            <w:tcW w:w="1960" w:type="dxa"/>
          </w:tcPr>
          <w:p w:rsidR="00000000" w:rsidRDefault="00000000">
            <w:pPr>
              <w:pStyle w:val="BodyText"/>
              <w:ind w:right="567"/>
              <w:jc w:val="right"/>
              <w:rPr>
                <w:sz w:val="22"/>
              </w:rPr>
            </w:pPr>
            <w:r>
              <w:rPr>
                <w:sz w:val="22"/>
              </w:rPr>
              <w:t>28</w:t>
            </w:r>
          </w:p>
        </w:tc>
        <w:tc>
          <w:tcPr>
            <w:tcW w:w="1960" w:type="dxa"/>
          </w:tcPr>
          <w:p w:rsidR="00000000" w:rsidRDefault="00000000">
            <w:pPr>
              <w:pStyle w:val="BodyText"/>
              <w:ind w:right="567"/>
              <w:jc w:val="right"/>
              <w:rPr>
                <w:sz w:val="22"/>
              </w:rPr>
            </w:pPr>
            <w:r>
              <w:rPr>
                <w:sz w:val="22"/>
              </w:rPr>
              <w:t>1</w:t>
            </w:r>
          </w:p>
        </w:tc>
      </w:tr>
      <w:tr w:rsidR="00000000">
        <w:tblPrEx>
          <w:tblCellMar>
            <w:top w:w="0" w:type="dxa"/>
            <w:bottom w:w="0" w:type="dxa"/>
          </w:tblCellMar>
        </w:tblPrEx>
        <w:tc>
          <w:tcPr>
            <w:tcW w:w="1980" w:type="dxa"/>
          </w:tcPr>
          <w:p w:rsidR="00000000" w:rsidRDefault="00000000">
            <w:pPr>
              <w:pStyle w:val="BodyText"/>
              <w:rPr>
                <w:sz w:val="22"/>
              </w:rPr>
            </w:pPr>
            <w:r>
              <w:rPr>
                <w:sz w:val="22"/>
              </w:rPr>
              <w:t>ISG</w:t>
            </w:r>
          </w:p>
        </w:tc>
        <w:tc>
          <w:tcPr>
            <w:tcW w:w="1959" w:type="dxa"/>
          </w:tcPr>
          <w:p w:rsidR="00000000" w:rsidRDefault="00000000">
            <w:pPr>
              <w:pStyle w:val="BodyText"/>
              <w:ind w:right="567"/>
              <w:jc w:val="right"/>
              <w:rPr>
                <w:sz w:val="22"/>
              </w:rPr>
            </w:pPr>
            <w:r>
              <w:rPr>
                <w:sz w:val="22"/>
              </w:rPr>
              <w:t>17</w:t>
            </w:r>
          </w:p>
        </w:tc>
        <w:tc>
          <w:tcPr>
            <w:tcW w:w="1960" w:type="dxa"/>
          </w:tcPr>
          <w:p w:rsidR="00000000" w:rsidRDefault="00000000">
            <w:pPr>
              <w:pStyle w:val="BodyText"/>
              <w:ind w:right="567"/>
              <w:jc w:val="right"/>
              <w:rPr>
                <w:sz w:val="22"/>
              </w:rPr>
            </w:pPr>
            <w:r>
              <w:rPr>
                <w:sz w:val="22"/>
              </w:rPr>
              <w:t>4</w:t>
            </w:r>
          </w:p>
        </w:tc>
        <w:tc>
          <w:tcPr>
            <w:tcW w:w="1960" w:type="dxa"/>
          </w:tcPr>
          <w:p w:rsidR="00000000" w:rsidRDefault="00000000">
            <w:pPr>
              <w:pStyle w:val="BodyText"/>
              <w:ind w:right="567"/>
              <w:jc w:val="right"/>
              <w:rPr>
                <w:sz w:val="22"/>
              </w:rPr>
            </w:pPr>
            <w:r>
              <w:rPr>
                <w:sz w:val="22"/>
              </w:rPr>
              <w:t>18</w:t>
            </w:r>
          </w:p>
        </w:tc>
        <w:tc>
          <w:tcPr>
            <w:tcW w:w="1960" w:type="dxa"/>
          </w:tcPr>
          <w:p w:rsidR="00000000" w:rsidRDefault="00000000">
            <w:pPr>
              <w:pStyle w:val="BodyText"/>
              <w:ind w:right="567"/>
              <w:jc w:val="right"/>
              <w:rPr>
                <w:sz w:val="22"/>
              </w:rPr>
            </w:pPr>
            <w:r>
              <w:rPr>
                <w:sz w:val="22"/>
              </w:rPr>
              <w:t>3</w:t>
            </w:r>
          </w:p>
        </w:tc>
      </w:tr>
      <w:tr w:rsidR="00000000">
        <w:tblPrEx>
          <w:tblCellMar>
            <w:top w:w="0" w:type="dxa"/>
            <w:bottom w:w="0" w:type="dxa"/>
          </w:tblCellMar>
        </w:tblPrEx>
        <w:tc>
          <w:tcPr>
            <w:tcW w:w="1980" w:type="dxa"/>
          </w:tcPr>
          <w:p w:rsidR="00000000" w:rsidRDefault="00000000">
            <w:pPr>
              <w:pStyle w:val="BodyText"/>
              <w:rPr>
                <w:sz w:val="22"/>
              </w:rPr>
            </w:pPr>
            <w:r>
              <w:rPr>
                <w:sz w:val="22"/>
              </w:rPr>
              <w:t>Totaux</w:t>
            </w:r>
          </w:p>
        </w:tc>
        <w:tc>
          <w:tcPr>
            <w:tcW w:w="1959" w:type="dxa"/>
          </w:tcPr>
          <w:p w:rsidR="00000000" w:rsidRDefault="00000000">
            <w:pPr>
              <w:pStyle w:val="BodyText"/>
              <w:ind w:right="567"/>
              <w:jc w:val="right"/>
              <w:rPr>
                <w:sz w:val="22"/>
              </w:rPr>
            </w:pPr>
            <w:r>
              <w:rPr>
                <w:sz w:val="22"/>
              </w:rPr>
              <w:t>510</w:t>
            </w:r>
          </w:p>
        </w:tc>
        <w:tc>
          <w:tcPr>
            <w:tcW w:w="1960" w:type="dxa"/>
          </w:tcPr>
          <w:p w:rsidR="00000000" w:rsidRDefault="00000000">
            <w:pPr>
              <w:pStyle w:val="BodyText"/>
              <w:ind w:right="567"/>
              <w:jc w:val="right"/>
              <w:rPr>
                <w:sz w:val="22"/>
              </w:rPr>
            </w:pPr>
            <w:r>
              <w:rPr>
                <w:sz w:val="22"/>
              </w:rPr>
              <w:t>44</w:t>
            </w:r>
          </w:p>
        </w:tc>
        <w:tc>
          <w:tcPr>
            <w:tcW w:w="1960" w:type="dxa"/>
          </w:tcPr>
          <w:p w:rsidR="00000000" w:rsidRDefault="00000000">
            <w:pPr>
              <w:pStyle w:val="BodyText"/>
              <w:ind w:right="567"/>
              <w:jc w:val="right"/>
              <w:rPr>
                <w:sz w:val="22"/>
              </w:rPr>
            </w:pPr>
            <w:r>
              <w:rPr>
                <w:sz w:val="22"/>
              </w:rPr>
              <w:t>493</w:t>
            </w:r>
          </w:p>
        </w:tc>
        <w:tc>
          <w:tcPr>
            <w:tcW w:w="1960" w:type="dxa"/>
          </w:tcPr>
          <w:p w:rsidR="00000000" w:rsidRDefault="00000000">
            <w:pPr>
              <w:pStyle w:val="BodyText"/>
              <w:ind w:right="567"/>
              <w:jc w:val="right"/>
              <w:rPr>
                <w:sz w:val="22"/>
              </w:rPr>
            </w:pPr>
            <w:r>
              <w:rPr>
                <w:sz w:val="22"/>
              </w:rPr>
              <w:t>61</w:t>
            </w:r>
          </w:p>
        </w:tc>
      </w:tr>
    </w:tbl>
    <w:p w:rsidR="00000000" w:rsidRDefault="00000000">
      <w:pPr>
        <w:pStyle w:val="BodyText"/>
        <w:spacing w:line="120" w:lineRule="exact"/>
        <w:rPr>
          <w:sz w:val="10"/>
          <w:u w:val="single"/>
        </w:rPr>
      </w:pPr>
    </w:p>
    <w:p w:rsidR="00000000" w:rsidRDefault="00000000">
      <w:pPr>
        <w:pStyle w:val="BodyText"/>
        <w:rPr>
          <w:sz w:val="22"/>
        </w:rPr>
      </w:pPr>
      <w:r>
        <w:rPr>
          <w:sz w:val="22"/>
        </w:rPr>
        <w:t>* Au 31 mars 2000</w:t>
      </w:r>
    </w:p>
    <w:p w:rsidR="00000000" w:rsidRDefault="00000000">
      <w:pPr>
        <w:pStyle w:val="BodyText"/>
        <w:spacing w:line="120" w:lineRule="exact"/>
        <w:rPr>
          <w:sz w:val="10"/>
        </w:rPr>
      </w:pPr>
    </w:p>
    <w:p w:rsidR="00000000" w:rsidRDefault="00000000">
      <w:pPr>
        <w:pStyle w:val="BodyText"/>
        <w:ind w:left="851" w:hanging="851"/>
        <w:rPr>
          <w:i/>
          <w:sz w:val="22"/>
        </w:rPr>
      </w:pPr>
      <w:r>
        <w:rPr>
          <w:i/>
          <w:sz w:val="22"/>
          <w:u w:val="single"/>
        </w:rPr>
        <w:t>Source</w:t>
      </w:r>
      <w:r>
        <w:rPr>
          <w:i/>
          <w:sz w:val="22"/>
        </w:rPr>
        <w:t xml:space="preserve"> : Secrétariat Général, Direction du personnel et des affaires administratives, service du personnel enseignant.</w:t>
      </w:r>
    </w:p>
    <w:p w:rsidR="00000000" w:rsidRDefault="00000000">
      <w:pPr>
        <w:pStyle w:val="BodyText"/>
        <w:spacing w:line="120" w:lineRule="exact"/>
        <w:rPr>
          <w:b/>
          <w:sz w:val="10"/>
        </w:rPr>
      </w:pPr>
    </w:p>
    <w:p w:rsidR="00000000" w:rsidRDefault="00000000">
      <w:pPr>
        <w:pStyle w:val="BodyText"/>
        <w:ind w:left="567" w:hanging="567"/>
        <w:rPr>
          <w:i/>
          <w:sz w:val="22"/>
        </w:rPr>
      </w:pPr>
      <w:r>
        <w:rPr>
          <w:i/>
          <w:sz w:val="22"/>
          <w:u w:val="single"/>
        </w:rPr>
        <w:t>Note</w:t>
      </w:r>
      <w:r>
        <w:rPr>
          <w:i/>
          <w:sz w:val="22"/>
        </w:rPr>
        <w:t> : Ce tableau est assez explicite. L’Ecole Nationale d’Administration et de Magistrature et l’Institut de l’Education physique et sportive sont les véritables parents pauvres de l’Université Marien NGOUABI.</w:t>
      </w:r>
    </w:p>
    <w:p w:rsidR="00000000" w:rsidRDefault="00000000">
      <w:pPr>
        <w:rPr>
          <w:sz w:val="22"/>
        </w:rPr>
      </w:pPr>
    </w:p>
    <w:p w:rsidR="00000000" w:rsidRDefault="00000000">
      <w:pPr>
        <w:pStyle w:val="BodyText2"/>
        <w:ind w:left="-18"/>
        <w:jc w:val="both"/>
      </w:pPr>
      <w:r>
        <w:t xml:space="preserve">SECTION IV- </w:t>
      </w:r>
      <w:r>
        <w:rPr>
          <w:u w:val="single"/>
        </w:rPr>
        <w:t>L’égalité en matière d’octroi des bourses et autres subventions pour les études</w:t>
      </w:r>
    </w:p>
    <w:p w:rsidR="00000000" w:rsidRDefault="00000000">
      <w:pPr>
        <w:rPr>
          <w:sz w:val="22"/>
        </w:rPr>
      </w:pPr>
    </w:p>
    <w:p w:rsidR="00000000" w:rsidRDefault="00000000">
      <w:pPr>
        <w:pStyle w:val="BodyText3"/>
        <w:rPr>
          <w:sz w:val="22"/>
        </w:rPr>
      </w:pPr>
      <w:r>
        <w:rPr>
          <w:sz w:val="22"/>
        </w:rPr>
        <w:t>En règle générale, tous les étudiants de nationalité congolaise de l’Université Marien NGOUABI peuvent être des boursiers de l’État Congolais. Depuis quelques années, une modification est apparue dans les conditions d’attribution des bourses. C’est ainsi que pour prétendre être boursier Congolais, il faut :</w:t>
      </w:r>
    </w:p>
    <w:p w:rsidR="00000000" w:rsidRDefault="00000000">
      <w:pPr>
        <w:numPr>
          <w:ilvl w:val="0"/>
          <w:numId w:val="208"/>
        </w:numPr>
        <w:rPr>
          <w:sz w:val="22"/>
        </w:rPr>
      </w:pPr>
      <w:r>
        <w:rPr>
          <w:sz w:val="22"/>
        </w:rPr>
        <w:t>être âgé de moins de 22 ans ;</w:t>
      </w:r>
    </w:p>
    <w:p w:rsidR="00000000" w:rsidRDefault="00000000">
      <w:pPr>
        <w:numPr>
          <w:ilvl w:val="0"/>
          <w:numId w:val="208"/>
        </w:numPr>
        <w:jc w:val="both"/>
        <w:rPr>
          <w:sz w:val="22"/>
        </w:rPr>
      </w:pPr>
      <w:r>
        <w:rPr>
          <w:sz w:val="22"/>
        </w:rPr>
        <w:t>passer avec succès les examens de première année d’université (la bourse est alors accordée en deuxième année) ;</w:t>
      </w:r>
    </w:p>
    <w:p w:rsidR="00000000" w:rsidRDefault="00000000">
      <w:pPr>
        <w:numPr>
          <w:ilvl w:val="0"/>
          <w:numId w:val="208"/>
        </w:numPr>
        <w:jc w:val="both"/>
        <w:rPr>
          <w:sz w:val="22"/>
        </w:rPr>
      </w:pPr>
      <w:r>
        <w:rPr>
          <w:sz w:val="22"/>
        </w:rPr>
        <w:t>s’admettre au concours d’entrée dans les établissements de formation : Ecole Normale Supérieure (ENS), Institut Supérieur d’Education physique et sportive (ISEPS), faculté des sciences de la santé, Ecole Normale Supérieure Polytechnique, institut de développement rural (IDR) ;</w:t>
      </w:r>
    </w:p>
    <w:p w:rsidR="00000000" w:rsidRDefault="00000000">
      <w:pPr>
        <w:numPr>
          <w:ilvl w:val="0"/>
          <w:numId w:val="208"/>
        </w:numPr>
        <w:jc w:val="both"/>
        <w:rPr>
          <w:sz w:val="22"/>
        </w:rPr>
      </w:pPr>
      <w:r>
        <w:rPr>
          <w:sz w:val="22"/>
        </w:rPr>
        <w:t>être inscrit dans une école à l’étranger en deuxième année d’université.</w:t>
      </w:r>
    </w:p>
    <w:p w:rsidR="00000000" w:rsidRDefault="00000000">
      <w:pPr>
        <w:jc w:val="both"/>
        <w:rPr>
          <w:sz w:val="22"/>
        </w:rPr>
      </w:pPr>
    </w:p>
    <w:p w:rsidR="00000000" w:rsidRDefault="00000000">
      <w:pPr>
        <w:jc w:val="both"/>
        <w:rPr>
          <w:sz w:val="22"/>
        </w:rPr>
      </w:pPr>
      <w:r>
        <w:rPr>
          <w:sz w:val="22"/>
        </w:rPr>
        <w:t>L’examen des dossiers se fait de manière anonyme (donc impartiale) et les bourses sont attribuées en fonction des demandes des étudiants.</w:t>
      </w:r>
    </w:p>
    <w:p w:rsidR="00000000" w:rsidRDefault="00000000">
      <w:pPr>
        <w:jc w:val="both"/>
        <w:rPr>
          <w:sz w:val="22"/>
        </w:rPr>
      </w:pPr>
    </w:p>
    <w:p w:rsidR="00000000" w:rsidRDefault="00000000">
      <w:pPr>
        <w:jc w:val="both"/>
        <w:rPr>
          <w:sz w:val="22"/>
        </w:rPr>
      </w:pPr>
      <w:r>
        <w:rPr>
          <w:sz w:val="22"/>
        </w:rPr>
        <w:t>Toutefois, pour des besoins d’équilibre entre les filières, le Gouvernement peut orienter d’autorité les étudiants. On constate ces dernières années, une nette prédilection des jeunes filles pour les matières littéraires, les sciences et les techniques de communication.</w:t>
      </w:r>
    </w:p>
    <w:p w:rsidR="00000000" w:rsidRDefault="00000000">
      <w:pPr>
        <w:jc w:val="both"/>
        <w:rPr>
          <w:sz w:val="22"/>
        </w:rPr>
      </w:pPr>
    </w:p>
    <w:p w:rsidR="00000000" w:rsidRDefault="00000000">
      <w:pPr>
        <w:tabs>
          <w:tab w:val="left" w:pos="1683"/>
        </w:tabs>
        <w:ind w:left="1683" w:hanging="1683"/>
        <w:rPr>
          <w:b/>
          <w:sz w:val="22"/>
        </w:rPr>
      </w:pPr>
      <w:r>
        <w:rPr>
          <w:b/>
          <w:sz w:val="22"/>
          <w:u w:val="single"/>
        </w:rPr>
        <w:br w:type="page"/>
        <w:t>Tableau n° 54</w:t>
      </w:r>
      <w:r>
        <w:rPr>
          <w:b/>
          <w:sz w:val="22"/>
        </w:rPr>
        <w:t> :</w:t>
      </w:r>
      <w:r>
        <w:rPr>
          <w:b/>
          <w:sz w:val="22"/>
        </w:rPr>
        <w:tab/>
        <w:t>Représentativité des filles à l’Institut des sciences et techniques de la communication</w:t>
      </w:r>
    </w:p>
    <w:p w:rsidR="00000000" w:rsidRDefault="00000000">
      <w:pPr>
        <w:jc w:val="both"/>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0"/>
        <w:gridCol w:w="1955"/>
        <w:gridCol w:w="1955"/>
        <w:gridCol w:w="1955"/>
        <w:gridCol w:w="1956"/>
      </w:tblGrid>
      <w:tr w:rsidR="00000000">
        <w:tblPrEx>
          <w:tblCellMar>
            <w:top w:w="0" w:type="dxa"/>
            <w:bottom w:w="0" w:type="dxa"/>
          </w:tblCellMar>
        </w:tblPrEx>
        <w:tc>
          <w:tcPr>
            <w:tcW w:w="1980" w:type="dxa"/>
          </w:tcPr>
          <w:p w:rsidR="00000000" w:rsidRDefault="00000000">
            <w:pPr>
              <w:pStyle w:val="BodyText"/>
              <w:jc w:val="center"/>
              <w:rPr>
                <w:sz w:val="22"/>
              </w:rPr>
            </w:pPr>
            <w:r>
              <w:rPr>
                <w:sz w:val="22"/>
              </w:rPr>
              <w:t>Année</w:t>
            </w:r>
          </w:p>
        </w:tc>
        <w:tc>
          <w:tcPr>
            <w:tcW w:w="1955" w:type="dxa"/>
          </w:tcPr>
          <w:p w:rsidR="00000000" w:rsidRDefault="00000000">
            <w:pPr>
              <w:pStyle w:val="BodyText"/>
              <w:jc w:val="center"/>
              <w:rPr>
                <w:sz w:val="22"/>
              </w:rPr>
            </w:pPr>
            <w:r>
              <w:rPr>
                <w:sz w:val="22"/>
              </w:rPr>
              <w:t>Total</w:t>
            </w:r>
          </w:p>
        </w:tc>
        <w:tc>
          <w:tcPr>
            <w:tcW w:w="1955" w:type="dxa"/>
          </w:tcPr>
          <w:p w:rsidR="00000000" w:rsidRDefault="00000000">
            <w:pPr>
              <w:pStyle w:val="BodyText"/>
              <w:jc w:val="center"/>
              <w:rPr>
                <w:sz w:val="22"/>
              </w:rPr>
            </w:pPr>
            <w:r>
              <w:rPr>
                <w:sz w:val="22"/>
              </w:rPr>
              <w:t>Hommes</w:t>
            </w:r>
          </w:p>
        </w:tc>
        <w:tc>
          <w:tcPr>
            <w:tcW w:w="1955" w:type="dxa"/>
          </w:tcPr>
          <w:p w:rsidR="00000000" w:rsidRDefault="00000000">
            <w:pPr>
              <w:pStyle w:val="BodyText"/>
              <w:jc w:val="center"/>
              <w:rPr>
                <w:sz w:val="22"/>
              </w:rPr>
            </w:pPr>
            <w:r>
              <w:rPr>
                <w:sz w:val="22"/>
              </w:rPr>
              <w:t>Femmes</w:t>
            </w:r>
          </w:p>
        </w:tc>
        <w:tc>
          <w:tcPr>
            <w:tcW w:w="1956" w:type="dxa"/>
          </w:tcPr>
          <w:p w:rsidR="00000000" w:rsidRDefault="00000000">
            <w:pPr>
              <w:pStyle w:val="BodyText"/>
              <w:jc w:val="center"/>
              <w:rPr>
                <w:sz w:val="22"/>
              </w:rPr>
            </w:pPr>
            <w:r>
              <w:rPr>
                <w:sz w:val="22"/>
              </w:rPr>
              <w:t>Pourcentage femmes</w:t>
            </w:r>
          </w:p>
        </w:tc>
      </w:tr>
      <w:tr w:rsidR="00000000">
        <w:tblPrEx>
          <w:tblCellMar>
            <w:top w:w="0" w:type="dxa"/>
            <w:bottom w:w="0" w:type="dxa"/>
          </w:tblCellMar>
        </w:tblPrEx>
        <w:tc>
          <w:tcPr>
            <w:tcW w:w="1980" w:type="dxa"/>
          </w:tcPr>
          <w:p w:rsidR="00000000" w:rsidRDefault="00000000">
            <w:pPr>
              <w:pStyle w:val="BodyText"/>
              <w:rPr>
                <w:sz w:val="22"/>
              </w:rPr>
            </w:pPr>
            <w:r>
              <w:rPr>
                <w:sz w:val="22"/>
              </w:rPr>
              <w:t>1</w:t>
            </w:r>
            <w:r>
              <w:rPr>
                <w:sz w:val="22"/>
                <w:vertAlign w:val="superscript"/>
              </w:rPr>
              <w:t>ère</w:t>
            </w:r>
            <w:r>
              <w:rPr>
                <w:sz w:val="22"/>
              </w:rPr>
              <w:t xml:space="preserve"> année</w:t>
            </w:r>
          </w:p>
        </w:tc>
        <w:tc>
          <w:tcPr>
            <w:tcW w:w="1955" w:type="dxa"/>
          </w:tcPr>
          <w:p w:rsidR="00000000" w:rsidRDefault="00000000">
            <w:pPr>
              <w:pStyle w:val="BodyText"/>
              <w:ind w:right="567"/>
              <w:jc w:val="right"/>
              <w:rPr>
                <w:sz w:val="22"/>
              </w:rPr>
            </w:pPr>
            <w:r>
              <w:rPr>
                <w:sz w:val="22"/>
              </w:rPr>
              <w:t>355</w:t>
            </w:r>
          </w:p>
        </w:tc>
        <w:tc>
          <w:tcPr>
            <w:tcW w:w="1955" w:type="dxa"/>
          </w:tcPr>
          <w:p w:rsidR="00000000" w:rsidRDefault="00000000">
            <w:pPr>
              <w:pStyle w:val="BodyText"/>
              <w:ind w:right="567"/>
              <w:jc w:val="right"/>
              <w:rPr>
                <w:sz w:val="22"/>
              </w:rPr>
            </w:pPr>
            <w:r>
              <w:rPr>
                <w:sz w:val="22"/>
              </w:rPr>
              <w:t>155</w:t>
            </w:r>
          </w:p>
        </w:tc>
        <w:tc>
          <w:tcPr>
            <w:tcW w:w="1955" w:type="dxa"/>
          </w:tcPr>
          <w:p w:rsidR="00000000" w:rsidRDefault="00000000">
            <w:pPr>
              <w:pStyle w:val="BodyText"/>
              <w:ind w:right="567"/>
              <w:jc w:val="right"/>
              <w:rPr>
                <w:sz w:val="22"/>
              </w:rPr>
            </w:pPr>
            <w:r>
              <w:rPr>
                <w:sz w:val="22"/>
              </w:rPr>
              <w:t>178</w:t>
            </w:r>
          </w:p>
        </w:tc>
        <w:tc>
          <w:tcPr>
            <w:tcW w:w="1956" w:type="dxa"/>
          </w:tcPr>
          <w:p w:rsidR="00000000" w:rsidRDefault="00000000">
            <w:pPr>
              <w:pStyle w:val="BodyText"/>
              <w:ind w:right="567"/>
              <w:jc w:val="right"/>
              <w:rPr>
                <w:sz w:val="22"/>
              </w:rPr>
            </w:pPr>
            <w:r>
              <w:rPr>
                <w:sz w:val="22"/>
              </w:rPr>
              <w:t>50,14 %</w:t>
            </w:r>
          </w:p>
        </w:tc>
      </w:tr>
      <w:tr w:rsidR="00000000">
        <w:tblPrEx>
          <w:tblCellMar>
            <w:top w:w="0" w:type="dxa"/>
            <w:bottom w:w="0" w:type="dxa"/>
          </w:tblCellMar>
        </w:tblPrEx>
        <w:tc>
          <w:tcPr>
            <w:tcW w:w="1980" w:type="dxa"/>
          </w:tcPr>
          <w:p w:rsidR="00000000" w:rsidRDefault="00000000">
            <w:pPr>
              <w:pStyle w:val="BodyText"/>
              <w:rPr>
                <w:sz w:val="22"/>
              </w:rPr>
            </w:pPr>
            <w:r>
              <w:rPr>
                <w:sz w:val="22"/>
              </w:rPr>
              <w:t>2</w:t>
            </w:r>
            <w:r>
              <w:rPr>
                <w:sz w:val="22"/>
                <w:vertAlign w:val="superscript"/>
              </w:rPr>
              <w:t>ème</w:t>
            </w:r>
            <w:r>
              <w:rPr>
                <w:sz w:val="22"/>
              </w:rPr>
              <w:t xml:space="preserve"> année</w:t>
            </w:r>
          </w:p>
        </w:tc>
        <w:tc>
          <w:tcPr>
            <w:tcW w:w="1955" w:type="dxa"/>
          </w:tcPr>
          <w:p w:rsidR="00000000" w:rsidRDefault="00000000">
            <w:pPr>
              <w:pStyle w:val="BodyText"/>
              <w:ind w:right="567"/>
              <w:jc w:val="right"/>
              <w:rPr>
                <w:sz w:val="22"/>
              </w:rPr>
            </w:pPr>
            <w:r>
              <w:rPr>
                <w:sz w:val="22"/>
              </w:rPr>
              <w:t>210</w:t>
            </w:r>
          </w:p>
        </w:tc>
        <w:tc>
          <w:tcPr>
            <w:tcW w:w="1955" w:type="dxa"/>
          </w:tcPr>
          <w:p w:rsidR="00000000" w:rsidRDefault="00000000">
            <w:pPr>
              <w:pStyle w:val="BodyText"/>
              <w:ind w:right="567"/>
              <w:jc w:val="right"/>
              <w:rPr>
                <w:sz w:val="22"/>
              </w:rPr>
            </w:pPr>
            <w:r>
              <w:rPr>
                <w:sz w:val="22"/>
              </w:rPr>
              <w:t>122</w:t>
            </w:r>
          </w:p>
        </w:tc>
        <w:tc>
          <w:tcPr>
            <w:tcW w:w="1955" w:type="dxa"/>
          </w:tcPr>
          <w:p w:rsidR="00000000" w:rsidRDefault="00000000">
            <w:pPr>
              <w:pStyle w:val="BodyText"/>
              <w:ind w:right="567"/>
              <w:jc w:val="right"/>
              <w:rPr>
                <w:sz w:val="22"/>
              </w:rPr>
            </w:pPr>
            <w:r>
              <w:rPr>
                <w:sz w:val="22"/>
              </w:rPr>
              <w:t>88</w:t>
            </w:r>
          </w:p>
        </w:tc>
        <w:tc>
          <w:tcPr>
            <w:tcW w:w="1956" w:type="dxa"/>
          </w:tcPr>
          <w:p w:rsidR="00000000" w:rsidRDefault="00000000">
            <w:pPr>
              <w:pStyle w:val="BodyText"/>
              <w:ind w:right="567"/>
              <w:jc w:val="right"/>
              <w:rPr>
                <w:sz w:val="22"/>
              </w:rPr>
            </w:pPr>
            <w:r>
              <w:rPr>
                <w:sz w:val="22"/>
              </w:rPr>
              <w:t>41,90 %</w:t>
            </w:r>
          </w:p>
        </w:tc>
      </w:tr>
      <w:tr w:rsidR="00000000">
        <w:tblPrEx>
          <w:tblCellMar>
            <w:top w:w="0" w:type="dxa"/>
            <w:bottom w:w="0" w:type="dxa"/>
          </w:tblCellMar>
        </w:tblPrEx>
        <w:tc>
          <w:tcPr>
            <w:tcW w:w="1980" w:type="dxa"/>
          </w:tcPr>
          <w:p w:rsidR="00000000" w:rsidRDefault="00000000">
            <w:pPr>
              <w:pStyle w:val="BodyText"/>
              <w:rPr>
                <w:sz w:val="22"/>
              </w:rPr>
            </w:pPr>
            <w:r>
              <w:rPr>
                <w:sz w:val="22"/>
              </w:rPr>
              <w:t>Licence</w:t>
            </w:r>
          </w:p>
        </w:tc>
        <w:tc>
          <w:tcPr>
            <w:tcW w:w="1955" w:type="dxa"/>
          </w:tcPr>
          <w:p w:rsidR="00000000" w:rsidRDefault="00000000">
            <w:pPr>
              <w:pStyle w:val="BodyText"/>
              <w:ind w:right="567"/>
              <w:jc w:val="right"/>
              <w:rPr>
                <w:sz w:val="22"/>
              </w:rPr>
            </w:pPr>
            <w:r>
              <w:rPr>
                <w:sz w:val="22"/>
              </w:rPr>
              <w:t>426</w:t>
            </w:r>
          </w:p>
        </w:tc>
        <w:tc>
          <w:tcPr>
            <w:tcW w:w="1955" w:type="dxa"/>
          </w:tcPr>
          <w:p w:rsidR="00000000" w:rsidRDefault="00000000">
            <w:pPr>
              <w:pStyle w:val="BodyText"/>
              <w:ind w:right="567"/>
              <w:jc w:val="right"/>
              <w:rPr>
                <w:sz w:val="22"/>
              </w:rPr>
            </w:pPr>
            <w:r>
              <w:rPr>
                <w:sz w:val="22"/>
              </w:rPr>
              <w:t>220</w:t>
            </w:r>
          </w:p>
        </w:tc>
        <w:tc>
          <w:tcPr>
            <w:tcW w:w="1955" w:type="dxa"/>
          </w:tcPr>
          <w:p w:rsidR="00000000" w:rsidRDefault="00000000">
            <w:pPr>
              <w:pStyle w:val="BodyText"/>
              <w:ind w:right="567"/>
              <w:jc w:val="right"/>
              <w:rPr>
                <w:sz w:val="22"/>
              </w:rPr>
            </w:pPr>
            <w:r>
              <w:rPr>
                <w:sz w:val="22"/>
              </w:rPr>
              <w:t>206</w:t>
            </w:r>
          </w:p>
        </w:tc>
        <w:tc>
          <w:tcPr>
            <w:tcW w:w="1956" w:type="dxa"/>
          </w:tcPr>
          <w:p w:rsidR="00000000" w:rsidRDefault="00000000">
            <w:pPr>
              <w:pStyle w:val="BodyText"/>
              <w:ind w:right="567"/>
              <w:jc w:val="right"/>
              <w:rPr>
                <w:sz w:val="22"/>
              </w:rPr>
            </w:pPr>
            <w:r>
              <w:rPr>
                <w:sz w:val="22"/>
              </w:rPr>
              <w:t>48,35 %</w:t>
            </w:r>
          </w:p>
        </w:tc>
      </w:tr>
      <w:tr w:rsidR="00000000">
        <w:tblPrEx>
          <w:tblCellMar>
            <w:top w:w="0" w:type="dxa"/>
            <w:bottom w:w="0" w:type="dxa"/>
          </w:tblCellMar>
        </w:tblPrEx>
        <w:tc>
          <w:tcPr>
            <w:tcW w:w="1980" w:type="dxa"/>
          </w:tcPr>
          <w:p w:rsidR="00000000" w:rsidRDefault="00000000">
            <w:pPr>
              <w:pStyle w:val="BodyText"/>
              <w:rPr>
                <w:sz w:val="22"/>
              </w:rPr>
            </w:pPr>
            <w:r>
              <w:rPr>
                <w:sz w:val="22"/>
              </w:rPr>
              <w:t>Maîtrise</w:t>
            </w:r>
          </w:p>
        </w:tc>
        <w:tc>
          <w:tcPr>
            <w:tcW w:w="1955" w:type="dxa"/>
          </w:tcPr>
          <w:p w:rsidR="00000000" w:rsidRDefault="00000000">
            <w:pPr>
              <w:pStyle w:val="BodyText"/>
              <w:ind w:right="567"/>
              <w:jc w:val="right"/>
              <w:rPr>
                <w:sz w:val="22"/>
              </w:rPr>
            </w:pPr>
            <w:r>
              <w:rPr>
                <w:sz w:val="22"/>
              </w:rPr>
              <w:t>92</w:t>
            </w:r>
          </w:p>
        </w:tc>
        <w:tc>
          <w:tcPr>
            <w:tcW w:w="1955" w:type="dxa"/>
          </w:tcPr>
          <w:p w:rsidR="00000000" w:rsidRDefault="00000000">
            <w:pPr>
              <w:pStyle w:val="BodyText"/>
              <w:ind w:right="567"/>
              <w:jc w:val="right"/>
              <w:rPr>
                <w:sz w:val="22"/>
              </w:rPr>
            </w:pPr>
            <w:r>
              <w:rPr>
                <w:sz w:val="22"/>
              </w:rPr>
              <w:t>51</w:t>
            </w:r>
          </w:p>
        </w:tc>
        <w:tc>
          <w:tcPr>
            <w:tcW w:w="1955" w:type="dxa"/>
          </w:tcPr>
          <w:p w:rsidR="00000000" w:rsidRDefault="00000000">
            <w:pPr>
              <w:pStyle w:val="BodyText"/>
              <w:ind w:right="567"/>
              <w:jc w:val="right"/>
              <w:rPr>
                <w:sz w:val="22"/>
              </w:rPr>
            </w:pPr>
            <w:r>
              <w:rPr>
                <w:sz w:val="22"/>
              </w:rPr>
              <w:t>41</w:t>
            </w:r>
          </w:p>
        </w:tc>
        <w:tc>
          <w:tcPr>
            <w:tcW w:w="1956" w:type="dxa"/>
          </w:tcPr>
          <w:p w:rsidR="00000000" w:rsidRDefault="00000000">
            <w:pPr>
              <w:pStyle w:val="BodyText"/>
              <w:ind w:right="567"/>
              <w:jc w:val="right"/>
              <w:rPr>
                <w:sz w:val="22"/>
              </w:rPr>
            </w:pPr>
            <w:r>
              <w:rPr>
                <w:sz w:val="22"/>
              </w:rPr>
              <w:t>44,56 %</w:t>
            </w:r>
          </w:p>
        </w:tc>
      </w:tr>
    </w:tbl>
    <w:p w:rsidR="00000000" w:rsidRDefault="00000000">
      <w:pPr>
        <w:spacing w:line="120" w:lineRule="exact"/>
        <w:jc w:val="both"/>
        <w:rPr>
          <w:sz w:val="10"/>
        </w:rPr>
      </w:pPr>
    </w:p>
    <w:p w:rsidR="00000000" w:rsidRDefault="00000000">
      <w:pPr>
        <w:rPr>
          <w:i/>
          <w:sz w:val="22"/>
        </w:rPr>
      </w:pPr>
      <w:r>
        <w:rPr>
          <w:i/>
          <w:sz w:val="22"/>
          <w:u w:val="single"/>
        </w:rPr>
        <w:t>Source</w:t>
      </w:r>
      <w:r>
        <w:rPr>
          <w:i/>
          <w:sz w:val="22"/>
        </w:rPr>
        <w:t xml:space="preserve"> : Service de la Planification Universitaire pour l’année 1998-1999.</w:t>
      </w:r>
    </w:p>
    <w:p w:rsidR="00000000" w:rsidRDefault="00000000">
      <w:pPr>
        <w:rPr>
          <w:sz w:val="22"/>
        </w:rPr>
      </w:pPr>
    </w:p>
    <w:p w:rsidR="00000000" w:rsidRDefault="00000000">
      <w:pPr>
        <w:pStyle w:val="BodyText"/>
        <w:rPr>
          <w:b/>
          <w:sz w:val="22"/>
        </w:rPr>
      </w:pPr>
      <w:r>
        <w:rPr>
          <w:b/>
          <w:sz w:val="22"/>
          <w:u w:val="single"/>
        </w:rPr>
        <w:t>Tableau n° 55</w:t>
      </w:r>
      <w:r>
        <w:rPr>
          <w:b/>
          <w:sz w:val="22"/>
        </w:rPr>
        <w:t> : Représentativité des filles à l’Ecole Nationale de l’Administration et de la Magistrature</w:t>
      </w:r>
    </w:p>
    <w:p w:rsidR="00000000" w:rsidRDefault="00000000">
      <w:pPr>
        <w:pStyle w:val="BodyText"/>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0"/>
        <w:gridCol w:w="1564"/>
        <w:gridCol w:w="1564"/>
        <w:gridCol w:w="1564"/>
        <w:gridCol w:w="1564"/>
        <w:gridCol w:w="1565"/>
      </w:tblGrid>
      <w:tr w:rsidR="00000000">
        <w:tblPrEx>
          <w:tblCellMar>
            <w:top w:w="0" w:type="dxa"/>
            <w:bottom w:w="0" w:type="dxa"/>
          </w:tblCellMar>
        </w:tblPrEx>
        <w:tc>
          <w:tcPr>
            <w:tcW w:w="1980" w:type="dxa"/>
          </w:tcPr>
          <w:p w:rsidR="00000000" w:rsidRDefault="00000000">
            <w:pPr>
              <w:pStyle w:val="BodyText"/>
              <w:jc w:val="center"/>
              <w:rPr>
                <w:sz w:val="22"/>
              </w:rPr>
            </w:pPr>
            <w:r>
              <w:rPr>
                <w:sz w:val="22"/>
              </w:rPr>
              <w:t>Année</w:t>
            </w:r>
          </w:p>
        </w:tc>
        <w:tc>
          <w:tcPr>
            <w:tcW w:w="1564" w:type="dxa"/>
          </w:tcPr>
          <w:p w:rsidR="00000000" w:rsidRDefault="00000000">
            <w:pPr>
              <w:pStyle w:val="BodyText"/>
              <w:jc w:val="center"/>
              <w:rPr>
                <w:sz w:val="22"/>
              </w:rPr>
            </w:pPr>
            <w:r>
              <w:rPr>
                <w:sz w:val="22"/>
              </w:rPr>
              <w:t>Total</w:t>
            </w:r>
          </w:p>
        </w:tc>
        <w:tc>
          <w:tcPr>
            <w:tcW w:w="1564" w:type="dxa"/>
          </w:tcPr>
          <w:p w:rsidR="00000000" w:rsidRDefault="00000000">
            <w:pPr>
              <w:pStyle w:val="BodyText"/>
              <w:jc w:val="center"/>
              <w:rPr>
                <w:sz w:val="22"/>
              </w:rPr>
            </w:pPr>
            <w:r>
              <w:rPr>
                <w:sz w:val="22"/>
              </w:rPr>
              <w:t>Hommes</w:t>
            </w:r>
          </w:p>
        </w:tc>
        <w:tc>
          <w:tcPr>
            <w:tcW w:w="1564" w:type="dxa"/>
          </w:tcPr>
          <w:p w:rsidR="00000000" w:rsidRDefault="00000000">
            <w:pPr>
              <w:pStyle w:val="BodyText"/>
              <w:jc w:val="center"/>
              <w:rPr>
                <w:sz w:val="22"/>
              </w:rPr>
            </w:pPr>
            <w:r>
              <w:rPr>
                <w:sz w:val="22"/>
              </w:rPr>
              <w:t>Femmes</w:t>
            </w:r>
          </w:p>
        </w:tc>
        <w:tc>
          <w:tcPr>
            <w:tcW w:w="1564" w:type="dxa"/>
          </w:tcPr>
          <w:p w:rsidR="00000000" w:rsidRDefault="00000000">
            <w:pPr>
              <w:pStyle w:val="BodyText"/>
              <w:jc w:val="center"/>
              <w:rPr>
                <w:sz w:val="22"/>
              </w:rPr>
            </w:pPr>
            <w:r>
              <w:rPr>
                <w:sz w:val="22"/>
              </w:rPr>
              <w:t>% F</w:t>
            </w:r>
          </w:p>
        </w:tc>
        <w:tc>
          <w:tcPr>
            <w:tcW w:w="1565" w:type="dxa"/>
          </w:tcPr>
          <w:p w:rsidR="00000000" w:rsidRDefault="00000000">
            <w:pPr>
              <w:pStyle w:val="BodyText"/>
              <w:jc w:val="center"/>
              <w:rPr>
                <w:sz w:val="22"/>
              </w:rPr>
            </w:pPr>
            <w:r>
              <w:rPr>
                <w:sz w:val="22"/>
              </w:rPr>
              <w:t>% H</w:t>
            </w:r>
          </w:p>
        </w:tc>
      </w:tr>
      <w:tr w:rsidR="00000000">
        <w:tblPrEx>
          <w:tblCellMar>
            <w:top w:w="0" w:type="dxa"/>
            <w:bottom w:w="0" w:type="dxa"/>
          </w:tblCellMar>
        </w:tblPrEx>
        <w:tc>
          <w:tcPr>
            <w:tcW w:w="1980" w:type="dxa"/>
          </w:tcPr>
          <w:p w:rsidR="00000000" w:rsidRDefault="00000000">
            <w:pPr>
              <w:pStyle w:val="BodyText"/>
              <w:rPr>
                <w:sz w:val="22"/>
              </w:rPr>
            </w:pPr>
            <w:r>
              <w:rPr>
                <w:sz w:val="22"/>
              </w:rPr>
              <w:t>1</w:t>
            </w:r>
            <w:r>
              <w:rPr>
                <w:sz w:val="22"/>
                <w:vertAlign w:val="superscript"/>
              </w:rPr>
              <w:t>ère</w:t>
            </w:r>
            <w:r>
              <w:rPr>
                <w:sz w:val="22"/>
              </w:rPr>
              <w:t xml:space="preserve"> année</w:t>
            </w:r>
          </w:p>
        </w:tc>
        <w:tc>
          <w:tcPr>
            <w:tcW w:w="1564" w:type="dxa"/>
          </w:tcPr>
          <w:p w:rsidR="00000000" w:rsidRDefault="00000000">
            <w:pPr>
              <w:pStyle w:val="BodyText"/>
              <w:ind w:right="567"/>
              <w:jc w:val="right"/>
              <w:rPr>
                <w:sz w:val="22"/>
              </w:rPr>
            </w:pPr>
            <w:r>
              <w:rPr>
                <w:sz w:val="22"/>
              </w:rPr>
              <w:t>20</w:t>
            </w:r>
          </w:p>
        </w:tc>
        <w:tc>
          <w:tcPr>
            <w:tcW w:w="1564" w:type="dxa"/>
          </w:tcPr>
          <w:p w:rsidR="00000000" w:rsidRDefault="00000000">
            <w:pPr>
              <w:pStyle w:val="BodyText"/>
              <w:ind w:right="567"/>
              <w:jc w:val="right"/>
              <w:rPr>
                <w:sz w:val="22"/>
              </w:rPr>
            </w:pPr>
            <w:r>
              <w:rPr>
                <w:sz w:val="22"/>
              </w:rPr>
              <w:t>18</w:t>
            </w:r>
          </w:p>
        </w:tc>
        <w:tc>
          <w:tcPr>
            <w:tcW w:w="1564" w:type="dxa"/>
          </w:tcPr>
          <w:p w:rsidR="00000000" w:rsidRDefault="00000000">
            <w:pPr>
              <w:pStyle w:val="BodyText"/>
              <w:ind w:right="567"/>
              <w:jc w:val="right"/>
              <w:rPr>
                <w:sz w:val="22"/>
              </w:rPr>
            </w:pPr>
            <w:r>
              <w:rPr>
                <w:sz w:val="22"/>
              </w:rPr>
              <w:t>2</w:t>
            </w:r>
          </w:p>
        </w:tc>
        <w:tc>
          <w:tcPr>
            <w:tcW w:w="1564" w:type="dxa"/>
          </w:tcPr>
          <w:p w:rsidR="00000000" w:rsidRDefault="00000000">
            <w:pPr>
              <w:pStyle w:val="BodyText"/>
              <w:ind w:right="567"/>
              <w:jc w:val="right"/>
              <w:rPr>
                <w:sz w:val="22"/>
              </w:rPr>
            </w:pPr>
            <w:r>
              <w:rPr>
                <w:sz w:val="22"/>
              </w:rPr>
              <w:t>10</w:t>
            </w:r>
          </w:p>
        </w:tc>
        <w:tc>
          <w:tcPr>
            <w:tcW w:w="1565" w:type="dxa"/>
          </w:tcPr>
          <w:p w:rsidR="00000000" w:rsidRDefault="00000000">
            <w:pPr>
              <w:pStyle w:val="BodyText"/>
              <w:ind w:right="567"/>
              <w:jc w:val="right"/>
              <w:rPr>
                <w:sz w:val="22"/>
              </w:rPr>
            </w:pPr>
            <w:r>
              <w:rPr>
                <w:sz w:val="22"/>
              </w:rPr>
              <w:t>90</w:t>
            </w:r>
          </w:p>
        </w:tc>
      </w:tr>
      <w:tr w:rsidR="00000000">
        <w:tblPrEx>
          <w:tblCellMar>
            <w:top w:w="0" w:type="dxa"/>
            <w:bottom w:w="0" w:type="dxa"/>
          </w:tblCellMar>
        </w:tblPrEx>
        <w:tc>
          <w:tcPr>
            <w:tcW w:w="1980" w:type="dxa"/>
          </w:tcPr>
          <w:p w:rsidR="00000000" w:rsidRDefault="00000000">
            <w:pPr>
              <w:pStyle w:val="BodyText"/>
              <w:rPr>
                <w:sz w:val="22"/>
              </w:rPr>
            </w:pPr>
            <w:r>
              <w:rPr>
                <w:sz w:val="22"/>
              </w:rPr>
              <w:t>2</w:t>
            </w:r>
            <w:r>
              <w:rPr>
                <w:sz w:val="22"/>
                <w:vertAlign w:val="superscript"/>
              </w:rPr>
              <w:t>ème</w:t>
            </w:r>
            <w:r>
              <w:rPr>
                <w:sz w:val="22"/>
              </w:rPr>
              <w:t xml:space="preserve"> année</w:t>
            </w:r>
          </w:p>
        </w:tc>
        <w:tc>
          <w:tcPr>
            <w:tcW w:w="1564" w:type="dxa"/>
          </w:tcPr>
          <w:p w:rsidR="00000000" w:rsidRDefault="00000000">
            <w:pPr>
              <w:pStyle w:val="BodyText"/>
              <w:ind w:right="567"/>
              <w:jc w:val="right"/>
              <w:rPr>
                <w:sz w:val="22"/>
              </w:rPr>
            </w:pPr>
            <w:r>
              <w:rPr>
                <w:sz w:val="22"/>
              </w:rPr>
              <w:t>105</w:t>
            </w:r>
          </w:p>
        </w:tc>
        <w:tc>
          <w:tcPr>
            <w:tcW w:w="1564" w:type="dxa"/>
          </w:tcPr>
          <w:p w:rsidR="00000000" w:rsidRDefault="00000000">
            <w:pPr>
              <w:pStyle w:val="BodyText"/>
              <w:ind w:right="567"/>
              <w:jc w:val="right"/>
              <w:rPr>
                <w:sz w:val="22"/>
              </w:rPr>
            </w:pPr>
            <w:r>
              <w:rPr>
                <w:sz w:val="22"/>
              </w:rPr>
              <w:t>90</w:t>
            </w:r>
          </w:p>
        </w:tc>
        <w:tc>
          <w:tcPr>
            <w:tcW w:w="1564" w:type="dxa"/>
          </w:tcPr>
          <w:p w:rsidR="00000000" w:rsidRDefault="00000000">
            <w:pPr>
              <w:pStyle w:val="BodyText"/>
              <w:ind w:right="567"/>
              <w:jc w:val="right"/>
              <w:rPr>
                <w:sz w:val="22"/>
              </w:rPr>
            </w:pPr>
            <w:r>
              <w:rPr>
                <w:sz w:val="22"/>
              </w:rPr>
              <w:t>15</w:t>
            </w:r>
          </w:p>
        </w:tc>
        <w:tc>
          <w:tcPr>
            <w:tcW w:w="1564" w:type="dxa"/>
          </w:tcPr>
          <w:p w:rsidR="00000000" w:rsidRDefault="00000000">
            <w:pPr>
              <w:pStyle w:val="BodyText"/>
              <w:ind w:right="567"/>
              <w:jc w:val="right"/>
              <w:rPr>
                <w:sz w:val="22"/>
              </w:rPr>
            </w:pPr>
            <w:r>
              <w:rPr>
                <w:sz w:val="22"/>
              </w:rPr>
              <w:t>14,28</w:t>
            </w:r>
          </w:p>
        </w:tc>
        <w:tc>
          <w:tcPr>
            <w:tcW w:w="1565" w:type="dxa"/>
          </w:tcPr>
          <w:p w:rsidR="00000000" w:rsidRDefault="00000000">
            <w:pPr>
              <w:pStyle w:val="BodyText"/>
              <w:ind w:right="567"/>
              <w:jc w:val="right"/>
              <w:rPr>
                <w:sz w:val="22"/>
              </w:rPr>
            </w:pPr>
            <w:r>
              <w:rPr>
                <w:sz w:val="22"/>
              </w:rPr>
              <w:t>85,71</w:t>
            </w:r>
          </w:p>
        </w:tc>
      </w:tr>
      <w:tr w:rsidR="00000000">
        <w:tblPrEx>
          <w:tblCellMar>
            <w:top w:w="0" w:type="dxa"/>
            <w:bottom w:w="0" w:type="dxa"/>
          </w:tblCellMar>
        </w:tblPrEx>
        <w:tc>
          <w:tcPr>
            <w:tcW w:w="1980" w:type="dxa"/>
          </w:tcPr>
          <w:p w:rsidR="00000000" w:rsidRDefault="00000000">
            <w:pPr>
              <w:pStyle w:val="BodyText"/>
              <w:rPr>
                <w:sz w:val="22"/>
              </w:rPr>
            </w:pPr>
            <w:r>
              <w:rPr>
                <w:sz w:val="22"/>
              </w:rPr>
              <w:t>3</w:t>
            </w:r>
            <w:r>
              <w:rPr>
                <w:sz w:val="22"/>
                <w:vertAlign w:val="superscript"/>
              </w:rPr>
              <w:t>ème</w:t>
            </w:r>
            <w:r>
              <w:rPr>
                <w:sz w:val="22"/>
              </w:rPr>
              <w:t xml:space="preserve"> année</w:t>
            </w:r>
          </w:p>
        </w:tc>
        <w:tc>
          <w:tcPr>
            <w:tcW w:w="1564" w:type="dxa"/>
          </w:tcPr>
          <w:p w:rsidR="00000000" w:rsidRDefault="00000000">
            <w:pPr>
              <w:pStyle w:val="BodyText"/>
              <w:ind w:right="567"/>
              <w:jc w:val="right"/>
              <w:rPr>
                <w:sz w:val="22"/>
              </w:rPr>
            </w:pPr>
            <w:r>
              <w:rPr>
                <w:sz w:val="22"/>
              </w:rPr>
              <w:t>82</w:t>
            </w:r>
          </w:p>
        </w:tc>
        <w:tc>
          <w:tcPr>
            <w:tcW w:w="1564" w:type="dxa"/>
          </w:tcPr>
          <w:p w:rsidR="00000000" w:rsidRDefault="00000000">
            <w:pPr>
              <w:pStyle w:val="BodyText"/>
              <w:ind w:right="567"/>
              <w:jc w:val="right"/>
              <w:rPr>
                <w:sz w:val="22"/>
              </w:rPr>
            </w:pPr>
            <w:r>
              <w:rPr>
                <w:sz w:val="22"/>
              </w:rPr>
              <w:t>74</w:t>
            </w:r>
          </w:p>
        </w:tc>
        <w:tc>
          <w:tcPr>
            <w:tcW w:w="1564" w:type="dxa"/>
          </w:tcPr>
          <w:p w:rsidR="00000000" w:rsidRDefault="00000000">
            <w:pPr>
              <w:pStyle w:val="BodyText"/>
              <w:ind w:right="567"/>
              <w:jc w:val="right"/>
              <w:rPr>
                <w:sz w:val="22"/>
              </w:rPr>
            </w:pPr>
            <w:r>
              <w:rPr>
                <w:sz w:val="22"/>
              </w:rPr>
              <w:t>8</w:t>
            </w:r>
          </w:p>
        </w:tc>
        <w:tc>
          <w:tcPr>
            <w:tcW w:w="1564" w:type="dxa"/>
          </w:tcPr>
          <w:p w:rsidR="00000000" w:rsidRDefault="00000000">
            <w:pPr>
              <w:pStyle w:val="BodyText"/>
              <w:ind w:right="567"/>
              <w:jc w:val="right"/>
              <w:rPr>
                <w:sz w:val="22"/>
              </w:rPr>
            </w:pPr>
            <w:r>
              <w:rPr>
                <w:sz w:val="22"/>
              </w:rPr>
              <w:t>9,75</w:t>
            </w:r>
          </w:p>
        </w:tc>
        <w:tc>
          <w:tcPr>
            <w:tcW w:w="1565" w:type="dxa"/>
          </w:tcPr>
          <w:p w:rsidR="00000000" w:rsidRDefault="00000000">
            <w:pPr>
              <w:pStyle w:val="BodyText"/>
              <w:ind w:right="567"/>
              <w:jc w:val="right"/>
              <w:rPr>
                <w:sz w:val="22"/>
              </w:rPr>
            </w:pPr>
            <w:r>
              <w:rPr>
                <w:sz w:val="22"/>
              </w:rPr>
              <w:t>90,24</w:t>
            </w:r>
          </w:p>
        </w:tc>
      </w:tr>
      <w:tr w:rsidR="00000000">
        <w:tblPrEx>
          <w:tblCellMar>
            <w:top w:w="0" w:type="dxa"/>
            <w:bottom w:w="0" w:type="dxa"/>
          </w:tblCellMar>
        </w:tblPrEx>
        <w:tc>
          <w:tcPr>
            <w:tcW w:w="1980" w:type="dxa"/>
          </w:tcPr>
          <w:p w:rsidR="00000000" w:rsidRDefault="00000000">
            <w:pPr>
              <w:pStyle w:val="BodyText"/>
              <w:rPr>
                <w:b/>
                <w:sz w:val="22"/>
              </w:rPr>
            </w:pPr>
            <w:r>
              <w:rPr>
                <w:b/>
                <w:sz w:val="22"/>
              </w:rPr>
              <w:t xml:space="preserve">Total </w:t>
            </w:r>
          </w:p>
        </w:tc>
        <w:tc>
          <w:tcPr>
            <w:tcW w:w="1564" w:type="dxa"/>
          </w:tcPr>
          <w:p w:rsidR="00000000" w:rsidRDefault="00000000">
            <w:pPr>
              <w:pStyle w:val="BodyText"/>
              <w:ind w:right="567"/>
              <w:jc w:val="right"/>
              <w:rPr>
                <w:sz w:val="22"/>
              </w:rPr>
            </w:pPr>
            <w:r>
              <w:rPr>
                <w:sz w:val="22"/>
              </w:rPr>
              <w:t>207</w:t>
            </w:r>
          </w:p>
        </w:tc>
        <w:tc>
          <w:tcPr>
            <w:tcW w:w="1564" w:type="dxa"/>
          </w:tcPr>
          <w:p w:rsidR="00000000" w:rsidRDefault="00000000">
            <w:pPr>
              <w:pStyle w:val="BodyText"/>
              <w:ind w:right="567"/>
              <w:jc w:val="right"/>
              <w:rPr>
                <w:sz w:val="22"/>
              </w:rPr>
            </w:pPr>
            <w:r>
              <w:rPr>
                <w:sz w:val="22"/>
              </w:rPr>
              <w:t>182</w:t>
            </w:r>
          </w:p>
        </w:tc>
        <w:tc>
          <w:tcPr>
            <w:tcW w:w="1564" w:type="dxa"/>
          </w:tcPr>
          <w:p w:rsidR="00000000" w:rsidRDefault="00000000">
            <w:pPr>
              <w:pStyle w:val="BodyText"/>
              <w:ind w:right="567"/>
              <w:jc w:val="right"/>
              <w:rPr>
                <w:sz w:val="22"/>
              </w:rPr>
            </w:pPr>
            <w:r>
              <w:rPr>
                <w:sz w:val="22"/>
              </w:rPr>
              <w:t>25</w:t>
            </w:r>
          </w:p>
        </w:tc>
        <w:tc>
          <w:tcPr>
            <w:tcW w:w="1564" w:type="dxa"/>
          </w:tcPr>
          <w:p w:rsidR="00000000" w:rsidRDefault="00000000">
            <w:pPr>
              <w:pStyle w:val="BodyText"/>
              <w:ind w:right="567"/>
              <w:jc w:val="right"/>
              <w:rPr>
                <w:sz w:val="22"/>
              </w:rPr>
            </w:pPr>
            <w:r>
              <w:rPr>
                <w:sz w:val="22"/>
              </w:rPr>
              <w:t>12,07</w:t>
            </w:r>
          </w:p>
        </w:tc>
        <w:tc>
          <w:tcPr>
            <w:tcW w:w="1565" w:type="dxa"/>
          </w:tcPr>
          <w:p w:rsidR="00000000" w:rsidRDefault="00000000">
            <w:pPr>
              <w:pStyle w:val="BodyText"/>
              <w:ind w:right="567"/>
              <w:jc w:val="right"/>
              <w:rPr>
                <w:sz w:val="22"/>
              </w:rPr>
            </w:pPr>
            <w:r>
              <w:rPr>
                <w:sz w:val="22"/>
              </w:rPr>
              <w:t>87,87</w:t>
            </w:r>
          </w:p>
        </w:tc>
      </w:tr>
    </w:tbl>
    <w:p w:rsidR="00000000" w:rsidRDefault="00000000">
      <w:pPr>
        <w:rPr>
          <w:sz w:val="22"/>
        </w:rPr>
      </w:pPr>
    </w:p>
    <w:p w:rsidR="00000000" w:rsidRDefault="00000000">
      <w:pPr>
        <w:pStyle w:val="BodyText"/>
        <w:rPr>
          <w:b/>
          <w:sz w:val="22"/>
        </w:rPr>
      </w:pPr>
      <w:r>
        <w:rPr>
          <w:b/>
          <w:sz w:val="22"/>
          <w:u w:val="single"/>
        </w:rPr>
        <w:t>Tableau n° 56</w:t>
      </w:r>
      <w:r>
        <w:rPr>
          <w:b/>
          <w:sz w:val="22"/>
        </w:rPr>
        <w:t> : Représentativité des filles à l’Ecole Nationale Supérieure Polytechnique</w:t>
      </w:r>
    </w:p>
    <w:p w:rsidR="00000000" w:rsidRDefault="00000000">
      <w:pPr>
        <w:pStyle w:val="BodyText"/>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0"/>
        <w:gridCol w:w="1564"/>
        <w:gridCol w:w="1564"/>
        <w:gridCol w:w="1564"/>
        <w:gridCol w:w="1564"/>
        <w:gridCol w:w="1565"/>
      </w:tblGrid>
      <w:tr w:rsidR="00000000">
        <w:tblPrEx>
          <w:tblCellMar>
            <w:top w:w="0" w:type="dxa"/>
            <w:bottom w:w="0" w:type="dxa"/>
          </w:tblCellMar>
        </w:tblPrEx>
        <w:tc>
          <w:tcPr>
            <w:tcW w:w="1980" w:type="dxa"/>
          </w:tcPr>
          <w:p w:rsidR="00000000" w:rsidRDefault="00000000">
            <w:pPr>
              <w:pStyle w:val="BodyText"/>
              <w:jc w:val="center"/>
              <w:rPr>
                <w:sz w:val="22"/>
              </w:rPr>
            </w:pPr>
            <w:r>
              <w:rPr>
                <w:sz w:val="22"/>
              </w:rPr>
              <w:t>Année</w:t>
            </w:r>
          </w:p>
        </w:tc>
        <w:tc>
          <w:tcPr>
            <w:tcW w:w="1564" w:type="dxa"/>
          </w:tcPr>
          <w:p w:rsidR="00000000" w:rsidRDefault="00000000">
            <w:pPr>
              <w:pStyle w:val="BodyText"/>
              <w:jc w:val="center"/>
              <w:rPr>
                <w:sz w:val="22"/>
              </w:rPr>
            </w:pPr>
            <w:r>
              <w:rPr>
                <w:sz w:val="22"/>
              </w:rPr>
              <w:t>Total</w:t>
            </w:r>
          </w:p>
        </w:tc>
        <w:tc>
          <w:tcPr>
            <w:tcW w:w="1564" w:type="dxa"/>
          </w:tcPr>
          <w:p w:rsidR="00000000" w:rsidRDefault="00000000">
            <w:pPr>
              <w:pStyle w:val="BodyText"/>
              <w:jc w:val="center"/>
              <w:rPr>
                <w:sz w:val="22"/>
              </w:rPr>
            </w:pPr>
            <w:r>
              <w:rPr>
                <w:sz w:val="22"/>
              </w:rPr>
              <w:t>Hommes</w:t>
            </w:r>
          </w:p>
        </w:tc>
        <w:tc>
          <w:tcPr>
            <w:tcW w:w="1564" w:type="dxa"/>
          </w:tcPr>
          <w:p w:rsidR="00000000" w:rsidRDefault="00000000">
            <w:pPr>
              <w:pStyle w:val="BodyText"/>
              <w:jc w:val="center"/>
              <w:rPr>
                <w:sz w:val="22"/>
              </w:rPr>
            </w:pPr>
            <w:r>
              <w:rPr>
                <w:sz w:val="22"/>
              </w:rPr>
              <w:t>Femmes</w:t>
            </w:r>
          </w:p>
        </w:tc>
        <w:tc>
          <w:tcPr>
            <w:tcW w:w="1564" w:type="dxa"/>
          </w:tcPr>
          <w:p w:rsidR="00000000" w:rsidRDefault="00000000">
            <w:pPr>
              <w:pStyle w:val="BodyText"/>
              <w:jc w:val="center"/>
              <w:rPr>
                <w:sz w:val="22"/>
              </w:rPr>
            </w:pPr>
            <w:r>
              <w:rPr>
                <w:sz w:val="22"/>
              </w:rPr>
              <w:t>% F</w:t>
            </w:r>
          </w:p>
        </w:tc>
        <w:tc>
          <w:tcPr>
            <w:tcW w:w="1565" w:type="dxa"/>
          </w:tcPr>
          <w:p w:rsidR="00000000" w:rsidRDefault="00000000">
            <w:pPr>
              <w:pStyle w:val="BodyText"/>
              <w:jc w:val="center"/>
              <w:rPr>
                <w:sz w:val="22"/>
              </w:rPr>
            </w:pPr>
            <w:r>
              <w:rPr>
                <w:sz w:val="22"/>
              </w:rPr>
              <w:t>% H</w:t>
            </w:r>
          </w:p>
        </w:tc>
      </w:tr>
      <w:tr w:rsidR="00000000">
        <w:tblPrEx>
          <w:tblCellMar>
            <w:top w:w="0" w:type="dxa"/>
            <w:bottom w:w="0" w:type="dxa"/>
          </w:tblCellMar>
        </w:tblPrEx>
        <w:tc>
          <w:tcPr>
            <w:tcW w:w="1980" w:type="dxa"/>
          </w:tcPr>
          <w:p w:rsidR="00000000" w:rsidRDefault="00000000">
            <w:pPr>
              <w:pStyle w:val="BodyText"/>
              <w:rPr>
                <w:sz w:val="22"/>
              </w:rPr>
            </w:pPr>
            <w:r>
              <w:rPr>
                <w:sz w:val="22"/>
              </w:rPr>
              <w:t>1</w:t>
            </w:r>
            <w:r>
              <w:rPr>
                <w:sz w:val="22"/>
                <w:vertAlign w:val="superscript"/>
              </w:rPr>
              <w:t>ère</w:t>
            </w:r>
            <w:r>
              <w:rPr>
                <w:sz w:val="22"/>
              </w:rPr>
              <w:t xml:space="preserve"> année</w:t>
            </w:r>
          </w:p>
        </w:tc>
        <w:tc>
          <w:tcPr>
            <w:tcW w:w="1564" w:type="dxa"/>
          </w:tcPr>
          <w:p w:rsidR="00000000" w:rsidRDefault="00000000">
            <w:pPr>
              <w:pStyle w:val="BodyText"/>
              <w:ind w:right="567"/>
              <w:jc w:val="right"/>
              <w:rPr>
                <w:sz w:val="22"/>
              </w:rPr>
            </w:pPr>
            <w:r>
              <w:rPr>
                <w:sz w:val="22"/>
              </w:rPr>
              <w:t>102</w:t>
            </w:r>
          </w:p>
        </w:tc>
        <w:tc>
          <w:tcPr>
            <w:tcW w:w="1564" w:type="dxa"/>
          </w:tcPr>
          <w:p w:rsidR="00000000" w:rsidRDefault="00000000">
            <w:pPr>
              <w:pStyle w:val="BodyText"/>
              <w:ind w:right="567"/>
              <w:jc w:val="right"/>
              <w:rPr>
                <w:sz w:val="22"/>
              </w:rPr>
            </w:pPr>
            <w:r>
              <w:rPr>
                <w:sz w:val="22"/>
              </w:rPr>
              <w:t>82</w:t>
            </w:r>
          </w:p>
        </w:tc>
        <w:tc>
          <w:tcPr>
            <w:tcW w:w="1564" w:type="dxa"/>
          </w:tcPr>
          <w:p w:rsidR="00000000" w:rsidRDefault="00000000">
            <w:pPr>
              <w:pStyle w:val="BodyText"/>
              <w:ind w:right="567"/>
              <w:jc w:val="right"/>
              <w:rPr>
                <w:sz w:val="22"/>
              </w:rPr>
            </w:pPr>
            <w:r>
              <w:rPr>
                <w:sz w:val="22"/>
              </w:rPr>
              <w:t>20</w:t>
            </w:r>
          </w:p>
        </w:tc>
        <w:tc>
          <w:tcPr>
            <w:tcW w:w="1564" w:type="dxa"/>
          </w:tcPr>
          <w:p w:rsidR="00000000" w:rsidRDefault="00000000">
            <w:pPr>
              <w:pStyle w:val="BodyText"/>
              <w:ind w:right="567"/>
              <w:jc w:val="right"/>
              <w:rPr>
                <w:sz w:val="22"/>
              </w:rPr>
            </w:pPr>
            <w:r>
              <w:rPr>
                <w:sz w:val="22"/>
              </w:rPr>
              <w:t>19,60</w:t>
            </w:r>
          </w:p>
        </w:tc>
        <w:tc>
          <w:tcPr>
            <w:tcW w:w="1565" w:type="dxa"/>
          </w:tcPr>
          <w:p w:rsidR="00000000" w:rsidRDefault="00000000">
            <w:pPr>
              <w:pStyle w:val="BodyText"/>
              <w:ind w:right="567"/>
              <w:jc w:val="right"/>
              <w:rPr>
                <w:sz w:val="22"/>
              </w:rPr>
            </w:pPr>
            <w:r>
              <w:rPr>
                <w:sz w:val="22"/>
              </w:rPr>
              <w:t>80,39</w:t>
            </w:r>
          </w:p>
        </w:tc>
      </w:tr>
      <w:tr w:rsidR="00000000">
        <w:tblPrEx>
          <w:tblCellMar>
            <w:top w:w="0" w:type="dxa"/>
            <w:bottom w:w="0" w:type="dxa"/>
          </w:tblCellMar>
        </w:tblPrEx>
        <w:tc>
          <w:tcPr>
            <w:tcW w:w="1980" w:type="dxa"/>
          </w:tcPr>
          <w:p w:rsidR="00000000" w:rsidRDefault="00000000">
            <w:pPr>
              <w:pStyle w:val="BodyText"/>
              <w:rPr>
                <w:sz w:val="22"/>
              </w:rPr>
            </w:pPr>
            <w:r>
              <w:rPr>
                <w:sz w:val="22"/>
              </w:rPr>
              <w:t>2</w:t>
            </w:r>
            <w:r>
              <w:rPr>
                <w:sz w:val="22"/>
                <w:vertAlign w:val="superscript"/>
              </w:rPr>
              <w:t>ème</w:t>
            </w:r>
            <w:r>
              <w:rPr>
                <w:sz w:val="22"/>
              </w:rPr>
              <w:t xml:space="preserve"> année</w:t>
            </w:r>
          </w:p>
        </w:tc>
        <w:tc>
          <w:tcPr>
            <w:tcW w:w="1564" w:type="dxa"/>
          </w:tcPr>
          <w:p w:rsidR="00000000" w:rsidRDefault="00000000">
            <w:pPr>
              <w:pStyle w:val="BodyText"/>
              <w:ind w:right="567"/>
              <w:jc w:val="right"/>
              <w:rPr>
                <w:sz w:val="22"/>
              </w:rPr>
            </w:pPr>
            <w:r>
              <w:rPr>
                <w:sz w:val="22"/>
              </w:rPr>
              <w:t>77</w:t>
            </w:r>
          </w:p>
        </w:tc>
        <w:tc>
          <w:tcPr>
            <w:tcW w:w="1564" w:type="dxa"/>
          </w:tcPr>
          <w:p w:rsidR="00000000" w:rsidRDefault="00000000">
            <w:pPr>
              <w:pStyle w:val="BodyText"/>
              <w:ind w:right="567"/>
              <w:jc w:val="right"/>
              <w:rPr>
                <w:sz w:val="22"/>
              </w:rPr>
            </w:pPr>
            <w:r>
              <w:rPr>
                <w:sz w:val="22"/>
              </w:rPr>
              <w:t>69</w:t>
            </w:r>
          </w:p>
        </w:tc>
        <w:tc>
          <w:tcPr>
            <w:tcW w:w="1564" w:type="dxa"/>
          </w:tcPr>
          <w:p w:rsidR="00000000" w:rsidRDefault="00000000">
            <w:pPr>
              <w:pStyle w:val="BodyText"/>
              <w:ind w:right="567"/>
              <w:jc w:val="right"/>
              <w:rPr>
                <w:sz w:val="22"/>
              </w:rPr>
            </w:pPr>
            <w:r>
              <w:rPr>
                <w:sz w:val="22"/>
              </w:rPr>
              <w:t>8</w:t>
            </w:r>
          </w:p>
        </w:tc>
        <w:tc>
          <w:tcPr>
            <w:tcW w:w="1564" w:type="dxa"/>
          </w:tcPr>
          <w:p w:rsidR="00000000" w:rsidRDefault="00000000">
            <w:pPr>
              <w:pStyle w:val="BodyText"/>
              <w:ind w:right="567"/>
              <w:jc w:val="right"/>
              <w:rPr>
                <w:sz w:val="22"/>
              </w:rPr>
            </w:pPr>
            <w:r>
              <w:rPr>
                <w:sz w:val="22"/>
              </w:rPr>
              <w:t>10,38</w:t>
            </w:r>
          </w:p>
        </w:tc>
        <w:tc>
          <w:tcPr>
            <w:tcW w:w="1565" w:type="dxa"/>
          </w:tcPr>
          <w:p w:rsidR="00000000" w:rsidRDefault="00000000">
            <w:pPr>
              <w:pStyle w:val="BodyText"/>
              <w:ind w:right="567"/>
              <w:jc w:val="right"/>
              <w:rPr>
                <w:sz w:val="22"/>
              </w:rPr>
            </w:pPr>
            <w:r>
              <w:rPr>
                <w:sz w:val="22"/>
              </w:rPr>
              <w:t>89,61</w:t>
            </w:r>
          </w:p>
        </w:tc>
      </w:tr>
      <w:tr w:rsidR="00000000">
        <w:tblPrEx>
          <w:tblCellMar>
            <w:top w:w="0" w:type="dxa"/>
            <w:bottom w:w="0" w:type="dxa"/>
          </w:tblCellMar>
        </w:tblPrEx>
        <w:tc>
          <w:tcPr>
            <w:tcW w:w="1980" w:type="dxa"/>
          </w:tcPr>
          <w:p w:rsidR="00000000" w:rsidRDefault="00000000">
            <w:pPr>
              <w:pStyle w:val="BodyText"/>
              <w:rPr>
                <w:sz w:val="22"/>
              </w:rPr>
            </w:pPr>
            <w:r>
              <w:rPr>
                <w:sz w:val="22"/>
              </w:rPr>
              <w:t>3</w:t>
            </w:r>
            <w:r>
              <w:rPr>
                <w:sz w:val="22"/>
                <w:vertAlign w:val="superscript"/>
              </w:rPr>
              <w:t>ème</w:t>
            </w:r>
            <w:r>
              <w:rPr>
                <w:sz w:val="22"/>
              </w:rPr>
              <w:t xml:space="preserve"> année</w:t>
            </w:r>
          </w:p>
        </w:tc>
        <w:tc>
          <w:tcPr>
            <w:tcW w:w="1564" w:type="dxa"/>
          </w:tcPr>
          <w:p w:rsidR="00000000" w:rsidRDefault="00000000">
            <w:pPr>
              <w:pStyle w:val="BodyText"/>
              <w:ind w:right="567"/>
              <w:jc w:val="right"/>
              <w:rPr>
                <w:sz w:val="22"/>
              </w:rPr>
            </w:pPr>
            <w:r>
              <w:rPr>
                <w:sz w:val="22"/>
              </w:rPr>
              <w:t>114</w:t>
            </w:r>
          </w:p>
        </w:tc>
        <w:tc>
          <w:tcPr>
            <w:tcW w:w="1564" w:type="dxa"/>
          </w:tcPr>
          <w:p w:rsidR="00000000" w:rsidRDefault="00000000">
            <w:pPr>
              <w:pStyle w:val="BodyText"/>
              <w:ind w:right="567"/>
              <w:jc w:val="right"/>
              <w:rPr>
                <w:sz w:val="22"/>
              </w:rPr>
            </w:pPr>
            <w:r>
              <w:rPr>
                <w:sz w:val="22"/>
              </w:rPr>
              <w:t>76</w:t>
            </w:r>
          </w:p>
        </w:tc>
        <w:tc>
          <w:tcPr>
            <w:tcW w:w="1564" w:type="dxa"/>
          </w:tcPr>
          <w:p w:rsidR="00000000" w:rsidRDefault="00000000">
            <w:pPr>
              <w:pStyle w:val="BodyText"/>
              <w:ind w:right="567"/>
              <w:jc w:val="right"/>
              <w:rPr>
                <w:sz w:val="22"/>
              </w:rPr>
            </w:pPr>
            <w:r>
              <w:rPr>
                <w:sz w:val="22"/>
              </w:rPr>
              <w:t>38</w:t>
            </w:r>
          </w:p>
        </w:tc>
        <w:tc>
          <w:tcPr>
            <w:tcW w:w="1564" w:type="dxa"/>
          </w:tcPr>
          <w:p w:rsidR="00000000" w:rsidRDefault="00000000">
            <w:pPr>
              <w:pStyle w:val="BodyText"/>
              <w:ind w:right="567"/>
              <w:jc w:val="right"/>
              <w:rPr>
                <w:sz w:val="22"/>
              </w:rPr>
            </w:pPr>
            <w:r>
              <w:rPr>
                <w:sz w:val="22"/>
              </w:rPr>
              <w:t>33,33</w:t>
            </w:r>
          </w:p>
        </w:tc>
        <w:tc>
          <w:tcPr>
            <w:tcW w:w="1565" w:type="dxa"/>
          </w:tcPr>
          <w:p w:rsidR="00000000" w:rsidRDefault="00000000">
            <w:pPr>
              <w:pStyle w:val="BodyText"/>
              <w:ind w:right="567"/>
              <w:jc w:val="right"/>
              <w:rPr>
                <w:sz w:val="22"/>
              </w:rPr>
            </w:pPr>
            <w:r>
              <w:rPr>
                <w:sz w:val="22"/>
              </w:rPr>
              <w:t>66,66</w:t>
            </w:r>
          </w:p>
        </w:tc>
      </w:tr>
      <w:tr w:rsidR="00000000">
        <w:tblPrEx>
          <w:tblCellMar>
            <w:top w:w="0" w:type="dxa"/>
            <w:bottom w:w="0" w:type="dxa"/>
          </w:tblCellMar>
        </w:tblPrEx>
        <w:tc>
          <w:tcPr>
            <w:tcW w:w="1980" w:type="dxa"/>
          </w:tcPr>
          <w:p w:rsidR="00000000" w:rsidRDefault="00000000">
            <w:pPr>
              <w:pStyle w:val="BodyText"/>
              <w:rPr>
                <w:sz w:val="22"/>
              </w:rPr>
            </w:pPr>
            <w:r>
              <w:rPr>
                <w:sz w:val="22"/>
              </w:rPr>
              <w:t>4</w:t>
            </w:r>
            <w:r>
              <w:rPr>
                <w:sz w:val="22"/>
                <w:vertAlign w:val="superscript"/>
              </w:rPr>
              <w:t>ème</w:t>
            </w:r>
            <w:r>
              <w:rPr>
                <w:sz w:val="22"/>
              </w:rPr>
              <w:t xml:space="preserve"> année</w:t>
            </w:r>
          </w:p>
        </w:tc>
        <w:tc>
          <w:tcPr>
            <w:tcW w:w="1564" w:type="dxa"/>
          </w:tcPr>
          <w:p w:rsidR="00000000" w:rsidRDefault="00000000">
            <w:pPr>
              <w:pStyle w:val="BodyText"/>
              <w:ind w:right="567"/>
              <w:jc w:val="right"/>
              <w:rPr>
                <w:sz w:val="22"/>
              </w:rPr>
            </w:pPr>
            <w:r>
              <w:rPr>
                <w:sz w:val="22"/>
              </w:rPr>
              <w:t>15</w:t>
            </w:r>
          </w:p>
        </w:tc>
        <w:tc>
          <w:tcPr>
            <w:tcW w:w="1564" w:type="dxa"/>
          </w:tcPr>
          <w:p w:rsidR="00000000" w:rsidRDefault="00000000">
            <w:pPr>
              <w:pStyle w:val="BodyText"/>
              <w:ind w:right="567"/>
              <w:jc w:val="right"/>
              <w:rPr>
                <w:sz w:val="22"/>
              </w:rPr>
            </w:pPr>
            <w:r>
              <w:rPr>
                <w:sz w:val="22"/>
              </w:rPr>
              <w:t>15</w:t>
            </w:r>
          </w:p>
        </w:tc>
        <w:tc>
          <w:tcPr>
            <w:tcW w:w="1564" w:type="dxa"/>
          </w:tcPr>
          <w:p w:rsidR="00000000" w:rsidRDefault="00000000">
            <w:pPr>
              <w:pStyle w:val="BodyText"/>
              <w:ind w:right="567"/>
              <w:jc w:val="right"/>
              <w:rPr>
                <w:sz w:val="22"/>
              </w:rPr>
            </w:pPr>
            <w:r>
              <w:rPr>
                <w:sz w:val="22"/>
              </w:rPr>
              <w:t>0</w:t>
            </w:r>
          </w:p>
        </w:tc>
        <w:tc>
          <w:tcPr>
            <w:tcW w:w="1564" w:type="dxa"/>
          </w:tcPr>
          <w:p w:rsidR="00000000" w:rsidRDefault="00000000">
            <w:pPr>
              <w:pStyle w:val="BodyText"/>
              <w:ind w:right="567"/>
              <w:jc w:val="right"/>
              <w:rPr>
                <w:sz w:val="22"/>
              </w:rPr>
            </w:pPr>
            <w:r>
              <w:rPr>
                <w:sz w:val="22"/>
              </w:rPr>
              <w:t>0</w:t>
            </w:r>
          </w:p>
        </w:tc>
        <w:tc>
          <w:tcPr>
            <w:tcW w:w="1565" w:type="dxa"/>
          </w:tcPr>
          <w:p w:rsidR="00000000" w:rsidRDefault="00000000">
            <w:pPr>
              <w:pStyle w:val="BodyText"/>
              <w:ind w:right="567"/>
              <w:jc w:val="right"/>
              <w:rPr>
                <w:sz w:val="22"/>
              </w:rPr>
            </w:pPr>
            <w:r>
              <w:rPr>
                <w:sz w:val="22"/>
              </w:rPr>
              <w:t>100</w:t>
            </w:r>
          </w:p>
        </w:tc>
      </w:tr>
      <w:tr w:rsidR="00000000">
        <w:tblPrEx>
          <w:tblCellMar>
            <w:top w:w="0" w:type="dxa"/>
            <w:bottom w:w="0" w:type="dxa"/>
          </w:tblCellMar>
        </w:tblPrEx>
        <w:tc>
          <w:tcPr>
            <w:tcW w:w="1980" w:type="dxa"/>
          </w:tcPr>
          <w:p w:rsidR="00000000" w:rsidRDefault="00000000">
            <w:pPr>
              <w:pStyle w:val="BodyText"/>
              <w:rPr>
                <w:sz w:val="22"/>
              </w:rPr>
            </w:pPr>
            <w:r>
              <w:rPr>
                <w:sz w:val="22"/>
              </w:rPr>
              <w:t>5</w:t>
            </w:r>
            <w:r>
              <w:rPr>
                <w:sz w:val="22"/>
                <w:vertAlign w:val="superscript"/>
              </w:rPr>
              <w:t>ème</w:t>
            </w:r>
            <w:r>
              <w:rPr>
                <w:sz w:val="22"/>
              </w:rPr>
              <w:t xml:space="preserve"> année</w:t>
            </w:r>
          </w:p>
        </w:tc>
        <w:tc>
          <w:tcPr>
            <w:tcW w:w="1564" w:type="dxa"/>
          </w:tcPr>
          <w:p w:rsidR="00000000" w:rsidRDefault="00000000">
            <w:pPr>
              <w:pStyle w:val="BodyText"/>
              <w:ind w:right="567"/>
              <w:jc w:val="right"/>
              <w:rPr>
                <w:sz w:val="22"/>
              </w:rPr>
            </w:pPr>
            <w:r>
              <w:rPr>
                <w:sz w:val="22"/>
              </w:rPr>
              <w:t>8</w:t>
            </w:r>
          </w:p>
        </w:tc>
        <w:tc>
          <w:tcPr>
            <w:tcW w:w="1564" w:type="dxa"/>
          </w:tcPr>
          <w:p w:rsidR="00000000" w:rsidRDefault="00000000">
            <w:pPr>
              <w:pStyle w:val="BodyText"/>
              <w:ind w:right="567"/>
              <w:jc w:val="right"/>
              <w:rPr>
                <w:sz w:val="22"/>
              </w:rPr>
            </w:pPr>
            <w:r>
              <w:rPr>
                <w:sz w:val="22"/>
              </w:rPr>
              <w:t>8</w:t>
            </w:r>
          </w:p>
        </w:tc>
        <w:tc>
          <w:tcPr>
            <w:tcW w:w="1564" w:type="dxa"/>
          </w:tcPr>
          <w:p w:rsidR="00000000" w:rsidRDefault="00000000">
            <w:pPr>
              <w:pStyle w:val="BodyText"/>
              <w:ind w:right="567"/>
              <w:jc w:val="right"/>
              <w:rPr>
                <w:sz w:val="22"/>
              </w:rPr>
            </w:pPr>
            <w:r>
              <w:rPr>
                <w:sz w:val="22"/>
              </w:rPr>
              <w:t>0</w:t>
            </w:r>
          </w:p>
        </w:tc>
        <w:tc>
          <w:tcPr>
            <w:tcW w:w="1564" w:type="dxa"/>
          </w:tcPr>
          <w:p w:rsidR="00000000" w:rsidRDefault="00000000">
            <w:pPr>
              <w:pStyle w:val="BodyText"/>
              <w:ind w:right="567"/>
              <w:jc w:val="right"/>
              <w:rPr>
                <w:sz w:val="22"/>
              </w:rPr>
            </w:pPr>
            <w:r>
              <w:rPr>
                <w:sz w:val="22"/>
              </w:rPr>
              <w:t>0</w:t>
            </w:r>
          </w:p>
        </w:tc>
        <w:tc>
          <w:tcPr>
            <w:tcW w:w="1565" w:type="dxa"/>
          </w:tcPr>
          <w:p w:rsidR="00000000" w:rsidRDefault="00000000">
            <w:pPr>
              <w:pStyle w:val="BodyText"/>
              <w:ind w:right="567"/>
              <w:jc w:val="right"/>
              <w:rPr>
                <w:sz w:val="22"/>
              </w:rPr>
            </w:pPr>
            <w:r>
              <w:rPr>
                <w:sz w:val="22"/>
              </w:rPr>
              <w:t>100</w:t>
            </w:r>
          </w:p>
        </w:tc>
      </w:tr>
      <w:tr w:rsidR="00000000">
        <w:tblPrEx>
          <w:tblCellMar>
            <w:top w:w="0" w:type="dxa"/>
            <w:bottom w:w="0" w:type="dxa"/>
          </w:tblCellMar>
        </w:tblPrEx>
        <w:tc>
          <w:tcPr>
            <w:tcW w:w="1980" w:type="dxa"/>
          </w:tcPr>
          <w:p w:rsidR="00000000" w:rsidRDefault="00000000">
            <w:pPr>
              <w:pStyle w:val="BodyText"/>
              <w:rPr>
                <w:b/>
                <w:sz w:val="22"/>
              </w:rPr>
            </w:pPr>
            <w:r>
              <w:rPr>
                <w:b/>
                <w:sz w:val="22"/>
              </w:rPr>
              <w:t xml:space="preserve">Total </w:t>
            </w:r>
          </w:p>
        </w:tc>
        <w:tc>
          <w:tcPr>
            <w:tcW w:w="1564" w:type="dxa"/>
          </w:tcPr>
          <w:p w:rsidR="00000000" w:rsidRDefault="00000000">
            <w:pPr>
              <w:pStyle w:val="BodyText"/>
              <w:ind w:right="567"/>
              <w:jc w:val="right"/>
              <w:rPr>
                <w:sz w:val="22"/>
              </w:rPr>
            </w:pPr>
            <w:r>
              <w:rPr>
                <w:sz w:val="22"/>
              </w:rPr>
              <w:t>316</w:t>
            </w:r>
          </w:p>
        </w:tc>
        <w:tc>
          <w:tcPr>
            <w:tcW w:w="1564" w:type="dxa"/>
          </w:tcPr>
          <w:p w:rsidR="00000000" w:rsidRDefault="00000000">
            <w:pPr>
              <w:pStyle w:val="BodyText"/>
              <w:ind w:right="567"/>
              <w:jc w:val="right"/>
              <w:rPr>
                <w:sz w:val="22"/>
              </w:rPr>
            </w:pPr>
            <w:r>
              <w:rPr>
                <w:sz w:val="22"/>
              </w:rPr>
              <w:t>250</w:t>
            </w:r>
          </w:p>
        </w:tc>
        <w:tc>
          <w:tcPr>
            <w:tcW w:w="1564" w:type="dxa"/>
          </w:tcPr>
          <w:p w:rsidR="00000000" w:rsidRDefault="00000000">
            <w:pPr>
              <w:pStyle w:val="BodyText"/>
              <w:ind w:right="567"/>
              <w:jc w:val="right"/>
              <w:rPr>
                <w:sz w:val="22"/>
              </w:rPr>
            </w:pPr>
            <w:r>
              <w:rPr>
                <w:sz w:val="22"/>
              </w:rPr>
              <w:t>66</w:t>
            </w:r>
          </w:p>
        </w:tc>
        <w:tc>
          <w:tcPr>
            <w:tcW w:w="1564" w:type="dxa"/>
          </w:tcPr>
          <w:p w:rsidR="00000000" w:rsidRDefault="00000000">
            <w:pPr>
              <w:pStyle w:val="BodyText"/>
              <w:ind w:right="567"/>
              <w:jc w:val="right"/>
              <w:rPr>
                <w:sz w:val="22"/>
              </w:rPr>
            </w:pPr>
            <w:r>
              <w:rPr>
                <w:sz w:val="22"/>
              </w:rPr>
              <w:t>20,89</w:t>
            </w:r>
          </w:p>
        </w:tc>
        <w:tc>
          <w:tcPr>
            <w:tcW w:w="1565" w:type="dxa"/>
          </w:tcPr>
          <w:p w:rsidR="00000000" w:rsidRDefault="00000000">
            <w:pPr>
              <w:pStyle w:val="BodyText"/>
              <w:ind w:right="567"/>
              <w:jc w:val="right"/>
              <w:rPr>
                <w:sz w:val="22"/>
              </w:rPr>
            </w:pPr>
            <w:r>
              <w:rPr>
                <w:sz w:val="22"/>
              </w:rPr>
              <w:t>79,11</w:t>
            </w:r>
          </w:p>
        </w:tc>
      </w:tr>
    </w:tbl>
    <w:p w:rsidR="00000000" w:rsidRDefault="00000000">
      <w:pPr>
        <w:rPr>
          <w:sz w:val="22"/>
        </w:rPr>
      </w:pPr>
    </w:p>
    <w:p w:rsidR="00000000" w:rsidRDefault="00000000">
      <w:pPr>
        <w:pStyle w:val="BodyText"/>
        <w:rPr>
          <w:b/>
          <w:sz w:val="22"/>
        </w:rPr>
      </w:pPr>
      <w:r>
        <w:rPr>
          <w:b/>
          <w:sz w:val="22"/>
          <w:u w:val="single"/>
        </w:rPr>
        <w:t>Tableau n° 57</w:t>
      </w:r>
      <w:r>
        <w:rPr>
          <w:b/>
          <w:sz w:val="22"/>
        </w:rPr>
        <w:t> : Représentativité des filles à l’Institut de Développement Rural</w:t>
      </w:r>
    </w:p>
    <w:p w:rsidR="00000000" w:rsidRDefault="00000000">
      <w:pPr>
        <w:pStyle w:val="BodyText"/>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0"/>
        <w:gridCol w:w="1564"/>
        <w:gridCol w:w="1564"/>
        <w:gridCol w:w="1564"/>
        <w:gridCol w:w="1564"/>
        <w:gridCol w:w="1565"/>
      </w:tblGrid>
      <w:tr w:rsidR="00000000">
        <w:tblPrEx>
          <w:tblCellMar>
            <w:top w:w="0" w:type="dxa"/>
            <w:bottom w:w="0" w:type="dxa"/>
          </w:tblCellMar>
        </w:tblPrEx>
        <w:tc>
          <w:tcPr>
            <w:tcW w:w="1980" w:type="dxa"/>
          </w:tcPr>
          <w:p w:rsidR="00000000" w:rsidRDefault="00000000">
            <w:pPr>
              <w:pStyle w:val="BodyText"/>
              <w:jc w:val="center"/>
              <w:rPr>
                <w:sz w:val="22"/>
              </w:rPr>
            </w:pPr>
            <w:r>
              <w:rPr>
                <w:sz w:val="22"/>
              </w:rPr>
              <w:t>Année</w:t>
            </w:r>
          </w:p>
        </w:tc>
        <w:tc>
          <w:tcPr>
            <w:tcW w:w="1564" w:type="dxa"/>
          </w:tcPr>
          <w:p w:rsidR="00000000" w:rsidRDefault="00000000">
            <w:pPr>
              <w:pStyle w:val="BodyText"/>
              <w:jc w:val="center"/>
              <w:rPr>
                <w:sz w:val="22"/>
              </w:rPr>
            </w:pPr>
            <w:r>
              <w:rPr>
                <w:sz w:val="22"/>
              </w:rPr>
              <w:t>Total</w:t>
            </w:r>
          </w:p>
        </w:tc>
        <w:tc>
          <w:tcPr>
            <w:tcW w:w="1564" w:type="dxa"/>
          </w:tcPr>
          <w:p w:rsidR="00000000" w:rsidRDefault="00000000">
            <w:pPr>
              <w:pStyle w:val="BodyText"/>
              <w:jc w:val="center"/>
              <w:rPr>
                <w:sz w:val="22"/>
              </w:rPr>
            </w:pPr>
            <w:r>
              <w:rPr>
                <w:sz w:val="22"/>
              </w:rPr>
              <w:t>Hommes</w:t>
            </w:r>
          </w:p>
        </w:tc>
        <w:tc>
          <w:tcPr>
            <w:tcW w:w="1564" w:type="dxa"/>
          </w:tcPr>
          <w:p w:rsidR="00000000" w:rsidRDefault="00000000">
            <w:pPr>
              <w:pStyle w:val="BodyText"/>
              <w:jc w:val="center"/>
              <w:rPr>
                <w:sz w:val="22"/>
              </w:rPr>
            </w:pPr>
            <w:r>
              <w:rPr>
                <w:sz w:val="22"/>
              </w:rPr>
              <w:t>Femmes</w:t>
            </w:r>
          </w:p>
        </w:tc>
        <w:tc>
          <w:tcPr>
            <w:tcW w:w="1564" w:type="dxa"/>
          </w:tcPr>
          <w:p w:rsidR="00000000" w:rsidRDefault="00000000">
            <w:pPr>
              <w:pStyle w:val="BodyText"/>
              <w:jc w:val="center"/>
              <w:rPr>
                <w:sz w:val="22"/>
              </w:rPr>
            </w:pPr>
            <w:r>
              <w:rPr>
                <w:sz w:val="22"/>
              </w:rPr>
              <w:t>% F</w:t>
            </w:r>
          </w:p>
        </w:tc>
        <w:tc>
          <w:tcPr>
            <w:tcW w:w="1565" w:type="dxa"/>
          </w:tcPr>
          <w:p w:rsidR="00000000" w:rsidRDefault="00000000">
            <w:pPr>
              <w:pStyle w:val="BodyText"/>
              <w:jc w:val="center"/>
              <w:rPr>
                <w:sz w:val="22"/>
              </w:rPr>
            </w:pPr>
            <w:r>
              <w:rPr>
                <w:sz w:val="22"/>
              </w:rPr>
              <w:t>% H</w:t>
            </w:r>
          </w:p>
        </w:tc>
      </w:tr>
      <w:tr w:rsidR="00000000">
        <w:tblPrEx>
          <w:tblCellMar>
            <w:top w:w="0" w:type="dxa"/>
            <w:bottom w:w="0" w:type="dxa"/>
          </w:tblCellMar>
        </w:tblPrEx>
        <w:tc>
          <w:tcPr>
            <w:tcW w:w="1980" w:type="dxa"/>
          </w:tcPr>
          <w:p w:rsidR="00000000" w:rsidRDefault="00000000">
            <w:pPr>
              <w:pStyle w:val="BodyText"/>
              <w:rPr>
                <w:sz w:val="22"/>
              </w:rPr>
            </w:pPr>
            <w:r>
              <w:rPr>
                <w:sz w:val="22"/>
              </w:rPr>
              <w:t>1</w:t>
            </w:r>
            <w:r>
              <w:rPr>
                <w:sz w:val="22"/>
                <w:vertAlign w:val="superscript"/>
              </w:rPr>
              <w:t>ère</w:t>
            </w:r>
            <w:r>
              <w:rPr>
                <w:sz w:val="22"/>
              </w:rPr>
              <w:t xml:space="preserve"> année</w:t>
            </w:r>
          </w:p>
        </w:tc>
        <w:tc>
          <w:tcPr>
            <w:tcW w:w="1564" w:type="dxa"/>
          </w:tcPr>
          <w:p w:rsidR="00000000" w:rsidRDefault="00000000">
            <w:pPr>
              <w:pStyle w:val="BodyText"/>
              <w:ind w:right="567"/>
              <w:jc w:val="right"/>
              <w:rPr>
                <w:sz w:val="22"/>
              </w:rPr>
            </w:pPr>
            <w:r>
              <w:rPr>
                <w:sz w:val="22"/>
              </w:rPr>
              <w:t>111</w:t>
            </w:r>
          </w:p>
        </w:tc>
        <w:tc>
          <w:tcPr>
            <w:tcW w:w="1564" w:type="dxa"/>
          </w:tcPr>
          <w:p w:rsidR="00000000" w:rsidRDefault="00000000">
            <w:pPr>
              <w:pStyle w:val="BodyText"/>
              <w:ind w:right="567"/>
              <w:jc w:val="right"/>
              <w:rPr>
                <w:sz w:val="22"/>
              </w:rPr>
            </w:pPr>
            <w:r>
              <w:rPr>
                <w:sz w:val="22"/>
              </w:rPr>
              <w:t>84</w:t>
            </w:r>
          </w:p>
        </w:tc>
        <w:tc>
          <w:tcPr>
            <w:tcW w:w="1564" w:type="dxa"/>
          </w:tcPr>
          <w:p w:rsidR="00000000" w:rsidRDefault="00000000">
            <w:pPr>
              <w:pStyle w:val="BodyText"/>
              <w:ind w:right="567"/>
              <w:jc w:val="right"/>
              <w:rPr>
                <w:sz w:val="22"/>
              </w:rPr>
            </w:pPr>
            <w:r>
              <w:rPr>
                <w:sz w:val="22"/>
              </w:rPr>
              <w:t>27</w:t>
            </w:r>
          </w:p>
        </w:tc>
        <w:tc>
          <w:tcPr>
            <w:tcW w:w="1564" w:type="dxa"/>
          </w:tcPr>
          <w:p w:rsidR="00000000" w:rsidRDefault="00000000">
            <w:pPr>
              <w:pStyle w:val="BodyText"/>
              <w:ind w:right="567"/>
              <w:jc w:val="right"/>
              <w:rPr>
                <w:sz w:val="22"/>
              </w:rPr>
            </w:pPr>
            <w:r>
              <w:rPr>
                <w:sz w:val="22"/>
              </w:rPr>
              <w:t>24,32</w:t>
            </w:r>
          </w:p>
        </w:tc>
        <w:tc>
          <w:tcPr>
            <w:tcW w:w="1565" w:type="dxa"/>
          </w:tcPr>
          <w:p w:rsidR="00000000" w:rsidRDefault="00000000">
            <w:pPr>
              <w:pStyle w:val="BodyText"/>
              <w:ind w:right="567"/>
              <w:jc w:val="right"/>
              <w:rPr>
                <w:sz w:val="22"/>
              </w:rPr>
            </w:pPr>
            <w:r>
              <w:rPr>
                <w:sz w:val="22"/>
              </w:rPr>
              <w:t>75,67</w:t>
            </w:r>
          </w:p>
        </w:tc>
      </w:tr>
      <w:tr w:rsidR="00000000">
        <w:tblPrEx>
          <w:tblCellMar>
            <w:top w:w="0" w:type="dxa"/>
            <w:bottom w:w="0" w:type="dxa"/>
          </w:tblCellMar>
        </w:tblPrEx>
        <w:tc>
          <w:tcPr>
            <w:tcW w:w="1980" w:type="dxa"/>
          </w:tcPr>
          <w:p w:rsidR="00000000" w:rsidRDefault="00000000">
            <w:pPr>
              <w:pStyle w:val="BodyText"/>
              <w:rPr>
                <w:sz w:val="22"/>
              </w:rPr>
            </w:pPr>
            <w:r>
              <w:rPr>
                <w:sz w:val="22"/>
              </w:rPr>
              <w:t>2</w:t>
            </w:r>
            <w:r>
              <w:rPr>
                <w:sz w:val="22"/>
                <w:vertAlign w:val="superscript"/>
              </w:rPr>
              <w:t>ème</w:t>
            </w:r>
            <w:r>
              <w:rPr>
                <w:sz w:val="22"/>
              </w:rPr>
              <w:t xml:space="preserve"> année</w:t>
            </w:r>
          </w:p>
        </w:tc>
        <w:tc>
          <w:tcPr>
            <w:tcW w:w="1564" w:type="dxa"/>
          </w:tcPr>
          <w:p w:rsidR="00000000" w:rsidRDefault="00000000">
            <w:pPr>
              <w:pStyle w:val="BodyText"/>
              <w:ind w:right="567"/>
              <w:jc w:val="right"/>
              <w:rPr>
                <w:sz w:val="22"/>
              </w:rPr>
            </w:pPr>
            <w:r>
              <w:rPr>
                <w:sz w:val="22"/>
              </w:rPr>
              <w:t>62</w:t>
            </w:r>
          </w:p>
        </w:tc>
        <w:tc>
          <w:tcPr>
            <w:tcW w:w="1564" w:type="dxa"/>
          </w:tcPr>
          <w:p w:rsidR="00000000" w:rsidRDefault="00000000">
            <w:pPr>
              <w:pStyle w:val="BodyText"/>
              <w:ind w:right="567"/>
              <w:jc w:val="right"/>
              <w:rPr>
                <w:sz w:val="22"/>
              </w:rPr>
            </w:pPr>
            <w:r>
              <w:rPr>
                <w:sz w:val="22"/>
              </w:rPr>
              <w:t>49</w:t>
            </w:r>
          </w:p>
        </w:tc>
        <w:tc>
          <w:tcPr>
            <w:tcW w:w="1564" w:type="dxa"/>
          </w:tcPr>
          <w:p w:rsidR="00000000" w:rsidRDefault="00000000">
            <w:pPr>
              <w:pStyle w:val="BodyText"/>
              <w:ind w:right="567"/>
              <w:jc w:val="right"/>
              <w:rPr>
                <w:sz w:val="22"/>
              </w:rPr>
            </w:pPr>
            <w:r>
              <w:rPr>
                <w:sz w:val="22"/>
              </w:rPr>
              <w:t>13</w:t>
            </w:r>
          </w:p>
        </w:tc>
        <w:tc>
          <w:tcPr>
            <w:tcW w:w="1564" w:type="dxa"/>
          </w:tcPr>
          <w:p w:rsidR="00000000" w:rsidRDefault="00000000">
            <w:pPr>
              <w:pStyle w:val="BodyText"/>
              <w:ind w:right="567"/>
              <w:jc w:val="right"/>
              <w:rPr>
                <w:sz w:val="22"/>
              </w:rPr>
            </w:pPr>
            <w:r>
              <w:rPr>
                <w:sz w:val="22"/>
              </w:rPr>
              <w:t>20,96</w:t>
            </w:r>
          </w:p>
        </w:tc>
        <w:tc>
          <w:tcPr>
            <w:tcW w:w="1565" w:type="dxa"/>
          </w:tcPr>
          <w:p w:rsidR="00000000" w:rsidRDefault="00000000">
            <w:pPr>
              <w:pStyle w:val="BodyText"/>
              <w:ind w:right="567"/>
              <w:jc w:val="right"/>
              <w:rPr>
                <w:sz w:val="22"/>
              </w:rPr>
            </w:pPr>
            <w:r>
              <w:rPr>
                <w:sz w:val="22"/>
              </w:rPr>
              <w:t>79,03</w:t>
            </w:r>
          </w:p>
        </w:tc>
      </w:tr>
      <w:tr w:rsidR="00000000">
        <w:tblPrEx>
          <w:tblCellMar>
            <w:top w:w="0" w:type="dxa"/>
            <w:bottom w:w="0" w:type="dxa"/>
          </w:tblCellMar>
        </w:tblPrEx>
        <w:tc>
          <w:tcPr>
            <w:tcW w:w="1980" w:type="dxa"/>
          </w:tcPr>
          <w:p w:rsidR="00000000" w:rsidRDefault="00000000">
            <w:pPr>
              <w:pStyle w:val="BodyText"/>
              <w:rPr>
                <w:sz w:val="22"/>
              </w:rPr>
            </w:pPr>
            <w:r>
              <w:rPr>
                <w:sz w:val="22"/>
              </w:rPr>
              <w:t>3</w:t>
            </w:r>
            <w:r>
              <w:rPr>
                <w:sz w:val="22"/>
                <w:vertAlign w:val="superscript"/>
              </w:rPr>
              <w:t>ème</w:t>
            </w:r>
            <w:r>
              <w:rPr>
                <w:sz w:val="22"/>
              </w:rPr>
              <w:t xml:space="preserve"> année</w:t>
            </w:r>
          </w:p>
        </w:tc>
        <w:tc>
          <w:tcPr>
            <w:tcW w:w="1564" w:type="dxa"/>
          </w:tcPr>
          <w:p w:rsidR="00000000" w:rsidRDefault="00000000">
            <w:pPr>
              <w:pStyle w:val="BodyText"/>
              <w:ind w:right="567"/>
              <w:jc w:val="right"/>
              <w:rPr>
                <w:sz w:val="22"/>
              </w:rPr>
            </w:pPr>
            <w:r>
              <w:rPr>
                <w:sz w:val="22"/>
              </w:rPr>
              <w:t>171</w:t>
            </w:r>
          </w:p>
        </w:tc>
        <w:tc>
          <w:tcPr>
            <w:tcW w:w="1564" w:type="dxa"/>
          </w:tcPr>
          <w:p w:rsidR="00000000" w:rsidRDefault="00000000">
            <w:pPr>
              <w:pStyle w:val="BodyText"/>
              <w:ind w:right="567"/>
              <w:jc w:val="right"/>
              <w:rPr>
                <w:sz w:val="22"/>
              </w:rPr>
            </w:pPr>
            <w:r>
              <w:rPr>
                <w:sz w:val="22"/>
              </w:rPr>
              <w:t>145</w:t>
            </w:r>
          </w:p>
        </w:tc>
        <w:tc>
          <w:tcPr>
            <w:tcW w:w="1564" w:type="dxa"/>
          </w:tcPr>
          <w:p w:rsidR="00000000" w:rsidRDefault="00000000">
            <w:pPr>
              <w:pStyle w:val="BodyText"/>
              <w:ind w:right="567"/>
              <w:jc w:val="right"/>
              <w:rPr>
                <w:sz w:val="22"/>
              </w:rPr>
            </w:pPr>
            <w:r>
              <w:rPr>
                <w:sz w:val="22"/>
              </w:rPr>
              <w:t>26</w:t>
            </w:r>
          </w:p>
        </w:tc>
        <w:tc>
          <w:tcPr>
            <w:tcW w:w="1564" w:type="dxa"/>
          </w:tcPr>
          <w:p w:rsidR="00000000" w:rsidRDefault="00000000">
            <w:pPr>
              <w:pStyle w:val="BodyText"/>
              <w:ind w:right="567"/>
              <w:jc w:val="right"/>
              <w:rPr>
                <w:sz w:val="22"/>
              </w:rPr>
            </w:pPr>
            <w:r>
              <w:rPr>
                <w:sz w:val="22"/>
              </w:rPr>
              <w:t>15,20</w:t>
            </w:r>
          </w:p>
        </w:tc>
        <w:tc>
          <w:tcPr>
            <w:tcW w:w="1565" w:type="dxa"/>
          </w:tcPr>
          <w:p w:rsidR="00000000" w:rsidRDefault="00000000">
            <w:pPr>
              <w:pStyle w:val="BodyText"/>
              <w:ind w:right="567"/>
              <w:jc w:val="right"/>
              <w:rPr>
                <w:sz w:val="22"/>
              </w:rPr>
            </w:pPr>
            <w:r>
              <w:rPr>
                <w:sz w:val="22"/>
              </w:rPr>
              <w:t>15,20</w:t>
            </w:r>
          </w:p>
        </w:tc>
      </w:tr>
      <w:tr w:rsidR="00000000">
        <w:tblPrEx>
          <w:tblCellMar>
            <w:top w:w="0" w:type="dxa"/>
            <w:bottom w:w="0" w:type="dxa"/>
          </w:tblCellMar>
        </w:tblPrEx>
        <w:tc>
          <w:tcPr>
            <w:tcW w:w="1980" w:type="dxa"/>
          </w:tcPr>
          <w:p w:rsidR="00000000" w:rsidRDefault="00000000">
            <w:pPr>
              <w:pStyle w:val="BodyText"/>
              <w:rPr>
                <w:sz w:val="22"/>
              </w:rPr>
            </w:pPr>
            <w:r>
              <w:rPr>
                <w:sz w:val="22"/>
              </w:rPr>
              <w:t>4</w:t>
            </w:r>
            <w:r>
              <w:rPr>
                <w:sz w:val="22"/>
                <w:vertAlign w:val="superscript"/>
              </w:rPr>
              <w:t>ème</w:t>
            </w:r>
            <w:r>
              <w:rPr>
                <w:sz w:val="22"/>
              </w:rPr>
              <w:t xml:space="preserve"> année</w:t>
            </w:r>
          </w:p>
        </w:tc>
        <w:tc>
          <w:tcPr>
            <w:tcW w:w="1564" w:type="dxa"/>
          </w:tcPr>
          <w:p w:rsidR="00000000" w:rsidRDefault="00000000">
            <w:pPr>
              <w:pStyle w:val="BodyText"/>
              <w:ind w:right="567"/>
              <w:jc w:val="right"/>
              <w:rPr>
                <w:sz w:val="22"/>
              </w:rPr>
            </w:pPr>
            <w:r>
              <w:rPr>
                <w:sz w:val="22"/>
              </w:rPr>
              <w:t>21</w:t>
            </w:r>
          </w:p>
        </w:tc>
        <w:tc>
          <w:tcPr>
            <w:tcW w:w="1564" w:type="dxa"/>
          </w:tcPr>
          <w:p w:rsidR="00000000" w:rsidRDefault="00000000">
            <w:pPr>
              <w:pStyle w:val="BodyText"/>
              <w:ind w:right="567"/>
              <w:jc w:val="right"/>
              <w:rPr>
                <w:sz w:val="22"/>
              </w:rPr>
            </w:pPr>
            <w:r>
              <w:rPr>
                <w:sz w:val="22"/>
              </w:rPr>
              <w:t>14</w:t>
            </w:r>
          </w:p>
        </w:tc>
        <w:tc>
          <w:tcPr>
            <w:tcW w:w="1564" w:type="dxa"/>
          </w:tcPr>
          <w:p w:rsidR="00000000" w:rsidRDefault="00000000">
            <w:pPr>
              <w:pStyle w:val="BodyText"/>
              <w:ind w:right="567"/>
              <w:jc w:val="right"/>
              <w:rPr>
                <w:sz w:val="22"/>
              </w:rPr>
            </w:pPr>
            <w:r>
              <w:rPr>
                <w:sz w:val="22"/>
              </w:rPr>
              <w:t>7</w:t>
            </w:r>
          </w:p>
        </w:tc>
        <w:tc>
          <w:tcPr>
            <w:tcW w:w="1564" w:type="dxa"/>
          </w:tcPr>
          <w:p w:rsidR="00000000" w:rsidRDefault="00000000">
            <w:pPr>
              <w:pStyle w:val="BodyText"/>
              <w:ind w:right="567"/>
              <w:jc w:val="right"/>
              <w:rPr>
                <w:sz w:val="22"/>
              </w:rPr>
            </w:pPr>
            <w:r>
              <w:rPr>
                <w:sz w:val="22"/>
              </w:rPr>
              <w:t>33,33</w:t>
            </w:r>
          </w:p>
        </w:tc>
        <w:tc>
          <w:tcPr>
            <w:tcW w:w="1565" w:type="dxa"/>
          </w:tcPr>
          <w:p w:rsidR="00000000" w:rsidRDefault="00000000">
            <w:pPr>
              <w:pStyle w:val="BodyText"/>
              <w:ind w:right="567"/>
              <w:jc w:val="right"/>
              <w:rPr>
                <w:sz w:val="22"/>
              </w:rPr>
            </w:pPr>
            <w:r>
              <w:rPr>
                <w:sz w:val="22"/>
              </w:rPr>
              <w:t>66,66</w:t>
            </w:r>
          </w:p>
        </w:tc>
      </w:tr>
      <w:tr w:rsidR="00000000">
        <w:tblPrEx>
          <w:tblCellMar>
            <w:top w:w="0" w:type="dxa"/>
            <w:bottom w:w="0" w:type="dxa"/>
          </w:tblCellMar>
        </w:tblPrEx>
        <w:tc>
          <w:tcPr>
            <w:tcW w:w="1980" w:type="dxa"/>
          </w:tcPr>
          <w:p w:rsidR="00000000" w:rsidRDefault="00000000">
            <w:pPr>
              <w:pStyle w:val="BodyText"/>
              <w:rPr>
                <w:sz w:val="22"/>
              </w:rPr>
            </w:pPr>
            <w:r>
              <w:rPr>
                <w:sz w:val="22"/>
              </w:rPr>
              <w:t>5</w:t>
            </w:r>
            <w:r>
              <w:rPr>
                <w:sz w:val="22"/>
                <w:vertAlign w:val="superscript"/>
              </w:rPr>
              <w:t>ème</w:t>
            </w:r>
            <w:r>
              <w:rPr>
                <w:sz w:val="22"/>
              </w:rPr>
              <w:t xml:space="preserve"> année</w:t>
            </w:r>
          </w:p>
        </w:tc>
        <w:tc>
          <w:tcPr>
            <w:tcW w:w="1564" w:type="dxa"/>
          </w:tcPr>
          <w:p w:rsidR="00000000" w:rsidRDefault="00000000">
            <w:pPr>
              <w:pStyle w:val="BodyText"/>
              <w:ind w:right="567"/>
              <w:jc w:val="right"/>
              <w:rPr>
                <w:sz w:val="22"/>
              </w:rPr>
            </w:pPr>
            <w:r>
              <w:rPr>
                <w:sz w:val="22"/>
              </w:rPr>
              <w:t>68</w:t>
            </w:r>
          </w:p>
        </w:tc>
        <w:tc>
          <w:tcPr>
            <w:tcW w:w="1564" w:type="dxa"/>
          </w:tcPr>
          <w:p w:rsidR="00000000" w:rsidRDefault="00000000">
            <w:pPr>
              <w:pStyle w:val="BodyText"/>
              <w:ind w:right="567"/>
              <w:jc w:val="right"/>
              <w:rPr>
                <w:sz w:val="22"/>
              </w:rPr>
            </w:pPr>
            <w:r>
              <w:rPr>
                <w:sz w:val="22"/>
              </w:rPr>
              <w:t>63</w:t>
            </w:r>
          </w:p>
        </w:tc>
        <w:tc>
          <w:tcPr>
            <w:tcW w:w="1564" w:type="dxa"/>
          </w:tcPr>
          <w:p w:rsidR="00000000" w:rsidRDefault="00000000">
            <w:pPr>
              <w:pStyle w:val="BodyText"/>
              <w:ind w:right="567"/>
              <w:jc w:val="right"/>
              <w:rPr>
                <w:sz w:val="22"/>
              </w:rPr>
            </w:pPr>
            <w:r>
              <w:rPr>
                <w:sz w:val="22"/>
              </w:rPr>
              <w:t>5</w:t>
            </w:r>
          </w:p>
        </w:tc>
        <w:tc>
          <w:tcPr>
            <w:tcW w:w="1564" w:type="dxa"/>
          </w:tcPr>
          <w:p w:rsidR="00000000" w:rsidRDefault="00000000">
            <w:pPr>
              <w:pStyle w:val="BodyText"/>
              <w:ind w:right="567"/>
              <w:jc w:val="right"/>
              <w:rPr>
                <w:sz w:val="22"/>
              </w:rPr>
            </w:pPr>
            <w:r>
              <w:rPr>
                <w:sz w:val="22"/>
              </w:rPr>
              <w:t>7,35</w:t>
            </w:r>
          </w:p>
        </w:tc>
        <w:tc>
          <w:tcPr>
            <w:tcW w:w="1565" w:type="dxa"/>
          </w:tcPr>
          <w:p w:rsidR="00000000" w:rsidRDefault="00000000">
            <w:pPr>
              <w:pStyle w:val="BodyText"/>
              <w:ind w:right="567"/>
              <w:jc w:val="right"/>
              <w:rPr>
                <w:sz w:val="22"/>
              </w:rPr>
            </w:pPr>
            <w:r>
              <w:rPr>
                <w:sz w:val="22"/>
              </w:rPr>
              <w:t>92,64</w:t>
            </w:r>
          </w:p>
        </w:tc>
      </w:tr>
      <w:tr w:rsidR="00000000">
        <w:tblPrEx>
          <w:tblCellMar>
            <w:top w:w="0" w:type="dxa"/>
            <w:bottom w:w="0" w:type="dxa"/>
          </w:tblCellMar>
        </w:tblPrEx>
        <w:tc>
          <w:tcPr>
            <w:tcW w:w="1980" w:type="dxa"/>
          </w:tcPr>
          <w:p w:rsidR="00000000" w:rsidRDefault="00000000">
            <w:pPr>
              <w:pStyle w:val="BodyText"/>
              <w:rPr>
                <w:b/>
                <w:sz w:val="22"/>
              </w:rPr>
            </w:pPr>
            <w:r>
              <w:rPr>
                <w:b/>
                <w:sz w:val="22"/>
              </w:rPr>
              <w:t xml:space="preserve">Total </w:t>
            </w:r>
          </w:p>
        </w:tc>
        <w:tc>
          <w:tcPr>
            <w:tcW w:w="1564" w:type="dxa"/>
          </w:tcPr>
          <w:p w:rsidR="00000000" w:rsidRDefault="00000000">
            <w:pPr>
              <w:pStyle w:val="BodyText"/>
              <w:ind w:right="567"/>
              <w:jc w:val="right"/>
              <w:rPr>
                <w:sz w:val="22"/>
              </w:rPr>
            </w:pPr>
            <w:r>
              <w:rPr>
                <w:sz w:val="22"/>
              </w:rPr>
              <w:t>433</w:t>
            </w:r>
          </w:p>
        </w:tc>
        <w:tc>
          <w:tcPr>
            <w:tcW w:w="1564" w:type="dxa"/>
          </w:tcPr>
          <w:p w:rsidR="00000000" w:rsidRDefault="00000000">
            <w:pPr>
              <w:pStyle w:val="BodyText"/>
              <w:ind w:right="567"/>
              <w:jc w:val="right"/>
              <w:rPr>
                <w:sz w:val="22"/>
              </w:rPr>
            </w:pPr>
            <w:r>
              <w:rPr>
                <w:sz w:val="22"/>
              </w:rPr>
              <w:t>355</w:t>
            </w:r>
          </w:p>
        </w:tc>
        <w:tc>
          <w:tcPr>
            <w:tcW w:w="1564" w:type="dxa"/>
          </w:tcPr>
          <w:p w:rsidR="00000000" w:rsidRDefault="00000000">
            <w:pPr>
              <w:pStyle w:val="BodyText"/>
              <w:ind w:right="567"/>
              <w:jc w:val="right"/>
              <w:rPr>
                <w:sz w:val="22"/>
              </w:rPr>
            </w:pPr>
            <w:r>
              <w:rPr>
                <w:sz w:val="22"/>
              </w:rPr>
              <w:t>78</w:t>
            </w:r>
          </w:p>
        </w:tc>
        <w:tc>
          <w:tcPr>
            <w:tcW w:w="1564" w:type="dxa"/>
          </w:tcPr>
          <w:p w:rsidR="00000000" w:rsidRDefault="00000000">
            <w:pPr>
              <w:pStyle w:val="BodyText"/>
              <w:ind w:right="567"/>
              <w:jc w:val="right"/>
              <w:rPr>
                <w:sz w:val="22"/>
              </w:rPr>
            </w:pPr>
            <w:r>
              <w:rPr>
                <w:sz w:val="22"/>
              </w:rPr>
              <w:t>18,01</w:t>
            </w:r>
          </w:p>
        </w:tc>
        <w:tc>
          <w:tcPr>
            <w:tcW w:w="1565" w:type="dxa"/>
          </w:tcPr>
          <w:p w:rsidR="00000000" w:rsidRDefault="00000000">
            <w:pPr>
              <w:pStyle w:val="BodyText"/>
              <w:ind w:right="567"/>
              <w:jc w:val="right"/>
              <w:rPr>
                <w:sz w:val="22"/>
              </w:rPr>
            </w:pPr>
            <w:r>
              <w:rPr>
                <w:sz w:val="22"/>
              </w:rPr>
              <w:t>81,99</w:t>
            </w:r>
          </w:p>
        </w:tc>
      </w:tr>
    </w:tbl>
    <w:p w:rsidR="00000000" w:rsidRDefault="00000000">
      <w:pPr>
        <w:rPr>
          <w:sz w:val="22"/>
        </w:rPr>
      </w:pPr>
    </w:p>
    <w:p w:rsidR="00000000" w:rsidRDefault="00000000">
      <w:pPr>
        <w:pStyle w:val="BodyText"/>
        <w:rPr>
          <w:b/>
          <w:sz w:val="22"/>
        </w:rPr>
      </w:pPr>
      <w:r>
        <w:rPr>
          <w:b/>
          <w:sz w:val="22"/>
          <w:u w:val="single"/>
        </w:rPr>
        <w:t>Tableau n° 58</w:t>
      </w:r>
      <w:r>
        <w:rPr>
          <w:b/>
          <w:sz w:val="22"/>
        </w:rPr>
        <w:t> : Représentativité des filles à l’Institut Supérieur de Gestion</w:t>
      </w:r>
    </w:p>
    <w:p w:rsidR="00000000" w:rsidRDefault="00000000">
      <w:pPr>
        <w:pStyle w:val="BodyText"/>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62"/>
        <w:gridCol w:w="1564"/>
        <w:gridCol w:w="1564"/>
        <w:gridCol w:w="1564"/>
        <w:gridCol w:w="1564"/>
        <w:gridCol w:w="1565"/>
      </w:tblGrid>
      <w:tr w:rsidR="00000000">
        <w:tblPrEx>
          <w:tblCellMar>
            <w:top w:w="0" w:type="dxa"/>
            <w:bottom w:w="0" w:type="dxa"/>
          </w:tblCellMar>
        </w:tblPrEx>
        <w:tc>
          <w:tcPr>
            <w:tcW w:w="1962" w:type="dxa"/>
          </w:tcPr>
          <w:p w:rsidR="00000000" w:rsidRDefault="00000000">
            <w:pPr>
              <w:pStyle w:val="BodyText"/>
              <w:jc w:val="center"/>
              <w:rPr>
                <w:sz w:val="22"/>
              </w:rPr>
            </w:pPr>
            <w:r>
              <w:rPr>
                <w:sz w:val="22"/>
              </w:rPr>
              <w:t>Année</w:t>
            </w:r>
          </w:p>
        </w:tc>
        <w:tc>
          <w:tcPr>
            <w:tcW w:w="1564" w:type="dxa"/>
          </w:tcPr>
          <w:p w:rsidR="00000000" w:rsidRDefault="00000000">
            <w:pPr>
              <w:pStyle w:val="BodyText"/>
              <w:jc w:val="center"/>
              <w:rPr>
                <w:sz w:val="22"/>
              </w:rPr>
            </w:pPr>
            <w:r>
              <w:rPr>
                <w:sz w:val="22"/>
              </w:rPr>
              <w:t>Total</w:t>
            </w:r>
          </w:p>
        </w:tc>
        <w:tc>
          <w:tcPr>
            <w:tcW w:w="1564" w:type="dxa"/>
          </w:tcPr>
          <w:p w:rsidR="00000000" w:rsidRDefault="00000000">
            <w:pPr>
              <w:pStyle w:val="BodyText"/>
              <w:jc w:val="center"/>
              <w:rPr>
                <w:sz w:val="22"/>
              </w:rPr>
            </w:pPr>
            <w:r>
              <w:rPr>
                <w:sz w:val="22"/>
              </w:rPr>
              <w:t>Hommes</w:t>
            </w:r>
          </w:p>
        </w:tc>
        <w:tc>
          <w:tcPr>
            <w:tcW w:w="1564" w:type="dxa"/>
          </w:tcPr>
          <w:p w:rsidR="00000000" w:rsidRDefault="00000000">
            <w:pPr>
              <w:pStyle w:val="BodyText"/>
              <w:jc w:val="center"/>
              <w:rPr>
                <w:sz w:val="22"/>
              </w:rPr>
            </w:pPr>
            <w:r>
              <w:rPr>
                <w:sz w:val="22"/>
              </w:rPr>
              <w:t>Femmes</w:t>
            </w:r>
          </w:p>
        </w:tc>
        <w:tc>
          <w:tcPr>
            <w:tcW w:w="1564" w:type="dxa"/>
          </w:tcPr>
          <w:p w:rsidR="00000000" w:rsidRDefault="00000000">
            <w:pPr>
              <w:pStyle w:val="BodyText"/>
              <w:jc w:val="center"/>
              <w:rPr>
                <w:sz w:val="22"/>
              </w:rPr>
            </w:pPr>
            <w:r>
              <w:rPr>
                <w:sz w:val="22"/>
              </w:rPr>
              <w:t>% F</w:t>
            </w:r>
          </w:p>
        </w:tc>
        <w:tc>
          <w:tcPr>
            <w:tcW w:w="1565" w:type="dxa"/>
          </w:tcPr>
          <w:p w:rsidR="00000000" w:rsidRDefault="00000000">
            <w:pPr>
              <w:pStyle w:val="BodyText"/>
              <w:jc w:val="center"/>
              <w:rPr>
                <w:sz w:val="22"/>
              </w:rPr>
            </w:pPr>
            <w:r>
              <w:rPr>
                <w:sz w:val="22"/>
              </w:rPr>
              <w:t>% H</w:t>
            </w:r>
          </w:p>
        </w:tc>
      </w:tr>
      <w:tr w:rsidR="00000000">
        <w:tblPrEx>
          <w:tblCellMar>
            <w:top w:w="0" w:type="dxa"/>
            <w:bottom w:w="0" w:type="dxa"/>
          </w:tblCellMar>
        </w:tblPrEx>
        <w:tc>
          <w:tcPr>
            <w:tcW w:w="1962" w:type="dxa"/>
          </w:tcPr>
          <w:p w:rsidR="00000000" w:rsidRDefault="00000000">
            <w:pPr>
              <w:pStyle w:val="BodyText"/>
              <w:rPr>
                <w:sz w:val="22"/>
              </w:rPr>
            </w:pPr>
            <w:r>
              <w:rPr>
                <w:sz w:val="22"/>
              </w:rPr>
              <w:t>1</w:t>
            </w:r>
            <w:r>
              <w:rPr>
                <w:sz w:val="22"/>
                <w:vertAlign w:val="superscript"/>
              </w:rPr>
              <w:t>ère</w:t>
            </w:r>
            <w:r>
              <w:rPr>
                <w:sz w:val="22"/>
              </w:rPr>
              <w:t xml:space="preserve"> année</w:t>
            </w:r>
          </w:p>
        </w:tc>
        <w:tc>
          <w:tcPr>
            <w:tcW w:w="1564" w:type="dxa"/>
          </w:tcPr>
          <w:p w:rsidR="00000000" w:rsidRDefault="00000000">
            <w:pPr>
              <w:pStyle w:val="BodyText"/>
              <w:ind w:right="567"/>
              <w:jc w:val="right"/>
              <w:rPr>
                <w:sz w:val="22"/>
              </w:rPr>
            </w:pPr>
            <w:r>
              <w:rPr>
                <w:sz w:val="22"/>
              </w:rPr>
              <w:t>115</w:t>
            </w:r>
          </w:p>
        </w:tc>
        <w:tc>
          <w:tcPr>
            <w:tcW w:w="1564" w:type="dxa"/>
          </w:tcPr>
          <w:p w:rsidR="00000000" w:rsidRDefault="00000000">
            <w:pPr>
              <w:pStyle w:val="BodyText"/>
              <w:ind w:right="567"/>
              <w:jc w:val="right"/>
              <w:rPr>
                <w:sz w:val="22"/>
              </w:rPr>
            </w:pPr>
            <w:r>
              <w:rPr>
                <w:sz w:val="22"/>
              </w:rPr>
              <w:t>82</w:t>
            </w:r>
          </w:p>
        </w:tc>
        <w:tc>
          <w:tcPr>
            <w:tcW w:w="1564" w:type="dxa"/>
          </w:tcPr>
          <w:p w:rsidR="00000000" w:rsidRDefault="00000000">
            <w:pPr>
              <w:pStyle w:val="BodyText"/>
              <w:ind w:right="567"/>
              <w:jc w:val="right"/>
              <w:rPr>
                <w:sz w:val="22"/>
              </w:rPr>
            </w:pPr>
            <w:r>
              <w:rPr>
                <w:sz w:val="22"/>
              </w:rPr>
              <w:t>33</w:t>
            </w:r>
          </w:p>
        </w:tc>
        <w:tc>
          <w:tcPr>
            <w:tcW w:w="1564" w:type="dxa"/>
          </w:tcPr>
          <w:p w:rsidR="00000000" w:rsidRDefault="00000000">
            <w:pPr>
              <w:pStyle w:val="BodyText"/>
              <w:ind w:right="567"/>
              <w:jc w:val="right"/>
              <w:rPr>
                <w:sz w:val="22"/>
              </w:rPr>
            </w:pPr>
            <w:r>
              <w:rPr>
                <w:sz w:val="22"/>
              </w:rPr>
              <w:t>28,69</w:t>
            </w:r>
          </w:p>
        </w:tc>
        <w:tc>
          <w:tcPr>
            <w:tcW w:w="1565" w:type="dxa"/>
          </w:tcPr>
          <w:p w:rsidR="00000000" w:rsidRDefault="00000000">
            <w:pPr>
              <w:pStyle w:val="BodyText"/>
              <w:ind w:right="567"/>
              <w:jc w:val="right"/>
              <w:rPr>
                <w:sz w:val="22"/>
              </w:rPr>
            </w:pPr>
            <w:r>
              <w:rPr>
                <w:sz w:val="22"/>
              </w:rPr>
              <w:t>71,30</w:t>
            </w:r>
          </w:p>
        </w:tc>
      </w:tr>
      <w:tr w:rsidR="00000000">
        <w:tblPrEx>
          <w:tblCellMar>
            <w:top w:w="0" w:type="dxa"/>
            <w:bottom w:w="0" w:type="dxa"/>
          </w:tblCellMar>
        </w:tblPrEx>
        <w:tc>
          <w:tcPr>
            <w:tcW w:w="1962" w:type="dxa"/>
          </w:tcPr>
          <w:p w:rsidR="00000000" w:rsidRDefault="00000000">
            <w:pPr>
              <w:pStyle w:val="BodyText"/>
              <w:rPr>
                <w:sz w:val="22"/>
              </w:rPr>
            </w:pPr>
            <w:r>
              <w:rPr>
                <w:sz w:val="22"/>
              </w:rPr>
              <w:t>2</w:t>
            </w:r>
            <w:r>
              <w:rPr>
                <w:sz w:val="22"/>
                <w:vertAlign w:val="superscript"/>
              </w:rPr>
              <w:t>ème</w:t>
            </w:r>
            <w:r>
              <w:rPr>
                <w:sz w:val="22"/>
              </w:rPr>
              <w:t xml:space="preserve"> année</w:t>
            </w:r>
          </w:p>
        </w:tc>
        <w:tc>
          <w:tcPr>
            <w:tcW w:w="1564" w:type="dxa"/>
          </w:tcPr>
          <w:p w:rsidR="00000000" w:rsidRDefault="00000000">
            <w:pPr>
              <w:pStyle w:val="BodyText"/>
              <w:ind w:right="567"/>
              <w:jc w:val="right"/>
              <w:rPr>
                <w:sz w:val="22"/>
              </w:rPr>
            </w:pPr>
            <w:r>
              <w:rPr>
                <w:sz w:val="22"/>
              </w:rPr>
              <w:t>89</w:t>
            </w:r>
          </w:p>
        </w:tc>
        <w:tc>
          <w:tcPr>
            <w:tcW w:w="1564" w:type="dxa"/>
          </w:tcPr>
          <w:p w:rsidR="00000000" w:rsidRDefault="00000000">
            <w:pPr>
              <w:pStyle w:val="BodyText"/>
              <w:ind w:right="567"/>
              <w:jc w:val="right"/>
              <w:rPr>
                <w:sz w:val="22"/>
              </w:rPr>
            </w:pPr>
            <w:r>
              <w:rPr>
                <w:sz w:val="22"/>
              </w:rPr>
              <w:t>47</w:t>
            </w:r>
          </w:p>
        </w:tc>
        <w:tc>
          <w:tcPr>
            <w:tcW w:w="1564" w:type="dxa"/>
          </w:tcPr>
          <w:p w:rsidR="00000000" w:rsidRDefault="00000000">
            <w:pPr>
              <w:pStyle w:val="BodyText"/>
              <w:ind w:right="567"/>
              <w:jc w:val="right"/>
              <w:rPr>
                <w:sz w:val="22"/>
              </w:rPr>
            </w:pPr>
            <w:r>
              <w:rPr>
                <w:sz w:val="22"/>
              </w:rPr>
              <w:t>42</w:t>
            </w:r>
          </w:p>
        </w:tc>
        <w:tc>
          <w:tcPr>
            <w:tcW w:w="1564" w:type="dxa"/>
          </w:tcPr>
          <w:p w:rsidR="00000000" w:rsidRDefault="00000000">
            <w:pPr>
              <w:pStyle w:val="BodyText"/>
              <w:ind w:right="567"/>
              <w:jc w:val="right"/>
              <w:rPr>
                <w:sz w:val="22"/>
              </w:rPr>
            </w:pPr>
            <w:r>
              <w:rPr>
                <w:sz w:val="22"/>
              </w:rPr>
              <w:t>47,19</w:t>
            </w:r>
          </w:p>
        </w:tc>
        <w:tc>
          <w:tcPr>
            <w:tcW w:w="1565" w:type="dxa"/>
          </w:tcPr>
          <w:p w:rsidR="00000000" w:rsidRDefault="00000000">
            <w:pPr>
              <w:pStyle w:val="BodyText"/>
              <w:ind w:right="567"/>
              <w:jc w:val="right"/>
              <w:rPr>
                <w:sz w:val="22"/>
              </w:rPr>
            </w:pPr>
            <w:r>
              <w:rPr>
                <w:sz w:val="22"/>
              </w:rPr>
              <w:t>52,80</w:t>
            </w:r>
          </w:p>
        </w:tc>
      </w:tr>
      <w:tr w:rsidR="00000000">
        <w:tblPrEx>
          <w:tblCellMar>
            <w:top w:w="0" w:type="dxa"/>
            <w:bottom w:w="0" w:type="dxa"/>
          </w:tblCellMar>
        </w:tblPrEx>
        <w:tc>
          <w:tcPr>
            <w:tcW w:w="1962" w:type="dxa"/>
          </w:tcPr>
          <w:p w:rsidR="00000000" w:rsidRDefault="00000000">
            <w:pPr>
              <w:pStyle w:val="BodyText"/>
              <w:rPr>
                <w:sz w:val="22"/>
              </w:rPr>
            </w:pPr>
            <w:r>
              <w:rPr>
                <w:sz w:val="22"/>
              </w:rPr>
              <w:t>3</w:t>
            </w:r>
            <w:r>
              <w:rPr>
                <w:sz w:val="22"/>
                <w:vertAlign w:val="superscript"/>
              </w:rPr>
              <w:t>ème</w:t>
            </w:r>
            <w:r>
              <w:rPr>
                <w:sz w:val="22"/>
              </w:rPr>
              <w:t xml:space="preserve"> année</w:t>
            </w:r>
          </w:p>
        </w:tc>
        <w:tc>
          <w:tcPr>
            <w:tcW w:w="1564" w:type="dxa"/>
          </w:tcPr>
          <w:p w:rsidR="00000000" w:rsidRDefault="00000000">
            <w:pPr>
              <w:pStyle w:val="BodyText"/>
              <w:ind w:right="567"/>
              <w:jc w:val="right"/>
              <w:rPr>
                <w:sz w:val="22"/>
              </w:rPr>
            </w:pPr>
            <w:r>
              <w:rPr>
                <w:sz w:val="22"/>
              </w:rPr>
              <w:t>63</w:t>
            </w:r>
          </w:p>
        </w:tc>
        <w:tc>
          <w:tcPr>
            <w:tcW w:w="1564" w:type="dxa"/>
          </w:tcPr>
          <w:p w:rsidR="00000000" w:rsidRDefault="00000000">
            <w:pPr>
              <w:pStyle w:val="BodyText"/>
              <w:ind w:right="567"/>
              <w:jc w:val="right"/>
              <w:rPr>
                <w:sz w:val="22"/>
              </w:rPr>
            </w:pPr>
            <w:r>
              <w:rPr>
                <w:sz w:val="22"/>
              </w:rPr>
              <w:t>43</w:t>
            </w:r>
          </w:p>
        </w:tc>
        <w:tc>
          <w:tcPr>
            <w:tcW w:w="1564" w:type="dxa"/>
          </w:tcPr>
          <w:p w:rsidR="00000000" w:rsidRDefault="00000000">
            <w:pPr>
              <w:pStyle w:val="BodyText"/>
              <w:ind w:right="567"/>
              <w:jc w:val="right"/>
              <w:rPr>
                <w:sz w:val="22"/>
              </w:rPr>
            </w:pPr>
            <w:r>
              <w:rPr>
                <w:sz w:val="22"/>
              </w:rPr>
              <w:t>20</w:t>
            </w:r>
          </w:p>
        </w:tc>
        <w:tc>
          <w:tcPr>
            <w:tcW w:w="1564" w:type="dxa"/>
          </w:tcPr>
          <w:p w:rsidR="00000000" w:rsidRDefault="00000000">
            <w:pPr>
              <w:pStyle w:val="BodyText"/>
              <w:ind w:right="567"/>
              <w:jc w:val="right"/>
              <w:rPr>
                <w:sz w:val="22"/>
              </w:rPr>
            </w:pPr>
            <w:r>
              <w:rPr>
                <w:sz w:val="22"/>
              </w:rPr>
              <w:t>31,74</w:t>
            </w:r>
          </w:p>
        </w:tc>
        <w:tc>
          <w:tcPr>
            <w:tcW w:w="1565" w:type="dxa"/>
          </w:tcPr>
          <w:p w:rsidR="00000000" w:rsidRDefault="00000000">
            <w:pPr>
              <w:pStyle w:val="BodyText"/>
              <w:ind w:right="567"/>
              <w:jc w:val="right"/>
              <w:rPr>
                <w:sz w:val="22"/>
              </w:rPr>
            </w:pPr>
            <w:r>
              <w:rPr>
                <w:sz w:val="22"/>
              </w:rPr>
              <w:t>68,25</w:t>
            </w:r>
          </w:p>
        </w:tc>
      </w:tr>
      <w:tr w:rsidR="00000000">
        <w:tblPrEx>
          <w:tblCellMar>
            <w:top w:w="0" w:type="dxa"/>
            <w:bottom w:w="0" w:type="dxa"/>
          </w:tblCellMar>
        </w:tblPrEx>
        <w:tc>
          <w:tcPr>
            <w:tcW w:w="1962" w:type="dxa"/>
          </w:tcPr>
          <w:p w:rsidR="00000000" w:rsidRDefault="00000000">
            <w:pPr>
              <w:pStyle w:val="BodyText"/>
              <w:rPr>
                <w:b/>
                <w:sz w:val="22"/>
              </w:rPr>
            </w:pPr>
            <w:r>
              <w:rPr>
                <w:b/>
                <w:sz w:val="22"/>
              </w:rPr>
              <w:t xml:space="preserve">Total </w:t>
            </w:r>
          </w:p>
        </w:tc>
        <w:tc>
          <w:tcPr>
            <w:tcW w:w="1564" w:type="dxa"/>
          </w:tcPr>
          <w:p w:rsidR="00000000" w:rsidRDefault="00000000">
            <w:pPr>
              <w:pStyle w:val="BodyText"/>
              <w:ind w:right="567"/>
              <w:jc w:val="right"/>
              <w:rPr>
                <w:sz w:val="22"/>
              </w:rPr>
            </w:pPr>
            <w:r>
              <w:rPr>
                <w:sz w:val="22"/>
              </w:rPr>
              <w:t>267</w:t>
            </w:r>
          </w:p>
        </w:tc>
        <w:tc>
          <w:tcPr>
            <w:tcW w:w="1564" w:type="dxa"/>
          </w:tcPr>
          <w:p w:rsidR="00000000" w:rsidRDefault="00000000">
            <w:pPr>
              <w:pStyle w:val="BodyText"/>
              <w:ind w:right="567"/>
              <w:jc w:val="right"/>
              <w:rPr>
                <w:sz w:val="22"/>
              </w:rPr>
            </w:pPr>
            <w:r>
              <w:rPr>
                <w:sz w:val="22"/>
              </w:rPr>
              <w:t>172</w:t>
            </w:r>
          </w:p>
        </w:tc>
        <w:tc>
          <w:tcPr>
            <w:tcW w:w="1564" w:type="dxa"/>
          </w:tcPr>
          <w:p w:rsidR="00000000" w:rsidRDefault="00000000">
            <w:pPr>
              <w:pStyle w:val="BodyText"/>
              <w:ind w:right="567"/>
              <w:jc w:val="right"/>
              <w:rPr>
                <w:sz w:val="22"/>
              </w:rPr>
            </w:pPr>
            <w:r>
              <w:rPr>
                <w:sz w:val="22"/>
              </w:rPr>
              <w:t>95</w:t>
            </w:r>
          </w:p>
        </w:tc>
        <w:tc>
          <w:tcPr>
            <w:tcW w:w="1564" w:type="dxa"/>
          </w:tcPr>
          <w:p w:rsidR="00000000" w:rsidRDefault="00000000">
            <w:pPr>
              <w:pStyle w:val="BodyText"/>
              <w:ind w:right="567"/>
              <w:jc w:val="right"/>
              <w:rPr>
                <w:sz w:val="22"/>
              </w:rPr>
            </w:pPr>
            <w:r>
              <w:rPr>
                <w:sz w:val="22"/>
              </w:rPr>
              <w:t>35,58</w:t>
            </w:r>
          </w:p>
        </w:tc>
        <w:tc>
          <w:tcPr>
            <w:tcW w:w="1565" w:type="dxa"/>
          </w:tcPr>
          <w:p w:rsidR="00000000" w:rsidRDefault="00000000">
            <w:pPr>
              <w:pStyle w:val="BodyText"/>
              <w:ind w:right="567"/>
              <w:jc w:val="right"/>
              <w:rPr>
                <w:sz w:val="22"/>
              </w:rPr>
            </w:pPr>
            <w:r>
              <w:rPr>
                <w:sz w:val="22"/>
              </w:rPr>
              <w:t>64,42</w:t>
            </w:r>
          </w:p>
        </w:tc>
      </w:tr>
    </w:tbl>
    <w:p w:rsidR="00000000" w:rsidRDefault="00000000">
      <w:pPr>
        <w:pStyle w:val="BodyText"/>
        <w:rPr>
          <w:b/>
          <w:sz w:val="22"/>
        </w:rPr>
      </w:pPr>
      <w:r>
        <w:rPr>
          <w:b/>
          <w:sz w:val="22"/>
          <w:u w:val="single"/>
        </w:rPr>
        <w:t>Tableau n° 59</w:t>
      </w:r>
      <w:r>
        <w:rPr>
          <w:b/>
          <w:sz w:val="22"/>
        </w:rPr>
        <w:t> : Représentativité des filles à l’Université Marien NGOUABI</w:t>
      </w:r>
    </w:p>
    <w:p w:rsidR="00000000" w:rsidRDefault="00000000">
      <w:pPr>
        <w:pStyle w:val="BodyText"/>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44"/>
        <w:gridCol w:w="1578"/>
        <w:gridCol w:w="1579"/>
        <w:gridCol w:w="1578"/>
        <w:gridCol w:w="1579"/>
        <w:gridCol w:w="1579"/>
      </w:tblGrid>
      <w:tr w:rsidR="00000000">
        <w:tblPrEx>
          <w:tblCellMar>
            <w:top w:w="0" w:type="dxa"/>
            <w:bottom w:w="0" w:type="dxa"/>
          </w:tblCellMar>
        </w:tblPrEx>
        <w:tc>
          <w:tcPr>
            <w:tcW w:w="1944" w:type="dxa"/>
          </w:tcPr>
          <w:p w:rsidR="00000000" w:rsidRDefault="00000000">
            <w:pPr>
              <w:pStyle w:val="BodyText"/>
              <w:jc w:val="center"/>
              <w:rPr>
                <w:sz w:val="22"/>
              </w:rPr>
            </w:pPr>
            <w:r>
              <w:rPr>
                <w:sz w:val="22"/>
              </w:rPr>
              <w:t>Année</w:t>
            </w:r>
          </w:p>
        </w:tc>
        <w:tc>
          <w:tcPr>
            <w:tcW w:w="1578" w:type="dxa"/>
          </w:tcPr>
          <w:p w:rsidR="00000000" w:rsidRDefault="00000000">
            <w:pPr>
              <w:pStyle w:val="BodyText"/>
              <w:jc w:val="center"/>
              <w:rPr>
                <w:sz w:val="22"/>
              </w:rPr>
            </w:pPr>
            <w:r>
              <w:rPr>
                <w:sz w:val="22"/>
              </w:rPr>
              <w:t>Total</w:t>
            </w:r>
          </w:p>
        </w:tc>
        <w:tc>
          <w:tcPr>
            <w:tcW w:w="1579" w:type="dxa"/>
          </w:tcPr>
          <w:p w:rsidR="00000000" w:rsidRDefault="00000000">
            <w:pPr>
              <w:pStyle w:val="BodyText"/>
              <w:jc w:val="center"/>
              <w:rPr>
                <w:sz w:val="22"/>
              </w:rPr>
            </w:pPr>
            <w:r>
              <w:rPr>
                <w:sz w:val="22"/>
              </w:rPr>
              <w:t>Hommes</w:t>
            </w:r>
          </w:p>
        </w:tc>
        <w:tc>
          <w:tcPr>
            <w:tcW w:w="1578" w:type="dxa"/>
          </w:tcPr>
          <w:p w:rsidR="00000000" w:rsidRDefault="00000000">
            <w:pPr>
              <w:pStyle w:val="BodyText"/>
              <w:jc w:val="center"/>
              <w:rPr>
                <w:sz w:val="22"/>
              </w:rPr>
            </w:pPr>
            <w:r>
              <w:rPr>
                <w:sz w:val="22"/>
              </w:rPr>
              <w:t>Femmes</w:t>
            </w:r>
          </w:p>
        </w:tc>
        <w:tc>
          <w:tcPr>
            <w:tcW w:w="1579" w:type="dxa"/>
          </w:tcPr>
          <w:p w:rsidR="00000000" w:rsidRDefault="00000000">
            <w:pPr>
              <w:pStyle w:val="BodyText"/>
              <w:jc w:val="center"/>
              <w:rPr>
                <w:sz w:val="22"/>
              </w:rPr>
            </w:pPr>
            <w:r>
              <w:rPr>
                <w:sz w:val="22"/>
              </w:rPr>
              <w:t>% F</w:t>
            </w:r>
          </w:p>
        </w:tc>
        <w:tc>
          <w:tcPr>
            <w:tcW w:w="1579" w:type="dxa"/>
          </w:tcPr>
          <w:p w:rsidR="00000000" w:rsidRDefault="00000000">
            <w:pPr>
              <w:pStyle w:val="BodyText"/>
              <w:jc w:val="center"/>
              <w:rPr>
                <w:sz w:val="22"/>
              </w:rPr>
            </w:pPr>
            <w:r>
              <w:rPr>
                <w:sz w:val="22"/>
              </w:rPr>
              <w:t>% H</w:t>
            </w:r>
          </w:p>
        </w:tc>
      </w:tr>
      <w:tr w:rsidR="00000000">
        <w:tblPrEx>
          <w:tblCellMar>
            <w:top w:w="0" w:type="dxa"/>
            <w:bottom w:w="0" w:type="dxa"/>
          </w:tblCellMar>
        </w:tblPrEx>
        <w:tc>
          <w:tcPr>
            <w:tcW w:w="1944" w:type="dxa"/>
          </w:tcPr>
          <w:p w:rsidR="00000000" w:rsidRDefault="00000000">
            <w:pPr>
              <w:pStyle w:val="BodyText"/>
              <w:rPr>
                <w:sz w:val="22"/>
              </w:rPr>
            </w:pPr>
            <w:r>
              <w:rPr>
                <w:sz w:val="22"/>
              </w:rPr>
              <w:t>1</w:t>
            </w:r>
            <w:r>
              <w:rPr>
                <w:sz w:val="22"/>
                <w:vertAlign w:val="superscript"/>
              </w:rPr>
              <w:t>ère</w:t>
            </w:r>
            <w:r>
              <w:rPr>
                <w:sz w:val="22"/>
              </w:rPr>
              <w:t xml:space="preserve"> année</w:t>
            </w:r>
          </w:p>
        </w:tc>
        <w:tc>
          <w:tcPr>
            <w:tcW w:w="1578" w:type="dxa"/>
          </w:tcPr>
          <w:p w:rsidR="00000000" w:rsidRDefault="00000000">
            <w:pPr>
              <w:pStyle w:val="BodyText"/>
              <w:ind w:right="567"/>
              <w:jc w:val="right"/>
              <w:rPr>
                <w:sz w:val="22"/>
              </w:rPr>
            </w:pPr>
            <w:r>
              <w:rPr>
                <w:sz w:val="22"/>
              </w:rPr>
              <w:t>5589</w:t>
            </w:r>
          </w:p>
        </w:tc>
        <w:tc>
          <w:tcPr>
            <w:tcW w:w="1579" w:type="dxa"/>
          </w:tcPr>
          <w:p w:rsidR="00000000" w:rsidRDefault="00000000">
            <w:pPr>
              <w:pStyle w:val="BodyText"/>
              <w:ind w:right="567"/>
              <w:jc w:val="right"/>
              <w:rPr>
                <w:sz w:val="22"/>
              </w:rPr>
            </w:pPr>
            <w:r>
              <w:rPr>
                <w:sz w:val="22"/>
              </w:rPr>
              <w:t>3979</w:t>
            </w:r>
          </w:p>
        </w:tc>
        <w:tc>
          <w:tcPr>
            <w:tcW w:w="1578" w:type="dxa"/>
          </w:tcPr>
          <w:p w:rsidR="00000000" w:rsidRDefault="00000000">
            <w:pPr>
              <w:pStyle w:val="BodyText"/>
              <w:ind w:right="567"/>
              <w:jc w:val="right"/>
              <w:rPr>
                <w:sz w:val="22"/>
              </w:rPr>
            </w:pPr>
            <w:r>
              <w:rPr>
                <w:sz w:val="22"/>
              </w:rPr>
              <w:t>1610</w:t>
            </w:r>
          </w:p>
        </w:tc>
        <w:tc>
          <w:tcPr>
            <w:tcW w:w="1579" w:type="dxa"/>
          </w:tcPr>
          <w:p w:rsidR="00000000" w:rsidRDefault="00000000">
            <w:pPr>
              <w:pStyle w:val="BodyText"/>
              <w:ind w:right="567"/>
              <w:jc w:val="right"/>
              <w:rPr>
                <w:sz w:val="22"/>
              </w:rPr>
            </w:pPr>
            <w:r>
              <w:rPr>
                <w:sz w:val="22"/>
              </w:rPr>
              <w:t>28,80</w:t>
            </w:r>
          </w:p>
        </w:tc>
        <w:tc>
          <w:tcPr>
            <w:tcW w:w="1579" w:type="dxa"/>
          </w:tcPr>
          <w:p w:rsidR="00000000" w:rsidRDefault="00000000">
            <w:pPr>
              <w:pStyle w:val="BodyText"/>
              <w:ind w:right="567"/>
              <w:jc w:val="right"/>
              <w:rPr>
                <w:sz w:val="22"/>
              </w:rPr>
            </w:pPr>
            <w:r>
              <w:rPr>
                <w:sz w:val="22"/>
              </w:rPr>
              <w:t>71,19</w:t>
            </w:r>
          </w:p>
        </w:tc>
      </w:tr>
      <w:tr w:rsidR="00000000">
        <w:tblPrEx>
          <w:tblCellMar>
            <w:top w:w="0" w:type="dxa"/>
            <w:bottom w:w="0" w:type="dxa"/>
          </w:tblCellMar>
        </w:tblPrEx>
        <w:tc>
          <w:tcPr>
            <w:tcW w:w="1944" w:type="dxa"/>
          </w:tcPr>
          <w:p w:rsidR="00000000" w:rsidRDefault="00000000">
            <w:pPr>
              <w:pStyle w:val="BodyText"/>
              <w:rPr>
                <w:sz w:val="22"/>
              </w:rPr>
            </w:pPr>
            <w:r>
              <w:rPr>
                <w:sz w:val="22"/>
              </w:rPr>
              <w:t>2</w:t>
            </w:r>
            <w:r>
              <w:rPr>
                <w:sz w:val="22"/>
                <w:vertAlign w:val="superscript"/>
              </w:rPr>
              <w:t>ème</w:t>
            </w:r>
            <w:r>
              <w:rPr>
                <w:sz w:val="22"/>
              </w:rPr>
              <w:t xml:space="preserve"> année</w:t>
            </w:r>
          </w:p>
        </w:tc>
        <w:tc>
          <w:tcPr>
            <w:tcW w:w="1578" w:type="dxa"/>
          </w:tcPr>
          <w:p w:rsidR="00000000" w:rsidRDefault="00000000">
            <w:pPr>
              <w:pStyle w:val="BodyText"/>
              <w:ind w:right="567"/>
              <w:jc w:val="right"/>
              <w:rPr>
                <w:sz w:val="22"/>
              </w:rPr>
            </w:pPr>
            <w:r>
              <w:rPr>
                <w:sz w:val="22"/>
              </w:rPr>
              <w:t>3000</w:t>
            </w:r>
          </w:p>
        </w:tc>
        <w:tc>
          <w:tcPr>
            <w:tcW w:w="1579" w:type="dxa"/>
          </w:tcPr>
          <w:p w:rsidR="00000000" w:rsidRDefault="00000000">
            <w:pPr>
              <w:pStyle w:val="BodyText"/>
              <w:ind w:right="567"/>
              <w:jc w:val="right"/>
              <w:rPr>
                <w:sz w:val="22"/>
              </w:rPr>
            </w:pPr>
            <w:r>
              <w:rPr>
                <w:sz w:val="22"/>
              </w:rPr>
              <w:t>2292</w:t>
            </w:r>
          </w:p>
        </w:tc>
        <w:tc>
          <w:tcPr>
            <w:tcW w:w="1578" w:type="dxa"/>
          </w:tcPr>
          <w:p w:rsidR="00000000" w:rsidRDefault="00000000">
            <w:pPr>
              <w:pStyle w:val="BodyText"/>
              <w:ind w:right="567"/>
              <w:jc w:val="right"/>
              <w:rPr>
                <w:sz w:val="22"/>
              </w:rPr>
            </w:pPr>
            <w:r>
              <w:rPr>
                <w:sz w:val="22"/>
              </w:rPr>
              <w:t>708</w:t>
            </w:r>
          </w:p>
        </w:tc>
        <w:tc>
          <w:tcPr>
            <w:tcW w:w="1579" w:type="dxa"/>
          </w:tcPr>
          <w:p w:rsidR="00000000" w:rsidRDefault="00000000">
            <w:pPr>
              <w:pStyle w:val="BodyText"/>
              <w:ind w:right="567"/>
              <w:jc w:val="right"/>
              <w:rPr>
                <w:sz w:val="22"/>
              </w:rPr>
            </w:pPr>
            <w:r>
              <w:rPr>
                <w:sz w:val="22"/>
              </w:rPr>
              <w:t>23,6</w:t>
            </w:r>
          </w:p>
        </w:tc>
        <w:tc>
          <w:tcPr>
            <w:tcW w:w="1579" w:type="dxa"/>
          </w:tcPr>
          <w:p w:rsidR="00000000" w:rsidRDefault="00000000">
            <w:pPr>
              <w:pStyle w:val="BodyText"/>
              <w:ind w:right="567"/>
              <w:jc w:val="right"/>
              <w:rPr>
                <w:sz w:val="22"/>
              </w:rPr>
            </w:pPr>
            <w:r>
              <w:rPr>
                <w:sz w:val="22"/>
              </w:rPr>
              <w:t>76,4</w:t>
            </w:r>
          </w:p>
        </w:tc>
      </w:tr>
      <w:tr w:rsidR="00000000">
        <w:tblPrEx>
          <w:tblCellMar>
            <w:top w:w="0" w:type="dxa"/>
            <w:bottom w:w="0" w:type="dxa"/>
          </w:tblCellMar>
        </w:tblPrEx>
        <w:tc>
          <w:tcPr>
            <w:tcW w:w="1944" w:type="dxa"/>
          </w:tcPr>
          <w:p w:rsidR="00000000" w:rsidRDefault="00000000">
            <w:pPr>
              <w:pStyle w:val="BodyText"/>
              <w:rPr>
                <w:sz w:val="22"/>
              </w:rPr>
            </w:pPr>
            <w:r>
              <w:rPr>
                <w:sz w:val="22"/>
              </w:rPr>
              <w:t>3</w:t>
            </w:r>
            <w:r>
              <w:rPr>
                <w:sz w:val="22"/>
                <w:vertAlign w:val="superscript"/>
              </w:rPr>
              <w:t>ème</w:t>
            </w:r>
            <w:r>
              <w:rPr>
                <w:sz w:val="22"/>
              </w:rPr>
              <w:t xml:space="preserve"> année</w:t>
            </w:r>
          </w:p>
        </w:tc>
        <w:tc>
          <w:tcPr>
            <w:tcW w:w="1578" w:type="dxa"/>
          </w:tcPr>
          <w:p w:rsidR="00000000" w:rsidRDefault="00000000">
            <w:pPr>
              <w:pStyle w:val="BodyText"/>
              <w:ind w:right="567"/>
              <w:jc w:val="right"/>
              <w:rPr>
                <w:sz w:val="22"/>
              </w:rPr>
            </w:pPr>
            <w:r>
              <w:rPr>
                <w:sz w:val="22"/>
              </w:rPr>
              <w:t>3398</w:t>
            </w:r>
          </w:p>
        </w:tc>
        <w:tc>
          <w:tcPr>
            <w:tcW w:w="1579" w:type="dxa"/>
          </w:tcPr>
          <w:p w:rsidR="00000000" w:rsidRDefault="00000000">
            <w:pPr>
              <w:pStyle w:val="BodyText"/>
              <w:ind w:right="567"/>
              <w:jc w:val="right"/>
              <w:rPr>
                <w:sz w:val="22"/>
              </w:rPr>
            </w:pPr>
            <w:r>
              <w:rPr>
                <w:sz w:val="22"/>
              </w:rPr>
              <w:t>2581</w:t>
            </w:r>
          </w:p>
        </w:tc>
        <w:tc>
          <w:tcPr>
            <w:tcW w:w="1578" w:type="dxa"/>
          </w:tcPr>
          <w:p w:rsidR="00000000" w:rsidRDefault="00000000">
            <w:pPr>
              <w:pStyle w:val="BodyText"/>
              <w:ind w:right="567"/>
              <w:jc w:val="right"/>
              <w:rPr>
                <w:sz w:val="22"/>
              </w:rPr>
            </w:pPr>
            <w:r>
              <w:rPr>
                <w:sz w:val="22"/>
              </w:rPr>
              <w:t>817</w:t>
            </w:r>
          </w:p>
        </w:tc>
        <w:tc>
          <w:tcPr>
            <w:tcW w:w="1579" w:type="dxa"/>
          </w:tcPr>
          <w:p w:rsidR="00000000" w:rsidRDefault="00000000">
            <w:pPr>
              <w:pStyle w:val="BodyText"/>
              <w:ind w:right="567"/>
              <w:jc w:val="right"/>
              <w:rPr>
                <w:sz w:val="22"/>
              </w:rPr>
            </w:pPr>
            <w:r>
              <w:rPr>
                <w:sz w:val="22"/>
              </w:rPr>
              <w:t>24,04</w:t>
            </w:r>
          </w:p>
        </w:tc>
        <w:tc>
          <w:tcPr>
            <w:tcW w:w="1579" w:type="dxa"/>
          </w:tcPr>
          <w:p w:rsidR="00000000" w:rsidRDefault="00000000">
            <w:pPr>
              <w:pStyle w:val="BodyText"/>
              <w:ind w:right="567"/>
              <w:jc w:val="right"/>
              <w:rPr>
                <w:sz w:val="22"/>
              </w:rPr>
            </w:pPr>
            <w:r>
              <w:rPr>
                <w:sz w:val="22"/>
              </w:rPr>
              <w:t>75,95</w:t>
            </w:r>
          </w:p>
        </w:tc>
      </w:tr>
      <w:tr w:rsidR="00000000">
        <w:tblPrEx>
          <w:tblCellMar>
            <w:top w:w="0" w:type="dxa"/>
            <w:bottom w:w="0" w:type="dxa"/>
          </w:tblCellMar>
        </w:tblPrEx>
        <w:tc>
          <w:tcPr>
            <w:tcW w:w="1944" w:type="dxa"/>
          </w:tcPr>
          <w:p w:rsidR="00000000" w:rsidRDefault="00000000">
            <w:pPr>
              <w:pStyle w:val="BodyText"/>
              <w:rPr>
                <w:sz w:val="22"/>
              </w:rPr>
            </w:pPr>
            <w:r>
              <w:rPr>
                <w:sz w:val="22"/>
              </w:rPr>
              <w:t>4</w:t>
            </w:r>
            <w:r>
              <w:rPr>
                <w:sz w:val="22"/>
                <w:vertAlign w:val="superscript"/>
              </w:rPr>
              <w:t>ème</w:t>
            </w:r>
            <w:r>
              <w:rPr>
                <w:sz w:val="22"/>
              </w:rPr>
              <w:t xml:space="preserve"> année</w:t>
            </w:r>
          </w:p>
        </w:tc>
        <w:tc>
          <w:tcPr>
            <w:tcW w:w="1578" w:type="dxa"/>
          </w:tcPr>
          <w:p w:rsidR="00000000" w:rsidRDefault="00000000">
            <w:pPr>
              <w:pStyle w:val="BodyText"/>
              <w:ind w:right="567"/>
              <w:jc w:val="right"/>
              <w:rPr>
                <w:sz w:val="22"/>
              </w:rPr>
            </w:pPr>
            <w:r>
              <w:rPr>
                <w:sz w:val="22"/>
              </w:rPr>
              <w:t>1991</w:t>
            </w:r>
          </w:p>
        </w:tc>
        <w:tc>
          <w:tcPr>
            <w:tcW w:w="1579" w:type="dxa"/>
          </w:tcPr>
          <w:p w:rsidR="00000000" w:rsidRDefault="00000000">
            <w:pPr>
              <w:pStyle w:val="BodyText"/>
              <w:ind w:right="567"/>
              <w:jc w:val="right"/>
              <w:rPr>
                <w:sz w:val="22"/>
              </w:rPr>
            </w:pPr>
            <w:r>
              <w:rPr>
                <w:sz w:val="22"/>
              </w:rPr>
              <w:t>1604</w:t>
            </w:r>
          </w:p>
        </w:tc>
        <w:tc>
          <w:tcPr>
            <w:tcW w:w="1578" w:type="dxa"/>
          </w:tcPr>
          <w:p w:rsidR="00000000" w:rsidRDefault="00000000">
            <w:pPr>
              <w:pStyle w:val="BodyText"/>
              <w:ind w:right="567"/>
              <w:jc w:val="right"/>
              <w:rPr>
                <w:sz w:val="22"/>
              </w:rPr>
            </w:pPr>
            <w:r>
              <w:rPr>
                <w:sz w:val="22"/>
              </w:rPr>
              <w:t>387</w:t>
            </w:r>
          </w:p>
        </w:tc>
        <w:tc>
          <w:tcPr>
            <w:tcW w:w="1579" w:type="dxa"/>
          </w:tcPr>
          <w:p w:rsidR="00000000" w:rsidRDefault="00000000">
            <w:pPr>
              <w:pStyle w:val="BodyText"/>
              <w:ind w:right="567"/>
              <w:jc w:val="right"/>
              <w:rPr>
                <w:sz w:val="22"/>
              </w:rPr>
            </w:pPr>
            <w:r>
              <w:rPr>
                <w:sz w:val="22"/>
              </w:rPr>
              <w:t>19,43</w:t>
            </w:r>
          </w:p>
        </w:tc>
        <w:tc>
          <w:tcPr>
            <w:tcW w:w="1579" w:type="dxa"/>
          </w:tcPr>
          <w:p w:rsidR="00000000" w:rsidRDefault="00000000">
            <w:pPr>
              <w:pStyle w:val="BodyText"/>
              <w:ind w:right="567"/>
              <w:jc w:val="right"/>
              <w:rPr>
                <w:sz w:val="22"/>
              </w:rPr>
            </w:pPr>
            <w:r>
              <w:rPr>
                <w:sz w:val="22"/>
              </w:rPr>
              <w:t>80,56</w:t>
            </w:r>
          </w:p>
        </w:tc>
      </w:tr>
      <w:tr w:rsidR="00000000">
        <w:tblPrEx>
          <w:tblCellMar>
            <w:top w:w="0" w:type="dxa"/>
            <w:bottom w:w="0" w:type="dxa"/>
          </w:tblCellMar>
        </w:tblPrEx>
        <w:tc>
          <w:tcPr>
            <w:tcW w:w="1944" w:type="dxa"/>
          </w:tcPr>
          <w:p w:rsidR="00000000" w:rsidRDefault="00000000">
            <w:pPr>
              <w:pStyle w:val="BodyText"/>
              <w:rPr>
                <w:sz w:val="22"/>
              </w:rPr>
            </w:pPr>
            <w:r>
              <w:rPr>
                <w:sz w:val="22"/>
              </w:rPr>
              <w:t>5</w:t>
            </w:r>
            <w:r>
              <w:rPr>
                <w:sz w:val="22"/>
                <w:vertAlign w:val="superscript"/>
              </w:rPr>
              <w:t>ème</w:t>
            </w:r>
            <w:r>
              <w:rPr>
                <w:sz w:val="22"/>
              </w:rPr>
              <w:t xml:space="preserve"> année</w:t>
            </w:r>
          </w:p>
        </w:tc>
        <w:tc>
          <w:tcPr>
            <w:tcW w:w="1578" w:type="dxa"/>
          </w:tcPr>
          <w:p w:rsidR="00000000" w:rsidRDefault="00000000">
            <w:pPr>
              <w:pStyle w:val="BodyText"/>
              <w:ind w:right="567"/>
              <w:jc w:val="right"/>
              <w:rPr>
                <w:sz w:val="22"/>
              </w:rPr>
            </w:pPr>
            <w:r>
              <w:rPr>
                <w:sz w:val="22"/>
              </w:rPr>
              <w:t>219</w:t>
            </w:r>
          </w:p>
        </w:tc>
        <w:tc>
          <w:tcPr>
            <w:tcW w:w="1579" w:type="dxa"/>
          </w:tcPr>
          <w:p w:rsidR="00000000" w:rsidRDefault="00000000">
            <w:pPr>
              <w:pStyle w:val="BodyText"/>
              <w:ind w:right="567"/>
              <w:jc w:val="right"/>
              <w:rPr>
                <w:sz w:val="22"/>
              </w:rPr>
            </w:pPr>
            <w:r>
              <w:rPr>
                <w:sz w:val="22"/>
              </w:rPr>
              <w:t>197</w:t>
            </w:r>
          </w:p>
        </w:tc>
        <w:tc>
          <w:tcPr>
            <w:tcW w:w="1578" w:type="dxa"/>
          </w:tcPr>
          <w:p w:rsidR="00000000" w:rsidRDefault="00000000">
            <w:pPr>
              <w:pStyle w:val="BodyText"/>
              <w:ind w:right="567"/>
              <w:jc w:val="right"/>
              <w:rPr>
                <w:sz w:val="22"/>
              </w:rPr>
            </w:pPr>
            <w:r>
              <w:rPr>
                <w:sz w:val="22"/>
              </w:rPr>
              <w:t>22</w:t>
            </w:r>
          </w:p>
        </w:tc>
        <w:tc>
          <w:tcPr>
            <w:tcW w:w="1579" w:type="dxa"/>
          </w:tcPr>
          <w:p w:rsidR="00000000" w:rsidRDefault="00000000">
            <w:pPr>
              <w:pStyle w:val="BodyText"/>
              <w:ind w:right="567"/>
              <w:jc w:val="right"/>
              <w:rPr>
                <w:sz w:val="22"/>
              </w:rPr>
            </w:pPr>
            <w:r>
              <w:rPr>
                <w:sz w:val="22"/>
              </w:rPr>
              <w:t>1</w:t>
            </w:r>
          </w:p>
        </w:tc>
        <w:tc>
          <w:tcPr>
            <w:tcW w:w="1579" w:type="dxa"/>
          </w:tcPr>
          <w:p w:rsidR="00000000" w:rsidRDefault="00000000">
            <w:pPr>
              <w:pStyle w:val="BodyText"/>
              <w:ind w:right="567"/>
              <w:jc w:val="right"/>
              <w:rPr>
                <w:sz w:val="22"/>
              </w:rPr>
            </w:pPr>
            <w:r>
              <w:rPr>
                <w:sz w:val="22"/>
              </w:rPr>
              <w:t>8,99</w:t>
            </w:r>
          </w:p>
        </w:tc>
      </w:tr>
      <w:tr w:rsidR="00000000">
        <w:tblPrEx>
          <w:tblCellMar>
            <w:top w:w="0" w:type="dxa"/>
            <w:bottom w:w="0" w:type="dxa"/>
          </w:tblCellMar>
        </w:tblPrEx>
        <w:tc>
          <w:tcPr>
            <w:tcW w:w="1944" w:type="dxa"/>
          </w:tcPr>
          <w:p w:rsidR="00000000" w:rsidRDefault="00000000">
            <w:pPr>
              <w:pStyle w:val="BodyText"/>
              <w:rPr>
                <w:sz w:val="22"/>
              </w:rPr>
            </w:pPr>
            <w:r>
              <w:rPr>
                <w:sz w:val="22"/>
              </w:rPr>
              <w:t>6</w:t>
            </w:r>
            <w:r>
              <w:rPr>
                <w:sz w:val="22"/>
                <w:vertAlign w:val="superscript"/>
              </w:rPr>
              <w:t>ème</w:t>
            </w:r>
            <w:r>
              <w:rPr>
                <w:sz w:val="22"/>
              </w:rPr>
              <w:t xml:space="preserve"> année</w:t>
            </w:r>
          </w:p>
        </w:tc>
        <w:tc>
          <w:tcPr>
            <w:tcW w:w="1578" w:type="dxa"/>
          </w:tcPr>
          <w:p w:rsidR="00000000" w:rsidRDefault="00000000">
            <w:pPr>
              <w:pStyle w:val="BodyText"/>
              <w:ind w:right="567"/>
              <w:jc w:val="right"/>
              <w:rPr>
                <w:sz w:val="22"/>
              </w:rPr>
            </w:pPr>
            <w:r>
              <w:rPr>
                <w:sz w:val="22"/>
              </w:rPr>
              <w:t>32</w:t>
            </w:r>
          </w:p>
        </w:tc>
        <w:tc>
          <w:tcPr>
            <w:tcW w:w="1579" w:type="dxa"/>
          </w:tcPr>
          <w:p w:rsidR="00000000" w:rsidRDefault="00000000">
            <w:pPr>
              <w:pStyle w:val="BodyText"/>
              <w:ind w:right="567"/>
              <w:jc w:val="right"/>
              <w:rPr>
                <w:sz w:val="22"/>
              </w:rPr>
            </w:pPr>
            <w:r>
              <w:rPr>
                <w:sz w:val="22"/>
              </w:rPr>
              <w:t>25</w:t>
            </w:r>
          </w:p>
        </w:tc>
        <w:tc>
          <w:tcPr>
            <w:tcW w:w="1578" w:type="dxa"/>
          </w:tcPr>
          <w:p w:rsidR="00000000" w:rsidRDefault="00000000">
            <w:pPr>
              <w:pStyle w:val="BodyText"/>
              <w:ind w:right="567"/>
              <w:jc w:val="right"/>
              <w:rPr>
                <w:sz w:val="22"/>
              </w:rPr>
            </w:pPr>
            <w:r>
              <w:rPr>
                <w:sz w:val="22"/>
              </w:rPr>
              <w:t>7</w:t>
            </w:r>
          </w:p>
        </w:tc>
        <w:tc>
          <w:tcPr>
            <w:tcW w:w="1579" w:type="dxa"/>
          </w:tcPr>
          <w:p w:rsidR="00000000" w:rsidRDefault="00000000">
            <w:pPr>
              <w:pStyle w:val="BodyText"/>
              <w:ind w:right="567"/>
              <w:jc w:val="right"/>
              <w:rPr>
                <w:sz w:val="22"/>
              </w:rPr>
            </w:pPr>
            <w:r>
              <w:rPr>
                <w:sz w:val="22"/>
              </w:rPr>
              <w:t>21,87</w:t>
            </w:r>
          </w:p>
        </w:tc>
        <w:tc>
          <w:tcPr>
            <w:tcW w:w="1579" w:type="dxa"/>
          </w:tcPr>
          <w:p w:rsidR="00000000" w:rsidRDefault="00000000">
            <w:pPr>
              <w:pStyle w:val="BodyText"/>
              <w:ind w:right="567"/>
              <w:jc w:val="right"/>
              <w:rPr>
                <w:sz w:val="22"/>
              </w:rPr>
            </w:pPr>
            <w:r>
              <w:rPr>
                <w:sz w:val="22"/>
              </w:rPr>
              <w:t>78,12</w:t>
            </w:r>
          </w:p>
        </w:tc>
      </w:tr>
      <w:tr w:rsidR="00000000">
        <w:tblPrEx>
          <w:tblCellMar>
            <w:top w:w="0" w:type="dxa"/>
            <w:bottom w:w="0" w:type="dxa"/>
          </w:tblCellMar>
        </w:tblPrEx>
        <w:tc>
          <w:tcPr>
            <w:tcW w:w="1944" w:type="dxa"/>
          </w:tcPr>
          <w:p w:rsidR="00000000" w:rsidRDefault="00000000">
            <w:pPr>
              <w:pStyle w:val="BodyText"/>
              <w:rPr>
                <w:sz w:val="22"/>
              </w:rPr>
            </w:pPr>
            <w:r>
              <w:rPr>
                <w:sz w:val="22"/>
              </w:rPr>
              <w:t>7</w:t>
            </w:r>
            <w:r>
              <w:rPr>
                <w:sz w:val="22"/>
                <w:vertAlign w:val="superscript"/>
              </w:rPr>
              <w:t>ème</w:t>
            </w:r>
            <w:r>
              <w:rPr>
                <w:sz w:val="22"/>
              </w:rPr>
              <w:t xml:space="preserve"> année</w:t>
            </w:r>
          </w:p>
        </w:tc>
        <w:tc>
          <w:tcPr>
            <w:tcW w:w="1578" w:type="dxa"/>
          </w:tcPr>
          <w:p w:rsidR="00000000" w:rsidRDefault="00000000">
            <w:pPr>
              <w:pStyle w:val="BodyText"/>
              <w:ind w:right="567"/>
              <w:jc w:val="right"/>
              <w:rPr>
                <w:sz w:val="22"/>
              </w:rPr>
            </w:pPr>
            <w:r>
              <w:rPr>
                <w:sz w:val="22"/>
              </w:rPr>
              <w:t>50</w:t>
            </w:r>
          </w:p>
        </w:tc>
        <w:tc>
          <w:tcPr>
            <w:tcW w:w="1579" w:type="dxa"/>
          </w:tcPr>
          <w:p w:rsidR="00000000" w:rsidRDefault="00000000">
            <w:pPr>
              <w:pStyle w:val="BodyText"/>
              <w:ind w:right="567"/>
              <w:jc w:val="right"/>
              <w:rPr>
                <w:sz w:val="22"/>
              </w:rPr>
            </w:pPr>
            <w:r>
              <w:rPr>
                <w:sz w:val="22"/>
              </w:rPr>
              <w:t>41</w:t>
            </w:r>
          </w:p>
        </w:tc>
        <w:tc>
          <w:tcPr>
            <w:tcW w:w="1578" w:type="dxa"/>
          </w:tcPr>
          <w:p w:rsidR="00000000" w:rsidRDefault="00000000">
            <w:pPr>
              <w:pStyle w:val="BodyText"/>
              <w:ind w:right="567"/>
              <w:jc w:val="right"/>
              <w:rPr>
                <w:sz w:val="22"/>
              </w:rPr>
            </w:pPr>
            <w:r>
              <w:rPr>
                <w:sz w:val="22"/>
              </w:rPr>
              <w:t>9</w:t>
            </w:r>
          </w:p>
        </w:tc>
        <w:tc>
          <w:tcPr>
            <w:tcW w:w="1579" w:type="dxa"/>
          </w:tcPr>
          <w:p w:rsidR="00000000" w:rsidRDefault="00000000">
            <w:pPr>
              <w:pStyle w:val="BodyText"/>
              <w:ind w:right="567"/>
              <w:jc w:val="right"/>
              <w:rPr>
                <w:sz w:val="22"/>
              </w:rPr>
            </w:pPr>
            <w:r>
              <w:rPr>
                <w:sz w:val="22"/>
              </w:rPr>
              <w:t>18</w:t>
            </w:r>
          </w:p>
        </w:tc>
        <w:tc>
          <w:tcPr>
            <w:tcW w:w="1579" w:type="dxa"/>
          </w:tcPr>
          <w:p w:rsidR="00000000" w:rsidRDefault="00000000">
            <w:pPr>
              <w:pStyle w:val="BodyText"/>
              <w:ind w:right="567"/>
              <w:jc w:val="right"/>
              <w:rPr>
                <w:sz w:val="22"/>
              </w:rPr>
            </w:pPr>
            <w:r>
              <w:rPr>
                <w:sz w:val="22"/>
              </w:rPr>
              <w:t>82</w:t>
            </w:r>
          </w:p>
        </w:tc>
      </w:tr>
      <w:tr w:rsidR="00000000">
        <w:tblPrEx>
          <w:tblCellMar>
            <w:top w:w="0" w:type="dxa"/>
            <w:bottom w:w="0" w:type="dxa"/>
          </w:tblCellMar>
        </w:tblPrEx>
        <w:tc>
          <w:tcPr>
            <w:tcW w:w="1944" w:type="dxa"/>
          </w:tcPr>
          <w:p w:rsidR="00000000" w:rsidRDefault="00000000">
            <w:pPr>
              <w:pStyle w:val="BodyText"/>
              <w:rPr>
                <w:b/>
                <w:sz w:val="22"/>
                <w:lang w:val="en-GB"/>
              </w:rPr>
            </w:pPr>
            <w:r>
              <w:rPr>
                <w:b/>
                <w:sz w:val="22"/>
                <w:lang w:val="en-GB"/>
              </w:rPr>
              <w:t xml:space="preserve">Total </w:t>
            </w:r>
          </w:p>
        </w:tc>
        <w:tc>
          <w:tcPr>
            <w:tcW w:w="1578" w:type="dxa"/>
          </w:tcPr>
          <w:p w:rsidR="00000000" w:rsidRDefault="00000000">
            <w:pPr>
              <w:pStyle w:val="BodyText"/>
              <w:ind w:right="567"/>
              <w:jc w:val="right"/>
              <w:rPr>
                <w:sz w:val="22"/>
              </w:rPr>
            </w:pPr>
            <w:r>
              <w:rPr>
                <w:sz w:val="22"/>
              </w:rPr>
              <w:t>14279</w:t>
            </w:r>
          </w:p>
        </w:tc>
        <w:tc>
          <w:tcPr>
            <w:tcW w:w="1579" w:type="dxa"/>
          </w:tcPr>
          <w:p w:rsidR="00000000" w:rsidRDefault="00000000">
            <w:pPr>
              <w:pStyle w:val="BodyText"/>
              <w:ind w:right="567"/>
              <w:jc w:val="right"/>
              <w:rPr>
                <w:sz w:val="22"/>
              </w:rPr>
            </w:pPr>
            <w:r>
              <w:rPr>
                <w:sz w:val="22"/>
              </w:rPr>
              <w:t>10719</w:t>
            </w:r>
          </w:p>
        </w:tc>
        <w:tc>
          <w:tcPr>
            <w:tcW w:w="1578" w:type="dxa"/>
          </w:tcPr>
          <w:p w:rsidR="00000000" w:rsidRDefault="00000000">
            <w:pPr>
              <w:pStyle w:val="BodyText"/>
              <w:ind w:right="567"/>
              <w:jc w:val="right"/>
              <w:rPr>
                <w:sz w:val="22"/>
              </w:rPr>
            </w:pPr>
            <w:r>
              <w:rPr>
                <w:sz w:val="22"/>
              </w:rPr>
              <w:t>3560</w:t>
            </w:r>
          </w:p>
        </w:tc>
        <w:tc>
          <w:tcPr>
            <w:tcW w:w="1579" w:type="dxa"/>
          </w:tcPr>
          <w:p w:rsidR="00000000" w:rsidRDefault="00000000">
            <w:pPr>
              <w:pStyle w:val="BodyText"/>
              <w:ind w:right="567"/>
              <w:jc w:val="right"/>
              <w:rPr>
                <w:sz w:val="22"/>
              </w:rPr>
            </w:pPr>
            <w:r>
              <w:rPr>
                <w:sz w:val="22"/>
              </w:rPr>
              <w:t>24,94</w:t>
            </w:r>
          </w:p>
        </w:tc>
        <w:tc>
          <w:tcPr>
            <w:tcW w:w="1579" w:type="dxa"/>
          </w:tcPr>
          <w:p w:rsidR="00000000" w:rsidRDefault="00000000">
            <w:pPr>
              <w:pStyle w:val="BodyText"/>
              <w:ind w:right="567"/>
              <w:jc w:val="right"/>
              <w:rPr>
                <w:sz w:val="22"/>
              </w:rPr>
            </w:pPr>
            <w:r>
              <w:rPr>
                <w:sz w:val="22"/>
              </w:rPr>
              <w:t>75,06</w:t>
            </w:r>
          </w:p>
        </w:tc>
      </w:tr>
    </w:tbl>
    <w:p w:rsidR="00000000" w:rsidRDefault="00000000">
      <w:pPr>
        <w:rPr>
          <w:b/>
          <w:sz w:val="22"/>
          <w:u w:val="single"/>
        </w:rPr>
      </w:pPr>
    </w:p>
    <w:p w:rsidR="00000000" w:rsidRDefault="00000000">
      <w:pPr>
        <w:rPr>
          <w:b/>
          <w:sz w:val="22"/>
          <w:u w:val="single"/>
        </w:rPr>
      </w:pPr>
    </w:p>
    <w:p w:rsidR="00000000" w:rsidRDefault="00000000">
      <w:pPr>
        <w:rPr>
          <w:b/>
          <w:sz w:val="22"/>
        </w:rPr>
      </w:pPr>
      <w:r>
        <w:rPr>
          <w:b/>
          <w:sz w:val="22"/>
          <w:u w:val="single"/>
        </w:rPr>
        <w:t>Tableau n° 60</w:t>
      </w:r>
      <w:r>
        <w:rPr>
          <w:b/>
          <w:sz w:val="22"/>
        </w:rPr>
        <w:t> : Attribution des bourses par sexe :</w:t>
      </w:r>
    </w:p>
    <w:p w:rsidR="00000000" w:rsidRDefault="00000000">
      <w:pPr>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73"/>
        <w:gridCol w:w="3273"/>
        <w:gridCol w:w="3273"/>
      </w:tblGrid>
      <w:tr w:rsidR="00000000">
        <w:tblPrEx>
          <w:tblCellMar>
            <w:top w:w="0" w:type="dxa"/>
            <w:bottom w:w="0" w:type="dxa"/>
          </w:tblCellMar>
        </w:tblPrEx>
        <w:tc>
          <w:tcPr>
            <w:tcW w:w="3273" w:type="dxa"/>
          </w:tcPr>
          <w:p w:rsidR="00000000" w:rsidRDefault="00000000">
            <w:pPr>
              <w:jc w:val="center"/>
              <w:rPr>
                <w:sz w:val="22"/>
              </w:rPr>
            </w:pPr>
            <w:r>
              <w:rPr>
                <w:sz w:val="22"/>
              </w:rPr>
              <w:t>Année 1998-1999</w:t>
            </w:r>
          </w:p>
        </w:tc>
        <w:tc>
          <w:tcPr>
            <w:tcW w:w="3273" w:type="dxa"/>
          </w:tcPr>
          <w:p w:rsidR="00000000" w:rsidRDefault="00000000">
            <w:pPr>
              <w:jc w:val="center"/>
              <w:rPr>
                <w:sz w:val="22"/>
              </w:rPr>
            </w:pPr>
            <w:r>
              <w:rPr>
                <w:sz w:val="22"/>
              </w:rPr>
              <w:t>Total</w:t>
            </w:r>
          </w:p>
        </w:tc>
        <w:tc>
          <w:tcPr>
            <w:tcW w:w="3273" w:type="dxa"/>
            <w:tcBorders>
              <w:right w:val="single" w:sz="4" w:space="0" w:color="auto"/>
            </w:tcBorders>
          </w:tcPr>
          <w:p w:rsidR="00000000" w:rsidRDefault="00000000">
            <w:pPr>
              <w:jc w:val="center"/>
              <w:rPr>
                <w:sz w:val="22"/>
              </w:rPr>
            </w:pPr>
            <w:r>
              <w:rPr>
                <w:sz w:val="22"/>
              </w:rPr>
              <w:t>Pourcentage</w:t>
            </w:r>
          </w:p>
        </w:tc>
      </w:tr>
      <w:tr w:rsidR="00000000">
        <w:tblPrEx>
          <w:tblCellMar>
            <w:top w:w="0" w:type="dxa"/>
            <w:bottom w:w="0" w:type="dxa"/>
          </w:tblCellMar>
        </w:tblPrEx>
        <w:trPr>
          <w:cantSplit/>
        </w:trPr>
        <w:tc>
          <w:tcPr>
            <w:tcW w:w="3273" w:type="dxa"/>
          </w:tcPr>
          <w:p w:rsidR="00000000" w:rsidRDefault="00000000">
            <w:pPr>
              <w:rPr>
                <w:sz w:val="22"/>
              </w:rPr>
            </w:pPr>
            <w:r>
              <w:rPr>
                <w:sz w:val="22"/>
              </w:rPr>
              <w:t>Hommes</w:t>
            </w:r>
          </w:p>
        </w:tc>
        <w:tc>
          <w:tcPr>
            <w:tcW w:w="3273" w:type="dxa"/>
          </w:tcPr>
          <w:p w:rsidR="00000000" w:rsidRDefault="00000000">
            <w:pPr>
              <w:ind w:right="1274"/>
              <w:jc w:val="right"/>
              <w:rPr>
                <w:sz w:val="22"/>
              </w:rPr>
            </w:pPr>
            <w:r>
              <w:rPr>
                <w:sz w:val="22"/>
              </w:rPr>
              <w:t>3.194</w:t>
            </w:r>
          </w:p>
        </w:tc>
        <w:tc>
          <w:tcPr>
            <w:tcW w:w="3273" w:type="dxa"/>
            <w:tcBorders>
              <w:right w:val="single" w:sz="4" w:space="0" w:color="auto"/>
            </w:tcBorders>
          </w:tcPr>
          <w:p w:rsidR="00000000" w:rsidRDefault="00000000">
            <w:pPr>
              <w:ind w:right="1325"/>
              <w:jc w:val="right"/>
              <w:rPr>
                <w:sz w:val="22"/>
              </w:rPr>
            </w:pPr>
            <w:r>
              <w:rPr>
                <w:sz w:val="22"/>
              </w:rPr>
              <w:t>75,65</w:t>
            </w:r>
          </w:p>
        </w:tc>
      </w:tr>
      <w:tr w:rsidR="00000000">
        <w:tblPrEx>
          <w:tblCellMar>
            <w:top w:w="0" w:type="dxa"/>
            <w:bottom w:w="0" w:type="dxa"/>
          </w:tblCellMar>
        </w:tblPrEx>
        <w:trPr>
          <w:cantSplit/>
        </w:trPr>
        <w:tc>
          <w:tcPr>
            <w:tcW w:w="3273" w:type="dxa"/>
          </w:tcPr>
          <w:p w:rsidR="00000000" w:rsidRDefault="00000000">
            <w:pPr>
              <w:rPr>
                <w:sz w:val="22"/>
              </w:rPr>
            </w:pPr>
            <w:r>
              <w:rPr>
                <w:sz w:val="22"/>
              </w:rPr>
              <w:t>Femmes</w:t>
            </w:r>
          </w:p>
        </w:tc>
        <w:tc>
          <w:tcPr>
            <w:tcW w:w="3273" w:type="dxa"/>
          </w:tcPr>
          <w:p w:rsidR="00000000" w:rsidRDefault="00000000">
            <w:pPr>
              <w:ind w:right="1274"/>
              <w:jc w:val="right"/>
              <w:rPr>
                <w:sz w:val="22"/>
              </w:rPr>
            </w:pPr>
            <w:r>
              <w:rPr>
                <w:sz w:val="22"/>
              </w:rPr>
              <w:t>1.028</w:t>
            </w:r>
          </w:p>
        </w:tc>
        <w:tc>
          <w:tcPr>
            <w:tcW w:w="3273" w:type="dxa"/>
            <w:tcBorders>
              <w:right w:val="single" w:sz="4" w:space="0" w:color="auto"/>
            </w:tcBorders>
          </w:tcPr>
          <w:p w:rsidR="00000000" w:rsidRDefault="00000000">
            <w:pPr>
              <w:ind w:right="1325"/>
              <w:jc w:val="right"/>
              <w:rPr>
                <w:sz w:val="22"/>
              </w:rPr>
            </w:pPr>
            <w:r>
              <w:rPr>
                <w:sz w:val="22"/>
              </w:rPr>
              <w:t>24,35</w:t>
            </w:r>
          </w:p>
        </w:tc>
      </w:tr>
    </w:tbl>
    <w:p w:rsidR="00000000" w:rsidRDefault="00000000">
      <w:pPr>
        <w:spacing w:line="120" w:lineRule="exact"/>
        <w:rPr>
          <w:sz w:val="10"/>
        </w:rPr>
      </w:pPr>
    </w:p>
    <w:p w:rsidR="00000000" w:rsidRDefault="00000000">
      <w:pPr>
        <w:rPr>
          <w:i/>
          <w:sz w:val="22"/>
        </w:rPr>
      </w:pPr>
      <w:r>
        <w:rPr>
          <w:i/>
          <w:sz w:val="22"/>
          <w:u w:val="single"/>
        </w:rPr>
        <w:t>Source</w:t>
      </w:r>
      <w:r>
        <w:rPr>
          <w:i/>
          <w:sz w:val="22"/>
        </w:rPr>
        <w:t xml:space="preserve"> : Direction de l’orientation des Bourses : avril 2000.</w:t>
      </w:r>
    </w:p>
    <w:p w:rsidR="00000000" w:rsidRDefault="00000000">
      <w:pPr>
        <w:rPr>
          <w:sz w:val="22"/>
        </w:rPr>
      </w:pPr>
    </w:p>
    <w:p w:rsidR="00000000" w:rsidRDefault="00000000">
      <w:pPr>
        <w:rPr>
          <w:i/>
          <w:sz w:val="22"/>
        </w:rPr>
      </w:pPr>
      <w:r>
        <w:rPr>
          <w:i/>
          <w:sz w:val="22"/>
          <w:u w:val="single"/>
        </w:rPr>
        <w:t>Observation</w:t>
      </w:r>
      <w:r>
        <w:rPr>
          <w:i/>
          <w:sz w:val="22"/>
        </w:rPr>
        <w:t> : On note une forte déperdition au niveau supérieur pour les étudiants de sexe féminin.</w:t>
      </w:r>
    </w:p>
    <w:p w:rsidR="00000000" w:rsidRDefault="00000000">
      <w:pPr>
        <w:ind w:left="426" w:hanging="426"/>
        <w:jc w:val="both"/>
        <w:rPr>
          <w:b/>
          <w:sz w:val="22"/>
        </w:rPr>
      </w:pPr>
    </w:p>
    <w:p w:rsidR="00000000" w:rsidRDefault="00000000">
      <w:pPr>
        <w:ind w:left="426" w:hanging="426"/>
        <w:jc w:val="both"/>
        <w:rPr>
          <w:b/>
          <w:sz w:val="22"/>
        </w:rPr>
      </w:pPr>
    </w:p>
    <w:p w:rsidR="00000000" w:rsidRDefault="00000000">
      <w:pPr>
        <w:tabs>
          <w:tab w:val="left" w:pos="1602"/>
        </w:tabs>
        <w:ind w:left="1602" w:hanging="1602"/>
        <w:rPr>
          <w:sz w:val="22"/>
          <w:u w:val="single"/>
        </w:rPr>
      </w:pPr>
      <w:r>
        <w:rPr>
          <w:b/>
          <w:sz w:val="22"/>
        </w:rPr>
        <w:t>SECTION V -</w:t>
      </w:r>
      <w:r>
        <w:rPr>
          <w:b/>
          <w:sz w:val="22"/>
        </w:rPr>
        <w:tab/>
      </w:r>
      <w:r>
        <w:rPr>
          <w:b/>
          <w:sz w:val="22"/>
          <w:u w:val="single"/>
        </w:rPr>
        <w:t>L’accès aux programmes d’éducation permanente, d’alphabétisation d’adultes et d’alphabétisation</w:t>
      </w:r>
      <w:r>
        <w:rPr>
          <w:sz w:val="22"/>
          <w:u w:val="single"/>
        </w:rPr>
        <w:t xml:space="preserve"> </w:t>
      </w:r>
      <w:r>
        <w:rPr>
          <w:b/>
          <w:sz w:val="22"/>
          <w:u w:val="single"/>
        </w:rPr>
        <w:t>fonctionnelle</w:t>
      </w:r>
    </w:p>
    <w:p w:rsidR="00000000" w:rsidRDefault="00000000">
      <w:pPr>
        <w:rPr>
          <w:sz w:val="22"/>
        </w:rPr>
      </w:pPr>
    </w:p>
    <w:p w:rsidR="00000000" w:rsidRDefault="00000000">
      <w:pPr>
        <w:pStyle w:val="BodyText3"/>
        <w:rPr>
          <w:sz w:val="22"/>
        </w:rPr>
      </w:pPr>
      <w:r>
        <w:rPr>
          <w:sz w:val="22"/>
        </w:rPr>
        <w:t>Le Congo a toujours mis un accent particulier sur l’alphabétisation  des adultes qui se pratique dans des centres d’alphabétisation très souvent tenus par des religieuses ou des étrangers pour les femmes congolaises.</w:t>
      </w:r>
    </w:p>
    <w:p w:rsidR="00000000" w:rsidRDefault="00000000">
      <w:pPr>
        <w:rPr>
          <w:sz w:val="22"/>
        </w:rPr>
      </w:pPr>
    </w:p>
    <w:p w:rsidR="00000000" w:rsidRDefault="00000000">
      <w:pPr>
        <w:jc w:val="both"/>
        <w:rPr>
          <w:sz w:val="22"/>
        </w:rPr>
      </w:pPr>
      <w:r>
        <w:rPr>
          <w:sz w:val="22"/>
        </w:rPr>
        <w:t>Ces centres étaient ouverts aux personnes qui avaient abandonné leur scolarité et qui voulaient reprendre leurs études et passer des examens d’État. Un centre de renommée nationale avait vu le jour. C’était la chambre de commerce de Brazzaville. Les femmes, souvent confrontées à des problèmes conjugaux et financiers ont fréquenté les centres d’alphabétisation  en grand nombre et ont vu leur situation sociale s’améliorer. L’on a pu compter jusqu’à 200.000 analphabètes qui ont été alphabétisés entre 1965 et 1975 avec l’avènement de la nationalisation de l’enseignement.</w:t>
      </w:r>
    </w:p>
    <w:p w:rsidR="00000000" w:rsidRDefault="00000000">
      <w:pPr>
        <w:jc w:val="both"/>
        <w:rPr>
          <w:sz w:val="22"/>
        </w:rPr>
      </w:pPr>
    </w:p>
    <w:p w:rsidR="00000000" w:rsidRDefault="00000000">
      <w:pPr>
        <w:jc w:val="both"/>
        <w:rPr>
          <w:sz w:val="22"/>
        </w:rPr>
      </w:pPr>
      <w:r>
        <w:rPr>
          <w:sz w:val="22"/>
        </w:rPr>
        <w:t>Par la suite, on assiste à un déclin jusqu’en 1979.</w:t>
      </w:r>
    </w:p>
    <w:p w:rsidR="00000000" w:rsidRDefault="00000000">
      <w:pPr>
        <w:jc w:val="both"/>
        <w:rPr>
          <w:sz w:val="22"/>
        </w:rPr>
      </w:pPr>
    </w:p>
    <w:p w:rsidR="00000000" w:rsidRDefault="00000000">
      <w:pPr>
        <w:jc w:val="both"/>
        <w:rPr>
          <w:sz w:val="22"/>
        </w:rPr>
      </w:pPr>
      <w:r>
        <w:rPr>
          <w:sz w:val="22"/>
        </w:rPr>
        <w:t>La loi n° 20/80 du 11 septembre 1980 rend l’alphabétisation obligatoire. Et, un organe est chargé de lutter contre l’augmentation de l’analphabétisme féminin. On enregistre des taux élevés en analphabétisme, soient 40%.</w:t>
      </w:r>
    </w:p>
    <w:p w:rsidR="00000000" w:rsidRDefault="00000000">
      <w:pPr>
        <w:jc w:val="both"/>
        <w:rPr>
          <w:sz w:val="22"/>
        </w:rPr>
      </w:pPr>
    </w:p>
    <w:p w:rsidR="00000000" w:rsidRDefault="00000000">
      <w:pPr>
        <w:jc w:val="both"/>
        <w:rPr>
          <w:sz w:val="22"/>
        </w:rPr>
      </w:pPr>
      <w:r>
        <w:rPr>
          <w:sz w:val="22"/>
        </w:rPr>
        <w:t>Le conseil national permanent de la lutte contre l’analphabétisme (CNPOLA) est créé par le décret n° 82/211 du 28 février 1982. Le taux d’analphabétisme est de 40% particulièrement chez les femmes et en zones rurales (51,7% chez les femmes).</w:t>
      </w:r>
    </w:p>
    <w:p w:rsidR="00000000" w:rsidRDefault="00000000">
      <w:pPr>
        <w:jc w:val="both"/>
        <w:rPr>
          <w:sz w:val="22"/>
        </w:rPr>
      </w:pPr>
    </w:p>
    <w:p w:rsidR="00000000" w:rsidRDefault="00000000">
      <w:pPr>
        <w:jc w:val="both"/>
        <w:rPr>
          <w:sz w:val="22"/>
        </w:rPr>
      </w:pPr>
      <w:r>
        <w:rPr>
          <w:sz w:val="22"/>
        </w:rPr>
        <w:t>A partir de la Conférence de Jomtiem, 1990 est déclarée année internationale de l’alphabétisation. Et c’est aussi le lancement de la décennie mondiale sur l’Education pour tous. Le Congo atteint un taux élevé d’alphabétisation : 83,1% pour les hommes et 67,2% pour les femmes. La loi du 6 septembre 1990 assurait une formation de base à tous les citoyens pour leur intégration à la vie sociale et culturelle.</w:t>
      </w:r>
    </w:p>
    <w:p w:rsidR="00000000" w:rsidRDefault="00000000">
      <w:pPr>
        <w:jc w:val="both"/>
        <w:rPr>
          <w:sz w:val="22"/>
        </w:rPr>
      </w:pPr>
    </w:p>
    <w:p w:rsidR="00000000" w:rsidRDefault="00000000">
      <w:pPr>
        <w:jc w:val="both"/>
        <w:rPr>
          <w:sz w:val="22"/>
        </w:rPr>
      </w:pPr>
      <w:r>
        <w:rPr>
          <w:sz w:val="22"/>
        </w:rPr>
        <w:t xml:space="preserve">En plus des centres d’alphabétisation, plusieurs mesures d’accompagnement sont adoptées. Il s’agit </w:t>
      </w:r>
    </w:p>
    <w:p w:rsidR="00000000" w:rsidRDefault="00000000">
      <w:pPr>
        <w:jc w:val="both"/>
        <w:rPr>
          <w:sz w:val="22"/>
        </w:rPr>
      </w:pPr>
      <w:r>
        <w:rPr>
          <w:sz w:val="22"/>
        </w:rPr>
        <w:t>de :</w:t>
      </w:r>
    </w:p>
    <w:p w:rsidR="00000000" w:rsidRDefault="00000000">
      <w:pPr>
        <w:numPr>
          <w:ilvl w:val="0"/>
          <w:numId w:val="134"/>
        </w:numPr>
        <w:jc w:val="both"/>
        <w:rPr>
          <w:sz w:val="22"/>
        </w:rPr>
      </w:pPr>
      <w:r>
        <w:rPr>
          <w:sz w:val="22"/>
        </w:rPr>
        <w:t>une radio « Alpha » est spécialement conçue pour accompagner les efforts d’alphabétisation ;</w:t>
      </w:r>
    </w:p>
    <w:p w:rsidR="00000000" w:rsidRDefault="00000000">
      <w:pPr>
        <w:numPr>
          <w:ilvl w:val="0"/>
          <w:numId w:val="134"/>
        </w:numPr>
        <w:jc w:val="both"/>
        <w:rPr>
          <w:sz w:val="22"/>
        </w:rPr>
      </w:pPr>
      <w:r>
        <w:rPr>
          <w:sz w:val="22"/>
        </w:rPr>
        <w:t>une émission : « Il n’est jamais trop tard pour apprendre » était diffusée à la radio nationale par la direction générale de l’alphabétisation ;</w:t>
      </w:r>
    </w:p>
    <w:p w:rsidR="00000000" w:rsidRDefault="00000000">
      <w:pPr>
        <w:numPr>
          <w:ilvl w:val="0"/>
          <w:numId w:val="134"/>
        </w:numPr>
        <w:jc w:val="both"/>
        <w:rPr>
          <w:sz w:val="22"/>
        </w:rPr>
      </w:pPr>
      <w:r>
        <w:rPr>
          <w:sz w:val="22"/>
        </w:rPr>
        <w:t>une autre émission « Bakento ya Kongo » était spécialement conçue pour l’alphabétisation fonctionnelle des femmes ;</w:t>
      </w:r>
    </w:p>
    <w:p w:rsidR="00000000" w:rsidRDefault="00000000">
      <w:pPr>
        <w:numPr>
          <w:ilvl w:val="0"/>
          <w:numId w:val="134"/>
        </w:numPr>
        <w:jc w:val="both"/>
        <w:rPr>
          <w:sz w:val="22"/>
        </w:rPr>
      </w:pPr>
      <w:r>
        <w:rPr>
          <w:sz w:val="22"/>
        </w:rPr>
        <w:t>Un journal mensuel dénommé « SENGO » destiné à l’alphabétisation des agriculteurs et des maraîchers.</w:t>
      </w:r>
    </w:p>
    <w:p w:rsidR="00000000" w:rsidRDefault="00000000">
      <w:pPr>
        <w:jc w:val="both"/>
        <w:rPr>
          <w:sz w:val="22"/>
        </w:rPr>
      </w:pPr>
    </w:p>
    <w:p w:rsidR="00000000" w:rsidRDefault="00000000">
      <w:pPr>
        <w:jc w:val="both"/>
        <w:rPr>
          <w:sz w:val="22"/>
        </w:rPr>
      </w:pPr>
      <w:r>
        <w:rPr>
          <w:sz w:val="22"/>
        </w:rPr>
        <w:t>L’alphabétisation s’adressait aussi aux minorités ethniques (comme les Pygmées), aux « enfants de la rue », aux handicapés, aux immigrés analphabètes. Une campagne intensive montrait l’urgence de la chose et elle se faisait en langues nationales.</w:t>
      </w:r>
    </w:p>
    <w:p w:rsidR="00000000" w:rsidRDefault="00000000">
      <w:pPr>
        <w:jc w:val="both"/>
        <w:rPr>
          <w:sz w:val="22"/>
        </w:rPr>
      </w:pPr>
      <w:r>
        <w:rPr>
          <w:sz w:val="22"/>
        </w:rPr>
        <w:t>Le système éducatif congolais a également géré un cycle national de rattrapage (CINARA) qui regroupait les collèges populaires. Ces établissements recevaient des enfants Congolais déscolarisés qui désiraient  poursuivre leurs études. Le CINARA recrutait des enseignements vacataires et pour faire face aux exigences de la scolarité, il imposait des frais scolaires aux enfants.</w:t>
      </w:r>
    </w:p>
    <w:p w:rsidR="00000000" w:rsidRDefault="00000000">
      <w:pPr>
        <w:jc w:val="both"/>
        <w:rPr>
          <w:sz w:val="22"/>
        </w:rPr>
      </w:pPr>
    </w:p>
    <w:p w:rsidR="00000000" w:rsidRDefault="00000000">
      <w:pPr>
        <w:jc w:val="both"/>
        <w:rPr>
          <w:sz w:val="22"/>
        </w:rPr>
      </w:pPr>
      <w:r>
        <w:rPr>
          <w:sz w:val="22"/>
        </w:rPr>
        <w:t>Parallèlement, les cours du soir avaient aussi fonctionné à travers le pays. Tout congolais qui voulait améliorer son niveau ou apprendre un métier, s’inscrivait à ces cours.</w:t>
      </w:r>
    </w:p>
    <w:p w:rsidR="00000000" w:rsidRDefault="00000000">
      <w:pPr>
        <w:jc w:val="both"/>
        <w:rPr>
          <w:sz w:val="22"/>
        </w:rPr>
      </w:pPr>
    </w:p>
    <w:p w:rsidR="00000000" w:rsidRDefault="00000000">
      <w:pPr>
        <w:jc w:val="both"/>
        <w:rPr>
          <w:sz w:val="22"/>
        </w:rPr>
      </w:pPr>
      <w:r>
        <w:rPr>
          <w:sz w:val="22"/>
        </w:rPr>
        <w:t>Les programmes, les examens et les enseignements sont les mêmes qu’aux cycles réguliers de l’éducation. La représentativité des filles et des femmes a été considérable. Avec la situation connue par le pays, la direction de l’éducation permanente a perdu toutes les données statistiques pouvant établir des taux par sexe.</w:t>
      </w:r>
    </w:p>
    <w:p w:rsidR="00000000" w:rsidRDefault="00000000">
      <w:pPr>
        <w:jc w:val="both"/>
        <w:rPr>
          <w:sz w:val="22"/>
        </w:rPr>
      </w:pPr>
    </w:p>
    <w:p w:rsidR="00000000" w:rsidRDefault="00000000">
      <w:pPr>
        <w:jc w:val="both"/>
        <w:rPr>
          <w:sz w:val="22"/>
        </w:rPr>
      </w:pPr>
      <w:r>
        <w:rPr>
          <w:sz w:val="22"/>
        </w:rPr>
        <w:t>Le cycle de rattrapage et les cours du soir ont été relancés timidement. Dans les collèges d’enseignement technique (CET) de Brazzaville des centres ont été ouverts, notamment les instituts sylvo-agropastoraux par centre d’encadrement professionnel (pédagogie agricole).</w:t>
      </w:r>
    </w:p>
    <w:p w:rsidR="00000000" w:rsidRDefault="00000000">
      <w:pPr>
        <w:jc w:val="both"/>
        <w:rPr>
          <w:sz w:val="22"/>
        </w:rPr>
      </w:pPr>
    </w:p>
    <w:p w:rsidR="00000000" w:rsidRDefault="00000000">
      <w:pPr>
        <w:jc w:val="both"/>
        <w:rPr>
          <w:sz w:val="22"/>
        </w:rPr>
      </w:pPr>
      <w:r>
        <w:rPr>
          <w:sz w:val="22"/>
        </w:rPr>
        <w:t>A Pointe-Noire, un centre d’hôtellerie fonctionne. Le gouvernement, qui veut prendre en main la jeunesse est en train de relancer ce système de formation, aussi des documents sont prêts pour faire la promotion des centres d’apprentissage des métiers.</w:t>
      </w:r>
    </w:p>
    <w:p w:rsidR="00000000" w:rsidRDefault="00000000">
      <w:pPr>
        <w:jc w:val="both"/>
        <w:rPr>
          <w:sz w:val="22"/>
        </w:rPr>
      </w:pPr>
    </w:p>
    <w:p w:rsidR="00000000" w:rsidRDefault="00000000">
      <w:pPr>
        <w:jc w:val="both"/>
        <w:rPr>
          <w:sz w:val="22"/>
        </w:rPr>
      </w:pPr>
      <w:r>
        <w:rPr>
          <w:sz w:val="22"/>
        </w:rPr>
        <w:t>L’État reçoit aussi l’appui des ONGs de développement. C’est ainsi que l’Association allemande pour l’éducation des adultes a soutenu le projet DV.V Congo.</w:t>
      </w:r>
    </w:p>
    <w:p w:rsidR="00000000" w:rsidRDefault="00000000">
      <w:pPr>
        <w:jc w:val="both"/>
        <w:rPr>
          <w:sz w:val="22"/>
        </w:rPr>
      </w:pPr>
    </w:p>
    <w:p w:rsidR="00000000" w:rsidRDefault="00000000">
      <w:pPr>
        <w:jc w:val="both"/>
        <w:rPr>
          <w:sz w:val="22"/>
        </w:rPr>
      </w:pPr>
      <w:r>
        <w:rPr>
          <w:sz w:val="22"/>
        </w:rPr>
        <w:t>L’importance de ces efforts a conduit l’UNESCO à attribuer une mention d’honneur au Congo en 1991. Les confessions religieuses se sont aussi impliquées et , se sont attelées à cette tâche ardue. Ce dynamisme a été freiné par les conflits armés qui ont éclaté depuis 1992. Le nombre de centres a diminué. De 491 en 1985, on n’en comptait plus que 64 en 1997. Le nombre d’auditeurs a aussi diminué. On note une baisse de 7,7% chez les hommes et les femmes. Sur 353.000 analphabètes en 1995, on comptait 239.000 femmes. La disparité entre les hommes et les femmes n’a fait que s’accentuer et a constitué un frein à la réalisation de l’Education Pour Tous.</w:t>
      </w:r>
    </w:p>
    <w:p w:rsidR="00000000" w:rsidRDefault="00000000">
      <w:pPr>
        <w:jc w:val="both"/>
        <w:rPr>
          <w:sz w:val="22"/>
        </w:rPr>
      </w:pPr>
    </w:p>
    <w:p w:rsidR="00000000" w:rsidRDefault="00000000">
      <w:pPr>
        <w:jc w:val="both"/>
        <w:rPr>
          <w:sz w:val="22"/>
        </w:rPr>
      </w:pPr>
      <w:r>
        <w:rPr>
          <w:sz w:val="22"/>
        </w:rPr>
        <w:t>Depuis la fin des conflits et, dans le cadre du processus de reconstruction nationale, plusieurs actions sont entreprises sous la coordination du Ministère chargé de la promotion de la femme.</w:t>
      </w:r>
    </w:p>
    <w:p w:rsidR="00000000" w:rsidRDefault="00000000">
      <w:pPr>
        <w:numPr>
          <w:ilvl w:val="0"/>
          <w:numId w:val="134"/>
        </w:numPr>
        <w:jc w:val="both"/>
        <w:rPr>
          <w:sz w:val="22"/>
        </w:rPr>
      </w:pPr>
      <w:r>
        <w:rPr>
          <w:sz w:val="22"/>
        </w:rPr>
        <w:t>la réduction de l’analphabétisme en milieu féminin au moyen de l’alphabétisation des femmes rurales, des femmes maraîchères et agricultrices (64%), des femmes commerçantes (69%) dans leurs lieux de travail ;</w:t>
      </w:r>
    </w:p>
    <w:p w:rsidR="00000000" w:rsidRDefault="00000000">
      <w:pPr>
        <w:numPr>
          <w:ilvl w:val="0"/>
          <w:numId w:val="134"/>
        </w:numPr>
        <w:jc w:val="both"/>
        <w:rPr>
          <w:sz w:val="22"/>
        </w:rPr>
      </w:pPr>
      <w:r>
        <w:rPr>
          <w:sz w:val="22"/>
        </w:rPr>
        <w:t>un programme d’enseignement, de formation et d’information, assuré par les femmes au niveau des médias : la « Radio rurale » diffusée en langues nationales ;</w:t>
      </w:r>
    </w:p>
    <w:p w:rsidR="00000000" w:rsidRDefault="00000000">
      <w:pPr>
        <w:numPr>
          <w:ilvl w:val="0"/>
          <w:numId w:val="134"/>
        </w:numPr>
        <w:jc w:val="both"/>
        <w:rPr>
          <w:sz w:val="22"/>
        </w:rPr>
      </w:pPr>
      <w:r>
        <w:rPr>
          <w:sz w:val="22"/>
        </w:rPr>
        <w:t>une campagne d’information et de sensibilisation sur les droits de la femme ;</w:t>
      </w:r>
    </w:p>
    <w:p w:rsidR="00000000" w:rsidRDefault="00000000">
      <w:pPr>
        <w:numPr>
          <w:ilvl w:val="0"/>
          <w:numId w:val="134"/>
        </w:numPr>
        <w:jc w:val="both"/>
        <w:rPr>
          <w:sz w:val="22"/>
        </w:rPr>
      </w:pPr>
      <w:r>
        <w:rPr>
          <w:sz w:val="22"/>
        </w:rPr>
        <w:t>la création du centre de recherche, d’information et de documentation sur la femme (CRIDF ou Maison de la femme).</w:t>
      </w:r>
    </w:p>
    <w:p w:rsidR="00000000" w:rsidRDefault="00000000">
      <w:pPr>
        <w:jc w:val="both"/>
        <w:rPr>
          <w:sz w:val="22"/>
        </w:rPr>
      </w:pPr>
      <w:r>
        <w:rPr>
          <w:sz w:val="22"/>
        </w:rPr>
        <w:t>Les organisations non gouvernementales (ONG) et les Associations féminines ne sont pas en reste. Elles se préoccupent de la formation des jeunes filles et des femmes, en assurant leur encadrement dans l’apprentissage des petits métiers (pâtisserie, savonnerie, transformation des produits locaux) et l’information sur la vie sanitaire (surtout en matière du VIH/SIDA, fléau qui fait de nombreuses victimes parmi les femmes et les enfants).</w:t>
      </w:r>
    </w:p>
    <w:p w:rsidR="00000000" w:rsidRDefault="00000000">
      <w:pPr>
        <w:jc w:val="both"/>
        <w:rPr>
          <w:sz w:val="22"/>
        </w:rPr>
      </w:pPr>
    </w:p>
    <w:p w:rsidR="00000000" w:rsidRDefault="00000000">
      <w:pPr>
        <w:jc w:val="both"/>
        <w:rPr>
          <w:sz w:val="22"/>
        </w:rPr>
      </w:pPr>
      <w:r>
        <w:rPr>
          <w:sz w:val="22"/>
        </w:rPr>
        <w:t>Au plan culturel, les femmes artistes, peintres, sculpteurs s’expriment aussi et font des expositions de leurs œuvres. Les organisations non gouvernementales (ONG) aident les femmes et les jeunes filles à s’ouvrir sur le monde de demain (phénomène de la mondialisation). Elles organisent à leur intention des séminaires sur l’informatique et l’Internet avec le concours du département de la promotion de la femme. A cet effet, près de 400 femmes ont été formées durant les deux séminaires qui ont été organisés.</w:t>
      </w:r>
    </w:p>
    <w:p w:rsidR="00000000" w:rsidRDefault="00000000">
      <w:pPr>
        <w:jc w:val="both"/>
        <w:rPr>
          <w:sz w:val="22"/>
        </w:rPr>
      </w:pPr>
    </w:p>
    <w:p w:rsidR="00000000" w:rsidRDefault="00000000">
      <w:pPr>
        <w:jc w:val="both"/>
        <w:rPr>
          <w:sz w:val="22"/>
        </w:rPr>
      </w:pPr>
      <w:r>
        <w:rPr>
          <w:sz w:val="22"/>
        </w:rPr>
        <w:t>Les tableaux suivants indiquent l’état de l’alphabétisation au Congo.</w:t>
      </w:r>
    </w:p>
    <w:p w:rsidR="00000000" w:rsidRDefault="00000000">
      <w:pPr>
        <w:jc w:val="both"/>
        <w:rPr>
          <w:sz w:val="22"/>
        </w:rPr>
      </w:pPr>
    </w:p>
    <w:p w:rsidR="00000000" w:rsidRDefault="00000000">
      <w:pPr>
        <w:jc w:val="both"/>
        <w:rPr>
          <w:b/>
          <w:sz w:val="22"/>
        </w:rPr>
      </w:pPr>
      <w:r>
        <w:rPr>
          <w:b/>
          <w:sz w:val="22"/>
          <w:u w:val="single"/>
        </w:rPr>
        <w:t>Tableau n° 61</w:t>
      </w:r>
      <w:r>
        <w:rPr>
          <w:b/>
          <w:sz w:val="22"/>
        </w:rPr>
        <w:t> : Evolution des centres d’alphabétisation</w:t>
      </w:r>
    </w:p>
    <w:p w:rsidR="00000000" w:rsidRDefault="00000000">
      <w:pPr>
        <w:jc w:val="both"/>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36"/>
        <w:gridCol w:w="1642"/>
        <w:gridCol w:w="1643"/>
        <w:gridCol w:w="1560"/>
        <w:gridCol w:w="1560"/>
        <w:gridCol w:w="1560"/>
      </w:tblGrid>
      <w:tr w:rsidR="00000000">
        <w:tblPrEx>
          <w:tblCellMar>
            <w:top w:w="0" w:type="dxa"/>
            <w:bottom w:w="0" w:type="dxa"/>
          </w:tblCellMar>
        </w:tblPrEx>
        <w:trPr>
          <w:cantSplit/>
        </w:trPr>
        <w:tc>
          <w:tcPr>
            <w:tcW w:w="1836" w:type="dxa"/>
            <w:vMerge w:val="restart"/>
          </w:tcPr>
          <w:p w:rsidR="00000000" w:rsidRDefault="00000000">
            <w:pPr>
              <w:jc w:val="center"/>
              <w:rPr>
                <w:sz w:val="22"/>
              </w:rPr>
            </w:pPr>
          </w:p>
          <w:p w:rsidR="00000000" w:rsidRDefault="00000000">
            <w:pPr>
              <w:jc w:val="center"/>
              <w:rPr>
                <w:sz w:val="22"/>
              </w:rPr>
            </w:pPr>
            <w:r>
              <w:rPr>
                <w:sz w:val="22"/>
              </w:rPr>
              <w:t>Année</w:t>
            </w:r>
          </w:p>
        </w:tc>
        <w:tc>
          <w:tcPr>
            <w:tcW w:w="1642" w:type="dxa"/>
            <w:vMerge w:val="restart"/>
          </w:tcPr>
          <w:p w:rsidR="00000000" w:rsidRDefault="00000000">
            <w:pPr>
              <w:jc w:val="center"/>
              <w:rPr>
                <w:sz w:val="22"/>
              </w:rPr>
            </w:pPr>
          </w:p>
          <w:p w:rsidR="00000000" w:rsidRDefault="00000000">
            <w:pPr>
              <w:jc w:val="center"/>
              <w:rPr>
                <w:sz w:val="22"/>
              </w:rPr>
            </w:pPr>
            <w:r>
              <w:rPr>
                <w:sz w:val="22"/>
              </w:rPr>
              <w:t>Centres</w:t>
            </w:r>
          </w:p>
        </w:tc>
        <w:tc>
          <w:tcPr>
            <w:tcW w:w="1643" w:type="dxa"/>
            <w:vMerge w:val="restart"/>
          </w:tcPr>
          <w:p w:rsidR="00000000" w:rsidRDefault="00000000">
            <w:pPr>
              <w:jc w:val="center"/>
              <w:rPr>
                <w:sz w:val="22"/>
              </w:rPr>
            </w:pPr>
          </w:p>
          <w:p w:rsidR="00000000" w:rsidRDefault="00000000">
            <w:pPr>
              <w:jc w:val="center"/>
              <w:rPr>
                <w:sz w:val="22"/>
              </w:rPr>
            </w:pPr>
            <w:r>
              <w:rPr>
                <w:sz w:val="22"/>
              </w:rPr>
              <w:t>Animateurs</w:t>
            </w:r>
          </w:p>
        </w:tc>
        <w:tc>
          <w:tcPr>
            <w:tcW w:w="4680" w:type="dxa"/>
            <w:gridSpan w:val="3"/>
          </w:tcPr>
          <w:p w:rsidR="00000000" w:rsidRDefault="00000000">
            <w:pPr>
              <w:jc w:val="center"/>
              <w:rPr>
                <w:sz w:val="22"/>
              </w:rPr>
            </w:pPr>
            <w:r>
              <w:rPr>
                <w:sz w:val="22"/>
              </w:rPr>
              <w:t>Auditeurs</w:t>
            </w:r>
          </w:p>
        </w:tc>
      </w:tr>
      <w:tr w:rsidR="00000000">
        <w:tblPrEx>
          <w:tblCellMar>
            <w:top w:w="0" w:type="dxa"/>
            <w:bottom w:w="0" w:type="dxa"/>
          </w:tblCellMar>
        </w:tblPrEx>
        <w:trPr>
          <w:cantSplit/>
        </w:trPr>
        <w:tc>
          <w:tcPr>
            <w:tcW w:w="1836" w:type="dxa"/>
            <w:vMerge/>
          </w:tcPr>
          <w:p w:rsidR="00000000" w:rsidRDefault="00000000">
            <w:pPr>
              <w:jc w:val="both"/>
              <w:rPr>
                <w:sz w:val="22"/>
              </w:rPr>
            </w:pPr>
          </w:p>
        </w:tc>
        <w:tc>
          <w:tcPr>
            <w:tcW w:w="1642" w:type="dxa"/>
            <w:vMerge/>
          </w:tcPr>
          <w:p w:rsidR="00000000" w:rsidRDefault="00000000">
            <w:pPr>
              <w:jc w:val="both"/>
              <w:rPr>
                <w:sz w:val="22"/>
              </w:rPr>
            </w:pPr>
          </w:p>
        </w:tc>
        <w:tc>
          <w:tcPr>
            <w:tcW w:w="1643" w:type="dxa"/>
            <w:vMerge/>
          </w:tcPr>
          <w:p w:rsidR="00000000" w:rsidRDefault="00000000">
            <w:pPr>
              <w:jc w:val="both"/>
              <w:rPr>
                <w:sz w:val="22"/>
              </w:rPr>
            </w:pPr>
          </w:p>
        </w:tc>
        <w:tc>
          <w:tcPr>
            <w:tcW w:w="1560" w:type="dxa"/>
          </w:tcPr>
          <w:p w:rsidR="00000000" w:rsidRDefault="00000000">
            <w:pPr>
              <w:jc w:val="center"/>
              <w:rPr>
                <w:sz w:val="22"/>
              </w:rPr>
            </w:pPr>
            <w:r>
              <w:rPr>
                <w:sz w:val="22"/>
              </w:rPr>
              <w:t>Hommes</w:t>
            </w:r>
          </w:p>
        </w:tc>
        <w:tc>
          <w:tcPr>
            <w:tcW w:w="1560" w:type="dxa"/>
          </w:tcPr>
          <w:p w:rsidR="00000000" w:rsidRDefault="00000000">
            <w:pPr>
              <w:jc w:val="center"/>
              <w:rPr>
                <w:sz w:val="22"/>
              </w:rPr>
            </w:pPr>
            <w:r>
              <w:rPr>
                <w:sz w:val="22"/>
              </w:rPr>
              <w:t>Femmes</w:t>
            </w:r>
          </w:p>
        </w:tc>
        <w:tc>
          <w:tcPr>
            <w:tcW w:w="1560" w:type="dxa"/>
          </w:tcPr>
          <w:p w:rsidR="00000000" w:rsidRDefault="00000000">
            <w:pPr>
              <w:jc w:val="center"/>
              <w:rPr>
                <w:sz w:val="22"/>
              </w:rPr>
            </w:pPr>
            <w:r>
              <w:rPr>
                <w:sz w:val="22"/>
              </w:rPr>
              <w:t>Total</w:t>
            </w:r>
          </w:p>
        </w:tc>
      </w:tr>
      <w:tr w:rsidR="00000000">
        <w:tblPrEx>
          <w:tblCellMar>
            <w:top w:w="0" w:type="dxa"/>
            <w:bottom w:w="0" w:type="dxa"/>
          </w:tblCellMar>
        </w:tblPrEx>
        <w:tc>
          <w:tcPr>
            <w:tcW w:w="1836" w:type="dxa"/>
          </w:tcPr>
          <w:p w:rsidR="00000000" w:rsidRDefault="00000000">
            <w:pPr>
              <w:jc w:val="both"/>
              <w:rPr>
                <w:sz w:val="22"/>
              </w:rPr>
            </w:pPr>
            <w:r>
              <w:rPr>
                <w:sz w:val="22"/>
              </w:rPr>
              <w:t>1990</w:t>
            </w:r>
          </w:p>
        </w:tc>
        <w:tc>
          <w:tcPr>
            <w:tcW w:w="1642" w:type="dxa"/>
          </w:tcPr>
          <w:p w:rsidR="00000000" w:rsidRDefault="00000000">
            <w:pPr>
              <w:ind w:right="567"/>
              <w:jc w:val="right"/>
              <w:rPr>
                <w:sz w:val="22"/>
              </w:rPr>
            </w:pPr>
            <w:r>
              <w:rPr>
                <w:sz w:val="22"/>
              </w:rPr>
              <w:t>111</w:t>
            </w:r>
          </w:p>
        </w:tc>
        <w:tc>
          <w:tcPr>
            <w:tcW w:w="1643" w:type="dxa"/>
          </w:tcPr>
          <w:p w:rsidR="00000000" w:rsidRDefault="00000000">
            <w:pPr>
              <w:ind w:right="567"/>
              <w:jc w:val="right"/>
              <w:rPr>
                <w:sz w:val="22"/>
              </w:rPr>
            </w:pPr>
            <w:r>
              <w:rPr>
                <w:sz w:val="22"/>
              </w:rPr>
              <w:t>270</w:t>
            </w:r>
          </w:p>
        </w:tc>
        <w:tc>
          <w:tcPr>
            <w:tcW w:w="1560" w:type="dxa"/>
          </w:tcPr>
          <w:p w:rsidR="00000000" w:rsidRDefault="00000000">
            <w:pPr>
              <w:ind w:right="567"/>
              <w:jc w:val="right"/>
              <w:rPr>
                <w:sz w:val="22"/>
              </w:rPr>
            </w:pPr>
            <w:r>
              <w:rPr>
                <w:sz w:val="22"/>
              </w:rPr>
              <w:t>1.090</w:t>
            </w:r>
          </w:p>
        </w:tc>
        <w:tc>
          <w:tcPr>
            <w:tcW w:w="1560" w:type="dxa"/>
          </w:tcPr>
          <w:p w:rsidR="00000000" w:rsidRDefault="00000000">
            <w:pPr>
              <w:ind w:right="567"/>
              <w:jc w:val="right"/>
              <w:rPr>
                <w:sz w:val="22"/>
              </w:rPr>
            </w:pPr>
            <w:r>
              <w:rPr>
                <w:sz w:val="22"/>
              </w:rPr>
              <w:t>1.115</w:t>
            </w:r>
          </w:p>
        </w:tc>
        <w:tc>
          <w:tcPr>
            <w:tcW w:w="1560" w:type="dxa"/>
          </w:tcPr>
          <w:p w:rsidR="00000000" w:rsidRDefault="00000000">
            <w:pPr>
              <w:ind w:right="567"/>
              <w:jc w:val="right"/>
              <w:rPr>
                <w:sz w:val="22"/>
              </w:rPr>
            </w:pPr>
            <w:r>
              <w:rPr>
                <w:sz w:val="22"/>
              </w:rPr>
              <w:t>2.214</w:t>
            </w:r>
          </w:p>
        </w:tc>
      </w:tr>
      <w:tr w:rsidR="00000000">
        <w:tblPrEx>
          <w:tblCellMar>
            <w:top w:w="0" w:type="dxa"/>
            <w:bottom w:w="0" w:type="dxa"/>
          </w:tblCellMar>
        </w:tblPrEx>
        <w:tc>
          <w:tcPr>
            <w:tcW w:w="1836" w:type="dxa"/>
          </w:tcPr>
          <w:p w:rsidR="00000000" w:rsidRDefault="00000000">
            <w:pPr>
              <w:jc w:val="both"/>
              <w:rPr>
                <w:sz w:val="22"/>
              </w:rPr>
            </w:pPr>
            <w:r>
              <w:rPr>
                <w:sz w:val="22"/>
              </w:rPr>
              <w:t>1991</w:t>
            </w:r>
          </w:p>
        </w:tc>
        <w:tc>
          <w:tcPr>
            <w:tcW w:w="1642" w:type="dxa"/>
          </w:tcPr>
          <w:p w:rsidR="00000000" w:rsidRDefault="00000000">
            <w:pPr>
              <w:ind w:right="567"/>
              <w:jc w:val="right"/>
              <w:rPr>
                <w:sz w:val="22"/>
              </w:rPr>
            </w:pPr>
            <w:r>
              <w:rPr>
                <w:sz w:val="22"/>
              </w:rPr>
              <w:t>209</w:t>
            </w:r>
          </w:p>
        </w:tc>
        <w:tc>
          <w:tcPr>
            <w:tcW w:w="1643" w:type="dxa"/>
          </w:tcPr>
          <w:p w:rsidR="00000000" w:rsidRDefault="00000000">
            <w:pPr>
              <w:ind w:right="567"/>
              <w:jc w:val="right"/>
              <w:rPr>
                <w:sz w:val="22"/>
              </w:rPr>
            </w:pPr>
            <w:r>
              <w:rPr>
                <w:sz w:val="22"/>
              </w:rPr>
              <w:t>390</w:t>
            </w:r>
          </w:p>
        </w:tc>
        <w:tc>
          <w:tcPr>
            <w:tcW w:w="1560" w:type="dxa"/>
          </w:tcPr>
          <w:p w:rsidR="00000000" w:rsidRDefault="00000000">
            <w:pPr>
              <w:ind w:right="567"/>
              <w:jc w:val="right"/>
              <w:rPr>
                <w:sz w:val="22"/>
              </w:rPr>
            </w:pPr>
            <w:r>
              <w:rPr>
                <w:sz w:val="22"/>
              </w:rPr>
              <w:t>2.163</w:t>
            </w:r>
          </w:p>
        </w:tc>
        <w:tc>
          <w:tcPr>
            <w:tcW w:w="1560" w:type="dxa"/>
          </w:tcPr>
          <w:p w:rsidR="00000000" w:rsidRDefault="00000000">
            <w:pPr>
              <w:ind w:right="567"/>
              <w:jc w:val="right"/>
              <w:rPr>
                <w:sz w:val="22"/>
              </w:rPr>
            </w:pPr>
            <w:r>
              <w:rPr>
                <w:sz w:val="22"/>
              </w:rPr>
              <w:t>2.469</w:t>
            </w:r>
          </w:p>
        </w:tc>
        <w:tc>
          <w:tcPr>
            <w:tcW w:w="1560" w:type="dxa"/>
          </w:tcPr>
          <w:p w:rsidR="00000000" w:rsidRDefault="00000000">
            <w:pPr>
              <w:ind w:right="567"/>
              <w:jc w:val="right"/>
              <w:rPr>
                <w:sz w:val="22"/>
              </w:rPr>
            </w:pPr>
            <w:r>
              <w:rPr>
                <w:sz w:val="22"/>
              </w:rPr>
              <w:t>4.632</w:t>
            </w:r>
          </w:p>
        </w:tc>
      </w:tr>
      <w:tr w:rsidR="00000000">
        <w:tblPrEx>
          <w:tblCellMar>
            <w:top w:w="0" w:type="dxa"/>
            <w:bottom w:w="0" w:type="dxa"/>
          </w:tblCellMar>
        </w:tblPrEx>
        <w:tc>
          <w:tcPr>
            <w:tcW w:w="1836" w:type="dxa"/>
          </w:tcPr>
          <w:p w:rsidR="00000000" w:rsidRDefault="00000000">
            <w:pPr>
              <w:jc w:val="both"/>
              <w:rPr>
                <w:sz w:val="22"/>
              </w:rPr>
            </w:pPr>
            <w:r>
              <w:rPr>
                <w:sz w:val="22"/>
              </w:rPr>
              <w:t>1992</w:t>
            </w:r>
          </w:p>
        </w:tc>
        <w:tc>
          <w:tcPr>
            <w:tcW w:w="1642" w:type="dxa"/>
          </w:tcPr>
          <w:p w:rsidR="00000000" w:rsidRDefault="00000000">
            <w:pPr>
              <w:ind w:right="567"/>
              <w:jc w:val="right"/>
              <w:rPr>
                <w:sz w:val="22"/>
              </w:rPr>
            </w:pPr>
            <w:r>
              <w:rPr>
                <w:sz w:val="22"/>
              </w:rPr>
              <w:t>173</w:t>
            </w:r>
          </w:p>
        </w:tc>
        <w:tc>
          <w:tcPr>
            <w:tcW w:w="1643" w:type="dxa"/>
          </w:tcPr>
          <w:p w:rsidR="00000000" w:rsidRDefault="00000000">
            <w:pPr>
              <w:ind w:right="567"/>
              <w:jc w:val="right"/>
              <w:rPr>
                <w:sz w:val="22"/>
              </w:rPr>
            </w:pPr>
            <w:r>
              <w:rPr>
                <w:sz w:val="22"/>
              </w:rPr>
              <w:t>355</w:t>
            </w:r>
          </w:p>
        </w:tc>
        <w:tc>
          <w:tcPr>
            <w:tcW w:w="1560" w:type="dxa"/>
          </w:tcPr>
          <w:p w:rsidR="00000000" w:rsidRDefault="00000000">
            <w:pPr>
              <w:ind w:right="567"/>
              <w:jc w:val="right"/>
              <w:rPr>
                <w:sz w:val="22"/>
              </w:rPr>
            </w:pPr>
            <w:r>
              <w:rPr>
                <w:sz w:val="22"/>
              </w:rPr>
              <w:t>1.806</w:t>
            </w:r>
          </w:p>
        </w:tc>
        <w:tc>
          <w:tcPr>
            <w:tcW w:w="1560" w:type="dxa"/>
          </w:tcPr>
          <w:p w:rsidR="00000000" w:rsidRDefault="00000000">
            <w:pPr>
              <w:ind w:right="567"/>
              <w:jc w:val="right"/>
              <w:rPr>
                <w:sz w:val="22"/>
              </w:rPr>
            </w:pPr>
            <w:r>
              <w:rPr>
                <w:sz w:val="22"/>
              </w:rPr>
              <w:t>2.119</w:t>
            </w:r>
          </w:p>
        </w:tc>
        <w:tc>
          <w:tcPr>
            <w:tcW w:w="1560" w:type="dxa"/>
          </w:tcPr>
          <w:p w:rsidR="00000000" w:rsidRDefault="00000000">
            <w:pPr>
              <w:ind w:right="567"/>
              <w:jc w:val="right"/>
              <w:rPr>
                <w:sz w:val="22"/>
              </w:rPr>
            </w:pPr>
            <w:r>
              <w:rPr>
                <w:sz w:val="22"/>
              </w:rPr>
              <w:t>3.925</w:t>
            </w:r>
          </w:p>
        </w:tc>
      </w:tr>
      <w:tr w:rsidR="00000000">
        <w:tblPrEx>
          <w:tblCellMar>
            <w:top w:w="0" w:type="dxa"/>
            <w:bottom w:w="0" w:type="dxa"/>
          </w:tblCellMar>
        </w:tblPrEx>
        <w:tc>
          <w:tcPr>
            <w:tcW w:w="1836" w:type="dxa"/>
          </w:tcPr>
          <w:p w:rsidR="00000000" w:rsidRDefault="00000000">
            <w:pPr>
              <w:jc w:val="both"/>
              <w:rPr>
                <w:sz w:val="22"/>
              </w:rPr>
            </w:pPr>
            <w:r>
              <w:rPr>
                <w:sz w:val="22"/>
              </w:rPr>
              <w:t>1993</w:t>
            </w:r>
          </w:p>
        </w:tc>
        <w:tc>
          <w:tcPr>
            <w:tcW w:w="1642" w:type="dxa"/>
          </w:tcPr>
          <w:p w:rsidR="00000000" w:rsidRDefault="00000000">
            <w:pPr>
              <w:ind w:right="567"/>
              <w:jc w:val="right"/>
              <w:rPr>
                <w:sz w:val="22"/>
              </w:rPr>
            </w:pPr>
            <w:r>
              <w:rPr>
                <w:sz w:val="22"/>
              </w:rPr>
              <w:t>142</w:t>
            </w:r>
          </w:p>
        </w:tc>
        <w:tc>
          <w:tcPr>
            <w:tcW w:w="1643" w:type="dxa"/>
          </w:tcPr>
          <w:p w:rsidR="00000000" w:rsidRDefault="00000000">
            <w:pPr>
              <w:ind w:right="567"/>
              <w:jc w:val="right"/>
              <w:rPr>
                <w:sz w:val="22"/>
              </w:rPr>
            </w:pPr>
            <w:r>
              <w:rPr>
                <w:sz w:val="22"/>
              </w:rPr>
              <w:t>305</w:t>
            </w:r>
          </w:p>
        </w:tc>
        <w:tc>
          <w:tcPr>
            <w:tcW w:w="1560" w:type="dxa"/>
          </w:tcPr>
          <w:p w:rsidR="00000000" w:rsidRDefault="00000000">
            <w:pPr>
              <w:ind w:right="567"/>
              <w:jc w:val="right"/>
              <w:rPr>
                <w:sz w:val="22"/>
              </w:rPr>
            </w:pPr>
            <w:r>
              <w:rPr>
                <w:sz w:val="22"/>
              </w:rPr>
              <w:t>1.409</w:t>
            </w:r>
          </w:p>
        </w:tc>
        <w:tc>
          <w:tcPr>
            <w:tcW w:w="1560" w:type="dxa"/>
          </w:tcPr>
          <w:p w:rsidR="00000000" w:rsidRDefault="00000000">
            <w:pPr>
              <w:ind w:right="567"/>
              <w:jc w:val="right"/>
              <w:rPr>
                <w:sz w:val="22"/>
              </w:rPr>
            </w:pPr>
            <w:r>
              <w:rPr>
                <w:sz w:val="22"/>
              </w:rPr>
              <w:t>1.716</w:t>
            </w:r>
          </w:p>
        </w:tc>
        <w:tc>
          <w:tcPr>
            <w:tcW w:w="1560" w:type="dxa"/>
          </w:tcPr>
          <w:p w:rsidR="00000000" w:rsidRDefault="00000000">
            <w:pPr>
              <w:ind w:right="567"/>
              <w:jc w:val="right"/>
              <w:rPr>
                <w:sz w:val="22"/>
              </w:rPr>
            </w:pPr>
            <w:r>
              <w:rPr>
                <w:sz w:val="22"/>
              </w:rPr>
              <w:t>3.125</w:t>
            </w:r>
          </w:p>
        </w:tc>
      </w:tr>
      <w:tr w:rsidR="00000000">
        <w:tblPrEx>
          <w:tblCellMar>
            <w:top w:w="0" w:type="dxa"/>
            <w:bottom w:w="0" w:type="dxa"/>
          </w:tblCellMar>
        </w:tblPrEx>
        <w:tc>
          <w:tcPr>
            <w:tcW w:w="1836" w:type="dxa"/>
          </w:tcPr>
          <w:p w:rsidR="00000000" w:rsidRDefault="00000000">
            <w:pPr>
              <w:jc w:val="both"/>
              <w:rPr>
                <w:sz w:val="22"/>
              </w:rPr>
            </w:pPr>
            <w:r>
              <w:rPr>
                <w:sz w:val="22"/>
              </w:rPr>
              <w:t>1994</w:t>
            </w:r>
          </w:p>
        </w:tc>
        <w:tc>
          <w:tcPr>
            <w:tcW w:w="1642" w:type="dxa"/>
          </w:tcPr>
          <w:p w:rsidR="00000000" w:rsidRDefault="00000000">
            <w:pPr>
              <w:ind w:right="567"/>
              <w:jc w:val="right"/>
              <w:rPr>
                <w:sz w:val="22"/>
              </w:rPr>
            </w:pPr>
            <w:r>
              <w:rPr>
                <w:sz w:val="22"/>
              </w:rPr>
              <w:t>116</w:t>
            </w:r>
          </w:p>
        </w:tc>
        <w:tc>
          <w:tcPr>
            <w:tcW w:w="1643" w:type="dxa"/>
          </w:tcPr>
          <w:p w:rsidR="00000000" w:rsidRDefault="00000000">
            <w:pPr>
              <w:ind w:right="567"/>
              <w:jc w:val="right"/>
              <w:rPr>
                <w:sz w:val="22"/>
              </w:rPr>
            </w:pPr>
            <w:r>
              <w:rPr>
                <w:sz w:val="22"/>
              </w:rPr>
              <w:t>263</w:t>
            </w:r>
          </w:p>
        </w:tc>
        <w:tc>
          <w:tcPr>
            <w:tcW w:w="1560" w:type="dxa"/>
          </w:tcPr>
          <w:p w:rsidR="00000000" w:rsidRDefault="00000000">
            <w:pPr>
              <w:ind w:right="567"/>
              <w:jc w:val="right"/>
              <w:rPr>
                <w:sz w:val="22"/>
              </w:rPr>
            </w:pPr>
            <w:r>
              <w:rPr>
                <w:sz w:val="22"/>
              </w:rPr>
              <w:t>1.099</w:t>
            </w:r>
          </w:p>
        </w:tc>
        <w:tc>
          <w:tcPr>
            <w:tcW w:w="1560" w:type="dxa"/>
          </w:tcPr>
          <w:p w:rsidR="00000000" w:rsidRDefault="00000000">
            <w:pPr>
              <w:ind w:right="567"/>
              <w:jc w:val="right"/>
              <w:rPr>
                <w:sz w:val="22"/>
              </w:rPr>
            </w:pPr>
            <w:r>
              <w:rPr>
                <w:sz w:val="22"/>
              </w:rPr>
              <w:t>1.390</w:t>
            </w:r>
          </w:p>
        </w:tc>
        <w:tc>
          <w:tcPr>
            <w:tcW w:w="1560" w:type="dxa"/>
          </w:tcPr>
          <w:p w:rsidR="00000000" w:rsidRDefault="00000000">
            <w:pPr>
              <w:ind w:right="567"/>
              <w:jc w:val="right"/>
              <w:rPr>
                <w:sz w:val="22"/>
              </w:rPr>
            </w:pPr>
            <w:r>
              <w:rPr>
                <w:sz w:val="22"/>
              </w:rPr>
              <w:t>2.489</w:t>
            </w:r>
          </w:p>
        </w:tc>
      </w:tr>
      <w:tr w:rsidR="00000000">
        <w:tblPrEx>
          <w:tblCellMar>
            <w:top w:w="0" w:type="dxa"/>
            <w:bottom w:w="0" w:type="dxa"/>
          </w:tblCellMar>
        </w:tblPrEx>
        <w:tc>
          <w:tcPr>
            <w:tcW w:w="1836" w:type="dxa"/>
          </w:tcPr>
          <w:p w:rsidR="00000000" w:rsidRDefault="00000000">
            <w:pPr>
              <w:jc w:val="both"/>
              <w:rPr>
                <w:sz w:val="22"/>
              </w:rPr>
            </w:pPr>
            <w:r>
              <w:rPr>
                <w:sz w:val="22"/>
              </w:rPr>
              <w:t>1995</w:t>
            </w:r>
          </w:p>
        </w:tc>
        <w:tc>
          <w:tcPr>
            <w:tcW w:w="1642" w:type="dxa"/>
          </w:tcPr>
          <w:p w:rsidR="00000000" w:rsidRDefault="00000000">
            <w:pPr>
              <w:ind w:right="567"/>
              <w:jc w:val="right"/>
              <w:rPr>
                <w:sz w:val="22"/>
              </w:rPr>
            </w:pPr>
            <w:r>
              <w:rPr>
                <w:sz w:val="22"/>
              </w:rPr>
              <w:t>95</w:t>
            </w:r>
          </w:p>
        </w:tc>
        <w:tc>
          <w:tcPr>
            <w:tcW w:w="1643" w:type="dxa"/>
          </w:tcPr>
          <w:p w:rsidR="00000000" w:rsidRDefault="00000000">
            <w:pPr>
              <w:ind w:right="567"/>
              <w:jc w:val="right"/>
              <w:rPr>
                <w:sz w:val="22"/>
              </w:rPr>
            </w:pPr>
            <w:r>
              <w:rPr>
                <w:sz w:val="22"/>
              </w:rPr>
              <w:t>226</w:t>
            </w:r>
          </w:p>
        </w:tc>
        <w:tc>
          <w:tcPr>
            <w:tcW w:w="1560" w:type="dxa"/>
          </w:tcPr>
          <w:p w:rsidR="00000000" w:rsidRDefault="00000000">
            <w:pPr>
              <w:ind w:right="567"/>
              <w:jc w:val="right"/>
              <w:rPr>
                <w:sz w:val="22"/>
              </w:rPr>
            </w:pPr>
            <w:r>
              <w:rPr>
                <w:sz w:val="22"/>
              </w:rPr>
              <w:t>857</w:t>
            </w:r>
          </w:p>
        </w:tc>
        <w:tc>
          <w:tcPr>
            <w:tcW w:w="1560" w:type="dxa"/>
          </w:tcPr>
          <w:p w:rsidR="00000000" w:rsidRDefault="00000000">
            <w:pPr>
              <w:ind w:right="567"/>
              <w:jc w:val="right"/>
              <w:rPr>
                <w:sz w:val="22"/>
              </w:rPr>
            </w:pPr>
            <w:r>
              <w:rPr>
                <w:sz w:val="22"/>
              </w:rPr>
              <w:t>1.126</w:t>
            </w:r>
          </w:p>
        </w:tc>
        <w:tc>
          <w:tcPr>
            <w:tcW w:w="1560" w:type="dxa"/>
          </w:tcPr>
          <w:p w:rsidR="00000000" w:rsidRDefault="00000000">
            <w:pPr>
              <w:ind w:right="567"/>
              <w:jc w:val="right"/>
              <w:rPr>
                <w:sz w:val="22"/>
              </w:rPr>
            </w:pPr>
            <w:r>
              <w:rPr>
                <w:sz w:val="22"/>
              </w:rPr>
              <w:t>1.983</w:t>
            </w:r>
          </w:p>
        </w:tc>
      </w:tr>
      <w:tr w:rsidR="00000000">
        <w:tblPrEx>
          <w:tblCellMar>
            <w:top w:w="0" w:type="dxa"/>
            <w:bottom w:w="0" w:type="dxa"/>
          </w:tblCellMar>
        </w:tblPrEx>
        <w:tc>
          <w:tcPr>
            <w:tcW w:w="1836" w:type="dxa"/>
          </w:tcPr>
          <w:p w:rsidR="00000000" w:rsidRDefault="00000000">
            <w:pPr>
              <w:jc w:val="both"/>
              <w:rPr>
                <w:sz w:val="22"/>
              </w:rPr>
            </w:pPr>
            <w:r>
              <w:rPr>
                <w:sz w:val="22"/>
              </w:rPr>
              <w:t>1996</w:t>
            </w:r>
          </w:p>
        </w:tc>
        <w:tc>
          <w:tcPr>
            <w:tcW w:w="1642" w:type="dxa"/>
          </w:tcPr>
          <w:p w:rsidR="00000000" w:rsidRDefault="00000000">
            <w:pPr>
              <w:ind w:right="567"/>
              <w:jc w:val="right"/>
              <w:rPr>
                <w:sz w:val="22"/>
              </w:rPr>
            </w:pPr>
            <w:r>
              <w:rPr>
                <w:sz w:val="22"/>
              </w:rPr>
              <w:t>131</w:t>
            </w:r>
          </w:p>
        </w:tc>
        <w:tc>
          <w:tcPr>
            <w:tcW w:w="1643" w:type="dxa"/>
          </w:tcPr>
          <w:p w:rsidR="00000000" w:rsidRDefault="00000000">
            <w:pPr>
              <w:ind w:right="567"/>
              <w:jc w:val="right"/>
              <w:rPr>
                <w:sz w:val="22"/>
              </w:rPr>
            </w:pPr>
            <w:r>
              <w:rPr>
                <w:sz w:val="22"/>
              </w:rPr>
              <w:t>399</w:t>
            </w:r>
          </w:p>
        </w:tc>
        <w:tc>
          <w:tcPr>
            <w:tcW w:w="1560" w:type="dxa"/>
          </w:tcPr>
          <w:p w:rsidR="00000000" w:rsidRDefault="00000000">
            <w:pPr>
              <w:ind w:right="567"/>
              <w:jc w:val="right"/>
              <w:rPr>
                <w:sz w:val="22"/>
              </w:rPr>
            </w:pPr>
            <w:r>
              <w:rPr>
                <w:sz w:val="22"/>
              </w:rPr>
              <w:t>3.286</w:t>
            </w:r>
          </w:p>
        </w:tc>
        <w:tc>
          <w:tcPr>
            <w:tcW w:w="1560" w:type="dxa"/>
          </w:tcPr>
          <w:p w:rsidR="00000000" w:rsidRDefault="00000000">
            <w:pPr>
              <w:ind w:right="567"/>
              <w:jc w:val="right"/>
              <w:rPr>
                <w:sz w:val="22"/>
              </w:rPr>
            </w:pPr>
            <w:r>
              <w:rPr>
                <w:sz w:val="22"/>
              </w:rPr>
              <w:t>1.792</w:t>
            </w:r>
          </w:p>
        </w:tc>
        <w:tc>
          <w:tcPr>
            <w:tcW w:w="1560" w:type="dxa"/>
          </w:tcPr>
          <w:p w:rsidR="00000000" w:rsidRDefault="00000000">
            <w:pPr>
              <w:ind w:right="567"/>
              <w:jc w:val="right"/>
              <w:rPr>
                <w:sz w:val="22"/>
              </w:rPr>
            </w:pPr>
            <w:r>
              <w:rPr>
                <w:sz w:val="22"/>
              </w:rPr>
              <w:t>5.078</w:t>
            </w:r>
          </w:p>
        </w:tc>
      </w:tr>
      <w:tr w:rsidR="00000000">
        <w:tblPrEx>
          <w:tblCellMar>
            <w:top w:w="0" w:type="dxa"/>
            <w:bottom w:w="0" w:type="dxa"/>
          </w:tblCellMar>
        </w:tblPrEx>
        <w:tc>
          <w:tcPr>
            <w:tcW w:w="1836" w:type="dxa"/>
          </w:tcPr>
          <w:p w:rsidR="00000000" w:rsidRDefault="00000000">
            <w:pPr>
              <w:jc w:val="both"/>
              <w:rPr>
                <w:sz w:val="22"/>
              </w:rPr>
            </w:pPr>
            <w:r>
              <w:rPr>
                <w:sz w:val="22"/>
              </w:rPr>
              <w:t>1997</w:t>
            </w:r>
          </w:p>
        </w:tc>
        <w:tc>
          <w:tcPr>
            <w:tcW w:w="1642" w:type="dxa"/>
          </w:tcPr>
          <w:p w:rsidR="00000000" w:rsidRDefault="00000000">
            <w:pPr>
              <w:ind w:right="567"/>
              <w:jc w:val="right"/>
              <w:rPr>
                <w:sz w:val="22"/>
              </w:rPr>
            </w:pPr>
            <w:r>
              <w:rPr>
                <w:sz w:val="22"/>
              </w:rPr>
              <w:t>64</w:t>
            </w:r>
          </w:p>
        </w:tc>
        <w:tc>
          <w:tcPr>
            <w:tcW w:w="1643" w:type="dxa"/>
          </w:tcPr>
          <w:p w:rsidR="00000000" w:rsidRDefault="00000000">
            <w:pPr>
              <w:ind w:right="567"/>
              <w:jc w:val="right"/>
              <w:rPr>
                <w:sz w:val="22"/>
              </w:rPr>
            </w:pPr>
            <w:r>
              <w:rPr>
                <w:sz w:val="22"/>
              </w:rPr>
              <w:t>167</w:t>
            </w:r>
          </w:p>
        </w:tc>
        <w:tc>
          <w:tcPr>
            <w:tcW w:w="1560" w:type="dxa"/>
          </w:tcPr>
          <w:p w:rsidR="00000000" w:rsidRDefault="00000000">
            <w:pPr>
              <w:ind w:right="567"/>
              <w:jc w:val="right"/>
              <w:rPr>
                <w:sz w:val="22"/>
              </w:rPr>
            </w:pPr>
            <w:r>
              <w:rPr>
                <w:sz w:val="22"/>
              </w:rPr>
              <w:t>522</w:t>
            </w:r>
          </w:p>
        </w:tc>
        <w:tc>
          <w:tcPr>
            <w:tcW w:w="1560" w:type="dxa"/>
          </w:tcPr>
          <w:p w:rsidR="00000000" w:rsidRDefault="00000000">
            <w:pPr>
              <w:ind w:right="567"/>
              <w:jc w:val="right"/>
              <w:rPr>
                <w:sz w:val="22"/>
              </w:rPr>
            </w:pPr>
            <w:r>
              <w:rPr>
                <w:sz w:val="22"/>
              </w:rPr>
              <w:t>739</w:t>
            </w:r>
          </w:p>
        </w:tc>
        <w:tc>
          <w:tcPr>
            <w:tcW w:w="1560" w:type="dxa"/>
          </w:tcPr>
          <w:p w:rsidR="00000000" w:rsidRDefault="00000000">
            <w:pPr>
              <w:ind w:right="567"/>
              <w:jc w:val="right"/>
              <w:rPr>
                <w:sz w:val="22"/>
              </w:rPr>
            </w:pPr>
            <w:r>
              <w:rPr>
                <w:sz w:val="22"/>
              </w:rPr>
              <w:t>1.261</w:t>
            </w:r>
          </w:p>
        </w:tc>
      </w:tr>
    </w:tbl>
    <w:p w:rsidR="00000000" w:rsidRDefault="00000000">
      <w:pPr>
        <w:spacing w:line="120" w:lineRule="exact"/>
        <w:jc w:val="both"/>
        <w:rPr>
          <w:sz w:val="10"/>
        </w:rPr>
      </w:pPr>
    </w:p>
    <w:p w:rsidR="00000000" w:rsidRDefault="00000000">
      <w:pPr>
        <w:jc w:val="both"/>
        <w:rPr>
          <w:sz w:val="22"/>
        </w:rPr>
      </w:pPr>
      <w:r>
        <w:rPr>
          <w:i/>
          <w:sz w:val="22"/>
          <w:u w:val="single"/>
        </w:rPr>
        <w:t>Source</w:t>
      </w:r>
      <w:r>
        <w:rPr>
          <w:i/>
          <w:sz w:val="22"/>
        </w:rPr>
        <w:t xml:space="preserve"> : Direction de la Planification, Ministère Enseignement Primaire et Secondaire </w:t>
      </w:r>
      <w:r>
        <w:rPr>
          <w:sz w:val="22"/>
        </w:rPr>
        <w:t>: 1998</w:t>
      </w:r>
    </w:p>
    <w:p w:rsidR="00000000" w:rsidRDefault="00000000">
      <w:pPr>
        <w:jc w:val="both"/>
        <w:rPr>
          <w:sz w:val="22"/>
        </w:rPr>
      </w:pPr>
    </w:p>
    <w:p w:rsidR="00000000" w:rsidRDefault="00000000">
      <w:pPr>
        <w:jc w:val="both"/>
        <w:rPr>
          <w:b/>
          <w:sz w:val="22"/>
        </w:rPr>
      </w:pPr>
      <w:r>
        <w:rPr>
          <w:b/>
          <w:sz w:val="22"/>
          <w:u w:val="single"/>
        </w:rPr>
        <w:t>Tableau n° 62</w:t>
      </w:r>
      <w:r>
        <w:rPr>
          <w:b/>
          <w:sz w:val="22"/>
        </w:rPr>
        <w:t> : Estimation du taux d’alphabétisation au Congo</w:t>
      </w:r>
    </w:p>
    <w:p w:rsidR="00000000" w:rsidRDefault="00000000">
      <w:pPr>
        <w:jc w:val="both"/>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7"/>
        <w:gridCol w:w="3267"/>
        <w:gridCol w:w="3267"/>
      </w:tblGrid>
      <w:tr w:rsidR="00000000">
        <w:tblPrEx>
          <w:tblCellMar>
            <w:top w:w="0" w:type="dxa"/>
            <w:bottom w:w="0" w:type="dxa"/>
          </w:tblCellMar>
        </w:tblPrEx>
        <w:tc>
          <w:tcPr>
            <w:tcW w:w="3267" w:type="dxa"/>
          </w:tcPr>
          <w:p w:rsidR="00000000" w:rsidRDefault="00000000">
            <w:pPr>
              <w:jc w:val="center"/>
              <w:rPr>
                <w:sz w:val="22"/>
              </w:rPr>
            </w:pPr>
            <w:r>
              <w:rPr>
                <w:sz w:val="22"/>
              </w:rPr>
              <w:t>Sexe</w:t>
            </w:r>
          </w:p>
        </w:tc>
        <w:tc>
          <w:tcPr>
            <w:tcW w:w="3267" w:type="dxa"/>
          </w:tcPr>
          <w:p w:rsidR="00000000" w:rsidRDefault="00000000">
            <w:pPr>
              <w:jc w:val="center"/>
              <w:rPr>
                <w:sz w:val="22"/>
              </w:rPr>
            </w:pPr>
            <w:r>
              <w:rPr>
                <w:sz w:val="22"/>
              </w:rPr>
              <w:t>1980</w:t>
            </w:r>
          </w:p>
        </w:tc>
        <w:tc>
          <w:tcPr>
            <w:tcW w:w="3267" w:type="dxa"/>
          </w:tcPr>
          <w:p w:rsidR="00000000" w:rsidRDefault="00000000">
            <w:pPr>
              <w:jc w:val="center"/>
              <w:rPr>
                <w:sz w:val="22"/>
              </w:rPr>
            </w:pPr>
            <w:r>
              <w:rPr>
                <w:sz w:val="22"/>
              </w:rPr>
              <w:t>1995</w:t>
            </w:r>
          </w:p>
        </w:tc>
      </w:tr>
      <w:tr w:rsidR="00000000">
        <w:tblPrEx>
          <w:tblCellMar>
            <w:top w:w="0" w:type="dxa"/>
            <w:bottom w:w="0" w:type="dxa"/>
          </w:tblCellMar>
        </w:tblPrEx>
        <w:tc>
          <w:tcPr>
            <w:tcW w:w="3267" w:type="dxa"/>
          </w:tcPr>
          <w:p w:rsidR="00000000" w:rsidRDefault="00000000">
            <w:pPr>
              <w:jc w:val="both"/>
              <w:rPr>
                <w:sz w:val="22"/>
              </w:rPr>
            </w:pPr>
            <w:r>
              <w:rPr>
                <w:sz w:val="22"/>
              </w:rPr>
              <w:t>Hommes</w:t>
            </w:r>
          </w:p>
        </w:tc>
        <w:tc>
          <w:tcPr>
            <w:tcW w:w="3267" w:type="dxa"/>
          </w:tcPr>
          <w:p w:rsidR="00000000" w:rsidRDefault="00000000">
            <w:pPr>
              <w:jc w:val="center"/>
              <w:rPr>
                <w:sz w:val="22"/>
              </w:rPr>
            </w:pPr>
            <w:r>
              <w:rPr>
                <w:sz w:val="22"/>
              </w:rPr>
              <w:t>64,5%</w:t>
            </w:r>
          </w:p>
        </w:tc>
        <w:tc>
          <w:tcPr>
            <w:tcW w:w="3267" w:type="dxa"/>
          </w:tcPr>
          <w:p w:rsidR="00000000" w:rsidRDefault="00000000">
            <w:pPr>
              <w:jc w:val="center"/>
              <w:rPr>
                <w:sz w:val="22"/>
              </w:rPr>
            </w:pPr>
            <w:r>
              <w:rPr>
                <w:sz w:val="22"/>
              </w:rPr>
              <w:t>83,1%</w:t>
            </w:r>
          </w:p>
        </w:tc>
      </w:tr>
      <w:tr w:rsidR="00000000">
        <w:tblPrEx>
          <w:tblCellMar>
            <w:top w:w="0" w:type="dxa"/>
            <w:bottom w:w="0" w:type="dxa"/>
          </w:tblCellMar>
        </w:tblPrEx>
        <w:tc>
          <w:tcPr>
            <w:tcW w:w="3267" w:type="dxa"/>
          </w:tcPr>
          <w:p w:rsidR="00000000" w:rsidRDefault="00000000">
            <w:pPr>
              <w:jc w:val="both"/>
              <w:rPr>
                <w:sz w:val="22"/>
              </w:rPr>
            </w:pPr>
            <w:r>
              <w:rPr>
                <w:sz w:val="22"/>
              </w:rPr>
              <w:t>Femmes</w:t>
            </w:r>
          </w:p>
        </w:tc>
        <w:tc>
          <w:tcPr>
            <w:tcW w:w="3267" w:type="dxa"/>
          </w:tcPr>
          <w:p w:rsidR="00000000" w:rsidRDefault="00000000">
            <w:pPr>
              <w:jc w:val="center"/>
              <w:rPr>
                <w:sz w:val="22"/>
              </w:rPr>
            </w:pPr>
            <w:r>
              <w:rPr>
                <w:sz w:val="22"/>
              </w:rPr>
              <w:t>39,6%</w:t>
            </w:r>
          </w:p>
        </w:tc>
        <w:tc>
          <w:tcPr>
            <w:tcW w:w="3267" w:type="dxa"/>
          </w:tcPr>
          <w:p w:rsidR="00000000" w:rsidRDefault="00000000">
            <w:pPr>
              <w:jc w:val="center"/>
              <w:rPr>
                <w:sz w:val="22"/>
              </w:rPr>
            </w:pPr>
            <w:r>
              <w:rPr>
                <w:sz w:val="22"/>
              </w:rPr>
              <w:t>67,2%</w:t>
            </w:r>
          </w:p>
        </w:tc>
      </w:tr>
    </w:tbl>
    <w:p w:rsidR="00000000" w:rsidRDefault="00000000">
      <w:pPr>
        <w:spacing w:line="120" w:lineRule="exact"/>
        <w:jc w:val="both"/>
        <w:rPr>
          <w:sz w:val="10"/>
        </w:rPr>
      </w:pPr>
    </w:p>
    <w:p w:rsidR="00000000" w:rsidRDefault="00000000">
      <w:pPr>
        <w:jc w:val="both"/>
        <w:rPr>
          <w:sz w:val="22"/>
        </w:rPr>
      </w:pPr>
      <w:r>
        <w:rPr>
          <w:i/>
          <w:sz w:val="22"/>
          <w:u w:val="single"/>
        </w:rPr>
        <w:t>Source</w:t>
      </w:r>
      <w:r>
        <w:rPr>
          <w:i/>
          <w:sz w:val="22"/>
        </w:rPr>
        <w:t> : UNESCO 1998</w:t>
      </w:r>
    </w:p>
    <w:p w:rsidR="00000000" w:rsidRDefault="00000000">
      <w:pPr>
        <w:jc w:val="both"/>
        <w:rPr>
          <w:sz w:val="22"/>
        </w:rPr>
      </w:pPr>
    </w:p>
    <w:p w:rsidR="00000000" w:rsidRDefault="00000000">
      <w:pPr>
        <w:jc w:val="both"/>
        <w:rPr>
          <w:b/>
          <w:sz w:val="22"/>
        </w:rPr>
      </w:pPr>
      <w:r>
        <w:rPr>
          <w:b/>
          <w:sz w:val="22"/>
          <w:u w:val="single"/>
        </w:rPr>
        <w:br w:type="page"/>
        <w:t>Tableau n° 63</w:t>
      </w:r>
      <w:r>
        <w:rPr>
          <w:b/>
          <w:sz w:val="22"/>
        </w:rPr>
        <w:t xml:space="preserve"> : Evolution du taux d’alphabétisation des années </w:t>
      </w:r>
    </w:p>
    <w:p w:rsidR="00000000" w:rsidRDefault="00000000">
      <w:pPr>
        <w:jc w:val="both"/>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16"/>
        <w:gridCol w:w="1147"/>
        <w:gridCol w:w="1148"/>
        <w:gridCol w:w="1147"/>
        <w:gridCol w:w="1148"/>
        <w:gridCol w:w="1147"/>
        <w:gridCol w:w="1148"/>
      </w:tblGrid>
      <w:tr w:rsidR="00000000">
        <w:tblPrEx>
          <w:tblCellMar>
            <w:top w:w="0" w:type="dxa"/>
            <w:bottom w:w="0" w:type="dxa"/>
          </w:tblCellMar>
        </w:tblPrEx>
        <w:trPr>
          <w:cantSplit/>
        </w:trPr>
        <w:tc>
          <w:tcPr>
            <w:tcW w:w="2916" w:type="dxa"/>
            <w:vMerge w:val="restart"/>
          </w:tcPr>
          <w:p w:rsidR="00000000" w:rsidRDefault="00000000">
            <w:pPr>
              <w:jc w:val="center"/>
              <w:rPr>
                <w:sz w:val="22"/>
              </w:rPr>
            </w:pPr>
            <w:r>
              <w:rPr>
                <w:sz w:val="22"/>
              </w:rPr>
              <w:t>Groupe d’âge</w:t>
            </w:r>
          </w:p>
        </w:tc>
        <w:tc>
          <w:tcPr>
            <w:tcW w:w="3442" w:type="dxa"/>
            <w:gridSpan w:val="3"/>
          </w:tcPr>
          <w:p w:rsidR="00000000" w:rsidRDefault="00000000">
            <w:pPr>
              <w:jc w:val="center"/>
              <w:rPr>
                <w:sz w:val="22"/>
              </w:rPr>
            </w:pPr>
            <w:r>
              <w:rPr>
                <w:sz w:val="22"/>
              </w:rPr>
              <w:t>1974</w:t>
            </w:r>
          </w:p>
        </w:tc>
        <w:tc>
          <w:tcPr>
            <w:tcW w:w="3443" w:type="dxa"/>
            <w:gridSpan w:val="3"/>
          </w:tcPr>
          <w:p w:rsidR="00000000" w:rsidRDefault="00000000">
            <w:pPr>
              <w:jc w:val="center"/>
              <w:rPr>
                <w:sz w:val="22"/>
              </w:rPr>
            </w:pPr>
            <w:r>
              <w:rPr>
                <w:sz w:val="22"/>
              </w:rPr>
              <w:t>1984</w:t>
            </w:r>
          </w:p>
        </w:tc>
      </w:tr>
      <w:tr w:rsidR="00000000">
        <w:tblPrEx>
          <w:tblCellMar>
            <w:top w:w="0" w:type="dxa"/>
            <w:bottom w:w="0" w:type="dxa"/>
          </w:tblCellMar>
        </w:tblPrEx>
        <w:trPr>
          <w:cantSplit/>
        </w:trPr>
        <w:tc>
          <w:tcPr>
            <w:tcW w:w="2916" w:type="dxa"/>
            <w:vMerge/>
          </w:tcPr>
          <w:p w:rsidR="00000000" w:rsidRDefault="00000000">
            <w:pPr>
              <w:jc w:val="both"/>
              <w:rPr>
                <w:sz w:val="22"/>
              </w:rPr>
            </w:pPr>
          </w:p>
        </w:tc>
        <w:tc>
          <w:tcPr>
            <w:tcW w:w="1147" w:type="dxa"/>
          </w:tcPr>
          <w:p w:rsidR="00000000" w:rsidRDefault="00000000">
            <w:pPr>
              <w:jc w:val="center"/>
              <w:rPr>
                <w:sz w:val="22"/>
              </w:rPr>
            </w:pPr>
            <w:r>
              <w:rPr>
                <w:sz w:val="22"/>
              </w:rPr>
              <w:t>T</w:t>
            </w:r>
          </w:p>
        </w:tc>
        <w:tc>
          <w:tcPr>
            <w:tcW w:w="1148" w:type="dxa"/>
          </w:tcPr>
          <w:p w:rsidR="00000000" w:rsidRDefault="00000000">
            <w:pPr>
              <w:jc w:val="center"/>
              <w:rPr>
                <w:sz w:val="22"/>
                <w:lang w:val="de-DE"/>
              </w:rPr>
            </w:pPr>
            <w:r>
              <w:rPr>
                <w:sz w:val="22"/>
                <w:lang w:val="de-DE"/>
              </w:rPr>
              <w:t>H</w:t>
            </w:r>
          </w:p>
        </w:tc>
        <w:tc>
          <w:tcPr>
            <w:tcW w:w="1147" w:type="dxa"/>
          </w:tcPr>
          <w:p w:rsidR="00000000" w:rsidRDefault="00000000">
            <w:pPr>
              <w:jc w:val="center"/>
              <w:rPr>
                <w:sz w:val="22"/>
                <w:lang w:val="de-DE"/>
              </w:rPr>
            </w:pPr>
            <w:r>
              <w:rPr>
                <w:sz w:val="22"/>
                <w:lang w:val="de-DE"/>
              </w:rPr>
              <w:t>F</w:t>
            </w:r>
          </w:p>
        </w:tc>
        <w:tc>
          <w:tcPr>
            <w:tcW w:w="1148" w:type="dxa"/>
          </w:tcPr>
          <w:p w:rsidR="00000000" w:rsidRDefault="00000000">
            <w:pPr>
              <w:jc w:val="center"/>
              <w:rPr>
                <w:sz w:val="22"/>
                <w:lang w:val="de-DE"/>
              </w:rPr>
            </w:pPr>
            <w:r>
              <w:rPr>
                <w:sz w:val="22"/>
                <w:lang w:val="de-DE"/>
              </w:rPr>
              <w:t>T</w:t>
            </w:r>
          </w:p>
        </w:tc>
        <w:tc>
          <w:tcPr>
            <w:tcW w:w="1147" w:type="dxa"/>
          </w:tcPr>
          <w:p w:rsidR="00000000" w:rsidRDefault="00000000">
            <w:pPr>
              <w:jc w:val="center"/>
              <w:rPr>
                <w:sz w:val="22"/>
                <w:lang w:val="en-GB"/>
              </w:rPr>
            </w:pPr>
            <w:r>
              <w:rPr>
                <w:sz w:val="22"/>
                <w:lang w:val="en-GB"/>
              </w:rPr>
              <w:t>H</w:t>
            </w:r>
          </w:p>
        </w:tc>
        <w:tc>
          <w:tcPr>
            <w:tcW w:w="1148" w:type="dxa"/>
          </w:tcPr>
          <w:p w:rsidR="00000000" w:rsidRDefault="00000000">
            <w:pPr>
              <w:jc w:val="center"/>
              <w:rPr>
                <w:sz w:val="22"/>
                <w:lang w:val="en-GB"/>
              </w:rPr>
            </w:pPr>
            <w:r>
              <w:rPr>
                <w:sz w:val="22"/>
                <w:lang w:val="en-GB"/>
              </w:rPr>
              <w:t>F</w:t>
            </w:r>
          </w:p>
        </w:tc>
      </w:tr>
      <w:tr w:rsidR="00000000">
        <w:tblPrEx>
          <w:tblCellMar>
            <w:top w:w="0" w:type="dxa"/>
            <w:bottom w:w="0" w:type="dxa"/>
          </w:tblCellMar>
        </w:tblPrEx>
        <w:tc>
          <w:tcPr>
            <w:tcW w:w="2916" w:type="dxa"/>
          </w:tcPr>
          <w:p w:rsidR="00000000" w:rsidRDefault="00000000">
            <w:pPr>
              <w:jc w:val="both"/>
              <w:rPr>
                <w:sz w:val="22"/>
                <w:lang w:val="en-GB"/>
              </w:rPr>
            </w:pPr>
            <w:r>
              <w:rPr>
                <w:sz w:val="22"/>
                <w:lang w:val="en-GB"/>
              </w:rPr>
              <w:t>Total  15 +</w:t>
            </w:r>
          </w:p>
        </w:tc>
        <w:tc>
          <w:tcPr>
            <w:tcW w:w="1147" w:type="dxa"/>
          </w:tcPr>
          <w:p w:rsidR="00000000" w:rsidRDefault="00000000">
            <w:pPr>
              <w:ind w:right="284"/>
              <w:jc w:val="right"/>
              <w:rPr>
                <w:sz w:val="22"/>
              </w:rPr>
            </w:pPr>
            <w:r>
              <w:rPr>
                <w:sz w:val="22"/>
              </w:rPr>
              <w:t>60,8%</w:t>
            </w:r>
          </w:p>
        </w:tc>
        <w:tc>
          <w:tcPr>
            <w:tcW w:w="1148" w:type="dxa"/>
          </w:tcPr>
          <w:p w:rsidR="00000000" w:rsidRDefault="00000000">
            <w:pPr>
              <w:ind w:right="284"/>
              <w:jc w:val="right"/>
              <w:rPr>
                <w:sz w:val="22"/>
              </w:rPr>
            </w:pPr>
            <w:r>
              <w:rPr>
                <w:sz w:val="22"/>
              </w:rPr>
              <w:t>46,4%</w:t>
            </w:r>
          </w:p>
        </w:tc>
        <w:tc>
          <w:tcPr>
            <w:tcW w:w="1147" w:type="dxa"/>
          </w:tcPr>
          <w:p w:rsidR="00000000" w:rsidRDefault="00000000">
            <w:pPr>
              <w:ind w:right="284"/>
              <w:jc w:val="right"/>
              <w:rPr>
                <w:sz w:val="22"/>
              </w:rPr>
            </w:pPr>
            <w:r>
              <w:rPr>
                <w:sz w:val="22"/>
              </w:rPr>
              <w:t>73,1%</w:t>
            </w:r>
          </w:p>
        </w:tc>
        <w:tc>
          <w:tcPr>
            <w:tcW w:w="1148" w:type="dxa"/>
          </w:tcPr>
          <w:p w:rsidR="00000000" w:rsidRDefault="00000000">
            <w:pPr>
              <w:ind w:right="284"/>
              <w:jc w:val="right"/>
              <w:rPr>
                <w:sz w:val="22"/>
              </w:rPr>
            </w:pPr>
            <w:r>
              <w:rPr>
                <w:sz w:val="22"/>
              </w:rPr>
              <w:t>41,5%</w:t>
            </w:r>
          </w:p>
        </w:tc>
        <w:tc>
          <w:tcPr>
            <w:tcW w:w="1147" w:type="dxa"/>
          </w:tcPr>
          <w:p w:rsidR="00000000" w:rsidRDefault="00000000">
            <w:pPr>
              <w:ind w:right="284"/>
              <w:jc w:val="right"/>
              <w:rPr>
                <w:sz w:val="22"/>
              </w:rPr>
            </w:pPr>
            <w:r>
              <w:rPr>
                <w:sz w:val="22"/>
              </w:rPr>
              <w:t>29,5%</w:t>
            </w:r>
          </w:p>
        </w:tc>
        <w:tc>
          <w:tcPr>
            <w:tcW w:w="1148" w:type="dxa"/>
          </w:tcPr>
          <w:p w:rsidR="00000000" w:rsidRDefault="00000000">
            <w:pPr>
              <w:ind w:right="284"/>
              <w:jc w:val="right"/>
              <w:rPr>
                <w:sz w:val="22"/>
              </w:rPr>
            </w:pPr>
            <w:r>
              <w:rPr>
                <w:sz w:val="22"/>
              </w:rPr>
              <w:t>52,4%</w:t>
            </w:r>
          </w:p>
        </w:tc>
      </w:tr>
      <w:tr w:rsidR="00000000">
        <w:tblPrEx>
          <w:tblCellMar>
            <w:top w:w="0" w:type="dxa"/>
            <w:bottom w:w="0" w:type="dxa"/>
          </w:tblCellMar>
        </w:tblPrEx>
        <w:tc>
          <w:tcPr>
            <w:tcW w:w="2916" w:type="dxa"/>
          </w:tcPr>
          <w:p w:rsidR="00000000" w:rsidRDefault="00000000">
            <w:pPr>
              <w:jc w:val="both"/>
              <w:rPr>
                <w:sz w:val="22"/>
              </w:rPr>
            </w:pPr>
            <w:r>
              <w:rPr>
                <w:sz w:val="22"/>
              </w:rPr>
              <w:t>15 – 19 ans</w:t>
            </w:r>
          </w:p>
        </w:tc>
        <w:tc>
          <w:tcPr>
            <w:tcW w:w="1147" w:type="dxa"/>
          </w:tcPr>
          <w:p w:rsidR="00000000" w:rsidRDefault="00000000">
            <w:pPr>
              <w:ind w:right="284"/>
              <w:jc w:val="right"/>
              <w:rPr>
                <w:sz w:val="22"/>
              </w:rPr>
            </w:pPr>
            <w:r>
              <w:rPr>
                <w:sz w:val="22"/>
              </w:rPr>
              <w:t>18,7%</w:t>
            </w:r>
          </w:p>
        </w:tc>
        <w:tc>
          <w:tcPr>
            <w:tcW w:w="1148" w:type="dxa"/>
          </w:tcPr>
          <w:p w:rsidR="00000000" w:rsidRDefault="00000000">
            <w:pPr>
              <w:ind w:right="284"/>
              <w:jc w:val="right"/>
              <w:rPr>
                <w:sz w:val="22"/>
              </w:rPr>
            </w:pPr>
            <w:r>
              <w:rPr>
                <w:sz w:val="22"/>
              </w:rPr>
              <w:t>8,4%</w:t>
            </w:r>
          </w:p>
        </w:tc>
        <w:tc>
          <w:tcPr>
            <w:tcW w:w="1147" w:type="dxa"/>
          </w:tcPr>
          <w:p w:rsidR="00000000" w:rsidRDefault="00000000">
            <w:pPr>
              <w:ind w:right="284"/>
              <w:jc w:val="right"/>
              <w:rPr>
                <w:sz w:val="22"/>
              </w:rPr>
            </w:pPr>
            <w:r>
              <w:rPr>
                <w:sz w:val="22"/>
              </w:rPr>
              <w:t>28,2%</w:t>
            </w:r>
          </w:p>
        </w:tc>
        <w:tc>
          <w:tcPr>
            <w:tcW w:w="1148" w:type="dxa"/>
          </w:tcPr>
          <w:p w:rsidR="00000000" w:rsidRDefault="00000000">
            <w:pPr>
              <w:ind w:right="284"/>
              <w:jc w:val="right"/>
              <w:rPr>
                <w:sz w:val="22"/>
              </w:rPr>
            </w:pPr>
            <w:r>
              <w:rPr>
                <w:sz w:val="22"/>
              </w:rPr>
              <w:t>9,1%</w:t>
            </w:r>
          </w:p>
        </w:tc>
        <w:tc>
          <w:tcPr>
            <w:tcW w:w="1147" w:type="dxa"/>
          </w:tcPr>
          <w:p w:rsidR="00000000" w:rsidRDefault="00000000">
            <w:pPr>
              <w:ind w:right="284"/>
              <w:jc w:val="right"/>
              <w:rPr>
                <w:sz w:val="22"/>
              </w:rPr>
            </w:pPr>
            <w:r>
              <w:rPr>
                <w:sz w:val="22"/>
              </w:rPr>
              <w:t>5,5%</w:t>
            </w:r>
          </w:p>
        </w:tc>
        <w:tc>
          <w:tcPr>
            <w:tcW w:w="1148" w:type="dxa"/>
          </w:tcPr>
          <w:p w:rsidR="00000000" w:rsidRDefault="00000000">
            <w:pPr>
              <w:ind w:right="284"/>
              <w:jc w:val="right"/>
              <w:rPr>
                <w:sz w:val="22"/>
              </w:rPr>
            </w:pPr>
            <w:r>
              <w:rPr>
                <w:sz w:val="22"/>
              </w:rPr>
              <w:t>12,5%</w:t>
            </w:r>
          </w:p>
        </w:tc>
      </w:tr>
      <w:tr w:rsidR="00000000">
        <w:tblPrEx>
          <w:tblCellMar>
            <w:top w:w="0" w:type="dxa"/>
            <w:bottom w:w="0" w:type="dxa"/>
          </w:tblCellMar>
        </w:tblPrEx>
        <w:tc>
          <w:tcPr>
            <w:tcW w:w="2916" w:type="dxa"/>
          </w:tcPr>
          <w:p w:rsidR="00000000" w:rsidRDefault="00000000">
            <w:pPr>
              <w:jc w:val="both"/>
              <w:rPr>
                <w:sz w:val="22"/>
              </w:rPr>
            </w:pPr>
            <w:r>
              <w:rPr>
                <w:sz w:val="22"/>
              </w:rPr>
              <w:t>20 – 24 ans</w:t>
            </w:r>
          </w:p>
        </w:tc>
        <w:tc>
          <w:tcPr>
            <w:tcW w:w="1147" w:type="dxa"/>
          </w:tcPr>
          <w:p w:rsidR="00000000" w:rsidRDefault="00000000">
            <w:pPr>
              <w:ind w:right="284"/>
              <w:jc w:val="right"/>
              <w:rPr>
                <w:sz w:val="22"/>
              </w:rPr>
            </w:pPr>
            <w:r>
              <w:rPr>
                <w:sz w:val="22"/>
              </w:rPr>
              <w:t>30,9%</w:t>
            </w:r>
          </w:p>
        </w:tc>
        <w:tc>
          <w:tcPr>
            <w:tcW w:w="1148" w:type="dxa"/>
          </w:tcPr>
          <w:p w:rsidR="00000000" w:rsidRDefault="00000000">
            <w:pPr>
              <w:ind w:right="284"/>
              <w:jc w:val="right"/>
              <w:rPr>
                <w:sz w:val="22"/>
              </w:rPr>
            </w:pPr>
            <w:r>
              <w:rPr>
                <w:sz w:val="22"/>
              </w:rPr>
              <w:t>14,7%</w:t>
            </w:r>
          </w:p>
        </w:tc>
        <w:tc>
          <w:tcPr>
            <w:tcW w:w="1147" w:type="dxa"/>
          </w:tcPr>
          <w:p w:rsidR="00000000" w:rsidRDefault="00000000">
            <w:pPr>
              <w:ind w:right="284"/>
              <w:jc w:val="right"/>
              <w:rPr>
                <w:sz w:val="22"/>
              </w:rPr>
            </w:pPr>
            <w:r>
              <w:rPr>
                <w:sz w:val="22"/>
              </w:rPr>
              <w:t>44,2%</w:t>
            </w:r>
          </w:p>
        </w:tc>
        <w:tc>
          <w:tcPr>
            <w:tcW w:w="1148" w:type="dxa"/>
          </w:tcPr>
          <w:p w:rsidR="00000000" w:rsidRDefault="00000000">
            <w:pPr>
              <w:ind w:right="284"/>
              <w:jc w:val="right"/>
              <w:rPr>
                <w:sz w:val="22"/>
              </w:rPr>
            </w:pPr>
            <w:r>
              <w:rPr>
                <w:sz w:val="22"/>
              </w:rPr>
              <w:t>16,7%</w:t>
            </w:r>
          </w:p>
        </w:tc>
        <w:tc>
          <w:tcPr>
            <w:tcW w:w="1147" w:type="dxa"/>
          </w:tcPr>
          <w:p w:rsidR="00000000" w:rsidRDefault="00000000">
            <w:pPr>
              <w:ind w:right="284"/>
              <w:jc w:val="right"/>
              <w:rPr>
                <w:sz w:val="22"/>
              </w:rPr>
            </w:pPr>
            <w:r>
              <w:rPr>
                <w:sz w:val="22"/>
              </w:rPr>
              <w:t>10,1%</w:t>
            </w:r>
          </w:p>
        </w:tc>
        <w:tc>
          <w:tcPr>
            <w:tcW w:w="1148" w:type="dxa"/>
          </w:tcPr>
          <w:p w:rsidR="00000000" w:rsidRDefault="00000000">
            <w:pPr>
              <w:ind w:right="284"/>
              <w:jc w:val="right"/>
              <w:rPr>
                <w:sz w:val="22"/>
              </w:rPr>
            </w:pPr>
            <w:r>
              <w:rPr>
                <w:sz w:val="22"/>
              </w:rPr>
              <w:t>22,9%</w:t>
            </w:r>
          </w:p>
        </w:tc>
      </w:tr>
    </w:tbl>
    <w:p w:rsidR="00000000" w:rsidRDefault="00000000">
      <w:pPr>
        <w:spacing w:line="120" w:lineRule="exact"/>
        <w:jc w:val="both"/>
        <w:rPr>
          <w:sz w:val="10"/>
        </w:rPr>
      </w:pPr>
    </w:p>
    <w:p w:rsidR="00000000" w:rsidRDefault="00000000">
      <w:pPr>
        <w:jc w:val="both"/>
        <w:rPr>
          <w:sz w:val="22"/>
        </w:rPr>
      </w:pPr>
      <w:r>
        <w:rPr>
          <w:i/>
          <w:sz w:val="22"/>
          <w:u w:val="single"/>
        </w:rPr>
        <w:t>Source</w:t>
      </w:r>
      <w:r>
        <w:rPr>
          <w:i/>
          <w:sz w:val="22"/>
        </w:rPr>
        <w:t> : recensement général de la population et de l’habitat,(RGPH) 1974 et 1984</w:t>
      </w:r>
    </w:p>
    <w:p w:rsidR="00000000" w:rsidRDefault="00000000">
      <w:pPr>
        <w:jc w:val="both"/>
        <w:rPr>
          <w:sz w:val="22"/>
        </w:rPr>
      </w:pPr>
    </w:p>
    <w:p w:rsidR="00000000" w:rsidRDefault="00000000">
      <w:pPr>
        <w:jc w:val="both"/>
        <w:rPr>
          <w:sz w:val="22"/>
        </w:rPr>
      </w:pPr>
    </w:p>
    <w:p w:rsidR="00000000" w:rsidRDefault="00000000">
      <w:pPr>
        <w:jc w:val="both"/>
        <w:rPr>
          <w:sz w:val="22"/>
        </w:rPr>
      </w:pPr>
      <w:r>
        <w:rPr>
          <w:b/>
          <w:sz w:val="22"/>
          <w:u w:val="single"/>
        </w:rPr>
        <w:t>Tableau n° 64</w:t>
      </w:r>
      <w:r>
        <w:rPr>
          <w:b/>
          <w:sz w:val="22"/>
        </w:rPr>
        <w:t> : Evolution du taux d’alphabétisation des sujets âgés de 15 à 24 ans</w:t>
      </w:r>
      <w:r>
        <w:rPr>
          <w:sz w:val="22"/>
        </w:rPr>
        <w:t xml:space="preserve"> </w:t>
      </w:r>
    </w:p>
    <w:p w:rsidR="00000000" w:rsidRDefault="00000000">
      <w:pPr>
        <w:jc w:val="both"/>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98"/>
        <w:gridCol w:w="1140"/>
        <w:gridCol w:w="1140"/>
        <w:gridCol w:w="1140"/>
        <w:gridCol w:w="1140"/>
        <w:gridCol w:w="1140"/>
        <w:gridCol w:w="1185"/>
      </w:tblGrid>
      <w:tr w:rsidR="00000000">
        <w:tblPrEx>
          <w:tblCellMar>
            <w:top w:w="0" w:type="dxa"/>
            <w:bottom w:w="0" w:type="dxa"/>
          </w:tblCellMar>
        </w:tblPrEx>
        <w:trPr>
          <w:cantSplit/>
        </w:trPr>
        <w:tc>
          <w:tcPr>
            <w:tcW w:w="2898" w:type="dxa"/>
            <w:vMerge w:val="restart"/>
          </w:tcPr>
          <w:p w:rsidR="00000000" w:rsidRDefault="00000000">
            <w:pPr>
              <w:jc w:val="center"/>
              <w:rPr>
                <w:sz w:val="22"/>
              </w:rPr>
            </w:pPr>
            <w:r>
              <w:rPr>
                <w:sz w:val="22"/>
              </w:rPr>
              <w:t>Groupe d’âge</w:t>
            </w:r>
          </w:p>
        </w:tc>
        <w:tc>
          <w:tcPr>
            <w:tcW w:w="3420" w:type="dxa"/>
            <w:gridSpan w:val="3"/>
          </w:tcPr>
          <w:p w:rsidR="00000000" w:rsidRDefault="00000000">
            <w:pPr>
              <w:jc w:val="center"/>
              <w:rPr>
                <w:sz w:val="22"/>
              </w:rPr>
            </w:pPr>
            <w:r>
              <w:rPr>
                <w:sz w:val="22"/>
              </w:rPr>
              <w:t>1974</w:t>
            </w:r>
          </w:p>
        </w:tc>
        <w:tc>
          <w:tcPr>
            <w:tcW w:w="3465" w:type="dxa"/>
            <w:gridSpan w:val="3"/>
          </w:tcPr>
          <w:p w:rsidR="00000000" w:rsidRDefault="00000000">
            <w:pPr>
              <w:jc w:val="center"/>
              <w:rPr>
                <w:sz w:val="22"/>
              </w:rPr>
            </w:pPr>
            <w:r>
              <w:rPr>
                <w:sz w:val="22"/>
              </w:rPr>
              <w:t>1984</w:t>
            </w:r>
          </w:p>
        </w:tc>
      </w:tr>
      <w:tr w:rsidR="00000000">
        <w:tblPrEx>
          <w:tblCellMar>
            <w:top w:w="0" w:type="dxa"/>
            <w:bottom w:w="0" w:type="dxa"/>
          </w:tblCellMar>
        </w:tblPrEx>
        <w:trPr>
          <w:cantSplit/>
        </w:trPr>
        <w:tc>
          <w:tcPr>
            <w:tcW w:w="2898" w:type="dxa"/>
            <w:vMerge/>
          </w:tcPr>
          <w:p w:rsidR="00000000" w:rsidRDefault="00000000">
            <w:pPr>
              <w:jc w:val="both"/>
              <w:rPr>
                <w:sz w:val="22"/>
              </w:rPr>
            </w:pPr>
          </w:p>
        </w:tc>
        <w:tc>
          <w:tcPr>
            <w:tcW w:w="1140" w:type="dxa"/>
          </w:tcPr>
          <w:p w:rsidR="00000000" w:rsidRDefault="00000000">
            <w:pPr>
              <w:jc w:val="center"/>
              <w:rPr>
                <w:sz w:val="22"/>
              </w:rPr>
            </w:pPr>
            <w:r>
              <w:rPr>
                <w:sz w:val="22"/>
              </w:rPr>
              <w:t>T</w:t>
            </w:r>
          </w:p>
        </w:tc>
        <w:tc>
          <w:tcPr>
            <w:tcW w:w="1140" w:type="dxa"/>
          </w:tcPr>
          <w:p w:rsidR="00000000" w:rsidRDefault="00000000">
            <w:pPr>
              <w:jc w:val="center"/>
              <w:rPr>
                <w:sz w:val="22"/>
                <w:lang w:val="de-DE"/>
              </w:rPr>
            </w:pPr>
            <w:r>
              <w:rPr>
                <w:sz w:val="22"/>
                <w:lang w:val="de-DE"/>
              </w:rPr>
              <w:t>H</w:t>
            </w:r>
          </w:p>
        </w:tc>
        <w:tc>
          <w:tcPr>
            <w:tcW w:w="1140" w:type="dxa"/>
          </w:tcPr>
          <w:p w:rsidR="00000000" w:rsidRDefault="00000000">
            <w:pPr>
              <w:jc w:val="center"/>
              <w:rPr>
                <w:sz w:val="22"/>
                <w:lang w:val="de-DE"/>
              </w:rPr>
            </w:pPr>
            <w:r>
              <w:rPr>
                <w:sz w:val="22"/>
                <w:lang w:val="de-DE"/>
              </w:rPr>
              <w:t>F</w:t>
            </w:r>
          </w:p>
        </w:tc>
        <w:tc>
          <w:tcPr>
            <w:tcW w:w="1140" w:type="dxa"/>
          </w:tcPr>
          <w:p w:rsidR="00000000" w:rsidRDefault="00000000">
            <w:pPr>
              <w:jc w:val="center"/>
              <w:rPr>
                <w:sz w:val="22"/>
                <w:lang w:val="de-DE"/>
              </w:rPr>
            </w:pPr>
            <w:r>
              <w:rPr>
                <w:sz w:val="22"/>
                <w:lang w:val="de-DE"/>
              </w:rPr>
              <w:t>T</w:t>
            </w:r>
          </w:p>
        </w:tc>
        <w:tc>
          <w:tcPr>
            <w:tcW w:w="1140" w:type="dxa"/>
          </w:tcPr>
          <w:p w:rsidR="00000000" w:rsidRDefault="00000000">
            <w:pPr>
              <w:jc w:val="center"/>
              <w:rPr>
                <w:sz w:val="22"/>
                <w:lang w:val="en-GB"/>
              </w:rPr>
            </w:pPr>
            <w:r>
              <w:rPr>
                <w:sz w:val="22"/>
                <w:lang w:val="en-GB"/>
              </w:rPr>
              <w:t>H</w:t>
            </w:r>
          </w:p>
        </w:tc>
        <w:tc>
          <w:tcPr>
            <w:tcW w:w="1185" w:type="dxa"/>
          </w:tcPr>
          <w:p w:rsidR="00000000" w:rsidRDefault="00000000">
            <w:pPr>
              <w:jc w:val="center"/>
              <w:rPr>
                <w:sz w:val="22"/>
                <w:lang w:val="en-GB"/>
              </w:rPr>
            </w:pPr>
            <w:r>
              <w:rPr>
                <w:sz w:val="22"/>
                <w:lang w:val="en-GB"/>
              </w:rPr>
              <w:t>F</w:t>
            </w:r>
          </w:p>
        </w:tc>
      </w:tr>
      <w:tr w:rsidR="00000000">
        <w:tblPrEx>
          <w:tblCellMar>
            <w:top w:w="0" w:type="dxa"/>
            <w:bottom w:w="0" w:type="dxa"/>
          </w:tblCellMar>
        </w:tblPrEx>
        <w:tc>
          <w:tcPr>
            <w:tcW w:w="2898" w:type="dxa"/>
          </w:tcPr>
          <w:p w:rsidR="00000000" w:rsidRDefault="00000000">
            <w:pPr>
              <w:jc w:val="both"/>
              <w:rPr>
                <w:sz w:val="22"/>
                <w:lang w:val="en-GB"/>
              </w:rPr>
            </w:pPr>
            <w:r>
              <w:rPr>
                <w:sz w:val="22"/>
                <w:lang w:val="en-GB"/>
              </w:rPr>
              <w:t>Total  15 +</w:t>
            </w:r>
          </w:p>
        </w:tc>
        <w:tc>
          <w:tcPr>
            <w:tcW w:w="1140" w:type="dxa"/>
          </w:tcPr>
          <w:p w:rsidR="00000000" w:rsidRDefault="00000000">
            <w:pPr>
              <w:ind w:right="284"/>
              <w:jc w:val="right"/>
              <w:rPr>
                <w:sz w:val="22"/>
              </w:rPr>
            </w:pPr>
            <w:r>
              <w:rPr>
                <w:sz w:val="22"/>
              </w:rPr>
              <w:t>31,6%</w:t>
            </w:r>
          </w:p>
        </w:tc>
        <w:tc>
          <w:tcPr>
            <w:tcW w:w="1140" w:type="dxa"/>
          </w:tcPr>
          <w:p w:rsidR="00000000" w:rsidRDefault="00000000">
            <w:pPr>
              <w:ind w:right="284"/>
              <w:jc w:val="right"/>
              <w:rPr>
                <w:sz w:val="22"/>
              </w:rPr>
            </w:pPr>
            <w:r>
              <w:rPr>
                <w:sz w:val="22"/>
              </w:rPr>
              <w:t>43,2%</w:t>
            </w:r>
          </w:p>
        </w:tc>
        <w:tc>
          <w:tcPr>
            <w:tcW w:w="1140" w:type="dxa"/>
          </w:tcPr>
          <w:p w:rsidR="00000000" w:rsidRDefault="00000000">
            <w:pPr>
              <w:ind w:right="284"/>
              <w:jc w:val="right"/>
              <w:rPr>
                <w:sz w:val="22"/>
              </w:rPr>
            </w:pPr>
            <w:r>
              <w:rPr>
                <w:sz w:val="22"/>
              </w:rPr>
              <w:t>21,3%</w:t>
            </w:r>
          </w:p>
        </w:tc>
        <w:tc>
          <w:tcPr>
            <w:tcW w:w="1140" w:type="dxa"/>
          </w:tcPr>
          <w:p w:rsidR="00000000" w:rsidRDefault="00000000">
            <w:pPr>
              <w:ind w:right="284"/>
              <w:jc w:val="right"/>
              <w:rPr>
                <w:sz w:val="22"/>
              </w:rPr>
            </w:pPr>
            <w:r>
              <w:rPr>
                <w:sz w:val="22"/>
              </w:rPr>
              <w:t>58,5%</w:t>
            </w:r>
          </w:p>
        </w:tc>
        <w:tc>
          <w:tcPr>
            <w:tcW w:w="1140" w:type="dxa"/>
          </w:tcPr>
          <w:p w:rsidR="00000000" w:rsidRDefault="00000000">
            <w:pPr>
              <w:ind w:right="284"/>
              <w:jc w:val="right"/>
              <w:rPr>
                <w:sz w:val="22"/>
              </w:rPr>
            </w:pPr>
            <w:r>
              <w:rPr>
                <w:sz w:val="22"/>
              </w:rPr>
              <w:t>70,5%</w:t>
            </w:r>
          </w:p>
        </w:tc>
        <w:tc>
          <w:tcPr>
            <w:tcW w:w="1185" w:type="dxa"/>
          </w:tcPr>
          <w:p w:rsidR="00000000" w:rsidRDefault="00000000">
            <w:pPr>
              <w:ind w:right="284"/>
              <w:jc w:val="right"/>
              <w:rPr>
                <w:sz w:val="22"/>
              </w:rPr>
            </w:pPr>
            <w:r>
              <w:rPr>
                <w:sz w:val="22"/>
              </w:rPr>
              <w:t>47,6%</w:t>
            </w:r>
          </w:p>
        </w:tc>
      </w:tr>
      <w:tr w:rsidR="00000000">
        <w:tblPrEx>
          <w:tblCellMar>
            <w:top w:w="0" w:type="dxa"/>
            <w:bottom w:w="0" w:type="dxa"/>
          </w:tblCellMar>
        </w:tblPrEx>
        <w:tc>
          <w:tcPr>
            <w:tcW w:w="2898" w:type="dxa"/>
          </w:tcPr>
          <w:p w:rsidR="00000000" w:rsidRDefault="00000000">
            <w:pPr>
              <w:jc w:val="both"/>
              <w:rPr>
                <w:sz w:val="22"/>
              </w:rPr>
            </w:pPr>
            <w:r>
              <w:rPr>
                <w:sz w:val="22"/>
              </w:rPr>
              <w:t>15 - 19 ans</w:t>
            </w:r>
          </w:p>
        </w:tc>
        <w:tc>
          <w:tcPr>
            <w:tcW w:w="1140" w:type="dxa"/>
          </w:tcPr>
          <w:p w:rsidR="00000000" w:rsidRDefault="00000000">
            <w:pPr>
              <w:ind w:right="284"/>
              <w:jc w:val="right"/>
              <w:rPr>
                <w:sz w:val="22"/>
              </w:rPr>
            </w:pPr>
            <w:r>
              <w:rPr>
                <w:sz w:val="22"/>
              </w:rPr>
              <w:t>81,2%</w:t>
            </w:r>
          </w:p>
        </w:tc>
        <w:tc>
          <w:tcPr>
            <w:tcW w:w="1140" w:type="dxa"/>
          </w:tcPr>
          <w:p w:rsidR="00000000" w:rsidRDefault="00000000">
            <w:pPr>
              <w:ind w:right="284"/>
              <w:jc w:val="right"/>
              <w:rPr>
                <w:sz w:val="22"/>
              </w:rPr>
            </w:pPr>
            <w:r>
              <w:rPr>
                <w:sz w:val="22"/>
              </w:rPr>
              <w:t>91,6%</w:t>
            </w:r>
          </w:p>
        </w:tc>
        <w:tc>
          <w:tcPr>
            <w:tcW w:w="1140" w:type="dxa"/>
          </w:tcPr>
          <w:p w:rsidR="00000000" w:rsidRDefault="00000000">
            <w:pPr>
              <w:ind w:right="284"/>
              <w:jc w:val="right"/>
              <w:rPr>
                <w:sz w:val="22"/>
              </w:rPr>
            </w:pPr>
            <w:r>
              <w:rPr>
                <w:sz w:val="22"/>
              </w:rPr>
              <w:t>71,8%</w:t>
            </w:r>
          </w:p>
        </w:tc>
        <w:tc>
          <w:tcPr>
            <w:tcW w:w="1140" w:type="dxa"/>
          </w:tcPr>
          <w:p w:rsidR="00000000" w:rsidRDefault="00000000">
            <w:pPr>
              <w:ind w:right="284"/>
              <w:jc w:val="right"/>
              <w:rPr>
                <w:sz w:val="22"/>
              </w:rPr>
            </w:pPr>
            <w:r>
              <w:rPr>
                <w:sz w:val="22"/>
              </w:rPr>
              <w:t>90,9%</w:t>
            </w:r>
          </w:p>
        </w:tc>
        <w:tc>
          <w:tcPr>
            <w:tcW w:w="1140" w:type="dxa"/>
          </w:tcPr>
          <w:p w:rsidR="00000000" w:rsidRDefault="00000000">
            <w:pPr>
              <w:ind w:right="284"/>
              <w:jc w:val="right"/>
              <w:rPr>
                <w:sz w:val="22"/>
              </w:rPr>
            </w:pPr>
            <w:r>
              <w:rPr>
                <w:sz w:val="22"/>
              </w:rPr>
              <w:t>94,5%</w:t>
            </w:r>
          </w:p>
        </w:tc>
        <w:tc>
          <w:tcPr>
            <w:tcW w:w="1185" w:type="dxa"/>
          </w:tcPr>
          <w:p w:rsidR="00000000" w:rsidRDefault="00000000">
            <w:pPr>
              <w:ind w:right="284"/>
              <w:jc w:val="right"/>
              <w:rPr>
                <w:sz w:val="22"/>
              </w:rPr>
            </w:pPr>
            <w:r>
              <w:rPr>
                <w:sz w:val="22"/>
              </w:rPr>
              <w:t>87,5%</w:t>
            </w:r>
          </w:p>
        </w:tc>
      </w:tr>
      <w:tr w:rsidR="00000000">
        <w:tblPrEx>
          <w:tblCellMar>
            <w:top w:w="0" w:type="dxa"/>
            <w:bottom w:w="0" w:type="dxa"/>
          </w:tblCellMar>
        </w:tblPrEx>
        <w:tc>
          <w:tcPr>
            <w:tcW w:w="2898" w:type="dxa"/>
          </w:tcPr>
          <w:p w:rsidR="00000000" w:rsidRDefault="00000000">
            <w:pPr>
              <w:jc w:val="both"/>
              <w:rPr>
                <w:sz w:val="22"/>
              </w:rPr>
            </w:pPr>
            <w:r>
              <w:rPr>
                <w:sz w:val="22"/>
              </w:rPr>
              <w:t>20 – 24 ans</w:t>
            </w:r>
          </w:p>
        </w:tc>
        <w:tc>
          <w:tcPr>
            <w:tcW w:w="1140" w:type="dxa"/>
          </w:tcPr>
          <w:p w:rsidR="00000000" w:rsidRDefault="00000000">
            <w:pPr>
              <w:ind w:right="284"/>
              <w:jc w:val="right"/>
              <w:rPr>
                <w:sz w:val="22"/>
              </w:rPr>
            </w:pPr>
            <w:r>
              <w:rPr>
                <w:sz w:val="22"/>
              </w:rPr>
              <w:t>69,1%</w:t>
            </w:r>
          </w:p>
        </w:tc>
        <w:tc>
          <w:tcPr>
            <w:tcW w:w="1140" w:type="dxa"/>
          </w:tcPr>
          <w:p w:rsidR="00000000" w:rsidRDefault="00000000">
            <w:pPr>
              <w:ind w:right="284"/>
              <w:jc w:val="right"/>
              <w:rPr>
                <w:sz w:val="22"/>
              </w:rPr>
            </w:pPr>
            <w:r>
              <w:rPr>
                <w:sz w:val="22"/>
              </w:rPr>
              <w:t>85,2%</w:t>
            </w:r>
          </w:p>
        </w:tc>
        <w:tc>
          <w:tcPr>
            <w:tcW w:w="1140" w:type="dxa"/>
          </w:tcPr>
          <w:p w:rsidR="00000000" w:rsidRDefault="00000000">
            <w:pPr>
              <w:ind w:right="284"/>
              <w:jc w:val="right"/>
              <w:rPr>
                <w:sz w:val="22"/>
              </w:rPr>
            </w:pPr>
            <w:r>
              <w:rPr>
                <w:sz w:val="22"/>
              </w:rPr>
              <w:t>55,7%</w:t>
            </w:r>
          </w:p>
        </w:tc>
        <w:tc>
          <w:tcPr>
            <w:tcW w:w="1140" w:type="dxa"/>
          </w:tcPr>
          <w:p w:rsidR="00000000" w:rsidRDefault="00000000">
            <w:pPr>
              <w:ind w:right="284"/>
              <w:jc w:val="right"/>
              <w:rPr>
                <w:sz w:val="22"/>
              </w:rPr>
            </w:pPr>
            <w:r>
              <w:rPr>
                <w:sz w:val="22"/>
              </w:rPr>
              <w:t>83,3%</w:t>
            </w:r>
          </w:p>
        </w:tc>
        <w:tc>
          <w:tcPr>
            <w:tcW w:w="1140" w:type="dxa"/>
          </w:tcPr>
          <w:p w:rsidR="00000000" w:rsidRDefault="00000000">
            <w:pPr>
              <w:ind w:right="284"/>
              <w:jc w:val="right"/>
              <w:rPr>
                <w:sz w:val="22"/>
              </w:rPr>
            </w:pPr>
            <w:r>
              <w:rPr>
                <w:sz w:val="22"/>
              </w:rPr>
              <w:t>89,9%</w:t>
            </w:r>
          </w:p>
        </w:tc>
        <w:tc>
          <w:tcPr>
            <w:tcW w:w="1185" w:type="dxa"/>
          </w:tcPr>
          <w:p w:rsidR="00000000" w:rsidRDefault="00000000">
            <w:pPr>
              <w:ind w:right="284"/>
              <w:jc w:val="right"/>
              <w:rPr>
                <w:sz w:val="22"/>
              </w:rPr>
            </w:pPr>
            <w:r>
              <w:rPr>
                <w:sz w:val="22"/>
              </w:rPr>
              <w:t>77,1%</w:t>
            </w:r>
          </w:p>
        </w:tc>
      </w:tr>
    </w:tbl>
    <w:p w:rsidR="00000000" w:rsidRDefault="00000000">
      <w:pPr>
        <w:spacing w:line="120" w:lineRule="exact"/>
        <w:jc w:val="both"/>
        <w:rPr>
          <w:sz w:val="10"/>
        </w:rPr>
      </w:pPr>
    </w:p>
    <w:p w:rsidR="00000000" w:rsidRDefault="00000000">
      <w:pPr>
        <w:jc w:val="both"/>
        <w:rPr>
          <w:i/>
          <w:sz w:val="22"/>
        </w:rPr>
      </w:pPr>
      <w:r>
        <w:rPr>
          <w:i/>
          <w:sz w:val="22"/>
          <w:u w:val="single"/>
        </w:rPr>
        <w:t>Source</w:t>
      </w:r>
      <w:r>
        <w:rPr>
          <w:i/>
          <w:sz w:val="22"/>
        </w:rPr>
        <w:t> : recensement général de la population et de l’habitat,(RGPH) 1974 et 1984.</w:t>
      </w:r>
    </w:p>
    <w:p w:rsidR="00000000" w:rsidRDefault="00000000">
      <w:pPr>
        <w:jc w:val="both"/>
        <w:rPr>
          <w:i/>
          <w:sz w:val="22"/>
        </w:rPr>
      </w:pPr>
    </w:p>
    <w:p w:rsidR="00000000" w:rsidRDefault="00000000">
      <w:pPr>
        <w:jc w:val="both"/>
        <w:rPr>
          <w:i/>
          <w:sz w:val="22"/>
        </w:rPr>
      </w:pPr>
    </w:p>
    <w:p w:rsidR="00000000" w:rsidRDefault="00000000">
      <w:pPr>
        <w:tabs>
          <w:tab w:val="left" w:pos="1680"/>
        </w:tabs>
        <w:ind w:left="1680" w:hanging="1680"/>
        <w:rPr>
          <w:sz w:val="22"/>
        </w:rPr>
      </w:pPr>
      <w:r>
        <w:rPr>
          <w:b/>
          <w:sz w:val="22"/>
        </w:rPr>
        <w:t>SECTION VI -</w:t>
      </w:r>
      <w:r>
        <w:rPr>
          <w:b/>
          <w:sz w:val="22"/>
        </w:rPr>
        <w:tab/>
      </w:r>
      <w:r>
        <w:rPr>
          <w:b/>
          <w:sz w:val="22"/>
          <w:u w:val="single"/>
        </w:rPr>
        <w:t>La réduction des taux d’abandon féminin des études et l’organisation des programmes pour les filles et les femmes qui ont quitté l’école prématurément</w:t>
      </w:r>
    </w:p>
    <w:p w:rsidR="00000000" w:rsidRDefault="00000000">
      <w:pPr>
        <w:rPr>
          <w:sz w:val="22"/>
        </w:rPr>
      </w:pPr>
    </w:p>
    <w:p w:rsidR="00000000" w:rsidRDefault="00000000">
      <w:pPr>
        <w:jc w:val="both"/>
        <w:rPr>
          <w:sz w:val="22"/>
        </w:rPr>
      </w:pPr>
      <w:r>
        <w:rPr>
          <w:sz w:val="22"/>
        </w:rPr>
        <w:t>De nombreux problèmes se posent à l’enfant congolais et particulièrement à la jeune fille congolaise. Si la loi scolaire prévoit une obligation de scolarité de 10 ans (loi n° 25/95 du 17 novembre 1995) aussi bien pour les garçons que pour les filles, il n’en demeure pas moins que le taux de scolarisation va diminuant au fil des années et des cycles :</w:t>
      </w:r>
    </w:p>
    <w:p w:rsidR="00000000" w:rsidRDefault="00000000">
      <w:pPr>
        <w:numPr>
          <w:ilvl w:val="0"/>
          <w:numId w:val="134"/>
        </w:numPr>
        <w:jc w:val="both"/>
        <w:rPr>
          <w:sz w:val="22"/>
        </w:rPr>
      </w:pPr>
      <w:r>
        <w:rPr>
          <w:sz w:val="22"/>
        </w:rPr>
        <w:t>45% au secondaire premier cycle</w:t>
      </w:r>
    </w:p>
    <w:p w:rsidR="00000000" w:rsidRDefault="00000000">
      <w:pPr>
        <w:numPr>
          <w:ilvl w:val="0"/>
          <w:numId w:val="134"/>
        </w:numPr>
        <w:jc w:val="both"/>
        <w:rPr>
          <w:sz w:val="22"/>
        </w:rPr>
      </w:pPr>
      <w:r>
        <w:rPr>
          <w:sz w:val="22"/>
        </w:rPr>
        <w:t>26% au secondaire second cycle</w:t>
      </w:r>
    </w:p>
    <w:p w:rsidR="00000000" w:rsidRDefault="00000000">
      <w:pPr>
        <w:numPr>
          <w:ilvl w:val="0"/>
          <w:numId w:val="134"/>
        </w:numPr>
        <w:jc w:val="both"/>
        <w:rPr>
          <w:sz w:val="22"/>
        </w:rPr>
      </w:pPr>
      <w:r>
        <w:rPr>
          <w:sz w:val="22"/>
        </w:rPr>
        <w:t>18% au supérieur.</w:t>
      </w:r>
    </w:p>
    <w:p w:rsidR="00000000" w:rsidRDefault="00000000">
      <w:pPr>
        <w:jc w:val="both"/>
        <w:rPr>
          <w:sz w:val="22"/>
        </w:rPr>
      </w:pPr>
    </w:p>
    <w:p w:rsidR="00000000" w:rsidRDefault="00000000">
      <w:pPr>
        <w:jc w:val="both"/>
        <w:rPr>
          <w:sz w:val="22"/>
        </w:rPr>
      </w:pPr>
      <w:r>
        <w:rPr>
          <w:sz w:val="22"/>
        </w:rPr>
        <w:t>La jeune fille abandonne l’école dès la troisième année de l’école primaire.</w:t>
      </w:r>
    </w:p>
    <w:p w:rsidR="00000000" w:rsidRDefault="00000000">
      <w:pPr>
        <w:jc w:val="both"/>
        <w:rPr>
          <w:sz w:val="22"/>
        </w:rPr>
      </w:pPr>
    </w:p>
    <w:p w:rsidR="00000000" w:rsidRDefault="00000000">
      <w:pPr>
        <w:jc w:val="both"/>
        <w:rPr>
          <w:sz w:val="22"/>
        </w:rPr>
      </w:pPr>
      <w:r>
        <w:rPr>
          <w:sz w:val="22"/>
        </w:rPr>
        <w:t>Les causes de cet abandon sont multiples :</w:t>
      </w:r>
    </w:p>
    <w:p w:rsidR="00000000" w:rsidRDefault="00000000">
      <w:pPr>
        <w:jc w:val="both"/>
        <w:rPr>
          <w:sz w:val="22"/>
        </w:rPr>
      </w:pPr>
    </w:p>
    <w:p w:rsidR="00000000" w:rsidRDefault="00000000">
      <w:pPr>
        <w:numPr>
          <w:ilvl w:val="0"/>
          <w:numId w:val="140"/>
        </w:numPr>
        <w:jc w:val="both"/>
        <w:rPr>
          <w:sz w:val="22"/>
        </w:rPr>
      </w:pPr>
      <w:r>
        <w:rPr>
          <w:sz w:val="22"/>
        </w:rPr>
        <w:t>la non-maîtrise du système éducatif, malgré de nombreuses lois, des colloques et des séminaires ;</w:t>
      </w:r>
    </w:p>
    <w:p w:rsidR="00000000" w:rsidRDefault="00000000">
      <w:pPr>
        <w:numPr>
          <w:ilvl w:val="0"/>
          <w:numId w:val="140"/>
        </w:numPr>
        <w:jc w:val="both"/>
        <w:rPr>
          <w:sz w:val="22"/>
        </w:rPr>
      </w:pPr>
      <w:r>
        <w:rPr>
          <w:sz w:val="22"/>
        </w:rPr>
        <w:t>les échecs scolaires ou le taux élevé de redoublement dès l’école primaire (23 à 44%) ;</w:t>
      </w:r>
    </w:p>
    <w:p w:rsidR="00000000" w:rsidRDefault="00000000">
      <w:pPr>
        <w:numPr>
          <w:ilvl w:val="0"/>
          <w:numId w:val="140"/>
        </w:numPr>
        <w:jc w:val="both"/>
        <w:rPr>
          <w:sz w:val="22"/>
        </w:rPr>
      </w:pPr>
      <w:r>
        <w:rPr>
          <w:sz w:val="22"/>
        </w:rPr>
        <w:t>l’inadéquation formation – emploi ;</w:t>
      </w:r>
    </w:p>
    <w:p w:rsidR="00000000" w:rsidRDefault="00000000">
      <w:pPr>
        <w:numPr>
          <w:ilvl w:val="0"/>
          <w:numId w:val="140"/>
        </w:numPr>
        <w:jc w:val="both"/>
        <w:rPr>
          <w:sz w:val="22"/>
        </w:rPr>
      </w:pPr>
      <w:r>
        <w:rPr>
          <w:sz w:val="22"/>
        </w:rPr>
        <w:t>la modification répétée des programmes d’enseignement ;</w:t>
      </w:r>
    </w:p>
    <w:p w:rsidR="00000000" w:rsidRDefault="00000000">
      <w:pPr>
        <w:numPr>
          <w:ilvl w:val="0"/>
          <w:numId w:val="140"/>
        </w:numPr>
        <w:jc w:val="both"/>
        <w:rPr>
          <w:sz w:val="22"/>
        </w:rPr>
      </w:pPr>
      <w:r>
        <w:rPr>
          <w:sz w:val="22"/>
        </w:rPr>
        <w:t>le déséquilibre entre l’enseignement général, technique et professionnel ;</w:t>
      </w:r>
    </w:p>
    <w:p w:rsidR="00000000" w:rsidRDefault="00000000">
      <w:pPr>
        <w:numPr>
          <w:ilvl w:val="0"/>
          <w:numId w:val="140"/>
        </w:numPr>
        <w:jc w:val="both"/>
        <w:rPr>
          <w:sz w:val="22"/>
        </w:rPr>
      </w:pPr>
      <w:r>
        <w:rPr>
          <w:sz w:val="22"/>
        </w:rPr>
        <w:t>les mariages et grossesses précoces ;</w:t>
      </w:r>
    </w:p>
    <w:p w:rsidR="00000000" w:rsidRDefault="00000000">
      <w:pPr>
        <w:numPr>
          <w:ilvl w:val="0"/>
          <w:numId w:val="140"/>
        </w:numPr>
        <w:jc w:val="both"/>
        <w:rPr>
          <w:sz w:val="22"/>
        </w:rPr>
      </w:pPr>
      <w:r>
        <w:rPr>
          <w:sz w:val="22"/>
        </w:rPr>
        <w:t>le manque d’encouragement des filles par les parents ;</w:t>
      </w:r>
    </w:p>
    <w:p w:rsidR="00000000" w:rsidRDefault="00000000">
      <w:pPr>
        <w:numPr>
          <w:ilvl w:val="0"/>
          <w:numId w:val="140"/>
        </w:numPr>
        <w:jc w:val="both"/>
        <w:rPr>
          <w:sz w:val="22"/>
        </w:rPr>
      </w:pPr>
      <w:r>
        <w:rPr>
          <w:sz w:val="22"/>
        </w:rPr>
        <w:t>le manque d’engagement personnel des jeunes filles.</w:t>
      </w:r>
    </w:p>
    <w:p w:rsidR="00000000" w:rsidRDefault="00000000">
      <w:pPr>
        <w:jc w:val="both"/>
        <w:rPr>
          <w:sz w:val="22"/>
        </w:rPr>
      </w:pPr>
    </w:p>
    <w:p w:rsidR="00000000" w:rsidRDefault="00000000">
      <w:pPr>
        <w:jc w:val="both"/>
        <w:rPr>
          <w:b/>
          <w:sz w:val="22"/>
        </w:rPr>
      </w:pPr>
      <w:r>
        <w:rPr>
          <w:b/>
          <w:sz w:val="22"/>
          <w:u w:val="single"/>
        </w:rPr>
        <w:br w:type="page"/>
        <w:t>Tableau n° 65</w:t>
      </w:r>
      <w:r>
        <w:rPr>
          <w:b/>
          <w:sz w:val="22"/>
        </w:rPr>
        <w:t> : Taux de redoublement dans le primaire</w:t>
      </w:r>
    </w:p>
    <w:p w:rsidR="00000000" w:rsidRDefault="00000000">
      <w:pPr>
        <w:jc w:val="both"/>
        <w:rPr>
          <w:sz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21"/>
        <w:gridCol w:w="1380"/>
        <w:gridCol w:w="1380"/>
        <w:gridCol w:w="1380"/>
        <w:gridCol w:w="1380"/>
        <w:gridCol w:w="1380"/>
        <w:gridCol w:w="1380"/>
      </w:tblGrid>
      <w:tr w:rsidR="00000000">
        <w:tblPrEx>
          <w:tblCellMar>
            <w:top w:w="0" w:type="dxa"/>
            <w:bottom w:w="0" w:type="dxa"/>
          </w:tblCellMar>
        </w:tblPrEx>
        <w:tc>
          <w:tcPr>
            <w:tcW w:w="1521" w:type="dxa"/>
          </w:tcPr>
          <w:p w:rsidR="00000000" w:rsidRDefault="00000000">
            <w:pPr>
              <w:jc w:val="center"/>
              <w:rPr>
                <w:sz w:val="22"/>
              </w:rPr>
            </w:pPr>
            <w:r>
              <w:rPr>
                <w:sz w:val="22"/>
              </w:rPr>
              <w:t>Classes</w:t>
            </w:r>
          </w:p>
        </w:tc>
        <w:tc>
          <w:tcPr>
            <w:tcW w:w="1380" w:type="dxa"/>
          </w:tcPr>
          <w:p w:rsidR="00000000" w:rsidRDefault="00000000">
            <w:pPr>
              <w:jc w:val="center"/>
              <w:rPr>
                <w:sz w:val="22"/>
              </w:rPr>
            </w:pPr>
            <w:r>
              <w:rPr>
                <w:sz w:val="22"/>
              </w:rPr>
              <w:t>CP1</w:t>
            </w:r>
          </w:p>
        </w:tc>
        <w:tc>
          <w:tcPr>
            <w:tcW w:w="1380" w:type="dxa"/>
          </w:tcPr>
          <w:p w:rsidR="00000000" w:rsidRDefault="00000000">
            <w:pPr>
              <w:jc w:val="center"/>
              <w:rPr>
                <w:sz w:val="22"/>
              </w:rPr>
            </w:pPr>
            <w:r>
              <w:rPr>
                <w:sz w:val="22"/>
              </w:rPr>
              <w:t>CP2</w:t>
            </w:r>
          </w:p>
        </w:tc>
        <w:tc>
          <w:tcPr>
            <w:tcW w:w="1380" w:type="dxa"/>
          </w:tcPr>
          <w:p w:rsidR="00000000" w:rsidRDefault="00000000">
            <w:pPr>
              <w:jc w:val="center"/>
              <w:rPr>
                <w:sz w:val="22"/>
              </w:rPr>
            </w:pPr>
            <w:r>
              <w:rPr>
                <w:sz w:val="22"/>
              </w:rPr>
              <w:t>CE1</w:t>
            </w:r>
          </w:p>
        </w:tc>
        <w:tc>
          <w:tcPr>
            <w:tcW w:w="1380" w:type="dxa"/>
          </w:tcPr>
          <w:p w:rsidR="00000000" w:rsidRDefault="00000000">
            <w:pPr>
              <w:jc w:val="center"/>
              <w:rPr>
                <w:sz w:val="22"/>
              </w:rPr>
            </w:pPr>
            <w:r>
              <w:rPr>
                <w:sz w:val="22"/>
              </w:rPr>
              <w:t>CE2</w:t>
            </w:r>
          </w:p>
        </w:tc>
        <w:tc>
          <w:tcPr>
            <w:tcW w:w="1380" w:type="dxa"/>
          </w:tcPr>
          <w:p w:rsidR="00000000" w:rsidRDefault="00000000">
            <w:pPr>
              <w:jc w:val="center"/>
              <w:rPr>
                <w:sz w:val="22"/>
              </w:rPr>
            </w:pPr>
            <w:r>
              <w:rPr>
                <w:sz w:val="22"/>
              </w:rPr>
              <w:t>CM1</w:t>
            </w:r>
          </w:p>
        </w:tc>
        <w:tc>
          <w:tcPr>
            <w:tcW w:w="1380" w:type="dxa"/>
          </w:tcPr>
          <w:p w:rsidR="00000000" w:rsidRDefault="00000000">
            <w:pPr>
              <w:jc w:val="center"/>
              <w:rPr>
                <w:sz w:val="22"/>
              </w:rPr>
            </w:pPr>
            <w:r>
              <w:rPr>
                <w:sz w:val="22"/>
              </w:rPr>
              <w:t>CM2</w:t>
            </w:r>
          </w:p>
        </w:tc>
      </w:tr>
      <w:tr w:rsidR="00000000">
        <w:tblPrEx>
          <w:tblCellMar>
            <w:top w:w="0" w:type="dxa"/>
            <w:bottom w:w="0" w:type="dxa"/>
          </w:tblCellMar>
        </w:tblPrEx>
        <w:tc>
          <w:tcPr>
            <w:tcW w:w="1521" w:type="dxa"/>
          </w:tcPr>
          <w:p w:rsidR="00000000" w:rsidRDefault="00000000">
            <w:pPr>
              <w:jc w:val="both"/>
              <w:rPr>
                <w:sz w:val="22"/>
              </w:rPr>
            </w:pPr>
            <w:r>
              <w:rPr>
                <w:sz w:val="22"/>
              </w:rPr>
              <w:t>Pourcentage</w:t>
            </w:r>
          </w:p>
        </w:tc>
        <w:tc>
          <w:tcPr>
            <w:tcW w:w="1380" w:type="dxa"/>
          </w:tcPr>
          <w:p w:rsidR="00000000" w:rsidRDefault="00000000">
            <w:pPr>
              <w:jc w:val="center"/>
              <w:rPr>
                <w:sz w:val="22"/>
              </w:rPr>
            </w:pPr>
            <w:r>
              <w:rPr>
                <w:sz w:val="22"/>
              </w:rPr>
              <w:t>36</w:t>
            </w:r>
          </w:p>
        </w:tc>
        <w:tc>
          <w:tcPr>
            <w:tcW w:w="1380" w:type="dxa"/>
          </w:tcPr>
          <w:p w:rsidR="00000000" w:rsidRDefault="00000000">
            <w:pPr>
              <w:jc w:val="center"/>
              <w:rPr>
                <w:sz w:val="22"/>
              </w:rPr>
            </w:pPr>
            <w:r>
              <w:rPr>
                <w:sz w:val="22"/>
              </w:rPr>
              <w:t>23</w:t>
            </w:r>
          </w:p>
        </w:tc>
        <w:tc>
          <w:tcPr>
            <w:tcW w:w="1380" w:type="dxa"/>
          </w:tcPr>
          <w:p w:rsidR="00000000" w:rsidRDefault="00000000">
            <w:pPr>
              <w:jc w:val="center"/>
              <w:rPr>
                <w:sz w:val="22"/>
              </w:rPr>
            </w:pPr>
            <w:r>
              <w:rPr>
                <w:sz w:val="22"/>
              </w:rPr>
              <w:t>42</w:t>
            </w:r>
          </w:p>
        </w:tc>
        <w:tc>
          <w:tcPr>
            <w:tcW w:w="1380" w:type="dxa"/>
          </w:tcPr>
          <w:p w:rsidR="00000000" w:rsidRDefault="00000000">
            <w:pPr>
              <w:jc w:val="center"/>
              <w:rPr>
                <w:sz w:val="22"/>
              </w:rPr>
            </w:pPr>
            <w:r>
              <w:rPr>
                <w:sz w:val="22"/>
              </w:rPr>
              <w:t>36</w:t>
            </w:r>
          </w:p>
        </w:tc>
        <w:tc>
          <w:tcPr>
            <w:tcW w:w="1380" w:type="dxa"/>
          </w:tcPr>
          <w:p w:rsidR="00000000" w:rsidRDefault="00000000">
            <w:pPr>
              <w:jc w:val="center"/>
              <w:rPr>
                <w:sz w:val="22"/>
              </w:rPr>
            </w:pPr>
            <w:r>
              <w:rPr>
                <w:sz w:val="22"/>
              </w:rPr>
              <w:t>33</w:t>
            </w:r>
          </w:p>
        </w:tc>
        <w:tc>
          <w:tcPr>
            <w:tcW w:w="1380" w:type="dxa"/>
          </w:tcPr>
          <w:p w:rsidR="00000000" w:rsidRDefault="00000000">
            <w:pPr>
              <w:jc w:val="center"/>
              <w:rPr>
                <w:sz w:val="22"/>
              </w:rPr>
            </w:pPr>
            <w:r>
              <w:rPr>
                <w:sz w:val="22"/>
              </w:rPr>
              <w:t>38</w:t>
            </w:r>
          </w:p>
        </w:tc>
      </w:tr>
    </w:tbl>
    <w:p w:rsidR="00000000" w:rsidRDefault="00000000">
      <w:pPr>
        <w:spacing w:line="120" w:lineRule="exact"/>
        <w:ind w:left="851" w:hanging="851"/>
        <w:jc w:val="both"/>
        <w:rPr>
          <w:i/>
          <w:sz w:val="10"/>
          <w:u w:val="single"/>
        </w:rPr>
      </w:pPr>
    </w:p>
    <w:p w:rsidR="00000000" w:rsidRDefault="00000000">
      <w:pPr>
        <w:ind w:left="851" w:hanging="851"/>
        <w:jc w:val="both"/>
        <w:rPr>
          <w:i/>
          <w:sz w:val="22"/>
        </w:rPr>
      </w:pPr>
      <w:r>
        <w:rPr>
          <w:i/>
          <w:sz w:val="22"/>
          <w:u w:val="single"/>
        </w:rPr>
        <w:t>Source</w:t>
      </w:r>
      <w:r>
        <w:rPr>
          <w:i/>
          <w:sz w:val="22"/>
        </w:rPr>
        <w:t> : Direction des études et de la planification, Ministère de l’enseignement primaire, secondaire et supérieur, chargé de la recherche scientifique (MEPSSRS).</w:t>
      </w:r>
    </w:p>
    <w:p w:rsidR="00000000" w:rsidRDefault="00000000">
      <w:pPr>
        <w:spacing w:line="120" w:lineRule="exact"/>
        <w:jc w:val="both"/>
        <w:rPr>
          <w:sz w:val="10"/>
        </w:rPr>
      </w:pPr>
    </w:p>
    <w:p w:rsidR="00000000" w:rsidRDefault="00000000">
      <w:pPr>
        <w:jc w:val="both"/>
        <w:rPr>
          <w:i/>
          <w:sz w:val="22"/>
        </w:rPr>
      </w:pPr>
      <w:r>
        <w:rPr>
          <w:i/>
          <w:sz w:val="22"/>
          <w:u w:val="single"/>
        </w:rPr>
        <w:t>Note</w:t>
      </w:r>
      <w:r>
        <w:rPr>
          <w:i/>
          <w:sz w:val="22"/>
        </w:rPr>
        <w:t> :Le taux élevé de redoublement dans le primaire est l’un des facteurs d’abandon.</w:t>
      </w:r>
    </w:p>
    <w:p w:rsidR="00000000" w:rsidRDefault="00000000">
      <w:pPr>
        <w:jc w:val="both"/>
        <w:rPr>
          <w:sz w:val="22"/>
        </w:rPr>
      </w:pPr>
    </w:p>
    <w:p w:rsidR="00000000" w:rsidRDefault="00000000">
      <w:pPr>
        <w:jc w:val="both"/>
        <w:rPr>
          <w:sz w:val="22"/>
        </w:rPr>
      </w:pPr>
    </w:p>
    <w:p w:rsidR="00000000" w:rsidRDefault="00000000">
      <w:pPr>
        <w:jc w:val="both"/>
        <w:rPr>
          <w:b/>
          <w:sz w:val="22"/>
        </w:rPr>
      </w:pPr>
      <w:r>
        <w:rPr>
          <w:b/>
          <w:sz w:val="22"/>
          <w:u w:val="single"/>
        </w:rPr>
        <w:t>Tableau n° 66</w:t>
      </w:r>
      <w:r>
        <w:rPr>
          <w:b/>
          <w:sz w:val="22"/>
        </w:rPr>
        <w:t> : Abandon au primaire sur 1.000 élèves entrés au CP1</w:t>
      </w:r>
    </w:p>
    <w:p w:rsidR="00000000" w:rsidRDefault="00000000">
      <w:pPr>
        <w:jc w:val="both"/>
        <w:rPr>
          <w:sz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1255"/>
        <w:gridCol w:w="1256"/>
        <w:gridCol w:w="1255"/>
        <w:gridCol w:w="1256"/>
        <w:gridCol w:w="1255"/>
        <w:gridCol w:w="1256"/>
      </w:tblGrid>
      <w:tr w:rsidR="00000000">
        <w:tblPrEx>
          <w:tblCellMar>
            <w:top w:w="0" w:type="dxa"/>
            <w:bottom w:w="0" w:type="dxa"/>
          </w:tblCellMar>
        </w:tblPrEx>
        <w:tc>
          <w:tcPr>
            <w:tcW w:w="2268" w:type="dxa"/>
          </w:tcPr>
          <w:p w:rsidR="00000000" w:rsidRDefault="00000000">
            <w:pPr>
              <w:jc w:val="center"/>
              <w:rPr>
                <w:sz w:val="22"/>
              </w:rPr>
            </w:pPr>
            <w:r>
              <w:rPr>
                <w:sz w:val="22"/>
              </w:rPr>
              <w:t>Classe</w:t>
            </w:r>
          </w:p>
        </w:tc>
        <w:tc>
          <w:tcPr>
            <w:tcW w:w="1255" w:type="dxa"/>
          </w:tcPr>
          <w:p w:rsidR="00000000" w:rsidRDefault="00000000">
            <w:pPr>
              <w:jc w:val="center"/>
              <w:rPr>
                <w:sz w:val="22"/>
              </w:rPr>
            </w:pPr>
          </w:p>
        </w:tc>
        <w:tc>
          <w:tcPr>
            <w:tcW w:w="1256" w:type="dxa"/>
          </w:tcPr>
          <w:p w:rsidR="00000000" w:rsidRDefault="00000000">
            <w:pPr>
              <w:jc w:val="center"/>
              <w:rPr>
                <w:sz w:val="22"/>
              </w:rPr>
            </w:pPr>
            <w:r>
              <w:rPr>
                <w:sz w:val="22"/>
              </w:rPr>
              <w:t>CP1</w:t>
            </w:r>
          </w:p>
        </w:tc>
        <w:tc>
          <w:tcPr>
            <w:tcW w:w="1255" w:type="dxa"/>
          </w:tcPr>
          <w:p w:rsidR="00000000" w:rsidRDefault="00000000">
            <w:pPr>
              <w:jc w:val="center"/>
              <w:rPr>
                <w:sz w:val="22"/>
              </w:rPr>
            </w:pPr>
            <w:r>
              <w:rPr>
                <w:sz w:val="22"/>
              </w:rPr>
              <w:t>PC2</w:t>
            </w:r>
          </w:p>
        </w:tc>
        <w:tc>
          <w:tcPr>
            <w:tcW w:w="1256" w:type="dxa"/>
          </w:tcPr>
          <w:p w:rsidR="00000000" w:rsidRDefault="00000000">
            <w:pPr>
              <w:jc w:val="center"/>
              <w:rPr>
                <w:sz w:val="22"/>
              </w:rPr>
            </w:pPr>
            <w:r>
              <w:rPr>
                <w:sz w:val="22"/>
              </w:rPr>
              <w:t>CE1</w:t>
            </w:r>
          </w:p>
        </w:tc>
        <w:tc>
          <w:tcPr>
            <w:tcW w:w="1255" w:type="dxa"/>
          </w:tcPr>
          <w:p w:rsidR="00000000" w:rsidRDefault="00000000">
            <w:pPr>
              <w:jc w:val="center"/>
              <w:rPr>
                <w:sz w:val="22"/>
              </w:rPr>
            </w:pPr>
            <w:r>
              <w:rPr>
                <w:sz w:val="22"/>
              </w:rPr>
              <w:t>CE2</w:t>
            </w:r>
          </w:p>
        </w:tc>
        <w:tc>
          <w:tcPr>
            <w:tcW w:w="1256" w:type="dxa"/>
          </w:tcPr>
          <w:p w:rsidR="00000000" w:rsidRDefault="00000000">
            <w:pPr>
              <w:jc w:val="center"/>
              <w:rPr>
                <w:sz w:val="22"/>
              </w:rPr>
            </w:pPr>
            <w:r>
              <w:rPr>
                <w:sz w:val="22"/>
              </w:rPr>
              <w:t>CM1</w:t>
            </w:r>
          </w:p>
        </w:tc>
      </w:tr>
      <w:tr w:rsidR="00000000">
        <w:tblPrEx>
          <w:tblCellMar>
            <w:top w:w="0" w:type="dxa"/>
            <w:bottom w:w="0" w:type="dxa"/>
          </w:tblCellMar>
        </w:tblPrEx>
        <w:tc>
          <w:tcPr>
            <w:tcW w:w="2268" w:type="dxa"/>
          </w:tcPr>
          <w:p w:rsidR="00000000" w:rsidRDefault="00000000">
            <w:pPr>
              <w:jc w:val="both"/>
              <w:rPr>
                <w:sz w:val="22"/>
              </w:rPr>
            </w:pPr>
            <w:r>
              <w:rPr>
                <w:sz w:val="22"/>
              </w:rPr>
              <w:t>Total</w:t>
            </w:r>
          </w:p>
        </w:tc>
        <w:tc>
          <w:tcPr>
            <w:tcW w:w="1255" w:type="dxa"/>
          </w:tcPr>
          <w:p w:rsidR="00000000" w:rsidRDefault="00000000">
            <w:pPr>
              <w:jc w:val="both"/>
              <w:rPr>
                <w:sz w:val="22"/>
              </w:rPr>
            </w:pPr>
            <w:r>
              <w:rPr>
                <w:sz w:val="22"/>
              </w:rPr>
              <w:t>Nombre</w:t>
            </w:r>
          </w:p>
          <w:p w:rsidR="00000000" w:rsidRDefault="00000000">
            <w:pPr>
              <w:jc w:val="both"/>
              <w:rPr>
                <w:sz w:val="22"/>
              </w:rPr>
            </w:pPr>
            <w:r>
              <w:rPr>
                <w:sz w:val="22"/>
              </w:rPr>
              <w:t>cumul</w:t>
            </w:r>
          </w:p>
        </w:tc>
        <w:tc>
          <w:tcPr>
            <w:tcW w:w="1256" w:type="dxa"/>
          </w:tcPr>
          <w:p w:rsidR="00000000" w:rsidRDefault="00000000">
            <w:pPr>
              <w:jc w:val="right"/>
              <w:rPr>
                <w:sz w:val="22"/>
              </w:rPr>
            </w:pPr>
            <w:r>
              <w:rPr>
                <w:sz w:val="22"/>
              </w:rPr>
              <w:t>140</w:t>
            </w:r>
          </w:p>
          <w:p w:rsidR="00000000" w:rsidRDefault="00000000">
            <w:pPr>
              <w:jc w:val="right"/>
              <w:rPr>
                <w:sz w:val="22"/>
              </w:rPr>
            </w:pPr>
            <w:r>
              <w:rPr>
                <w:sz w:val="22"/>
              </w:rPr>
              <w:t>140</w:t>
            </w:r>
          </w:p>
        </w:tc>
        <w:tc>
          <w:tcPr>
            <w:tcW w:w="1255" w:type="dxa"/>
          </w:tcPr>
          <w:p w:rsidR="00000000" w:rsidRDefault="00000000">
            <w:pPr>
              <w:jc w:val="right"/>
              <w:rPr>
                <w:sz w:val="22"/>
              </w:rPr>
            </w:pPr>
            <w:r>
              <w:rPr>
                <w:sz w:val="22"/>
              </w:rPr>
              <w:t>89</w:t>
            </w:r>
          </w:p>
          <w:p w:rsidR="00000000" w:rsidRDefault="00000000">
            <w:pPr>
              <w:jc w:val="right"/>
              <w:rPr>
                <w:sz w:val="22"/>
              </w:rPr>
            </w:pPr>
            <w:r>
              <w:rPr>
                <w:sz w:val="22"/>
              </w:rPr>
              <w:t>229</w:t>
            </w:r>
          </w:p>
        </w:tc>
        <w:tc>
          <w:tcPr>
            <w:tcW w:w="1256" w:type="dxa"/>
          </w:tcPr>
          <w:p w:rsidR="00000000" w:rsidRDefault="00000000">
            <w:pPr>
              <w:jc w:val="right"/>
              <w:rPr>
                <w:sz w:val="22"/>
              </w:rPr>
            </w:pPr>
            <w:r>
              <w:rPr>
                <w:sz w:val="22"/>
              </w:rPr>
              <w:t>239</w:t>
            </w:r>
          </w:p>
          <w:p w:rsidR="00000000" w:rsidRDefault="00000000">
            <w:pPr>
              <w:jc w:val="right"/>
              <w:rPr>
                <w:sz w:val="22"/>
              </w:rPr>
            </w:pPr>
            <w:r>
              <w:rPr>
                <w:sz w:val="22"/>
              </w:rPr>
              <w:t>468</w:t>
            </w:r>
          </w:p>
        </w:tc>
        <w:tc>
          <w:tcPr>
            <w:tcW w:w="1255" w:type="dxa"/>
          </w:tcPr>
          <w:p w:rsidR="00000000" w:rsidRDefault="00000000">
            <w:pPr>
              <w:jc w:val="right"/>
              <w:rPr>
                <w:sz w:val="22"/>
              </w:rPr>
            </w:pPr>
            <w:r>
              <w:rPr>
                <w:sz w:val="22"/>
              </w:rPr>
              <w:t>151</w:t>
            </w:r>
          </w:p>
          <w:p w:rsidR="00000000" w:rsidRDefault="00000000">
            <w:pPr>
              <w:jc w:val="right"/>
              <w:rPr>
                <w:sz w:val="22"/>
              </w:rPr>
            </w:pPr>
            <w:r>
              <w:rPr>
                <w:sz w:val="22"/>
              </w:rPr>
              <w:t>619</w:t>
            </w:r>
          </w:p>
        </w:tc>
        <w:tc>
          <w:tcPr>
            <w:tcW w:w="1256" w:type="dxa"/>
          </w:tcPr>
          <w:p w:rsidR="00000000" w:rsidRDefault="00000000">
            <w:pPr>
              <w:jc w:val="right"/>
              <w:rPr>
                <w:sz w:val="22"/>
              </w:rPr>
            </w:pPr>
            <w:r>
              <w:rPr>
                <w:sz w:val="22"/>
              </w:rPr>
              <w:t>110</w:t>
            </w:r>
          </w:p>
          <w:p w:rsidR="00000000" w:rsidRDefault="00000000">
            <w:pPr>
              <w:jc w:val="right"/>
              <w:rPr>
                <w:sz w:val="22"/>
              </w:rPr>
            </w:pPr>
            <w:r>
              <w:rPr>
                <w:sz w:val="22"/>
              </w:rPr>
              <w:t>729</w:t>
            </w:r>
          </w:p>
        </w:tc>
      </w:tr>
      <w:tr w:rsidR="00000000">
        <w:tblPrEx>
          <w:tblCellMar>
            <w:top w:w="0" w:type="dxa"/>
            <w:bottom w:w="0" w:type="dxa"/>
          </w:tblCellMar>
        </w:tblPrEx>
        <w:tc>
          <w:tcPr>
            <w:tcW w:w="2268" w:type="dxa"/>
          </w:tcPr>
          <w:p w:rsidR="00000000" w:rsidRDefault="00000000">
            <w:pPr>
              <w:jc w:val="both"/>
              <w:rPr>
                <w:sz w:val="22"/>
              </w:rPr>
            </w:pPr>
            <w:r>
              <w:rPr>
                <w:sz w:val="22"/>
              </w:rPr>
              <w:t>Garçons</w:t>
            </w:r>
          </w:p>
        </w:tc>
        <w:tc>
          <w:tcPr>
            <w:tcW w:w="1255" w:type="dxa"/>
          </w:tcPr>
          <w:p w:rsidR="00000000" w:rsidRDefault="00000000">
            <w:pPr>
              <w:jc w:val="both"/>
              <w:rPr>
                <w:sz w:val="22"/>
              </w:rPr>
            </w:pPr>
            <w:r>
              <w:rPr>
                <w:sz w:val="22"/>
              </w:rPr>
              <w:t>Nombre</w:t>
            </w:r>
          </w:p>
          <w:p w:rsidR="00000000" w:rsidRDefault="00000000">
            <w:pPr>
              <w:jc w:val="both"/>
              <w:rPr>
                <w:sz w:val="22"/>
              </w:rPr>
            </w:pPr>
            <w:r>
              <w:rPr>
                <w:sz w:val="22"/>
              </w:rPr>
              <w:t>cumul</w:t>
            </w:r>
          </w:p>
        </w:tc>
        <w:tc>
          <w:tcPr>
            <w:tcW w:w="1256" w:type="dxa"/>
          </w:tcPr>
          <w:p w:rsidR="00000000" w:rsidRDefault="00000000">
            <w:pPr>
              <w:jc w:val="right"/>
              <w:rPr>
                <w:sz w:val="22"/>
              </w:rPr>
            </w:pPr>
            <w:r>
              <w:rPr>
                <w:sz w:val="22"/>
              </w:rPr>
              <w:t>173</w:t>
            </w:r>
          </w:p>
          <w:p w:rsidR="00000000" w:rsidRDefault="00000000">
            <w:pPr>
              <w:jc w:val="right"/>
              <w:rPr>
                <w:sz w:val="22"/>
              </w:rPr>
            </w:pPr>
            <w:r>
              <w:rPr>
                <w:sz w:val="22"/>
              </w:rPr>
              <w:t>173</w:t>
            </w:r>
          </w:p>
        </w:tc>
        <w:tc>
          <w:tcPr>
            <w:tcW w:w="1255" w:type="dxa"/>
          </w:tcPr>
          <w:p w:rsidR="00000000" w:rsidRDefault="00000000">
            <w:pPr>
              <w:jc w:val="right"/>
              <w:rPr>
                <w:sz w:val="22"/>
              </w:rPr>
            </w:pPr>
            <w:r>
              <w:rPr>
                <w:sz w:val="22"/>
              </w:rPr>
              <w:t>109</w:t>
            </w:r>
          </w:p>
          <w:p w:rsidR="00000000" w:rsidRDefault="00000000">
            <w:pPr>
              <w:jc w:val="right"/>
              <w:rPr>
                <w:sz w:val="22"/>
              </w:rPr>
            </w:pPr>
            <w:r>
              <w:rPr>
                <w:sz w:val="22"/>
              </w:rPr>
              <w:t>282</w:t>
            </w:r>
          </w:p>
        </w:tc>
        <w:tc>
          <w:tcPr>
            <w:tcW w:w="1256" w:type="dxa"/>
          </w:tcPr>
          <w:p w:rsidR="00000000" w:rsidRDefault="00000000">
            <w:pPr>
              <w:jc w:val="right"/>
              <w:rPr>
                <w:sz w:val="22"/>
              </w:rPr>
            </w:pPr>
            <w:r>
              <w:rPr>
                <w:sz w:val="22"/>
              </w:rPr>
              <w:t>237</w:t>
            </w:r>
          </w:p>
          <w:p w:rsidR="00000000" w:rsidRDefault="00000000">
            <w:pPr>
              <w:jc w:val="right"/>
              <w:rPr>
                <w:sz w:val="22"/>
              </w:rPr>
            </w:pPr>
            <w:r>
              <w:rPr>
                <w:sz w:val="22"/>
              </w:rPr>
              <w:t>517</w:t>
            </w:r>
          </w:p>
        </w:tc>
        <w:tc>
          <w:tcPr>
            <w:tcW w:w="1255" w:type="dxa"/>
          </w:tcPr>
          <w:p w:rsidR="00000000" w:rsidRDefault="00000000">
            <w:pPr>
              <w:jc w:val="right"/>
              <w:rPr>
                <w:sz w:val="22"/>
              </w:rPr>
            </w:pPr>
            <w:r>
              <w:rPr>
                <w:sz w:val="22"/>
              </w:rPr>
              <w:t>176</w:t>
            </w:r>
          </w:p>
          <w:p w:rsidR="00000000" w:rsidRDefault="00000000">
            <w:pPr>
              <w:jc w:val="right"/>
              <w:rPr>
                <w:sz w:val="22"/>
              </w:rPr>
            </w:pPr>
            <w:r>
              <w:rPr>
                <w:sz w:val="22"/>
              </w:rPr>
              <w:t>582</w:t>
            </w:r>
          </w:p>
        </w:tc>
        <w:tc>
          <w:tcPr>
            <w:tcW w:w="1256" w:type="dxa"/>
          </w:tcPr>
          <w:p w:rsidR="00000000" w:rsidRDefault="00000000">
            <w:pPr>
              <w:jc w:val="right"/>
              <w:rPr>
                <w:sz w:val="22"/>
              </w:rPr>
            </w:pPr>
            <w:r>
              <w:rPr>
                <w:sz w:val="22"/>
              </w:rPr>
              <w:t>114</w:t>
            </w:r>
          </w:p>
          <w:p w:rsidR="00000000" w:rsidRDefault="00000000">
            <w:pPr>
              <w:jc w:val="right"/>
              <w:rPr>
                <w:sz w:val="22"/>
              </w:rPr>
            </w:pPr>
            <w:r>
              <w:rPr>
                <w:sz w:val="22"/>
              </w:rPr>
              <w:t>696</w:t>
            </w:r>
          </w:p>
        </w:tc>
      </w:tr>
      <w:tr w:rsidR="00000000">
        <w:tblPrEx>
          <w:tblCellMar>
            <w:top w:w="0" w:type="dxa"/>
            <w:bottom w:w="0" w:type="dxa"/>
          </w:tblCellMar>
        </w:tblPrEx>
        <w:tc>
          <w:tcPr>
            <w:tcW w:w="2268" w:type="dxa"/>
          </w:tcPr>
          <w:p w:rsidR="00000000" w:rsidRDefault="00000000">
            <w:pPr>
              <w:jc w:val="both"/>
              <w:rPr>
                <w:sz w:val="22"/>
              </w:rPr>
            </w:pPr>
            <w:r>
              <w:rPr>
                <w:sz w:val="22"/>
              </w:rPr>
              <w:t>Filles</w:t>
            </w:r>
          </w:p>
        </w:tc>
        <w:tc>
          <w:tcPr>
            <w:tcW w:w="1255" w:type="dxa"/>
          </w:tcPr>
          <w:p w:rsidR="00000000" w:rsidRDefault="00000000">
            <w:pPr>
              <w:jc w:val="both"/>
              <w:rPr>
                <w:sz w:val="22"/>
              </w:rPr>
            </w:pPr>
            <w:r>
              <w:rPr>
                <w:sz w:val="22"/>
              </w:rPr>
              <w:t>Nombre</w:t>
            </w:r>
          </w:p>
          <w:p w:rsidR="00000000" w:rsidRDefault="00000000">
            <w:pPr>
              <w:jc w:val="both"/>
              <w:rPr>
                <w:sz w:val="22"/>
              </w:rPr>
            </w:pPr>
            <w:r>
              <w:rPr>
                <w:sz w:val="22"/>
              </w:rPr>
              <w:t>cumul</w:t>
            </w:r>
          </w:p>
        </w:tc>
        <w:tc>
          <w:tcPr>
            <w:tcW w:w="1256" w:type="dxa"/>
          </w:tcPr>
          <w:p w:rsidR="00000000" w:rsidRDefault="00000000">
            <w:pPr>
              <w:jc w:val="right"/>
              <w:rPr>
                <w:sz w:val="22"/>
              </w:rPr>
            </w:pPr>
            <w:r>
              <w:rPr>
                <w:sz w:val="22"/>
              </w:rPr>
              <w:t>104</w:t>
            </w:r>
          </w:p>
          <w:p w:rsidR="00000000" w:rsidRDefault="00000000">
            <w:pPr>
              <w:jc w:val="right"/>
              <w:rPr>
                <w:sz w:val="22"/>
              </w:rPr>
            </w:pPr>
            <w:r>
              <w:rPr>
                <w:sz w:val="22"/>
              </w:rPr>
              <w:t>104</w:t>
            </w:r>
          </w:p>
        </w:tc>
        <w:tc>
          <w:tcPr>
            <w:tcW w:w="1255" w:type="dxa"/>
          </w:tcPr>
          <w:p w:rsidR="00000000" w:rsidRDefault="00000000">
            <w:pPr>
              <w:jc w:val="right"/>
              <w:rPr>
                <w:sz w:val="22"/>
              </w:rPr>
            </w:pPr>
            <w:r>
              <w:rPr>
                <w:sz w:val="22"/>
              </w:rPr>
              <w:t>65</w:t>
            </w:r>
          </w:p>
          <w:p w:rsidR="00000000" w:rsidRDefault="00000000">
            <w:pPr>
              <w:jc w:val="right"/>
              <w:rPr>
                <w:sz w:val="22"/>
              </w:rPr>
            </w:pPr>
            <w:r>
              <w:rPr>
                <w:sz w:val="22"/>
              </w:rPr>
              <w:t>169</w:t>
            </w:r>
          </w:p>
        </w:tc>
        <w:tc>
          <w:tcPr>
            <w:tcW w:w="1256" w:type="dxa"/>
          </w:tcPr>
          <w:p w:rsidR="00000000" w:rsidRDefault="00000000">
            <w:pPr>
              <w:jc w:val="right"/>
              <w:rPr>
                <w:sz w:val="22"/>
              </w:rPr>
            </w:pPr>
            <w:r>
              <w:rPr>
                <w:sz w:val="22"/>
              </w:rPr>
              <w:t>237</w:t>
            </w:r>
          </w:p>
          <w:p w:rsidR="00000000" w:rsidRDefault="00000000">
            <w:pPr>
              <w:jc w:val="right"/>
              <w:rPr>
                <w:sz w:val="22"/>
              </w:rPr>
            </w:pPr>
            <w:r>
              <w:rPr>
                <w:sz w:val="22"/>
              </w:rPr>
              <w:t>519</w:t>
            </w:r>
          </w:p>
        </w:tc>
        <w:tc>
          <w:tcPr>
            <w:tcW w:w="1255" w:type="dxa"/>
          </w:tcPr>
          <w:p w:rsidR="00000000" w:rsidRDefault="00000000">
            <w:pPr>
              <w:jc w:val="right"/>
              <w:rPr>
                <w:sz w:val="22"/>
              </w:rPr>
            </w:pPr>
            <w:r>
              <w:rPr>
                <w:sz w:val="22"/>
              </w:rPr>
              <w:t>176</w:t>
            </w:r>
          </w:p>
          <w:p w:rsidR="00000000" w:rsidRDefault="00000000">
            <w:pPr>
              <w:jc w:val="right"/>
              <w:rPr>
                <w:sz w:val="22"/>
              </w:rPr>
            </w:pPr>
            <w:r>
              <w:rPr>
                <w:sz w:val="22"/>
              </w:rPr>
              <w:t>582</w:t>
            </w:r>
          </w:p>
        </w:tc>
        <w:tc>
          <w:tcPr>
            <w:tcW w:w="1256" w:type="dxa"/>
          </w:tcPr>
          <w:p w:rsidR="00000000" w:rsidRDefault="00000000">
            <w:pPr>
              <w:jc w:val="right"/>
              <w:rPr>
                <w:sz w:val="22"/>
              </w:rPr>
            </w:pPr>
            <w:r>
              <w:rPr>
                <w:sz w:val="22"/>
              </w:rPr>
              <w:t>114</w:t>
            </w:r>
          </w:p>
          <w:p w:rsidR="00000000" w:rsidRDefault="00000000">
            <w:pPr>
              <w:jc w:val="right"/>
              <w:rPr>
                <w:sz w:val="22"/>
              </w:rPr>
            </w:pPr>
            <w:r>
              <w:rPr>
                <w:sz w:val="22"/>
              </w:rPr>
              <w:t>696</w:t>
            </w:r>
          </w:p>
        </w:tc>
      </w:tr>
      <w:tr w:rsidR="00000000">
        <w:tblPrEx>
          <w:tblCellMar>
            <w:top w:w="0" w:type="dxa"/>
            <w:bottom w:w="0" w:type="dxa"/>
          </w:tblCellMar>
        </w:tblPrEx>
        <w:tc>
          <w:tcPr>
            <w:tcW w:w="2268" w:type="dxa"/>
          </w:tcPr>
          <w:p w:rsidR="00000000" w:rsidRDefault="00000000">
            <w:pPr>
              <w:jc w:val="both"/>
              <w:rPr>
                <w:sz w:val="22"/>
              </w:rPr>
            </w:pPr>
            <w:r>
              <w:rPr>
                <w:sz w:val="22"/>
              </w:rPr>
              <w:t>Indice de parité F/G</w:t>
            </w:r>
          </w:p>
        </w:tc>
        <w:tc>
          <w:tcPr>
            <w:tcW w:w="1255" w:type="dxa"/>
          </w:tcPr>
          <w:p w:rsidR="00000000" w:rsidRDefault="00000000">
            <w:pPr>
              <w:jc w:val="both"/>
              <w:rPr>
                <w:sz w:val="22"/>
              </w:rPr>
            </w:pPr>
          </w:p>
        </w:tc>
        <w:tc>
          <w:tcPr>
            <w:tcW w:w="1256" w:type="dxa"/>
          </w:tcPr>
          <w:p w:rsidR="00000000" w:rsidRDefault="00000000">
            <w:pPr>
              <w:jc w:val="right"/>
              <w:rPr>
                <w:sz w:val="22"/>
              </w:rPr>
            </w:pPr>
            <w:r>
              <w:rPr>
                <w:sz w:val="22"/>
              </w:rPr>
              <w:t>0,6</w:t>
            </w:r>
          </w:p>
        </w:tc>
        <w:tc>
          <w:tcPr>
            <w:tcW w:w="1255" w:type="dxa"/>
          </w:tcPr>
          <w:p w:rsidR="00000000" w:rsidRDefault="00000000">
            <w:pPr>
              <w:jc w:val="right"/>
              <w:rPr>
                <w:sz w:val="22"/>
              </w:rPr>
            </w:pPr>
            <w:r>
              <w:rPr>
                <w:sz w:val="22"/>
              </w:rPr>
              <w:t>0,6</w:t>
            </w:r>
          </w:p>
        </w:tc>
        <w:tc>
          <w:tcPr>
            <w:tcW w:w="1256" w:type="dxa"/>
          </w:tcPr>
          <w:p w:rsidR="00000000" w:rsidRDefault="00000000">
            <w:pPr>
              <w:jc w:val="right"/>
              <w:rPr>
                <w:sz w:val="22"/>
              </w:rPr>
            </w:pPr>
            <w:r>
              <w:rPr>
                <w:sz w:val="22"/>
              </w:rPr>
              <w:t>1,0</w:t>
            </w:r>
          </w:p>
        </w:tc>
        <w:tc>
          <w:tcPr>
            <w:tcW w:w="1255" w:type="dxa"/>
          </w:tcPr>
          <w:p w:rsidR="00000000" w:rsidRDefault="00000000">
            <w:pPr>
              <w:jc w:val="right"/>
              <w:rPr>
                <w:sz w:val="22"/>
              </w:rPr>
            </w:pPr>
            <w:r>
              <w:rPr>
                <w:sz w:val="22"/>
              </w:rPr>
              <w:t>1,3</w:t>
            </w:r>
          </w:p>
        </w:tc>
        <w:tc>
          <w:tcPr>
            <w:tcW w:w="1256" w:type="dxa"/>
          </w:tcPr>
          <w:p w:rsidR="00000000" w:rsidRDefault="00000000">
            <w:pPr>
              <w:jc w:val="right"/>
              <w:rPr>
                <w:sz w:val="22"/>
              </w:rPr>
            </w:pPr>
            <w:r>
              <w:rPr>
                <w:sz w:val="22"/>
              </w:rPr>
              <w:t>1,1</w:t>
            </w:r>
          </w:p>
        </w:tc>
      </w:tr>
    </w:tbl>
    <w:p w:rsidR="00000000" w:rsidRDefault="00000000">
      <w:pPr>
        <w:spacing w:line="120" w:lineRule="exact"/>
        <w:jc w:val="both"/>
        <w:rPr>
          <w:i/>
          <w:sz w:val="10"/>
          <w:u w:val="single"/>
        </w:rPr>
      </w:pPr>
    </w:p>
    <w:p w:rsidR="00000000" w:rsidRDefault="00000000">
      <w:pPr>
        <w:ind w:left="851" w:hanging="851"/>
        <w:jc w:val="both"/>
        <w:rPr>
          <w:i/>
          <w:sz w:val="22"/>
        </w:rPr>
      </w:pPr>
      <w:r>
        <w:rPr>
          <w:i/>
          <w:sz w:val="22"/>
          <w:u w:val="single"/>
        </w:rPr>
        <w:t>Source</w:t>
      </w:r>
      <w:r>
        <w:rPr>
          <w:i/>
          <w:sz w:val="22"/>
        </w:rPr>
        <w:t> : Direction des études et de la planification, Ministère de l’enseignement primaire, secondaire et supérieur, chargé de la recherche scientifique (MEPSSRS).</w:t>
      </w:r>
    </w:p>
    <w:p w:rsidR="00000000" w:rsidRDefault="00000000">
      <w:pPr>
        <w:jc w:val="both"/>
        <w:rPr>
          <w:sz w:val="22"/>
        </w:rPr>
      </w:pPr>
    </w:p>
    <w:p w:rsidR="00000000" w:rsidRDefault="00000000">
      <w:pPr>
        <w:jc w:val="both"/>
        <w:rPr>
          <w:sz w:val="22"/>
        </w:rPr>
      </w:pPr>
      <w:r>
        <w:rPr>
          <w:sz w:val="22"/>
        </w:rPr>
        <w:t>Ces tableaux montrent que jusqu’à un certain niveau, les filles abandonnent moins l’école que les garçons. Jusqu’au CM2, il y a une parité entre les garçons et les filles au primaire :</w:t>
      </w:r>
    </w:p>
    <w:p w:rsidR="00000000" w:rsidRDefault="00000000">
      <w:pPr>
        <w:numPr>
          <w:ilvl w:val="0"/>
          <w:numId w:val="134"/>
        </w:numPr>
        <w:jc w:val="both"/>
        <w:rPr>
          <w:sz w:val="22"/>
        </w:rPr>
      </w:pPr>
      <w:r>
        <w:rPr>
          <w:sz w:val="22"/>
        </w:rPr>
        <w:t>73,3% pour les filles</w:t>
      </w:r>
    </w:p>
    <w:p w:rsidR="00000000" w:rsidRDefault="00000000">
      <w:pPr>
        <w:numPr>
          <w:ilvl w:val="0"/>
          <w:numId w:val="134"/>
        </w:numPr>
        <w:jc w:val="both"/>
        <w:rPr>
          <w:sz w:val="22"/>
        </w:rPr>
      </w:pPr>
      <w:r>
        <w:rPr>
          <w:sz w:val="22"/>
        </w:rPr>
        <w:t>73,3% pour les garçons.</w:t>
      </w:r>
    </w:p>
    <w:p w:rsidR="00000000" w:rsidRDefault="00000000">
      <w:pPr>
        <w:jc w:val="both"/>
        <w:rPr>
          <w:sz w:val="22"/>
        </w:rPr>
      </w:pPr>
    </w:p>
    <w:p w:rsidR="00000000" w:rsidRDefault="00000000">
      <w:pPr>
        <w:jc w:val="both"/>
        <w:rPr>
          <w:sz w:val="22"/>
        </w:rPr>
      </w:pPr>
      <w:r>
        <w:rPr>
          <w:sz w:val="22"/>
        </w:rPr>
        <w:t>En 1993-1994, par rapport aux nouveaux inscrits au CP1, l’abandon est de l’ordre de 48,2% chez les filles et de 51,8% chez les garçons, malgré le faible niveau de scolarisation des filles. Au CE2, l’abandon est de 68,7 % chez les garçons et de 58,3% chez les filles. L’écart est donc plus criard plus tard.</w:t>
      </w:r>
    </w:p>
    <w:p w:rsidR="00000000" w:rsidRDefault="00000000">
      <w:pPr>
        <w:jc w:val="both"/>
        <w:rPr>
          <w:sz w:val="22"/>
        </w:rPr>
      </w:pPr>
    </w:p>
    <w:p w:rsidR="00000000" w:rsidRDefault="00000000">
      <w:pPr>
        <w:jc w:val="both"/>
        <w:rPr>
          <w:sz w:val="22"/>
        </w:rPr>
      </w:pPr>
      <w:r>
        <w:rPr>
          <w:sz w:val="22"/>
        </w:rPr>
        <w:t>S’il est vrai que les filles et les garçons bénéficient des mêmes conditions d’accès et d’études dans les établissements d’enseignement primaire, secondaire et supérieur, force nous est de constater que les filles ont moins de chance que les garçons d’avoir une scolarité complète. Sur 1.000 filles admises en première année du cycle primaire, 60 seulement (6%) arrivent à l’université. Ici, il y a une prédominance de la population estudiantine masculine surtout dans les disciplines dites « masculines ». La participation féminine est faible :</w:t>
      </w:r>
    </w:p>
    <w:p w:rsidR="00000000" w:rsidRDefault="00000000">
      <w:pPr>
        <w:jc w:val="both"/>
        <w:rPr>
          <w:sz w:val="22"/>
        </w:rPr>
      </w:pPr>
    </w:p>
    <w:p w:rsidR="00000000" w:rsidRDefault="00000000">
      <w:pPr>
        <w:numPr>
          <w:ilvl w:val="0"/>
          <w:numId w:val="134"/>
        </w:numPr>
        <w:jc w:val="both"/>
        <w:rPr>
          <w:sz w:val="22"/>
        </w:rPr>
      </w:pPr>
      <w:r>
        <w:rPr>
          <w:sz w:val="22"/>
        </w:rPr>
        <w:t>11% en sciences naturelles ;</w:t>
      </w:r>
    </w:p>
    <w:p w:rsidR="00000000" w:rsidRDefault="00000000">
      <w:pPr>
        <w:numPr>
          <w:ilvl w:val="0"/>
          <w:numId w:val="134"/>
        </w:numPr>
        <w:jc w:val="both"/>
        <w:rPr>
          <w:sz w:val="22"/>
        </w:rPr>
      </w:pPr>
      <w:r>
        <w:rPr>
          <w:sz w:val="22"/>
        </w:rPr>
        <w:t>18% en économie ;</w:t>
      </w:r>
    </w:p>
    <w:p w:rsidR="00000000" w:rsidRDefault="00000000">
      <w:pPr>
        <w:numPr>
          <w:ilvl w:val="0"/>
          <w:numId w:val="134"/>
        </w:numPr>
        <w:jc w:val="both"/>
        <w:rPr>
          <w:sz w:val="22"/>
        </w:rPr>
      </w:pPr>
      <w:r>
        <w:rPr>
          <w:sz w:val="22"/>
        </w:rPr>
        <w:t>5 à 7% en sciences exactes ;</w:t>
      </w:r>
    </w:p>
    <w:p w:rsidR="00000000" w:rsidRDefault="00000000">
      <w:pPr>
        <w:numPr>
          <w:ilvl w:val="0"/>
          <w:numId w:val="134"/>
        </w:numPr>
        <w:jc w:val="both"/>
        <w:rPr>
          <w:sz w:val="22"/>
        </w:rPr>
      </w:pPr>
      <w:r>
        <w:rPr>
          <w:sz w:val="22"/>
        </w:rPr>
        <w:t>12% en sciences agronomiques ;</w:t>
      </w:r>
    </w:p>
    <w:p w:rsidR="00000000" w:rsidRDefault="00000000">
      <w:pPr>
        <w:numPr>
          <w:ilvl w:val="0"/>
          <w:numId w:val="134"/>
        </w:numPr>
        <w:jc w:val="both"/>
        <w:rPr>
          <w:sz w:val="22"/>
        </w:rPr>
      </w:pPr>
      <w:r>
        <w:rPr>
          <w:sz w:val="22"/>
        </w:rPr>
        <w:t>21% en médecine.</w:t>
      </w:r>
    </w:p>
    <w:p w:rsidR="00000000" w:rsidRDefault="00000000">
      <w:pPr>
        <w:jc w:val="both"/>
        <w:rPr>
          <w:sz w:val="22"/>
        </w:rPr>
      </w:pPr>
    </w:p>
    <w:p w:rsidR="00000000" w:rsidRDefault="00000000">
      <w:pPr>
        <w:tabs>
          <w:tab w:val="left" w:pos="1680"/>
        </w:tabs>
        <w:ind w:left="1680" w:hanging="1680"/>
        <w:rPr>
          <w:b/>
          <w:sz w:val="22"/>
        </w:rPr>
      </w:pPr>
      <w:r>
        <w:rPr>
          <w:b/>
          <w:sz w:val="22"/>
          <w:u w:val="single"/>
        </w:rPr>
        <w:br w:type="page"/>
        <w:t>Tableau n° 67</w:t>
      </w:r>
      <w:r>
        <w:rPr>
          <w:b/>
          <w:sz w:val="22"/>
        </w:rPr>
        <w:t xml:space="preserve"> :</w:t>
      </w:r>
      <w:r>
        <w:rPr>
          <w:b/>
          <w:sz w:val="22"/>
        </w:rPr>
        <w:tab/>
        <w:t>Coefficient d’efficacité et de déperdition en 5</w:t>
      </w:r>
      <w:r>
        <w:rPr>
          <w:b/>
          <w:sz w:val="22"/>
          <w:vertAlign w:val="superscript"/>
        </w:rPr>
        <w:t>ème</w:t>
      </w:r>
      <w:r>
        <w:rPr>
          <w:b/>
          <w:sz w:val="22"/>
        </w:rPr>
        <w:t xml:space="preserve"> et 6</w:t>
      </w:r>
      <w:r>
        <w:rPr>
          <w:b/>
          <w:sz w:val="22"/>
          <w:vertAlign w:val="superscript"/>
        </w:rPr>
        <w:t>ème</w:t>
      </w:r>
      <w:r>
        <w:rPr>
          <w:b/>
          <w:sz w:val="22"/>
        </w:rPr>
        <w:t xml:space="preserve"> années du primaire en   1993-1994</w:t>
      </w:r>
    </w:p>
    <w:p w:rsidR="00000000" w:rsidRDefault="00000000">
      <w:pPr>
        <w:jc w:val="both"/>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5"/>
        <w:gridCol w:w="1575"/>
        <w:gridCol w:w="2646"/>
        <w:gridCol w:w="1917"/>
        <w:gridCol w:w="2196"/>
      </w:tblGrid>
      <w:tr w:rsidR="00000000">
        <w:tblPrEx>
          <w:tblCellMar>
            <w:top w:w="0" w:type="dxa"/>
            <w:bottom w:w="0" w:type="dxa"/>
          </w:tblCellMar>
        </w:tblPrEx>
        <w:trPr>
          <w:cantSplit/>
        </w:trPr>
        <w:tc>
          <w:tcPr>
            <w:tcW w:w="3060" w:type="dxa"/>
            <w:gridSpan w:val="2"/>
            <w:vMerge w:val="restart"/>
          </w:tcPr>
          <w:p w:rsidR="00000000" w:rsidRDefault="00000000">
            <w:pPr>
              <w:jc w:val="center"/>
              <w:rPr>
                <w:sz w:val="22"/>
              </w:rPr>
            </w:pPr>
            <w:r>
              <w:rPr>
                <w:sz w:val="22"/>
              </w:rPr>
              <w:t>Années d’étude</w:t>
            </w:r>
          </w:p>
        </w:tc>
        <w:tc>
          <w:tcPr>
            <w:tcW w:w="2646" w:type="dxa"/>
            <w:vMerge w:val="restart"/>
          </w:tcPr>
          <w:p w:rsidR="00000000" w:rsidRDefault="00000000">
            <w:pPr>
              <w:jc w:val="center"/>
              <w:rPr>
                <w:sz w:val="22"/>
              </w:rPr>
            </w:pPr>
            <w:r>
              <w:rPr>
                <w:sz w:val="22"/>
              </w:rPr>
              <w:t>Coefficient d’efficacité</w:t>
            </w:r>
          </w:p>
        </w:tc>
        <w:tc>
          <w:tcPr>
            <w:tcW w:w="4113" w:type="dxa"/>
            <w:gridSpan w:val="2"/>
          </w:tcPr>
          <w:p w:rsidR="00000000" w:rsidRDefault="00000000">
            <w:pPr>
              <w:jc w:val="center"/>
              <w:rPr>
                <w:sz w:val="22"/>
              </w:rPr>
            </w:pPr>
            <w:r>
              <w:rPr>
                <w:sz w:val="22"/>
              </w:rPr>
              <w:t>Déperdition due</w:t>
            </w:r>
          </w:p>
        </w:tc>
      </w:tr>
      <w:tr w:rsidR="00000000">
        <w:tblPrEx>
          <w:tblCellMar>
            <w:top w:w="0" w:type="dxa"/>
            <w:bottom w:w="0" w:type="dxa"/>
          </w:tblCellMar>
        </w:tblPrEx>
        <w:trPr>
          <w:cantSplit/>
        </w:trPr>
        <w:tc>
          <w:tcPr>
            <w:tcW w:w="3060" w:type="dxa"/>
            <w:gridSpan w:val="2"/>
            <w:vMerge/>
          </w:tcPr>
          <w:p w:rsidR="00000000" w:rsidRDefault="00000000">
            <w:pPr>
              <w:jc w:val="both"/>
              <w:rPr>
                <w:sz w:val="22"/>
              </w:rPr>
            </w:pPr>
          </w:p>
        </w:tc>
        <w:tc>
          <w:tcPr>
            <w:tcW w:w="2646" w:type="dxa"/>
            <w:vMerge/>
          </w:tcPr>
          <w:p w:rsidR="00000000" w:rsidRDefault="00000000">
            <w:pPr>
              <w:jc w:val="both"/>
              <w:rPr>
                <w:sz w:val="22"/>
              </w:rPr>
            </w:pPr>
          </w:p>
        </w:tc>
        <w:tc>
          <w:tcPr>
            <w:tcW w:w="1917" w:type="dxa"/>
          </w:tcPr>
          <w:p w:rsidR="00000000" w:rsidRDefault="00000000">
            <w:pPr>
              <w:jc w:val="center"/>
              <w:rPr>
                <w:sz w:val="22"/>
              </w:rPr>
            </w:pPr>
            <w:r>
              <w:rPr>
                <w:sz w:val="22"/>
              </w:rPr>
              <w:t>à l’abandon</w:t>
            </w:r>
          </w:p>
        </w:tc>
        <w:tc>
          <w:tcPr>
            <w:tcW w:w="2196" w:type="dxa"/>
          </w:tcPr>
          <w:p w:rsidR="00000000" w:rsidRDefault="00000000">
            <w:pPr>
              <w:jc w:val="center"/>
              <w:rPr>
                <w:sz w:val="22"/>
              </w:rPr>
            </w:pPr>
            <w:r>
              <w:rPr>
                <w:sz w:val="22"/>
              </w:rPr>
              <w:t>au redoublement</w:t>
            </w:r>
          </w:p>
        </w:tc>
      </w:tr>
      <w:tr w:rsidR="00000000">
        <w:tblPrEx>
          <w:tblCellMar>
            <w:top w:w="0" w:type="dxa"/>
            <w:bottom w:w="0" w:type="dxa"/>
          </w:tblCellMar>
        </w:tblPrEx>
        <w:tc>
          <w:tcPr>
            <w:tcW w:w="1485" w:type="dxa"/>
          </w:tcPr>
          <w:p w:rsidR="00000000" w:rsidRDefault="00000000">
            <w:pPr>
              <w:jc w:val="both"/>
              <w:rPr>
                <w:sz w:val="22"/>
              </w:rPr>
            </w:pPr>
            <w:r>
              <w:rPr>
                <w:sz w:val="22"/>
              </w:rPr>
              <w:t>Garçons</w:t>
            </w:r>
          </w:p>
        </w:tc>
        <w:tc>
          <w:tcPr>
            <w:tcW w:w="1575" w:type="dxa"/>
          </w:tcPr>
          <w:p w:rsidR="00000000" w:rsidRDefault="00000000">
            <w:pPr>
              <w:jc w:val="both"/>
              <w:rPr>
                <w:sz w:val="22"/>
              </w:rPr>
            </w:pPr>
            <w:r>
              <w:rPr>
                <w:sz w:val="22"/>
              </w:rPr>
              <w:t>5</w:t>
            </w:r>
            <w:r>
              <w:rPr>
                <w:sz w:val="22"/>
                <w:vertAlign w:val="superscript"/>
              </w:rPr>
              <w:t>ème</w:t>
            </w:r>
            <w:r>
              <w:rPr>
                <w:sz w:val="22"/>
              </w:rPr>
              <w:t xml:space="preserve"> année</w:t>
            </w:r>
          </w:p>
          <w:p w:rsidR="00000000" w:rsidRDefault="00000000">
            <w:pPr>
              <w:jc w:val="both"/>
              <w:rPr>
                <w:sz w:val="22"/>
              </w:rPr>
            </w:pPr>
            <w:r>
              <w:rPr>
                <w:sz w:val="22"/>
              </w:rPr>
              <w:t>6</w:t>
            </w:r>
            <w:r>
              <w:rPr>
                <w:sz w:val="22"/>
                <w:vertAlign w:val="superscript"/>
              </w:rPr>
              <w:t>ème</w:t>
            </w:r>
            <w:r>
              <w:rPr>
                <w:sz w:val="22"/>
              </w:rPr>
              <w:t xml:space="preserve"> année</w:t>
            </w:r>
          </w:p>
        </w:tc>
        <w:tc>
          <w:tcPr>
            <w:tcW w:w="2646" w:type="dxa"/>
          </w:tcPr>
          <w:p w:rsidR="00000000" w:rsidRDefault="00000000">
            <w:pPr>
              <w:jc w:val="center"/>
              <w:rPr>
                <w:sz w:val="22"/>
              </w:rPr>
            </w:pPr>
            <w:r>
              <w:rPr>
                <w:sz w:val="22"/>
              </w:rPr>
              <w:t>37,3%</w:t>
            </w:r>
          </w:p>
          <w:p w:rsidR="00000000" w:rsidRDefault="00000000">
            <w:pPr>
              <w:jc w:val="center"/>
              <w:rPr>
                <w:sz w:val="22"/>
              </w:rPr>
            </w:pPr>
            <w:r>
              <w:rPr>
                <w:sz w:val="22"/>
              </w:rPr>
              <w:t>29,5%</w:t>
            </w:r>
          </w:p>
        </w:tc>
        <w:tc>
          <w:tcPr>
            <w:tcW w:w="1917" w:type="dxa"/>
          </w:tcPr>
          <w:p w:rsidR="00000000" w:rsidRDefault="00000000">
            <w:pPr>
              <w:jc w:val="center"/>
              <w:rPr>
                <w:sz w:val="22"/>
              </w:rPr>
            </w:pPr>
            <w:r>
              <w:rPr>
                <w:sz w:val="22"/>
              </w:rPr>
              <w:t>73,3%</w:t>
            </w:r>
          </w:p>
          <w:p w:rsidR="00000000" w:rsidRDefault="00000000">
            <w:pPr>
              <w:jc w:val="center"/>
              <w:rPr>
                <w:sz w:val="22"/>
              </w:rPr>
            </w:pPr>
            <w:r>
              <w:rPr>
                <w:sz w:val="22"/>
              </w:rPr>
              <w:t>61,4%</w:t>
            </w:r>
          </w:p>
        </w:tc>
        <w:tc>
          <w:tcPr>
            <w:tcW w:w="2196" w:type="dxa"/>
          </w:tcPr>
          <w:p w:rsidR="00000000" w:rsidRDefault="00000000">
            <w:pPr>
              <w:jc w:val="center"/>
              <w:rPr>
                <w:sz w:val="22"/>
              </w:rPr>
            </w:pPr>
            <w:r>
              <w:rPr>
                <w:sz w:val="22"/>
              </w:rPr>
              <w:t>26,7%</w:t>
            </w:r>
          </w:p>
          <w:p w:rsidR="00000000" w:rsidRDefault="00000000">
            <w:pPr>
              <w:jc w:val="center"/>
              <w:rPr>
                <w:sz w:val="22"/>
              </w:rPr>
            </w:pPr>
            <w:r>
              <w:rPr>
                <w:sz w:val="22"/>
              </w:rPr>
              <w:t>38,6%</w:t>
            </w:r>
          </w:p>
        </w:tc>
      </w:tr>
      <w:tr w:rsidR="00000000">
        <w:tblPrEx>
          <w:tblCellMar>
            <w:top w:w="0" w:type="dxa"/>
            <w:bottom w:w="0" w:type="dxa"/>
          </w:tblCellMar>
        </w:tblPrEx>
        <w:tc>
          <w:tcPr>
            <w:tcW w:w="1485" w:type="dxa"/>
          </w:tcPr>
          <w:p w:rsidR="00000000" w:rsidRDefault="00000000">
            <w:pPr>
              <w:jc w:val="both"/>
              <w:rPr>
                <w:sz w:val="22"/>
              </w:rPr>
            </w:pPr>
            <w:r>
              <w:rPr>
                <w:sz w:val="22"/>
              </w:rPr>
              <w:t>Filles</w:t>
            </w:r>
          </w:p>
        </w:tc>
        <w:tc>
          <w:tcPr>
            <w:tcW w:w="1575" w:type="dxa"/>
          </w:tcPr>
          <w:p w:rsidR="00000000" w:rsidRDefault="00000000">
            <w:pPr>
              <w:jc w:val="both"/>
              <w:rPr>
                <w:sz w:val="22"/>
              </w:rPr>
            </w:pPr>
            <w:r>
              <w:rPr>
                <w:sz w:val="22"/>
              </w:rPr>
              <w:t>5</w:t>
            </w:r>
            <w:r>
              <w:rPr>
                <w:sz w:val="22"/>
                <w:vertAlign w:val="superscript"/>
              </w:rPr>
              <w:t>ème</w:t>
            </w:r>
            <w:r>
              <w:rPr>
                <w:sz w:val="22"/>
              </w:rPr>
              <w:t xml:space="preserve"> année</w:t>
            </w:r>
          </w:p>
          <w:p w:rsidR="00000000" w:rsidRDefault="00000000">
            <w:pPr>
              <w:jc w:val="both"/>
              <w:rPr>
                <w:sz w:val="22"/>
              </w:rPr>
            </w:pPr>
            <w:r>
              <w:rPr>
                <w:sz w:val="22"/>
              </w:rPr>
              <w:t>6</w:t>
            </w:r>
            <w:r>
              <w:rPr>
                <w:sz w:val="22"/>
                <w:vertAlign w:val="superscript"/>
              </w:rPr>
              <w:t>ème</w:t>
            </w:r>
            <w:r>
              <w:rPr>
                <w:sz w:val="22"/>
              </w:rPr>
              <w:t xml:space="preserve"> année</w:t>
            </w:r>
          </w:p>
        </w:tc>
        <w:tc>
          <w:tcPr>
            <w:tcW w:w="2646" w:type="dxa"/>
          </w:tcPr>
          <w:p w:rsidR="00000000" w:rsidRDefault="00000000">
            <w:pPr>
              <w:jc w:val="center"/>
              <w:rPr>
                <w:sz w:val="22"/>
              </w:rPr>
            </w:pPr>
            <w:r>
              <w:rPr>
                <w:sz w:val="22"/>
              </w:rPr>
              <w:t>40,8%</w:t>
            </w:r>
          </w:p>
          <w:p w:rsidR="00000000" w:rsidRDefault="00000000">
            <w:pPr>
              <w:jc w:val="center"/>
              <w:rPr>
                <w:sz w:val="22"/>
              </w:rPr>
            </w:pPr>
            <w:r>
              <w:rPr>
                <w:sz w:val="22"/>
              </w:rPr>
              <w:t>33,3%</w:t>
            </w:r>
          </w:p>
        </w:tc>
        <w:tc>
          <w:tcPr>
            <w:tcW w:w="1917" w:type="dxa"/>
          </w:tcPr>
          <w:p w:rsidR="00000000" w:rsidRDefault="00000000">
            <w:pPr>
              <w:jc w:val="center"/>
              <w:rPr>
                <w:sz w:val="22"/>
              </w:rPr>
            </w:pPr>
            <w:r>
              <w:rPr>
                <w:sz w:val="22"/>
              </w:rPr>
              <w:t>73,2%</w:t>
            </w:r>
          </w:p>
          <w:p w:rsidR="00000000" w:rsidRDefault="00000000">
            <w:pPr>
              <w:jc w:val="center"/>
              <w:rPr>
                <w:sz w:val="22"/>
              </w:rPr>
            </w:pPr>
            <w:r>
              <w:rPr>
                <w:sz w:val="22"/>
              </w:rPr>
              <w:t>60,8%</w:t>
            </w:r>
          </w:p>
        </w:tc>
        <w:tc>
          <w:tcPr>
            <w:tcW w:w="2196" w:type="dxa"/>
          </w:tcPr>
          <w:p w:rsidR="00000000" w:rsidRDefault="00000000">
            <w:pPr>
              <w:jc w:val="center"/>
              <w:rPr>
                <w:sz w:val="22"/>
              </w:rPr>
            </w:pPr>
            <w:r>
              <w:rPr>
                <w:sz w:val="22"/>
              </w:rPr>
              <w:t>26,8%</w:t>
            </w:r>
          </w:p>
          <w:p w:rsidR="00000000" w:rsidRDefault="00000000">
            <w:pPr>
              <w:jc w:val="center"/>
              <w:rPr>
                <w:sz w:val="22"/>
              </w:rPr>
            </w:pPr>
            <w:r>
              <w:rPr>
                <w:sz w:val="22"/>
              </w:rPr>
              <w:t>39,2%</w:t>
            </w:r>
          </w:p>
        </w:tc>
      </w:tr>
      <w:tr w:rsidR="00000000">
        <w:tblPrEx>
          <w:tblCellMar>
            <w:top w:w="0" w:type="dxa"/>
            <w:bottom w:w="0" w:type="dxa"/>
          </w:tblCellMar>
        </w:tblPrEx>
        <w:tc>
          <w:tcPr>
            <w:tcW w:w="1485" w:type="dxa"/>
          </w:tcPr>
          <w:p w:rsidR="00000000" w:rsidRDefault="00000000">
            <w:pPr>
              <w:jc w:val="both"/>
              <w:rPr>
                <w:sz w:val="22"/>
              </w:rPr>
            </w:pPr>
            <w:r>
              <w:rPr>
                <w:sz w:val="22"/>
              </w:rPr>
              <w:t>Total</w:t>
            </w:r>
          </w:p>
        </w:tc>
        <w:tc>
          <w:tcPr>
            <w:tcW w:w="1575" w:type="dxa"/>
          </w:tcPr>
          <w:p w:rsidR="00000000" w:rsidRDefault="00000000">
            <w:pPr>
              <w:jc w:val="both"/>
              <w:rPr>
                <w:sz w:val="22"/>
              </w:rPr>
            </w:pPr>
            <w:r>
              <w:rPr>
                <w:sz w:val="22"/>
              </w:rPr>
              <w:t>5</w:t>
            </w:r>
            <w:r>
              <w:rPr>
                <w:sz w:val="22"/>
                <w:vertAlign w:val="superscript"/>
              </w:rPr>
              <w:t>ème</w:t>
            </w:r>
            <w:r>
              <w:rPr>
                <w:sz w:val="22"/>
              </w:rPr>
              <w:t xml:space="preserve"> année</w:t>
            </w:r>
          </w:p>
          <w:p w:rsidR="00000000" w:rsidRDefault="00000000">
            <w:pPr>
              <w:jc w:val="both"/>
              <w:rPr>
                <w:sz w:val="22"/>
              </w:rPr>
            </w:pPr>
            <w:r>
              <w:rPr>
                <w:sz w:val="22"/>
              </w:rPr>
              <w:t>6</w:t>
            </w:r>
            <w:r>
              <w:rPr>
                <w:sz w:val="22"/>
                <w:vertAlign w:val="superscript"/>
              </w:rPr>
              <w:t>ème</w:t>
            </w:r>
            <w:r>
              <w:rPr>
                <w:sz w:val="22"/>
              </w:rPr>
              <w:t xml:space="preserve"> année</w:t>
            </w:r>
          </w:p>
        </w:tc>
        <w:tc>
          <w:tcPr>
            <w:tcW w:w="2646" w:type="dxa"/>
          </w:tcPr>
          <w:p w:rsidR="00000000" w:rsidRDefault="00000000">
            <w:pPr>
              <w:jc w:val="center"/>
              <w:rPr>
                <w:sz w:val="22"/>
              </w:rPr>
            </w:pPr>
            <w:r>
              <w:rPr>
                <w:sz w:val="22"/>
              </w:rPr>
              <w:t>39,1%</w:t>
            </w:r>
          </w:p>
          <w:p w:rsidR="00000000" w:rsidRDefault="00000000">
            <w:pPr>
              <w:jc w:val="center"/>
              <w:rPr>
                <w:sz w:val="22"/>
              </w:rPr>
            </w:pPr>
            <w:r>
              <w:rPr>
                <w:sz w:val="22"/>
              </w:rPr>
              <w:t>31,3%</w:t>
            </w:r>
          </w:p>
        </w:tc>
        <w:tc>
          <w:tcPr>
            <w:tcW w:w="1917" w:type="dxa"/>
          </w:tcPr>
          <w:p w:rsidR="00000000" w:rsidRDefault="00000000">
            <w:pPr>
              <w:jc w:val="center"/>
              <w:rPr>
                <w:sz w:val="22"/>
              </w:rPr>
            </w:pPr>
            <w:r>
              <w:rPr>
                <w:sz w:val="22"/>
              </w:rPr>
              <w:t>78,9%</w:t>
            </w:r>
          </w:p>
          <w:p w:rsidR="00000000" w:rsidRDefault="00000000">
            <w:pPr>
              <w:jc w:val="center"/>
              <w:rPr>
                <w:sz w:val="22"/>
              </w:rPr>
            </w:pPr>
            <w:r>
              <w:rPr>
                <w:sz w:val="22"/>
              </w:rPr>
              <w:t>54,8%</w:t>
            </w:r>
          </w:p>
        </w:tc>
        <w:tc>
          <w:tcPr>
            <w:tcW w:w="2196" w:type="dxa"/>
          </w:tcPr>
          <w:p w:rsidR="00000000" w:rsidRDefault="00000000">
            <w:pPr>
              <w:jc w:val="center"/>
              <w:rPr>
                <w:sz w:val="22"/>
              </w:rPr>
            </w:pPr>
            <w:r>
              <w:rPr>
                <w:sz w:val="22"/>
              </w:rPr>
              <w:t>21,1%</w:t>
            </w:r>
          </w:p>
          <w:p w:rsidR="00000000" w:rsidRDefault="00000000">
            <w:pPr>
              <w:jc w:val="center"/>
              <w:rPr>
                <w:sz w:val="22"/>
              </w:rPr>
            </w:pPr>
            <w:r>
              <w:rPr>
                <w:sz w:val="22"/>
              </w:rPr>
              <w:t>45,2%</w:t>
            </w:r>
          </w:p>
        </w:tc>
      </w:tr>
    </w:tbl>
    <w:p w:rsidR="00000000" w:rsidRDefault="00000000">
      <w:pPr>
        <w:spacing w:line="120" w:lineRule="exact"/>
        <w:jc w:val="both"/>
        <w:rPr>
          <w:sz w:val="10"/>
        </w:rPr>
      </w:pPr>
    </w:p>
    <w:p w:rsidR="00000000" w:rsidRDefault="00000000">
      <w:pPr>
        <w:ind w:left="851" w:hanging="851"/>
        <w:jc w:val="both"/>
        <w:rPr>
          <w:i/>
          <w:sz w:val="22"/>
        </w:rPr>
      </w:pPr>
      <w:r>
        <w:rPr>
          <w:i/>
          <w:sz w:val="22"/>
          <w:u w:val="single"/>
        </w:rPr>
        <w:t>Source</w:t>
      </w:r>
      <w:r>
        <w:rPr>
          <w:i/>
          <w:sz w:val="22"/>
        </w:rPr>
        <w:t> :Direction des études et de la planification, Ministère de l’enseignement primaire, secondaire et supérieur, chargé de la recherche scientifique (MEPSSRS).</w:t>
      </w:r>
    </w:p>
    <w:p w:rsidR="00000000" w:rsidRDefault="00000000">
      <w:pPr>
        <w:jc w:val="both"/>
        <w:rPr>
          <w:i/>
          <w:sz w:val="22"/>
        </w:rPr>
      </w:pPr>
    </w:p>
    <w:p w:rsidR="00000000" w:rsidRDefault="00000000">
      <w:pPr>
        <w:jc w:val="both"/>
        <w:rPr>
          <w:sz w:val="22"/>
        </w:rPr>
      </w:pPr>
      <w:r>
        <w:rPr>
          <w:sz w:val="22"/>
        </w:rPr>
        <w:t>Les autres causes de la déperdition scolaire, surtout chez les filles sont :</w:t>
      </w:r>
    </w:p>
    <w:p w:rsidR="00000000" w:rsidRDefault="00000000">
      <w:pPr>
        <w:numPr>
          <w:ilvl w:val="0"/>
          <w:numId w:val="141"/>
        </w:numPr>
        <w:jc w:val="both"/>
        <w:rPr>
          <w:sz w:val="22"/>
        </w:rPr>
      </w:pPr>
      <w:r>
        <w:rPr>
          <w:sz w:val="22"/>
        </w:rPr>
        <w:t>le poids de la culture : il est préférable de marier tôt la jeune fille ;</w:t>
      </w:r>
    </w:p>
    <w:p w:rsidR="00000000" w:rsidRDefault="00000000">
      <w:pPr>
        <w:numPr>
          <w:ilvl w:val="0"/>
          <w:numId w:val="141"/>
        </w:numPr>
        <w:jc w:val="both"/>
        <w:rPr>
          <w:sz w:val="22"/>
        </w:rPr>
      </w:pPr>
      <w:r>
        <w:rPr>
          <w:sz w:val="22"/>
        </w:rPr>
        <w:t>l’éducation de base : différence dans l’éducation entre la fille et le garçon. La fille est soumise aux travaux ménagers ; elle doit seconder la mère dans les soins des frères cadets ;</w:t>
      </w:r>
    </w:p>
    <w:p w:rsidR="00000000" w:rsidRDefault="00000000">
      <w:pPr>
        <w:numPr>
          <w:ilvl w:val="0"/>
          <w:numId w:val="141"/>
        </w:numPr>
        <w:jc w:val="both"/>
        <w:rPr>
          <w:sz w:val="22"/>
        </w:rPr>
      </w:pPr>
      <w:r>
        <w:rPr>
          <w:sz w:val="22"/>
        </w:rPr>
        <w:t>la forte urbanisation ;</w:t>
      </w:r>
    </w:p>
    <w:p w:rsidR="00000000" w:rsidRDefault="00000000">
      <w:pPr>
        <w:numPr>
          <w:ilvl w:val="0"/>
          <w:numId w:val="141"/>
        </w:numPr>
        <w:jc w:val="both"/>
        <w:rPr>
          <w:sz w:val="22"/>
        </w:rPr>
      </w:pPr>
      <w:r>
        <w:rPr>
          <w:sz w:val="22"/>
        </w:rPr>
        <w:t>la cherté de l’école ;</w:t>
      </w:r>
    </w:p>
    <w:p w:rsidR="00000000" w:rsidRDefault="00000000">
      <w:pPr>
        <w:numPr>
          <w:ilvl w:val="0"/>
          <w:numId w:val="141"/>
        </w:numPr>
        <w:jc w:val="both"/>
        <w:rPr>
          <w:sz w:val="22"/>
        </w:rPr>
      </w:pPr>
      <w:r>
        <w:rPr>
          <w:sz w:val="22"/>
        </w:rPr>
        <w:t>la pauvreté des familles ;</w:t>
      </w:r>
    </w:p>
    <w:p w:rsidR="00000000" w:rsidRDefault="00000000">
      <w:pPr>
        <w:numPr>
          <w:ilvl w:val="0"/>
          <w:numId w:val="141"/>
        </w:numPr>
        <w:jc w:val="both"/>
        <w:rPr>
          <w:sz w:val="22"/>
        </w:rPr>
      </w:pPr>
      <w:r>
        <w:rPr>
          <w:sz w:val="22"/>
        </w:rPr>
        <w:t>les grossesses précoces qui font aussi des filles très tôt des responsables ou des chefs de famille.</w:t>
      </w:r>
    </w:p>
    <w:p w:rsidR="00000000" w:rsidRDefault="00000000">
      <w:pPr>
        <w:jc w:val="both"/>
        <w:rPr>
          <w:sz w:val="22"/>
        </w:rPr>
      </w:pPr>
    </w:p>
    <w:p w:rsidR="00000000" w:rsidRDefault="00000000">
      <w:pPr>
        <w:jc w:val="both"/>
        <w:rPr>
          <w:sz w:val="22"/>
        </w:rPr>
      </w:pPr>
      <w:r>
        <w:rPr>
          <w:sz w:val="22"/>
        </w:rPr>
        <w:t>Les conséquences de cette déperdition scolaire sont : les « enfants de la rue » (phénomène nouveau mais qui s’accentue surtout avec les guerres civiles du Congo), les enfants travailleurs, les enfants drogués et les jeunes filles prostituées très tôt. Afin de limiter ce phénomène, le Congo a décidé de maintenir dans le système la jeune fille en état de gestation. Elle n’est plus exclue de l’école comme par le passé. Cependant, cette mesure produit un impact limité. Les problèmes sociaux sont si cruciaux qu’il est difficile d’enrayer rapidement ce fléau. Le chômage, le dénuement des familles sont des phénomènes nouveaux et qui s’accentuent. Les parents ne peuvent plus soutenir valablement les études de leurs enfants ; ils ne peuvent plus contrôler la scolarité de leurs enfants ; il faut être nanti pour envoyer les enfants dans les écoles privées où le nombre d’élèves par classe est faible et où l’on peut encadrer plus aisément les enfants qui ont eu des difficultés dans les écoles publiques où les classes sont pléthoriques.</w:t>
      </w:r>
    </w:p>
    <w:p w:rsidR="00000000" w:rsidRDefault="00000000">
      <w:pPr>
        <w:jc w:val="both"/>
        <w:rPr>
          <w:sz w:val="22"/>
        </w:rPr>
      </w:pPr>
    </w:p>
    <w:p w:rsidR="00000000" w:rsidRDefault="00000000">
      <w:pPr>
        <w:jc w:val="both"/>
        <w:rPr>
          <w:sz w:val="22"/>
        </w:rPr>
      </w:pPr>
      <w:r>
        <w:rPr>
          <w:sz w:val="22"/>
        </w:rPr>
        <w:t>Les associations caritatives, les organisations non gouvernementales mènent des activités en faveur des enfants de la rue en les accueillant dans des maisons spécialisées ou dans des centres d’accueil. Certaines organisations non gouvernementales prennent en charge les jeunes mères ayant abandonné leurs études du fait des grossesses pour leur apprendre un métier.</w:t>
      </w:r>
    </w:p>
    <w:p w:rsidR="00000000" w:rsidRDefault="00000000">
      <w:pPr>
        <w:jc w:val="both"/>
        <w:rPr>
          <w:sz w:val="22"/>
        </w:rPr>
      </w:pPr>
    </w:p>
    <w:p w:rsidR="00000000" w:rsidRDefault="00000000">
      <w:pPr>
        <w:jc w:val="both"/>
        <w:rPr>
          <w:sz w:val="22"/>
        </w:rPr>
      </w:pPr>
      <w:r>
        <w:rPr>
          <w:sz w:val="22"/>
        </w:rPr>
        <w:t>Les écoles spécialisées pour les handicapés existaient : l’institut des jeunes sourds, l’institut des aveugles pour lesquels les bourses d’études étaient accordées et les budgets alloués par l’État. Tous ces efforts ont été anéantis par les guerres qui sont venues perturber l’ensemble du système scolaire.</w:t>
      </w:r>
    </w:p>
    <w:p w:rsidR="00000000" w:rsidRDefault="00000000">
      <w:pPr>
        <w:jc w:val="both"/>
        <w:rPr>
          <w:sz w:val="22"/>
        </w:rPr>
      </w:pPr>
    </w:p>
    <w:p w:rsidR="00000000" w:rsidRDefault="00000000">
      <w:pPr>
        <w:pStyle w:val="Heading8"/>
        <w:ind w:left="1900" w:hanging="1899"/>
        <w:rPr>
          <w:b/>
          <w:bCs/>
          <w:i w:val="0"/>
          <w:iCs w:val="0"/>
        </w:rPr>
      </w:pPr>
      <w:r>
        <w:rPr>
          <w:b/>
          <w:bCs/>
          <w:i w:val="0"/>
          <w:iCs w:val="0"/>
          <w:u w:val="single"/>
        </w:rPr>
        <w:br w:type="page"/>
        <w:t>SECTION</w:t>
      </w:r>
      <w:r>
        <w:rPr>
          <w:b/>
          <w:bCs/>
          <w:i w:val="0"/>
          <w:iCs w:val="0"/>
        </w:rPr>
        <w:t xml:space="preserve"> VII -</w:t>
      </w:r>
      <w:r>
        <w:rPr>
          <w:b/>
          <w:bCs/>
          <w:i w:val="0"/>
          <w:iCs w:val="0"/>
        </w:rPr>
        <w:tab/>
      </w:r>
      <w:r>
        <w:rPr>
          <w:b/>
          <w:bCs/>
          <w:i w:val="0"/>
          <w:iCs w:val="0"/>
          <w:u w:val="single"/>
        </w:rPr>
        <w:t>Les mêmes possibilités de participer activement aux sports et à l’éducation physique</w:t>
      </w:r>
    </w:p>
    <w:p w:rsidR="00000000" w:rsidRDefault="00000000">
      <w:pPr>
        <w:jc w:val="both"/>
        <w:rPr>
          <w:sz w:val="22"/>
        </w:rPr>
      </w:pPr>
    </w:p>
    <w:p w:rsidR="00000000" w:rsidRDefault="00000000">
      <w:pPr>
        <w:jc w:val="both"/>
        <w:rPr>
          <w:sz w:val="22"/>
        </w:rPr>
      </w:pPr>
      <w:r>
        <w:rPr>
          <w:sz w:val="22"/>
        </w:rPr>
        <w:t>Le sport n’a jamais été considéré comme étant un loisir ou une occupation féminine. Il a fallu un changement de mentalités. Dans les établissements scolaires féminins, on notait une certaine tiédeur. Quelques mouvements de gymnastique suffisaient. Puis les filles ont commencé progressivement à prendre part aux compétitions sportives nationales et internationales. Il semble que, actuellement, les jeunes filles n’accordent pas beaucoup d’importance au sport alors qu’il aide au développement harmonieux du corps et de l’esprit. Elles se font, toutefois, facilement dispenser des cours d’éducation physique. Heureusement qu’à côté de cette apathie, on note un grand engouement chez la jeune fille congolaise pour le hand-ball et le basket-ball. Elle fait des prouesses aux niveaux national et international. Quelques jeunes filles participent aux jeux de l’Office National des Sports Scolaires et Universitaires (ONSSU).</w:t>
      </w:r>
    </w:p>
    <w:p w:rsidR="00000000" w:rsidRDefault="00000000">
      <w:pPr>
        <w:jc w:val="both"/>
        <w:rPr>
          <w:sz w:val="22"/>
        </w:rPr>
      </w:pPr>
    </w:p>
    <w:p w:rsidR="00000000" w:rsidRDefault="00000000">
      <w:pPr>
        <w:jc w:val="both"/>
        <w:rPr>
          <w:sz w:val="22"/>
        </w:rPr>
      </w:pPr>
      <w:r>
        <w:rPr>
          <w:sz w:val="22"/>
        </w:rPr>
        <w:t>Le Congo se fait un devoir de former des maîtres d’éducation physique et sportive à l’Institut National de la Jeunesse et des Sports (INJS) créé par décision de la Conférence Nationale Souveraine et par décret n° 92/787 du  29 août 1992. Cet institut a remplacé l’Institut National des Sports et l’Ecole de la jeunesse. A l’INJS, outre les enseignants sportifs, l’on forme aussi des animateurs de jeunesse et des gestionnaires des centres socio-éducatifs de la jeunesse. Mais la représentation féminine est très faible. A l’Institut Supérieur de l’Education Physique et Sportive, le nombre de femmes demeure faible (2/23 étudiants en 4</w:t>
      </w:r>
      <w:r>
        <w:rPr>
          <w:sz w:val="22"/>
          <w:vertAlign w:val="superscript"/>
        </w:rPr>
        <w:t>ème</w:t>
      </w:r>
      <w:r>
        <w:rPr>
          <w:sz w:val="22"/>
        </w:rPr>
        <w:t xml:space="preserve"> année) et l’on déplore l’absence de professeurs sportifs féminins.</w:t>
      </w:r>
    </w:p>
    <w:p w:rsidR="00000000" w:rsidRDefault="00000000">
      <w:pPr>
        <w:jc w:val="both"/>
        <w:rPr>
          <w:sz w:val="22"/>
        </w:rPr>
      </w:pPr>
    </w:p>
    <w:p w:rsidR="00000000" w:rsidRDefault="00000000">
      <w:pPr>
        <w:jc w:val="both"/>
        <w:rPr>
          <w:sz w:val="22"/>
        </w:rPr>
      </w:pPr>
      <w:r>
        <w:rPr>
          <w:sz w:val="22"/>
        </w:rPr>
        <w:t>Il est bon que la jeune congolaise suive aussi une éducation culturelle dans le domaine de l’art. Mais là encore la participation est bien faible. La jeune congolaise s’intéresse timidement à la musique (19/49 élèves à l’Ecole des Beaux Arts et 19/50 élèves en arts plastiques). Quelques musiciennes se produisent mais sans avoir suivi une formation véritable.</w:t>
      </w:r>
    </w:p>
    <w:p w:rsidR="00000000" w:rsidRDefault="00000000">
      <w:pPr>
        <w:jc w:val="both"/>
        <w:rPr>
          <w:sz w:val="22"/>
        </w:rPr>
      </w:pPr>
    </w:p>
    <w:p w:rsidR="00000000" w:rsidRDefault="00000000">
      <w:pPr>
        <w:jc w:val="both"/>
        <w:rPr>
          <w:sz w:val="22"/>
        </w:rPr>
      </w:pPr>
      <w:r>
        <w:rPr>
          <w:sz w:val="22"/>
        </w:rPr>
        <w:t>Dans les groupes théâtraux qui existent, quelques jeunes filles excellent, mais là encore sans une véritable formation. Il s’agit souvent d’une prédisposition naturelle ou d’une formation sur le tas.</w:t>
      </w:r>
    </w:p>
    <w:p w:rsidR="00000000" w:rsidRDefault="00000000">
      <w:pPr>
        <w:jc w:val="both"/>
        <w:rPr>
          <w:sz w:val="22"/>
          <w:u w:val="single"/>
        </w:rPr>
      </w:pPr>
    </w:p>
    <w:p w:rsidR="00000000" w:rsidRDefault="00000000">
      <w:pPr>
        <w:jc w:val="both"/>
        <w:rPr>
          <w:b/>
          <w:sz w:val="22"/>
        </w:rPr>
      </w:pPr>
      <w:r>
        <w:rPr>
          <w:b/>
          <w:sz w:val="22"/>
          <w:u w:val="single"/>
        </w:rPr>
        <w:t>Tableau n° 68</w:t>
      </w:r>
      <w:r>
        <w:rPr>
          <w:b/>
          <w:sz w:val="22"/>
        </w:rPr>
        <w:t> : Les effectifs des enseignants d’éducation physique et sportive (EPS)</w:t>
      </w:r>
    </w:p>
    <w:p w:rsidR="00000000" w:rsidRDefault="00000000">
      <w:pPr>
        <w:jc w:val="both"/>
        <w:rPr>
          <w:sz w:val="22"/>
        </w:rPr>
      </w:pPr>
    </w:p>
    <w:tbl>
      <w:tblPr>
        <w:tblW w:w="9819"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67"/>
        <w:gridCol w:w="1057"/>
        <w:gridCol w:w="786"/>
        <w:gridCol w:w="708"/>
        <w:gridCol w:w="567"/>
        <w:gridCol w:w="567"/>
        <w:gridCol w:w="549"/>
        <w:gridCol w:w="1143"/>
        <w:gridCol w:w="1314"/>
        <w:gridCol w:w="1161"/>
      </w:tblGrid>
      <w:tr w:rsidR="00000000">
        <w:tblPrEx>
          <w:tblCellMar>
            <w:top w:w="0" w:type="dxa"/>
            <w:bottom w:w="0" w:type="dxa"/>
          </w:tblCellMar>
        </w:tblPrEx>
        <w:trPr>
          <w:cantSplit/>
        </w:trPr>
        <w:tc>
          <w:tcPr>
            <w:tcW w:w="1967" w:type="dxa"/>
            <w:vMerge w:val="restart"/>
          </w:tcPr>
          <w:p w:rsidR="00000000" w:rsidRDefault="00000000">
            <w:pPr>
              <w:jc w:val="both"/>
              <w:rPr>
                <w:sz w:val="18"/>
              </w:rPr>
            </w:pPr>
          </w:p>
          <w:p w:rsidR="00000000" w:rsidRDefault="00000000">
            <w:pPr>
              <w:jc w:val="both"/>
              <w:rPr>
                <w:sz w:val="18"/>
              </w:rPr>
            </w:pPr>
            <w:r>
              <w:rPr>
                <w:sz w:val="18"/>
              </w:rPr>
              <w:t>Grades</w:t>
            </w:r>
          </w:p>
        </w:tc>
        <w:tc>
          <w:tcPr>
            <w:tcW w:w="1057" w:type="dxa"/>
            <w:vMerge w:val="restart"/>
          </w:tcPr>
          <w:p w:rsidR="00000000" w:rsidRDefault="00000000">
            <w:pPr>
              <w:jc w:val="both"/>
              <w:rPr>
                <w:sz w:val="18"/>
              </w:rPr>
            </w:pPr>
          </w:p>
          <w:p w:rsidR="00000000" w:rsidRDefault="00000000">
            <w:pPr>
              <w:jc w:val="both"/>
              <w:rPr>
                <w:sz w:val="18"/>
              </w:rPr>
            </w:pPr>
            <w:r>
              <w:rPr>
                <w:sz w:val="18"/>
              </w:rPr>
              <w:t>Catégorie</w:t>
            </w:r>
          </w:p>
        </w:tc>
        <w:tc>
          <w:tcPr>
            <w:tcW w:w="786" w:type="dxa"/>
            <w:vMerge w:val="restart"/>
          </w:tcPr>
          <w:p w:rsidR="00000000" w:rsidRDefault="00000000">
            <w:pPr>
              <w:jc w:val="both"/>
              <w:rPr>
                <w:sz w:val="18"/>
              </w:rPr>
            </w:pPr>
          </w:p>
          <w:p w:rsidR="00000000" w:rsidRDefault="00000000">
            <w:pPr>
              <w:jc w:val="both"/>
              <w:rPr>
                <w:sz w:val="18"/>
              </w:rPr>
            </w:pPr>
            <w:r>
              <w:rPr>
                <w:sz w:val="18"/>
              </w:rPr>
              <w:t>Total</w:t>
            </w:r>
          </w:p>
        </w:tc>
        <w:tc>
          <w:tcPr>
            <w:tcW w:w="1275" w:type="dxa"/>
            <w:gridSpan w:val="2"/>
          </w:tcPr>
          <w:p w:rsidR="00000000" w:rsidRDefault="00000000">
            <w:pPr>
              <w:jc w:val="both"/>
              <w:rPr>
                <w:sz w:val="18"/>
              </w:rPr>
            </w:pPr>
            <w:r>
              <w:rPr>
                <w:sz w:val="18"/>
              </w:rPr>
              <w:t>En activité</w:t>
            </w:r>
          </w:p>
        </w:tc>
        <w:tc>
          <w:tcPr>
            <w:tcW w:w="1116" w:type="dxa"/>
            <w:gridSpan w:val="2"/>
          </w:tcPr>
          <w:p w:rsidR="00000000" w:rsidRDefault="00000000">
            <w:pPr>
              <w:jc w:val="both"/>
              <w:rPr>
                <w:sz w:val="18"/>
              </w:rPr>
            </w:pPr>
            <w:r>
              <w:rPr>
                <w:sz w:val="18"/>
              </w:rPr>
              <w:t>Détachés</w:t>
            </w:r>
          </w:p>
        </w:tc>
        <w:tc>
          <w:tcPr>
            <w:tcW w:w="1143" w:type="dxa"/>
            <w:vMerge w:val="restart"/>
          </w:tcPr>
          <w:p w:rsidR="00000000" w:rsidRDefault="00000000">
            <w:pPr>
              <w:jc w:val="both"/>
              <w:rPr>
                <w:sz w:val="18"/>
              </w:rPr>
            </w:pPr>
          </w:p>
          <w:p w:rsidR="00000000" w:rsidRDefault="00000000">
            <w:pPr>
              <w:jc w:val="both"/>
              <w:rPr>
                <w:sz w:val="18"/>
              </w:rPr>
            </w:pPr>
            <w:r>
              <w:rPr>
                <w:sz w:val="18"/>
              </w:rPr>
              <w:t>Disponibles</w:t>
            </w:r>
          </w:p>
        </w:tc>
        <w:tc>
          <w:tcPr>
            <w:tcW w:w="2475" w:type="dxa"/>
            <w:gridSpan w:val="2"/>
          </w:tcPr>
          <w:p w:rsidR="00000000" w:rsidRDefault="00000000">
            <w:pPr>
              <w:jc w:val="center"/>
              <w:rPr>
                <w:sz w:val="18"/>
              </w:rPr>
            </w:pPr>
            <w:r>
              <w:rPr>
                <w:sz w:val="18"/>
              </w:rPr>
              <w:t>Statut</w:t>
            </w:r>
          </w:p>
        </w:tc>
      </w:tr>
      <w:tr w:rsidR="00000000">
        <w:tblPrEx>
          <w:tblCellMar>
            <w:top w:w="0" w:type="dxa"/>
            <w:bottom w:w="0" w:type="dxa"/>
          </w:tblCellMar>
        </w:tblPrEx>
        <w:trPr>
          <w:cantSplit/>
        </w:trPr>
        <w:tc>
          <w:tcPr>
            <w:tcW w:w="1967" w:type="dxa"/>
            <w:vMerge/>
          </w:tcPr>
          <w:p w:rsidR="00000000" w:rsidRDefault="00000000">
            <w:pPr>
              <w:jc w:val="both"/>
              <w:rPr>
                <w:sz w:val="22"/>
              </w:rPr>
            </w:pPr>
          </w:p>
        </w:tc>
        <w:tc>
          <w:tcPr>
            <w:tcW w:w="1057" w:type="dxa"/>
            <w:vMerge/>
          </w:tcPr>
          <w:p w:rsidR="00000000" w:rsidRDefault="00000000">
            <w:pPr>
              <w:jc w:val="center"/>
              <w:rPr>
                <w:sz w:val="22"/>
              </w:rPr>
            </w:pPr>
          </w:p>
        </w:tc>
        <w:tc>
          <w:tcPr>
            <w:tcW w:w="786" w:type="dxa"/>
            <w:vMerge/>
          </w:tcPr>
          <w:p w:rsidR="00000000" w:rsidRDefault="00000000">
            <w:pPr>
              <w:jc w:val="right"/>
              <w:rPr>
                <w:sz w:val="22"/>
              </w:rPr>
            </w:pPr>
          </w:p>
        </w:tc>
        <w:tc>
          <w:tcPr>
            <w:tcW w:w="708" w:type="dxa"/>
          </w:tcPr>
          <w:p w:rsidR="00000000" w:rsidRDefault="00000000">
            <w:pPr>
              <w:jc w:val="right"/>
              <w:rPr>
                <w:sz w:val="18"/>
              </w:rPr>
            </w:pPr>
            <w:r>
              <w:rPr>
                <w:sz w:val="18"/>
              </w:rPr>
              <w:t>M</w:t>
            </w:r>
          </w:p>
        </w:tc>
        <w:tc>
          <w:tcPr>
            <w:tcW w:w="567" w:type="dxa"/>
          </w:tcPr>
          <w:p w:rsidR="00000000" w:rsidRDefault="00000000">
            <w:pPr>
              <w:jc w:val="right"/>
              <w:rPr>
                <w:sz w:val="18"/>
                <w:lang w:val="en-GB"/>
              </w:rPr>
            </w:pPr>
            <w:r>
              <w:rPr>
                <w:sz w:val="18"/>
                <w:lang w:val="en-GB"/>
              </w:rPr>
              <w:t>F</w:t>
            </w:r>
          </w:p>
        </w:tc>
        <w:tc>
          <w:tcPr>
            <w:tcW w:w="567" w:type="dxa"/>
          </w:tcPr>
          <w:p w:rsidR="00000000" w:rsidRDefault="00000000">
            <w:pPr>
              <w:jc w:val="right"/>
              <w:rPr>
                <w:sz w:val="18"/>
                <w:lang w:val="en-GB"/>
              </w:rPr>
            </w:pPr>
            <w:r>
              <w:rPr>
                <w:sz w:val="18"/>
                <w:lang w:val="en-GB"/>
              </w:rPr>
              <w:t>M</w:t>
            </w:r>
          </w:p>
        </w:tc>
        <w:tc>
          <w:tcPr>
            <w:tcW w:w="549" w:type="dxa"/>
          </w:tcPr>
          <w:p w:rsidR="00000000" w:rsidRDefault="00000000">
            <w:pPr>
              <w:jc w:val="right"/>
              <w:rPr>
                <w:sz w:val="18"/>
                <w:lang w:val="en-GB"/>
              </w:rPr>
            </w:pPr>
            <w:r>
              <w:rPr>
                <w:sz w:val="18"/>
                <w:lang w:val="en-GB"/>
              </w:rPr>
              <w:t>F</w:t>
            </w:r>
          </w:p>
        </w:tc>
        <w:tc>
          <w:tcPr>
            <w:tcW w:w="1143" w:type="dxa"/>
            <w:vMerge/>
          </w:tcPr>
          <w:p w:rsidR="00000000" w:rsidRDefault="00000000">
            <w:pPr>
              <w:jc w:val="right"/>
              <w:rPr>
                <w:sz w:val="22"/>
                <w:lang w:val="en-GB"/>
              </w:rPr>
            </w:pPr>
          </w:p>
        </w:tc>
        <w:tc>
          <w:tcPr>
            <w:tcW w:w="1314" w:type="dxa"/>
          </w:tcPr>
          <w:p w:rsidR="00000000" w:rsidRDefault="00000000">
            <w:pPr>
              <w:jc w:val="right"/>
              <w:rPr>
                <w:sz w:val="18"/>
              </w:rPr>
            </w:pPr>
            <w:r>
              <w:rPr>
                <w:sz w:val="18"/>
              </w:rPr>
              <w:t>Fonctionnaires</w:t>
            </w:r>
          </w:p>
        </w:tc>
        <w:tc>
          <w:tcPr>
            <w:tcW w:w="1161" w:type="dxa"/>
          </w:tcPr>
          <w:p w:rsidR="00000000" w:rsidRDefault="00000000">
            <w:pPr>
              <w:jc w:val="right"/>
              <w:rPr>
                <w:sz w:val="18"/>
              </w:rPr>
            </w:pPr>
            <w:r>
              <w:rPr>
                <w:sz w:val="18"/>
              </w:rPr>
              <w:t>Contractuels</w:t>
            </w:r>
          </w:p>
        </w:tc>
      </w:tr>
      <w:tr w:rsidR="00000000">
        <w:tblPrEx>
          <w:tblCellMar>
            <w:top w:w="0" w:type="dxa"/>
            <w:bottom w:w="0" w:type="dxa"/>
          </w:tblCellMar>
        </w:tblPrEx>
        <w:tc>
          <w:tcPr>
            <w:tcW w:w="1967" w:type="dxa"/>
          </w:tcPr>
          <w:p w:rsidR="00000000" w:rsidRDefault="00000000">
            <w:pPr>
              <w:jc w:val="both"/>
              <w:rPr>
                <w:sz w:val="22"/>
              </w:rPr>
            </w:pPr>
            <w:r>
              <w:rPr>
                <w:sz w:val="22"/>
              </w:rPr>
              <w:t>Inspecteur E.P.S.</w:t>
            </w:r>
          </w:p>
        </w:tc>
        <w:tc>
          <w:tcPr>
            <w:tcW w:w="1057" w:type="dxa"/>
          </w:tcPr>
          <w:p w:rsidR="00000000" w:rsidRDefault="00000000">
            <w:pPr>
              <w:jc w:val="center"/>
              <w:rPr>
                <w:sz w:val="22"/>
              </w:rPr>
            </w:pPr>
            <w:r>
              <w:rPr>
                <w:sz w:val="22"/>
              </w:rPr>
              <w:t>AI</w:t>
            </w:r>
          </w:p>
        </w:tc>
        <w:tc>
          <w:tcPr>
            <w:tcW w:w="786" w:type="dxa"/>
          </w:tcPr>
          <w:p w:rsidR="00000000" w:rsidRDefault="00000000">
            <w:pPr>
              <w:jc w:val="right"/>
              <w:rPr>
                <w:sz w:val="22"/>
              </w:rPr>
            </w:pPr>
            <w:r>
              <w:rPr>
                <w:sz w:val="22"/>
              </w:rPr>
              <w:t>1</w:t>
            </w:r>
          </w:p>
        </w:tc>
        <w:tc>
          <w:tcPr>
            <w:tcW w:w="708" w:type="dxa"/>
          </w:tcPr>
          <w:p w:rsidR="00000000" w:rsidRDefault="00000000">
            <w:pPr>
              <w:jc w:val="right"/>
              <w:rPr>
                <w:sz w:val="22"/>
              </w:rPr>
            </w:pPr>
            <w:r>
              <w:rPr>
                <w:sz w:val="22"/>
              </w:rPr>
              <w:t>1</w:t>
            </w:r>
          </w:p>
        </w:tc>
        <w:tc>
          <w:tcPr>
            <w:tcW w:w="567" w:type="dxa"/>
          </w:tcPr>
          <w:p w:rsidR="00000000" w:rsidRDefault="00000000">
            <w:pPr>
              <w:jc w:val="right"/>
              <w:rPr>
                <w:sz w:val="22"/>
              </w:rPr>
            </w:pPr>
            <w:r>
              <w:rPr>
                <w:sz w:val="22"/>
              </w:rPr>
              <w:t>-</w:t>
            </w:r>
          </w:p>
        </w:tc>
        <w:tc>
          <w:tcPr>
            <w:tcW w:w="567" w:type="dxa"/>
          </w:tcPr>
          <w:p w:rsidR="00000000" w:rsidRDefault="00000000">
            <w:pPr>
              <w:jc w:val="right"/>
              <w:rPr>
                <w:sz w:val="22"/>
              </w:rPr>
            </w:pPr>
            <w:r>
              <w:rPr>
                <w:sz w:val="22"/>
              </w:rPr>
              <w:t>-</w:t>
            </w:r>
          </w:p>
        </w:tc>
        <w:tc>
          <w:tcPr>
            <w:tcW w:w="549" w:type="dxa"/>
          </w:tcPr>
          <w:p w:rsidR="00000000" w:rsidRDefault="00000000">
            <w:pPr>
              <w:jc w:val="right"/>
              <w:rPr>
                <w:sz w:val="22"/>
              </w:rPr>
            </w:pPr>
          </w:p>
        </w:tc>
        <w:tc>
          <w:tcPr>
            <w:tcW w:w="1143" w:type="dxa"/>
          </w:tcPr>
          <w:p w:rsidR="00000000" w:rsidRDefault="00000000">
            <w:pPr>
              <w:jc w:val="right"/>
              <w:rPr>
                <w:sz w:val="22"/>
              </w:rPr>
            </w:pPr>
          </w:p>
        </w:tc>
        <w:tc>
          <w:tcPr>
            <w:tcW w:w="1314" w:type="dxa"/>
          </w:tcPr>
          <w:p w:rsidR="00000000" w:rsidRDefault="00000000">
            <w:pPr>
              <w:ind w:right="567"/>
              <w:jc w:val="right"/>
              <w:rPr>
                <w:sz w:val="22"/>
              </w:rPr>
            </w:pPr>
            <w:r>
              <w:rPr>
                <w:sz w:val="22"/>
              </w:rPr>
              <w:t>1</w:t>
            </w:r>
          </w:p>
        </w:tc>
        <w:tc>
          <w:tcPr>
            <w:tcW w:w="1161" w:type="dxa"/>
          </w:tcPr>
          <w:p w:rsidR="00000000" w:rsidRDefault="00000000">
            <w:pPr>
              <w:ind w:right="567"/>
              <w:jc w:val="right"/>
              <w:rPr>
                <w:sz w:val="22"/>
              </w:rPr>
            </w:pPr>
            <w:r>
              <w:rPr>
                <w:sz w:val="22"/>
              </w:rPr>
              <w:t>-</w:t>
            </w:r>
          </w:p>
        </w:tc>
      </w:tr>
      <w:tr w:rsidR="00000000">
        <w:tblPrEx>
          <w:tblCellMar>
            <w:top w:w="0" w:type="dxa"/>
            <w:bottom w:w="0" w:type="dxa"/>
          </w:tblCellMar>
        </w:tblPrEx>
        <w:tc>
          <w:tcPr>
            <w:tcW w:w="1967" w:type="dxa"/>
          </w:tcPr>
          <w:p w:rsidR="00000000" w:rsidRDefault="00000000">
            <w:pPr>
              <w:jc w:val="both"/>
              <w:rPr>
                <w:sz w:val="22"/>
              </w:rPr>
            </w:pPr>
            <w:r>
              <w:rPr>
                <w:sz w:val="22"/>
              </w:rPr>
              <w:t>Inspecteur d’EPS</w:t>
            </w:r>
          </w:p>
        </w:tc>
        <w:tc>
          <w:tcPr>
            <w:tcW w:w="1057" w:type="dxa"/>
          </w:tcPr>
          <w:p w:rsidR="00000000" w:rsidRDefault="00000000">
            <w:pPr>
              <w:jc w:val="center"/>
              <w:rPr>
                <w:sz w:val="22"/>
              </w:rPr>
            </w:pPr>
            <w:r>
              <w:rPr>
                <w:sz w:val="22"/>
              </w:rPr>
              <w:t>AI</w:t>
            </w:r>
          </w:p>
        </w:tc>
        <w:tc>
          <w:tcPr>
            <w:tcW w:w="786" w:type="dxa"/>
          </w:tcPr>
          <w:p w:rsidR="00000000" w:rsidRDefault="00000000">
            <w:pPr>
              <w:jc w:val="right"/>
              <w:rPr>
                <w:sz w:val="22"/>
              </w:rPr>
            </w:pPr>
            <w:r>
              <w:rPr>
                <w:sz w:val="22"/>
              </w:rPr>
              <w:t>53</w:t>
            </w:r>
          </w:p>
        </w:tc>
        <w:tc>
          <w:tcPr>
            <w:tcW w:w="708" w:type="dxa"/>
          </w:tcPr>
          <w:p w:rsidR="00000000" w:rsidRDefault="00000000">
            <w:pPr>
              <w:jc w:val="right"/>
              <w:rPr>
                <w:sz w:val="22"/>
              </w:rPr>
            </w:pPr>
            <w:r>
              <w:rPr>
                <w:sz w:val="22"/>
              </w:rPr>
              <w:t>51</w:t>
            </w:r>
          </w:p>
        </w:tc>
        <w:tc>
          <w:tcPr>
            <w:tcW w:w="567" w:type="dxa"/>
          </w:tcPr>
          <w:p w:rsidR="00000000" w:rsidRDefault="00000000">
            <w:pPr>
              <w:jc w:val="right"/>
              <w:rPr>
                <w:sz w:val="22"/>
              </w:rPr>
            </w:pPr>
            <w:r>
              <w:rPr>
                <w:sz w:val="22"/>
              </w:rPr>
              <w:t>2</w:t>
            </w:r>
          </w:p>
        </w:tc>
        <w:tc>
          <w:tcPr>
            <w:tcW w:w="567" w:type="dxa"/>
          </w:tcPr>
          <w:p w:rsidR="00000000" w:rsidRDefault="00000000">
            <w:pPr>
              <w:jc w:val="right"/>
              <w:rPr>
                <w:sz w:val="22"/>
              </w:rPr>
            </w:pPr>
            <w:r>
              <w:rPr>
                <w:sz w:val="22"/>
              </w:rPr>
              <w:t>-</w:t>
            </w:r>
          </w:p>
        </w:tc>
        <w:tc>
          <w:tcPr>
            <w:tcW w:w="549" w:type="dxa"/>
          </w:tcPr>
          <w:p w:rsidR="00000000" w:rsidRDefault="00000000">
            <w:pPr>
              <w:jc w:val="right"/>
              <w:rPr>
                <w:sz w:val="22"/>
              </w:rPr>
            </w:pPr>
          </w:p>
        </w:tc>
        <w:tc>
          <w:tcPr>
            <w:tcW w:w="1143" w:type="dxa"/>
          </w:tcPr>
          <w:p w:rsidR="00000000" w:rsidRDefault="00000000">
            <w:pPr>
              <w:jc w:val="right"/>
              <w:rPr>
                <w:sz w:val="22"/>
              </w:rPr>
            </w:pPr>
          </w:p>
        </w:tc>
        <w:tc>
          <w:tcPr>
            <w:tcW w:w="1314" w:type="dxa"/>
          </w:tcPr>
          <w:p w:rsidR="00000000" w:rsidRDefault="00000000">
            <w:pPr>
              <w:ind w:right="567"/>
              <w:jc w:val="right"/>
              <w:rPr>
                <w:sz w:val="22"/>
              </w:rPr>
            </w:pPr>
            <w:r>
              <w:rPr>
                <w:sz w:val="22"/>
              </w:rPr>
              <w:t>53</w:t>
            </w:r>
          </w:p>
        </w:tc>
        <w:tc>
          <w:tcPr>
            <w:tcW w:w="1161" w:type="dxa"/>
          </w:tcPr>
          <w:p w:rsidR="00000000" w:rsidRDefault="00000000">
            <w:pPr>
              <w:ind w:right="567"/>
              <w:jc w:val="right"/>
              <w:rPr>
                <w:sz w:val="22"/>
              </w:rPr>
            </w:pPr>
          </w:p>
        </w:tc>
      </w:tr>
      <w:tr w:rsidR="00000000">
        <w:tblPrEx>
          <w:tblCellMar>
            <w:top w:w="0" w:type="dxa"/>
            <w:bottom w:w="0" w:type="dxa"/>
          </w:tblCellMar>
        </w:tblPrEx>
        <w:tc>
          <w:tcPr>
            <w:tcW w:w="1967" w:type="dxa"/>
          </w:tcPr>
          <w:p w:rsidR="00000000" w:rsidRDefault="00000000">
            <w:pPr>
              <w:jc w:val="both"/>
              <w:rPr>
                <w:sz w:val="22"/>
              </w:rPr>
            </w:pPr>
            <w:r>
              <w:rPr>
                <w:sz w:val="22"/>
              </w:rPr>
              <w:t>Professeur certifié</w:t>
            </w:r>
          </w:p>
        </w:tc>
        <w:tc>
          <w:tcPr>
            <w:tcW w:w="1057" w:type="dxa"/>
          </w:tcPr>
          <w:p w:rsidR="00000000" w:rsidRDefault="00000000">
            <w:pPr>
              <w:jc w:val="center"/>
              <w:rPr>
                <w:sz w:val="22"/>
              </w:rPr>
            </w:pPr>
            <w:r>
              <w:rPr>
                <w:sz w:val="22"/>
              </w:rPr>
              <w:t>AI</w:t>
            </w:r>
          </w:p>
        </w:tc>
        <w:tc>
          <w:tcPr>
            <w:tcW w:w="786" w:type="dxa"/>
          </w:tcPr>
          <w:p w:rsidR="00000000" w:rsidRDefault="00000000">
            <w:pPr>
              <w:jc w:val="right"/>
              <w:rPr>
                <w:sz w:val="22"/>
              </w:rPr>
            </w:pPr>
            <w:r>
              <w:rPr>
                <w:sz w:val="22"/>
              </w:rPr>
              <w:t>308</w:t>
            </w:r>
          </w:p>
        </w:tc>
        <w:tc>
          <w:tcPr>
            <w:tcW w:w="708" w:type="dxa"/>
          </w:tcPr>
          <w:p w:rsidR="00000000" w:rsidRDefault="00000000">
            <w:pPr>
              <w:jc w:val="right"/>
              <w:rPr>
                <w:sz w:val="22"/>
              </w:rPr>
            </w:pPr>
            <w:r>
              <w:rPr>
                <w:sz w:val="22"/>
              </w:rPr>
              <w:t>299</w:t>
            </w:r>
          </w:p>
        </w:tc>
        <w:tc>
          <w:tcPr>
            <w:tcW w:w="567" w:type="dxa"/>
          </w:tcPr>
          <w:p w:rsidR="00000000" w:rsidRDefault="00000000">
            <w:pPr>
              <w:jc w:val="right"/>
              <w:rPr>
                <w:sz w:val="22"/>
              </w:rPr>
            </w:pPr>
            <w:r>
              <w:rPr>
                <w:sz w:val="22"/>
              </w:rPr>
              <w:t>9</w:t>
            </w:r>
          </w:p>
        </w:tc>
        <w:tc>
          <w:tcPr>
            <w:tcW w:w="567" w:type="dxa"/>
          </w:tcPr>
          <w:p w:rsidR="00000000" w:rsidRDefault="00000000">
            <w:pPr>
              <w:jc w:val="right"/>
              <w:rPr>
                <w:sz w:val="22"/>
              </w:rPr>
            </w:pPr>
            <w:r>
              <w:rPr>
                <w:sz w:val="22"/>
              </w:rPr>
              <w:t>32</w:t>
            </w:r>
          </w:p>
        </w:tc>
        <w:tc>
          <w:tcPr>
            <w:tcW w:w="549" w:type="dxa"/>
          </w:tcPr>
          <w:p w:rsidR="00000000" w:rsidRDefault="00000000">
            <w:pPr>
              <w:jc w:val="right"/>
              <w:rPr>
                <w:sz w:val="22"/>
              </w:rPr>
            </w:pPr>
          </w:p>
        </w:tc>
        <w:tc>
          <w:tcPr>
            <w:tcW w:w="1143" w:type="dxa"/>
          </w:tcPr>
          <w:p w:rsidR="00000000" w:rsidRDefault="00000000">
            <w:pPr>
              <w:jc w:val="right"/>
              <w:rPr>
                <w:sz w:val="22"/>
              </w:rPr>
            </w:pPr>
          </w:p>
        </w:tc>
        <w:tc>
          <w:tcPr>
            <w:tcW w:w="1314" w:type="dxa"/>
          </w:tcPr>
          <w:p w:rsidR="00000000" w:rsidRDefault="00000000">
            <w:pPr>
              <w:ind w:right="567"/>
              <w:jc w:val="right"/>
              <w:rPr>
                <w:sz w:val="22"/>
              </w:rPr>
            </w:pPr>
            <w:r>
              <w:rPr>
                <w:sz w:val="22"/>
              </w:rPr>
              <w:t>307</w:t>
            </w:r>
          </w:p>
        </w:tc>
        <w:tc>
          <w:tcPr>
            <w:tcW w:w="1161" w:type="dxa"/>
          </w:tcPr>
          <w:p w:rsidR="00000000" w:rsidRDefault="00000000">
            <w:pPr>
              <w:ind w:right="567"/>
              <w:jc w:val="right"/>
              <w:rPr>
                <w:sz w:val="22"/>
              </w:rPr>
            </w:pPr>
            <w:r>
              <w:rPr>
                <w:sz w:val="22"/>
              </w:rPr>
              <w:t>1</w:t>
            </w:r>
          </w:p>
        </w:tc>
      </w:tr>
      <w:tr w:rsidR="00000000">
        <w:tblPrEx>
          <w:tblCellMar>
            <w:top w:w="0" w:type="dxa"/>
            <w:bottom w:w="0" w:type="dxa"/>
          </w:tblCellMar>
        </w:tblPrEx>
        <w:tc>
          <w:tcPr>
            <w:tcW w:w="1967" w:type="dxa"/>
          </w:tcPr>
          <w:p w:rsidR="00000000" w:rsidRDefault="00000000">
            <w:pPr>
              <w:jc w:val="both"/>
              <w:rPr>
                <w:sz w:val="22"/>
              </w:rPr>
            </w:pPr>
            <w:r>
              <w:rPr>
                <w:sz w:val="22"/>
              </w:rPr>
              <w:t>Professeur adjoint</w:t>
            </w:r>
          </w:p>
        </w:tc>
        <w:tc>
          <w:tcPr>
            <w:tcW w:w="1057" w:type="dxa"/>
          </w:tcPr>
          <w:p w:rsidR="00000000" w:rsidRDefault="00000000">
            <w:pPr>
              <w:jc w:val="center"/>
              <w:rPr>
                <w:sz w:val="22"/>
              </w:rPr>
            </w:pPr>
            <w:r>
              <w:rPr>
                <w:sz w:val="22"/>
              </w:rPr>
              <w:t>AII</w:t>
            </w:r>
          </w:p>
        </w:tc>
        <w:tc>
          <w:tcPr>
            <w:tcW w:w="786" w:type="dxa"/>
          </w:tcPr>
          <w:p w:rsidR="00000000" w:rsidRDefault="00000000">
            <w:pPr>
              <w:jc w:val="right"/>
              <w:rPr>
                <w:sz w:val="22"/>
              </w:rPr>
            </w:pPr>
            <w:r>
              <w:rPr>
                <w:sz w:val="22"/>
              </w:rPr>
              <w:t>160</w:t>
            </w:r>
          </w:p>
        </w:tc>
        <w:tc>
          <w:tcPr>
            <w:tcW w:w="708" w:type="dxa"/>
          </w:tcPr>
          <w:p w:rsidR="00000000" w:rsidRDefault="00000000">
            <w:pPr>
              <w:jc w:val="right"/>
              <w:rPr>
                <w:sz w:val="22"/>
              </w:rPr>
            </w:pPr>
            <w:r>
              <w:rPr>
                <w:sz w:val="22"/>
              </w:rPr>
              <w:t>156</w:t>
            </w:r>
          </w:p>
        </w:tc>
        <w:tc>
          <w:tcPr>
            <w:tcW w:w="567" w:type="dxa"/>
          </w:tcPr>
          <w:p w:rsidR="00000000" w:rsidRDefault="00000000">
            <w:pPr>
              <w:jc w:val="right"/>
              <w:rPr>
                <w:sz w:val="22"/>
              </w:rPr>
            </w:pPr>
            <w:r>
              <w:rPr>
                <w:sz w:val="22"/>
              </w:rPr>
              <w:t>4</w:t>
            </w:r>
          </w:p>
        </w:tc>
        <w:tc>
          <w:tcPr>
            <w:tcW w:w="567" w:type="dxa"/>
          </w:tcPr>
          <w:p w:rsidR="00000000" w:rsidRDefault="00000000">
            <w:pPr>
              <w:jc w:val="right"/>
              <w:rPr>
                <w:sz w:val="22"/>
              </w:rPr>
            </w:pPr>
            <w:r>
              <w:rPr>
                <w:sz w:val="22"/>
              </w:rPr>
              <w:t>-</w:t>
            </w:r>
          </w:p>
        </w:tc>
        <w:tc>
          <w:tcPr>
            <w:tcW w:w="549" w:type="dxa"/>
          </w:tcPr>
          <w:p w:rsidR="00000000" w:rsidRDefault="00000000">
            <w:pPr>
              <w:jc w:val="right"/>
              <w:rPr>
                <w:sz w:val="22"/>
              </w:rPr>
            </w:pPr>
          </w:p>
        </w:tc>
        <w:tc>
          <w:tcPr>
            <w:tcW w:w="1143" w:type="dxa"/>
          </w:tcPr>
          <w:p w:rsidR="00000000" w:rsidRDefault="00000000">
            <w:pPr>
              <w:jc w:val="right"/>
              <w:rPr>
                <w:sz w:val="22"/>
              </w:rPr>
            </w:pPr>
          </w:p>
        </w:tc>
        <w:tc>
          <w:tcPr>
            <w:tcW w:w="1314" w:type="dxa"/>
          </w:tcPr>
          <w:p w:rsidR="00000000" w:rsidRDefault="00000000">
            <w:pPr>
              <w:ind w:right="567"/>
              <w:jc w:val="right"/>
              <w:rPr>
                <w:sz w:val="22"/>
              </w:rPr>
            </w:pPr>
            <w:r>
              <w:rPr>
                <w:sz w:val="22"/>
              </w:rPr>
              <w:t>160</w:t>
            </w:r>
          </w:p>
        </w:tc>
        <w:tc>
          <w:tcPr>
            <w:tcW w:w="1161" w:type="dxa"/>
          </w:tcPr>
          <w:p w:rsidR="00000000" w:rsidRDefault="00000000">
            <w:pPr>
              <w:ind w:right="567"/>
              <w:jc w:val="right"/>
              <w:rPr>
                <w:sz w:val="22"/>
              </w:rPr>
            </w:pPr>
          </w:p>
        </w:tc>
      </w:tr>
      <w:tr w:rsidR="00000000">
        <w:tblPrEx>
          <w:tblCellMar>
            <w:top w:w="0" w:type="dxa"/>
            <w:bottom w:w="0" w:type="dxa"/>
          </w:tblCellMar>
        </w:tblPrEx>
        <w:tc>
          <w:tcPr>
            <w:tcW w:w="1967" w:type="dxa"/>
          </w:tcPr>
          <w:p w:rsidR="00000000" w:rsidRDefault="00000000">
            <w:pPr>
              <w:jc w:val="both"/>
              <w:rPr>
                <w:sz w:val="22"/>
              </w:rPr>
            </w:pPr>
            <w:r>
              <w:rPr>
                <w:sz w:val="22"/>
              </w:rPr>
              <w:t>Conseiller pédagogique</w:t>
            </w:r>
          </w:p>
        </w:tc>
        <w:tc>
          <w:tcPr>
            <w:tcW w:w="1057" w:type="dxa"/>
          </w:tcPr>
          <w:p w:rsidR="00000000" w:rsidRDefault="00000000">
            <w:pPr>
              <w:jc w:val="center"/>
              <w:rPr>
                <w:sz w:val="22"/>
              </w:rPr>
            </w:pPr>
            <w:r>
              <w:rPr>
                <w:sz w:val="22"/>
              </w:rPr>
              <w:t>AII</w:t>
            </w:r>
          </w:p>
        </w:tc>
        <w:tc>
          <w:tcPr>
            <w:tcW w:w="786" w:type="dxa"/>
          </w:tcPr>
          <w:p w:rsidR="00000000" w:rsidRDefault="00000000">
            <w:pPr>
              <w:jc w:val="right"/>
              <w:rPr>
                <w:sz w:val="22"/>
              </w:rPr>
            </w:pPr>
            <w:r>
              <w:rPr>
                <w:sz w:val="22"/>
              </w:rPr>
              <w:t>130</w:t>
            </w:r>
          </w:p>
        </w:tc>
        <w:tc>
          <w:tcPr>
            <w:tcW w:w="708" w:type="dxa"/>
          </w:tcPr>
          <w:p w:rsidR="00000000" w:rsidRDefault="00000000">
            <w:pPr>
              <w:jc w:val="right"/>
              <w:rPr>
                <w:sz w:val="22"/>
              </w:rPr>
            </w:pPr>
            <w:r>
              <w:rPr>
                <w:sz w:val="22"/>
              </w:rPr>
              <w:t>129</w:t>
            </w:r>
          </w:p>
        </w:tc>
        <w:tc>
          <w:tcPr>
            <w:tcW w:w="567" w:type="dxa"/>
          </w:tcPr>
          <w:p w:rsidR="00000000" w:rsidRDefault="00000000">
            <w:pPr>
              <w:jc w:val="right"/>
              <w:rPr>
                <w:sz w:val="22"/>
              </w:rPr>
            </w:pPr>
            <w:r>
              <w:rPr>
                <w:sz w:val="22"/>
              </w:rPr>
              <w:t>1</w:t>
            </w:r>
          </w:p>
        </w:tc>
        <w:tc>
          <w:tcPr>
            <w:tcW w:w="567" w:type="dxa"/>
          </w:tcPr>
          <w:p w:rsidR="00000000" w:rsidRDefault="00000000">
            <w:pPr>
              <w:jc w:val="right"/>
              <w:rPr>
                <w:sz w:val="22"/>
              </w:rPr>
            </w:pPr>
            <w:r>
              <w:rPr>
                <w:sz w:val="22"/>
              </w:rPr>
              <w:t>-</w:t>
            </w:r>
          </w:p>
        </w:tc>
        <w:tc>
          <w:tcPr>
            <w:tcW w:w="549" w:type="dxa"/>
          </w:tcPr>
          <w:p w:rsidR="00000000" w:rsidRDefault="00000000">
            <w:pPr>
              <w:jc w:val="right"/>
              <w:rPr>
                <w:sz w:val="22"/>
              </w:rPr>
            </w:pPr>
          </w:p>
        </w:tc>
        <w:tc>
          <w:tcPr>
            <w:tcW w:w="1143" w:type="dxa"/>
          </w:tcPr>
          <w:p w:rsidR="00000000" w:rsidRDefault="00000000">
            <w:pPr>
              <w:jc w:val="right"/>
              <w:rPr>
                <w:sz w:val="22"/>
              </w:rPr>
            </w:pPr>
          </w:p>
        </w:tc>
        <w:tc>
          <w:tcPr>
            <w:tcW w:w="1314" w:type="dxa"/>
          </w:tcPr>
          <w:p w:rsidR="00000000" w:rsidRDefault="00000000">
            <w:pPr>
              <w:ind w:right="567"/>
              <w:jc w:val="right"/>
              <w:rPr>
                <w:sz w:val="22"/>
              </w:rPr>
            </w:pPr>
            <w:r>
              <w:rPr>
                <w:sz w:val="22"/>
              </w:rPr>
              <w:t>130</w:t>
            </w:r>
          </w:p>
        </w:tc>
        <w:tc>
          <w:tcPr>
            <w:tcW w:w="1161" w:type="dxa"/>
          </w:tcPr>
          <w:p w:rsidR="00000000" w:rsidRDefault="00000000">
            <w:pPr>
              <w:ind w:right="567"/>
              <w:jc w:val="right"/>
              <w:rPr>
                <w:sz w:val="22"/>
              </w:rPr>
            </w:pPr>
          </w:p>
        </w:tc>
      </w:tr>
      <w:tr w:rsidR="00000000">
        <w:tblPrEx>
          <w:tblCellMar>
            <w:top w:w="0" w:type="dxa"/>
            <w:bottom w:w="0" w:type="dxa"/>
          </w:tblCellMar>
        </w:tblPrEx>
        <w:tc>
          <w:tcPr>
            <w:tcW w:w="1967" w:type="dxa"/>
          </w:tcPr>
          <w:p w:rsidR="00000000" w:rsidRDefault="00000000">
            <w:pPr>
              <w:jc w:val="both"/>
              <w:rPr>
                <w:sz w:val="22"/>
              </w:rPr>
            </w:pPr>
            <w:r>
              <w:rPr>
                <w:sz w:val="22"/>
              </w:rPr>
              <w:t>Conseiller sportif</w:t>
            </w:r>
          </w:p>
        </w:tc>
        <w:tc>
          <w:tcPr>
            <w:tcW w:w="1057" w:type="dxa"/>
          </w:tcPr>
          <w:p w:rsidR="00000000" w:rsidRDefault="00000000">
            <w:pPr>
              <w:jc w:val="center"/>
              <w:rPr>
                <w:sz w:val="22"/>
              </w:rPr>
            </w:pPr>
            <w:r>
              <w:rPr>
                <w:sz w:val="22"/>
              </w:rPr>
              <w:t>AII</w:t>
            </w:r>
          </w:p>
        </w:tc>
        <w:tc>
          <w:tcPr>
            <w:tcW w:w="786" w:type="dxa"/>
          </w:tcPr>
          <w:p w:rsidR="00000000" w:rsidRDefault="00000000">
            <w:pPr>
              <w:jc w:val="right"/>
              <w:rPr>
                <w:sz w:val="22"/>
              </w:rPr>
            </w:pPr>
            <w:r>
              <w:rPr>
                <w:sz w:val="22"/>
              </w:rPr>
              <w:t>113</w:t>
            </w:r>
          </w:p>
        </w:tc>
        <w:tc>
          <w:tcPr>
            <w:tcW w:w="708" w:type="dxa"/>
          </w:tcPr>
          <w:p w:rsidR="00000000" w:rsidRDefault="00000000">
            <w:pPr>
              <w:jc w:val="right"/>
              <w:rPr>
                <w:sz w:val="22"/>
              </w:rPr>
            </w:pPr>
            <w:r>
              <w:rPr>
                <w:sz w:val="22"/>
              </w:rPr>
              <w:t>107</w:t>
            </w:r>
          </w:p>
        </w:tc>
        <w:tc>
          <w:tcPr>
            <w:tcW w:w="567" w:type="dxa"/>
          </w:tcPr>
          <w:p w:rsidR="00000000" w:rsidRDefault="00000000">
            <w:pPr>
              <w:jc w:val="right"/>
              <w:rPr>
                <w:sz w:val="22"/>
              </w:rPr>
            </w:pPr>
            <w:r>
              <w:rPr>
                <w:sz w:val="22"/>
              </w:rPr>
              <w:t>6</w:t>
            </w:r>
          </w:p>
        </w:tc>
        <w:tc>
          <w:tcPr>
            <w:tcW w:w="567" w:type="dxa"/>
          </w:tcPr>
          <w:p w:rsidR="00000000" w:rsidRDefault="00000000">
            <w:pPr>
              <w:jc w:val="right"/>
              <w:rPr>
                <w:sz w:val="22"/>
              </w:rPr>
            </w:pPr>
            <w:r>
              <w:rPr>
                <w:sz w:val="22"/>
              </w:rPr>
              <w:t>-</w:t>
            </w:r>
          </w:p>
        </w:tc>
        <w:tc>
          <w:tcPr>
            <w:tcW w:w="549" w:type="dxa"/>
          </w:tcPr>
          <w:p w:rsidR="00000000" w:rsidRDefault="00000000">
            <w:pPr>
              <w:jc w:val="right"/>
              <w:rPr>
                <w:sz w:val="22"/>
              </w:rPr>
            </w:pPr>
          </w:p>
        </w:tc>
        <w:tc>
          <w:tcPr>
            <w:tcW w:w="1143" w:type="dxa"/>
          </w:tcPr>
          <w:p w:rsidR="00000000" w:rsidRDefault="00000000">
            <w:pPr>
              <w:jc w:val="right"/>
              <w:rPr>
                <w:sz w:val="22"/>
              </w:rPr>
            </w:pPr>
          </w:p>
        </w:tc>
        <w:tc>
          <w:tcPr>
            <w:tcW w:w="1314" w:type="dxa"/>
          </w:tcPr>
          <w:p w:rsidR="00000000" w:rsidRDefault="00000000">
            <w:pPr>
              <w:ind w:right="567"/>
              <w:jc w:val="right"/>
              <w:rPr>
                <w:sz w:val="22"/>
              </w:rPr>
            </w:pPr>
            <w:r>
              <w:rPr>
                <w:sz w:val="22"/>
              </w:rPr>
              <w:t>113</w:t>
            </w:r>
          </w:p>
        </w:tc>
        <w:tc>
          <w:tcPr>
            <w:tcW w:w="1161" w:type="dxa"/>
          </w:tcPr>
          <w:p w:rsidR="00000000" w:rsidRDefault="00000000">
            <w:pPr>
              <w:ind w:right="567"/>
              <w:jc w:val="right"/>
              <w:rPr>
                <w:sz w:val="22"/>
              </w:rPr>
            </w:pPr>
          </w:p>
        </w:tc>
      </w:tr>
      <w:tr w:rsidR="00000000">
        <w:tblPrEx>
          <w:tblCellMar>
            <w:top w:w="0" w:type="dxa"/>
            <w:bottom w:w="0" w:type="dxa"/>
          </w:tblCellMar>
        </w:tblPrEx>
        <w:tc>
          <w:tcPr>
            <w:tcW w:w="1967" w:type="dxa"/>
          </w:tcPr>
          <w:p w:rsidR="00000000" w:rsidRDefault="00000000">
            <w:pPr>
              <w:jc w:val="both"/>
              <w:rPr>
                <w:sz w:val="22"/>
              </w:rPr>
            </w:pPr>
            <w:r>
              <w:rPr>
                <w:sz w:val="22"/>
              </w:rPr>
              <w:t>Maître d’EPS</w:t>
            </w:r>
          </w:p>
        </w:tc>
        <w:tc>
          <w:tcPr>
            <w:tcW w:w="1057" w:type="dxa"/>
          </w:tcPr>
          <w:p w:rsidR="00000000" w:rsidRDefault="00000000">
            <w:pPr>
              <w:jc w:val="center"/>
              <w:rPr>
                <w:sz w:val="22"/>
              </w:rPr>
            </w:pPr>
            <w:r>
              <w:rPr>
                <w:sz w:val="22"/>
              </w:rPr>
              <w:t>B1</w:t>
            </w:r>
          </w:p>
        </w:tc>
        <w:tc>
          <w:tcPr>
            <w:tcW w:w="786" w:type="dxa"/>
          </w:tcPr>
          <w:p w:rsidR="00000000" w:rsidRDefault="00000000">
            <w:pPr>
              <w:jc w:val="right"/>
              <w:rPr>
                <w:sz w:val="22"/>
              </w:rPr>
            </w:pPr>
            <w:r>
              <w:rPr>
                <w:sz w:val="22"/>
              </w:rPr>
              <w:t>1.278</w:t>
            </w:r>
          </w:p>
        </w:tc>
        <w:tc>
          <w:tcPr>
            <w:tcW w:w="708" w:type="dxa"/>
          </w:tcPr>
          <w:p w:rsidR="00000000" w:rsidRDefault="00000000">
            <w:pPr>
              <w:jc w:val="right"/>
              <w:rPr>
                <w:sz w:val="22"/>
              </w:rPr>
            </w:pPr>
            <w:r>
              <w:rPr>
                <w:sz w:val="22"/>
              </w:rPr>
              <w:t>1.118</w:t>
            </w:r>
          </w:p>
        </w:tc>
        <w:tc>
          <w:tcPr>
            <w:tcW w:w="567" w:type="dxa"/>
          </w:tcPr>
          <w:p w:rsidR="00000000" w:rsidRDefault="00000000">
            <w:pPr>
              <w:jc w:val="right"/>
              <w:rPr>
                <w:sz w:val="22"/>
              </w:rPr>
            </w:pPr>
            <w:r>
              <w:rPr>
                <w:sz w:val="22"/>
              </w:rPr>
              <w:t>160</w:t>
            </w:r>
          </w:p>
        </w:tc>
        <w:tc>
          <w:tcPr>
            <w:tcW w:w="567" w:type="dxa"/>
          </w:tcPr>
          <w:p w:rsidR="00000000" w:rsidRDefault="00000000">
            <w:pPr>
              <w:jc w:val="right"/>
              <w:rPr>
                <w:sz w:val="22"/>
              </w:rPr>
            </w:pPr>
            <w:r>
              <w:rPr>
                <w:sz w:val="22"/>
              </w:rPr>
              <w:t>-</w:t>
            </w:r>
          </w:p>
        </w:tc>
        <w:tc>
          <w:tcPr>
            <w:tcW w:w="549" w:type="dxa"/>
          </w:tcPr>
          <w:p w:rsidR="00000000" w:rsidRDefault="00000000">
            <w:pPr>
              <w:jc w:val="right"/>
              <w:rPr>
                <w:sz w:val="22"/>
              </w:rPr>
            </w:pPr>
          </w:p>
        </w:tc>
        <w:tc>
          <w:tcPr>
            <w:tcW w:w="1143" w:type="dxa"/>
          </w:tcPr>
          <w:p w:rsidR="00000000" w:rsidRDefault="00000000">
            <w:pPr>
              <w:jc w:val="right"/>
              <w:rPr>
                <w:sz w:val="22"/>
              </w:rPr>
            </w:pPr>
          </w:p>
        </w:tc>
        <w:tc>
          <w:tcPr>
            <w:tcW w:w="1314" w:type="dxa"/>
          </w:tcPr>
          <w:p w:rsidR="00000000" w:rsidRDefault="00000000">
            <w:pPr>
              <w:ind w:right="567"/>
              <w:jc w:val="right"/>
              <w:rPr>
                <w:sz w:val="22"/>
              </w:rPr>
            </w:pPr>
            <w:r>
              <w:rPr>
                <w:sz w:val="22"/>
              </w:rPr>
              <w:t>1.258</w:t>
            </w:r>
          </w:p>
        </w:tc>
        <w:tc>
          <w:tcPr>
            <w:tcW w:w="1161" w:type="dxa"/>
          </w:tcPr>
          <w:p w:rsidR="00000000" w:rsidRDefault="00000000">
            <w:pPr>
              <w:ind w:right="567"/>
              <w:jc w:val="right"/>
              <w:rPr>
                <w:sz w:val="22"/>
              </w:rPr>
            </w:pPr>
          </w:p>
        </w:tc>
      </w:tr>
      <w:tr w:rsidR="00000000">
        <w:tblPrEx>
          <w:tblCellMar>
            <w:top w:w="0" w:type="dxa"/>
            <w:bottom w:w="0" w:type="dxa"/>
          </w:tblCellMar>
        </w:tblPrEx>
        <w:tc>
          <w:tcPr>
            <w:tcW w:w="1967" w:type="dxa"/>
          </w:tcPr>
          <w:p w:rsidR="00000000" w:rsidRDefault="00000000">
            <w:pPr>
              <w:rPr>
                <w:sz w:val="22"/>
              </w:rPr>
            </w:pPr>
            <w:r>
              <w:rPr>
                <w:sz w:val="22"/>
              </w:rPr>
              <w:t>Maître adjoint d’EPS</w:t>
            </w:r>
          </w:p>
        </w:tc>
        <w:tc>
          <w:tcPr>
            <w:tcW w:w="1057" w:type="dxa"/>
          </w:tcPr>
          <w:p w:rsidR="00000000" w:rsidRDefault="00000000">
            <w:pPr>
              <w:jc w:val="center"/>
              <w:rPr>
                <w:sz w:val="22"/>
              </w:rPr>
            </w:pPr>
            <w:r>
              <w:rPr>
                <w:sz w:val="22"/>
              </w:rPr>
              <w:t>C1</w:t>
            </w:r>
          </w:p>
        </w:tc>
        <w:tc>
          <w:tcPr>
            <w:tcW w:w="786" w:type="dxa"/>
          </w:tcPr>
          <w:p w:rsidR="00000000" w:rsidRDefault="00000000">
            <w:pPr>
              <w:jc w:val="right"/>
              <w:rPr>
                <w:sz w:val="22"/>
              </w:rPr>
            </w:pPr>
            <w:r>
              <w:rPr>
                <w:sz w:val="22"/>
              </w:rPr>
              <w:t>45</w:t>
            </w:r>
          </w:p>
        </w:tc>
        <w:tc>
          <w:tcPr>
            <w:tcW w:w="708" w:type="dxa"/>
          </w:tcPr>
          <w:p w:rsidR="00000000" w:rsidRDefault="00000000">
            <w:pPr>
              <w:jc w:val="right"/>
              <w:rPr>
                <w:sz w:val="22"/>
              </w:rPr>
            </w:pPr>
            <w:r>
              <w:rPr>
                <w:sz w:val="22"/>
              </w:rPr>
              <w:t>43</w:t>
            </w:r>
          </w:p>
        </w:tc>
        <w:tc>
          <w:tcPr>
            <w:tcW w:w="567" w:type="dxa"/>
          </w:tcPr>
          <w:p w:rsidR="00000000" w:rsidRDefault="00000000">
            <w:pPr>
              <w:jc w:val="right"/>
              <w:rPr>
                <w:sz w:val="22"/>
              </w:rPr>
            </w:pPr>
            <w:r>
              <w:rPr>
                <w:sz w:val="22"/>
              </w:rPr>
              <w:t>2</w:t>
            </w:r>
          </w:p>
        </w:tc>
        <w:tc>
          <w:tcPr>
            <w:tcW w:w="567" w:type="dxa"/>
          </w:tcPr>
          <w:p w:rsidR="00000000" w:rsidRDefault="00000000">
            <w:pPr>
              <w:jc w:val="right"/>
              <w:rPr>
                <w:sz w:val="22"/>
              </w:rPr>
            </w:pPr>
            <w:r>
              <w:rPr>
                <w:sz w:val="22"/>
              </w:rPr>
              <w:t>-</w:t>
            </w:r>
          </w:p>
        </w:tc>
        <w:tc>
          <w:tcPr>
            <w:tcW w:w="549" w:type="dxa"/>
          </w:tcPr>
          <w:p w:rsidR="00000000" w:rsidRDefault="00000000">
            <w:pPr>
              <w:jc w:val="right"/>
              <w:rPr>
                <w:sz w:val="22"/>
              </w:rPr>
            </w:pPr>
          </w:p>
        </w:tc>
        <w:tc>
          <w:tcPr>
            <w:tcW w:w="1143" w:type="dxa"/>
          </w:tcPr>
          <w:p w:rsidR="00000000" w:rsidRDefault="00000000">
            <w:pPr>
              <w:jc w:val="right"/>
              <w:rPr>
                <w:sz w:val="22"/>
              </w:rPr>
            </w:pPr>
          </w:p>
        </w:tc>
        <w:tc>
          <w:tcPr>
            <w:tcW w:w="1314" w:type="dxa"/>
          </w:tcPr>
          <w:p w:rsidR="00000000" w:rsidRDefault="00000000">
            <w:pPr>
              <w:ind w:right="567"/>
              <w:jc w:val="right"/>
              <w:rPr>
                <w:sz w:val="22"/>
              </w:rPr>
            </w:pPr>
            <w:r>
              <w:rPr>
                <w:sz w:val="22"/>
              </w:rPr>
              <w:t>45</w:t>
            </w:r>
          </w:p>
        </w:tc>
        <w:tc>
          <w:tcPr>
            <w:tcW w:w="1161" w:type="dxa"/>
          </w:tcPr>
          <w:p w:rsidR="00000000" w:rsidRDefault="00000000">
            <w:pPr>
              <w:ind w:right="567"/>
              <w:jc w:val="right"/>
              <w:rPr>
                <w:sz w:val="22"/>
              </w:rPr>
            </w:pPr>
            <w:r>
              <w:rPr>
                <w:sz w:val="22"/>
              </w:rPr>
              <w:t>20</w:t>
            </w:r>
          </w:p>
        </w:tc>
      </w:tr>
      <w:tr w:rsidR="00000000">
        <w:tblPrEx>
          <w:tblCellMar>
            <w:top w:w="0" w:type="dxa"/>
            <w:bottom w:w="0" w:type="dxa"/>
          </w:tblCellMar>
        </w:tblPrEx>
        <w:tc>
          <w:tcPr>
            <w:tcW w:w="1967" w:type="dxa"/>
          </w:tcPr>
          <w:p w:rsidR="00000000" w:rsidRDefault="00000000">
            <w:pPr>
              <w:jc w:val="both"/>
              <w:rPr>
                <w:sz w:val="22"/>
              </w:rPr>
            </w:pPr>
            <w:r>
              <w:rPr>
                <w:sz w:val="22"/>
              </w:rPr>
              <w:t>Moniteur d’EPS</w:t>
            </w:r>
          </w:p>
        </w:tc>
        <w:tc>
          <w:tcPr>
            <w:tcW w:w="1057" w:type="dxa"/>
          </w:tcPr>
          <w:p w:rsidR="00000000" w:rsidRDefault="00000000">
            <w:pPr>
              <w:jc w:val="center"/>
              <w:rPr>
                <w:sz w:val="22"/>
              </w:rPr>
            </w:pPr>
            <w:r>
              <w:rPr>
                <w:sz w:val="22"/>
              </w:rPr>
              <w:t>D1</w:t>
            </w:r>
          </w:p>
        </w:tc>
        <w:tc>
          <w:tcPr>
            <w:tcW w:w="786" w:type="dxa"/>
          </w:tcPr>
          <w:p w:rsidR="00000000" w:rsidRDefault="00000000">
            <w:pPr>
              <w:jc w:val="right"/>
              <w:rPr>
                <w:sz w:val="22"/>
              </w:rPr>
            </w:pPr>
            <w:r>
              <w:rPr>
                <w:sz w:val="22"/>
              </w:rPr>
              <w:t>5</w:t>
            </w:r>
          </w:p>
        </w:tc>
        <w:tc>
          <w:tcPr>
            <w:tcW w:w="708" w:type="dxa"/>
          </w:tcPr>
          <w:p w:rsidR="00000000" w:rsidRDefault="00000000">
            <w:pPr>
              <w:jc w:val="right"/>
              <w:rPr>
                <w:sz w:val="22"/>
              </w:rPr>
            </w:pPr>
            <w:r>
              <w:rPr>
                <w:sz w:val="22"/>
              </w:rPr>
              <w:t>4</w:t>
            </w:r>
          </w:p>
        </w:tc>
        <w:tc>
          <w:tcPr>
            <w:tcW w:w="567" w:type="dxa"/>
          </w:tcPr>
          <w:p w:rsidR="00000000" w:rsidRDefault="00000000">
            <w:pPr>
              <w:jc w:val="right"/>
              <w:rPr>
                <w:sz w:val="22"/>
              </w:rPr>
            </w:pPr>
            <w:r>
              <w:rPr>
                <w:sz w:val="22"/>
              </w:rPr>
              <w:t>1</w:t>
            </w:r>
          </w:p>
        </w:tc>
        <w:tc>
          <w:tcPr>
            <w:tcW w:w="567" w:type="dxa"/>
          </w:tcPr>
          <w:p w:rsidR="00000000" w:rsidRDefault="00000000">
            <w:pPr>
              <w:jc w:val="right"/>
              <w:rPr>
                <w:b/>
                <w:sz w:val="22"/>
              </w:rPr>
            </w:pPr>
            <w:r>
              <w:rPr>
                <w:b/>
                <w:sz w:val="22"/>
              </w:rPr>
              <w:t>-</w:t>
            </w:r>
          </w:p>
        </w:tc>
        <w:tc>
          <w:tcPr>
            <w:tcW w:w="549" w:type="dxa"/>
          </w:tcPr>
          <w:p w:rsidR="00000000" w:rsidRDefault="00000000">
            <w:pPr>
              <w:jc w:val="right"/>
              <w:rPr>
                <w:b/>
                <w:sz w:val="22"/>
              </w:rPr>
            </w:pPr>
          </w:p>
        </w:tc>
        <w:tc>
          <w:tcPr>
            <w:tcW w:w="1143" w:type="dxa"/>
          </w:tcPr>
          <w:p w:rsidR="00000000" w:rsidRDefault="00000000">
            <w:pPr>
              <w:jc w:val="right"/>
              <w:rPr>
                <w:b/>
                <w:sz w:val="22"/>
              </w:rPr>
            </w:pPr>
          </w:p>
        </w:tc>
        <w:tc>
          <w:tcPr>
            <w:tcW w:w="1314" w:type="dxa"/>
          </w:tcPr>
          <w:p w:rsidR="00000000" w:rsidRDefault="00000000">
            <w:pPr>
              <w:ind w:right="567"/>
              <w:jc w:val="right"/>
              <w:rPr>
                <w:b/>
                <w:sz w:val="22"/>
              </w:rPr>
            </w:pPr>
            <w:r>
              <w:rPr>
                <w:b/>
                <w:sz w:val="22"/>
              </w:rPr>
              <w:t>-</w:t>
            </w:r>
          </w:p>
        </w:tc>
        <w:tc>
          <w:tcPr>
            <w:tcW w:w="1161" w:type="dxa"/>
          </w:tcPr>
          <w:p w:rsidR="00000000" w:rsidRDefault="00000000">
            <w:pPr>
              <w:ind w:right="567"/>
              <w:jc w:val="right"/>
              <w:rPr>
                <w:sz w:val="22"/>
              </w:rPr>
            </w:pPr>
            <w:r>
              <w:rPr>
                <w:sz w:val="22"/>
              </w:rPr>
              <w:t>5</w:t>
            </w:r>
          </w:p>
        </w:tc>
      </w:tr>
      <w:tr w:rsidR="00000000">
        <w:tblPrEx>
          <w:tblCellMar>
            <w:top w:w="0" w:type="dxa"/>
            <w:bottom w:w="0" w:type="dxa"/>
          </w:tblCellMar>
        </w:tblPrEx>
        <w:tc>
          <w:tcPr>
            <w:tcW w:w="1967" w:type="dxa"/>
          </w:tcPr>
          <w:p w:rsidR="00000000" w:rsidRDefault="00000000">
            <w:pPr>
              <w:jc w:val="both"/>
              <w:rPr>
                <w:sz w:val="22"/>
              </w:rPr>
            </w:pPr>
            <w:r>
              <w:rPr>
                <w:sz w:val="22"/>
              </w:rPr>
              <w:t>Total</w:t>
            </w:r>
          </w:p>
        </w:tc>
        <w:tc>
          <w:tcPr>
            <w:tcW w:w="1057" w:type="dxa"/>
          </w:tcPr>
          <w:p w:rsidR="00000000" w:rsidRDefault="00000000">
            <w:pPr>
              <w:jc w:val="center"/>
              <w:rPr>
                <w:sz w:val="22"/>
              </w:rPr>
            </w:pPr>
          </w:p>
        </w:tc>
        <w:tc>
          <w:tcPr>
            <w:tcW w:w="786" w:type="dxa"/>
          </w:tcPr>
          <w:p w:rsidR="00000000" w:rsidRDefault="00000000">
            <w:pPr>
              <w:jc w:val="right"/>
              <w:rPr>
                <w:b/>
                <w:sz w:val="22"/>
              </w:rPr>
            </w:pPr>
            <w:r>
              <w:rPr>
                <w:b/>
                <w:sz w:val="22"/>
              </w:rPr>
              <w:t>2.093</w:t>
            </w:r>
          </w:p>
        </w:tc>
        <w:tc>
          <w:tcPr>
            <w:tcW w:w="708" w:type="dxa"/>
          </w:tcPr>
          <w:p w:rsidR="00000000" w:rsidRDefault="00000000">
            <w:pPr>
              <w:jc w:val="right"/>
              <w:rPr>
                <w:b/>
                <w:sz w:val="22"/>
              </w:rPr>
            </w:pPr>
            <w:r>
              <w:rPr>
                <w:b/>
                <w:sz w:val="22"/>
              </w:rPr>
              <w:t>1.908</w:t>
            </w:r>
          </w:p>
        </w:tc>
        <w:tc>
          <w:tcPr>
            <w:tcW w:w="567" w:type="dxa"/>
          </w:tcPr>
          <w:p w:rsidR="00000000" w:rsidRDefault="00000000">
            <w:pPr>
              <w:jc w:val="right"/>
              <w:rPr>
                <w:b/>
                <w:sz w:val="22"/>
              </w:rPr>
            </w:pPr>
            <w:r>
              <w:rPr>
                <w:b/>
                <w:sz w:val="22"/>
              </w:rPr>
              <w:t>185</w:t>
            </w:r>
          </w:p>
        </w:tc>
        <w:tc>
          <w:tcPr>
            <w:tcW w:w="567" w:type="dxa"/>
          </w:tcPr>
          <w:p w:rsidR="00000000" w:rsidRDefault="00000000">
            <w:pPr>
              <w:jc w:val="right"/>
              <w:rPr>
                <w:b/>
                <w:sz w:val="22"/>
              </w:rPr>
            </w:pPr>
            <w:r>
              <w:rPr>
                <w:b/>
                <w:sz w:val="22"/>
              </w:rPr>
              <w:t>32</w:t>
            </w:r>
          </w:p>
        </w:tc>
        <w:tc>
          <w:tcPr>
            <w:tcW w:w="549" w:type="dxa"/>
          </w:tcPr>
          <w:p w:rsidR="00000000" w:rsidRDefault="00000000">
            <w:pPr>
              <w:jc w:val="right"/>
              <w:rPr>
                <w:b/>
                <w:sz w:val="22"/>
              </w:rPr>
            </w:pPr>
          </w:p>
        </w:tc>
        <w:tc>
          <w:tcPr>
            <w:tcW w:w="1143" w:type="dxa"/>
          </w:tcPr>
          <w:p w:rsidR="00000000" w:rsidRDefault="00000000">
            <w:pPr>
              <w:jc w:val="right"/>
              <w:rPr>
                <w:b/>
                <w:sz w:val="22"/>
              </w:rPr>
            </w:pPr>
          </w:p>
        </w:tc>
        <w:tc>
          <w:tcPr>
            <w:tcW w:w="1314" w:type="dxa"/>
          </w:tcPr>
          <w:p w:rsidR="00000000" w:rsidRDefault="00000000">
            <w:pPr>
              <w:ind w:right="567"/>
              <w:jc w:val="right"/>
              <w:rPr>
                <w:b/>
                <w:sz w:val="22"/>
              </w:rPr>
            </w:pPr>
            <w:r>
              <w:rPr>
                <w:b/>
                <w:sz w:val="22"/>
              </w:rPr>
              <w:t>2.067</w:t>
            </w:r>
          </w:p>
        </w:tc>
        <w:tc>
          <w:tcPr>
            <w:tcW w:w="1161" w:type="dxa"/>
          </w:tcPr>
          <w:p w:rsidR="00000000" w:rsidRDefault="00000000">
            <w:pPr>
              <w:ind w:right="567"/>
              <w:jc w:val="right"/>
              <w:rPr>
                <w:b/>
                <w:sz w:val="22"/>
              </w:rPr>
            </w:pPr>
            <w:r>
              <w:rPr>
                <w:b/>
                <w:sz w:val="22"/>
              </w:rPr>
              <w:t>26</w:t>
            </w:r>
          </w:p>
        </w:tc>
      </w:tr>
    </w:tbl>
    <w:p w:rsidR="00000000" w:rsidRDefault="00000000">
      <w:pPr>
        <w:spacing w:line="120" w:lineRule="exact"/>
        <w:jc w:val="both"/>
        <w:rPr>
          <w:i/>
          <w:sz w:val="10"/>
          <w:u w:val="single"/>
        </w:rPr>
      </w:pPr>
    </w:p>
    <w:p w:rsidR="00000000" w:rsidRDefault="00000000">
      <w:pPr>
        <w:jc w:val="both"/>
        <w:rPr>
          <w:i/>
          <w:sz w:val="22"/>
        </w:rPr>
      </w:pPr>
      <w:r>
        <w:rPr>
          <w:i/>
          <w:sz w:val="22"/>
          <w:u w:val="single"/>
        </w:rPr>
        <w:t>Source</w:t>
      </w:r>
      <w:r>
        <w:rPr>
          <w:i/>
          <w:sz w:val="22"/>
        </w:rPr>
        <w:t> :Service du personnel de la direction générale des sports (DGS), 1993-1994).</w:t>
      </w:r>
    </w:p>
    <w:p w:rsidR="00000000" w:rsidRDefault="00000000">
      <w:pPr>
        <w:jc w:val="both"/>
        <w:rPr>
          <w:sz w:val="22"/>
        </w:rPr>
      </w:pPr>
    </w:p>
    <w:p w:rsidR="00000000" w:rsidRDefault="00000000">
      <w:pPr>
        <w:jc w:val="both"/>
        <w:rPr>
          <w:b/>
          <w:sz w:val="22"/>
        </w:rPr>
      </w:pPr>
      <w:r>
        <w:rPr>
          <w:b/>
          <w:sz w:val="22"/>
          <w:u w:val="single"/>
        </w:rPr>
        <w:t>Tableau n° 69</w:t>
      </w:r>
      <w:r>
        <w:rPr>
          <w:b/>
          <w:sz w:val="22"/>
        </w:rPr>
        <w:t> : Les effectifs des enseignants d’EPS dans les établissements</w:t>
      </w:r>
    </w:p>
    <w:p w:rsidR="00000000" w:rsidRDefault="00000000">
      <w:pPr>
        <w:jc w:val="both"/>
        <w:rPr>
          <w:sz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23"/>
        <w:gridCol w:w="2889"/>
        <w:gridCol w:w="2889"/>
      </w:tblGrid>
      <w:tr w:rsidR="00000000">
        <w:tblPrEx>
          <w:tblCellMar>
            <w:top w:w="0" w:type="dxa"/>
            <w:bottom w:w="0" w:type="dxa"/>
          </w:tblCellMar>
        </w:tblPrEx>
        <w:tc>
          <w:tcPr>
            <w:tcW w:w="4023" w:type="dxa"/>
          </w:tcPr>
          <w:p w:rsidR="00000000" w:rsidRDefault="00000000">
            <w:pPr>
              <w:jc w:val="center"/>
              <w:rPr>
                <w:sz w:val="22"/>
              </w:rPr>
            </w:pPr>
            <w:r>
              <w:rPr>
                <w:sz w:val="22"/>
              </w:rPr>
              <w:t>Etablissements scolaires</w:t>
            </w:r>
          </w:p>
        </w:tc>
        <w:tc>
          <w:tcPr>
            <w:tcW w:w="2889" w:type="dxa"/>
          </w:tcPr>
          <w:p w:rsidR="00000000" w:rsidRDefault="00000000">
            <w:pPr>
              <w:jc w:val="center"/>
              <w:rPr>
                <w:sz w:val="22"/>
              </w:rPr>
            </w:pPr>
            <w:r>
              <w:rPr>
                <w:sz w:val="22"/>
              </w:rPr>
              <w:t>Enseignants d’EPS</w:t>
            </w:r>
          </w:p>
        </w:tc>
        <w:tc>
          <w:tcPr>
            <w:tcW w:w="2889" w:type="dxa"/>
          </w:tcPr>
          <w:p w:rsidR="00000000" w:rsidRDefault="00000000">
            <w:pPr>
              <w:jc w:val="center"/>
              <w:rPr>
                <w:sz w:val="22"/>
              </w:rPr>
            </w:pPr>
            <w:r>
              <w:rPr>
                <w:sz w:val="22"/>
              </w:rPr>
              <w:t>Total des enseignants</w:t>
            </w:r>
          </w:p>
        </w:tc>
      </w:tr>
      <w:tr w:rsidR="00000000">
        <w:tblPrEx>
          <w:tblCellMar>
            <w:top w:w="0" w:type="dxa"/>
            <w:bottom w:w="0" w:type="dxa"/>
          </w:tblCellMar>
        </w:tblPrEx>
        <w:tc>
          <w:tcPr>
            <w:tcW w:w="4023" w:type="dxa"/>
          </w:tcPr>
          <w:p w:rsidR="00000000" w:rsidRDefault="00000000">
            <w:pPr>
              <w:jc w:val="both"/>
              <w:rPr>
                <w:sz w:val="22"/>
              </w:rPr>
            </w:pPr>
            <w:r>
              <w:rPr>
                <w:sz w:val="22"/>
              </w:rPr>
              <w:t>Lycée d’enseignement général</w:t>
            </w:r>
          </w:p>
        </w:tc>
        <w:tc>
          <w:tcPr>
            <w:tcW w:w="2889" w:type="dxa"/>
          </w:tcPr>
          <w:p w:rsidR="00000000" w:rsidRDefault="00000000">
            <w:pPr>
              <w:ind w:right="851"/>
              <w:jc w:val="right"/>
              <w:rPr>
                <w:sz w:val="22"/>
              </w:rPr>
            </w:pPr>
            <w:r>
              <w:rPr>
                <w:sz w:val="22"/>
              </w:rPr>
              <w:t>135</w:t>
            </w:r>
          </w:p>
        </w:tc>
        <w:tc>
          <w:tcPr>
            <w:tcW w:w="2889" w:type="dxa"/>
          </w:tcPr>
          <w:p w:rsidR="00000000" w:rsidRDefault="00000000">
            <w:pPr>
              <w:ind w:right="851"/>
              <w:jc w:val="right"/>
              <w:rPr>
                <w:sz w:val="22"/>
              </w:rPr>
            </w:pPr>
            <w:r>
              <w:rPr>
                <w:sz w:val="22"/>
              </w:rPr>
              <w:t>1.825</w:t>
            </w:r>
          </w:p>
        </w:tc>
      </w:tr>
      <w:tr w:rsidR="00000000">
        <w:tblPrEx>
          <w:tblCellMar>
            <w:top w:w="0" w:type="dxa"/>
            <w:bottom w:w="0" w:type="dxa"/>
          </w:tblCellMar>
        </w:tblPrEx>
        <w:tc>
          <w:tcPr>
            <w:tcW w:w="4023" w:type="dxa"/>
          </w:tcPr>
          <w:p w:rsidR="00000000" w:rsidRDefault="00000000">
            <w:pPr>
              <w:jc w:val="both"/>
              <w:rPr>
                <w:sz w:val="22"/>
              </w:rPr>
            </w:pPr>
            <w:r>
              <w:rPr>
                <w:sz w:val="22"/>
              </w:rPr>
              <w:t>Collège d’enseignement général</w:t>
            </w:r>
          </w:p>
        </w:tc>
        <w:tc>
          <w:tcPr>
            <w:tcW w:w="2889" w:type="dxa"/>
          </w:tcPr>
          <w:p w:rsidR="00000000" w:rsidRDefault="00000000">
            <w:pPr>
              <w:ind w:right="851"/>
              <w:jc w:val="right"/>
              <w:rPr>
                <w:sz w:val="22"/>
              </w:rPr>
            </w:pPr>
            <w:r>
              <w:rPr>
                <w:sz w:val="22"/>
              </w:rPr>
              <w:t>38</w:t>
            </w:r>
          </w:p>
        </w:tc>
        <w:tc>
          <w:tcPr>
            <w:tcW w:w="2889" w:type="dxa"/>
          </w:tcPr>
          <w:p w:rsidR="00000000" w:rsidRDefault="00000000">
            <w:pPr>
              <w:ind w:right="851"/>
              <w:jc w:val="right"/>
              <w:rPr>
                <w:sz w:val="22"/>
              </w:rPr>
            </w:pPr>
            <w:r>
              <w:rPr>
                <w:sz w:val="22"/>
              </w:rPr>
              <w:t>3.864</w:t>
            </w:r>
          </w:p>
        </w:tc>
      </w:tr>
      <w:tr w:rsidR="00000000">
        <w:tblPrEx>
          <w:tblCellMar>
            <w:top w:w="0" w:type="dxa"/>
            <w:bottom w:w="0" w:type="dxa"/>
          </w:tblCellMar>
        </w:tblPrEx>
        <w:tc>
          <w:tcPr>
            <w:tcW w:w="4023" w:type="dxa"/>
          </w:tcPr>
          <w:p w:rsidR="00000000" w:rsidRDefault="00000000">
            <w:pPr>
              <w:jc w:val="both"/>
              <w:rPr>
                <w:sz w:val="22"/>
              </w:rPr>
            </w:pPr>
            <w:r>
              <w:rPr>
                <w:sz w:val="22"/>
              </w:rPr>
              <w:t>Centre de métier</w:t>
            </w:r>
          </w:p>
        </w:tc>
        <w:tc>
          <w:tcPr>
            <w:tcW w:w="2889" w:type="dxa"/>
          </w:tcPr>
          <w:p w:rsidR="00000000" w:rsidRDefault="00000000">
            <w:pPr>
              <w:ind w:right="851"/>
              <w:jc w:val="right"/>
              <w:rPr>
                <w:sz w:val="22"/>
              </w:rPr>
            </w:pPr>
            <w:r>
              <w:rPr>
                <w:sz w:val="22"/>
              </w:rPr>
              <w:t>18</w:t>
            </w:r>
          </w:p>
        </w:tc>
        <w:tc>
          <w:tcPr>
            <w:tcW w:w="2889" w:type="dxa"/>
          </w:tcPr>
          <w:p w:rsidR="00000000" w:rsidRDefault="00000000">
            <w:pPr>
              <w:ind w:right="851"/>
              <w:jc w:val="right"/>
              <w:rPr>
                <w:sz w:val="22"/>
              </w:rPr>
            </w:pPr>
            <w:r>
              <w:rPr>
                <w:sz w:val="22"/>
              </w:rPr>
              <w:t>234</w:t>
            </w:r>
          </w:p>
        </w:tc>
      </w:tr>
      <w:tr w:rsidR="00000000">
        <w:tblPrEx>
          <w:tblCellMar>
            <w:top w:w="0" w:type="dxa"/>
            <w:bottom w:w="0" w:type="dxa"/>
          </w:tblCellMar>
        </w:tblPrEx>
        <w:tc>
          <w:tcPr>
            <w:tcW w:w="4023" w:type="dxa"/>
          </w:tcPr>
          <w:p w:rsidR="00000000" w:rsidRDefault="00000000">
            <w:pPr>
              <w:jc w:val="both"/>
              <w:rPr>
                <w:sz w:val="22"/>
              </w:rPr>
            </w:pPr>
            <w:r>
              <w:rPr>
                <w:sz w:val="22"/>
              </w:rPr>
              <w:t>Centre de formation professionnelle</w:t>
            </w:r>
          </w:p>
        </w:tc>
        <w:tc>
          <w:tcPr>
            <w:tcW w:w="2889" w:type="dxa"/>
          </w:tcPr>
          <w:p w:rsidR="00000000" w:rsidRDefault="00000000">
            <w:pPr>
              <w:ind w:right="851"/>
              <w:jc w:val="right"/>
              <w:rPr>
                <w:sz w:val="22"/>
              </w:rPr>
            </w:pPr>
            <w:r>
              <w:rPr>
                <w:sz w:val="22"/>
              </w:rPr>
              <w:t>53</w:t>
            </w:r>
          </w:p>
        </w:tc>
        <w:tc>
          <w:tcPr>
            <w:tcW w:w="2889" w:type="dxa"/>
          </w:tcPr>
          <w:p w:rsidR="00000000" w:rsidRDefault="00000000">
            <w:pPr>
              <w:ind w:right="851"/>
              <w:jc w:val="right"/>
              <w:rPr>
                <w:sz w:val="22"/>
              </w:rPr>
            </w:pPr>
            <w:r>
              <w:rPr>
                <w:sz w:val="22"/>
              </w:rPr>
              <w:t>339</w:t>
            </w:r>
          </w:p>
        </w:tc>
      </w:tr>
      <w:tr w:rsidR="00000000">
        <w:tblPrEx>
          <w:tblCellMar>
            <w:top w:w="0" w:type="dxa"/>
            <w:bottom w:w="0" w:type="dxa"/>
          </w:tblCellMar>
        </w:tblPrEx>
        <w:tc>
          <w:tcPr>
            <w:tcW w:w="4023" w:type="dxa"/>
          </w:tcPr>
          <w:p w:rsidR="00000000" w:rsidRDefault="00000000">
            <w:pPr>
              <w:jc w:val="both"/>
              <w:rPr>
                <w:sz w:val="22"/>
              </w:rPr>
            </w:pPr>
            <w:r>
              <w:rPr>
                <w:sz w:val="22"/>
              </w:rPr>
              <w:t>Collège d’enseignement technique</w:t>
            </w:r>
          </w:p>
        </w:tc>
        <w:tc>
          <w:tcPr>
            <w:tcW w:w="2889" w:type="dxa"/>
          </w:tcPr>
          <w:p w:rsidR="00000000" w:rsidRDefault="00000000">
            <w:pPr>
              <w:ind w:right="851"/>
              <w:jc w:val="right"/>
              <w:rPr>
                <w:sz w:val="22"/>
              </w:rPr>
            </w:pPr>
            <w:r>
              <w:rPr>
                <w:sz w:val="22"/>
              </w:rPr>
              <w:t>34</w:t>
            </w:r>
          </w:p>
        </w:tc>
        <w:tc>
          <w:tcPr>
            <w:tcW w:w="2889" w:type="dxa"/>
          </w:tcPr>
          <w:p w:rsidR="00000000" w:rsidRDefault="00000000">
            <w:pPr>
              <w:ind w:right="851"/>
              <w:jc w:val="right"/>
              <w:rPr>
                <w:sz w:val="22"/>
              </w:rPr>
            </w:pPr>
            <w:r>
              <w:rPr>
                <w:sz w:val="22"/>
              </w:rPr>
              <w:t>569</w:t>
            </w:r>
          </w:p>
        </w:tc>
      </w:tr>
      <w:tr w:rsidR="00000000">
        <w:tblPrEx>
          <w:tblCellMar>
            <w:top w:w="0" w:type="dxa"/>
            <w:bottom w:w="0" w:type="dxa"/>
          </w:tblCellMar>
        </w:tblPrEx>
        <w:tc>
          <w:tcPr>
            <w:tcW w:w="4023" w:type="dxa"/>
          </w:tcPr>
          <w:p w:rsidR="00000000" w:rsidRDefault="00000000">
            <w:pPr>
              <w:jc w:val="both"/>
              <w:rPr>
                <w:sz w:val="22"/>
              </w:rPr>
            </w:pPr>
            <w:r>
              <w:rPr>
                <w:sz w:val="22"/>
              </w:rPr>
              <w:t>Lycée technique</w:t>
            </w:r>
          </w:p>
        </w:tc>
        <w:tc>
          <w:tcPr>
            <w:tcW w:w="2889" w:type="dxa"/>
          </w:tcPr>
          <w:p w:rsidR="00000000" w:rsidRDefault="00000000">
            <w:pPr>
              <w:ind w:right="851"/>
              <w:jc w:val="right"/>
              <w:rPr>
                <w:sz w:val="22"/>
              </w:rPr>
            </w:pPr>
            <w:r>
              <w:rPr>
                <w:sz w:val="22"/>
              </w:rPr>
              <w:t>13</w:t>
            </w:r>
          </w:p>
        </w:tc>
        <w:tc>
          <w:tcPr>
            <w:tcW w:w="2889" w:type="dxa"/>
          </w:tcPr>
          <w:p w:rsidR="00000000" w:rsidRDefault="00000000">
            <w:pPr>
              <w:ind w:right="851"/>
              <w:jc w:val="right"/>
              <w:rPr>
                <w:sz w:val="22"/>
              </w:rPr>
            </w:pPr>
            <w:r>
              <w:rPr>
                <w:sz w:val="22"/>
              </w:rPr>
              <w:t>395</w:t>
            </w:r>
          </w:p>
        </w:tc>
      </w:tr>
      <w:tr w:rsidR="00000000">
        <w:tblPrEx>
          <w:tblCellMar>
            <w:top w:w="0" w:type="dxa"/>
            <w:bottom w:w="0" w:type="dxa"/>
          </w:tblCellMar>
        </w:tblPrEx>
        <w:tc>
          <w:tcPr>
            <w:tcW w:w="4023" w:type="dxa"/>
          </w:tcPr>
          <w:p w:rsidR="00000000" w:rsidRDefault="00000000">
            <w:pPr>
              <w:jc w:val="both"/>
              <w:rPr>
                <w:sz w:val="22"/>
              </w:rPr>
            </w:pPr>
            <w:r>
              <w:rPr>
                <w:sz w:val="22"/>
              </w:rPr>
              <w:t>Total</w:t>
            </w:r>
          </w:p>
        </w:tc>
        <w:tc>
          <w:tcPr>
            <w:tcW w:w="2889" w:type="dxa"/>
          </w:tcPr>
          <w:p w:rsidR="00000000" w:rsidRDefault="00000000">
            <w:pPr>
              <w:ind w:right="851"/>
              <w:jc w:val="right"/>
              <w:rPr>
                <w:b/>
                <w:sz w:val="22"/>
              </w:rPr>
            </w:pPr>
            <w:r>
              <w:rPr>
                <w:b/>
                <w:sz w:val="22"/>
              </w:rPr>
              <w:t>639</w:t>
            </w:r>
          </w:p>
        </w:tc>
        <w:tc>
          <w:tcPr>
            <w:tcW w:w="2889" w:type="dxa"/>
          </w:tcPr>
          <w:p w:rsidR="00000000" w:rsidRDefault="00000000">
            <w:pPr>
              <w:ind w:right="851"/>
              <w:jc w:val="right"/>
              <w:rPr>
                <w:b/>
                <w:sz w:val="22"/>
              </w:rPr>
            </w:pPr>
            <w:r>
              <w:rPr>
                <w:b/>
                <w:sz w:val="22"/>
              </w:rPr>
              <w:t>7.226</w:t>
            </w:r>
          </w:p>
        </w:tc>
      </w:tr>
    </w:tbl>
    <w:p w:rsidR="00000000" w:rsidRDefault="00000000">
      <w:pPr>
        <w:spacing w:line="120" w:lineRule="exact"/>
        <w:jc w:val="both"/>
        <w:rPr>
          <w:sz w:val="10"/>
        </w:rPr>
      </w:pPr>
    </w:p>
    <w:p w:rsidR="00000000" w:rsidRDefault="00000000">
      <w:pPr>
        <w:jc w:val="both"/>
        <w:rPr>
          <w:i/>
          <w:sz w:val="22"/>
        </w:rPr>
      </w:pPr>
      <w:r>
        <w:rPr>
          <w:i/>
          <w:sz w:val="22"/>
          <w:u w:val="single"/>
        </w:rPr>
        <w:t>Source</w:t>
      </w:r>
      <w:r>
        <w:rPr>
          <w:i/>
          <w:sz w:val="22"/>
        </w:rPr>
        <w:t> : Service des statistiques et planification du ministère de l’enseignement, 1991-1992.</w:t>
      </w:r>
    </w:p>
    <w:p w:rsidR="00000000" w:rsidRDefault="00000000">
      <w:pPr>
        <w:jc w:val="both"/>
        <w:rPr>
          <w:sz w:val="22"/>
        </w:rPr>
      </w:pPr>
    </w:p>
    <w:p w:rsidR="00000000" w:rsidRDefault="00000000">
      <w:pPr>
        <w:tabs>
          <w:tab w:val="left" w:pos="1680"/>
        </w:tabs>
        <w:ind w:left="1680" w:hanging="1680"/>
        <w:rPr>
          <w:b/>
          <w:sz w:val="22"/>
        </w:rPr>
      </w:pPr>
      <w:r>
        <w:rPr>
          <w:b/>
          <w:sz w:val="22"/>
          <w:u w:val="single"/>
        </w:rPr>
        <w:t>Tableau n° 70</w:t>
      </w:r>
      <w:r>
        <w:rPr>
          <w:b/>
          <w:sz w:val="22"/>
        </w:rPr>
        <w:t> :</w:t>
      </w:r>
      <w:r>
        <w:rPr>
          <w:b/>
          <w:sz w:val="22"/>
        </w:rPr>
        <w:tab/>
        <w:t>résultats des examens de l’année 1994-1995 à l’Institut supérieur de l’éducation physique et sportive</w:t>
      </w:r>
    </w:p>
    <w:p w:rsidR="00000000" w:rsidRDefault="00000000">
      <w:pPr>
        <w:jc w:val="both"/>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98"/>
        <w:gridCol w:w="1091"/>
        <w:gridCol w:w="1091"/>
        <w:gridCol w:w="1091"/>
        <w:gridCol w:w="1092"/>
        <w:gridCol w:w="1402"/>
        <w:gridCol w:w="1154"/>
      </w:tblGrid>
      <w:tr w:rsidR="00000000">
        <w:tblPrEx>
          <w:tblCellMar>
            <w:top w:w="0" w:type="dxa"/>
            <w:bottom w:w="0" w:type="dxa"/>
          </w:tblCellMar>
        </w:tblPrEx>
        <w:tc>
          <w:tcPr>
            <w:tcW w:w="2898" w:type="dxa"/>
          </w:tcPr>
          <w:p w:rsidR="00000000" w:rsidRDefault="00000000">
            <w:pPr>
              <w:jc w:val="center"/>
              <w:rPr>
                <w:sz w:val="22"/>
              </w:rPr>
            </w:pPr>
            <w:r>
              <w:rPr>
                <w:sz w:val="22"/>
              </w:rPr>
              <w:t>Filières</w:t>
            </w:r>
          </w:p>
        </w:tc>
        <w:tc>
          <w:tcPr>
            <w:tcW w:w="1091" w:type="dxa"/>
          </w:tcPr>
          <w:p w:rsidR="00000000" w:rsidRDefault="00000000">
            <w:pPr>
              <w:jc w:val="center"/>
              <w:rPr>
                <w:sz w:val="22"/>
              </w:rPr>
            </w:pPr>
            <w:r>
              <w:rPr>
                <w:sz w:val="22"/>
              </w:rPr>
              <w:t>Inscrits</w:t>
            </w:r>
          </w:p>
        </w:tc>
        <w:tc>
          <w:tcPr>
            <w:tcW w:w="1091" w:type="dxa"/>
          </w:tcPr>
          <w:p w:rsidR="00000000" w:rsidRDefault="00000000">
            <w:pPr>
              <w:jc w:val="center"/>
              <w:rPr>
                <w:sz w:val="22"/>
              </w:rPr>
            </w:pPr>
            <w:r>
              <w:rPr>
                <w:sz w:val="22"/>
              </w:rPr>
              <w:t>Présentés</w:t>
            </w:r>
          </w:p>
        </w:tc>
        <w:tc>
          <w:tcPr>
            <w:tcW w:w="1091" w:type="dxa"/>
          </w:tcPr>
          <w:p w:rsidR="00000000" w:rsidRDefault="00000000">
            <w:pPr>
              <w:jc w:val="center"/>
              <w:rPr>
                <w:sz w:val="22"/>
              </w:rPr>
            </w:pPr>
            <w:r>
              <w:rPr>
                <w:sz w:val="22"/>
              </w:rPr>
              <w:t>Admis</w:t>
            </w:r>
          </w:p>
        </w:tc>
        <w:tc>
          <w:tcPr>
            <w:tcW w:w="1092" w:type="dxa"/>
          </w:tcPr>
          <w:p w:rsidR="00000000" w:rsidRDefault="00000000">
            <w:pPr>
              <w:jc w:val="center"/>
              <w:rPr>
                <w:sz w:val="22"/>
              </w:rPr>
            </w:pPr>
            <w:r>
              <w:rPr>
                <w:sz w:val="22"/>
              </w:rPr>
              <w:t>Echoués</w:t>
            </w:r>
          </w:p>
        </w:tc>
        <w:tc>
          <w:tcPr>
            <w:tcW w:w="1402" w:type="dxa"/>
          </w:tcPr>
          <w:p w:rsidR="00000000" w:rsidRDefault="00000000">
            <w:pPr>
              <w:jc w:val="center"/>
              <w:rPr>
                <w:sz w:val="22"/>
              </w:rPr>
            </w:pPr>
            <w:r>
              <w:rPr>
                <w:sz w:val="22"/>
              </w:rPr>
              <w:t>Pourcentage</w:t>
            </w:r>
          </w:p>
        </w:tc>
        <w:tc>
          <w:tcPr>
            <w:tcW w:w="1154" w:type="dxa"/>
          </w:tcPr>
          <w:p w:rsidR="00000000" w:rsidRDefault="00000000">
            <w:pPr>
              <w:jc w:val="center"/>
              <w:rPr>
                <w:sz w:val="22"/>
              </w:rPr>
            </w:pPr>
            <w:r>
              <w:rPr>
                <w:sz w:val="22"/>
              </w:rPr>
              <w:t>Nombre d’années</w:t>
            </w:r>
          </w:p>
        </w:tc>
      </w:tr>
      <w:tr w:rsidR="00000000">
        <w:tblPrEx>
          <w:tblCellMar>
            <w:top w:w="0" w:type="dxa"/>
            <w:bottom w:w="0" w:type="dxa"/>
          </w:tblCellMar>
        </w:tblPrEx>
        <w:tc>
          <w:tcPr>
            <w:tcW w:w="2898" w:type="dxa"/>
          </w:tcPr>
          <w:p w:rsidR="00000000" w:rsidRDefault="00000000">
            <w:pPr>
              <w:rPr>
                <w:sz w:val="22"/>
              </w:rPr>
            </w:pPr>
            <w:r>
              <w:rPr>
                <w:sz w:val="22"/>
              </w:rPr>
              <w:t>Inspecteur de jeunesse et sports (1</w:t>
            </w:r>
            <w:r>
              <w:rPr>
                <w:sz w:val="22"/>
                <w:vertAlign w:val="superscript"/>
              </w:rPr>
              <w:t>ère</w:t>
            </w:r>
            <w:r>
              <w:rPr>
                <w:sz w:val="22"/>
              </w:rPr>
              <w:t xml:space="preserve"> année)</w:t>
            </w:r>
          </w:p>
        </w:tc>
        <w:tc>
          <w:tcPr>
            <w:tcW w:w="1091" w:type="dxa"/>
          </w:tcPr>
          <w:p w:rsidR="00000000" w:rsidRDefault="00000000">
            <w:pPr>
              <w:jc w:val="right"/>
              <w:rPr>
                <w:sz w:val="22"/>
              </w:rPr>
            </w:pPr>
          </w:p>
          <w:p w:rsidR="00000000" w:rsidRDefault="00000000">
            <w:pPr>
              <w:jc w:val="right"/>
              <w:rPr>
                <w:sz w:val="22"/>
              </w:rPr>
            </w:pPr>
            <w:r>
              <w:rPr>
                <w:sz w:val="22"/>
              </w:rPr>
              <w:t>18</w:t>
            </w:r>
          </w:p>
        </w:tc>
        <w:tc>
          <w:tcPr>
            <w:tcW w:w="1091" w:type="dxa"/>
          </w:tcPr>
          <w:p w:rsidR="00000000" w:rsidRDefault="00000000">
            <w:pPr>
              <w:jc w:val="right"/>
              <w:rPr>
                <w:sz w:val="22"/>
              </w:rPr>
            </w:pPr>
          </w:p>
          <w:p w:rsidR="00000000" w:rsidRDefault="00000000">
            <w:pPr>
              <w:jc w:val="right"/>
              <w:rPr>
                <w:sz w:val="22"/>
              </w:rPr>
            </w:pPr>
            <w:r>
              <w:rPr>
                <w:sz w:val="22"/>
              </w:rPr>
              <w:t>18</w:t>
            </w:r>
          </w:p>
        </w:tc>
        <w:tc>
          <w:tcPr>
            <w:tcW w:w="1091" w:type="dxa"/>
          </w:tcPr>
          <w:p w:rsidR="00000000" w:rsidRDefault="00000000">
            <w:pPr>
              <w:jc w:val="right"/>
              <w:rPr>
                <w:sz w:val="22"/>
              </w:rPr>
            </w:pPr>
          </w:p>
          <w:p w:rsidR="00000000" w:rsidRDefault="00000000">
            <w:pPr>
              <w:jc w:val="right"/>
              <w:rPr>
                <w:sz w:val="22"/>
              </w:rPr>
            </w:pPr>
            <w:r>
              <w:rPr>
                <w:sz w:val="22"/>
              </w:rPr>
              <w:t>18</w:t>
            </w:r>
          </w:p>
        </w:tc>
        <w:tc>
          <w:tcPr>
            <w:tcW w:w="1092" w:type="dxa"/>
          </w:tcPr>
          <w:p w:rsidR="00000000" w:rsidRDefault="00000000">
            <w:pPr>
              <w:jc w:val="right"/>
              <w:rPr>
                <w:sz w:val="22"/>
              </w:rPr>
            </w:pPr>
          </w:p>
          <w:p w:rsidR="00000000" w:rsidRDefault="00000000">
            <w:pPr>
              <w:jc w:val="right"/>
              <w:rPr>
                <w:sz w:val="22"/>
              </w:rPr>
            </w:pPr>
            <w:r>
              <w:rPr>
                <w:sz w:val="22"/>
              </w:rPr>
              <w:t>-</w:t>
            </w:r>
          </w:p>
        </w:tc>
        <w:tc>
          <w:tcPr>
            <w:tcW w:w="1402" w:type="dxa"/>
          </w:tcPr>
          <w:p w:rsidR="00000000" w:rsidRDefault="00000000">
            <w:pPr>
              <w:jc w:val="right"/>
              <w:rPr>
                <w:sz w:val="22"/>
              </w:rPr>
            </w:pPr>
          </w:p>
          <w:p w:rsidR="00000000" w:rsidRDefault="00000000">
            <w:pPr>
              <w:jc w:val="right"/>
              <w:rPr>
                <w:sz w:val="22"/>
              </w:rPr>
            </w:pPr>
            <w:r>
              <w:rPr>
                <w:sz w:val="22"/>
              </w:rPr>
              <w:t>100%</w:t>
            </w:r>
          </w:p>
        </w:tc>
        <w:tc>
          <w:tcPr>
            <w:tcW w:w="1154" w:type="dxa"/>
          </w:tcPr>
          <w:p w:rsidR="00000000" w:rsidRDefault="00000000">
            <w:pPr>
              <w:jc w:val="right"/>
              <w:rPr>
                <w:sz w:val="22"/>
              </w:rPr>
            </w:pPr>
          </w:p>
          <w:p w:rsidR="00000000" w:rsidRDefault="00000000">
            <w:pPr>
              <w:jc w:val="right"/>
              <w:rPr>
                <w:sz w:val="22"/>
              </w:rPr>
            </w:pPr>
            <w:r>
              <w:rPr>
                <w:sz w:val="22"/>
              </w:rPr>
              <w:t>1</w:t>
            </w:r>
          </w:p>
        </w:tc>
      </w:tr>
      <w:tr w:rsidR="00000000">
        <w:tblPrEx>
          <w:tblCellMar>
            <w:top w:w="0" w:type="dxa"/>
            <w:bottom w:w="0" w:type="dxa"/>
          </w:tblCellMar>
        </w:tblPrEx>
        <w:tc>
          <w:tcPr>
            <w:tcW w:w="2898" w:type="dxa"/>
          </w:tcPr>
          <w:p w:rsidR="00000000" w:rsidRDefault="00000000">
            <w:pPr>
              <w:rPr>
                <w:sz w:val="22"/>
              </w:rPr>
            </w:pPr>
            <w:r>
              <w:rPr>
                <w:sz w:val="22"/>
              </w:rPr>
              <w:t>Inspecteur de jeunesse et sports (2</w:t>
            </w:r>
            <w:r>
              <w:rPr>
                <w:sz w:val="22"/>
                <w:vertAlign w:val="superscript"/>
              </w:rPr>
              <w:t>ème</w:t>
            </w:r>
            <w:r>
              <w:rPr>
                <w:sz w:val="22"/>
              </w:rPr>
              <w:t xml:space="preserve"> année)</w:t>
            </w:r>
          </w:p>
        </w:tc>
        <w:tc>
          <w:tcPr>
            <w:tcW w:w="1091" w:type="dxa"/>
          </w:tcPr>
          <w:p w:rsidR="00000000" w:rsidRDefault="00000000">
            <w:pPr>
              <w:jc w:val="right"/>
              <w:rPr>
                <w:sz w:val="22"/>
              </w:rPr>
            </w:pPr>
          </w:p>
          <w:p w:rsidR="00000000" w:rsidRDefault="00000000">
            <w:pPr>
              <w:jc w:val="right"/>
              <w:rPr>
                <w:sz w:val="22"/>
              </w:rPr>
            </w:pPr>
            <w:r>
              <w:rPr>
                <w:sz w:val="22"/>
              </w:rPr>
              <w:t>6</w:t>
            </w:r>
          </w:p>
        </w:tc>
        <w:tc>
          <w:tcPr>
            <w:tcW w:w="1091" w:type="dxa"/>
          </w:tcPr>
          <w:p w:rsidR="00000000" w:rsidRDefault="00000000">
            <w:pPr>
              <w:jc w:val="right"/>
              <w:rPr>
                <w:sz w:val="22"/>
              </w:rPr>
            </w:pPr>
          </w:p>
          <w:p w:rsidR="00000000" w:rsidRDefault="00000000">
            <w:pPr>
              <w:jc w:val="right"/>
              <w:rPr>
                <w:sz w:val="22"/>
              </w:rPr>
            </w:pPr>
            <w:r>
              <w:rPr>
                <w:sz w:val="22"/>
              </w:rPr>
              <w:t>6</w:t>
            </w:r>
          </w:p>
        </w:tc>
        <w:tc>
          <w:tcPr>
            <w:tcW w:w="1091" w:type="dxa"/>
          </w:tcPr>
          <w:p w:rsidR="00000000" w:rsidRDefault="00000000">
            <w:pPr>
              <w:jc w:val="right"/>
              <w:rPr>
                <w:sz w:val="22"/>
              </w:rPr>
            </w:pPr>
          </w:p>
          <w:p w:rsidR="00000000" w:rsidRDefault="00000000">
            <w:pPr>
              <w:jc w:val="right"/>
              <w:rPr>
                <w:sz w:val="22"/>
              </w:rPr>
            </w:pPr>
            <w:r>
              <w:rPr>
                <w:sz w:val="22"/>
              </w:rPr>
              <w:t>6</w:t>
            </w:r>
          </w:p>
        </w:tc>
        <w:tc>
          <w:tcPr>
            <w:tcW w:w="1092" w:type="dxa"/>
          </w:tcPr>
          <w:p w:rsidR="00000000" w:rsidRDefault="00000000">
            <w:pPr>
              <w:jc w:val="right"/>
              <w:rPr>
                <w:sz w:val="22"/>
              </w:rPr>
            </w:pPr>
          </w:p>
          <w:p w:rsidR="00000000" w:rsidRDefault="00000000">
            <w:pPr>
              <w:jc w:val="right"/>
              <w:rPr>
                <w:sz w:val="22"/>
              </w:rPr>
            </w:pPr>
            <w:r>
              <w:rPr>
                <w:sz w:val="22"/>
              </w:rPr>
              <w:t>-</w:t>
            </w:r>
          </w:p>
        </w:tc>
        <w:tc>
          <w:tcPr>
            <w:tcW w:w="1402" w:type="dxa"/>
          </w:tcPr>
          <w:p w:rsidR="00000000" w:rsidRDefault="00000000">
            <w:pPr>
              <w:jc w:val="right"/>
              <w:rPr>
                <w:sz w:val="22"/>
              </w:rPr>
            </w:pPr>
          </w:p>
          <w:p w:rsidR="00000000" w:rsidRDefault="00000000">
            <w:pPr>
              <w:jc w:val="right"/>
              <w:rPr>
                <w:sz w:val="22"/>
              </w:rPr>
            </w:pPr>
            <w:r>
              <w:rPr>
                <w:sz w:val="22"/>
              </w:rPr>
              <w:t>100%</w:t>
            </w:r>
          </w:p>
        </w:tc>
        <w:tc>
          <w:tcPr>
            <w:tcW w:w="1154" w:type="dxa"/>
          </w:tcPr>
          <w:p w:rsidR="00000000" w:rsidRDefault="00000000">
            <w:pPr>
              <w:jc w:val="right"/>
              <w:rPr>
                <w:sz w:val="22"/>
              </w:rPr>
            </w:pPr>
          </w:p>
          <w:p w:rsidR="00000000" w:rsidRDefault="00000000">
            <w:pPr>
              <w:jc w:val="right"/>
              <w:rPr>
                <w:sz w:val="22"/>
              </w:rPr>
            </w:pPr>
            <w:r>
              <w:rPr>
                <w:sz w:val="22"/>
              </w:rPr>
              <w:t>2</w:t>
            </w:r>
          </w:p>
        </w:tc>
      </w:tr>
      <w:tr w:rsidR="00000000">
        <w:tblPrEx>
          <w:tblCellMar>
            <w:top w:w="0" w:type="dxa"/>
            <w:bottom w:w="0" w:type="dxa"/>
          </w:tblCellMar>
        </w:tblPrEx>
        <w:tc>
          <w:tcPr>
            <w:tcW w:w="2898" w:type="dxa"/>
          </w:tcPr>
          <w:p w:rsidR="00000000" w:rsidRDefault="00000000">
            <w:pPr>
              <w:rPr>
                <w:sz w:val="22"/>
              </w:rPr>
            </w:pPr>
            <w:r>
              <w:rPr>
                <w:sz w:val="22"/>
              </w:rPr>
              <w:t xml:space="preserve">Conseiller sportif </w:t>
            </w:r>
          </w:p>
          <w:p w:rsidR="00000000" w:rsidRDefault="00000000">
            <w:pPr>
              <w:rPr>
                <w:sz w:val="22"/>
              </w:rPr>
            </w:pPr>
            <w:r>
              <w:rPr>
                <w:sz w:val="22"/>
              </w:rPr>
              <w:t>(1</w:t>
            </w:r>
            <w:r>
              <w:rPr>
                <w:sz w:val="22"/>
                <w:vertAlign w:val="superscript"/>
              </w:rPr>
              <w:t>ère</w:t>
            </w:r>
            <w:r>
              <w:rPr>
                <w:sz w:val="22"/>
              </w:rPr>
              <w:t xml:space="preserve"> année)</w:t>
            </w:r>
          </w:p>
        </w:tc>
        <w:tc>
          <w:tcPr>
            <w:tcW w:w="1091" w:type="dxa"/>
          </w:tcPr>
          <w:p w:rsidR="00000000" w:rsidRDefault="00000000">
            <w:pPr>
              <w:jc w:val="right"/>
              <w:rPr>
                <w:sz w:val="22"/>
              </w:rPr>
            </w:pPr>
          </w:p>
          <w:p w:rsidR="00000000" w:rsidRDefault="00000000">
            <w:pPr>
              <w:jc w:val="right"/>
              <w:rPr>
                <w:sz w:val="22"/>
              </w:rPr>
            </w:pPr>
            <w:r>
              <w:rPr>
                <w:sz w:val="22"/>
              </w:rPr>
              <w:t>8</w:t>
            </w:r>
          </w:p>
        </w:tc>
        <w:tc>
          <w:tcPr>
            <w:tcW w:w="1091" w:type="dxa"/>
          </w:tcPr>
          <w:p w:rsidR="00000000" w:rsidRDefault="00000000">
            <w:pPr>
              <w:jc w:val="right"/>
              <w:rPr>
                <w:sz w:val="22"/>
              </w:rPr>
            </w:pPr>
          </w:p>
          <w:p w:rsidR="00000000" w:rsidRDefault="00000000">
            <w:pPr>
              <w:jc w:val="right"/>
              <w:rPr>
                <w:sz w:val="22"/>
              </w:rPr>
            </w:pPr>
            <w:r>
              <w:rPr>
                <w:sz w:val="22"/>
              </w:rPr>
              <w:t>8</w:t>
            </w:r>
          </w:p>
        </w:tc>
        <w:tc>
          <w:tcPr>
            <w:tcW w:w="1091" w:type="dxa"/>
          </w:tcPr>
          <w:p w:rsidR="00000000" w:rsidRDefault="00000000">
            <w:pPr>
              <w:jc w:val="right"/>
              <w:rPr>
                <w:sz w:val="22"/>
              </w:rPr>
            </w:pPr>
          </w:p>
          <w:p w:rsidR="00000000" w:rsidRDefault="00000000">
            <w:pPr>
              <w:jc w:val="right"/>
              <w:rPr>
                <w:sz w:val="22"/>
              </w:rPr>
            </w:pPr>
            <w:r>
              <w:rPr>
                <w:sz w:val="22"/>
              </w:rPr>
              <w:t>8</w:t>
            </w:r>
          </w:p>
        </w:tc>
        <w:tc>
          <w:tcPr>
            <w:tcW w:w="1092" w:type="dxa"/>
          </w:tcPr>
          <w:p w:rsidR="00000000" w:rsidRDefault="00000000">
            <w:pPr>
              <w:jc w:val="right"/>
              <w:rPr>
                <w:sz w:val="22"/>
              </w:rPr>
            </w:pPr>
          </w:p>
          <w:p w:rsidR="00000000" w:rsidRDefault="00000000">
            <w:pPr>
              <w:jc w:val="right"/>
              <w:rPr>
                <w:sz w:val="22"/>
              </w:rPr>
            </w:pPr>
            <w:r>
              <w:rPr>
                <w:sz w:val="22"/>
              </w:rPr>
              <w:t>-</w:t>
            </w:r>
          </w:p>
        </w:tc>
        <w:tc>
          <w:tcPr>
            <w:tcW w:w="1402" w:type="dxa"/>
          </w:tcPr>
          <w:p w:rsidR="00000000" w:rsidRDefault="00000000">
            <w:pPr>
              <w:jc w:val="right"/>
              <w:rPr>
                <w:sz w:val="22"/>
              </w:rPr>
            </w:pPr>
          </w:p>
          <w:p w:rsidR="00000000" w:rsidRDefault="00000000">
            <w:pPr>
              <w:jc w:val="right"/>
              <w:rPr>
                <w:sz w:val="22"/>
              </w:rPr>
            </w:pPr>
            <w:r>
              <w:rPr>
                <w:sz w:val="22"/>
              </w:rPr>
              <w:t>100%</w:t>
            </w:r>
          </w:p>
        </w:tc>
        <w:tc>
          <w:tcPr>
            <w:tcW w:w="1154" w:type="dxa"/>
          </w:tcPr>
          <w:p w:rsidR="00000000" w:rsidRDefault="00000000">
            <w:pPr>
              <w:jc w:val="right"/>
              <w:rPr>
                <w:sz w:val="22"/>
              </w:rPr>
            </w:pPr>
          </w:p>
          <w:p w:rsidR="00000000" w:rsidRDefault="00000000">
            <w:pPr>
              <w:jc w:val="right"/>
              <w:rPr>
                <w:sz w:val="22"/>
              </w:rPr>
            </w:pPr>
            <w:r>
              <w:rPr>
                <w:sz w:val="22"/>
              </w:rPr>
              <w:t>1</w:t>
            </w:r>
          </w:p>
        </w:tc>
      </w:tr>
      <w:tr w:rsidR="00000000">
        <w:tblPrEx>
          <w:tblCellMar>
            <w:top w:w="0" w:type="dxa"/>
            <w:bottom w:w="0" w:type="dxa"/>
          </w:tblCellMar>
        </w:tblPrEx>
        <w:tc>
          <w:tcPr>
            <w:tcW w:w="2898" w:type="dxa"/>
          </w:tcPr>
          <w:p w:rsidR="00000000" w:rsidRDefault="00000000">
            <w:pPr>
              <w:rPr>
                <w:sz w:val="22"/>
              </w:rPr>
            </w:pPr>
            <w:r>
              <w:rPr>
                <w:sz w:val="22"/>
              </w:rPr>
              <w:t>Maître de jeunesse</w:t>
            </w:r>
          </w:p>
          <w:p w:rsidR="00000000" w:rsidRDefault="00000000">
            <w:pPr>
              <w:rPr>
                <w:sz w:val="22"/>
              </w:rPr>
            </w:pPr>
            <w:r>
              <w:rPr>
                <w:sz w:val="22"/>
              </w:rPr>
              <w:t>(2</w:t>
            </w:r>
            <w:r>
              <w:rPr>
                <w:sz w:val="22"/>
                <w:vertAlign w:val="superscript"/>
              </w:rPr>
              <w:t>ème</w:t>
            </w:r>
            <w:r>
              <w:rPr>
                <w:sz w:val="22"/>
              </w:rPr>
              <w:t xml:space="preserve"> année)</w:t>
            </w:r>
          </w:p>
        </w:tc>
        <w:tc>
          <w:tcPr>
            <w:tcW w:w="1091" w:type="dxa"/>
          </w:tcPr>
          <w:p w:rsidR="00000000" w:rsidRDefault="00000000">
            <w:pPr>
              <w:jc w:val="right"/>
              <w:rPr>
                <w:sz w:val="22"/>
              </w:rPr>
            </w:pPr>
          </w:p>
          <w:p w:rsidR="00000000" w:rsidRDefault="00000000">
            <w:pPr>
              <w:jc w:val="right"/>
              <w:rPr>
                <w:sz w:val="22"/>
              </w:rPr>
            </w:pPr>
            <w:r>
              <w:rPr>
                <w:sz w:val="22"/>
              </w:rPr>
              <w:t>42</w:t>
            </w:r>
          </w:p>
        </w:tc>
        <w:tc>
          <w:tcPr>
            <w:tcW w:w="1091" w:type="dxa"/>
          </w:tcPr>
          <w:p w:rsidR="00000000" w:rsidRDefault="00000000">
            <w:pPr>
              <w:jc w:val="right"/>
              <w:rPr>
                <w:sz w:val="22"/>
              </w:rPr>
            </w:pPr>
          </w:p>
          <w:p w:rsidR="00000000" w:rsidRDefault="00000000">
            <w:pPr>
              <w:jc w:val="right"/>
              <w:rPr>
                <w:sz w:val="22"/>
              </w:rPr>
            </w:pPr>
            <w:r>
              <w:rPr>
                <w:sz w:val="22"/>
              </w:rPr>
              <w:t>42</w:t>
            </w:r>
          </w:p>
        </w:tc>
        <w:tc>
          <w:tcPr>
            <w:tcW w:w="1091" w:type="dxa"/>
          </w:tcPr>
          <w:p w:rsidR="00000000" w:rsidRDefault="00000000">
            <w:pPr>
              <w:jc w:val="right"/>
              <w:rPr>
                <w:sz w:val="22"/>
              </w:rPr>
            </w:pPr>
          </w:p>
          <w:p w:rsidR="00000000" w:rsidRDefault="00000000">
            <w:pPr>
              <w:jc w:val="right"/>
              <w:rPr>
                <w:sz w:val="22"/>
              </w:rPr>
            </w:pPr>
            <w:r>
              <w:rPr>
                <w:sz w:val="22"/>
              </w:rPr>
              <w:t>40</w:t>
            </w:r>
          </w:p>
        </w:tc>
        <w:tc>
          <w:tcPr>
            <w:tcW w:w="1092" w:type="dxa"/>
          </w:tcPr>
          <w:p w:rsidR="00000000" w:rsidRDefault="00000000">
            <w:pPr>
              <w:jc w:val="right"/>
              <w:rPr>
                <w:sz w:val="22"/>
              </w:rPr>
            </w:pPr>
          </w:p>
          <w:p w:rsidR="00000000" w:rsidRDefault="00000000">
            <w:pPr>
              <w:jc w:val="right"/>
              <w:rPr>
                <w:sz w:val="22"/>
              </w:rPr>
            </w:pPr>
            <w:r>
              <w:rPr>
                <w:sz w:val="22"/>
              </w:rPr>
              <w:t>2</w:t>
            </w:r>
          </w:p>
        </w:tc>
        <w:tc>
          <w:tcPr>
            <w:tcW w:w="1402" w:type="dxa"/>
          </w:tcPr>
          <w:p w:rsidR="00000000" w:rsidRDefault="00000000">
            <w:pPr>
              <w:jc w:val="right"/>
              <w:rPr>
                <w:sz w:val="22"/>
              </w:rPr>
            </w:pPr>
          </w:p>
          <w:p w:rsidR="00000000" w:rsidRDefault="00000000">
            <w:pPr>
              <w:jc w:val="right"/>
              <w:rPr>
                <w:sz w:val="22"/>
              </w:rPr>
            </w:pPr>
            <w:r>
              <w:rPr>
                <w:sz w:val="22"/>
              </w:rPr>
              <w:t>96%</w:t>
            </w:r>
          </w:p>
        </w:tc>
        <w:tc>
          <w:tcPr>
            <w:tcW w:w="1154" w:type="dxa"/>
          </w:tcPr>
          <w:p w:rsidR="00000000" w:rsidRDefault="00000000">
            <w:pPr>
              <w:jc w:val="right"/>
              <w:rPr>
                <w:sz w:val="22"/>
              </w:rPr>
            </w:pPr>
          </w:p>
          <w:p w:rsidR="00000000" w:rsidRDefault="00000000">
            <w:pPr>
              <w:jc w:val="right"/>
              <w:rPr>
                <w:sz w:val="22"/>
              </w:rPr>
            </w:pPr>
            <w:r>
              <w:rPr>
                <w:sz w:val="22"/>
              </w:rPr>
              <w:t>2</w:t>
            </w:r>
          </w:p>
        </w:tc>
      </w:tr>
      <w:tr w:rsidR="00000000">
        <w:tblPrEx>
          <w:tblCellMar>
            <w:top w:w="0" w:type="dxa"/>
            <w:bottom w:w="0" w:type="dxa"/>
          </w:tblCellMar>
        </w:tblPrEx>
        <w:tc>
          <w:tcPr>
            <w:tcW w:w="2898" w:type="dxa"/>
          </w:tcPr>
          <w:p w:rsidR="00000000" w:rsidRDefault="00000000">
            <w:pPr>
              <w:rPr>
                <w:sz w:val="22"/>
              </w:rPr>
            </w:pPr>
            <w:r>
              <w:rPr>
                <w:sz w:val="22"/>
              </w:rPr>
              <w:t>Conseiller principal de jeunesse (1</w:t>
            </w:r>
            <w:r>
              <w:rPr>
                <w:sz w:val="22"/>
                <w:vertAlign w:val="superscript"/>
              </w:rPr>
              <w:t>ère</w:t>
            </w:r>
            <w:r>
              <w:rPr>
                <w:sz w:val="22"/>
              </w:rPr>
              <w:t xml:space="preserve"> année)</w:t>
            </w:r>
          </w:p>
        </w:tc>
        <w:tc>
          <w:tcPr>
            <w:tcW w:w="1091" w:type="dxa"/>
          </w:tcPr>
          <w:p w:rsidR="00000000" w:rsidRDefault="00000000">
            <w:pPr>
              <w:jc w:val="right"/>
              <w:rPr>
                <w:sz w:val="22"/>
              </w:rPr>
            </w:pPr>
          </w:p>
          <w:p w:rsidR="00000000" w:rsidRDefault="00000000">
            <w:pPr>
              <w:jc w:val="right"/>
              <w:rPr>
                <w:sz w:val="22"/>
              </w:rPr>
            </w:pPr>
            <w:r>
              <w:rPr>
                <w:sz w:val="22"/>
              </w:rPr>
              <w:t>13</w:t>
            </w:r>
          </w:p>
        </w:tc>
        <w:tc>
          <w:tcPr>
            <w:tcW w:w="1091" w:type="dxa"/>
          </w:tcPr>
          <w:p w:rsidR="00000000" w:rsidRDefault="00000000">
            <w:pPr>
              <w:jc w:val="right"/>
              <w:rPr>
                <w:sz w:val="22"/>
              </w:rPr>
            </w:pPr>
          </w:p>
          <w:p w:rsidR="00000000" w:rsidRDefault="00000000">
            <w:pPr>
              <w:jc w:val="right"/>
              <w:rPr>
                <w:sz w:val="22"/>
              </w:rPr>
            </w:pPr>
            <w:r>
              <w:rPr>
                <w:sz w:val="22"/>
              </w:rPr>
              <w:t>13</w:t>
            </w:r>
          </w:p>
        </w:tc>
        <w:tc>
          <w:tcPr>
            <w:tcW w:w="1091" w:type="dxa"/>
          </w:tcPr>
          <w:p w:rsidR="00000000" w:rsidRDefault="00000000">
            <w:pPr>
              <w:jc w:val="right"/>
              <w:rPr>
                <w:sz w:val="22"/>
              </w:rPr>
            </w:pPr>
          </w:p>
          <w:p w:rsidR="00000000" w:rsidRDefault="00000000">
            <w:pPr>
              <w:jc w:val="right"/>
              <w:rPr>
                <w:sz w:val="22"/>
              </w:rPr>
            </w:pPr>
            <w:r>
              <w:rPr>
                <w:sz w:val="22"/>
              </w:rPr>
              <w:t>13</w:t>
            </w:r>
          </w:p>
        </w:tc>
        <w:tc>
          <w:tcPr>
            <w:tcW w:w="1092" w:type="dxa"/>
          </w:tcPr>
          <w:p w:rsidR="00000000" w:rsidRDefault="00000000">
            <w:pPr>
              <w:jc w:val="right"/>
              <w:rPr>
                <w:sz w:val="22"/>
              </w:rPr>
            </w:pPr>
            <w:r>
              <w:rPr>
                <w:sz w:val="22"/>
              </w:rPr>
              <w:t>-</w:t>
            </w:r>
          </w:p>
        </w:tc>
        <w:tc>
          <w:tcPr>
            <w:tcW w:w="1402" w:type="dxa"/>
          </w:tcPr>
          <w:p w:rsidR="00000000" w:rsidRDefault="00000000">
            <w:pPr>
              <w:jc w:val="right"/>
              <w:rPr>
                <w:sz w:val="22"/>
              </w:rPr>
            </w:pPr>
          </w:p>
          <w:p w:rsidR="00000000" w:rsidRDefault="00000000">
            <w:pPr>
              <w:jc w:val="right"/>
              <w:rPr>
                <w:sz w:val="22"/>
              </w:rPr>
            </w:pPr>
            <w:r>
              <w:rPr>
                <w:sz w:val="22"/>
              </w:rPr>
              <w:t>100%</w:t>
            </w:r>
          </w:p>
        </w:tc>
        <w:tc>
          <w:tcPr>
            <w:tcW w:w="1154" w:type="dxa"/>
          </w:tcPr>
          <w:p w:rsidR="00000000" w:rsidRDefault="00000000">
            <w:pPr>
              <w:jc w:val="right"/>
              <w:rPr>
                <w:sz w:val="22"/>
              </w:rPr>
            </w:pPr>
          </w:p>
          <w:p w:rsidR="00000000" w:rsidRDefault="00000000">
            <w:pPr>
              <w:jc w:val="right"/>
              <w:rPr>
                <w:sz w:val="22"/>
              </w:rPr>
            </w:pPr>
            <w:r>
              <w:rPr>
                <w:sz w:val="22"/>
              </w:rPr>
              <w:t>1</w:t>
            </w:r>
          </w:p>
        </w:tc>
      </w:tr>
      <w:tr w:rsidR="00000000">
        <w:tblPrEx>
          <w:tblCellMar>
            <w:top w:w="0" w:type="dxa"/>
            <w:bottom w:w="0" w:type="dxa"/>
          </w:tblCellMar>
        </w:tblPrEx>
        <w:tc>
          <w:tcPr>
            <w:tcW w:w="2898" w:type="dxa"/>
          </w:tcPr>
          <w:p w:rsidR="00000000" w:rsidRDefault="00000000">
            <w:pPr>
              <w:rPr>
                <w:sz w:val="22"/>
              </w:rPr>
            </w:pPr>
            <w:r>
              <w:rPr>
                <w:sz w:val="22"/>
              </w:rPr>
              <w:t>Conseiller principal de jeunesse (2</w:t>
            </w:r>
            <w:r>
              <w:rPr>
                <w:sz w:val="22"/>
                <w:vertAlign w:val="superscript"/>
              </w:rPr>
              <w:t>ème</w:t>
            </w:r>
            <w:r>
              <w:rPr>
                <w:sz w:val="22"/>
              </w:rPr>
              <w:t xml:space="preserve"> année)</w:t>
            </w:r>
          </w:p>
        </w:tc>
        <w:tc>
          <w:tcPr>
            <w:tcW w:w="1091" w:type="dxa"/>
          </w:tcPr>
          <w:p w:rsidR="00000000" w:rsidRDefault="00000000">
            <w:pPr>
              <w:jc w:val="right"/>
              <w:rPr>
                <w:sz w:val="22"/>
              </w:rPr>
            </w:pPr>
          </w:p>
          <w:p w:rsidR="00000000" w:rsidRDefault="00000000">
            <w:pPr>
              <w:jc w:val="right"/>
              <w:rPr>
                <w:sz w:val="22"/>
              </w:rPr>
            </w:pPr>
            <w:r>
              <w:rPr>
                <w:sz w:val="22"/>
              </w:rPr>
              <w:t>6</w:t>
            </w:r>
          </w:p>
        </w:tc>
        <w:tc>
          <w:tcPr>
            <w:tcW w:w="1091" w:type="dxa"/>
          </w:tcPr>
          <w:p w:rsidR="00000000" w:rsidRDefault="00000000">
            <w:pPr>
              <w:jc w:val="right"/>
              <w:rPr>
                <w:sz w:val="22"/>
              </w:rPr>
            </w:pPr>
          </w:p>
          <w:p w:rsidR="00000000" w:rsidRDefault="00000000">
            <w:pPr>
              <w:jc w:val="right"/>
              <w:rPr>
                <w:sz w:val="22"/>
              </w:rPr>
            </w:pPr>
            <w:r>
              <w:rPr>
                <w:sz w:val="22"/>
              </w:rPr>
              <w:t>6</w:t>
            </w:r>
          </w:p>
        </w:tc>
        <w:tc>
          <w:tcPr>
            <w:tcW w:w="1091" w:type="dxa"/>
          </w:tcPr>
          <w:p w:rsidR="00000000" w:rsidRDefault="00000000">
            <w:pPr>
              <w:jc w:val="right"/>
              <w:rPr>
                <w:sz w:val="22"/>
              </w:rPr>
            </w:pPr>
          </w:p>
          <w:p w:rsidR="00000000" w:rsidRDefault="00000000">
            <w:pPr>
              <w:jc w:val="right"/>
              <w:rPr>
                <w:sz w:val="22"/>
              </w:rPr>
            </w:pPr>
            <w:r>
              <w:rPr>
                <w:sz w:val="22"/>
              </w:rPr>
              <w:t>6</w:t>
            </w:r>
          </w:p>
        </w:tc>
        <w:tc>
          <w:tcPr>
            <w:tcW w:w="1092" w:type="dxa"/>
          </w:tcPr>
          <w:p w:rsidR="00000000" w:rsidRDefault="00000000">
            <w:pPr>
              <w:jc w:val="right"/>
              <w:rPr>
                <w:sz w:val="22"/>
              </w:rPr>
            </w:pPr>
            <w:r>
              <w:rPr>
                <w:sz w:val="22"/>
              </w:rPr>
              <w:t>-</w:t>
            </w:r>
          </w:p>
        </w:tc>
        <w:tc>
          <w:tcPr>
            <w:tcW w:w="1402" w:type="dxa"/>
          </w:tcPr>
          <w:p w:rsidR="00000000" w:rsidRDefault="00000000">
            <w:pPr>
              <w:jc w:val="right"/>
              <w:rPr>
                <w:sz w:val="22"/>
              </w:rPr>
            </w:pPr>
          </w:p>
          <w:p w:rsidR="00000000" w:rsidRDefault="00000000">
            <w:pPr>
              <w:jc w:val="right"/>
              <w:rPr>
                <w:sz w:val="22"/>
              </w:rPr>
            </w:pPr>
            <w:r>
              <w:rPr>
                <w:sz w:val="22"/>
              </w:rPr>
              <w:t>100%</w:t>
            </w:r>
          </w:p>
        </w:tc>
        <w:tc>
          <w:tcPr>
            <w:tcW w:w="1154" w:type="dxa"/>
          </w:tcPr>
          <w:p w:rsidR="00000000" w:rsidRDefault="00000000">
            <w:pPr>
              <w:jc w:val="right"/>
              <w:rPr>
                <w:sz w:val="22"/>
              </w:rPr>
            </w:pPr>
          </w:p>
          <w:p w:rsidR="00000000" w:rsidRDefault="00000000">
            <w:pPr>
              <w:jc w:val="right"/>
              <w:rPr>
                <w:sz w:val="22"/>
              </w:rPr>
            </w:pPr>
            <w:r>
              <w:rPr>
                <w:sz w:val="22"/>
              </w:rPr>
              <w:t>2</w:t>
            </w:r>
          </w:p>
        </w:tc>
      </w:tr>
      <w:tr w:rsidR="00000000">
        <w:tblPrEx>
          <w:tblCellMar>
            <w:top w:w="0" w:type="dxa"/>
            <w:bottom w:w="0" w:type="dxa"/>
          </w:tblCellMar>
        </w:tblPrEx>
        <w:tc>
          <w:tcPr>
            <w:tcW w:w="2898" w:type="dxa"/>
          </w:tcPr>
          <w:p w:rsidR="00000000" w:rsidRDefault="00000000">
            <w:pPr>
              <w:rPr>
                <w:sz w:val="22"/>
              </w:rPr>
            </w:pPr>
            <w:r>
              <w:rPr>
                <w:sz w:val="22"/>
              </w:rPr>
              <w:t>Maître d’EPS (1</w:t>
            </w:r>
            <w:r>
              <w:rPr>
                <w:sz w:val="22"/>
                <w:vertAlign w:val="superscript"/>
              </w:rPr>
              <w:t>ère</w:t>
            </w:r>
            <w:r>
              <w:rPr>
                <w:sz w:val="22"/>
              </w:rPr>
              <w:t xml:space="preserve"> année)</w:t>
            </w:r>
          </w:p>
        </w:tc>
        <w:tc>
          <w:tcPr>
            <w:tcW w:w="1091" w:type="dxa"/>
          </w:tcPr>
          <w:p w:rsidR="00000000" w:rsidRDefault="00000000">
            <w:pPr>
              <w:jc w:val="right"/>
              <w:rPr>
                <w:sz w:val="22"/>
              </w:rPr>
            </w:pPr>
            <w:r>
              <w:rPr>
                <w:sz w:val="22"/>
              </w:rPr>
              <w:t>15</w:t>
            </w:r>
          </w:p>
        </w:tc>
        <w:tc>
          <w:tcPr>
            <w:tcW w:w="1091" w:type="dxa"/>
          </w:tcPr>
          <w:p w:rsidR="00000000" w:rsidRDefault="00000000">
            <w:pPr>
              <w:jc w:val="right"/>
              <w:rPr>
                <w:sz w:val="22"/>
              </w:rPr>
            </w:pPr>
            <w:r>
              <w:rPr>
                <w:sz w:val="22"/>
              </w:rPr>
              <w:t>15</w:t>
            </w:r>
          </w:p>
        </w:tc>
        <w:tc>
          <w:tcPr>
            <w:tcW w:w="1091" w:type="dxa"/>
          </w:tcPr>
          <w:p w:rsidR="00000000" w:rsidRDefault="00000000">
            <w:pPr>
              <w:jc w:val="right"/>
              <w:rPr>
                <w:sz w:val="22"/>
              </w:rPr>
            </w:pPr>
            <w:r>
              <w:rPr>
                <w:sz w:val="22"/>
              </w:rPr>
              <w:t>9</w:t>
            </w:r>
          </w:p>
        </w:tc>
        <w:tc>
          <w:tcPr>
            <w:tcW w:w="1092" w:type="dxa"/>
          </w:tcPr>
          <w:p w:rsidR="00000000" w:rsidRDefault="00000000">
            <w:pPr>
              <w:jc w:val="right"/>
              <w:rPr>
                <w:sz w:val="22"/>
              </w:rPr>
            </w:pPr>
            <w:r>
              <w:rPr>
                <w:sz w:val="22"/>
              </w:rPr>
              <w:t>6</w:t>
            </w:r>
          </w:p>
        </w:tc>
        <w:tc>
          <w:tcPr>
            <w:tcW w:w="1402" w:type="dxa"/>
          </w:tcPr>
          <w:p w:rsidR="00000000" w:rsidRDefault="00000000">
            <w:pPr>
              <w:jc w:val="right"/>
              <w:rPr>
                <w:sz w:val="22"/>
              </w:rPr>
            </w:pPr>
            <w:r>
              <w:rPr>
                <w:sz w:val="22"/>
              </w:rPr>
              <w:t>90%</w:t>
            </w:r>
          </w:p>
        </w:tc>
        <w:tc>
          <w:tcPr>
            <w:tcW w:w="1154" w:type="dxa"/>
          </w:tcPr>
          <w:p w:rsidR="00000000" w:rsidRDefault="00000000">
            <w:pPr>
              <w:jc w:val="right"/>
              <w:rPr>
                <w:sz w:val="22"/>
              </w:rPr>
            </w:pPr>
            <w:r>
              <w:rPr>
                <w:sz w:val="22"/>
              </w:rPr>
              <w:t>1</w:t>
            </w:r>
          </w:p>
        </w:tc>
      </w:tr>
    </w:tbl>
    <w:p w:rsidR="00000000" w:rsidRDefault="00000000">
      <w:pPr>
        <w:spacing w:line="120" w:lineRule="exact"/>
        <w:jc w:val="both"/>
        <w:rPr>
          <w:sz w:val="10"/>
        </w:rPr>
      </w:pPr>
    </w:p>
    <w:p w:rsidR="00000000" w:rsidRDefault="00000000">
      <w:pPr>
        <w:jc w:val="both"/>
        <w:rPr>
          <w:i/>
          <w:sz w:val="22"/>
        </w:rPr>
      </w:pPr>
      <w:r>
        <w:rPr>
          <w:i/>
          <w:sz w:val="22"/>
          <w:u w:val="single"/>
        </w:rPr>
        <w:t>Source</w:t>
      </w:r>
      <w:r>
        <w:rPr>
          <w:i/>
          <w:sz w:val="22"/>
        </w:rPr>
        <w:t> : Rapport d’activités, Ecole Nationale de la Jeunesse et des Sports, 1994-1995.</w:t>
      </w:r>
    </w:p>
    <w:p w:rsidR="00000000" w:rsidRDefault="00000000">
      <w:pPr>
        <w:rPr>
          <w:sz w:val="22"/>
        </w:rPr>
      </w:pPr>
    </w:p>
    <w:p w:rsidR="00000000" w:rsidRDefault="00000000">
      <w:pPr>
        <w:rPr>
          <w:i/>
          <w:sz w:val="22"/>
        </w:rPr>
      </w:pPr>
      <w:r>
        <w:rPr>
          <w:i/>
          <w:sz w:val="22"/>
        </w:rPr>
        <w:t>NB: Le tableau des résultats de 1992-1993 donne un pourcentage de 100% dans toutes les filières.</w:t>
      </w:r>
    </w:p>
    <w:p w:rsidR="00000000" w:rsidRDefault="00000000">
      <w:pPr>
        <w:rPr>
          <w:i/>
          <w:sz w:val="22"/>
        </w:rPr>
      </w:pPr>
    </w:p>
    <w:p w:rsidR="00000000" w:rsidRDefault="00000000">
      <w:pPr>
        <w:rPr>
          <w:i/>
          <w:sz w:val="22"/>
        </w:rPr>
      </w:pPr>
    </w:p>
    <w:p w:rsidR="00000000" w:rsidRDefault="00000000">
      <w:pPr>
        <w:pStyle w:val="BodyText2"/>
        <w:tabs>
          <w:tab w:val="left" w:pos="1701"/>
        </w:tabs>
        <w:ind w:left="1701" w:hanging="1701"/>
        <w:rPr>
          <w:u w:val="single"/>
        </w:rPr>
      </w:pPr>
      <w:r>
        <w:rPr>
          <w:u w:val="single"/>
        </w:rPr>
        <w:t>SECTION</w:t>
      </w:r>
      <w:r>
        <w:t xml:space="preserve"> VIII -</w:t>
      </w:r>
      <w:r>
        <w:tab/>
        <w:t>L’</w:t>
      </w:r>
      <w:r>
        <w:rPr>
          <w:u w:val="single"/>
        </w:rPr>
        <w:t>Accès à l’information tendant à assurer la santé, le bien-être des familles et la planification familiale</w:t>
      </w:r>
    </w:p>
    <w:p w:rsidR="00000000" w:rsidRDefault="00000000">
      <w:pPr>
        <w:pStyle w:val="BodyText2"/>
        <w:tabs>
          <w:tab w:val="left" w:pos="1701"/>
        </w:tabs>
        <w:ind w:left="1701" w:hanging="1701"/>
      </w:pPr>
    </w:p>
    <w:p w:rsidR="00000000" w:rsidRDefault="00000000">
      <w:pPr>
        <w:jc w:val="both"/>
        <w:rPr>
          <w:sz w:val="22"/>
        </w:rPr>
      </w:pPr>
      <w:r>
        <w:rPr>
          <w:sz w:val="22"/>
        </w:rPr>
        <w:t>Il est important d’éduquer la jeune fille congolaise à sa vie de future citoyenne, de future mère de famille.</w:t>
      </w:r>
    </w:p>
    <w:p w:rsidR="00000000" w:rsidRDefault="00000000">
      <w:pPr>
        <w:jc w:val="both"/>
        <w:rPr>
          <w:sz w:val="22"/>
        </w:rPr>
      </w:pPr>
    </w:p>
    <w:p w:rsidR="00000000" w:rsidRDefault="00000000">
      <w:pPr>
        <w:jc w:val="both"/>
        <w:rPr>
          <w:sz w:val="22"/>
        </w:rPr>
      </w:pPr>
      <w:r>
        <w:rPr>
          <w:sz w:val="22"/>
        </w:rPr>
        <w:t>Or l’éducation donnée à la jeune fille, les multiples rôles qu’on lui fait jouer (mère, épouse, étudiante, infirmière, nourricière) pèsent sur sa santé, son équilibre et son épanouissement. Alors une prise en charge est nécessaire.</w:t>
      </w:r>
    </w:p>
    <w:p w:rsidR="00000000" w:rsidRDefault="00000000">
      <w:pPr>
        <w:jc w:val="both"/>
        <w:rPr>
          <w:sz w:val="22"/>
        </w:rPr>
      </w:pPr>
    </w:p>
    <w:p w:rsidR="00000000" w:rsidRDefault="00000000">
      <w:pPr>
        <w:jc w:val="both"/>
        <w:rPr>
          <w:sz w:val="22"/>
        </w:rPr>
      </w:pPr>
      <w:r>
        <w:rPr>
          <w:sz w:val="22"/>
        </w:rPr>
        <w:t>C’est pourquoi le Congo a adopté un Plan National de Développement Sanitaire (PNDS) suivant la loi n° 14-92 du 29 avril 1992 qui sert de cadre à la politique nationale en matière de santé. Les femmes et les enfants y occupent une place de choix.</w:t>
      </w:r>
    </w:p>
    <w:p w:rsidR="00000000" w:rsidRDefault="00000000">
      <w:pPr>
        <w:jc w:val="both"/>
        <w:rPr>
          <w:sz w:val="22"/>
        </w:rPr>
      </w:pPr>
      <w:r>
        <w:rPr>
          <w:sz w:val="22"/>
        </w:rPr>
        <w:t>Ce plan a, entre autres objectifs, la promotion de la recherche et la diffusion d’informations sur la santé des femmes, la réduction du taux de mortalité maternelle et infantile de 50% jusqu’à l’an 2001. Il comporte aussi des interventions en rapport avec les besoins des femmes face aux MST, au VIH/SIDA, l’appui des activités concernant la population et la planification familiale.</w:t>
      </w:r>
    </w:p>
    <w:p w:rsidR="00000000" w:rsidRDefault="00000000">
      <w:pPr>
        <w:jc w:val="both"/>
        <w:rPr>
          <w:sz w:val="22"/>
        </w:rPr>
      </w:pPr>
    </w:p>
    <w:p w:rsidR="00000000" w:rsidRDefault="00000000">
      <w:pPr>
        <w:jc w:val="both"/>
        <w:rPr>
          <w:sz w:val="22"/>
        </w:rPr>
      </w:pPr>
      <w:r>
        <w:rPr>
          <w:sz w:val="22"/>
        </w:rPr>
        <w:t>Le Gouvernement Congolais a aussi mené des activités à l’endroit de la jeune femme congolaise.</w:t>
      </w:r>
    </w:p>
    <w:p w:rsidR="00000000" w:rsidRDefault="00000000">
      <w:pPr>
        <w:jc w:val="both"/>
        <w:rPr>
          <w:sz w:val="22"/>
        </w:rPr>
      </w:pPr>
    </w:p>
    <w:p w:rsidR="00000000" w:rsidRDefault="00000000">
      <w:pPr>
        <w:jc w:val="both"/>
        <w:rPr>
          <w:sz w:val="22"/>
        </w:rPr>
      </w:pPr>
      <w:r>
        <w:rPr>
          <w:sz w:val="22"/>
        </w:rPr>
        <w:t xml:space="preserve">Il s’agit de : </w:t>
      </w:r>
    </w:p>
    <w:p w:rsidR="00000000" w:rsidRDefault="00000000">
      <w:pPr>
        <w:numPr>
          <w:ilvl w:val="0"/>
          <w:numId w:val="134"/>
        </w:numPr>
        <w:jc w:val="both"/>
        <w:rPr>
          <w:sz w:val="22"/>
        </w:rPr>
      </w:pPr>
      <w:r>
        <w:rPr>
          <w:sz w:val="22"/>
        </w:rPr>
        <w:t>la création d’un centre de counseilling en planification familiale pour jeunes filles en milieu scolaire ;</w:t>
      </w:r>
    </w:p>
    <w:p w:rsidR="00000000" w:rsidRDefault="00000000">
      <w:pPr>
        <w:numPr>
          <w:ilvl w:val="0"/>
          <w:numId w:val="134"/>
        </w:numPr>
        <w:jc w:val="both"/>
        <w:rPr>
          <w:sz w:val="22"/>
        </w:rPr>
      </w:pPr>
      <w:r>
        <w:rPr>
          <w:sz w:val="22"/>
        </w:rPr>
        <w:t>l’appui à la maternité sans risque avec la formation des animateurs en matière de planning familial avec l’aide de GTZ ;</w:t>
      </w:r>
    </w:p>
    <w:p w:rsidR="00000000" w:rsidRDefault="00000000">
      <w:pPr>
        <w:numPr>
          <w:ilvl w:val="0"/>
          <w:numId w:val="134"/>
        </w:numPr>
        <w:jc w:val="both"/>
        <w:rPr>
          <w:sz w:val="22"/>
        </w:rPr>
      </w:pPr>
      <w:r>
        <w:rPr>
          <w:sz w:val="22"/>
        </w:rPr>
        <w:t>les campagnes d’IEC en matière de santé de la reproduction, santé sexuelle et planification familiale ;</w:t>
      </w:r>
    </w:p>
    <w:p w:rsidR="00000000" w:rsidRDefault="00000000">
      <w:pPr>
        <w:numPr>
          <w:ilvl w:val="0"/>
          <w:numId w:val="134"/>
        </w:numPr>
        <w:jc w:val="both"/>
        <w:rPr>
          <w:sz w:val="22"/>
        </w:rPr>
      </w:pPr>
      <w:r>
        <w:rPr>
          <w:sz w:val="22"/>
        </w:rPr>
        <w:t>l’appui aux activités concernant la population et la planification familiale (lancement du préservatif féminin) souvent menées par les organisations non gouvernementales (ONG) et associations ;</w:t>
      </w:r>
    </w:p>
    <w:p w:rsidR="00000000" w:rsidRDefault="00000000">
      <w:pPr>
        <w:numPr>
          <w:ilvl w:val="0"/>
          <w:numId w:val="134"/>
        </w:numPr>
        <w:jc w:val="both"/>
        <w:rPr>
          <w:sz w:val="22"/>
        </w:rPr>
      </w:pPr>
      <w:r>
        <w:rPr>
          <w:sz w:val="22"/>
        </w:rPr>
        <w:t>le renforcement des programmes de prévention propres à améliorer la santé des femmes.</w:t>
      </w:r>
    </w:p>
    <w:p w:rsidR="00000000" w:rsidRDefault="00000000">
      <w:pPr>
        <w:jc w:val="both"/>
        <w:rPr>
          <w:sz w:val="22"/>
        </w:rPr>
      </w:pPr>
    </w:p>
    <w:p w:rsidR="00000000" w:rsidRDefault="00000000">
      <w:pPr>
        <w:ind w:left="340"/>
        <w:jc w:val="both"/>
        <w:rPr>
          <w:sz w:val="22"/>
        </w:rPr>
      </w:pPr>
      <w:r>
        <w:rPr>
          <w:sz w:val="22"/>
        </w:rPr>
        <w:t xml:space="preserve">Les ONG et associations féminines œuvrent aussi pour aider la femme congolaise dans le domaine </w:t>
      </w:r>
    </w:p>
    <w:p w:rsidR="00000000" w:rsidRDefault="00000000">
      <w:pPr>
        <w:ind w:left="340"/>
        <w:jc w:val="both"/>
        <w:rPr>
          <w:sz w:val="22"/>
        </w:rPr>
      </w:pPr>
      <w:r>
        <w:rPr>
          <w:sz w:val="22"/>
        </w:rPr>
        <w:t>de la santé, du bien-être familial et des problèmes  du SIDA. On peut citer notamment :</w:t>
      </w:r>
    </w:p>
    <w:p w:rsidR="00000000" w:rsidRDefault="00000000">
      <w:pPr>
        <w:ind w:left="340"/>
        <w:jc w:val="both"/>
        <w:rPr>
          <w:sz w:val="22"/>
        </w:rPr>
      </w:pPr>
    </w:p>
    <w:p w:rsidR="00000000" w:rsidRDefault="00000000">
      <w:pPr>
        <w:numPr>
          <w:ilvl w:val="0"/>
          <w:numId w:val="134"/>
        </w:numPr>
        <w:jc w:val="both"/>
        <w:rPr>
          <w:sz w:val="22"/>
        </w:rPr>
      </w:pPr>
      <w:r>
        <w:rPr>
          <w:sz w:val="22"/>
        </w:rPr>
        <w:t>les fraternités féminines catholiques par les causeries – débats ;</w:t>
      </w:r>
    </w:p>
    <w:p w:rsidR="00000000" w:rsidRDefault="00000000">
      <w:pPr>
        <w:numPr>
          <w:ilvl w:val="0"/>
          <w:numId w:val="134"/>
        </w:numPr>
        <w:jc w:val="both"/>
        <w:rPr>
          <w:sz w:val="22"/>
        </w:rPr>
      </w:pPr>
      <w:r>
        <w:rPr>
          <w:sz w:val="22"/>
        </w:rPr>
        <w:t>l’Association Femme et Solidarité ;</w:t>
      </w:r>
    </w:p>
    <w:p w:rsidR="00000000" w:rsidRDefault="00000000">
      <w:pPr>
        <w:numPr>
          <w:ilvl w:val="0"/>
          <w:numId w:val="134"/>
        </w:numPr>
        <w:jc w:val="both"/>
        <w:rPr>
          <w:sz w:val="22"/>
        </w:rPr>
      </w:pPr>
      <w:r>
        <w:rPr>
          <w:sz w:val="22"/>
        </w:rPr>
        <w:t>le Forum des Jeunes Producteurs pour le développement ;</w:t>
      </w:r>
    </w:p>
    <w:p w:rsidR="00000000" w:rsidRDefault="00000000">
      <w:pPr>
        <w:numPr>
          <w:ilvl w:val="0"/>
          <w:numId w:val="134"/>
        </w:numPr>
        <w:jc w:val="both"/>
        <w:rPr>
          <w:sz w:val="22"/>
        </w:rPr>
      </w:pPr>
      <w:r>
        <w:rPr>
          <w:sz w:val="22"/>
        </w:rPr>
        <w:t>l’Association Panafricaine Thomas SANKARA ;</w:t>
      </w:r>
    </w:p>
    <w:p w:rsidR="00000000" w:rsidRDefault="00000000">
      <w:pPr>
        <w:numPr>
          <w:ilvl w:val="0"/>
          <w:numId w:val="134"/>
        </w:numPr>
        <w:jc w:val="both"/>
        <w:rPr>
          <w:sz w:val="22"/>
        </w:rPr>
      </w:pPr>
      <w:r>
        <w:rPr>
          <w:sz w:val="22"/>
        </w:rPr>
        <w:t>l’Organisation des Femmes contre le SIDA ;</w:t>
      </w:r>
    </w:p>
    <w:p w:rsidR="00000000" w:rsidRDefault="00000000">
      <w:pPr>
        <w:numPr>
          <w:ilvl w:val="0"/>
          <w:numId w:val="134"/>
        </w:numPr>
        <w:jc w:val="both"/>
        <w:rPr>
          <w:sz w:val="22"/>
        </w:rPr>
      </w:pPr>
      <w:r>
        <w:rPr>
          <w:sz w:val="22"/>
        </w:rPr>
        <w:t>l’Association Congolaise pour le Bien-être Familial (ACBEF) ;</w:t>
      </w:r>
    </w:p>
    <w:p w:rsidR="00000000" w:rsidRDefault="00000000">
      <w:pPr>
        <w:numPr>
          <w:ilvl w:val="0"/>
          <w:numId w:val="134"/>
        </w:numPr>
        <w:jc w:val="both"/>
        <w:rPr>
          <w:sz w:val="22"/>
        </w:rPr>
      </w:pPr>
      <w:r>
        <w:rPr>
          <w:sz w:val="22"/>
        </w:rPr>
        <w:t>l’IRC qui mène une campagne sur les MST/SIDA, les violences sexuelles, surtout après les guerres congolaises.</w:t>
      </w:r>
    </w:p>
    <w:p w:rsidR="00000000" w:rsidRDefault="00000000">
      <w:pPr>
        <w:jc w:val="both"/>
        <w:rPr>
          <w:sz w:val="22"/>
        </w:rPr>
      </w:pPr>
    </w:p>
    <w:p w:rsidR="00000000" w:rsidRDefault="00000000">
      <w:pPr>
        <w:jc w:val="both"/>
        <w:rPr>
          <w:sz w:val="22"/>
        </w:rPr>
      </w:pPr>
      <w:r>
        <w:rPr>
          <w:sz w:val="22"/>
        </w:rPr>
        <w:t>Les ONG encadrent aussi les jeunes dans le domaine de la drogue et ses méfaits, car c’est un fléau qui a gagné cette couche vulnérable de la société congolaise.</w:t>
      </w:r>
    </w:p>
    <w:p w:rsidR="00000000" w:rsidRDefault="00000000">
      <w:pPr>
        <w:jc w:val="both"/>
        <w:rPr>
          <w:sz w:val="22"/>
        </w:rPr>
      </w:pPr>
    </w:p>
    <w:p w:rsidR="00000000" w:rsidRDefault="00000000">
      <w:pPr>
        <w:jc w:val="both"/>
        <w:rPr>
          <w:sz w:val="22"/>
        </w:rPr>
      </w:pPr>
      <w:r>
        <w:rPr>
          <w:sz w:val="22"/>
        </w:rPr>
        <w:t>Beaucoup d’informations sont diffusées sur les radios ou télévisions congolaises souvent en langues nationales et sous forme de sketches, comme le font l’ACBEF pour le planning familial ou le PMRU sur l’importance de l’utilisation du préservatif pour lutter contre le SIDA et les grossesses non désirées. Ce sont des actions louables car les statistiques montrent que sur 100.000 naissances, l’on compte 890 décès dont 41% liés aux avortements provoqués. Les grossesses précoces entraînent 32% d’accouchements par césarienne.</w:t>
      </w:r>
    </w:p>
    <w:p w:rsidR="00000000" w:rsidRDefault="00000000">
      <w:pPr>
        <w:jc w:val="center"/>
        <w:rPr>
          <w:b/>
          <w:sz w:val="22"/>
          <w:u w:val="single"/>
        </w:rPr>
      </w:pPr>
    </w:p>
    <w:p w:rsidR="00000000" w:rsidRDefault="00000000">
      <w:pPr>
        <w:jc w:val="center"/>
        <w:rPr>
          <w:b/>
          <w:sz w:val="22"/>
          <w:u w:val="single"/>
        </w:rPr>
      </w:pPr>
    </w:p>
    <w:p w:rsidR="00000000" w:rsidRDefault="00000000">
      <w:pPr>
        <w:rPr>
          <w:b/>
          <w:sz w:val="22"/>
          <w:u w:val="single"/>
        </w:rPr>
      </w:pPr>
      <w:r>
        <w:rPr>
          <w:b/>
          <w:sz w:val="22"/>
          <w:u w:val="single"/>
        </w:rPr>
        <w:t>SECTION</w:t>
      </w:r>
      <w:r>
        <w:rPr>
          <w:b/>
          <w:sz w:val="22"/>
        </w:rPr>
        <w:t xml:space="preserve"> IX - </w:t>
      </w:r>
      <w:r>
        <w:rPr>
          <w:b/>
          <w:sz w:val="22"/>
          <w:u w:val="single"/>
        </w:rPr>
        <w:t>Les contraintes</w:t>
      </w:r>
    </w:p>
    <w:p w:rsidR="00000000" w:rsidRDefault="00000000">
      <w:pPr>
        <w:jc w:val="both"/>
        <w:rPr>
          <w:sz w:val="22"/>
        </w:rPr>
      </w:pPr>
    </w:p>
    <w:p w:rsidR="00000000" w:rsidRDefault="00000000">
      <w:pPr>
        <w:jc w:val="both"/>
        <w:rPr>
          <w:sz w:val="22"/>
        </w:rPr>
      </w:pPr>
      <w:r>
        <w:rPr>
          <w:sz w:val="22"/>
        </w:rPr>
        <w:t>Le système éducatif congolais est critiqué à plus d’un titre. On lui reproche notamment d’inculquer aux enfants des valeurs qui ne correspondent pas aux réalités socio-économiques du pays ; l’école congolaise a favorisé l’exode rural et a défavorisé le travail productif. Le système scolaire congolais a trop tendance à former les enfants dans l’objectif du fonctionnariat. Il n’y a pas suffisamment, à court ou moyen terme, de formation professionnelle qualifiée, d’orientation qui permette au jeune de progresser vers le secteur informel. L’échec est cuisant. La mission de formateur n’a pas été totalement accomplie.</w:t>
      </w:r>
    </w:p>
    <w:p w:rsidR="00000000" w:rsidRDefault="00000000">
      <w:pPr>
        <w:jc w:val="both"/>
        <w:rPr>
          <w:sz w:val="22"/>
        </w:rPr>
      </w:pPr>
      <w:r>
        <w:rPr>
          <w:sz w:val="22"/>
        </w:rPr>
        <w:t>Plusieurs facteurs endogènes et exogènes participent à ce constat.</w:t>
      </w:r>
    </w:p>
    <w:p w:rsidR="00000000" w:rsidRDefault="00000000">
      <w:pPr>
        <w:jc w:val="both"/>
        <w:rPr>
          <w:sz w:val="22"/>
        </w:rPr>
      </w:pPr>
    </w:p>
    <w:p w:rsidR="00000000" w:rsidRDefault="00000000">
      <w:pPr>
        <w:jc w:val="both"/>
        <w:rPr>
          <w:b/>
          <w:sz w:val="22"/>
          <w:u w:val="single"/>
        </w:rPr>
      </w:pPr>
      <w:r>
        <w:rPr>
          <w:b/>
          <w:sz w:val="22"/>
        </w:rPr>
        <w:t xml:space="preserve">I-  </w:t>
      </w:r>
      <w:r>
        <w:rPr>
          <w:b/>
          <w:sz w:val="22"/>
          <w:u w:val="single"/>
        </w:rPr>
        <w:t>Les causes endogènes</w:t>
      </w:r>
    </w:p>
    <w:p w:rsidR="00000000" w:rsidRDefault="00000000">
      <w:pPr>
        <w:jc w:val="both"/>
        <w:rPr>
          <w:sz w:val="22"/>
        </w:rPr>
      </w:pPr>
    </w:p>
    <w:p w:rsidR="00000000" w:rsidRDefault="00000000">
      <w:pPr>
        <w:jc w:val="both"/>
        <w:rPr>
          <w:sz w:val="22"/>
        </w:rPr>
      </w:pPr>
      <w:r>
        <w:rPr>
          <w:sz w:val="22"/>
        </w:rPr>
        <w:t>Dès le préscolaire, l’enseignement n’est pas accessible à tous. L’offre d’éducation n’est pas à la hauteur de la demande. La démocratisation de l’enseignement n’a pas été accompagnée de mesures nécessaires pour faire face à une population scolaire en forte augmentation (construction des écoles, formation d’enseignants qualifiés). L’État a fait un effort insuffisant pour construire des écoles en milieu urbain ; mais en milieu rural, ce sont les parents qui se sont investis dans le cadre de « l’action créatrice des masses ». Ainsi, entre 1965 et 1990, on est passé de 806 écoles à 1.620 et de 47 collèges à 223. Mais dans les centres urbains, les écoles étaient surpeuplées (80 à 100 élèves par classe dans le primaire). Et l’horaire scolaire était divisé en 2 groupes : le cycle du matin et le cycle de l’après-midi. Ce qui ne produisait pas toujours des conséquences heureuses : le nombre d’heures d’enseignement a diminué : 5 jours d’école et 22 heures d’enseignement.</w:t>
      </w:r>
    </w:p>
    <w:p w:rsidR="00000000" w:rsidRDefault="00000000">
      <w:pPr>
        <w:jc w:val="both"/>
        <w:rPr>
          <w:sz w:val="22"/>
        </w:rPr>
      </w:pPr>
    </w:p>
    <w:p w:rsidR="00000000" w:rsidRDefault="00000000">
      <w:pPr>
        <w:jc w:val="both"/>
        <w:rPr>
          <w:sz w:val="22"/>
        </w:rPr>
      </w:pPr>
      <w:r>
        <w:rPr>
          <w:sz w:val="22"/>
        </w:rPr>
        <w:t>Le déficit chronique d’enseignants a justifié le recrutement des « volontaires de l’enseignement » non qualifiés. D’autres centres de formation des enseignants ont été créés à Brazzaville, Owando et Loubomo. Il en résulte l’augmentation quantitative d’enseignants mais pas de manière qualitative.</w:t>
      </w:r>
    </w:p>
    <w:p w:rsidR="00000000" w:rsidRDefault="00000000">
      <w:pPr>
        <w:jc w:val="both"/>
        <w:rPr>
          <w:sz w:val="22"/>
        </w:rPr>
      </w:pPr>
    </w:p>
    <w:p w:rsidR="00000000" w:rsidRDefault="00000000">
      <w:pPr>
        <w:jc w:val="both"/>
        <w:rPr>
          <w:sz w:val="22"/>
        </w:rPr>
      </w:pPr>
      <w:r>
        <w:rPr>
          <w:sz w:val="22"/>
        </w:rPr>
        <w:t>Les classes sont surpeuplées. Dans le cadre de l’Education Pour Tous, l’enseignement est obligatoire et tous les enfants sont  pris en charge par l’Etat. Les villages ne sont pas structurés, et on assiste à l’exode rural. Les maîtres sont débordés car ils s’occupent de 2 à 3 classes. Il y a eu aussi « l’école du dimanche ». On déplore la pénurie en matériel didactique : livres, et matériel de laboratoire. L’enseignant est contraint de dicter ou de faire copier les cours au lieu d’expliquer, de démontrer et de faire faire des exercices.</w:t>
      </w:r>
    </w:p>
    <w:p w:rsidR="00000000" w:rsidRDefault="00000000">
      <w:pPr>
        <w:jc w:val="both"/>
        <w:rPr>
          <w:sz w:val="22"/>
        </w:rPr>
      </w:pPr>
    </w:p>
    <w:p w:rsidR="00000000" w:rsidRDefault="00000000">
      <w:pPr>
        <w:jc w:val="both"/>
        <w:rPr>
          <w:sz w:val="22"/>
        </w:rPr>
      </w:pPr>
      <w:r>
        <w:rPr>
          <w:sz w:val="22"/>
        </w:rPr>
        <w:t>La discrimination sexuelle apparaît comme une contrainte supplémentaire. La scolarité des filles a diminué pour différentes raisons. Les filles abandonnent vite l’école. Les parents n’accordent pas beaucoup d’importance à l’éducation des filles. Elles doivent se consacrer aux corvées domestiques. Elles ont peu de loisirs ou de temps pour étudier. Et ne dit-on pas, « pour une fille, décrocher un diplôme n’est pas une priorité, mieux vaut un bon mariage ». Les problèmes sexuels et affectifs surgissent tôt chez le jeune congolais. Mais chez les filles, les causes sont plus graves : grossesses précoces ; le manque d’éducation sexuelle dans les familles et les écoles contribuent à la propagation rapide des MST. La jeune fille, souvent rejetée, abandonnée à elle-même, provoque un avortement fait dans des conditions douteuses (avec ses conséquences futures) ou se fait entretenir par un homme, ou alors rejoint vite la rue.</w:t>
      </w:r>
    </w:p>
    <w:p w:rsidR="00000000" w:rsidRDefault="00000000">
      <w:pPr>
        <w:jc w:val="both"/>
        <w:rPr>
          <w:sz w:val="22"/>
        </w:rPr>
      </w:pPr>
    </w:p>
    <w:p w:rsidR="00000000" w:rsidRDefault="00000000">
      <w:pPr>
        <w:jc w:val="both"/>
        <w:rPr>
          <w:sz w:val="22"/>
        </w:rPr>
      </w:pPr>
      <w:r>
        <w:rPr>
          <w:sz w:val="22"/>
        </w:rPr>
        <w:t>Les enseignants, nombreux, sont aussi parmi ceux qui pratiquent le harcèlement sexuel de leurs élèves.</w:t>
      </w:r>
    </w:p>
    <w:p w:rsidR="00000000" w:rsidRDefault="00000000">
      <w:pPr>
        <w:jc w:val="both"/>
        <w:rPr>
          <w:sz w:val="22"/>
        </w:rPr>
      </w:pPr>
    </w:p>
    <w:p w:rsidR="00000000" w:rsidRDefault="00000000">
      <w:pPr>
        <w:pStyle w:val="Heading8"/>
        <w:rPr>
          <w:u w:val="single"/>
        </w:rPr>
      </w:pPr>
      <w:r>
        <w:t xml:space="preserve">II - </w:t>
      </w:r>
      <w:r>
        <w:rPr>
          <w:u w:val="single"/>
        </w:rPr>
        <w:t>Les causes exogènes</w:t>
      </w:r>
    </w:p>
    <w:p w:rsidR="00000000" w:rsidRDefault="00000000">
      <w:pPr>
        <w:jc w:val="both"/>
        <w:rPr>
          <w:sz w:val="22"/>
        </w:rPr>
      </w:pPr>
    </w:p>
    <w:p w:rsidR="00000000" w:rsidRDefault="00000000">
      <w:pPr>
        <w:jc w:val="both"/>
        <w:rPr>
          <w:sz w:val="22"/>
        </w:rPr>
      </w:pPr>
      <w:r>
        <w:rPr>
          <w:sz w:val="22"/>
        </w:rPr>
        <w:t>Elles sont dues à l’environnement général. La situation économique du pays exerce une grande influence sur l’éducation des enfants. Elle n’est pas favorable à l’éducation normale des enfants. A ces facteurs s’ajoute une politique éducative caractérisée par :</w:t>
      </w:r>
    </w:p>
    <w:p w:rsidR="00000000" w:rsidRDefault="00000000">
      <w:pPr>
        <w:jc w:val="both"/>
        <w:rPr>
          <w:sz w:val="22"/>
        </w:rPr>
      </w:pPr>
    </w:p>
    <w:p w:rsidR="00000000" w:rsidRDefault="00000000">
      <w:pPr>
        <w:numPr>
          <w:ilvl w:val="0"/>
          <w:numId w:val="134"/>
        </w:numPr>
        <w:jc w:val="both"/>
        <w:rPr>
          <w:sz w:val="22"/>
        </w:rPr>
      </w:pPr>
      <w:r>
        <w:rPr>
          <w:sz w:val="22"/>
        </w:rPr>
        <w:t>trois principes directeurs : démocratisation, obligation scolaire, gratuité de l’enseignement ;</w:t>
      </w:r>
    </w:p>
    <w:p w:rsidR="00000000" w:rsidRDefault="00000000">
      <w:pPr>
        <w:numPr>
          <w:ilvl w:val="0"/>
          <w:numId w:val="134"/>
        </w:numPr>
        <w:jc w:val="both"/>
        <w:rPr>
          <w:sz w:val="22"/>
        </w:rPr>
      </w:pPr>
      <w:r>
        <w:rPr>
          <w:sz w:val="22"/>
        </w:rPr>
        <w:t>le développement de l’enseignement général au détriment de l’enseignement technique ;</w:t>
      </w:r>
    </w:p>
    <w:p w:rsidR="00000000" w:rsidRDefault="00000000">
      <w:pPr>
        <w:numPr>
          <w:ilvl w:val="0"/>
          <w:numId w:val="134"/>
        </w:numPr>
        <w:jc w:val="both"/>
        <w:rPr>
          <w:sz w:val="22"/>
        </w:rPr>
      </w:pPr>
      <w:r>
        <w:rPr>
          <w:sz w:val="22"/>
        </w:rPr>
        <w:t>la faiblesse de la rémunération des enseignants ;</w:t>
      </w:r>
    </w:p>
    <w:p w:rsidR="00000000" w:rsidRDefault="00000000">
      <w:pPr>
        <w:numPr>
          <w:ilvl w:val="0"/>
          <w:numId w:val="134"/>
        </w:numPr>
        <w:jc w:val="both"/>
        <w:rPr>
          <w:sz w:val="22"/>
        </w:rPr>
      </w:pPr>
      <w:r>
        <w:rPr>
          <w:sz w:val="22"/>
        </w:rPr>
        <w:t>un environnement défavorable. On n’a pas formé le jeune congolais pour faire face à la vie. L’école a donné une éducation purement livresque. Les congrégations religieuses seules ont pu donner autre chose surtout chez la jeune fille.</w:t>
      </w:r>
    </w:p>
    <w:p w:rsidR="00000000" w:rsidRDefault="00000000">
      <w:pPr>
        <w:jc w:val="both"/>
        <w:rPr>
          <w:sz w:val="22"/>
        </w:rPr>
      </w:pPr>
    </w:p>
    <w:p w:rsidR="00000000" w:rsidRDefault="00000000">
      <w:pPr>
        <w:jc w:val="both"/>
        <w:rPr>
          <w:sz w:val="22"/>
        </w:rPr>
      </w:pPr>
      <w:r>
        <w:rPr>
          <w:sz w:val="22"/>
        </w:rPr>
        <w:t>Les parents n’ont pas pu toujours contribuer à la formation de leurs enfants, l’analphabétisme féminin est préoccupant car : « Les enfants dont les mères ont reçu une bonne éducation ont des plus grandes chances de survivre et d’avoir une croissance saine » (directeur général de l’UNICEF). Or les mères elles-mêmes ont subi plusieurs traumatismes : l’analphabétisme, les guerres incessantes depuis 1993 (les femmes et les enfants ont été les principales victimes de ces guerres), les crises économiques et l’explosion des MST et du SIDA.</w:t>
      </w:r>
    </w:p>
    <w:p w:rsidR="00000000" w:rsidRDefault="00000000">
      <w:pPr>
        <w:jc w:val="both"/>
        <w:rPr>
          <w:sz w:val="22"/>
        </w:rPr>
      </w:pPr>
    </w:p>
    <w:p w:rsidR="00000000" w:rsidRDefault="00000000">
      <w:pPr>
        <w:jc w:val="both"/>
        <w:rPr>
          <w:sz w:val="22"/>
        </w:rPr>
      </w:pPr>
    </w:p>
    <w:p w:rsidR="00000000" w:rsidRDefault="00000000">
      <w:pPr>
        <w:jc w:val="both"/>
        <w:rPr>
          <w:b/>
          <w:sz w:val="22"/>
          <w:u w:val="single"/>
        </w:rPr>
      </w:pPr>
      <w:r>
        <w:rPr>
          <w:b/>
          <w:sz w:val="22"/>
          <w:u w:val="single"/>
        </w:rPr>
        <w:t>SECTION X</w:t>
      </w:r>
      <w:r>
        <w:rPr>
          <w:b/>
          <w:sz w:val="22"/>
        </w:rPr>
        <w:t xml:space="preserve"> - </w:t>
      </w:r>
      <w:r>
        <w:rPr>
          <w:b/>
          <w:sz w:val="22"/>
          <w:u w:val="single"/>
        </w:rPr>
        <w:t>PERSPECTIVES</w:t>
      </w:r>
    </w:p>
    <w:p w:rsidR="00000000" w:rsidRDefault="00000000">
      <w:pPr>
        <w:jc w:val="both"/>
        <w:rPr>
          <w:sz w:val="22"/>
        </w:rPr>
      </w:pPr>
    </w:p>
    <w:p w:rsidR="00000000" w:rsidRDefault="00000000">
      <w:pPr>
        <w:jc w:val="both"/>
        <w:rPr>
          <w:sz w:val="22"/>
        </w:rPr>
      </w:pPr>
      <w:r>
        <w:rPr>
          <w:sz w:val="22"/>
        </w:rPr>
        <w:t>Au Congo, le système éducatif a donné dans l’ensemble des résultats satisfaisants même si les problèmes nés après la nationalisation ont limité l’acquis. Si les garçons ont pu émerger, le constat est que, les filles ont du mal à réussir surtout dans les domaines scientifiques et technologiques. Or, les filles doivent être motivées, encouragées car elles seront des futurs acteurs économiques de premier plan. Et l’éducation a un grand rôle à jouer. Si l’on veut que les femmes et les filles réussissent dans la vie et soient des partenaires à part entière, les réformes éducatives dans les programmes et les politiques pédagogiques doivent être réalisées. Les réformes de l’éducation doivent se fonder sur les quatre piliers que sont : apprendre à connaître, apprendre à faire, apprendre à vivre ensemble, apprendre à être.</w:t>
      </w:r>
    </w:p>
    <w:p w:rsidR="00000000" w:rsidRDefault="00000000">
      <w:pPr>
        <w:jc w:val="both"/>
        <w:rPr>
          <w:sz w:val="22"/>
        </w:rPr>
      </w:pPr>
    </w:p>
    <w:p w:rsidR="00000000" w:rsidRDefault="00000000">
      <w:pPr>
        <w:jc w:val="both"/>
        <w:rPr>
          <w:sz w:val="22"/>
        </w:rPr>
      </w:pPr>
      <w:r>
        <w:rPr>
          <w:sz w:val="22"/>
        </w:rPr>
        <w:t>Plusieurs perspectives peuvent être envisagées dans le secteur de l’éducation en général et pour les jeunes filles en particulier.</w:t>
      </w:r>
    </w:p>
    <w:p w:rsidR="00000000" w:rsidRDefault="00000000">
      <w:pPr>
        <w:jc w:val="both"/>
        <w:rPr>
          <w:sz w:val="22"/>
        </w:rPr>
      </w:pPr>
    </w:p>
    <w:p w:rsidR="00000000" w:rsidRDefault="00000000">
      <w:pPr>
        <w:jc w:val="both"/>
        <w:rPr>
          <w:b/>
          <w:sz w:val="22"/>
          <w:u w:val="single"/>
        </w:rPr>
      </w:pPr>
      <w:r>
        <w:rPr>
          <w:b/>
          <w:sz w:val="22"/>
          <w:u w:val="single"/>
        </w:rPr>
        <w:t>Les perspectives</w:t>
      </w:r>
    </w:p>
    <w:p w:rsidR="00000000" w:rsidRDefault="00000000">
      <w:pPr>
        <w:jc w:val="both"/>
        <w:rPr>
          <w:sz w:val="22"/>
        </w:rPr>
      </w:pPr>
    </w:p>
    <w:p w:rsidR="00000000" w:rsidRDefault="00000000">
      <w:pPr>
        <w:jc w:val="both"/>
        <w:rPr>
          <w:b/>
          <w:sz w:val="22"/>
        </w:rPr>
      </w:pPr>
      <w:r>
        <w:rPr>
          <w:b/>
          <w:sz w:val="22"/>
        </w:rPr>
        <w:t xml:space="preserve">I - </w:t>
      </w:r>
      <w:r>
        <w:rPr>
          <w:b/>
          <w:sz w:val="22"/>
          <w:u w:val="single"/>
        </w:rPr>
        <w:t>En général</w:t>
      </w:r>
      <w:r>
        <w:rPr>
          <w:b/>
          <w:sz w:val="22"/>
        </w:rPr>
        <w:t> :</w:t>
      </w:r>
    </w:p>
    <w:p w:rsidR="00000000" w:rsidRDefault="00000000">
      <w:pPr>
        <w:jc w:val="both"/>
        <w:rPr>
          <w:b/>
          <w:sz w:val="22"/>
        </w:rPr>
      </w:pPr>
    </w:p>
    <w:p w:rsidR="00000000" w:rsidRDefault="00000000">
      <w:pPr>
        <w:numPr>
          <w:ilvl w:val="0"/>
          <w:numId w:val="209"/>
        </w:numPr>
        <w:jc w:val="both"/>
        <w:rPr>
          <w:sz w:val="22"/>
        </w:rPr>
      </w:pPr>
      <w:r>
        <w:rPr>
          <w:sz w:val="22"/>
        </w:rPr>
        <w:t>allouer davantage de ressources nationales à l’éducation et établir une éducation universelle et gratuite ;</w:t>
      </w:r>
    </w:p>
    <w:p w:rsidR="00000000" w:rsidRDefault="00000000">
      <w:pPr>
        <w:numPr>
          <w:ilvl w:val="0"/>
          <w:numId w:val="209"/>
        </w:numPr>
        <w:jc w:val="both"/>
        <w:rPr>
          <w:sz w:val="22"/>
        </w:rPr>
      </w:pPr>
      <w:r>
        <w:rPr>
          <w:sz w:val="22"/>
        </w:rPr>
        <w:t>impliquer les institutions sociales et les organismes internationaux dans la réforme du système éducatif ainsi que les communautés locales religieuses et les organisations non gouvernementales ;</w:t>
      </w:r>
    </w:p>
    <w:p w:rsidR="00000000" w:rsidRDefault="00000000">
      <w:pPr>
        <w:numPr>
          <w:ilvl w:val="0"/>
          <w:numId w:val="209"/>
        </w:numPr>
        <w:jc w:val="both"/>
        <w:rPr>
          <w:sz w:val="22"/>
        </w:rPr>
      </w:pPr>
      <w:r>
        <w:rPr>
          <w:sz w:val="22"/>
        </w:rPr>
        <w:t>développer une politique d’amélioration des conditions de travail ;</w:t>
      </w:r>
    </w:p>
    <w:p w:rsidR="00000000" w:rsidRDefault="00000000">
      <w:pPr>
        <w:numPr>
          <w:ilvl w:val="0"/>
          <w:numId w:val="209"/>
        </w:numPr>
        <w:jc w:val="both"/>
        <w:rPr>
          <w:sz w:val="22"/>
        </w:rPr>
      </w:pPr>
      <w:r>
        <w:rPr>
          <w:sz w:val="22"/>
        </w:rPr>
        <w:t>assurer des conditions de travail plus attrayantes pour les enseignants pour qu’ils ne se tournent plus vers les carrières plus honorifiques comme la diplomatie ou plus « reposantes » comme l’administration générale. La prime d’enseignant insignifiante est à revaloriser. L’application du décret n° 99-50 du 3 avril 1999 portant avancements des enseignants doit être effective et se faire à grande échelle et avec diligence ;</w:t>
      </w:r>
    </w:p>
    <w:p w:rsidR="00000000" w:rsidRDefault="00000000">
      <w:pPr>
        <w:numPr>
          <w:ilvl w:val="0"/>
          <w:numId w:val="209"/>
        </w:numPr>
        <w:jc w:val="both"/>
        <w:rPr>
          <w:sz w:val="22"/>
        </w:rPr>
      </w:pPr>
      <w:r>
        <w:rPr>
          <w:sz w:val="22"/>
        </w:rPr>
        <w:t>assurer des performances de sensibilisation en matière d’équité des sexes pour les enseignants ;</w:t>
      </w:r>
    </w:p>
    <w:p w:rsidR="00000000" w:rsidRDefault="00000000">
      <w:pPr>
        <w:numPr>
          <w:ilvl w:val="0"/>
          <w:numId w:val="209"/>
        </w:numPr>
        <w:jc w:val="both"/>
        <w:rPr>
          <w:sz w:val="22"/>
        </w:rPr>
      </w:pPr>
      <w:r>
        <w:rPr>
          <w:sz w:val="22"/>
        </w:rPr>
        <w:t>réviser les programmes d’étude et les matériels de formation pour supprimer les injustices liées au sexe et qu’ils soient plus destinés aux besoins des communautés ;</w:t>
      </w:r>
    </w:p>
    <w:p w:rsidR="00000000" w:rsidRDefault="00000000">
      <w:pPr>
        <w:numPr>
          <w:ilvl w:val="0"/>
          <w:numId w:val="209"/>
        </w:numPr>
        <w:jc w:val="both"/>
        <w:rPr>
          <w:sz w:val="22"/>
        </w:rPr>
      </w:pPr>
      <w:r>
        <w:rPr>
          <w:sz w:val="22"/>
        </w:rPr>
        <w:t>réactualiser les programmes d’alphabétisation ;</w:t>
      </w:r>
    </w:p>
    <w:p w:rsidR="00000000" w:rsidRDefault="00000000">
      <w:pPr>
        <w:numPr>
          <w:ilvl w:val="0"/>
          <w:numId w:val="209"/>
        </w:numPr>
        <w:jc w:val="both"/>
        <w:rPr>
          <w:sz w:val="22"/>
        </w:rPr>
      </w:pPr>
      <w:r>
        <w:rPr>
          <w:sz w:val="22"/>
        </w:rPr>
        <w:t>instaurer un comité national de suivi et d’évaluation des activités et un programme national d’éducation du citoyen ;</w:t>
      </w:r>
    </w:p>
    <w:p w:rsidR="00000000" w:rsidRDefault="00000000">
      <w:pPr>
        <w:numPr>
          <w:ilvl w:val="0"/>
          <w:numId w:val="209"/>
        </w:numPr>
        <w:jc w:val="both"/>
        <w:rPr>
          <w:sz w:val="22"/>
        </w:rPr>
      </w:pPr>
      <w:r>
        <w:rPr>
          <w:sz w:val="22"/>
        </w:rPr>
        <w:t>mettre en place des structures « exécution du programme d’éducation » ;</w:t>
      </w:r>
    </w:p>
    <w:p w:rsidR="00000000" w:rsidRDefault="00000000">
      <w:pPr>
        <w:numPr>
          <w:ilvl w:val="0"/>
          <w:numId w:val="209"/>
        </w:numPr>
        <w:jc w:val="both"/>
        <w:rPr>
          <w:sz w:val="22"/>
        </w:rPr>
      </w:pPr>
      <w:r>
        <w:rPr>
          <w:sz w:val="22"/>
        </w:rPr>
        <w:t>créer des centres régionaux d’éducation et d’instruction civiques ;</w:t>
      </w:r>
    </w:p>
    <w:p w:rsidR="00000000" w:rsidRDefault="00000000">
      <w:pPr>
        <w:numPr>
          <w:ilvl w:val="0"/>
          <w:numId w:val="209"/>
        </w:numPr>
        <w:jc w:val="both"/>
        <w:rPr>
          <w:sz w:val="22"/>
        </w:rPr>
      </w:pPr>
      <w:r>
        <w:rPr>
          <w:sz w:val="22"/>
        </w:rPr>
        <w:t>intégrer l’éducation et l’instruction civiques dans les programmes scolaires, les programmes d’alphabétisation et d’éducation populaire ;</w:t>
      </w:r>
    </w:p>
    <w:p w:rsidR="00000000" w:rsidRDefault="00000000">
      <w:pPr>
        <w:numPr>
          <w:ilvl w:val="0"/>
          <w:numId w:val="209"/>
        </w:numPr>
        <w:jc w:val="both"/>
        <w:rPr>
          <w:sz w:val="22"/>
        </w:rPr>
      </w:pPr>
      <w:r>
        <w:rPr>
          <w:sz w:val="22"/>
        </w:rPr>
        <w:t>organiser des forums à travers le pays sur la culture démocratique, la bonne gouvernance et la culture de la paix ;</w:t>
      </w:r>
    </w:p>
    <w:p w:rsidR="00000000" w:rsidRDefault="00000000">
      <w:pPr>
        <w:numPr>
          <w:ilvl w:val="0"/>
          <w:numId w:val="209"/>
        </w:numPr>
        <w:jc w:val="both"/>
        <w:rPr>
          <w:sz w:val="22"/>
        </w:rPr>
      </w:pPr>
      <w:r>
        <w:rPr>
          <w:sz w:val="22"/>
        </w:rPr>
        <w:t>encourager l’esprit d’entreprise chez l’enfant ;</w:t>
      </w:r>
    </w:p>
    <w:p w:rsidR="00000000" w:rsidRDefault="00000000">
      <w:pPr>
        <w:numPr>
          <w:ilvl w:val="0"/>
          <w:numId w:val="209"/>
        </w:numPr>
        <w:jc w:val="both"/>
        <w:rPr>
          <w:sz w:val="22"/>
        </w:rPr>
      </w:pPr>
      <w:r>
        <w:rPr>
          <w:sz w:val="22"/>
        </w:rPr>
        <w:t>améliorer les conditions d’enseignement dans les régions pour freiner l’exode rural ;</w:t>
      </w:r>
    </w:p>
    <w:p w:rsidR="00000000" w:rsidRDefault="00000000">
      <w:pPr>
        <w:numPr>
          <w:ilvl w:val="0"/>
          <w:numId w:val="209"/>
        </w:numPr>
        <w:jc w:val="both"/>
        <w:rPr>
          <w:sz w:val="22"/>
        </w:rPr>
      </w:pPr>
      <w:r>
        <w:rPr>
          <w:sz w:val="22"/>
        </w:rPr>
        <w:t>revaloriser le patrimoine culturel traditionnel ;</w:t>
      </w:r>
    </w:p>
    <w:p w:rsidR="00000000" w:rsidRDefault="00000000">
      <w:pPr>
        <w:numPr>
          <w:ilvl w:val="0"/>
          <w:numId w:val="209"/>
        </w:numPr>
        <w:jc w:val="both"/>
        <w:rPr>
          <w:sz w:val="22"/>
        </w:rPr>
      </w:pPr>
      <w:r>
        <w:rPr>
          <w:sz w:val="22"/>
        </w:rPr>
        <w:t>réactualiser le plan d’action national pour l’enfant (PANE) ;</w:t>
      </w:r>
    </w:p>
    <w:p w:rsidR="00000000" w:rsidRDefault="00000000">
      <w:pPr>
        <w:numPr>
          <w:ilvl w:val="0"/>
          <w:numId w:val="209"/>
        </w:numPr>
        <w:jc w:val="both"/>
        <w:rPr>
          <w:sz w:val="22"/>
        </w:rPr>
      </w:pPr>
      <w:r>
        <w:rPr>
          <w:sz w:val="22"/>
        </w:rPr>
        <w:t>réinstaurer le système d’émulation scolaire avec la distribution des prix aux meilleurs élèves.</w:t>
      </w:r>
    </w:p>
    <w:p w:rsidR="00000000" w:rsidRDefault="00000000">
      <w:pPr>
        <w:numPr>
          <w:ilvl w:val="0"/>
          <w:numId w:val="209"/>
        </w:numPr>
        <w:jc w:val="both"/>
        <w:rPr>
          <w:sz w:val="22"/>
        </w:rPr>
      </w:pPr>
      <w:r>
        <w:rPr>
          <w:sz w:val="22"/>
        </w:rPr>
        <w:t>En un mot afficher une volonté politique très forte pour inverser les tendances actuelles.</w:t>
      </w:r>
    </w:p>
    <w:p w:rsidR="00000000" w:rsidRDefault="00000000">
      <w:pPr>
        <w:jc w:val="both"/>
        <w:rPr>
          <w:b/>
          <w:sz w:val="22"/>
          <w:u w:val="single"/>
        </w:rPr>
      </w:pPr>
    </w:p>
    <w:p w:rsidR="00000000" w:rsidRDefault="00000000">
      <w:pPr>
        <w:jc w:val="both"/>
        <w:rPr>
          <w:sz w:val="22"/>
        </w:rPr>
      </w:pPr>
      <w:r>
        <w:rPr>
          <w:b/>
          <w:sz w:val="22"/>
          <w:u w:val="single"/>
        </w:rPr>
        <w:t>Les perspectives pour les filles</w:t>
      </w:r>
    </w:p>
    <w:p w:rsidR="00000000" w:rsidRDefault="00000000">
      <w:pPr>
        <w:pStyle w:val="Heading8"/>
      </w:pPr>
      <w:r>
        <w:t xml:space="preserve">II - </w:t>
      </w:r>
      <w:r>
        <w:rPr>
          <w:u w:val="single"/>
        </w:rPr>
        <w:t>Pour les filles</w:t>
      </w:r>
    </w:p>
    <w:p w:rsidR="00000000" w:rsidRDefault="00000000">
      <w:pPr>
        <w:jc w:val="both"/>
        <w:rPr>
          <w:sz w:val="22"/>
        </w:rPr>
      </w:pPr>
    </w:p>
    <w:p w:rsidR="00000000" w:rsidRDefault="00000000">
      <w:pPr>
        <w:numPr>
          <w:ilvl w:val="0"/>
          <w:numId w:val="134"/>
        </w:numPr>
        <w:jc w:val="both"/>
        <w:rPr>
          <w:sz w:val="22"/>
        </w:rPr>
      </w:pPr>
      <w:r>
        <w:rPr>
          <w:sz w:val="22"/>
        </w:rPr>
        <w:t>Réduire la charge du travail domestique des femmes et des jeunes filles afin de leur permettre de continuer leurs études. Ce qui implique un changement de mentalité et une amélioration économique des familles ;</w:t>
      </w:r>
    </w:p>
    <w:p w:rsidR="00000000" w:rsidRDefault="00000000">
      <w:pPr>
        <w:numPr>
          <w:ilvl w:val="0"/>
          <w:numId w:val="134"/>
        </w:numPr>
        <w:jc w:val="both"/>
        <w:rPr>
          <w:sz w:val="22"/>
        </w:rPr>
      </w:pPr>
      <w:r>
        <w:rPr>
          <w:sz w:val="22"/>
        </w:rPr>
        <w:t>établir des programmes d’orientation et de counseilling  pour les filles afin de leur permettre de faire des choix de carrière très tôt ;</w:t>
      </w:r>
    </w:p>
    <w:p w:rsidR="00000000" w:rsidRDefault="00000000">
      <w:pPr>
        <w:numPr>
          <w:ilvl w:val="0"/>
          <w:numId w:val="134"/>
        </w:numPr>
        <w:jc w:val="both"/>
        <w:rPr>
          <w:sz w:val="22"/>
        </w:rPr>
      </w:pPr>
      <w:r>
        <w:rPr>
          <w:sz w:val="22"/>
        </w:rPr>
        <w:t>favoriser le retour à l’école des mères-enfants et des filles enceintes et leur accorder des aides sociales conséquentes ;</w:t>
      </w:r>
    </w:p>
    <w:p w:rsidR="00000000" w:rsidRDefault="00000000">
      <w:pPr>
        <w:numPr>
          <w:ilvl w:val="0"/>
          <w:numId w:val="134"/>
        </w:numPr>
        <w:jc w:val="both"/>
        <w:rPr>
          <w:sz w:val="22"/>
        </w:rPr>
      </w:pPr>
      <w:r>
        <w:rPr>
          <w:sz w:val="22"/>
        </w:rPr>
        <w:t>accroître la prise de conscience des communautés sur l’éducation des filles ;</w:t>
      </w:r>
    </w:p>
    <w:p w:rsidR="00000000" w:rsidRDefault="00000000">
      <w:pPr>
        <w:numPr>
          <w:ilvl w:val="0"/>
          <w:numId w:val="134"/>
        </w:numPr>
        <w:jc w:val="both"/>
        <w:rPr>
          <w:sz w:val="22"/>
        </w:rPr>
      </w:pPr>
      <w:r>
        <w:rPr>
          <w:sz w:val="22"/>
        </w:rPr>
        <w:t>renforcer ou réactualiser les programmes d’alphabétisation des femmes adultes et d’éducation permanente ;</w:t>
      </w:r>
    </w:p>
    <w:p w:rsidR="00000000" w:rsidRDefault="00000000">
      <w:pPr>
        <w:numPr>
          <w:ilvl w:val="0"/>
          <w:numId w:val="134"/>
        </w:numPr>
        <w:jc w:val="both"/>
        <w:rPr>
          <w:sz w:val="22"/>
        </w:rPr>
      </w:pPr>
      <w:r>
        <w:rPr>
          <w:sz w:val="22"/>
        </w:rPr>
        <w:t>adopter des nouvelles politiques d’éducation et de formation en accordant une attention particulière au problème d’éducation des filles – surtout au niveau du primaire ;</w:t>
      </w:r>
    </w:p>
    <w:p w:rsidR="00000000" w:rsidRDefault="00000000">
      <w:pPr>
        <w:numPr>
          <w:ilvl w:val="0"/>
          <w:numId w:val="134"/>
        </w:numPr>
        <w:jc w:val="both"/>
        <w:rPr>
          <w:sz w:val="22"/>
        </w:rPr>
      </w:pPr>
      <w:r>
        <w:rPr>
          <w:sz w:val="22"/>
        </w:rPr>
        <w:t>recruter des professeurs féminins dans les zones rurales et urbaines capables de mieux appréhender les problèmes des femmes ;</w:t>
      </w:r>
    </w:p>
    <w:p w:rsidR="00000000" w:rsidRDefault="00000000">
      <w:pPr>
        <w:numPr>
          <w:ilvl w:val="0"/>
          <w:numId w:val="134"/>
        </w:numPr>
        <w:jc w:val="both"/>
        <w:rPr>
          <w:sz w:val="22"/>
        </w:rPr>
      </w:pPr>
      <w:r>
        <w:rPr>
          <w:sz w:val="22"/>
        </w:rPr>
        <w:t>mettre en œuvre des programmes flexibles dans les zones rurales pour encourager une participation plus grande des filles et pour augmenter leur assiduité, comme le recommande le programme de l’Education Pour Tous (EPT) ;</w:t>
      </w:r>
    </w:p>
    <w:p w:rsidR="00000000" w:rsidRDefault="00000000">
      <w:pPr>
        <w:numPr>
          <w:ilvl w:val="0"/>
          <w:numId w:val="134"/>
        </w:numPr>
        <w:jc w:val="both"/>
        <w:rPr>
          <w:sz w:val="22"/>
        </w:rPr>
      </w:pPr>
      <w:r>
        <w:rPr>
          <w:sz w:val="22"/>
        </w:rPr>
        <w:t>accroître l’obtention des bourses par les jeunes filles ;</w:t>
      </w:r>
    </w:p>
    <w:p w:rsidR="00000000" w:rsidRDefault="00000000">
      <w:pPr>
        <w:numPr>
          <w:ilvl w:val="0"/>
          <w:numId w:val="134"/>
        </w:numPr>
        <w:jc w:val="both"/>
        <w:rPr>
          <w:sz w:val="22"/>
        </w:rPr>
      </w:pPr>
      <w:r>
        <w:rPr>
          <w:sz w:val="22"/>
        </w:rPr>
        <w:t>rendre les domaines de la science et de la technologie plus attrayants et plus accessibles aux femmes. Pour cela, il faudra :</w:t>
      </w:r>
    </w:p>
    <w:p w:rsidR="00000000" w:rsidRDefault="00000000">
      <w:pPr>
        <w:numPr>
          <w:ilvl w:val="0"/>
          <w:numId w:val="150"/>
        </w:numPr>
        <w:ind w:left="475" w:hanging="135"/>
        <w:jc w:val="both"/>
        <w:rPr>
          <w:sz w:val="22"/>
        </w:rPr>
      </w:pPr>
      <w:r>
        <w:rPr>
          <w:sz w:val="22"/>
        </w:rPr>
        <w:t>réviser les programmes d’études et le matériel éducatif à tous les niveaux afin de bannir les stéréotypes tendant à décourager les femmes dans le choix des professions techniques ;</w:t>
      </w:r>
    </w:p>
    <w:p w:rsidR="00000000" w:rsidRDefault="00000000">
      <w:pPr>
        <w:numPr>
          <w:ilvl w:val="0"/>
          <w:numId w:val="150"/>
        </w:numPr>
        <w:ind w:left="475" w:hanging="135"/>
        <w:jc w:val="both"/>
        <w:rPr>
          <w:sz w:val="22"/>
        </w:rPr>
      </w:pPr>
      <w:r>
        <w:rPr>
          <w:sz w:val="22"/>
        </w:rPr>
        <w:t>apporter  une assistance particulière aux femmes qui sont dans les carrières scientifiques et technologiques ;</w:t>
      </w:r>
    </w:p>
    <w:p w:rsidR="00000000" w:rsidRDefault="00000000">
      <w:pPr>
        <w:numPr>
          <w:ilvl w:val="0"/>
          <w:numId w:val="150"/>
        </w:numPr>
        <w:ind w:left="475" w:hanging="135"/>
        <w:jc w:val="both"/>
        <w:rPr>
          <w:sz w:val="22"/>
        </w:rPr>
      </w:pPr>
      <w:r>
        <w:rPr>
          <w:sz w:val="22"/>
        </w:rPr>
        <w:t>faire la promotion de « modèles de réussite féminins » dans les domaines de la science et de la technologie ;</w:t>
      </w:r>
    </w:p>
    <w:p w:rsidR="00000000" w:rsidRDefault="00000000">
      <w:pPr>
        <w:numPr>
          <w:ilvl w:val="0"/>
          <w:numId w:val="150"/>
        </w:numPr>
        <w:ind w:left="475" w:hanging="135"/>
        <w:jc w:val="both"/>
        <w:rPr>
          <w:sz w:val="22"/>
        </w:rPr>
      </w:pPr>
      <w:r>
        <w:rPr>
          <w:sz w:val="22"/>
        </w:rPr>
        <w:t>développer des indicateurs pour évaluer la tendance prédominante en matière d’équité des sexes et renforcer les capacités de la femme dans les domaines de la science et de la technologie ;</w:t>
      </w:r>
    </w:p>
    <w:p w:rsidR="00000000" w:rsidRDefault="00000000">
      <w:pPr>
        <w:numPr>
          <w:ilvl w:val="0"/>
          <w:numId w:val="150"/>
        </w:numPr>
        <w:ind w:left="475" w:hanging="135"/>
        <w:jc w:val="both"/>
        <w:rPr>
          <w:sz w:val="22"/>
        </w:rPr>
      </w:pPr>
      <w:r>
        <w:rPr>
          <w:sz w:val="22"/>
        </w:rPr>
        <w:t xml:space="preserve">former la jeune fille dans l’objectif d’en faire une citoyenne du monde  dans les domaines de la santé, de l’environnement, mais aussi de la politique, de la culture de la paix, de la connaissance des droits humains. </w:t>
      </w:r>
    </w:p>
    <w:p w:rsidR="00000000" w:rsidRDefault="00000000">
      <w:pPr>
        <w:numPr>
          <w:ilvl w:val="0"/>
          <w:numId w:val="223"/>
        </w:numPr>
        <w:jc w:val="both"/>
        <w:rPr>
          <w:sz w:val="22"/>
        </w:rPr>
      </w:pPr>
      <w:r>
        <w:rPr>
          <w:sz w:val="22"/>
        </w:rPr>
        <w:t>mise en place d’une structure de capitalisation des fonds d’aide aux jeunes filles pour soutenir leur formation ;</w:t>
      </w:r>
    </w:p>
    <w:p w:rsidR="00000000" w:rsidRDefault="00000000">
      <w:pPr>
        <w:numPr>
          <w:ilvl w:val="0"/>
          <w:numId w:val="223"/>
        </w:numPr>
        <w:jc w:val="both"/>
        <w:rPr>
          <w:sz w:val="22"/>
        </w:rPr>
      </w:pPr>
      <w:r>
        <w:rPr>
          <w:sz w:val="22"/>
        </w:rPr>
        <w:t>créer des journées portes-ouvertes au niveau des établissements secondaires et supérieurs afin de susciter les vocations ;</w:t>
      </w:r>
    </w:p>
    <w:p w:rsidR="00000000" w:rsidRDefault="00000000">
      <w:pPr>
        <w:numPr>
          <w:ilvl w:val="0"/>
          <w:numId w:val="223"/>
        </w:numPr>
        <w:jc w:val="both"/>
        <w:rPr>
          <w:sz w:val="22"/>
        </w:rPr>
      </w:pPr>
      <w:r>
        <w:rPr>
          <w:sz w:val="22"/>
        </w:rPr>
        <w:t>réduire la charge de travail domestique des femmes et des jeunes filles par la création et la réhabilitation des crèches, des écoles maternelles et des centres de loisirs pour enfants afin de permettre à ces derniers de poursuivre leurs études ;</w:t>
      </w:r>
    </w:p>
    <w:p w:rsidR="00000000" w:rsidRDefault="00000000">
      <w:pPr>
        <w:numPr>
          <w:ilvl w:val="0"/>
          <w:numId w:val="223"/>
        </w:numPr>
        <w:jc w:val="both"/>
        <w:rPr>
          <w:sz w:val="22"/>
        </w:rPr>
      </w:pPr>
      <w:r>
        <w:rPr>
          <w:sz w:val="22"/>
        </w:rPr>
        <w:t>réinstaurer le système d’émulation scolaire avec distribution des prix ;</w:t>
      </w:r>
    </w:p>
    <w:p w:rsidR="00000000" w:rsidRDefault="00000000">
      <w:pPr>
        <w:numPr>
          <w:ilvl w:val="0"/>
          <w:numId w:val="223"/>
        </w:numPr>
        <w:jc w:val="both"/>
        <w:rPr>
          <w:sz w:val="22"/>
        </w:rPr>
      </w:pPr>
      <w:r>
        <w:rPr>
          <w:sz w:val="22"/>
        </w:rPr>
        <w:t>octroyer les bourses aux enfants des écoles spécialisées.</w:t>
      </w: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b/>
          <w:sz w:val="22"/>
          <w:u w:val="single"/>
        </w:rPr>
      </w:pPr>
      <w:r>
        <w:rPr>
          <w:b/>
          <w:sz w:val="22"/>
          <w:u w:val="single"/>
        </w:rPr>
        <w:t>SECTION XI</w:t>
      </w:r>
      <w:r>
        <w:rPr>
          <w:b/>
          <w:sz w:val="22"/>
        </w:rPr>
        <w:t xml:space="preserve"> - </w:t>
      </w:r>
      <w:r>
        <w:rPr>
          <w:b/>
          <w:sz w:val="22"/>
          <w:u w:val="single"/>
        </w:rPr>
        <w:t>CONCLUSION</w:t>
      </w:r>
    </w:p>
    <w:p w:rsidR="00000000" w:rsidRDefault="00000000">
      <w:pPr>
        <w:jc w:val="both"/>
        <w:rPr>
          <w:sz w:val="22"/>
        </w:rPr>
      </w:pPr>
    </w:p>
    <w:p w:rsidR="00000000" w:rsidRDefault="00000000">
      <w:pPr>
        <w:jc w:val="both"/>
        <w:rPr>
          <w:sz w:val="22"/>
        </w:rPr>
      </w:pPr>
      <w:r>
        <w:rPr>
          <w:sz w:val="22"/>
        </w:rPr>
        <w:t>L’éducation des jeunes et particulièrement celle de la jeune fille est de la responsabilité de tous : le Gouvernement, les organisations non gouvernementales nationales et internationales, les associations féminines ou mixtes, les confessions religieuses, les agences des Nations Unies. Les efforts conjugués de tous doivent concourir à un excellent encadrement de cette couche de la société.</w:t>
      </w:r>
    </w:p>
    <w:p w:rsidR="00000000" w:rsidRDefault="00000000">
      <w:pPr>
        <w:jc w:val="both"/>
        <w:rPr>
          <w:sz w:val="22"/>
        </w:rPr>
      </w:pPr>
      <w:r>
        <w:rPr>
          <w:sz w:val="22"/>
        </w:rPr>
        <w:t>Si les statistiques présentent des écarts importants entre les sexes, cela ne tient pas à la législation scolaire qui est égalitaire. L’État et les autres partenaires doivent créer les conditions pour l’amélioration de la situation de la jeune fille et de la femme.</w:t>
      </w:r>
    </w:p>
    <w:p w:rsidR="00000000" w:rsidRDefault="00000000">
      <w:pPr>
        <w:jc w:val="both"/>
        <w:rPr>
          <w:sz w:val="22"/>
        </w:rPr>
      </w:pPr>
    </w:p>
    <w:p w:rsidR="00000000" w:rsidRDefault="00000000">
      <w:pPr>
        <w:jc w:val="both"/>
        <w:rPr>
          <w:sz w:val="22"/>
        </w:rPr>
      </w:pPr>
      <w:r>
        <w:rPr>
          <w:sz w:val="22"/>
        </w:rPr>
        <w:t>Pour faire face à l’inadéquation formation-emploi, le secteur informel est à promouvoir afin d’aider les femmes à gagner sainement leur vie au lieu de s’adonner à la débauche, à la prostitution ou à s’engager dans les milices privées à la solde des personnes mal intentionnées.</w:t>
      </w:r>
    </w:p>
    <w:p w:rsidR="00000000" w:rsidRDefault="00000000">
      <w:pPr>
        <w:jc w:val="both"/>
        <w:rPr>
          <w:sz w:val="22"/>
        </w:rPr>
      </w:pPr>
    </w:p>
    <w:p w:rsidR="00000000" w:rsidRDefault="00000000">
      <w:pPr>
        <w:jc w:val="both"/>
        <w:rPr>
          <w:sz w:val="22"/>
        </w:rPr>
      </w:pPr>
      <w:r>
        <w:rPr>
          <w:sz w:val="22"/>
        </w:rPr>
        <w:t>Les mouvements associatifs des jeunes sont à encourager pour permettre les brassages aux niveau régional et international. Les jeunes seront encadrés par des adultes sérieux. On parlerait par exemple des scouts, des guides, des mouvements de la jeunesse chrétienne ou laïque. Les jeunes de tous les deux sexes y recevraient la même éducation, la même formation. Ils seraient tous éveillés à la conscience citoyenne.</w:t>
      </w:r>
    </w:p>
    <w:p w:rsidR="00000000" w:rsidRDefault="00000000">
      <w:pPr>
        <w:jc w:val="both"/>
        <w:rPr>
          <w:sz w:val="22"/>
        </w:rPr>
      </w:pPr>
    </w:p>
    <w:p w:rsidR="00000000" w:rsidRDefault="00000000">
      <w:pPr>
        <w:jc w:val="both"/>
        <w:rPr>
          <w:sz w:val="22"/>
        </w:rPr>
      </w:pPr>
      <w:r>
        <w:rPr>
          <w:sz w:val="22"/>
        </w:rPr>
        <w:t xml:space="preserve">Le Gouvernement a témoigné une grande préoccupation aux problèmes éducatifs de la jeunesse congolaise, aussi bien des garçons que des filles. Il  doit cependant s’efforcer de créer les conditions pour renverser les tendances actuelles à la déperdition scolaire et au choix des filières en matière d’éducation surtout celle de la jeune fille. Le système éducatif doit prendre son envol en ce nouveau siècle. </w:t>
      </w:r>
    </w:p>
    <w:p w:rsidR="00000000" w:rsidRDefault="00000000">
      <w:pPr>
        <w:rPr>
          <w:sz w:val="22"/>
        </w:rPr>
      </w:pPr>
    </w:p>
    <w:p w:rsidR="00000000" w:rsidRDefault="00000000">
      <w:pPr>
        <w:rPr>
          <w:sz w:val="22"/>
        </w:rPr>
      </w:pPr>
    </w:p>
    <w:p w:rsidR="00000000" w:rsidRDefault="00000000">
      <w:pPr>
        <w:rPr>
          <w:sz w:val="22"/>
        </w:rPr>
      </w:pPr>
    </w:p>
    <w:tbl>
      <w:tblPr>
        <w:tblW w:w="0" w:type="auto"/>
        <w:tblInd w:w="2055" w:type="dxa"/>
        <w:tblLayout w:type="fixed"/>
        <w:tblCellMar>
          <w:left w:w="70" w:type="dxa"/>
          <w:right w:w="70" w:type="dxa"/>
        </w:tblCellMar>
        <w:tblLook w:val="0000" w:firstRow="0" w:lastRow="0" w:firstColumn="0" w:lastColumn="0" w:noHBand="0" w:noVBand="0"/>
      </w:tblPr>
      <w:tblGrid>
        <w:gridCol w:w="2410"/>
        <w:gridCol w:w="4745"/>
      </w:tblGrid>
      <w:tr w:rsidR="00000000">
        <w:tblPrEx>
          <w:tblCellMar>
            <w:top w:w="0" w:type="dxa"/>
            <w:bottom w:w="0" w:type="dxa"/>
          </w:tblCellMar>
        </w:tblPrEx>
        <w:tc>
          <w:tcPr>
            <w:tcW w:w="2410" w:type="dxa"/>
          </w:tcPr>
          <w:p w:rsidR="00000000" w:rsidRDefault="00000000">
            <w:pPr>
              <w:pStyle w:val="BodyText"/>
              <w:jc w:val="left"/>
              <w:rPr>
                <w:b/>
                <w:u w:val="single"/>
              </w:rPr>
            </w:pPr>
            <w:r>
              <w:rPr>
                <w:b/>
                <w:u w:val="single"/>
              </w:rPr>
              <w:t>CHAPITRE XI</w:t>
            </w:r>
            <w:r>
              <w:rPr>
                <w:b/>
              </w:rPr>
              <w:t xml:space="preserve">  :</w:t>
            </w:r>
          </w:p>
        </w:tc>
        <w:tc>
          <w:tcPr>
            <w:tcW w:w="4745" w:type="dxa"/>
          </w:tcPr>
          <w:p w:rsidR="00000000" w:rsidRDefault="00000000">
            <w:pPr>
              <w:pStyle w:val="BodyText"/>
              <w:jc w:val="left"/>
            </w:pPr>
            <w:r>
              <w:rPr>
                <w:b/>
                <w:u w:val="single"/>
              </w:rPr>
              <w:t>LE TRAVAIL</w:t>
            </w:r>
            <w:r>
              <w:rPr>
                <w:b/>
              </w:rPr>
              <w:t xml:space="preserve"> (article 11)</w:t>
            </w:r>
            <w:r>
              <w:t> </w:t>
            </w:r>
          </w:p>
          <w:p w:rsidR="00000000" w:rsidRDefault="00000000">
            <w:pPr>
              <w:pStyle w:val="BodyText"/>
              <w:jc w:val="left"/>
              <w:rPr>
                <w:b/>
                <w:u w:val="single"/>
              </w:rPr>
            </w:pPr>
          </w:p>
        </w:tc>
      </w:tr>
    </w:tbl>
    <w:p w:rsidR="00000000" w:rsidRDefault="00000000">
      <w:pPr>
        <w:rPr>
          <w:sz w:val="22"/>
        </w:rPr>
      </w:pPr>
    </w:p>
    <w:p w:rsidR="00000000" w:rsidRDefault="00000000">
      <w:pPr>
        <w:rPr>
          <w:sz w:val="22"/>
        </w:rPr>
      </w:pPr>
      <w:r>
        <w:rPr>
          <w:b/>
          <w:sz w:val="22"/>
          <w:u w:val="single"/>
        </w:rPr>
        <w:t>Article 11</w:t>
      </w:r>
      <w:r>
        <w:rPr>
          <w:sz w:val="22"/>
        </w:rPr>
        <w:t> :</w:t>
      </w:r>
    </w:p>
    <w:p w:rsidR="00000000" w:rsidRDefault="00000000">
      <w:pPr>
        <w:rPr>
          <w:sz w:val="22"/>
        </w:rPr>
      </w:pPr>
    </w:p>
    <w:p w:rsidR="00000000" w:rsidRDefault="00000000">
      <w:pPr>
        <w:pStyle w:val="BodyText"/>
        <w:rPr>
          <w:i/>
          <w:sz w:val="22"/>
        </w:rPr>
      </w:pPr>
      <w:r>
        <w:rPr>
          <w:i/>
          <w:sz w:val="22"/>
        </w:rPr>
        <w:t>« Les Etats parties s’engagent à prendre toutes les mesures appropriées pour éliminer la discrimination à l’égard des femmes dans le domaine de l’emploi, afin d’assurer, sur la base de l’égalité de l’homme et de la femme, les mêmes droits, et en particulier :</w:t>
      </w:r>
    </w:p>
    <w:p w:rsidR="00000000" w:rsidRDefault="00000000">
      <w:pPr>
        <w:jc w:val="both"/>
        <w:rPr>
          <w:i/>
          <w:sz w:val="22"/>
        </w:rPr>
      </w:pPr>
    </w:p>
    <w:p w:rsidR="00000000" w:rsidRDefault="00000000">
      <w:pPr>
        <w:numPr>
          <w:ilvl w:val="0"/>
          <w:numId w:val="96"/>
        </w:numPr>
        <w:rPr>
          <w:i/>
          <w:sz w:val="22"/>
        </w:rPr>
      </w:pPr>
      <w:r>
        <w:rPr>
          <w:i/>
          <w:sz w:val="22"/>
        </w:rPr>
        <w:t>le droit au travail en tant que droit inaliénable de tous les êtres humains ;</w:t>
      </w:r>
    </w:p>
    <w:p w:rsidR="00000000" w:rsidRDefault="00000000">
      <w:pPr>
        <w:numPr>
          <w:ilvl w:val="0"/>
          <w:numId w:val="96"/>
        </w:numPr>
        <w:jc w:val="both"/>
        <w:rPr>
          <w:i/>
          <w:sz w:val="22"/>
        </w:rPr>
      </w:pPr>
      <w:r>
        <w:rPr>
          <w:i/>
          <w:sz w:val="22"/>
        </w:rPr>
        <w:t>le droit aux mêmes possibilités d’emploi, y compris l’application des mêmes critères de sélection en matière d’emploi ;</w:t>
      </w:r>
    </w:p>
    <w:p w:rsidR="00000000" w:rsidRDefault="00000000">
      <w:pPr>
        <w:numPr>
          <w:ilvl w:val="0"/>
          <w:numId w:val="96"/>
        </w:numPr>
        <w:jc w:val="both"/>
        <w:rPr>
          <w:i/>
          <w:sz w:val="22"/>
        </w:rPr>
      </w:pPr>
      <w:r>
        <w:rPr>
          <w:i/>
          <w:sz w:val="22"/>
        </w:rPr>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 ;</w:t>
      </w:r>
    </w:p>
    <w:p w:rsidR="00000000" w:rsidRDefault="00000000">
      <w:pPr>
        <w:numPr>
          <w:ilvl w:val="0"/>
          <w:numId w:val="96"/>
        </w:numPr>
        <w:jc w:val="both"/>
        <w:rPr>
          <w:i/>
          <w:sz w:val="22"/>
        </w:rPr>
      </w:pPr>
      <w:r>
        <w:rPr>
          <w:i/>
          <w:sz w:val="22"/>
        </w:rPr>
        <w:t>le droit à l’égalité de rémunération y compris de prestation, à l’égalité de traitement pour un travail d’égale valeur aussi bien qu’à l’égalité de traitement en ce qui concerne l’évaluation de la qualité du travail ;</w:t>
      </w:r>
    </w:p>
    <w:p w:rsidR="00000000" w:rsidRDefault="00000000">
      <w:pPr>
        <w:numPr>
          <w:ilvl w:val="0"/>
          <w:numId w:val="96"/>
        </w:numPr>
        <w:jc w:val="both"/>
        <w:rPr>
          <w:i/>
          <w:sz w:val="22"/>
        </w:rPr>
      </w:pPr>
      <w:r>
        <w:rPr>
          <w:i/>
          <w:sz w:val="22"/>
        </w:rPr>
        <w:t>le droit à la sécurité sociale, notamment aux prestations de retraite, de chômage, de maladie, d’invalidité et de vieillesse pour toute perte de capacité de travail, ainsi que le droit à des congés payés.</w:t>
      </w:r>
    </w:p>
    <w:p w:rsidR="00000000" w:rsidRDefault="00000000">
      <w:pPr>
        <w:numPr>
          <w:ilvl w:val="0"/>
          <w:numId w:val="96"/>
        </w:numPr>
        <w:jc w:val="both"/>
        <w:rPr>
          <w:i/>
          <w:sz w:val="22"/>
        </w:rPr>
      </w:pPr>
      <w:r>
        <w:rPr>
          <w:i/>
          <w:sz w:val="22"/>
        </w:rPr>
        <w:t>Le droit à la protection de la santé et à la sécurité des conditions de travail, y compris la sauvegarde de la fonction de reproduction.</w:t>
      </w:r>
    </w:p>
    <w:p w:rsidR="00000000" w:rsidRDefault="00000000">
      <w:pPr>
        <w:jc w:val="both"/>
        <w:rPr>
          <w:i/>
          <w:sz w:val="22"/>
        </w:rPr>
      </w:pPr>
    </w:p>
    <w:p w:rsidR="00000000" w:rsidRDefault="00000000">
      <w:pPr>
        <w:numPr>
          <w:ilvl w:val="0"/>
          <w:numId w:val="98"/>
        </w:numPr>
        <w:jc w:val="both"/>
        <w:rPr>
          <w:i/>
          <w:sz w:val="22"/>
        </w:rPr>
      </w:pPr>
      <w:r>
        <w:rPr>
          <w:i/>
          <w:sz w:val="22"/>
        </w:rPr>
        <w:t>Afin de prévenir la discrimination à l’égard des femmes en raison de leur mariage ou de leur maternité et de garantir leur droit effectif au travail, les Etats parties s’engagent à prendre des mesures appropriées ayant pour objet :</w:t>
      </w:r>
    </w:p>
    <w:p w:rsidR="00000000" w:rsidRDefault="00000000">
      <w:pPr>
        <w:jc w:val="both"/>
        <w:rPr>
          <w:i/>
          <w:sz w:val="22"/>
        </w:rPr>
      </w:pPr>
    </w:p>
    <w:p w:rsidR="00000000" w:rsidRDefault="00000000">
      <w:pPr>
        <w:numPr>
          <w:ilvl w:val="0"/>
          <w:numId w:val="97"/>
        </w:numPr>
        <w:jc w:val="both"/>
        <w:rPr>
          <w:i/>
          <w:sz w:val="22"/>
        </w:rPr>
      </w:pPr>
      <w:r>
        <w:rPr>
          <w:i/>
          <w:sz w:val="22"/>
        </w:rPr>
        <w:t>d’interdire sous peine de sanctions, le licenciement pour cause de grossesse ou de congé de maternité et la discrimination dans les licenciements fondés sur le statut matrimonial ;</w:t>
      </w:r>
    </w:p>
    <w:p w:rsidR="00000000" w:rsidRDefault="00000000">
      <w:pPr>
        <w:numPr>
          <w:ilvl w:val="0"/>
          <w:numId w:val="97"/>
        </w:numPr>
        <w:jc w:val="both"/>
        <w:rPr>
          <w:i/>
          <w:sz w:val="22"/>
        </w:rPr>
      </w:pPr>
      <w:r>
        <w:rPr>
          <w:i/>
          <w:sz w:val="22"/>
        </w:rPr>
        <w:t>d’instituer l’octroi des congés de maternité payés ou ouvrant droit à des prestations sociales comparables avec la garantie du maintien de l’emploi antérieur, des droits d’ancienneté et des avantages sociaux ;</w:t>
      </w:r>
    </w:p>
    <w:p w:rsidR="00000000" w:rsidRDefault="00000000">
      <w:pPr>
        <w:numPr>
          <w:ilvl w:val="0"/>
          <w:numId w:val="97"/>
        </w:numPr>
        <w:jc w:val="both"/>
        <w:rPr>
          <w:i/>
          <w:sz w:val="22"/>
        </w:rPr>
      </w:pPr>
      <w:r>
        <w:rPr>
          <w:i/>
          <w:sz w:val="22"/>
        </w:rPr>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 ;</w:t>
      </w:r>
    </w:p>
    <w:p w:rsidR="00000000" w:rsidRDefault="00000000">
      <w:pPr>
        <w:numPr>
          <w:ilvl w:val="0"/>
          <w:numId w:val="97"/>
        </w:numPr>
        <w:jc w:val="both"/>
        <w:rPr>
          <w:i/>
          <w:sz w:val="22"/>
        </w:rPr>
      </w:pPr>
      <w:r>
        <w:rPr>
          <w:i/>
          <w:sz w:val="22"/>
        </w:rPr>
        <w:t xml:space="preserve">d’assurer une protection spéciale aux femmes enceintes dont il est prouvé que le travail est nocif. </w:t>
      </w:r>
    </w:p>
    <w:p w:rsidR="00000000" w:rsidRDefault="00000000">
      <w:pPr>
        <w:numPr>
          <w:ilvl w:val="0"/>
          <w:numId w:val="98"/>
        </w:numPr>
        <w:jc w:val="both"/>
        <w:rPr>
          <w:sz w:val="22"/>
        </w:rPr>
      </w:pPr>
      <w:r>
        <w:rPr>
          <w:i/>
          <w:sz w:val="22"/>
        </w:rPr>
        <w:t>les lois visant à protéger les femmes dans les domaines visés par le présent article seront revues périodiquement en fonction des connaissances scientifiques et techniques et seront révisées, abrogées ou étendues, selon les besoins. »</w:t>
      </w:r>
    </w:p>
    <w:p w:rsidR="00000000" w:rsidRDefault="00000000">
      <w:pPr>
        <w:jc w:val="both"/>
        <w:rPr>
          <w:sz w:val="22"/>
        </w:rPr>
      </w:pPr>
    </w:p>
    <w:p w:rsidR="00000000" w:rsidRDefault="00000000">
      <w:pPr>
        <w:jc w:val="both"/>
        <w:rPr>
          <w:sz w:val="22"/>
        </w:rPr>
      </w:pPr>
    </w:p>
    <w:p w:rsidR="00000000" w:rsidRDefault="00000000">
      <w:pPr>
        <w:tabs>
          <w:tab w:val="left" w:pos="1449"/>
        </w:tabs>
        <w:ind w:left="1449" w:hanging="1449"/>
        <w:rPr>
          <w:b/>
          <w:sz w:val="22"/>
          <w:u w:val="single"/>
        </w:rPr>
      </w:pPr>
      <w:r>
        <w:rPr>
          <w:b/>
          <w:sz w:val="22"/>
          <w:u w:val="single"/>
        </w:rPr>
        <w:t>SECTION</w:t>
      </w:r>
      <w:r>
        <w:rPr>
          <w:b/>
          <w:sz w:val="22"/>
        </w:rPr>
        <w:t xml:space="preserve"> I -</w:t>
      </w:r>
      <w:r>
        <w:rPr>
          <w:b/>
          <w:sz w:val="22"/>
        </w:rPr>
        <w:tab/>
      </w:r>
      <w:r>
        <w:rPr>
          <w:b/>
          <w:sz w:val="22"/>
          <w:u w:val="single"/>
        </w:rPr>
        <w:t>CONSECRATION DE L’EGALITE DES DROITS ENTRE LES SEXES EN MATIERE D’EMPLOI AU CONGO</w:t>
      </w:r>
    </w:p>
    <w:p w:rsidR="00000000" w:rsidRDefault="00000000">
      <w:pPr>
        <w:jc w:val="both"/>
        <w:rPr>
          <w:sz w:val="22"/>
        </w:rPr>
      </w:pPr>
    </w:p>
    <w:p w:rsidR="00000000" w:rsidRDefault="00000000">
      <w:pPr>
        <w:jc w:val="both"/>
        <w:rPr>
          <w:sz w:val="22"/>
        </w:rPr>
      </w:pPr>
      <w:r>
        <w:rPr>
          <w:sz w:val="22"/>
        </w:rPr>
        <w:t>La législation nationale assure l’égalité des sexes de même que les conventions internationales ratifiées par le Congo.</w:t>
      </w:r>
    </w:p>
    <w:p w:rsidR="00000000" w:rsidRDefault="00000000">
      <w:pPr>
        <w:jc w:val="both"/>
        <w:rPr>
          <w:sz w:val="22"/>
        </w:rPr>
      </w:pPr>
    </w:p>
    <w:p w:rsidR="00000000" w:rsidRDefault="00000000">
      <w:pPr>
        <w:jc w:val="both"/>
        <w:rPr>
          <w:b/>
          <w:sz w:val="22"/>
        </w:rPr>
      </w:pPr>
      <w:r>
        <w:rPr>
          <w:b/>
          <w:sz w:val="22"/>
        </w:rPr>
        <w:t xml:space="preserve">1- </w:t>
      </w:r>
      <w:r>
        <w:rPr>
          <w:b/>
          <w:sz w:val="22"/>
          <w:u w:val="single"/>
        </w:rPr>
        <w:t>La législation nationale</w:t>
      </w:r>
      <w:r>
        <w:rPr>
          <w:b/>
          <w:sz w:val="22"/>
        </w:rPr>
        <w:t> :</w:t>
      </w:r>
    </w:p>
    <w:p w:rsidR="00000000" w:rsidRDefault="00000000">
      <w:pPr>
        <w:rPr>
          <w:sz w:val="22"/>
        </w:rPr>
      </w:pPr>
    </w:p>
    <w:p w:rsidR="00000000" w:rsidRDefault="00000000">
      <w:pPr>
        <w:rPr>
          <w:sz w:val="22"/>
        </w:rPr>
      </w:pPr>
      <w:r>
        <w:rPr>
          <w:sz w:val="22"/>
        </w:rPr>
        <w:t>La constitution congolaise et les textes législatifs garantissent l’égalité de l’homme et de la femme.</w:t>
      </w:r>
    </w:p>
    <w:p w:rsidR="00000000" w:rsidRDefault="00000000">
      <w:pPr>
        <w:rPr>
          <w:sz w:val="22"/>
        </w:rPr>
      </w:pPr>
    </w:p>
    <w:p w:rsidR="00000000" w:rsidRDefault="00000000">
      <w:pPr>
        <w:numPr>
          <w:ilvl w:val="0"/>
          <w:numId w:val="100"/>
        </w:numPr>
        <w:jc w:val="both"/>
        <w:rPr>
          <w:sz w:val="22"/>
        </w:rPr>
      </w:pPr>
      <w:r>
        <w:rPr>
          <w:sz w:val="22"/>
        </w:rPr>
        <w:t>L’Acte fondamental, du 24 octobre 1997 garantit la participation de chaque citoyen congolais à la vie de la Nation. Il stipule en son article 23 : « la femme a les mêmes droits que l’homme dans les domaines de la vie politique et sociale. Pour un travail égal, la femme a droit au même salaire que l’homme. »</w:t>
      </w:r>
    </w:p>
    <w:p w:rsidR="00000000" w:rsidRDefault="00000000">
      <w:pPr>
        <w:rPr>
          <w:sz w:val="22"/>
        </w:rPr>
      </w:pPr>
    </w:p>
    <w:p w:rsidR="00000000" w:rsidRDefault="00000000">
      <w:pPr>
        <w:numPr>
          <w:ilvl w:val="0"/>
          <w:numId w:val="99"/>
        </w:numPr>
        <w:jc w:val="both"/>
        <w:rPr>
          <w:sz w:val="22"/>
        </w:rPr>
      </w:pPr>
      <w:r>
        <w:rPr>
          <w:sz w:val="22"/>
        </w:rPr>
        <w:t>La loi n° 45/75 du 15 mars 1975, instituant le code du travail révisée en 1982, assure l’égalité d’accès des femmes à l’emploi, l’égalité des rémunérations ainsi que le droit au congé de maternité.</w:t>
      </w:r>
    </w:p>
    <w:p w:rsidR="00000000" w:rsidRDefault="00000000">
      <w:pPr>
        <w:jc w:val="both"/>
        <w:rPr>
          <w:sz w:val="22"/>
        </w:rPr>
      </w:pPr>
    </w:p>
    <w:p w:rsidR="00000000" w:rsidRDefault="00000000">
      <w:pPr>
        <w:numPr>
          <w:ilvl w:val="0"/>
          <w:numId w:val="99"/>
        </w:numPr>
        <w:jc w:val="both"/>
        <w:rPr>
          <w:sz w:val="22"/>
        </w:rPr>
      </w:pPr>
      <w:r>
        <w:rPr>
          <w:sz w:val="22"/>
        </w:rPr>
        <w:t>Le code de sécurité sociale, loi n° 004/86 du 25 février 1986, confère des droits égalitaires aux hommes et aux femmes.</w:t>
      </w:r>
    </w:p>
    <w:p w:rsidR="00000000" w:rsidRDefault="00000000">
      <w:pPr>
        <w:numPr>
          <w:ilvl w:val="0"/>
          <w:numId w:val="99"/>
        </w:numPr>
        <w:jc w:val="both"/>
        <w:rPr>
          <w:sz w:val="22"/>
        </w:rPr>
      </w:pPr>
      <w:r>
        <w:rPr>
          <w:sz w:val="22"/>
        </w:rPr>
        <w:t>La</w:t>
      </w:r>
      <w:r>
        <w:rPr>
          <w:sz w:val="22"/>
          <w:u w:val="single"/>
        </w:rPr>
        <w:t xml:space="preserve"> </w:t>
      </w:r>
      <w:r>
        <w:rPr>
          <w:sz w:val="22"/>
        </w:rPr>
        <w:t>loi n° 021-89 du 14 novembre 1989 portant refonte du statut général de la Fonction publique, définit les règles de gestion des emplois et des agents de l’Etat qui relèvent de la fonction publique. Dans cette disposition, aucune distinction n’est faite entre les sexes.</w:t>
      </w:r>
    </w:p>
    <w:p w:rsidR="00000000" w:rsidRDefault="00000000">
      <w:pPr>
        <w:jc w:val="both"/>
        <w:rPr>
          <w:sz w:val="22"/>
        </w:rPr>
      </w:pPr>
    </w:p>
    <w:p w:rsidR="00000000" w:rsidRDefault="00000000">
      <w:pPr>
        <w:numPr>
          <w:ilvl w:val="0"/>
          <w:numId w:val="99"/>
        </w:numPr>
        <w:jc w:val="both"/>
        <w:rPr>
          <w:sz w:val="22"/>
        </w:rPr>
      </w:pPr>
      <w:r>
        <w:rPr>
          <w:sz w:val="22"/>
        </w:rPr>
        <w:t>La convention collective du 1</w:t>
      </w:r>
      <w:r>
        <w:rPr>
          <w:sz w:val="22"/>
          <w:vertAlign w:val="superscript"/>
        </w:rPr>
        <w:t>er</w:t>
      </w:r>
      <w:r>
        <w:rPr>
          <w:sz w:val="22"/>
        </w:rPr>
        <w:t xml:space="preserve"> septembre 1960 appliquée aux agents contractuels et auxiliaires de la fonction publique de la République du Congo, affirme, de manière générale, l’égalité de l’homme et de la femme.</w:t>
      </w:r>
    </w:p>
    <w:p w:rsidR="00000000" w:rsidRDefault="00000000">
      <w:pPr>
        <w:jc w:val="both"/>
        <w:rPr>
          <w:sz w:val="22"/>
        </w:rPr>
      </w:pPr>
    </w:p>
    <w:p w:rsidR="00000000" w:rsidRDefault="00000000">
      <w:pPr>
        <w:numPr>
          <w:ilvl w:val="0"/>
          <w:numId w:val="99"/>
        </w:numPr>
        <w:jc w:val="both"/>
        <w:rPr>
          <w:sz w:val="22"/>
          <w:u w:val="single"/>
        </w:rPr>
      </w:pPr>
      <w:r>
        <w:rPr>
          <w:sz w:val="22"/>
        </w:rPr>
        <w:t>Le code de la famille, loi n° 73/84 du 17 octobre 1984, accorde les mêmes droits à l’homme et à la femme.</w:t>
      </w:r>
    </w:p>
    <w:p w:rsidR="00000000" w:rsidRDefault="00000000">
      <w:pPr>
        <w:jc w:val="both"/>
        <w:rPr>
          <w:sz w:val="22"/>
          <w:u w:val="single"/>
        </w:rPr>
      </w:pPr>
    </w:p>
    <w:p w:rsidR="00000000" w:rsidRDefault="00000000">
      <w:pPr>
        <w:pStyle w:val="BodyText"/>
        <w:rPr>
          <w:sz w:val="22"/>
        </w:rPr>
      </w:pPr>
      <w:r>
        <w:rPr>
          <w:sz w:val="22"/>
        </w:rPr>
        <w:t>La nouvelle constitution qui vient d’être votée par voie référendaire le 20 janvier 2002 confirme et renforce cette égalite. Tous ces textes assurent l’égalité formelle de l’homme et de la femme dans tous les domaines de la vie publique et privée.</w:t>
      </w:r>
    </w:p>
    <w:p w:rsidR="00000000" w:rsidRDefault="00000000">
      <w:pPr>
        <w:jc w:val="both"/>
        <w:rPr>
          <w:sz w:val="22"/>
        </w:rPr>
      </w:pPr>
    </w:p>
    <w:p w:rsidR="00000000" w:rsidRDefault="00000000">
      <w:pPr>
        <w:jc w:val="both"/>
        <w:rPr>
          <w:b/>
          <w:sz w:val="22"/>
        </w:rPr>
      </w:pPr>
      <w:r>
        <w:rPr>
          <w:b/>
          <w:sz w:val="22"/>
        </w:rPr>
        <w:t xml:space="preserve">II - </w:t>
      </w:r>
      <w:r>
        <w:rPr>
          <w:b/>
          <w:sz w:val="22"/>
          <w:u w:val="single"/>
        </w:rPr>
        <w:t>Les conventions internationales</w:t>
      </w:r>
      <w:r>
        <w:rPr>
          <w:b/>
          <w:sz w:val="22"/>
        </w:rPr>
        <w:t> :</w:t>
      </w:r>
    </w:p>
    <w:p w:rsidR="00000000" w:rsidRDefault="00000000">
      <w:pPr>
        <w:rPr>
          <w:sz w:val="22"/>
        </w:rPr>
      </w:pPr>
    </w:p>
    <w:p w:rsidR="00000000" w:rsidRDefault="00000000">
      <w:pPr>
        <w:pStyle w:val="BodyText"/>
        <w:rPr>
          <w:sz w:val="22"/>
        </w:rPr>
      </w:pPr>
      <w:r>
        <w:rPr>
          <w:sz w:val="22"/>
        </w:rPr>
        <w:t>Le Congo a ratifié 27 conventions sur les 182 adoptées par la Conférence Internationale du Travail dont cinq (5) affirment de manière spécifique l’égalité des droits en matière d’emploi, entre l’homme et la femme :</w:t>
      </w:r>
    </w:p>
    <w:p w:rsidR="00000000" w:rsidRDefault="00000000">
      <w:pPr>
        <w:jc w:val="both"/>
        <w:rPr>
          <w:sz w:val="22"/>
        </w:rPr>
      </w:pPr>
    </w:p>
    <w:p w:rsidR="00000000" w:rsidRDefault="00000000">
      <w:pPr>
        <w:numPr>
          <w:ilvl w:val="0"/>
          <w:numId w:val="197"/>
        </w:numPr>
        <w:tabs>
          <w:tab w:val="left" w:pos="1134"/>
        </w:tabs>
        <w:jc w:val="both"/>
        <w:rPr>
          <w:sz w:val="22"/>
        </w:rPr>
      </w:pPr>
      <w:r>
        <w:rPr>
          <w:sz w:val="22"/>
        </w:rPr>
        <w:t>la convention n° 89 concernant le travail de nuit des femmes occupées dans l’industrie (révisée en 1948) ;</w:t>
      </w:r>
    </w:p>
    <w:p w:rsidR="00000000" w:rsidRDefault="00000000">
      <w:pPr>
        <w:numPr>
          <w:ilvl w:val="0"/>
          <w:numId w:val="198"/>
        </w:numPr>
        <w:jc w:val="both"/>
        <w:rPr>
          <w:sz w:val="22"/>
        </w:rPr>
      </w:pPr>
      <w:r>
        <w:rPr>
          <w:sz w:val="22"/>
        </w:rPr>
        <w:t>la convention n° 100 concernant l’égalité de rémunération entre la main-d’œuvre masculine et la main-d’œuvre féminine pour un travail de valeur égale ;</w:t>
      </w:r>
    </w:p>
    <w:p w:rsidR="00000000" w:rsidRDefault="00000000">
      <w:pPr>
        <w:numPr>
          <w:ilvl w:val="0"/>
          <w:numId w:val="199"/>
        </w:numPr>
        <w:jc w:val="both"/>
        <w:rPr>
          <w:sz w:val="22"/>
        </w:rPr>
      </w:pPr>
      <w:r>
        <w:rPr>
          <w:sz w:val="22"/>
        </w:rPr>
        <w:t>la convention n° 103 concernant la protection de la maternité (révisée en 1952) ;</w:t>
      </w:r>
    </w:p>
    <w:p w:rsidR="00000000" w:rsidRDefault="00000000">
      <w:pPr>
        <w:numPr>
          <w:ilvl w:val="0"/>
          <w:numId w:val="200"/>
        </w:numPr>
        <w:rPr>
          <w:sz w:val="22"/>
        </w:rPr>
      </w:pPr>
      <w:r>
        <w:rPr>
          <w:sz w:val="22"/>
        </w:rPr>
        <w:t>la convention n° 156 concernant l’égalité des chances et de traitement pour les travailleurs des deux sexes : travailleurs ayant des responsabilités familiales.</w:t>
      </w:r>
    </w:p>
    <w:p w:rsidR="00000000" w:rsidRDefault="00000000">
      <w:pPr>
        <w:rPr>
          <w:sz w:val="22"/>
        </w:rPr>
      </w:pPr>
    </w:p>
    <w:p w:rsidR="00000000" w:rsidRDefault="00000000">
      <w:pPr>
        <w:rPr>
          <w:sz w:val="22"/>
        </w:rPr>
      </w:pPr>
      <w:r>
        <w:rPr>
          <w:sz w:val="22"/>
        </w:rPr>
        <w:t>Certaines conventions, non encore ratifiées par le Congo, ont néanmoins une certaine influence sur le terrain, du fait de la pratique observée en matière d’emploi.</w:t>
      </w:r>
    </w:p>
    <w:p w:rsidR="00000000" w:rsidRDefault="00000000">
      <w:pPr>
        <w:rPr>
          <w:sz w:val="22"/>
        </w:rPr>
      </w:pPr>
    </w:p>
    <w:p w:rsidR="00000000" w:rsidRDefault="00000000">
      <w:pPr>
        <w:rPr>
          <w:sz w:val="22"/>
        </w:rPr>
      </w:pPr>
    </w:p>
    <w:p w:rsidR="00000000" w:rsidRDefault="00000000">
      <w:pPr>
        <w:rPr>
          <w:sz w:val="22"/>
        </w:rPr>
      </w:pPr>
      <w:r>
        <w:rPr>
          <w:b/>
          <w:sz w:val="22"/>
          <w:u w:val="single"/>
        </w:rPr>
        <w:t>SECTION</w:t>
      </w:r>
      <w:r>
        <w:rPr>
          <w:b/>
          <w:sz w:val="22"/>
        </w:rPr>
        <w:t xml:space="preserve"> II- </w:t>
      </w:r>
      <w:r>
        <w:rPr>
          <w:b/>
          <w:sz w:val="22"/>
          <w:u w:val="single"/>
        </w:rPr>
        <w:t>L’emploi dans les secteurs public, privé et informel</w:t>
      </w:r>
      <w:r>
        <w:rPr>
          <w:b/>
          <w:sz w:val="22"/>
        </w:rPr>
        <w:t> :</w:t>
      </w:r>
    </w:p>
    <w:p w:rsidR="00000000" w:rsidRDefault="00000000">
      <w:pPr>
        <w:rPr>
          <w:sz w:val="22"/>
        </w:rPr>
      </w:pPr>
    </w:p>
    <w:p w:rsidR="00000000" w:rsidRDefault="00000000">
      <w:pPr>
        <w:jc w:val="both"/>
        <w:rPr>
          <w:sz w:val="22"/>
        </w:rPr>
      </w:pPr>
      <w:r>
        <w:rPr>
          <w:sz w:val="22"/>
        </w:rPr>
        <w:t>Les secteurs public, privé et informel sont régis par des dispositions particulières.</w:t>
      </w:r>
    </w:p>
    <w:p w:rsidR="00000000" w:rsidRDefault="00000000">
      <w:pPr>
        <w:jc w:val="both"/>
        <w:rPr>
          <w:sz w:val="22"/>
        </w:rPr>
      </w:pPr>
    </w:p>
    <w:p w:rsidR="00000000" w:rsidRDefault="00000000">
      <w:pPr>
        <w:jc w:val="both"/>
        <w:rPr>
          <w:b/>
          <w:sz w:val="22"/>
        </w:rPr>
      </w:pPr>
      <w:r>
        <w:rPr>
          <w:b/>
          <w:sz w:val="22"/>
        </w:rPr>
        <w:t xml:space="preserve">I - </w:t>
      </w:r>
      <w:r>
        <w:rPr>
          <w:b/>
          <w:sz w:val="22"/>
          <w:u w:val="single"/>
        </w:rPr>
        <w:t>L’emploi public</w:t>
      </w:r>
      <w:r>
        <w:rPr>
          <w:b/>
          <w:sz w:val="22"/>
        </w:rPr>
        <w:t> :</w:t>
      </w:r>
    </w:p>
    <w:p w:rsidR="00000000" w:rsidRDefault="00000000">
      <w:pPr>
        <w:jc w:val="both"/>
        <w:rPr>
          <w:sz w:val="22"/>
        </w:rPr>
      </w:pPr>
    </w:p>
    <w:p w:rsidR="00000000" w:rsidRDefault="00000000">
      <w:pPr>
        <w:jc w:val="both"/>
        <w:rPr>
          <w:sz w:val="22"/>
        </w:rPr>
      </w:pPr>
      <w:r>
        <w:rPr>
          <w:sz w:val="22"/>
        </w:rPr>
        <w:t>Dans les articles 20 à 24 de l’Acte fondamental et de la constitution du 20 janvier 2002, l’État affirme le droit au travail de tout citoyen :</w:t>
      </w:r>
    </w:p>
    <w:p w:rsidR="00000000" w:rsidRDefault="00000000">
      <w:pPr>
        <w:jc w:val="both"/>
        <w:rPr>
          <w:sz w:val="22"/>
        </w:rPr>
      </w:pPr>
    </w:p>
    <w:p w:rsidR="00000000" w:rsidRDefault="00000000">
      <w:pPr>
        <w:pStyle w:val="BodyText"/>
        <w:rPr>
          <w:sz w:val="22"/>
        </w:rPr>
      </w:pPr>
      <w:r>
        <w:rPr>
          <w:sz w:val="22"/>
        </w:rPr>
        <w:t>« le travail est un droit et un devoir sacré. Tout citoyen a le droit d’être rémunéré suivant son travail et ses mérites. Toute discrimination fondée sur la race, le sexe, l’état physique, l’origine régionale ou ethnique, est interdite ». (Article 22).</w:t>
      </w:r>
    </w:p>
    <w:p w:rsidR="00000000" w:rsidRDefault="00000000">
      <w:pPr>
        <w:jc w:val="both"/>
        <w:rPr>
          <w:sz w:val="22"/>
        </w:rPr>
      </w:pPr>
      <w:r>
        <w:rPr>
          <w:sz w:val="22"/>
        </w:rPr>
        <w:t>Aucune distinction ne peut être effectuée entre les deux sexes dans l’application du statut de la fonction publique à l’exception des dispositions relatives au congé de maternité, stipule l’article 200, du statut général de la fonction publique.</w:t>
      </w:r>
    </w:p>
    <w:p w:rsidR="00000000" w:rsidRDefault="00000000">
      <w:pPr>
        <w:jc w:val="both"/>
        <w:rPr>
          <w:sz w:val="22"/>
        </w:rPr>
      </w:pPr>
    </w:p>
    <w:p w:rsidR="00000000" w:rsidRDefault="00000000">
      <w:pPr>
        <w:jc w:val="both"/>
        <w:rPr>
          <w:sz w:val="22"/>
        </w:rPr>
      </w:pPr>
      <w:r>
        <w:rPr>
          <w:sz w:val="22"/>
        </w:rPr>
        <w:t>Toutefois, en raison des conditions d’aptitude physique spéciale qu’ils requièrent, certains emplois peuvent être réservés aux agents remplissant ces conditions (article 200).</w:t>
      </w:r>
    </w:p>
    <w:p w:rsidR="00000000" w:rsidRDefault="00000000">
      <w:pPr>
        <w:jc w:val="both"/>
        <w:rPr>
          <w:b/>
          <w:sz w:val="22"/>
        </w:rPr>
      </w:pPr>
      <w:r>
        <w:rPr>
          <w:b/>
          <w:sz w:val="22"/>
        </w:rPr>
        <w:t xml:space="preserve">II - </w:t>
      </w:r>
      <w:r>
        <w:rPr>
          <w:b/>
          <w:sz w:val="22"/>
          <w:u w:val="single"/>
        </w:rPr>
        <w:t>L’emploi dans le secteur privé</w:t>
      </w:r>
      <w:r>
        <w:rPr>
          <w:b/>
          <w:sz w:val="22"/>
        </w:rPr>
        <w:t> :</w:t>
      </w:r>
    </w:p>
    <w:p w:rsidR="00000000" w:rsidRDefault="00000000">
      <w:pPr>
        <w:jc w:val="both"/>
        <w:rPr>
          <w:b/>
          <w:sz w:val="22"/>
          <w:u w:val="single"/>
        </w:rPr>
      </w:pPr>
    </w:p>
    <w:p w:rsidR="00000000" w:rsidRDefault="00000000">
      <w:pPr>
        <w:jc w:val="both"/>
        <w:rPr>
          <w:sz w:val="22"/>
        </w:rPr>
      </w:pPr>
      <w:r>
        <w:rPr>
          <w:sz w:val="22"/>
        </w:rPr>
        <w:t>Les conditions d’accès dans le secteur privé sont régies par le code du travail auxquelles s’ajoutent les conventions d’entreprises (convention pétrole, convention commerce, etc…) qui procurent au travailleur du secteur privé des avantages, essentiellement en matière de rémunération.</w:t>
      </w:r>
    </w:p>
    <w:p w:rsidR="00000000" w:rsidRDefault="00000000">
      <w:pPr>
        <w:jc w:val="both"/>
        <w:rPr>
          <w:b/>
          <w:sz w:val="22"/>
          <w:u w:val="single"/>
        </w:rPr>
      </w:pPr>
    </w:p>
    <w:p w:rsidR="00000000" w:rsidRDefault="00000000">
      <w:pPr>
        <w:jc w:val="both"/>
        <w:rPr>
          <w:sz w:val="22"/>
        </w:rPr>
      </w:pPr>
      <w:r>
        <w:rPr>
          <w:sz w:val="22"/>
        </w:rPr>
        <w:t>L’article 105 du code du travail dispose : « Dans tous les établissements publics ou privés, non agricoles y compris ceux d’enseignement et de bienfaisance, la durée légale du travail des employés ou ouvriers de l’un ou l’autre sexe, de tout âge, travaillant à temps plein, à la tâche ou aux pièces, ne peut excéder 40 heures / semaine ».</w:t>
      </w:r>
    </w:p>
    <w:p w:rsidR="00000000" w:rsidRDefault="00000000">
      <w:pPr>
        <w:jc w:val="both"/>
        <w:rPr>
          <w:sz w:val="22"/>
        </w:rPr>
      </w:pPr>
    </w:p>
    <w:p w:rsidR="00000000" w:rsidRDefault="00000000">
      <w:pPr>
        <w:jc w:val="both"/>
        <w:rPr>
          <w:b/>
          <w:sz w:val="22"/>
          <w:u w:val="single"/>
        </w:rPr>
      </w:pPr>
      <w:r>
        <w:rPr>
          <w:b/>
          <w:sz w:val="22"/>
        </w:rPr>
        <w:t xml:space="preserve">III - </w:t>
      </w:r>
      <w:r>
        <w:rPr>
          <w:b/>
          <w:sz w:val="22"/>
          <w:u w:val="single"/>
        </w:rPr>
        <w:t>L’emploi dans le secteur informel</w:t>
      </w:r>
    </w:p>
    <w:p w:rsidR="00000000" w:rsidRDefault="00000000">
      <w:pPr>
        <w:rPr>
          <w:sz w:val="22"/>
        </w:rPr>
      </w:pPr>
    </w:p>
    <w:p w:rsidR="00000000" w:rsidRDefault="00000000">
      <w:pPr>
        <w:pStyle w:val="BodyText"/>
        <w:rPr>
          <w:sz w:val="22"/>
        </w:rPr>
      </w:pPr>
      <w:r>
        <w:rPr>
          <w:sz w:val="22"/>
        </w:rPr>
        <w:t>Secteur de prédilection pour les femmes, le secteur informel procure un emploi et des revenus à une grande partie de la population. Ce secteur est le dernier refuge des femmes qui représentent 64% de la population active.</w:t>
      </w:r>
    </w:p>
    <w:p w:rsidR="00000000" w:rsidRDefault="00000000">
      <w:pPr>
        <w:rPr>
          <w:sz w:val="22"/>
        </w:rPr>
      </w:pPr>
    </w:p>
    <w:p w:rsidR="00000000" w:rsidRDefault="00000000">
      <w:pPr>
        <w:pStyle w:val="BodyText"/>
        <w:rPr>
          <w:sz w:val="22"/>
        </w:rPr>
      </w:pPr>
      <w:r>
        <w:rPr>
          <w:sz w:val="22"/>
        </w:rPr>
        <w:t>Les femmes du secteur informel sont confrontées à divers problèmes : la concurrence déloyale des commerçants ambulants, l’absence de cadre juridique, l’analphabétisme, et le manque d’une structure pour la défense de leurs  intérêts.</w:t>
      </w:r>
    </w:p>
    <w:p w:rsidR="00000000" w:rsidRDefault="00000000">
      <w:pPr>
        <w:rPr>
          <w:sz w:val="22"/>
        </w:rPr>
      </w:pPr>
      <w:r>
        <w:rPr>
          <w:sz w:val="22"/>
        </w:rPr>
        <w:t>Comme dans la majorité des pays africains, la comptabilité nationale ne prend pas en compte les activités des femmes du secteur informel.</w:t>
      </w:r>
    </w:p>
    <w:p w:rsidR="00000000" w:rsidRDefault="00000000">
      <w:pPr>
        <w:rPr>
          <w:sz w:val="22"/>
        </w:rPr>
      </w:pPr>
    </w:p>
    <w:p w:rsidR="00000000" w:rsidRDefault="00000000">
      <w:pPr>
        <w:pStyle w:val="BodyText"/>
        <w:rPr>
          <w:sz w:val="22"/>
        </w:rPr>
      </w:pPr>
      <w:r>
        <w:rPr>
          <w:sz w:val="22"/>
        </w:rPr>
        <w:t>L’une des caractéristiques des pays africains est l’existence des ménages ayant à leur tête des femmes comme chef de famille. Et parmi les catégories sociales sévèrement écrasées par le poids de la pauvreté, on peut citer la femme chef de famille en général et la femme rurale en particulier. La grande majorité de ces femmes se trouve dans le secteur informel où elles tiennent des fonds de commerce ou des petites unités de production d’où elles tirent des revenus souvent faibles pour élever des familles entières.</w:t>
      </w:r>
    </w:p>
    <w:p w:rsidR="00000000" w:rsidRDefault="00000000">
      <w:pPr>
        <w:jc w:val="both"/>
        <w:rPr>
          <w:sz w:val="22"/>
        </w:rPr>
      </w:pPr>
    </w:p>
    <w:p w:rsidR="00000000" w:rsidRDefault="00000000">
      <w:pPr>
        <w:pStyle w:val="BodyText"/>
        <w:rPr>
          <w:sz w:val="22"/>
        </w:rPr>
      </w:pPr>
      <w:r>
        <w:rPr>
          <w:sz w:val="22"/>
        </w:rPr>
        <w:t>Il existe une proportion significative au niveau des zones rurales et urbaines, des femmes chefs de famille avec leurs enfants et des personnes, à charge, liées par le mariage. Cette situation s’explique par la présence dans la population féminine des veuves, des divorcées et des célibataires. En milieu rural, les époux migrent à la recherche d’un emploi dans les grandes agglomérations ; ce qui occasionne des absences prolongées et conduit la femme à diriger seule le ménage et à intégrer ainsi les rangs des acteurs du secteur informel.</w:t>
      </w:r>
    </w:p>
    <w:p w:rsidR="00000000" w:rsidRDefault="00000000">
      <w:pPr>
        <w:jc w:val="both"/>
        <w:rPr>
          <w:sz w:val="22"/>
        </w:rPr>
      </w:pPr>
    </w:p>
    <w:p w:rsidR="00000000" w:rsidRDefault="00000000">
      <w:pPr>
        <w:jc w:val="both"/>
        <w:rPr>
          <w:sz w:val="22"/>
        </w:rPr>
      </w:pPr>
    </w:p>
    <w:p w:rsidR="00000000" w:rsidRDefault="00000000">
      <w:pPr>
        <w:jc w:val="both"/>
        <w:rPr>
          <w:b/>
          <w:sz w:val="22"/>
          <w:u w:val="single"/>
        </w:rPr>
      </w:pPr>
      <w:r>
        <w:rPr>
          <w:b/>
          <w:sz w:val="22"/>
          <w:u w:val="single"/>
        </w:rPr>
        <w:t>SECTION III</w:t>
      </w:r>
      <w:r>
        <w:rPr>
          <w:b/>
          <w:sz w:val="22"/>
        </w:rPr>
        <w:t xml:space="preserve">- </w:t>
      </w:r>
      <w:r>
        <w:rPr>
          <w:b/>
          <w:sz w:val="22"/>
          <w:u w:val="single"/>
        </w:rPr>
        <w:t>LES FEMMES ET L’EMPLOI</w:t>
      </w:r>
    </w:p>
    <w:p w:rsidR="00000000" w:rsidRDefault="00000000">
      <w:pPr>
        <w:rPr>
          <w:sz w:val="22"/>
        </w:rPr>
      </w:pPr>
    </w:p>
    <w:p w:rsidR="00000000" w:rsidRDefault="00000000">
      <w:pPr>
        <w:pStyle w:val="BodyText"/>
        <w:rPr>
          <w:sz w:val="22"/>
        </w:rPr>
      </w:pPr>
      <w:r>
        <w:rPr>
          <w:sz w:val="22"/>
        </w:rPr>
        <w:t>Les droits exercés par les femmes dans les mêmes conditions que les hommes se résument ainsi :</w:t>
      </w:r>
    </w:p>
    <w:p w:rsidR="00000000" w:rsidRDefault="00000000">
      <w:pPr>
        <w:rPr>
          <w:sz w:val="22"/>
        </w:rPr>
      </w:pPr>
    </w:p>
    <w:p w:rsidR="00000000" w:rsidRDefault="00000000">
      <w:pPr>
        <w:numPr>
          <w:ilvl w:val="0"/>
          <w:numId w:val="72"/>
        </w:numPr>
        <w:rPr>
          <w:sz w:val="22"/>
        </w:rPr>
      </w:pPr>
      <w:r>
        <w:rPr>
          <w:sz w:val="22"/>
        </w:rPr>
        <w:t>droit au travail en tant que droit inaliénable de tous les êtres humains ;</w:t>
      </w:r>
    </w:p>
    <w:p w:rsidR="00000000" w:rsidRDefault="00000000">
      <w:pPr>
        <w:numPr>
          <w:ilvl w:val="0"/>
          <w:numId w:val="72"/>
        </w:numPr>
        <w:jc w:val="both"/>
        <w:rPr>
          <w:sz w:val="22"/>
        </w:rPr>
      </w:pPr>
      <w:r>
        <w:rPr>
          <w:sz w:val="22"/>
        </w:rPr>
        <w:t>droit aux mêmes possibilités d’emploi, y compris l’application des critères équitables de sélection en matière d’emploi.</w:t>
      </w:r>
    </w:p>
    <w:p w:rsidR="00000000" w:rsidRDefault="00000000">
      <w:pPr>
        <w:jc w:val="both"/>
        <w:rPr>
          <w:sz w:val="22"/>
        </w:rPr>
      </w:pPr>
    </w:p>
    <w:p w:rsidR="00000000" w:rsidRDefault="00000000">
      <w:pPr>
        <w:jc w:val="both"/>
        <w:rPr>
          <w:sz w:val="22"/>
        </w:rPr>
      </w:pPr>
      <w:r>
        <w:rPr>
          <w:sz w:val="22"/>
        </w:rPr>
        <w:t>Cependant, en matière d’embauche, dans les secteurs public et privé, la tendance est à l’embauche de l’homme. Ce phénomène est encore plus accru dans le secteur privé où la femme se trouve bien lésée à cause de sa condition de femme, de mère, de maîtresse de maison et de chef de famille.</w:t>
      </w:r>
    </w:p>
    <w:p w:rsidR="00000000" w:rsidRDefault="00000000">
      <w:pPr>
        <w:jc w:val="both"/>
        <w:rPr>
          <w:sz w:val="22"/>
        </w:rPr>
      </w:pPr>
    </w:p>
    <w:p w:rsidR="00000000" w:rsidRDefault="00000000">
      <w:pPr>
        <w:jc w:val="both"/>
        <w:rPr>
          <w:sz w:val="22"/>
        </w:rPr>
      </w:pPr>
      <w:r>
        <w:rPr>
          <w:sz w:val="22"/>
        </w:rPr>
        <w:t>L’article 23 de l’acte fondamental et l’article 8 paragraphe 3 de la nouvelle constitution prévoint des dispositions particulières relatives aux femmes « la femme a les mêmes droits que l’homme dans les domaines de la vie politique et sociale. Pour un travail égal, la femme a droit au même salaire que l’homme ».</w:t>
      </w:r>
    </w:p>
    <w:p w:rsidR="00000000" w:rsidRDefault="00000000">
      <w:pPr>
        <w:jc w:val="both"/>
        <w:rPr>
          <w:sz w:val="22"/>
        </w:rPr>
      </w:pPr>
    </w:p>
    <w:p w:rsidR="00000000" w:rsidRDefault="00000000">
      <w:pPr>
        <w:jc w:val="both"/>
        <w:rPr>
          <w:sz w:val="22"/>
        </w:rPr>
      </w:pPr>
      <w:r>
        <w:rPr>
          <w:sz w:val="22"/>
        </w:rPr>
        <w:t>Il n’y a pas de discrimination légale en matière d’emploi, mais de fait, l’utilisation de la femme est bien minime surtout dans les hautes sphères de décision ou les grands postes technologiques.</w:t>
      </w:r>
    </w:p>
    <w:p w:rsidR="00000000" w:rsidRDefault="00000000">
      <w:pPr>
        <w:jc w:val="both"/>
        <w:rPr>
          <w:sz w:val="22"/>
        </w:rPr>
      </w:pPr>
    </w:p>
    <w:p w:rsidR="00000000" w:rsidRDefault="00000000">
      <w:pPr>
        <w:jc w:val="both"/>
        <w:rPr>
          <w:sz w:val="22"/>
        </w:rPr>
      </w:pPr>
      <w:r>
        <w:rPr>
          <w:sz w:val="22"/>
        </w:rPr>
        <w:t>Les femmes représentent plus de la moitié de la population (52%) et contribuent pour une grande part à l’économie (46%) de la population active ; 70% de la main-d’œuvre en agriculture assurent 60 à 80% de la production vivrière et presque 100% de la transformation traditionnelle des produits agricoles. 60,4% dans l’agriculture et 58% dans le commerce. Les femmes sont représentées respectivement à 64% dans le secteur primaire, 1,1% dans le secondaire et 33% dans le tertiaire.</w:t>
      </w:r>
    </w:p>
    <w:p w:rsidR="00000000" w:rsidRDefault="00000000">
      <w:pPr>
        <w:jc w:val="both"/>
        <w:rPr>
          <w:sz w:val="22"/>
        </w:rPr>
      </w:pPr>
    </w:p>
    <w:p w:rsidR="00000000" w:rsidRDefault="00000000">
      <w:pPr>
        <w:jc w:val="both"/>
        <w:rPr>
          <w:sz w:val="22"/>
        </w:rPr>
      </w:pPr>
      <w:r>
        <w:rPr>
          <w:sz w:val="22"/>
        </w:rPr>
        <w:t>En milieu rural, les femmes se consacrent aux activités essentiellement destinées à l’autosubsistance. En plus des travaux agricoles découlant de la division traditionnelle du travail, elles font habituellement des travaux artisanaux qui ne leur procurent que peu d’argent ; les débouchés étant presque inexistants et les techniques utilisées, archaïques.</w:t>
      </w:r>
    </w:p>
    <w:p w:rsidR="00000000" w:rsidRDefault="00000000">
      <w:pPr>
        <w:jc w:val="both"/>
        <w:rPr>
          <w:sz w:val="22"/>
        </w:rPr>
      </w:pPr>
    </w:p>
    <w:p w:rsidR="00000000" w:rsidRDefault="00000000">
      <w:pPr>
        <w:jc w:val="both"/>
        <w:rPr>
          <w:sz w:val="22"/>
        </w:rPr>
      </w:pPr>
      <w:r>
        <w:rPr>
          <w:sz w:val="22"/>
        </w:rPr>
        <w:t>En milieu urbain, l’accès des femmes aux activités professionnelles est limité par leur faible niveau de qualification et par les contraintes et responsabilités du ménage auxquelles elles sont soumises. On assiste à une prolifération d’activités de service et à la pratique des petits commerces à domicile ou dans les marchés dont les recettes servent de revenus pour la subsistance.</w:t>
      </w:r>
    </w:p>
    <w:p w:rsidR="00000000" w:rsidRDefault="00000000">
      <w:pPr>
        <w:jc w:val="both"/>
        <w:rPr>
          <w:sz w:val="22"/>
        </w:rPr>
      </w:pPr>
    </w:p>
    <w:p w:rsidR="00000000" w:rsidRDefault="00000000">
      <w:pPr>
        <w:jc w:val="both"/>
        <w:rPr>
          <w:sz w:val="22"/>
        </w:rPr>
      </w:pPr>
      <w:r>
        <w:rPr>
          <w:sz w:val="22"/>
        </w:rPr>
        <w:t>Les femmes rurales ainsi que les femmes du secteur informel ne bénéficient d’aucune couverture sociale et ne peuvent prétendre au crédit bancaire en vue d’une extension de leurs activités.</w:t>
      </w:r>
    </w:p>
    <w:p w:rsidR="00000000" w:rsidRDefault="00000000">
      <w:pPr>
        <w:jc w:val="both"/>
        <w:rPr>
          <w:sz w:val="22"/>
        </w:rPr>
      </w:pPr>
    </w:p>
    <w:p w:rsidR="00000000" w:rsidRDefault="00000000">
      <w:pPr>
        <w:jc w:val="both"/>
        <w:rPr>
          <w:sz w:val="22"/>
        </w:rPr>
      </w:pPr>
      <w:r>
        <w:rPr>
          <w:sz w:val="22"/>
        </w:rPr>
        <w:t>La participation des femmes à l’emploi dans le secteur formel a connu une croissance rapide. Néanmoins, l’égalité d’accès à l’emploi n’assure pas une représentation quantitative et qualitative. Les femmes constituent une minorité dans la fonction publique et le secteur privé. En 1995, sur. 57.343 agents recensés, les femmes ne représentaient que le ¼, soit 14.335 ; et sur 105.025 assurés inscrits à la Caisse Nationale de Sécurité Sociale (CNSS), il y a seulement 20.035 femmes. En 1990, sur 55.130 agents de la fonction publique, il n’y avait que 18.414 femmes.</w:t>
      </w:r>
    </w:p>
    <w:p w:rsidR="00000000" w:rsidRDefault="00000000">
      <w:pPr>
        <w:jc w:val="both"/>
        <w:rPr>
          <w:sz w:val="22"/>
        </w:rPr>
      </w:pPr>
    </w:p>
    <w:p w:rsidR="00000000" w:rsidRDefault="00000000">
      <w:pPr>
        <w:jc w:val="both"/>
        <w:rPr>
          <w:sz w:val="22"/>
        </w:rPr>
      </w:pPr>
      <w:r>
        <w:rPr>
          <w:sz w:val="22"/>
        </w:rPr>
        <w:t>Ces chiffres n’ont pas connu beaucoup d’évolution, en raison du blocage du recrutement à la fonction publique, lié aux difficultés économiques. En milieu urbain, les emplois offerts sont beaucoup plus de type moderne, nécessitant non seulement des capacités physiques certaines mais surtout des compétences particulières et ceci au détriment de la femme qui n’est pas toujours bien formée ou spécialisée. Dans la fonction publique, l’accès à des postes de responsabilités étant lié au niveau de qualification, les femmes sont plus présentes dans les catégories B et C, tributaires de formation moyenne.</w:t>
      </w:r>
    </w:p>
    <w:p w:rsidR="00000000" w:rsidRDefault="00000000">
      <w:pPr>
        <w:jc w:val="both"/>
        <w:rPr>
          <w:sz w:val="22"/>
        </w:rPr>
      </w:pPr>
    </w:p>
    <w:p w:rsidR="00000000" w:rsidRDefault="00000000">
      <w:pPr>
        <w:jc w:val="both"/>
        <w:rPr>
          <w:sz w:val="22"/>
        </w:rPr>
      </w:pPr>
      <w:r>
        <w:rPr>
          <w:sz w:val="22"/>
        </w:rPr>
        <w:t>La direction générale de la main-d’œuvre et de l’emploi classifie en trois catégories l’utilisation de la femme dans le monde de l’emploi :</w:t>
      </w:r>
    </w:p>
    <w:p w:rsidR="00000000" w:rsidRDefault="00000000">
      <w:pPr>
        <w:jc w:val="both"/>
        <w:rPr>
          <w:sz w:val="22"/>
        </w:rPr>
      </w:pPr>
    </w:p>
    <w:p w:rsidR="00000000" w:rsidRDefault="00000000">
      <w:pPr>
        <w:numPr>
          <w:ilvl w:val="0"/>
          <w:numId w:val="103"/>
        </w:numPr>
        <w:jc w:val="both"/>
        <w:rPr>
          <w:sz w:val="22"/>
        </w:rPr>
      </w:pPr>
      <w:r>
        <w:rPr>
          <w:sz w:val="22"/>
        </w:rPr>
        <w:t>la haute classe : (sphère de décision) ; présence très faible de la femme ;</w:t>
      </w:r>
    </w:p>
    <w:p w:rsidR="00000000" w:rsidRDefault="00000000">
      <w:pPr>
        <w:numPr>
          <w:ilvl w:val="0"/>
          <w:numId w:val="103"/>
        </w:numPr>
        <w:jc w:val="both"/>
        <w:rPr>
          <w:sz w:val="22"/>
        </w:rPr>
      </w:pPr>
      <w:r>
        <w:rPr>
          <w:sz w:val="22"/>
        </w:rPr>
        <w:t>la classe moyenne : (cadres moyens) ; présence, insuffisante ;</w:t>
      </w:r>
    </w:p>
    <w:p w:rsidR="00000000" w:rsidRDefault="00000000">
      <w:pPr>
        <w:numPr>
          <w:ilvl w:val="0"/>
          <w:numId w:val="103"/>
        </w:numPr>
        <w:jc w:val="both"/>
        <w:rPr>
          <w:sz w:val="22"/>
        </w:rPr>
      </w:pPr>
      <w:r>
        <w:rPr>
          <w:sz w:val="22"/>
        </w:rPr>
        <w:t>la basse classe : regroupe la majorité des femmes.</w:t>
      </w:r>
    </w:p>
    <w:p w:rsidR="00000000" w:rsidRDefault="00000000">
      <w:pPr>
        <w:jc w:val="both"/>
        <w:rPr>
          <w:sz w:val="22"/>
        </w:rPr>
      </w:pPr>
    </w:p>
    <w:p w:rsidR="00000000" w:rsidRDefault="00000000">
      <w:pPr>
        <w:pStyle w:val="BodyText"/>
        <w:rPr>
          <w:sz w:val="22"/>
        </w:rPr>
      </w:pPr>
      <w:r>
        <w:rPr>
          <w:sz w:val="22"/>
        </w:rPr>
        <w:t xml:space="preserve">A titre d’exemple ; dans l’éducation nationale, on retrouve dans la dernière classe, les enseignants du préscolaire et du primaire, secteur dominé par une forte présence féminine ; la classe moyenne regroupe le personnel des collèges et lycées dans laquelle la présence des femmes se raréfie dans les classes pour se retrouver dans les bureaux comme personnel de l’administration. Enfin, la haute classe regroupe les professeurs d’université où la présence de la femme est bien minime. </w:t>
      </w:r>
    </w:p>
    <w:p w:rsidR="00000000" w:rsidRDefault="00000000">
      <w:pPr>
        <w:jc w:val="both"/>
        <w:rPr>
          <w:sz w:val="22"/>
        </w:rPr>
      </w:pPr>
    </w:p>
    <w:p w:rsidR="00000000" w:rsidRDefault="00000000">
      <w:pPr>
        <w:jc w:val="both"/>
        <w:rPr>
          <w:sz w:val="22"/>
        </w:rPr>
      </w:pPr>
    </w:p>
    <w:p w:rsidR="00000000" w:rsidRDefault="00000000">
      <w:pPr>
        <w:jc w:val="both"/>
        <w:rPr>
          <w:b/>
          <w:sz w:val="22"/>
          <w:u w:val="single"/>
        </w:rPr>
      </w:pPr>
      <w:r>
        <w:rPr>
          <w:b/>
          <w:sz w:val="22"/>
          <w:u w:val="single"/>
        </w:rPr>
        <w:t>SECTION</w:t>
      </w:r>
      <w:r>
        <w:rPr>
          <w:b/>
          <w:sz w:val="22"/>
        </w:rPr>
        <w:t xml:space="preserve"> IV - </w:t>
      </w:r>
      <w:r>
        <w:rPr>
          <w:b/>
          <w:sz w:val="22"/>
          <w:u w:val="single"/>
        </w:rPr>
        <w:t>L’EVOLUTION DE LA CARRIERE ET L’ACCES A LA FORMATION</w:t>
      </w:r>
    </w:p>
    <w:p w:rsidR="00000000" w:rsidRDefault="00000000">
      <w:pPr>
        <w:rPr>
          <w:sz w:val="22"/>
        </w:rPr>
      </w:pPr>
    </w:p>
    <w:p w:rsidR="00000000" w:rsidRDefault="00000000">
      <w:pPr>
        <w:pStyle w:val="BodyText"/>
        <w:rPr>
          <w:sz w:val="22"/>
        </w:rPr>
      </w:pPr>
      <w:r>
        <w:rPr>
          <w:sz w:val="22"/>
        </w:rPr>
        <w:t>L’évolution de la carrière et l’accès à la formation sont fixés par deux dispositions du statut général de la fonction publique ;</w:t>
      </w:r>
    </w:p>
    <w:p w:rsidR="00000000" w:rsidRDefault="00000000">
      <w:pPr>
        <w:pStyle w:val="BodyText"/>
        <w:rPr>
          <w:sz w:val="22"/>
        </w:rPr>
      </w:pPr>
    </w:p>
    <w:p w:rsidR="00000000" w:rsidRDefault="00000000">
      <w:pPr>
        <w:pStyle w:val="BodyText"/>
        <w:rPr>
          <w:sz w:val="22"/>
        </w:rPr>
      </w:pPr>
      <w:r>
        <w:rPr>
          <w:sz w:val="22"/>
        </w:rPr>
        <w:t>Il s’agit des articles 206 et 226.</w:t>
      </w:r>
    </w:p>
    <w:p w:rsidR="00000000" w:rsidRDefault="00000000">
      <w:pPr>
        <w:rPr>
          <w:sz w:val="22"/>
        </w:rPr>
      </w:pPr>
    </w:p>
    <w:p w:rsidR="00000000" w:rsidRDefault="00000000">
      <w:pPr>
        <w:rPr>
          <w:sz w:val="22"/>
        </w:rPr>
      </w:pPr>
      <w:r>
        <w:rPr>
          <w:sz w:val="22"/>
          <w:u w:val="single"/>
        </w:rPr>
        <w:t>Article 206</w:t>
      </w:r>
      <w:r>
        <w:rPr>
          <w:sz w:val="22"/>
        </w:rPr>
        <w:t> : « Tout fonctionnaire a droit, dans la mesure de son mérite et des besoins de l’administration, à une promotion. Celle-ci est organisée au travers :</w:t>
      </w:r>
    </w:p>
    <w:p w:rsidR="00000000" w:rsidRDefault="00000000">
      <w:pPr>
        <w:numPr>
          <w:ilvl w:val="0"/>
          <w:numId w:val="72"/>
        </w:numPr>
        <w:jc w:val="both"/>
        <w:rPr>
          <w:sz w:val="22"/>
        </w:rPr>
      </w:pPr>
      <w:r>
        <w:rPr>
          <w:sz w:val="22"/>
        </w:rPr>
        <w:t>des concours internes de recrutement qui permettent l’accès à des corps de catégorie plus élevée ;</w:t>
      </w:r>
    </w:p>
    <w:p w:rsidR="00000000" w:rsidRDefault="00000000">
      <w:pPr>
        <w:numPr>
          <w:ilvl w:val="0"/>
          <w:numId w:val="72"/>
        </w:numPr>
        <w:rPr>
          <w:sz w:val="22"/>
        </w:rPr>
      </w:pPr>
      <w:r>
        <w:rPr>
          <w:sz w:val="22"/>
        </w:rPr>
        <w:t>des concours professionnels qui permettent l’accès à une formation ;</w:t>
      </w:r>
    </w:p>
    <w:p w:rsidR="00000000" w:rsidRDefault="00000000">
      <w:pPr>
        <w:numPr>
          <w:ilvl w:val="0"/>
          <w:numId w:val="72"/>
        </w:numPr>
        <w:rPr>
          <w:sz w:val="22"/>
        </w:rPr>
      </w:pPr>
      <w:r>
        <w:rPr>
          <w:sz w:val="22"/>
        </w:rPr>
        <w:t>des stages de perfectionnement pouvant ouvrir l’accès à certains emplois ;</w:t>
      </w:r>
    </w:p>
    <w:p w:rsidR="00000000" w:rsidRDefault="00000000">
      <w:pPr>
        <w:numPr>
          <w:ilvl w:val="0"/>
          <w:numId w:val="72"/>
        </w:numPr>
        <w:jc w:val="both"/>
        <w:rPr>
          <w:sz w:val="22"/>
        </w:rPr>
      </w:pPr>
      <w:r>
        <w:rPr>
          <w:sz w:val="22"/>
        </w:rPr>
        <w:t>des nominations à titre exceptionnel dont les conditions seront fixées par décret pris en Conseil des Ministres ;</w:t>
      </w:r>
    </w:p>
    <w:p w:rsidR="00000000" w:rsidRDefault="00000000">
      <w:pPr>
        <w:numPr>
          <w:ilvl w:val="0"/>
          <w:numId w:val="72"/>
        </w:numPr>
        <w:jc w:val="both"/>
        <w:rPr>
          <w:sz w:val="22"/>
        </w:rPr>
      </w:pPr>
      <w:r>
        <w:rPr>
          <w:sz w:val="22"/>
        </w:rPr>
        <w:t>des tests professionnels ».</w:t>
      </w:r>
    </w:p>
    <w:p w:rsidR="00000000" w:rsidRDefault="00000000">
      <w:pPr>
        <w:jc w:val="both"/>
        <w:rPr>
          <w:sz w:val="22"/>
        </w:rPr>
      </w:pPr>
    </w:p>
    <w:p w:rsidR="00000000" w:rsidRDefault="00000000">
      <w:pPr>
        <w:jc w:val="both"/>
        <w:rPr>
          <w:sz w:val="22"/>
        </w:rPr>
      </w:pPr>
      <w:r>
        <w:rPr>
          <w:sz w:val="22"/>
          <w:u w:val="single"/>
        </w:rPr>
        <w:t>Article 226</w:t>
      </w:r>
      <w:r>
        <w:rPr>
          <w:sz w:val="22"/>
        </w:rPr>
        <w:t xml:space="preserve"> : </w:t>
      </w:r>
    </w:p>
    <w:p w:rsidR="00000000" w:rsidRDefault="00000000">
      <w:pPr>
        <w:jc w:val="both"/>
        <w:rPr>
          <w:sz w:val="22"/>
        </w:rPr>
      </w:pPr>
    </w:p>
    <w:p w:rsidR="00000000" w:rsidRDefault="00000000">
      <w:pPr>
        <w:jc w:val="both"/>
        <w:rPr>
          <w:sz w:val="22"/>
        </w:rPr>
      </w:pPr>
      <w:r>
        <w:rPr>
          <w:sz w:val="22"/>
        </w:rPr>
        <w:t>« Le fonctionnaire en activité a l’obligation de suivre les stages de perfectionnement ou de recyclage organisés par l’administration aux jours et heures de service ».</w:t>
      </w:r>
    </w:p>
    <w:p w:rsidR="00000000" w:rsidRDefault="00000000">
      <w:pPr>
        <w:jc w:val="both"/>
        <w:rPr>
          <w:sz w:val="22"/>
        </w:rPr>
      </w:pPr>
    </w:p>
    <w:p w:rsidR="00000000" w:rsidRDefault="00000000">
      <w:pPr>
        <w:pStyle w:val="BodyText"/>
        <w:rPr>
          <w:sz w:val="22"/>
        </w:rPr>
      </w:pPr>
      <w:r>
        <w:rPr>
          <w:sz w:val="22"/>
        </w:rPr>
        <w:t>En matière de formation, la femme éprouve d’énormes difficultés de perfectionnement professionnel, surtout quand il s’agit des stages à l’étranger, à cause essentiellement de ses fonctions d’épouse et de mère mais aussi de femme chef de ménage ayant seule à charge des enfants et des personnes apparentées.</w:t>
      </w:r>
    </w:p>
    <w:p w:rsidR="00000000" w:rsidRDefault="00000000">
      <w:pPr>
        <w:rPr>
          <w:sz w:val="22"/>
        </w:rPr>
      </w:pPr>
    </w:p>
    <w:p w:rsidR="00000000" w:rsidRDefault="00000000">
      <w:pPr>
        <w:pStyle w:val="BodyText"/>
        <w:rPr>
          <w:sz w:val="22"/>
        </w:rPr>
      </w:pPr>
      <w:r>
        <w:rPr>
          <w:sz w:val="22"/>
        </w:rPr>
        <w:t>Toutefois, il faut souligner la présence importante de la femme dans les instituts nationaux de formation professionnelle notamment l’ENS. Les certificats obtenus à la sortie de ces écoles donnent droit aux changements de grade, d’échelon, de catégorie et de poste de travail.</w:t>
      </w:r>
    </w:p>
    <w:p w:rsidR="00000000" w:rsidRDefault="00000000">
      <w:pPr>
        <w:jc w:val="both"/>
        <w:rPr>
          <w:sz w:val="22"/>
        </w:rPr>
      </w:pPr>
    </w:p>
    <w:p w:rsidR="00000000" w:rsidRDefault="00000000">
      <w:pPr>
        <w:jc w:val="both"/>
        <w:rPr>
          <w:sz w:val="22"/>
        </w:rPr>
      </w:pPr>
    </w:p>
    <w:p w:rsidR="00000000" w:rsidRDefault="00000000">
      <w:pPr>
        <w:rPr>
          <w:sz w:val="22"/>
        </w:rPr>
      </w:pPr>
      <w:r>
        <w:rPr>
          <w:b/>
          <w:sz w:val="22"/>
          <w:u w:val="single"/>
        </w:rPr>
        <w:t>SECTION</w:t>
      </w:r>
      <w:r>
        <w:rPr>
          <w:b/>
          <w:sz w:val="22"/>
        </w:rPr>
        <w:t xml:space="preserve"> V - </w:t>
      </w:r>
      <w:r>
        <w:rPr>
          <w:b/>
          <w:sz w:val="22"/>
          <w:u w:val="single"/>
        </w:rPr>
        <w:t>LA REMUNERATION</w:t>
      </w:r>
    </w:p>
    <w:p w:rsidR="00000000" w:rsidRDefault="00000000">
      <w:pPr>
        <w:rPr>
          <w:sz w:val="22"/>
        </w:rPr>
      </w:pPr>
    </w:p>
    <w:p w:rsidR="00000000" w:rsidRDefault="00000000">
      <w:pPr>
        <w:pStyle w:val="BodyText"/>
        <w:rPr>
          <w:sz w:val="22"/>
        </w:rPr>
      </w:pPr>
      <w:r>
        <w:rPr>
          <w:sz w:val="22"/>
        </w:rPr>
        <w:t>Conformément aux conventions internationales, le principe de l’égalité de rémunération entre la main-d’œuvre masculine et féminine pour un travail de valeur égale, est appliqué à tous les travailleurs sans discrimination fondée sur le sexe dans le secteur public et privé.</w:t>
      </w:r>
    </w:p>
    <w:p w:rsidR="00000000" w:rsidRDefault="00000000">
      <w:pPr>
        <w:jc w:val="both"/>
        <w:rPr>
          <w:sz w:val="22"/>
        </w:rPr>
      </w:pPr>
    </w:p>
    <w:p w:rsidR="00000000" w:rsidRDefault="00000000">
      <w:pPr>
        <w:pStyle w:val="BodyText"/>
        <w:rPr>
          <w:sz w:val="22"/>
        </w:rPr>
      </w:pPr>
      <w:r>
        <w:rPr>
          <w:sz w:val="22"/>
        </w:rPr>
        <w:t>Dans le statut de la fonction publique, il est stipulé que tout agent a droit à une rémunération (article 205) fixée en fonction du grade, de l’emploi et du poste de travail.</w:t>
      </w:r>
    </w:p>
    <w:p w:rsidR="00000000" w:rsidRDefault="00000000">
      <w:pPr>
        <w:rPr>
          <w:sz w:val="22"/>
        </w:rPr>
      </w:pPr>
    </w:p>
    <w:p w:rsidR="00000000" w:rsidRDefault="00000000">
      <w:pPr>
        <w:pStyle w:val="BodyText"/>
        <w:rPr>
          <w:sz w:val="22"/>
        </w:rPr>
      </w:pPr>
      <w:r>
        <w:rPr>
          <w:sz w:val="22"/>
        </w:rPr>
        <w:t>Les missions effectuées en dehors des périodes normales de service sont rémunérées en heures supplémentaires.</w:t>
      </w:r>
    </w:p>
    <w:p w:rsidR="00000000" w:rsidRDefault="00000000">
      <w:pPr>
        <w:rPr>
          <w:sz w:val="22"/>
        </w:rPr>
      </w:pPr>
    </w:p>
    <w:p w:rsidR="00000000" w:rsidRDefault="00000000">
      <w:pPr>
        <w:jc w:val="both"/>
        <w:rPr>
          <w:sz w:val="22"/>
        </w:rPr>
      </w:pPr>
      <w:r>
        <w:rPr>
          <w:sz w:val="22"/>
        </w:rPr>
        <w:t>Tout agent a droit (article 207) pendant sa vie professionnelle à un juste avancement lui garantissant l’augmentation de sa rémunération.</w:t>
      </w:r>
    </w:p>
    <w:p w:rsidR="00000000" w:rsidRDefault="00000000">
      <w:pPr>
        <w:jc w:val="both"/>
        <w:rPr>
          <w:sz w:val="22"/>
        </w:rPr>
      </w:pPr>
    </w:p>
    <w:p w:rsidR="00000000" w:rsidRDefault="00000000">
      <w:pPr>
        <w:jc w:val="both"/>
        <w:rPr>
          <w:sz w:val="22"/>
        </w:rPr>
      </w:pPr>
      <w:r>
        <w:rPr>
          <w:sz w:val="22"/>
        </w:rPr>
        <w:t>Il n’existe pas non plus de discrimination de rémunération au niveau du secteur privé où le principe de « travail égal, salaire égal » est de mise ; toutefois, la réalité est que peu de femmes se retrouvent dans les classes hautes ; techniques, d’où les inégalités dans les revenus.</w:t>
      </w:r>
    </w:p>
    <w:p w:rsidR="00000000" w:rsidRDefault="00000000">
      <w:pPr>
        <w:jc w:val="both"/>
        <w:rPr>
          <w:sz w:val="22"/>
        </w:rPr>
      </w:pPr>
    </w:p>
    <w:p w:rsidR="00000000" w:rsidRDefault="00000000">
      <w:pPr>
        <w:pStyle w:val="BodyText"/>
        <w:rPr>
          <w:sz w:val="22"/>
        </w:rPr>
      </w:pPr>
      <w:r>
        <w:rPr>
          <w:sz w:val="22"/>
        </w:rPr>
        <w:t>L’employeur public comme celui du privé, respectent les principes du code du travail en son article 80 qui déclare : « à conditions égales de travail, de qualification professionnelle et de rendement, le salaire est égal pour tous les travailleurs quels que soient leur origine, leur sexe, leur âge et leur statut. »</w:t>
      </w:r>
    </w:p>
    <w:p w:rsidR="00000000" w:rsidRDefault="00000000">
      <w:pPr>
        <w:jc w:val="both"/>
        <w:rPr>
          <w:sz w:val="22"/>
        </w:rPr>
      </w:pPr>
    </w:p>
    <w:p w:rsidR="00000000" w:rsidRDefault="00000000">
      <w:pPr>
        <w:jc w:val="both"/>
        <w:rPr>
          <w:sz w:val="22"/>
        </w:rPr>
      </w:pPr>
    </w:p>
    <w:p w:rsidR="00000000" w:rsidRDefault="00000000">
      <w:pPr>
        <w:jc w:val="both"/>
        <w:rPr>
          <w:b/>
          <w:sz w:val="22"/>
          <w:u w:val="single"/>
        </w:rPr>
      </w:pPr>
      <w:r>
        <w:rPr>
          <w:b/>
          <w:sz w:val="22"/>
          <w:u w:val="single"/>
        </w:rPr>
        <w:t>SECTION</w:t>
      </w:r>
      <w:r>
        <w:rPr>
          <w:b/>
          <w:sz w:val="22"/>
        </w:rPr>
        <w:t xml:space="preserve"> VI- </w:t>
      </w:r>
      <w:r>
        <w:rPr>
          <w:b/>
          <w:sz w:val="22"/>
          <w:u w:val="single"/>
        </w:rPr>
        <w:t>LA SECURITE SOCIALE DU TRAVAILLEUR</w:t>
      </w:r>
    </w:p>
    <w:p w:rsidR="00000000" w:rsidRDefault="00000000">
      <w:pPr>
        <w:rPr>
          <w:sz w:val="22"/>
        </w:rPr>
      </w:pPr>
    </w:p>
    <w:p w:rsidR="00000000" w:rsidRDefault="00000000">
      <w:pPr>
        <w:pStyle w:val="BodyText"/>
        <w:rPr>
          <w:sz w:val="22"/>
        </w:rPr>
      </w:pPr>
      <w:r>
        <w:rPr>
          <w:sz w:val="22"/>
        </w:rPr>
        <w:t>Les articles 211 et 212 du statut général de la fonction publique sont concentrés sur le droit à la sécurité sociale du travailleur et de son ou ses conjoints ainsi que des enfants mineurs à charge :</w:t>
      </w:r>
    </w:p>
    <w:p w:rsidR="00000000" w:rsidRDefault="00000000">
      <w:pPr>
        <w:jc w:val="both"/>
        <w:rPr>
          <w:sz w:val="22"/>
        </w:rPr>
      </w:pPr>
    </w:p>
    <w:p w:rsidR="00000000" w:rsidRDefault="00000000">
      <w:pPr>
        <w:numPr>
          <w:ilvl w:val="0"/>
          <w:numId w:val="72"/>
        </w:numPr>
        <w:jc w:val="both"/>
        <w:rPr>
          <w:sz w:val="22"/>
        </w:rPr>
      </w:pPr>
      <w:r>
        <w:rPr>
          <w:sz w:val="22"/>
        </w:rPr>
        <w:t>prise en charge à hauteur de 80% des frais d’hospitalisation par le budget dont relève l’agent ;</w:t>
      </w:r>
    </w:p>
    <w:p w:rsidR="00000000" w:rsidRDefault="00000000">
      <w:pPr>
        <w:numPr>
          <w:ilvl w:val="0"/>
          <w:numId w:val="72"/>
        </w:numPr>
        <w:jc w:val="both"/>
        <w:rPr>
          <w:sz w:val="22"/>
        </w:rPr>
      </w:pPr>
      <w:r>
        <w:rPr>
          <w:sz w:val="22"/>
        </w:rPr>
        <w:t>prise en charge des frais funéraires de l’agent décédé en position d’activité ;</w:t>
      </w:r>
    </w:p>
    <w:p w:rsidR="00000000" w:rsidRDefault="00000000">
      <w:pPr>
        <w:numPr>
          <w:ilvl w:val="0"/>
          <w:numId w:val="72"/>
        </w:numPr>
        <w:jc w:val="both"/>
        <w:rPr>
          <w:sz w:val="22"/>
        </w:rPr>
      </w:pPr>
      <w:r>
        <w:rPr>
          <w:sz w:val="22"/>
        </w:rPr>
        <w:t>prise en  charge des frais de transport des restes mortels du conjoint et des enfants (article 211).</w:t>
      </w:r>
    </w:p>
    <w:p w:rsidR="00000000" w:rsidRDefault="00000000">
      <w:pPr>
        <w:jc w:val="both"/>
        <w:rPr>
          <w:sz w:val="22"/>
        </w:rPr>
      </w:pPr>
    </w:p>
    <w:p w:rsidR="00000000" w:rsidRDefault="00000000">
      <w:pPr>
        <w:jc w:val="both"/>
        <w:rPr>
          <w:sz w:val="22"/>
        </w:rPr>
      </w:pPr>
      <w:r>
        <w:rPr>
          <w:sz w:val="22"/>
        </w:rPr>
        <w:t>L’article 212 stipule que tout agent a droit à une couverture sociale ; il bénéficie d’un droit à pension de retraite. Le droit aux visites médicales et aux examens médicaux gratuits dans les dispensaires et hôpitaux publics, est encore loin d’être une réalité dans le contexte actuel de récession économique. Plusieurs articles du code de travail et du code de sécurité sociale, garantissent la protection des droits de la femme quant aux conditions de travail et de la fonction de maternité.</w:t>
      </w:r>
    </w:p>
    <w:p w:rsidR="00000000" w:rsidRDefault="00000000">
      <w:pPr>
        <w:jc w:val="both"/>
        <w:rPr>
          <w:sz w:val="22"/>
        </w:rPr>
      </w:pPr>
    </w:p>
    <w:p w:rsidR="00000000" w:rsidRDefault="00000000">
      <w:pPr>
        <w:jc w:val="both"/>
        <w:rPr>
          <w:b/>
          <w:sz w:val="22"/>
          <w:u w:val="single"/>
        </w:rPr>
      </w:pPr>
      <w:r>
        <w:rPr>
          <w:b/>
          <w:sz w:val="22"/>
        </w:rPr>
        <w:t xml:space="preserve">I - </w:t>
      </w:r>
      <w:r>
        <w:rPr>
          <w:b/>
          <w:sz w:val="22"/>
          <w:u w:val="single"/>
        </w:rPr>
        <w:t>Du travail de nuit</w:t>
      </w:r>
    </w:p>
    <w:p w:rsidR="00000000" w:rsidRDefault="00000000">
      <w:pPr>
        <w:jc w:val="both"/>
        <w:rPr>
          <w:sz w:val="22"/>
        </w:rPr>
      </w:pPr>
    </w:p>
    <w:p w:rsidR="00000000" w:rsidRDefault="00000000">
      <w:pPr>
        <w:jc w:val="both"/>
        <w:rPr>
          <w:sz w:val="22"/>
        </w:rPr>
      </w:pPr>
      <w:r>
        <w:rPr>
          <w:sz w:val="22"/>
        </w:rPr>
        <w:t>La durée du travail de nuit ne peut excéder huit (8) heures consécutives (article 107). Dans les usines, manufactures, mines, chantiers, ateliers et leurs dépendances, les femmes ne peuvent être employées à un travail de nuit (article 108). L’interdiction de cette clause ne peut être suspendue que par décret du Ministre du travail, après consultation des organisations les plus représentatives d’employeurs et de travailleurs intéressés. Le repos des femmes doit avoir une durée de onze (11) heures consécutives au minimum.</w:t>
      </w:r>
    </w:p>
    <w:p w:rsidR="00000000" w:rsidRDefault="00000000">
      <w:pPr>
        <w:pStyle w:val="BodyText"/>
        <w:rPr>
          <w:sz w:val="22"/>
        </w:rPr>
      </w:pPr>
    </w:p>
    <w:p w:rsidR="00000000" w:rsidRDefault="00000000">
      <w:pPr>
        <w:rPr>
          <w:sz w:val="22"/>
        </w:rPr>
      </w:pPr>
      <w:r>
        <w:rPr>
          <w:b/>
          <w:sz w:val="22"/>
        </w:rPr>
        <w:t xml:space="preserve">II – </w:t>
      </w:r>
      <w:r>
        <w:rPr>
          <w:b/>
          <w:sz w:val="22"/>
          <w:u w:val="single"/>
        </w:rPr>
        <w:t>De la fonction de maternité</w:t>
      </w:r>
    </w:p>
    <w:p w:rsidR="00000000" w:rsidRDefault="00000000">
      <w:pPr>
        <w:rPr>
          <w:sz w:val="22"/>
        </w:rPr>
      </w:pPr>
    </w:p>
    <w:p w:rsidR="00000000" w:rsidRDefault="00000000">
      <w:pPr>
        <w:pStyle w:val="BodyText"/>
        <w:rPr>
          <w:sz w:val="22"/>
        </w:rPr>
      </w:pPr>
      <w:r>
        <w:rPr>
          <w:sz w:val="22"/>
        </w:rPr>
        <w:t>Les articles 112 à 117 (chapitre III) du code du travail réglementent le travail des femmes et des enfants.</w:t>
      </w:r>
    </w:p>
    <w:p w:rsidR="00000000" w:rsidRDefault="00000000">
      <w:pPr>
        <w:rPr>
          <w:sz w:val="22"/>
        </w:rPr>
      </w:pPr>
      <w:r>
        <w:rPr>
          <w:b/>
          <w:sz w:val="22"/>
        </w:rPr>
        <w:t xml:space="preserve">A - </w:t>
      </w:r>
      <w:r>
        <w:rPr>
          <w:b/>
          <w:sz w:val="22"/>
          <w:u w:val="single"/>
        </w:rPr>
        <w:t>Licenciement pour cause de grossesse</w:t>
      </w:r>
    </w:p>
    <w:p w:rsidR="00000000" w:rsidRDefault="00000000">
      <w:pPr>
        <w:rPr>
          <w:sz w:val="22"/>
        </w:rPr>
      </w:pPr>
    </w:p>
    <w:p w:rsidR="00000000" w:rsidRDefault="00000000">
      <w:pPr>
        <w:jc w:val="both"/>
        <w:rPr>
          <w:sz w:val="22"/>
        </w:rPr>
      </w:pPr>
      <w:r>
        <w:rPr>
          <w:sz w:val="22"/>
        </w:rPr>
        <w:t>L’article 113(1) du code du travail stipule : « toute femme enceinte dont l’état a été médicalement constaté peut quitter le travail sans préavis et sans avoir de ce fait à payer une indemnité de rupture de contrat ».</w:t>
      </w:r>
    </w:p>
    <w:p w:rsidR="00000000" w:rsidRDefault="00000000">
      <w:pPr>
        <w:jc w:val="both"/>
        <w:rPr>
          <w:sz w:val="22"/>
        </w:rPr>
      </w:pPr>
    </w:p>
    <w:p w:rsidR="00000000" w:rsidRDefault="00000000">
      <w:pPr>
        <w:rPr>
          <w:sz w:val="22"/>
        </w:rPr>
      </w:pPr>
      <w:r>
        <w:rPr>
          <w:b/>
          <w:sz w:val="22"/>
        </w:rPr>
        <w:t xml:space="preserve">B - </w:t>
      </w:r>
      <w:r>
        <w:rPr>
          <w:b/>
          <w:sz w:val="22"/>
          <w:u w:val="single"/>
        </w:rPr>
        <w:t>Congé de maternité</w:t>
      </w:r>
    </w:p>
    <w:p w:rsidR="00000000" w:rsidRDefault="00000000">
      <w:pPr>
        <w:rPr>
          <w:sz w:val="22"/>
        </w:rPr>
      </w:pPr>
    </w:p>
    <w:p w:rsidR="00000000" w:rsidRDefault="00000000">
      <w:pPr>
        <w:pStyle w:val="BodyText"/>
        <w:rPr>
          <w:sz w:val="22"/>
        </w:rPr>
      </w:pPr>
      <w:r>
        <w:rPr>
          <w:sz w:val="22"/>
        </w:rPr>
        <w:t>Conformément à l’article 113(2) du code du travail, à l’occasion de son accouchement, toute femme relevant du secteur privé et les contractuels de l’État, ont le droit de suspendre leur travail quinze (15) semaines consécutives dont neuf (9) postérieures à la délivrance.</w:t>
      </w:r>
    </w:p>
    <w:p w:rsidR="00000000" w:rsidRDefault="00000000">
      <w:pPr>
        <w:pStyle w:val="BodyText"/>
        <w:rPr>
          <w:sz w:val="22"/>
        </w:rPr>
      </w:pPr>
      <w:r>
        <w:rPr>
          <w:sz w:val="22"/>
        </w:rPr>
        <w:t>Pendant cette période, l’employeur ne peut lui donner congé ; elle a droit à la prise en charge de la CNSS, aux soins gratuits et à l’autre moitié du salaire qu’elle percevait au moment de la suspension du travail.</w:t>
      </w:r>
    </w:p>
    <w:p w:rsidR="00000000" w:rsidRDefault="00000000">
      <w:pPr>
        <w:rPr>
          <w:sz w:val="22"/>
        </w:rPr>
      </w:pPr>
    </w:p>
    <w:p w:rsidR="00000000" w:rsidRDefault="00000000">
      <w:pPr>
        <w:rPr>
          <w:sz w:val="22"/>
        </w:rPr>
      </w:pPr>
      <w:r>
        <w:rPr>
          <w:b/>
          <w:sz w:val="22"/>
        </w:rPr>
        <w:t xml:space="preserve">C - </w:t>
      </w:r>
      <w:r>
        <w:rPr>
          <w:b/>
          <w:sz w:val="22"/>
          <w:u w:val="single"/>
        </w:rPr>
        <w:t>Droit au repos pendant l’allaitement</w:t>
      </w:r>
    </w:p>
    <w:p w:rsidR="00000000" w:rsidRDefault="00000000">
      <w:pPr>
        <w:rPr>
          <w:sz w:val="22"/>
        </w:rPr>
      </w:pPr>
    </w:p>
    <w:p w:rsidR="00000000" w:rsidRDefault="00000000">
      <w:pPr>
        <w:pStyle w:val="BodyText"/>
        <w:rPr>
          <w:sz w:val="22"/>
        </w:rPr>
      </w:pPr>
      <w:r>
        <w:rPr>
          <w:sz w:val="22"/>
        </w:rPr>
        <w:t>Il est interdit d’employer une femme pendant les quinze (15) semaines de congé de maternité et durant une période de quinze (15) mois, à compter de la naissance de l’enfant, la mère a droit à des repos pour allaitement ; repos qui ne peuvent dépasser une heure par jour.</w:t>
      </w:r>
    </w:p>
    <w:p w:rsidR="00000000" w:rsidRDefault="00000000">
      <w:pPr>
        <w:jc w:val="both"/>
        <w:rPr>
          <w:sz w:val="22"/>
        </w:rPr>
      </w:pPr>
    </w:p>
    <w:p w:rsidR="00000000" w:rsidRDefault="00000000">
      <w:pPr>
        <w:jc w:val="both"/>
        <w:rPr>
          <w:sz w:val="22"/>
        </w:rPr>
      </w:pPr>
      <w:r>
        <w:rPr>
          <w:b/>
          <w:sz w:val="22"/>
        </w:rPr>
        <w:t xml:space="preserve">D - </w:t>
      </w:r>
      <w:r>
        <w:rPr>
          <w:b/>
          <w:sz w:val="22"/>
          <w:u w:val="single"/>
        </w:rPr>
        <w:t>Interdiction des travaux pénibles et dangereux</w:t>
      </w:r>
    </w:p>
    <w:p w:rsidR="00000000" w:rsidRDefault="00000000">
      <w:pPr>
        <w:jc w:val="both"/>
        <w:rPr>
          <w:sz w:val="22"/>
        </w:rPr>
      </w:pPr>
    </w:p>
    <w:p w:rsidR="00000000" w:rsidRDefault="00000000">
      <w:pPr>
        <w:jc w:val="both"/>
        <w:rPr>
          <w:sz w:val="22"/>
        </w:rPr>
      </w:pPr>
      <w:r>
        <w:rPr>
          <w:sz w:val="22"/>
        </w:rPr>
        <w:t>L’article 112 du code du travail et différents décrets pris après avis de la Commission Nationale Consultative du Travail, fixent la nature des travaux interdits aux femmes et aux femmes enceintes.</w:t>
      </w:r>
    </w:p>
    <w:p w:rsidR="00000000" w:rsidRDefault="00000000">
      <w:pPr>
        <w:jc w:val="both"/>
        <w:rPr>
          <w:sz w:val="22"/>
        </w:rPr>
      </w:pPr>
    </w:p>
    <w:p w:rsidR="00000000" w:rsidRDefault="00000000">
      <w:pPr>
        <w:jc w:val="both"/>
        <w:rPr>
          <w:sz w:val="22"/>
        </w:rPr>
      </w:pPr>
      <w:r>
        <w:rPr>
          <w:sz w:val="22"/>
        </w:rPr>
        <w:t>Le secteur privé s’inspire très largement du code de travail dans l’élaboration de certaines clauses des conventions d’entreprise.</w:t>
      </w:r>
    </w:p>
    <w:p w:rsidR="00000000" w:rsidRDefault="00000000">
      <w:pPr>
        <w:jc w:val="both"/>
        <w:rPr>
          <w:sz w:val="22"/>
        </w:rPr>
      </w:pPr>
    </w:p>
    <w:p w:rsidR="00000000" w:rsidRDefault="00000000">
      <w:pPr>
        <w:jc w:val="both"/>
        <w:rPr>
          <w:sz w:val="22"/>
        </w:rPr>
      </w:pPr>
    </w:p>
    <w:p w:rsidR="00000000" w:rsidRDefault="00000000">
      <w:pPr>
        <w:jc w:val="both"/>
        <w:rPr>
          <w:b/>
          <w:sz w:val="22"/>
          <w:u w:val="single"/>
        </w:rPr>
      </w:pPr>
      <w:r>
        <w:rPr>
          <w:b/>
          <w:sz w:val="22"/>
          <w:u w:val="single"/>
        </w:rPr>
        <w:t>SECTION</w:t>
      </w:r>
      <w:r>
        <w:rPr>
          <w:b/>
          <w:sz w:val="22"/>
        </w:rPr>
        <w:t xml:space="preserve"> VII - </w:t>
      </w:r>
      <w:r>
        <w:rPr>
          <w:b/>
          <w:sz w:val="22"/>
          <w:u w:val="single"/>
        </w:rPr>
        <w:t>LES CONDITIONS DE TRAVAIL</w:t>
      </w:r>
    </w:p>
    <w:p w:rsidR="00000000" w:rsidRDefault="00000000">
      <w:pPr>
        <w:rPr>
          <w:sz w:val="22"/>
        </w:rPr>
      </w:pPr>
    </w:p>
    <w:p w:rsidR="00000000" w:rsidRDefault="00000000">
      <w:pPr>
        <w:pStyle w:val="BodyText"/>
        <w:rPr>
          <w:sz w:val="22"/>
        </w:rPr>
      </w:pPr>
      <w:r>
        <w:rPr>
          <w:sz w:val="22"/>
        </w:rPr>
        <w:t>Tout agent a droit à des conditions de travail décentes et adaptées à l’emploi qu’il exerce (article 210 du statut de la fonction publique). Il doit disposer des outils et instruments de travail nécessaires à l’accomplissement des missions qui lui sont confiées. L’hygiène et la sécurité du travail doivent être assurées. Il doit être protégé contre les risques professionnels. Dans la mesure du possible, l’État assure le transport de ses agents.</w:t>
      </w:r>
    </w:p>
    <w:p w:rsidR="00000000" w:rsidRDefault="00000000">
      <w:pPr>
        <w:jc w:val="both"/>
        <w:rPr>
          <w:sz w:val="22"/>
        </w:rPr>
      </w:pPr>
    </w:p>
    <w:p w:rsidR="00000000" w:rsidRDefault="00000000">
      <w:pPr>
        <w:pStyle w:val="BodyText"/>
        <w:rPr>
          <w:sz w:val="22"/>
        </w:rPr>
      </w:pPr>
      <w:r>
        <w:rPr>
          <w:sz w:val="22"/>
        </w:rPr>
        <w:t xml:space="preserve">Comme partout ailleurs, les textes n’ont de valeur réelle que dans leur application. Pour le travailleur du Congo, l’acquis de droit est là, il reste une application correcte de fait. </w:t>
      </w:r>
    </w:p>
    <w:p w:rsidR="00000000" w:rsidRDefault="00000000">
      <w:pPr>
        <w:pStyle w:val="BodyText"/>
        <w:rPr>
          <w:sz w:val="22"/>
        </w:rPr>
      </w:pPr>
    </w:p>
    <w:p w:rsidR="00000000" w:rsidRDefault="00000000">
      <w:pPr>
        <w:pStyle w:val="BodyText"/>
        <w:rPr>
          <w:sz w:val="22"/>
        </w:rPr>
      </w:pPr>
    </w:p>
    <w:p w:rsidR="00000000" w:rsidRDefault="00000000">
      <w:pPr>
        <w:pStyle w:val="BodyText"/>
        <w:rPr>
          <w:b/>
          <w:sz w:val="22"/>
          <w:u w:val="single"/>
        </w:rPr>
      </w:pPr>
      <w:r>
        <w:rPr>
          <w:b/>
          <w:sz w:val="22"/>
          <w:u w:val="single"/>
        </w:rPr>
        <w:t>SECTION</w:t>
      </w:r>
      <w:r>
        <w:rPr>
          <w:b/>
          <w:sz w:val="22"/>
        </w:rPr>
        <w:t xml:space="preserve"> VIII - </w:t>
      </w:r>
      <w:r>
        <w:rPr>
          <w:b/>
          <w:sz w:val="22"/>
          <w:u w:val="single"/>
        </w:rPr>
        <w:t xml:space="preserve">Contraintes </w:t>
      </w:r>
    </w:p>
    <w:p w:rsidR="00000000" w:rsidRDefault="00000000">
      <w:pPr>
        <w:jc w:val="both"/>
        <w:rPr>
          <w:sz w:val="22"/>
        </w:rPr>
      </w:pPr>
    </w:p>
    <w:p w:rsidR="00000000" w:rsidRDefault="00000000">
      <w:pPr>
        <w:jc w:val="both"/>
        <w:rPr>
          <w:sz w:val="22"/>
        </w:rPr>
      </w:pPr>
      <w:r>
        <w:rPr>
          <w:sz w:val="22"/>
        </w:rPr>
        <w:t>La saturation de la fonction publique, la faillite des entreprises publiques, la fermeture des entreprises privées du fait des destructions massives résultant des guerres à répétition, la crise économique qui perdure, sont autant de facteurs qui favorisent l’expansion rapide du chômage. A ces contraintes, il faut ajouter :</w:t>
      </w:r>
    </w:p>
    <w:p w:rsidR="00000000" w:rsidRDefault="00000000">
      <w:pPr>
        <w:jc w:val="both"/>
        <w:rPr>
          <w:sz w:val="22"/>
        </w:rPr>
      </w:pPr>
    </w:p>
    <w:p w:rsidR="00000000" w:rsidRDefault="00000000">
      <w:pPr>
        <w:numPr>
          <w:ilvl w:val="0"/>
          <w:numId w:val="109"/>
        </w:numPr>
        <w:jc w:val="both"/>
        <w:rPr>
          <w:sz w:val="22"/>
        </w:rPr>
      </w:pPr>
      <w:r>
        <w:rPr>
          <w:sz w:val="22"/>
        </w:rPr>
        <w:t>la méconnaissance des lois et règlements ;</w:t>
      </w:r>
    </w:p>
    <w:p w:rsidR="00000000" w:rsidRDefault="00000000">
      <w:pPr>
        <w:numPr>
          <w:ilvl w:val="0"/>
          <w:numId w:val="109"/>
        </w:numPr>
        <w:jc w:val="both"/>
        <w:rPr>
          <w:sz w:val="22"/>
        </w:rPr>
      </w:pPr>
      <w:r>
        <w:rPr>
          <w:sz w:val="22"/>
        </w:rPr>
        <w:t>l’ignorance de l’utilité des lois et des règlements ;</w:t>
      </w:r>
    </w:p>
    <w:p w:rsidR="00000000" w:rsidRDefault="00000000">
      <w:pPr>
        <w:numPr>
          <w:ilvl w:val="0"/>
          <w:numId w:val="109"/>
        </w:numPr>
        <w:jc w:val="both"/>
        <w:rPr>
          <w:sz w:val="22"/>
        </w:rPr>
      </w:pPr>
      <w:r>
        <w:rPr>
          <w:sz w:val="22"/>
        </w:rPr>
        <w:t>les vides, lacunes et insuffisances observées dans certains textes législatifs ;</w:t>
      </w:r>
    </w:p>
    <w:p w:rsidR="00000000" w:rsidRDefault="00000000">
      <w:pPr>
        <w:numPr>
          <w:ilvl w:val="0"/>
          <w:numId w:val="109"/>
        </w:numPr>
        <w:jc w:val="both"/>
        <w:rPr>
          <w:sz w:val="22"/>
        </w:rPr>
      </w:pPr>
      <w:r>
        <w:rPr>
          <w:sz w:val="22"/>
        </w:rPr>
        <w:t>la surcharge de travail pour les femmes ;</w:t>
      </w:r>
    </w:p>
    <w:p w:rsidR="00000000" w:rsidRDefault="00000000">
      <w:pPr>
        <w:numPr>
          <w:ilvl w:val="0"/>
          <w:numId w:val="109"/>
        </w:numPr>
        <w:jc w:val="both"/>
        <w:rPr>
          <w:sz w:val="22"/>
        </w:rPr>
      </w:pPr>
      <w:r>
        <w:rPr>
          <w:sz w:val="22"/>
        </w:rPr>
        <w:t>l’absence de circuit de commercialisation ;</w:t>
      </w:r>
    </w:p>
    <w:p w:rsidR="00000000" w:rsidRDefault="00000000">
      <w:pPr>
        <w:numPr>
          <w:ilvl w:val="0"/>
          <w:numId w:val="109"/>
        </w:numPr>
        <w:jc w:val="both"/>
        <w:rPr>
          <w:sz w:val="22"/>
        </w:rPr>
      </w:pPr>
      <w:r>
        <w:rPr>
          <w:sz w:val="22"/>
        </w:rPr>
        <w:t>le poids de la tradition ;</w:t>
      </w:r>
    </w:p>
    <w:p w:rsidR="00000000" w:rsidRDefault="00000000">
      <w:pPr>
        <w:numPr>
          <w:ilvl w:val="0"/>
          <w:numId w:val="109"/>
        </w:numPr>
        <w:jc w:val="both"/>
        <w:rPr>
          <w:sz w:val="22"/>
        </w:rPr>
      </w:pPr>
      <w:r>
        <w:rPr>
          <w:sz w:val="22"/>
        </w:rPr>
        <w:t>l’absence de petits équipements de transformation et de conservation des produits ;</w:t>
      </w:r>
    </w:p>
    <w:p w:rsidR="00000000" w:rsidRDefault="00000000">
      <w:pPr>
        <w:numPr>
          <w:ilvl w:val="0"/>
          <w:numId w:val="109"/>
        </w:numPr>
        <w:jc w:val="both"/>
        <w:rPr>
          <w:sz w:val="22"/>
        </w:rPr>
      </w:pPr>
      <w:r>
        <w:rPr>
          <w:sz w:val="22"/>
        </w:rPr>
        <w:t>la concurrence déloyale.</w:t>
      </w:r>
    </w:p>
    <w:p w:rsidR="00000000" w:rsidRDefault="00000000">
      <w:pPr>
        <w:jc w:val="both"/>
        <w:rPr>
          <w:sz w:val="22"/>
        </w:rPr>
      </w:pPr>
    </w:p>
    <w:p w:rsidR="00000000" w:rsidRDefault="00000000">
      <w:pPr>
        <w:jc w:val="both"/>
        <w:rPr>
          <w:sz w:val="22"/>
        </w:rPr>
      </w:pPr>
      <w:r>
        <w:rPr>
          <w:sz w:val="22"/>
        </w:rPr>
        <w:t>En conséquence, pour que des stratégies visant à améliorer les conditions de vie de la femme en général et de la travailleuse en particulier soient couronnées de succès, des efforts doivent être faits pour rehausser le statut de la femme, en milieu rural et en zone urbaine.</w:t>
      </w:r>
    </w:p>
    <w:p w:rsidR="00000000" w:rsidRDefault="00000000">
      <w:pPr>
        <w:jc w:val="both"/>
        <w:rPr>
          <w:sz w:val="22"/>
        </w:rPr>
      </w:pPr>
    </w:p>
    <w:p w:rsidR="00000000" w:rsidRDefault="00000000">
      <w:pPr>
        <w:jc w:val="both"/>
        <w:rPr>
          <w:b/>
          <w:sz w:val="22"/>
          <w:u w:val="single"/>
        </w:rPr>
      </w:pPr>
      <w:r>
        <w:rPr>
          <w:b/>
          <w:sz w:val="22"/>
          <w:u w:val="single"/>
        </w:rPr>
        <w:br w:type="page"/>
        <w:t>SECTION</w:t>
      </w:r>
      <w:r>
        <w:rPr>
          <w:b/>
          <w:sz w:val="22"/>
        </w:rPr>
        <w:t xml:space="preserve"> IX - </w:t>
      </w:r>
      <w:r>
        <w:rPr>
          <w:b/>
          <w:sz w:val="22"/>
          <w:u w:val="single"/>
        </w:rPr>
        <w:t>PERSPECTIVES</w:t>
      </w:r>
    </w:p>
    <w:p w:rsidR="00000000" w:rsidRDefault="00000000">
      <w:pPr>
        <w:jc w:val="both"/>
        <w:rPr>
          <w:sz w:val="22"/>
        </w:rPr>
      </w:pPr>
    </w:p>
    <w:p w:rsidR="00000000" w:rsidRDefault="00000000">
      <w:pPr>
        <w:jc w:val="both"/>
        <w:rPr>
          <w:sz w:val="22"/>
        </w:rPr>
      </w:pPr>
      <w:r>
        <w:rPr>
          <w:sz w:val="22"/>
        </w:rPr>
        <w:t>Plusieurs perspectives peuvent être retenues. Ils s’agit de :</w:t>
      </w:r>
    </w:p>
    <w:p w:rsidR="00000000" w:rsidRDefault="00000000">
      <w:pPr>
        <w:jc w:val="both"/>
        <w:rPr>
          <w:sz w:val="22"/>
        </w:rPr>
      </w:pPr>
    </w:p>
    <w:p w:rsidR="00000000" w:rsidRDefault="00000000">
      <w:pPr>
        <w:numPr>
          <w:ilvl w:val="0"/>
          <w:numId w:val="210"/>
        </w:numPr>
        <w:jc w:val="both"/>
        <w:rPr>
          <w:sz w:val="22"/>
        </w:rPr>
      </w:pPr>
      <w:r>
        <w:rPr>
          <w:sz w:val="22"/>
        </w:rPr>
        <w:t>l’appui à la vulgarisation de la loi sur le régime agro-foncier en République du Congo ;</w:t>
      </w:r>
    </w:p>
    <w:p w:rsidR="00000000" w:rsidRDefault="00000000">
      <w:pPr>
        <w:numPr>
          <w:ilvl w:val="0"/>
          <w:numId w:val="210"/>
        </w:numPr>
        <w:jc w:val="both"/>
        <w:rPr>
          <w:sz w:val="22"/>
        </w:rPr>
      </w:pPr>
      <w:r>
        <w:rPr>
          <w:sz w:val="22"/>
        </w:rPr>
        <w:t>la poursuite et l’extension du projet « Appui aux associations féminines pour la production des semences de cultures vivrières » ;</w:t>
      </w:r>
    </w:p>
    <w:p w:rsidR="00000000" w:rsidRDefault="00000000">
      <w:pPr>
        <w:numPr>
          <w:ilvl w:val="0"/>
          <w:numId w:val="210"/>
        </w:numPr>
        <w:jc w:val="both"/>
        <w:rPr>
          <w:sz w:val="22"/>
        </w:rPr>
      </w:pPr>
      <w:r>
        <w:rPr>
          <w:sz w:val="22"/>
        </w:rPr>
        <w:t>l’inventaire et le répertoire des technologies appropriées ;</w:t>
      </w:r>
    </w:p>
    <w:p w:rsidR="00000000" w:rsidRDefault="00000000">
      <w:pPr>
        <w:numPr>
          <w:ilvl w:val="0"/>
          <w:numId w:val="210"/>
        </w:numPr>
        <w:jc w:val="both"/>
        <w:rPr>
          <w:sz w:val="22"/>
        </w:rPr>
      </w:pPr>
      <w:r>
        <w:rPr>
          <w:sz w:val="22"/>
        </w:rPr>
        <w:t>la vulgarisation, l’animation et l’encadrement des femmes sur ces nouvelles technologies ;</w:t>
      </w:r>
    </w:p>
    <w:p w:rsidR="00000000" w:rsidRDefault="00000000">
      <w:pPr>
        <w:numPr>
          <w:ilvl w:val="0"/>
          <w:numId w:val="210"/>
        </w:numPr>
        <w:jc w:val="both"/>
        <w:rPr>
          <w:sz w:val="22"/>
        </w:rPr>
      </w:pPr>
      <w:r>
        <w:rPr>
          <w:sz w:val="22"/>
        </w:rPr>
        <w:t>l’appui à la création et à la promotion des groupements, des coopératives et au mouvement associatif par :</w:t>
      </w:r>
    </w:p>
    <w:p w:rsidR="00000000" w:rsidRDefault="00000000">
      <w:pPr>
        <w:numPr>
          <w:ilvl w:val="0"/>
          <w:numId w:val="227"/>
        </w:numPr>
        <w:jc w:val="both"/>
        <w:rPr>
          <w:sz w:val="22"/>
        </w:rPr>
      </w:pPr>
      <w:r>
        <w:rPr>
          <w:sz w:val="22"/>
        </w:rPr>
        <w:t>des campagnes d’information, d’éducation et de communication sur les droits de la femme </w:t>
      </w:r>
    </w:p>
    <w:p w:rsidR="00000000" w:rsidRDefault="00000000">
      <w:pPr>
        <w:numPr>
          <w:ilvl w:val="0"/>
          <w:numId w:val="228"/>
        </w:numPr>
        <w:jc w:val="both"/>
        <w:rPr>
          <w:sz w:val="22"/>
        </w:rPr>
      </w:pPr>
      <w:r>
        <w:rPr>
          <w:sz w:val="22"/>
        </w:rPr>
        <w:t>des sessions de formation en gestion d’un groupement précoopératif</w:t>
      </w:r>
    </w:p>
    <w:p w:rsidR="00000000" w:rsidRDefault="00000000">
      <w:pPr>
        <w:numPr>
          <w:ilvl w:val="0"/>
          <w:numId w:val="210"/>
        </w:numPr>
        <w:jc w:val="both"/>
        <w:rPr>
          <w:sz w:val="22"/>
        </w:rPr>
      </w:pPr>
      <w:r>
        <w:rPr>
          <w:sz w:val="22"/>
        </w:rPr>
        <w:t>la mise en place d’un cadre devant permettre l’identification et la codification des droits de la femme ainsi que leur promotion et leur protection ;</w:t>
      </w:r>
    </w:p>
    <w:p w:rsidR="00000000" w:rsidRDefault="00000000">
      <w:pPr>
        <w:numPr>
          <w:ilvl w:val="0"/>
          <w:numId w:val="210"/>
        </w:numPr>
        <w:jc w:val="both"/>
        <w:rPr>
          <w:sz w:val="22"/>
        </w:rPr>
      </w:pPr>
      <w:r>
        <w:rPr>
          <w:sz w:val="22"/>
        </w:rPr>
        <w:t>le renforcement des capacités des femmes par des formations multiformes.</w:t>
      </w:r>
    </w:p>
    <w:p w:rsidR="00000000" w:rsidRDefault="00000000">
      <w:pPr>
        <w:jc w:val="both"/>
        <w:rPr>
          <w:sz w:val="22"/>
        </w:rPr>
      </w:pPr>
    </w:p>
    <w:p w:rsidR="00000000" w:rsidRDefault="00000000">
      <w:pPr>
        <w:jc w:val="both"/>
        <w:rPr>
          <w:sz w:val="22"/>
        </w:rPr>
      </w:pPr>
    </w:p>
    <w:p w:rsidR="00000000" w:rsidRDefault="00000000">
      <w:pPr>
        <w:jc w:val="both"/>
        <w:rPr>
          <w:sz w:val="22"/>
        </w:rPr>
      </w:pPr>
    </w:p>
    <w:tbl>
      <w:tblPr>
        <w:tblW w:w="0" w:type="auto"/>
        <w:tblInd w:w="1346" w:type="dxa"/>
        <w:tblLayout w:type="fixed"/>
        <w:tblCellMar>
          <w:left w:w="70" w:type="dxa"/>
          <w:right w:w="70" w:type="dxa"/>
        </w:tblCellMar>
        <w:tblLook w:val="0000" w:firstRow="0" w:lastRow="0" w:firstColumn="0" w:lastColumn="0" w:noHBand="0" w:noVBand="0"/>
      </w:tblPr>
      <w:tblGrid>
        <w:gridCol w:w="2126"/>
        <w:gridCol w:w="5738"/>
      </w:tblGrid>
      <w:tr w:rsidR="00000000">
        <w:tblPrEx>
          <w:tblCellMar>
            <w:top w:w="0" w:type="dxa"/>
            <w:bottom w:w="0" w:type="dxa"/>
          </w:tblCellMar>
        </w:tblPrEx>
        <w:tc>
          <w:tcPr>
            <w:tcW w:w="2126" w:type="dxa"/>
          </w:tcPr>
          <w:p w:rsidR="00000000" w:rsidRDefault="00000000">
            <w:pPr>
              <w:pStyle w:val="BodyText"/>
              <w:jc w:val="left"/>
              <w:rPr>
                <w:b/>
              </w:rPr>
            </w:pPr>
            <w:r>
              <w:rPr>
                <w:b/>
                <w:u w:val="single"/>
              </w:rPr>
              <w:t>CHAPITRE XII</w:t>
            </w:r>
            <w:r>
              <w:rPr>
                <w:b/>
              </w:rPr>
              <w:t> :</w:t>
            </w:r>
          </w:p>
          <w:p w:rsidR="00000000" w:rsidRDefault="00000000">
            <w:pPr>
              <w:pStyle w:val="BodyText"/>
              <w:jc w:val="left"/>
              <w:rPr>
                <w:b/>
                <w:u w:val="single"/>
              </w:rPr>
            </w:pPr>
          </w:p>
        </w:tc>
        <w:tc>
          <w:tcPr>
            <w:tcW w:w="5738" w:type="dxa"/>
          </w:tcPr>
          <w:p w:rsidR="00000000" w:rsidRDefault="00000000">
            <w:pPr>
              <w:pStyle w:val="BodyText"/>
              <w:jc w:val="left"/>
              <w:rPr>
                <w:b/>
              </w:rPr>
            </w:pPr>
            <w:r>
              <w:rPr>
                <w:b/>
                <w:caps/>
                <w:u w:val="single"/>
              </w:rPr>
              <w:t xml:space="preserve">ACCES DES FEMMES A La santé et A la sécurité sociale </w:t>
            </w:r>
            <w:r>
              <w:rPr>
                <w:b/>
              </w:rPr>
              <w:t>(article 12)</w:t>
            </w:r>
          </w:p>
        </w:tc>
      </w:tr>
    </w:tbl>
    <w:p w:rsidR="00000000" w:rsidRDefault="00000000">
      <w:pPr>
        <w:rPr>
          <w:sz w:val="22"/>
        </w:rPr>
      </w:pPr>
    </w:p>
    <w:p w:rsidR="00000000" w:rsidRDefault="00000000">
      <w:pPr>
        <w:rPr>
          <w:b/>
          <w:sz w:val="22"/>
        </w:rPr>
      </w:pPr>
      <w:r>
        <w:rPr>
          <w:b/>
          <w:sz w:val="22"/>
          <w:u w:val="single"/>
        </w:rPr>
        <w:t>Article 12</w:t>
      </w:r>
      <w:r>
        <w:rPr>
          <w:b/>
          <w:sz w:val="22"/>
        </w:rPr>
        <w:t> </w:t>
      </w:r>
      <w:r>
        <w:rPr>
          <w:sz w:val="22"/>
        </w:rPr>
        <w:t>:</w:t>
      </w:r>
    </w:p>
    <w:p w:rsidR="00000000" w:rsidRDefault="00000000">
      <w:pPr>
        <w:rPr>
          <w:sz w:val="22"/>
        </w:rPr>
      </w:pPr>
    </w:p>
    <w:p w:rsidR="00000000" w:rsidRDefault="00000000">
      <w:pPr>
        <w:pStyle w:val="BodyTextIndent3"/>
        <w:rPr>
          <w:i/>
          <w:sz w:val="22"/>
        </w:rPr>
      </w:pPr>
      <w:r>
        <w:rPr>
          <w:i/>
          <w:sz w:val="22"/>
        </w:rPr>
        <w:t>1.</w:t>
      </w:r>
      <w:r>
        <w:rPr>
          <w:i/>
          <w:sz w:val="22"/>
        </w:rPr>
        <w:tab/>
        <w:t>« 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spacing w:before="120"/>
        <w:jc w:val="both"/>
        <w:rPr>
          <w:i/>
          <w:sz w:val="22"/>
        </w:rPr>
      </w:pPr>
      <w:r>
        <w:rPr>
          <w:i/>
          <w:sz w:val="22"/>
        </w:rPr>
        <w:t>2.</w:t>
      </w:r>
      <w:r>
        <w:rPr>
          <w:i/>
          <w:sz w:val="22"/>
        </w:rPr>
        <w:tab/>
        <w:t>Nonobstant les dispositions du paragraphe 1 ci-dessus, les États parties fournissent aux femmes pendant la grossesse, pendant l'accouchement et après l'accouchement, des services appropriés et, au besoin, gratuits, ainsi qu'une nutrition adéquate pendant la grossesse et l'allaitement ».</w:t>
      </w:r>
    </w:p>
    <w:p w:rsidR="00000000" w:rsidRDefault="00000000">
      <w:pPr>
        <w:spacing w:before="120"/>
        <w:jc w:val="both"/>
        <w:rPr>
          <w:i/>
          <w:sz w:val="22"/>
        </w:rPr>
      </w:pPr>
    </w:p>
    <w:p w:rsidR="00000000" w:rsidRDefault="00000000">
      <w:pPr>
        <w:spacing w:before="120"/>
        <w:jc w:val="both"/>
        <w:rPr>
          <w:b/>
          <w:caps/>
          <w:sz w:val="22"/>
          <w:u w:val="single"/>
        </w:rPr>
      </w:pPr>
      <w:r>
        <w:rPr>
          <w:b/>
          <w:caps/>
          <w:sz w:val="22"/>
          <w:u w:val="single"/>
        </w:rPr>
        <w:t>SECTION</w:t>
      </w:r>
      <w:r>
        <w:rPr>
          <w:b/>
          <w:caps/>
          <w:sz w:val="22"/>
        </w:rPr>
        <w:t xml:space="preserve"> I – </w:t>
      </w:r>
      <w:r>
        <w:rPr>
          <w:b/>
          <w:caps/>
          <w:sz w:val="22"/>
          <w:u w:val="single"/>
        </w:rPr>
        <w:t>ACCES DES FEMMES A LA SANTE</w:t>
      </w:r>
    </w:p>
    <w:p w:rsidR="00000000" w:rsidRDefault="00000000">
      <w:pPr>
        <w:jc w:val="both"/>
        <w:rPr>
          <w:sz w:val="22"/>
        </w:rPr>
      </w:pPr>
    </w:p>
    <w:p w:rsidR="00000000" w:rsidRDefault="00000000">
      <w:pPr>
        <w:pStyle w:val="BodyText"/>
        <w:rPr>
          <w:sz w:val="22"/>
        </w:rPr>
      </w:pPr>
      <w:r>
        <w:rPr>
          <w:sz w:val="22"/>
        </w:rPr>
        <w:t xml:space="preserve">Au Congo, plusieurs actions  pour la promotion de la santé sont entreprises. Les constitutions antérieures, l'Acte fondamental du 24 Octobre 1997 et la constitution récemment adoptée évoquent le principe de l'égalité de droits de tous les citoyens congolais en matière de santé : </w:t>
      </w:r>
    </w:p>
    <w:p w:rsidR="00000000" w:rsidRDefault="00000000">
      <w:pPr>
        <w:jc w:val="both"/>
        <w:rPr>
          <w:sz w:val="22"/>
        </w:rPr>
      </w:pPr>
    </w:p>
    <w:p w:rsidR="00000000" w:rsidRDefault="00000000">
      <w:pPr>
        <w:jc w:val="both"/>
        <w:rPr>
          <w:sz w:val="22"/>
        </w:rPr>
      </w:pPr>
      <w:r>
        <w:rPr>
          <w:sz w:val="22"/>
        </w:rPr>
        <w:t>Article 28 de l’Acte fondamental :</w:t>
      </w:r>
    </w:p>
    <w:p w:rsidR="00000000" w:rsidRDefault="00000000">
      <w:pPr>
        <w:jc w:val="both"/>
        <w:rPr>
          <w:sz w:val="22"/>
        </w:rPr>
      </w:pPr>
    </w:p>
    <w:p w:rsidR="00000000" w:rsidRDefault="00000000">
      <w:pPr>
        <w:jc w:val="both"/>
        <w:rPr>
          <w:sz w:val="22"/>
        </w:rPr>
      </w:pPr>
      <w:r>
        <w:rPr>
          <w:sz w:val="22"/>
        </w:rPr>
        <w:t>"L'État est garant de la santé publique. Tout citoyen a droit à un niveau suffisant pour assurer sa santé, son bien être et ceux de sa famille ".</w:t>
      </w:r>
    </w:p>
    <w:p w:rsidR="00000000" w:rsidRDefault="00000000">
      <w:pPr>
        <w:jc w:val="both"/>
        <w:rPr>
          <w:sz w:val="22"/>
        </w:rPr>
      </w:pPr>
    </w:p>
    <w:p w:rsidR="00000000" w:rsidRDefault="00000000">
      <w:pPr>
        <w:jc w:val="both"/>
        <w:rPr>
          <w:sz w:val="22"/>
        </w:rPr>
      </w:pPr>
      <w:r>
        <w:rPr>
          <w:sz w:val="22"/>
        </w:rPr>
        <w:t>Par ailleurs, il a souscrit à différentes déclarations, chartes ou conventions internationales portant sur les  problèmes de santé parmi lesquels celui relatif aux soins de santé primaires (SSP) et a adhéré à l'initiative de Bamako. Aussi, l'accès des populations aux soins sans discrimination est une préoccupation du gouvernement, elle est énoncée clairement dans la déclaration de politique sectorielle de la santé</w:t>
      </w:r>
      <w:r>
        <w:rPr>
          <w:rStyle w:val="FootnoteReference"/>
          <w:sz w:val="22"/>
        </w:rPr>
        <w:footnoteReference w:id="3"/>
      </w:r>
      <w:r>
        <w:rPr>
          <w:sz w:val="22"/>
        </w:rPr>
        <w:t xml:space="preserve">.   </w:t>
      </w:r>
    </w:p>
    <w:p w:rsidR="00000000" w:rsidRDefault="00000000">
      <w:pPr>
        <w:jc w:val="both"/>
        <w:rPr>
          <w:sz w:val="22"/>
        </w:rPr>
      </w:pPr>
    </w:p>
    <w:p w:rsidR="00000000" w:rsidRDefault="00000000">
      <w:pPr>
        <w:jc w:val="both"/>
        <w:rPr>
          <w:sz w:val="22"/>
        </w:rPr>
      </w:pPr>
      <w:r>
        <w:rPr>
          <w:sz w:val="22"/>
        </w:rPr>
        <w:t>Depuis des décennies, les textes organiques du ministère de la santé comportent une structure centrale spécifique ayant en charge les questions de santé des femmes et des enfants. Ceci a été repris dans le décret n° 98-256 du 16 juillet 1998 organisant la direction générale de la santé. Ainsi la Direction de la santé de la famille a, entre autres attributions, l'élaboration et la mise en œuvre des stratégies de santé en faveur des femmes notamment celle de la santé de la reproduction.</w:t>
      </w:r>
    </w:p>
    <w:p w:rsidR="00000000" w:rsidRDefault="00000000">
      <w:pPr>
        <w:jc w:val="both"/>
        <w:rPr>
          <w:sz w:val="22"/>
        </w:rPr>
      </w:pPr>
    </w:p>
    <w:p w:rsidR="00000000" w:rsidRDefault="00000000">
      <w:pPr>
        <w:jc w:val="both"/>
        <w:rPr>
          <w:sz w:val="22"/>
        </w:rPr>
      </w:pPr>
      <w:r>
        <w:rPr>
          <w:sz w:val="22"/>
        </w:rPr>
        <w:t>Les activités relatives à la prise  en charge des femmes, couche vulnérable, sont intégrées dans la quasi totalité des formations sanitaires publiques, para-publiques et privées à savoir dispensaires, centres de santé rationalisés ou non, hôpitaux. Ces activités sont d'ordre préventif, curatif et promotionnel.</w:t>
      </w:r>
    </w:p>
    <w:p w:rsidR="00000000" w:rsidRDefault="00000000">
      <w:pPr>
        <w:jc w:val="both"/>
        <w:rPr>
          <w:sz w:val="22"/>
        </w:rPr>
      </w:pPr>
    </w:p>
    <w:p w:rsidR="00000000" w:rsidRDefault="00000000">
      <w:pPr>
        <w:jc w:val="both"/>
        <w:rPr>
          <w:sz w:val="22"/>
        </w:rPr>
      </w:pPr>
      <w:r>
        <w:rPr>
          <w:sz w:val="22"/>
        </w:rPr>
        <w:t>En 1992, la loi n°014/92  du 29 Avril 1992 a institué le plan national de développement sanitaire (PNDS). Ce plan est mis en œuvre depuis lors. Il est un cadre de référence pour la mise en œuvre des SSP, il structure le territoire national en circonscriptions sociosanitaires (ou district sanitaire) qui constituent l'unité opérationnelle du système de santé</w:t>
      </w:r>
      <w:r>
        <w:rPr>
          <w:rStyle w:val="FootnoteReference"/>
          <w:sz w:val="22"/>
        </w:rPr>
        <w:footnoteReference w:id="4"/>
      </w:r>
      <w:r>
        <w:rPr>
          <w:sz w:val="22"/>
        </w:rPr>
        <w:t>.</w:t>
      </w:r>
    </w:p>
    <w:p w:rsidR="00000000" w:rsidRDefault="00000000">
      <w:pPr>
        <w:jc w:val="both"/>
        <w:rPr>
          <w:sz w:val="22"/>
        </w:rPr>
      </w:pPr>
      <w:r>
        <w:rPr>
          <w:sz w:val="22"/>
        </w:rPr>
        <w:t xml:space="preserve">Le PNDS dont l'un des principes majeurs  est l'équité dans l'accès aux soins vise principalement : </w:t>
      </w:r>
    </w:p>
    <w:p w:rsidR="00000000" w:rsidRDefault="00000000">
      <w:pPr>
        <w:numPr>
          <w:ilvl w:val="0"/>
          <w:numId w:val="126"/>
        </w:numPr>
        <w:jc w:val="both"/>
        <w:rPr>
          <w:sz w:val="22"/>
        </w:rPr>
      </w:pPr>
      <w:r>
        <w:rPr>
          <w:sz w:val="22"/>
        </w:rPr>
        <w:t>le développement de la couverture nationale en vue de fournir à au moins 80% des populations des soins de santé primaire de qualité ,à un coût abordable avec leur entière participation ;</w:t>
      </w:r>
    </w:p>
    <w:p w:rsidR="00000000" w:rsidRDefault="00000000">
      <w:pPr>
        <w:numPr>
          <w:ilvl w:val="0"/>
          <w:numId w:val="126"/>
        </w:numPr>
        <w:jc w:val="both"/>
        <w:rPr>
          <w:sz w:val="22"/>
        </w:rPr>
      </w:pPr>
      <w:r>
        <w:rPr>
          <w:sz w:val="22"/>
        </w:rPr>
        <w:t>le renforcement des capacités nationales dans la gestion du système de santé.</w:t>
      </w:r>
    </w:p>
    <w:p w:rsidR="00000000" w:rsidRDefault="00000000">
      <w:pPr>
        <w:ind w:left="360"/>
        <w:jc w:val="both"/>
        <w:rPr>
          <w:sz w:val="22"/>
        </w:rPr>
      </w:pPr>
    </w:p>
    <w:p w:rsidR="00000000" w:rsidRDefault="00000000">
      <w:pPr>
        <w:jc w:val="both"/>
        <w:rPr>
          <w:sz w:val="22"/>
        </w:rPr>
      </w:pPr>
      <w:r>
        <w:rPr>
          <w:sz w:val="22"/>
        </w:rPr>
        <w:t xml:space="preserve">Parmi les axes stratégiques de ce plan , il faut souligner : </w:t>
      </w:r>
    </w:p>
    <w:p w:rsidR="00000000" w:rsidRDefault="00000000">
      <w:pPr>
        <w:numPr>
          <w:ilvl w:val="0"/>
          <w:numId w:val="127"/>
        </w:numPr>
        <w:jc w:val="both"/>
        <w:rPr>
          <w:sz w:val="22"/>
        </w:rPr>
      </w:pPr>
      <w:r>
        <w:rPr>
          <w:sz w:val="22"/>
        </w:rPr>
        <w:t>l'intégration des services et des activités notamment ceux relatifs à la santé de la reproduction, et aux autres problèmes de santé en vue de la promotion et de la protection de la santé de la mère, de l'enfant y compris la préparation à la vie familiale ;</w:t>
      </w:r>
    </w:p>
    <w:p w:rsidR="00000000" w:rsidRDefault="00000000">
      <w:pPr>
        <w:numPr>
          <w:ilvl w:val="0"/>
          <w:numId w:val="127"/>
        </w:numPr>
        <w:jc w:val="both"/>
        <w:rPr>
          <w:sz w:val="22"/>
        </w:rPr>
      </w:pPr>
      <w:r>
        <w:rPr>
          <w:sz w:val="22"/>
        </w:rPr>
        <w:t>la participation communautaire avec un accent particulier sur l'implication de la femme dans la gestion du système de santé.</w:t>
      </w:r>
    </w:p>
    <w:p w:rsidR="00000000" w:rsidRDefault="00000000">
      <w:pPr>
        <w:jc w:val="both"/>
        <w:rPr>
          <w:sz w:val="22"/>
        </w:rPr>
      </w:pPr>
    </w:p>
    <w:p w:rsidR="00000000" w:rsidRDefault="00000000">
      <w:pPr>
        <w:jc w:val="both"/>
        <w:rPr>
          <w:sz w:val="22"/>
        </w:rPr>
      </w:pPr>
      <w:r>
        <w:rPr>
          <w:sz w:val="22"/>
        </w:rPr>
        <w:t>La réalisation de ces objectifs devra permettre de réduire le taux de mortalité et de morbidité maternelles et d'améliorer la santé des femmes. Dans cette optique, la centrale  nationale d'achat des médicaments essentiels(CENAMES) a été créée (décret n° 95-207 du 13 Novembre 1995 portant création et arrêté n° 402 du 11mars 1996 portant approbation du statut de la CENAMES).</w:t>
      </w:r>
    </w:p>
    <w:p w:rsidR="00000000" w:rsidRDefault="00000000">
      <w:pPr>
        <w:jc w:val="both"/>
        <w:rPr>
          <w:sz w:val="22"/>
        </w:rPr>
      </w:pPr>
    </w:p>
    <w:p w:rsidR="00000000" w:rsidRDefault="00000000">
      <w:pPr>
        <w:jc w:val="both"/>
        <w:rPr>
          <w:sz w:val="22"/>
        </w:rPr>
      </w:pPr>
      <w:r>
        <w:rPr>
          <w:sz w:val="22"/>
        </w:rPr>
        <w:t>Le gouvernement congolais accorde également une attention à la protection sociale des femmes. En effet, les lois n° 45/75 du 15 mars 1975 et n° 06/96 du 6 mars 1996 portant code du travail stipulent entre autres ce qui suit :</w:t>
      </w:r>
    </w:p>
    <w:p w:rsidR="00000000" w:rsidRDefault="00000000">
      <w:pPr>
        <w:jc w:val="both"/>
        <w:rPr>
          <w:sz w:val="22"/>
        </w:rPr>
      </w:pPr>
      <w:r>
        <w:rPr>
          <w:sz w:val="22"/>
        </w:rPr>
        <w:t>Article113 : « Toute femme enceinte dont l'état  a été médicalement constaté peut quitter le travail sans préavis et sans avoir de ce fait à payer une indemnité de rupture de contrat . »</w:t>
      </w:r>
    </w:p>
    <w:p w:rsidR="00000000" w:rsidRDefault="00000000">
      <w:pPr>
        <w:jc w:val="both"/>
        <w:rPr>
          <w:sz w:val="22"/>
        </w:rPr>
      </w:pPr>
      <w:r>
        <w:rPr>
          <w:sz w:val="22"/>
        </w:rPr>
        <w:t>Article 114 : « Il est interdit d'employer une femme pendant les 15 semaines de congé de maternité prévu à l'article précédent. »</w:t>
      </w:r>
    </w:p>
    <w:p w:rsidR="00000000" w:rsidRDefault="00000000">
      <w:pPr>
        <w:jc w:val="both"/>
        <w:rPr>
          <w:sz w:val="22"/>
        </w:rPr>
      </w:pPr>
      <w:r>
        <w:rPr>
          <w:sz w:val="22"/>
        </w:rPr>
        <w:t>Article 115 : « Pendant une période de quinze mois à compter de la naissance de l'enfant, la mère a droit à des repos pour allaitement. »</w:t>
      </w:r>
    </w:p>
    <w:p w:rsidR="00000000" w:rsidRDefault="00000000">
      <w:pPr>
        <w:pStyle w:val="BodyText3"/>
        <w:rPr>
          <w:sz w:val="22"/>
        </w:rPr>
      </w:pPr>
      <w:r>
        <w:rPr>
          <w:sz w:val="22"/>
        </w:rPr>
        <w:t>Le code de sécurité sociale, organise des prestations familiales et de maternité en faveur des femmes.</w:t>
      </w: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tabs>
          <w:tab w:val="left" w:pos="4626"/>
        </w:tabs>
        <w:jc w:val="both"/>
        <w:rPr>
          <w:b/>
          <w:caps/>
          <w:sz w:val="22"/>
          <w:u w:val="single"/>
        </w:rPr>
      </w:pPr>
      <w:r>
        <w:rPr>
          <w:b/>
          <w:caps/>
          <w:sz w:val="22"/>
        </w:rPr>
        <w:t xml:space="preserve">I - </w:t>
      </w:r>
      <w:r>
        <w:rPr>
          <w:b/>
          <w:caps/>
          <w:sz w:val="22"/>
          <w:u w:val="single"/>
        </w:rPr>
        <w:t>LA Situation sanitaire  actuelle</w:t>
      </w:r>
    </w:p>
    <w:p w:rsidR="00000000" w:rsidRDefault="00000000">
      <w:pPr>
        <w:jc w:val="both"/>
        <w:rPr>
          <w:b/>
          <w:caps/>
          <w:sz w:val="22"/>
          <w:u w:val="single"/>
        </w:rPr>
      </w:pPr>
    </w:p>
    <w:p w:rsidR="00000000" w:rsidRDefault="00000000">
      <w:pPr>
        <w:jc w:val="both"/>
        <w:rPr>
          <w:sz w:val="22"/>
        </w:rPr>
      </w:pPr>
      <w:r>
        <w:rPr>
          <w:sz w:val="22"/>
        </w:rPr>
        <w:t>La population congolaise est caractérisée par la prédominance féminine ; les femmes représentent 52% de la population parmi lesquelles 22,8%.sont en âge de procréer (15- 45ans).</w:t>
      </w:r>
    </w:p>
    <w:p w:rsidR="00000000" w:rsidRDefault="00000000">
      <w:pPr>
        <w:jc w:val="both"/>
        <w:rPr>
          <w:sz w:val="22"/>
        </w:rPr>
      </w:pPr>
    </w:p>
    <w:p w:rsidR="00000000" w:rsidRDefault="00000000">
      <w:pPr>
        <w:jc w:val="both"/>
        <w:rPr>
          <w:sz w:val="22"/>
        </w:rPr>
      </w:pPr>
      <w:r>
        <w:rPr>
          <w:sz w:val="22"/>
        </w:rPr>
        <w:t>L’espérance de vie des femmes est passée de 45 ans en 1974 à 53 ans en 1984.</w:t>
      </w:r>
    </w:p>
    <w:p w:rsidR="00000000" w:rsidRDefault="00000000">
      <w:pPr>
        <w:jc w:val="both"/>
        <w:rPr>
          <w:sz w:val="22"/>
        </w:rPr>
      </w:pPr>
      <w:r>
        <w:rPr>
          <w:sz w:val="22"/>
        </w:rPr>
        <w:t>L'indice synthétique de fécondité est d'environ 6,3 enfants par femme en 1984. Actuellement des études indiquent un nombre moyen  d'enfants de 5,9 par femme, à mettre à l'actif de la planification familiale. Le taux de mortalité maternelle est estimé à 890 pour 100.000 naissances vivantes.</w:t>
      </w:r>
    </w:p>
    <w:p w:rsidR="00000000" w:rsidRDefault="00000000">
      <w:pPr>
        <w:jc w:val="both"/>
        <w:rPr>
          <w:sz w:val="22"/>
        </w:rPr>
      </w:pPr>
    </w:p>
    <w:p w:rsidR="00000000" w:rsidRDefault="00000000">
      <w:pPr>
        <w:jc w:val="both"/>
        <w:rPr>
          <w:sz w:val="22"/>
        </w:rPr>
      </w:pPr>
      <w:r>
        <w:rPr>
          <w:sz w:val="22"/>
        </w:rPr>
        <w:t xml:space="preserve">Les enquêtes démographiques et de santé n'ont pas encore été réalisées au Congo. Le système national d'information sanitaire n'est pas très performant, les données disponibles ne portent pas toujours sur l'ensemble du pays. Les études démographiques et de santé n’ont pas encore été réalisées au Congo, d’où l’insuffisance systématique des données par sexe qui ne permet pas de suivre clairement la situation spécifique des femmes au niveau national. </w:t>
      </w:r>
    </w:p>
    <w:p w:rsidR="00000000" w:rsidRDefault="00000000">
      <w:pPr>
        <w:jc w:val="both"/>
        <w:rPr>
          <w:sz w:val="22"/>
        </w:rPr>
      </w:pPr>
    </w:p>
    <w:p w:rsidR="00000000" w:rsidRDefault="00000000">
      <w:pPr>
        <w:jc w:val="both"/>
        <w:rPr>
          <w:sz w:val="22"/>
        </w:rPr>
      </w:pPr>
      <w:r>
        <w:rPr>
          <w:sz w:val="22"/>
        </w:rPr>
        <w:t>Toutefois, le recensement général de la population et de l’habitat (RGPH) réalisé en 1984, ainsi que les enquêtes ponctuelles menées dans certaines localités permettent de présenter la situation sanitaire de la femme congolaise.</w:t>
      </w:r>
    </w:p>
    <w:p w:rsidR="00000000" w:rsidRDefault="00000000">
      <w:pPr>
        <w:jc w:val="both"/>
        <w:rPr>
          <w:sz w:val="22"/>
        </w:rPr>
      </w:pPr>
    </w:p>
    <w:p w:rsidR="00000000" w:rsidRDefault="00000000">
      <w:pPr>
        <w:jc w:val="both"/>
        <w:rPr>
          <w:b/>
          <w:sz w:val="22"/>
        </w:rPr>
      </w:pPr>
      <w:r>
        <w:rPr>
          <w:b/>
          <w:sz w:val="22"/>
        </w:rPr>
        <w:t xml:space="preserve">A-  </w:t>
      </w:r>
      <w:r>
        <w:rPr>
          <w:b/>
          <w:sz w:val="22"/>
          <w:u w:val="single"/>
        </w:rPr>
        <w:t>La mortalité maternelle</w:t>
      </w:r>
    </w:p>
    <w:p w:rsidR="00000000" w:rsidRDefault="00000000">
      <w:pPr>
        <w:jc w:val="both"/>
        <w:rPr>
          <w:b/>
          <w:sz w:val="22"/>
        </w:rPr>
      </w:pPr>
    </w:p>
    <w:p w:rsidR="00000000" w:rsidRDefault="00000000">
      <w:pPr>
        <w:jc w:val="both"/>
        <w:rPr>
          <w:sz w:val="22"/>
        </w:rPr>
      </w:pPr>
      <w:r>
        <w:rPr>
          <w:sz w:val="22"/>
        </w:rPr>
        <w:t>La mortalité maternelle demeure élevée. Selon une étude hospitalière réalisée en 1983, elle était estimée à 650 décès / 100.000 naissances vivantes. D'autres sources l'estiment à 890 décès/ 100.000 naissances vivantes avec une surmortalité en zones rurales dans la classe d'âge de 20 à 39 ans.</w:t>
      </w:r>
    </w:p>
    <w:p w:rsidR="00000000" w:rsidRDefault="00000000">
      <w:pPr>
        <w:jc w:val="both"/>
        <w:rPr>
          <w:sz w:val="22"/>
        </w:rPr>
      </w:pPr>
    </w:p>
    <w:p w:rsidR="00000000" w:rsidRDefault="00000000">
      <w:pPr>
        <w:jc w:val="both"/>
        <w:rPr>
          <w:sz w:val="22"/>
        </w:rPr>
      </w:pPr>
      <w:r>
        <w:rPr>
          <w:sz w:val="22"/>
        </w:rPr>
        <w:t>Les principales causes de décès maternels sont liées aux complications des grossesses et des accouchements. Les avortements clandestins représentent 41% des cas de décès, suivis des complications infectieuses 32%, les hémorragies, les complications de l'hypertension, l'anémie. Les autres causes de décès sont en rapport liées au VIH/SIDA, aux cancers gynécologiques parmi lesquels les cancers du col utérin occupent la première place</w:t>
      </w:r>
      <w:r>
        <w:rPr>
          <w:rStyle w:val="FootnoteReference"/>
          <w:sz w:val="22"/>
        </w:rPr>
        <w:footnoteReference w:id="5"/>
      </w:r>
      <w:r>
        <w:rPr>
          <w:sz w:val="22"/>
        </w:rPr>
        <w:t xml:space="preserve">. </w:t>
      </w:r>
    </w:p>
    <w:p w:rsidR="00000000" w:rsidRDefault="00000000">
      <w:pPr>
        <w:jc w:val="both"/>
        <w:rPr>
          <w:b/>
          <w:sz w:val="22"/>
        </w:rPr>
      </w:pPr>
    </w:p>
    <w:p w:rsidR="00000000" w:rsidRDefault="00000000">
      <w:pPr>
        <w:jc w:val="both"/>
        <w:rPr>
          <w:b/>
          <w:sz w:val="22"/>
        </w:rPr>
      </w:pPr>
      <w:r>
        <w:rPr>
          <w:b/>
          <w:sz w:val="22"/>
        </w:rPr>
        <w:t xml:space="preserve">B -  </w:t>
      </w:r>
      <w:r>
        <w:rPr>
          <w:b/>
          <w:sz w:val="22"/>
          <w:u w:val="single"/>
        </w:rPr>
        <w:t>La morbidité maternelle</w:t>
      </w:r>
      <w:r>
        <w:rPr>
          <w:b/>
          <w:sz w:val="22"/>
        </w:rPr>
        <w:t xml:space="preserve"> </w:t>
      </w:r>
    </w:p>
    <w:p w:rsidR="00000000" w:rsidRDefault="00000000">
      <w:pPr>
        <w:jc w:val="both"/>
        <w:rPr>
          <w:sz w:val="22"/>
        </w:rPr>
      </w:pPr>
    </w:p>
    <w:p w:rsidR="00000000" w:rsidRDefault="00000000">
      <w:pPr>
        <w:pStyle w:val="BodyText3"/>
        <w:rPr>
          <w:sz w:val="22"/>
        </w:rPr>
      </w:pPr>
      <w:r>
        <w:rPr>
          <w:sz w:val="22"/>
        </w:rPr>
        <w:t>Les maladies en rapport avec la sphère gynéco obstétricale constituent le premier motif de consultation dans les centres de santé maternelle et infantile en 1990 (analyse de la situation des femmes et des enfants, 1990) ; une part non négligeable concerne les maladies  sexuellement transmissibles. Les autres problèmes de santé sont liés aux maladies infectieuses (paludisme), aux maladies héréditaires ou chroniques</w:t>
      </w:r>
      <w:r>
        <w:rPr>
          <w:rStyle w:val="FootnoteReference"/>
          <w:sz w:val="22"/>
        </w:rPr>
        <w:footnoteReference w:id="6"/>
      </w:r>
      <w:r>
        <w:rPr>
          <w:sz w:val="22"/>
        </w:rPr>
        <w:t>.</w:t>
      </w:r>
    </w:p>
    <w:p w:rsidR="00000000" w:rsidRDefault="00000000">
      <w:pPr>
        <w:jc w:val="both"/>
        <w:rPr>
          <w:sz w:val="22"/>
        </w:rPr>
      </w:pPr>
    </w:p>
    <w:p w:rsidR="00000000" w:rsidRDefault="00000000">
      <w:pPr>
        <w:jc w:val="both"/>
        <w:rPr>
          <w:b/>
          <w:sz w:val="22"/>
        </w:rPr>
      </w:pPr>
      <w:r>
        <w:rPr>
          <w:b/>
          <w:sz w:val="22"/>
        </w:rPr>
        <w:t xml:space="preserve">C - </w:t>
      </w:r>
      <w:r>
        <w:rPr>
          <w:b/>
          <w:sz w:val="22"/>
          <w:u w:val="single"/>
        </w:rPr>
        <w:t>Le suivi prénatal</w:t>
      </w:r>
      <w:r>
        <w:rPr>
          <w:b/>
          <w:sz w:val="22"/>
        </w:rPr>
        <w:t> :</w:t>
      </w:r>
    </w:p>
    <w:p w:rsidR="00000000" w:rsidRDefault="00000000">
      <w:pPr>
        <w:widowControl w:val="0"/>
        <w:spacing w:before="120" w:after="120"/>
        <w:jc w:val="both"/>
        <w:rPr>
          <w:sz w:val="22"/>
        </w:rPr>
      </w:pPr>
      <w:r>
        <w:rPr>
          <w:sz w:val="22"/>
        </w:rPr>
        <w:t>Le suivi prénatal est obligatoire pour toutes les femmes enceintes. Les services de consultation prénatale recommandent 3 consultations obligatoires aux femmes enceintes au 3</w:t>
      </w:r>
      <w:r>
        <w:rPr>
          <w:sz w:val="22"/>
          <w:vertAlign w:val="superscript"/>
        </w:rPr>
        <w:t>ème</w:t>
      </w:r>
      <w:r>
        <w:rPr>
          <w:sz w:val="22"/>
        </w:rPr>
        <w:t>, 6</w:t>
      </w:r>
      <w:r>
        <w:rPr>
          <w:sz w:val="22"/>
          <w:vertAlign w:val="superscript"/>
        </w:rPr>
        <w:t>ème</w:t>
      </w:r>
      <w:r>
        <w:rPr>
          <w:sz w:val="22"/>
        </w:rPr>
        <w:t xml:space="preserve"> et 8</w:t>
      </w:r>
      <w:r>
        <w:rPr>
          <w:sz w:val="22"/>
          <w:vertAlign w:val="superscript"/>
        </w:rPr>
        <w:t>ème</w:t>
      </w:r>
      <w:r>
        <w:rPr>
          <w:sz w:val="22"/>
        </w:rPr>
        <w:t xml:space="preserve"> mois. Le but de ces consultations obligatoires est le dépistage des facteurs de risque afin de prendre en charge précocement les complications et assurer les soins préventifs. En dehors de celles qui sont obligatoires, d'autres consultations intermédiaires peuvent être réalisées en fonction de l'état de santé de la mère.</w:t>
      </w:r>
    </w:p>
    <w:p w:rsidR="00000000" w:rsidRDefault="00000000">
      <w:pPr>
        <w:widowControl w:val="0"/>
        <w:spacing w:before="120" w:after="120"/>
        <w:jc w:val="both"/>
        <w:rPr>
          <w:sz w:val="22"/>
        </w:rPr>
      </w:pPr>
    </w:p>
    <w:p w:rsidR="00000000" w:rsidRDefault="00000000">
      <w:pPr>
        <w:pStyle w:val="BodyTextIndent"/>
        <w:widowControl w:val="0"/>
        <w:spacing w:before="120" w:after="120"/>
        <w:ind w:firstLine="0"/>
        <w:rPr>
          <w:b/>
          <w:sz w:val="22"/>
        </w:rPr>
      </w:pPr>
      <w:r>
        <w:rPr>
          <w:b/>
          <w:sz w:val="22"/>
          <w:u w:val="single"/>
        </w:rPr>
        <w:t>Tableau n° 71</w:t>
      </w:r>
      <w:r>
        <w:rPr>
          <w:b/>
          <w:sz w:val="22"/>
        </w:rPr>
        <w:t xml:space="preserve"> : Nombre de consultations prénatales par femme selon les villes </w:t>
      </w: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6"/>
        <w:gridCol w:w="1637"/>
        <w:gridCol w:w="1636"/>
        <w:gridCol w:w="1637"/>
        <w:gridCol w:w="1636"/>
        <w:gridCol w:w="1637"/>
      </w:tblGrid>
      <w:tr w:rsidR="00000000">
        <w:tblPrEx>
          <w:tblCellMar>
            <w:top w:w="0" w:type="dxa"/>
            <w:bottom w:w="0" w:type="dxa"/>
          </w:tblCellMar>
        </w:tblPrEx>
        <w:trPr>
          <w:trHeight w:val="719"/>
        </w:trPr>
        <w:tc>
          <w:tcPr>
            <w:tcW w:w="1636" w:type="dxa"/>
            <w:tcBorders>
              <w:bottom w:val="single" w:sz="4" w:space="0" w:color="auto"/>
            </w:tcBorders>
            <w:vAlign w:val="center"/>
          </w:tcPr>
          <w:p w:rsidR="00000000" w:rsidRDefault="00000000">
            <w:pPr>
              <w:pStyle w:val="BodyTextIndent"/>
              <w:widowControl w:val="0"/>
              <w:ind w:firstLine="0"/>
              <w:rPr>
                <w:sz w:val="22"/>
              </w:rPr>
            </w:pPr>
            <w:r>
              <w:rPr>
                <w:sz w:val="22"/>
              </w:rPr>
              <w:t>Nombre de CPN</w:t>
            </w:r>
          </w:p>
          <w:p w:rsidR="00000000" w:rsidRDefault="00000000">
            <w:pPr>
              <w:pStyle w:val="BodyTextIndent"/>
              <w:widowControl w:val="0"/>
              <w:jc w:val="both"/>
              <w:rPr>
                <w:sz w:val="22"/>
              </w:rPr>
            </w:pPr>
            <w:r>
              <w:rPr>
                <w:sz w:val="22"/>
              </w:rPr>
              <w:t>Ville</w:t>
            </w:r>
          </w:p>
        </w:tc>
        <w:tc>
          <w:tcPr>
            <w:tcW w:w="1637" w:type="dxa"/>
            <w:tcBorders>
              <w:bottom w:val="single" w:sz="4" w:space="0" w:color="auto"/>
            </w:tcBorders>
            <w:vAlign w:val="center"/>
          </w:tcPr>
          <w:p w:rsidR="00000000" w:rsidRDefault="00000000">
            <w:pPr>
              <w:pStyle w:val="BodyTextIndent"/>
              <w:widowControl w:val="0"/>
              <w:jc w:val="center"/>
              <w:rPr>
                <w:sz w:val="22"/>
              </w:rPr>
            </w:pPr>
            <w:r>
              <w:rPr>
                <w:sz w:val="22"/>
              </w:rPr>
              <w:t>0</w:t>
            </w:r>
          </w:p>
        </w:tc>
        <w:tc>
          <w:tcPr>
            <w:tcW w:w="1636" w:type="dxa"/>
            <w:tcBorders>
              <w:bottom w:val="single" w:sz="4" w:space="0" w:color="auto"/>
            </w:tcBorders>
            <w:vAlign w:val="center"/>
          </w:tcPr>
          <w:p w:rsidR="00000000" w:rsidRDefault="00000000">
            <w:pPr>
              <w:pStyle w:val="BodyTextIndent"/>
              <w:widowControl w:val="0"/>
              <w:jc w:val="center"/>
              <w:rPr>
                <w:sz w:val="22"/>
              </w:rPr>
            </w:pPr>
            <w:r>
              <w:rPr>
                <w:sz w:val="22"/>
              </w:rPr>
              <w:t>1</w:t>
            </w:r>
          </w:p>
        </w:tc>
        <w:tc>
          <w:tcPr>
            <w:tcW w:w="1637" w:type="dxa"/>
            <w:tcBorders>
              <w:bottom w:val="single" w:sz="4" w:space="0" w:color="auto"/>
            </w:tcBorders>
            <w:vAlign w:val="center"/>
          </w:tcPr>
          <w:p w:rsidR="00000000" w:rsidRDefault="00000000">
            <w:pPr>
              <w:pStyle w:val="BodyTextIndent"/>
              <w:widowControl w:val="0"/>
              <w:jc w:val="center"/>
              <w:rPr>
                <w:sz w:val="22"/>
              </w:rPr>
            </w:pPr>
            <w:r>
              <w:rPr>
                <w:sz w:val="22"/>
              </w:rPr>
              <w:t>2</w:t>
            </w:r>
          </w:p>
        </w:tc>
        <w:tc>
          <w:tcPr>
            <w:tcW w:w="1636" w:type="dxa"/>
            <w:tcBorders>
              <w:bottom w:val="single" w:sz="4" w:space="0" w:color="auto"/>
            </w:tcBorders>
            <w:vAlign w:val="center"/>
          </w:tcPr>
          <w:p w:rsidR="00000000" w:rsidRDefault="00000000">
            <w:pPr>
              <w:pStyle w:val="BodyTextIndent"/>
              <w:widowControl w:val="0"/>
              <w:jc w:val="center"/>
              <w:rPr>
                <w:sz w:val="22"/>
              </w:rPr>
            </w:pPr>
            <w:r>
              <w:rPr>
                <w:sz w:val="22"/>
              </w:rPr>
              <w:t>3 et plus</w:t>
            </w:r>
          </w:p>
        </w:tc>
        <w:tc>
          <w:tcPr>
            <w:tcW w:w="1637" w:type="dxa"/>
            <w:tcBorders>
              <w:bottom w:val="single" w:sz="4" w:space="0" w:color="auto"/>
            </w:tcBorders>
            <w:vAlign w:val="center"/>
          </w:tcPr>
          <w:p w:rsidR="00000000" w:rsidRDefault="00000000">
            <w:pPr>
              <w:pStyle w:val="BodyTextIndent"/>
              <w:widowControl w:val="0"/>
              <w:ind w:firstLine="0"/>
              <w:rPr>
                <w:sz w:val="22"/>
              </w:rPr>
            </w:pPr>
            <w:r>
              <w:rPr>
                <w:sz w:val="22"/>
              </w:rPr>
              <w:t>Total</w:t>
            </w:r>
          </w:p>
        </w:tc>
      </w:tr>
      <w:tr w:rsidR="00000000">
        <w:tblPrEx>
          <w:tblCellMar>
            <w:top w:w="0" w:type="dxa"/>
            <w:bottom w:w="0" w:type="dxa"/>
          </w:tblCellMar>
        </w:tblPrEx>
        <w:tc>
          <w:tcPr>
            <w:tcW w:w="1636" w:type="dxa"/>
            <w:vAlign w:val="center"/>
          </w:tcPr>
          <w:p w:rsidR="00000000" w:rsidRDefault="00000000">
            <w:pPr>
              <w:pStyle w:val="BodyTextIndent"/>
              <w:widowControl w:val="0"/>
              <w:spacing w:before="120" w:after="120"/>
              <w:ind w:firstLine="0"/>
              <w:jc w:val="both"/>
              <w:rPr>
                <w:sz w:val="22"/>
              </w:rPr>
            </w:pPr>
            <w:r>
              <w:rPr>
                <w:sz w:val="22"/>
              </w:rPr>
              <w:t>Brazzaville</w:t>
            </w:r>
          </w:p>
        </w:tc>
        <w:tc>
          <w:tcPr>
            <w:tcW w:w="1637" w:type="dxa"/>
            <w:vAlign w:val="center"/>
          </w:tcPr>
          <w:p w:rsidR="00000000" w:rsidRDefault="00000000">
            <w:pPr>
              <w:pStyle w:val="BodyTextIndent"/>
              <w:widowControl w:val="0"/>
              <w:spacing w:before="120" w:after="120"/>
              <w:ind w:firstLine="0"/>
              <w:rPr>
                <w:sz w:val="22"/>
              </w:rPr>
            </w:pPr>
            <w:r>
              <w:rPr>
                <w:sz w:val="22"/>
              </w:rPr>
              <w:t>10,21% (69)</w:t>
            </w:r>
          </w:p>
        </w:tc>
        <w:tc>
          <w:tcPr>
            <w:tcW w:w="1636" w:type="dxa"/>
            <w:vAlign w:val="center"/>
          </w:tcPr>
          <w:p w:rsidR="00000000" w:rsidRDefault="00000000">
            <w:pPr>
              <w:pStyle w:val="BodyTextIndent"/>
              <w:widowControl w:val="0"/>
              <w:spacing w:before="120" w:after="120"/>
              <w:ind w:firstLine="0"/>
              <w:rPr>
                <w:sz w:val="22"/>
              </w:rPr>
            </w:pPr>
            <w:r>
              <w:rPr>
                <w:sz w:val="22"/>
              </w:rPr>
              <w:t>7,4% (50)</w:t>
            </w:r>
          </w:p>
        </w:tc>
        <w:tc>
          <w:tcPr>
            <w:tcW w:w="1637" w:type="dxa"/>
            <w:vAlign w:val="center"/>
          </w:tcPr>
          <w:p w:rsidR="00000000" w:rsidRDefault="00000000">
            <w:pPr>
              <w:pStyle w:val="BodyTextIndent"/>
              <w:widowControl w:val="0"/>
              <w:spacing w:before="120" w:after="120"/>
              <w:ind w:firstLine="0"/>
              <w:rPr>
                <w:sz w:val="22"/>
              </w:rPr>
            </w:pPr>
            <w:r>
              <w:rPr>
                <w:sz w:val="22"/>
              </w:rPr>
              <w:t>9,91% (67)</w:t>
            </w:r>
          </w:p>
        </w:tc>
        <w:tc>
          <w:tcPr>
            <w:tcW w:w="1636" w:type="dxa"/>
            <w:vAlign w:val="center"/>
          </w:tcPr>
          <w:p w:rsidR="00000000" w:rsidRDefault="00000000">
            <w:pPr>
              <w:pStyle w:val="BodyTextIndent"/>
              <w:widowControl w:val="0"/>
              <w:spacing w:before="120" w:after="120"/>
              <w:jc w:val="center"/>
              <w:rPr>
                <w:sz w:val="22"/>
              </w:rPr>
            </w:pPr>
            <w:r>
              <w:rPr>
                <w:noProof/>
                <w:sz w:val="22"/>
              </w:rPr>
              <w:pict>
                <v:shapetype id="_x0000_t202" coordsize="21600,21600" o:spt="202" path="m,l,21600r21600,l21600,xe">
                  <v:stroke joinstyle="miter"/>
                  <v:path gradientshapeok="t" o:connecttype="rect"/>
                </v:shapetype>
                <v:shape id="_x0000_s2060" type="#_x0000_t202" style="position:absolute;left:0;text-align:left;margin-left:2.5pt;margin-top:3.15pt;width:64.8pt;height:21.6pt;z-index:9;mso-position-horizontal-relative:text;mso-position-vertical-relative:text" filled="f" stroked="f">
                  <v:textbox>
                    <w:txbxContent>
                      <w:p w:rsidR="00000000" w:rsidRDefault="00000000">
                        <w:pPr>
                          <w:rPr>
                            <w:sz w:val="22"/>
                          </w:rPr>
                        </w:pPr>
                        <w:r>
                          <w:rPr>
                            <w:sz w:val="22"/>
                          </w:rPr>
                          <w:t>72% (490)</w:t>
                        </w:r>
                      </w:p>
                    </w:txbxContent>
                  </v:textbox>
                </v:shape>
              </w:pict>
            </w:r>
          </w:p>
        </w:tc>
        <w:tc>
          <w:tcPr>
            <w:tcW w:w="1637" w:type="dxa"/>
            <w:vAlign w:val="center"/>
          </w:tcPr>
          <w:p w:rsidR="00000000" w:rsidRDefault="00000000">
            <w:pPr>
              <w:pStyle w:val="BodyTextIndent"/>
              <w:widowControl w:val="0"/>
              <w:spacing w:before="120" w:after="120"/>
              <w:ind w:firstLine="235"/>
              <w:rPr>
                <w:sz w:val="22"/>
              </w:rPr>
            </w:pPr>
            <w:r>
              <w:rPr>
                <w:sz w:val="22"/>
              </w:rPr>
              <w:t>1100% (676)</w:t>
            </w:r>
          </w:p>
        </w:tc>
      </w:tr>
      <w:tr w:rsidR="00000000">
        <w:tblPrEx>
          <w:tblCellMar>
            <w:top w:w="0" w:type="dxa"/>
            <w:bottom w:w="0" w:type="dxa"/>
          </w:tblCellMar>
        </w:tblPrEx>
        <w:tc>
          <w:tcPr>
            <w:tcW w:w="1636" w:type="dxa"/>
            <w:vAlign w:val="center"/>
          </w:tcPr>
          <w:p w:rsidR="00000000" w:rsidRDefault="00000000">
            <w:pPr>
              <w:pStyle w:val="BodyTextIndent"/>
              <w:widowControl w:val="0"/>
              <w:spacing w:before="120" w:after="120"/>
              <w:ind w:firstLine="0"/>
              <w:jc w:val="both"/>
              <w:rPr>
                <w:sz w:val="22"/>
              </w:rPr>
            </w:pPr>
            <w:r>
              <w:rPr>
                <w:sz w:val="22"/>
              </w:rPr>
              <w:t>Pointe Noire</w:t>
            </w:r>
          </w:p>
        </w:tc>
        <w:tc>
          <w:tcPr>
            <w:tcW w:w="1637" w:type="dxa"/>
            <w:vAlign w:val="center"/>
          </w:tcPr>
          <w:p w:rsidR="00000000" w:rsidRDefault="00000000">
            <w:pPr>
              <w:pStyle w:val="BodyTextIndent"/>
              <w:widowControl w:val="0"/>
              <w:spacing w:before="120" w:after="120"/>
              <w:ind w:firstLine="0"/>
              <w:rPr>
                <w:sz w:val="22"/>
              </w:rPr>
            </w:pPr>
            <w:r>
              <w:rPr>
                <w:sz w:val="22"/>
              </w:rPr>
              <w:t>8,08% (46)</w:t>
            </w:r>
          </w:p>
        </w:tc>
        <w:tc>
          <w:tcPr>
            <w:tcW w:w="1636" w:type="dxa"/>
            <w:vAlign w:val="center"/>
          </w:tcPr>
          <w:p w:rsidR="00000000" w:rsidRDefault="00000000">
            <w:pPr>
              <w:pStyle w:val="BodyTextIndent"/>
              <w:widowControl w:val="0"/>
              <w:spacing w:before="120" w:after="120"/>
              <w:ind w:firstLine="0"/>
              <w:jc w:val="center"/>
              <w:rPr>
                <w:sz w:val="22"/>
              </w:rPr>
            </w:pPr>
            <w:r>
              <w:rPr>
                <w:sz w:val="22"/>
              </w:rPr>
              <w:t>3% (17)</w:t>
            </w:r>
          </w:p>
        </w:tc>
        <w:tc>
          <w:tcPr>
            <w:tcW w:w="1637" w:type="dxa"/>
            <w:vAlign w:val="center"/>
          </w:tcPr>
          <w:p w:rsidR="00000000" w:rsidRDefault="00000000">
            <w:pPr>
              <w:pStyle w:val="BodyTextIndent"/>
              <w:widowControl w:val="0"/>
              <w:spacing w:before="120" w:after="120"/>
              <w:ind w:firstLine="0"/>
              <w:jc w:val="center"/>
              <w:rPr>
                <w:sz w:val="22"/>
              </w:rPr>
            </w:pPr>
            <w:r>
              <w:rPr>
                <w:sz w:val="22"/>
              </w:rPr>
              <w:t>9,31% (53)</w:t>
            </w:r>
          </w:p>
        </w:tc>
        <w:tc>
          <w:tcPr>
            <w:tcW w:w="1636" w:type="dxa"/>
            <w:vAlign w:val="center"/>
          </w:tcPr>
          <w:p w:rsidR="00000000" w:rsidRDefault="00000000">
            <w:pPr>
              <w:pStyle w:val="BodyTextIndent"/>
              <w:widowControl w:val="0"/>
              <w:spacing w:before="120" w:after="120"/>
              <w:ind w:firstLine="0"/>
              <w:jc w:val="center"/>
              <w:rPr>
                <w:sz w:val="22"/>
              </w:rPr>
            </w:pPr>
            <w:r>
              <w:rPr>
                <w:sz w:val="22"/>
              </w:rPr>
              <w:t>79,61% (453)</w:t>
            </w:r>
          </w:p>
        </w:tc>
        <w:tc>
          <w:tcPr>
            <w:tcW w:w="1637" w:type="dxa"/>
            <w:vAlign w:val="center"/>
          </w:tcPr>
          <w:p w:rsidR="00000000" w:rsidRDefault="00000000">
            <w:pPr>
              <w:pStyle w:val="BodyTextIndent"/>
              <w:widowControl w:val="0"/>
              <w:spacing w:before="120" w:after="120"/>
              <w:ind w:firstLine="0"/>
              <w:jc w:val="center"/>
              <w:rPr>
                <w:sz w:val="22"/>
              </w:rPr>
            </w:pPr>
            <w:r>
              <w:rPr>
                <w:sz w:val="22"/>
              </w:rPr>
              <w:t>100% (569)</w:t>
            </w:r>
          </w:p>
        </w:tc>
      </w:tr>
      <w:tr w:rsidR="00000000">
        <w:tblPrEx>
          <w:tblCellMar>
            <w:top w:w="0" w:type="dxa"/>
            <w:bottom w:w="0" w:type="dxa"/>
          </w:tblCellMar>
        </w:tblPrEx>
        <w:tc>
          <w:tcPr>
            <w:tcW w:w="1636" w:type="dxa"/>
            <w:vAlign w:val="center"/>
          </w:tcPr>
          <w:p w:rsidR="00000000" w:rsidRDefault="00000000">
            <w:pPr>
              <w:pStyle w:val="BodyTextIndent"/>
              <w:widowControl w:val="0"/>
              <w:spacing w:before="120" w:after="120"/>
              <w:ind w:firstLine="0"/>
              <w:jc w:val="both"/>
              <w:rPr>
                <w:sz w:val="22"/>
              </w:rPr>
            </w:pPr>
            <w:r>
              <w:rPr>
                <w:sz w:val="22"/>
              </w:rPr>
              <w:t>Moyenne</w:t>
            </w:r>
          </w:p>
        </w:tc>
        <w:tc>
          <w:tcPr>
            <w:tcW w:w="1637" w:type="dxa"/>
            <w:vAlign w:val="center"/>
          </w:tcPr>
          <w:p w:rsidR="00000000" w:rsidRDefault="00000000">
            <w:pPr>
              <w:pStyle w:val="BodyTextIndent"/>
              <w:widowControl w:val="0"/>
              <w:spacing w:before="120" w:after="120"/>
              <w:ind w:firstLine="0"/>
              <w:jc w:val="center"/>
              <w:rPr>
                <w:sz w:val="22"/>
              </w:rPr>
            </w:pPr>
            <w:r>
              <w:rPr>
                <w:sz w:val="22"/>
              </w:rPr>
              <w:t>9,15 %</w:t>
            </w:r>
          </w:p>
        </w:tc>
        <w:tc>
          <w:tcPr>
            <w:tcW w:w="1636" w:type="dxa"/>
            <w:vAlign w:val="center"/>
          </w:tcPr>
          <w:p w:rsidR="00000000" w:rsidRDefault="00000000">
            <w:pPr>
              <w:pStyle w:val="BodyTextIndent"/>
              <w:widowControl w:val="0"/>
              <w:spacing w:before="120" w:after="120"/>
              <w:ind w:firstLine="0"/>
              <w:jc w:val="center"/>
              <w:rPr>
                <w:sz w:val="22"/>
              </w:rPr>
            </w:pPr>
            <w:r>
              <w:rPr>
                <w:sz w:val="22"/>
              </w:rPr>
              <w:t>5,2%</w:t>
            </w:r>
          </w:p>
        </w:tc>
        <w:tc>
          <w:tcPr>
            <w:tcW w:w="1637" w:type="dxa"/>
            <w:vAlign w:val="center"/>
          </w:tcPr>
          <w:p w:rsidR="00000000" w:rsidRDefault="00000000">
            <w:pPr>
              <w:pStyle w:val="BodyTextIndent"/>
              <w:widowControl w:val="0"/>
              <w:spacing w:before="120" w:after="120"/>
              <w:ind w:firstLine="0"/>
              <w:jc w:val="center"/>
              <w:rPr>
                <w:sz w:val="22"/>
              </w:rPr>
            </w:pPr>
            <w:r>
              <w:rPr>
                <w:sz w:val="22"/>
              </w:rPr>
              <w:t>9,61%</w:t>
            </w:r>
          </w:p>
        </w:tc>
        <w:tc>
          <w:tcPr>
            <w:tcW w:w="1636" w:type="dxa"/>
            <w:vAlign w:val="center"/>
          </w:tcPr>
          <w:p w:rsidR="00000000" w:rsidRDefault="00000000">
            <w:pPr>
              <w:pStyle w:val="BodyTextIndent"/>
              <w:widowControl w:val="0"/>
              <w:spacing w:before="120" w:after="120"/>
              <w:ind w:firstLine="0"/>
              <w:jc w:val="center"/>
              <w:rPr>
                <w:sz w:val="22"/>
              </w:rPr>
            </w:pPr>
            <w:r>
              <w:rPr>
                <w:sz w:val="22"/>
              </w:rPr>
              <w:t>76,05%</w:t>
            </w:r>
          </w:p>
        </w:tc>
        <w:tc>
          <w:tcPr>
            <w:tcW w:w="1637" w:type="dxa"/>
            <w:vAlign w:val="center"/>
          </w:tcPr>
          <w:p w:rsidR="00000000" w:rsidRDefault="00000000">
            <w:pPr>
              <w:pStyle w:val="BodyTextIndent"/>
              <w:widowControl w:val="0"/>
              <w:spacing w:before="120" w:after="120"/>
              <w:ind w:firstLine="0"/>
              <w:jc w:val="center"/>
              <w:rPr>
                <w:sz w:val="22"/>
              </w:rPr>
            </w:pPr>
            <w:r>
              <w:rPr>
                <w:sz w:val="22"/>
              </w:rPr>
              <w:t>100%</w:t>
            </w:r>
          </w:p>
        </w:tc>
      </w:tr>
    </w:tbl>
    <w:p w:rsidR="00000000" w:rsidRDefault="00000000">
      <w:pPr>
        <w:jc w:val="both"/>
        <w:rPr>
          <w:sz w:val="22"/>
        </w:rPr>
      </w:pPr>
    </w:p>
    <w:p w:rsidR="00000000" w:rsidRDefault="00000000">
      <w:pPr>
        <w:jc w:val="both"/>
        <w:rPr>
          <w:i/>
          <w:sz w:val="22"/>
        </w:rPr>
      </w:pPr>
      <w:r>
        <w:rPr>
          <w:i/>
          <w:sz w:val="22"/>
          <w:u w:val="single"/>
        </w:rPr>
        <w:t>Source</w:t>
      </w:r>
      <w:r>
        <w:rPr>
          <w:i/>
          <w:sz w:val="22"/>
        </w:rPr>
        <w:t> : (rapport  d'enquête MSR-DSF, 1999)</w:t>
      </w:r>
    </w:p>
    <w:p w:rsidR="00000000" w:rsidRDefault="00000000">
      <w:pPr>
        <w:jc w:val="both"/>
        <w:rPr>
          <w:sz w:val="22"/>
        </w:rPr>
      </w:pPr>
    </w:p>
    <w:p w:rsidR="00000000" w:rsidRDefault="00000000">
      <w:pPr>
        <w:jc w:val="both"/>
        <w:rPr>
          <w:sz w:val="22"/>
        </w:rPr>
      </w:pPr>
      <w:r>
        <w:rPr>
          <w:sz w:val="22"/>
        </w:rPr>
        <w:t>En général, le calendrier du suivi prénatal n'est pas respecté ; les femmes enceintes débutent tardivement le suivi prénatal : 76,05 % des femmes qui ont accouché ont réalisé au moins trois consultations prénatales au cours de la grossesse. Plusieurs femmes ne sont pas suivies correctement au cours de la grossesse.</w:t>
      </w:r>
    </w:p>
    <w:p w:rsidR="00000000" w:rsidRDefault="00000000">
      <w:pPr>
        <w:jc w:val="both"/>
        <w:rPr>
          <w:sz w:val="22"/>
        </w:rPr>
      </w:pPr>
    </w:p>
    <w:p w:rsidR="00000000" w:rsidRDefault="00000000">
      <w:pPr>
        <w:pStyle w:val="BodyTextIndent"/>
        <w:widowControl w:val="0"/>
        <w:spacing w:before="80" w:after="120"/>
        <w:ind w:firstLine="0"/>
        <w:rPr>
          <w:b/>
          <w:sz w:val="22"/>
        </w:rPr>
      </w:pPr>
      <w:r>
        <w:rPr>
          <w:b/>
          <w:sz w:val="22"/>
          <w:u w:val="single"/>
        </w:rPr>
        <w:t>Tableau n° 72</w:t>
      </w:r>
      <w:r>
        <w:rPr>
          <w:b/>
          <w:sz w:val="22"/>
        </w:rPr>
        <w:t xml:space="preserve"> : Suivi prénatal selon la zone géographique et les années </w:t>
      </w: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82"/>
        <w:gridCol w:w="1779"/>
        <w:gridCol w:w="1780"/>
        <w:gridCol w:w="1780"/>
        <w:gridCol w:w="1780"/>
      </w:tblGrid>
      <w:tr w:rsidR="00000000">
        <w:tblPrEx>
          <w:tblCellMar>
            <w:top w:w="0" w:type="dxa"/>
            <w:bottom w:w="0" w:type="dxa"/>
          </w:tblCellMar>
        </w:tblPrEx>
        <w:trPr>
          <w:cantSplit/>
        </w:trPr>
        <w:tc>
          <w:tcPr>
            <w:tcW w:w="2682" w:type="dxa"/>
            <w:vMerge w:val="restart"/>
            <w:vAlign w:val="center"/>
          </w:tcPr>
          <w:p w:rsidR="00000000" w:rsidRDefault="00000000">
            <w:pPr>
              <w:widowControl w:val="0"/>
              <w:spacing w:before="80" w:after="80"/>
              <w:rPr>
                <w:sz w:val="22"/>
              </w:rPr>
            </w:pPr>
            <w:r>
              <w:rPr>
                <w:sz w:val="22"/>
              </w:rPr>
              <w:t>Zone géographique</w:t>
            </w:r>
          </w:p>
        </w:tc>
        <w:tc>
          <w:tcPr>
            <w:tcW w:w="3559" w:type="dxa"/>
            <w:gridSpan w:val="2"/>
            <w:vAlign w:val="center"/>
          </w:tcPr>
          <w:p w:rsidR="00000000" w:rsidRDefault="00000000">
            <w:pPr>
              <w:widowControl w:val="0"/>
              <w:spacing w:before="80" w:after="80"/>
              <w:jc w:val="center"/>
              <w:rPr>
                <w:sz w:val="22"/>
              </w:rPr>
            </w:pPr>
            <w:r>
              <w:rPr>
                <w:sz w:val="22"/>
              </w:rPr>
              <w:t>1992</w:t>
            </w:r>
          </w:p>
        </w:tc>
        <w:tc>
          <w:tcPr>
            <w:tcW w:w="3560" w:type="dxa"/>
            <w:gridSpan w:val="2"/>
            <w:vAlign w:val="center"/>
          </w:tcPr>
          <w:p w:rsidR="00000000" w:rsidRDefault="00000000">
            <w:pPr>
              <w:widowControl w:val="0"/>
              <w:spacing w:before="80" w:after="80"/>
              <w:jc w:val="center"/>
              <w:rPr>
                <w:sz w:val="22"/>
              </w:rPr>
            </w:pPr>
            <w:r>
              <w:rPr>
                <w:sz w:val="22"/>
              </w:rPr>
              <w:t>1999</w:t>
            </w:r>
          </w:p>
        </w:tc>
      </w:tr>
      <w:tr w:rsidR="00000000">
        <w:tblPrEx>
          <w:tblCellMar>
            <w:top w:w="0" w:type="dxa"/>
            <w:bottom w:w="0" w:type="dxa"/>
          </w:tblCellMar>
        </w:tblPrEx>
        <w:trPr>
          <w:cantSplit/>
        </w:trPr>
        <w:tc>
          <w:tcPr>
            <w:tcW w:w="2682" w:type="dxa"/>
            <w:vMerge/>
            <w:vAlign w:val="center"/>
          </w:tcPr>
          <w:p w:rsidR="00000000" w:rsidRDefault="00000000">
            <w:pPr>
              <w:widowControl w:val="0"/>
              <w:spacing w:before="80" w:after="80"/>
              <w:jc w:val="both"/>
              <w:rPr>
                <w:sz w:val="22"/>
              </w:rPr>
            </w:pPr>
          </w:p>
        </w:tc>
        <w:tc>
          <w:tcPr>
            <w:tcW w:w="1779" w:type="dxa"/>
            <w:vAlign w:val="center"/>
          </w:tcPr>
          <w:p w:rsidR="00000000" w:rsidRDefault="00000000">
            <w:pPr>
              <w:widowControl w:val="0"/>
              <w:spacing w:before="80" w:after="80"/>
              <w:jc w:val="center"/>
              <w:rPr>
                <w:sz w:val="22"/>
              </w:rPr>
            </w:pPr>
            <w:r>
              <w:rPr>
                <w:sz w:val="22"/>
              </w:rPr>
              <w:t>Nombre moyen de CPN</w:t>
            </w:r>
          </w:p>
        </w:tc>
        <w:tc>
          <w:tcPr>
            <w:tcW w:w="1780" w:type="dxa"/>
            <w:vAlign w:val="center"/>
          </w:tcPr>
          <w:p w:rsidR="00000000" w:rsidRDefault="00000000">
            <w:pPr>
              <w:widowControl w:val="0"/>
              <w:spacing w:before="80" w:after="80"/>
              <w:jc w:val="center"/>
              <w:rPr>
                <w:sz w:val="22"/>
              </w:rPr>
            </w:pPr>
            <w:r>
              <w:rPr>
                <w:sz w:val="22"/>
              </w:rPr>
              <w:t>2 CPN au moins</w:t>
            </w:r>
          </w:p>
        </w:tc>
        <w:tc>
          <w:tcPr>
            <w:tcW w:w="1780" w:type="dxa"/>
            <w:vAlign w:val="center"/>
          </w:tcPr>
          <w:p w:rsidR="00000000" w:rsidRDefault="00000000">
            <w:pPr>
              <w:widowControl w:val="0"/>
              <w:spacing w:before="80" w:after="80"/>
              <w:jc w:val="center"/>
              <w:rPr>
                <w:sz w:val="22"/>
              </w:rPr>
            </w:pPr>
            <w:r>
              <w:rPr>
                <w:sz w:val="22"/>
              </w:rPr>
              <w:t>Nombre moyen de CPN</w:t>
            </w:r>
          </w:p>
        </w:tc>
        <w:tc>
          <w:tcPr>
            <w:tcW w:w="1780" w:type="dxa"/>
            <w:vAlign w:val="center"/>
          </w:tcPr>
          <w:p w:rsidR="00000000" w:rsidRDefault="00000000">
            <w:pPr>
              <w:widowControl w:val="0"/>
              <w:spacing w:before="80" w:after="80"/>
              <w:jc w:val="center"/>
              <w:rPr>
                <w:sz w:val="22"/>
              </w:rPr>
            </w:pPr>
            <w:r>
              <w:rPr>
                <w:sz w:val="22"/>
              </w:rPr>
              <w:t>2 CPN au moins</w:t>
            </w:r>
          </w:p>
        </w:tc>
      </w:tr>
      <w:tr w:rsidR="00000000">
        <w:tblPrEx>
          <w:tblCellMar>
            <w:top w:w="0" w:type="dxa"/>
            <w:bottom w:w="0" w:type="dxa"/>
          </w:tblCellMar>
        </w:tblPrEx>
        <w:tc>
          <w:tcPr>
            <w:tcW w:w="2682" w:type="dxa"/>
            <w:vAlign w:val="center"/>
          </w:tcPr>
          <w:p w:rsidR="00000000" w:rsidRDefault="00000000">
            <w:pPr>
              <w:widowControl w:val="0"/>
              <w:spacing w:before="80" w:after="80"/>
              <w:jc w:val="both"/>
              <w:rPr>
                <w:sz w:val="22"/>
              </w:rPr>
            </w:pPr>
            <w:r>
              <w:rPr>
                <w:sz w:val="22"/>
              </w:rPr>
              <w:t>Brazzaville</w:t>
            </w:r>
          </w:p>
        </w:tc>
        <w:tc>
          <w:tcPr>
            <w:tcW w:w="1779" w:type="dxa"/>
            <w:vAlign w:val="center"/>
          </w:tcPr>
          <w:p w:rsidR="00000000" w:rsidRDefault="00000000">
            <w:pPr>
              <w:widowControl w:val="0"/>
              <w:spacing w:before="80" w:after="80"/>
              <w:jc w:val="center"/>
              <w:rPr>
                <w:sz w:val="22"/>
              </w:rPr>
            </w:pPr>
            <w:r>
              <w:rPr>
                <w:sz w:val="22"/>
              </w:rPr>
              <w:t>3,8</w:t>
            </w:r>
          </w:p>
        </w:tc>
        <w:tc>
          <w:tcPr>
            <w:tcW w:w="1780" w:type="dxa"/>
            <w:vAlign w:val="center"/>
          </w:tcPr>
          <w:p w:rsidR="00000000" w:rsidRDefault="00000000">
            <w:pPr>
              <w:widowControl w:val="0"/>
              <w:spacing w:before="80" w:after="80"/>
              <w:jc w:val="center"/>
              <w:rPr>
                <w:sz w:val="22"/>
              </w:rPr>
            </w:pPr>
            <w:r>
              <w:rPr>
                <w:sz w:val="22"/>
              </w:rPr>
              <w:t>88%</w:t>
            </w:r>
          </w:p>
        </w:tc>
        <w:tc>
          <w:tcPr>
            <w:tcW w:w="1780" w:type="dxa"/>
            <w:vAlign w:val="center"/>
          </w:tcPr>
          <w:p w:rsidR="00000000" w:rsidRDefault="00000000">
            <w:pPr>
              <w:widowControl w:val="0"/>
              <w:spacing w:before="80" w:after="80"/>
              <w:jc w:val="center"/>
              <w:rPr>
                <w:sz w:val="22"/>
              </w:rPr>
            </w:pPr>
            <w:r>
              <w:rPr>
                <w:sz w:val="22"/>
              </w:rPr>
              <w:t>3,21</w:t>
            </w:r>
          </w:p>
        </w:tc>
        <w:tc>
          <w:tcPr>
            <w:tcW w:w="1780" w:type="dxa"/>
            <w:vAlign w:val="center"/>
          </w:tcPr>
          <w:p w:rsidR="00000000" w:rsidRDefault="00000000">
            <w:pPr>
              <w:widowControl w:val="0"/>
              <w:spacing w:before="80" w:after="80"/>
              <w:jc w:val="center"/>
              <w:rPr>
                <w:sz w:val="22"/>
              </w:rPr>
            </w:pPr>
            <w:r>
              <w:rPr>
                <w:sz w:val="22"/>
              </w:rPr>
              <w:t>82,39%</w:t>
            </w:r>
          </w:p>
        </w:tc>
      </w:tr>
      <w:tr w:rsidR="00000000">
        <w:tblPrEx>
          <w:tblCellMar>
            <w:top w:w="0" w:type="dxa"/>
            <w:bottom w:w="0" w:type="dxa"/>
          </w:tblCellMar>
        </w:tblPrEx>
        <w:tc>
          <w:tcPr>
            <w:tcW w:w="2682" w:type="dxa"/>
            <w:vAlign w:val="center"/>
          </w:tcPr>
          <w:p w:rsidR="00000000" w:rsidRDefault="00000000">
            <w:pPr>
              <w:widowControl w:val="0"/>
              <w:spacing w:before="80" w:after="80"/>
              <w:jc w:val="both"/>
              <w:rPr>
                <w:sz w:val="22"/>
              </w:rPr>
            </w:pPr>
            <w:r>
              <w:rPr>
                <w:sz w:val="22"/>
              </w:rPr>
              <w:t>Pointe Noire</w:t>
            </w:r>
          </w:p>
        </w:tc>
        <w:tc>
          <w:tcPr>
            <w:tcW w:w="1779" w:type="dxa"/>
            <w:vAlign w:val="center"/>
          </w:tcPr>
          <w:p w:rsidR="00000000" w:rsidRDefault="00000000">
            <w:pPr>
              <w:widowControl w:val="0"/>
              <w:spacing w:before="80" w:after="80"/>
              <w:jc w:val="center"/>
              <w:rPr>
                <w:sz w:val="22"/>
              </w:rPr>
            </w:pPr>
            <w:r>
              <w:rPr>
                <w:sz w:val="22"/>
              </w:rPr>
              <w:t>3,5</w:t>
            </w:r>
          </w:p>
        </w:tc>
        <w:tc>
          <w:tcPr>
            <w:tcW w:w="1780" w:type="dxa"/>
            <w:vAlign w:val="center"/>
          </w:tcPr>
          <w:p w:rsidR="00000000" w:rsidRDefault="00000000">
            <w:pPr>
              <w:widowControl w:val="0"/>
              <w:spacing w:before="80" w:after="80"/>
              <w:jc w:val="center"/>
              <w:rPr>
                <w:sz w:val="22"/>
              </w:rPr>
            </w:pPr>
            <w:r>
              <w:rPr>
                <w:sz w:val="22"/>
              </w:rPr>
              <w:t>96%</w:t>
            </w:r>
          </w:p>
        </w:tc>
        <w:tc>
          <w:tcPr>
            <w:tcW w:w="1780" w:type="dxa"/>
            <w:vAlign w:val="center"/>
          </w:tcPr>
          <w:p w:rsidR="00000000" w:rsidRDefault="00000000">
            <w:pPr>
              <w:widowControl w:val="0"/>
              <w:spacing w:before="80" w:after="80"/>
              <w:jc w:val="center"/>
              <w:rPr>
                <w:sz w:val="22"/>
              </w:rPr>
            </w:pPr>
            <w:r>
              <w:rPr>
                <w:sz w:val="22"/>
              </w:rPr>
              <w:t>3,92</w:t>
            </w:r>
          </w:p>
        </w:tc>
        <w:tc>
          <w:tcPr>
            <w:tcW w:w="1780" w:type="dxa"/>
            <w:vAlign w:val="center"/>
          </w:tcPr>
          <w:p w:rsidR="00000000" w:rsidRDefault="00000000">
            <w:pPr>
              <w:widowControl w:val="0"/>
              <w:spacing w:before="80" w:after="80"/>
              <w:jc w:val="center"/>
              <w:rPr>
                <w:sz w:val="22"/>
              </w:rPr>
            </w:pPr>
            <w:r>
              <w:rPr>
                <w:sz w:val="22"/>
              </w:rPr>
              <w:t>88,92%</w:t>
            </w:r>
          </w:p>
        </w:tc>
      </w:tr>
      <w:tr w:rsidR="00000000">
        <w:tblPrEx>
          <w:tblCellMar>
            <w:top w:w="0" w:type="dxa"/>
            <w:bottom w:w="0" w:type="dxa"/>
          </w:tblCellMar>
        </w:tblPrEx>
        <w:tc>
          <w:tcPr>
            <w:tcW w:w="2682" w:type="dxa"/>
            <w:vAlign w:val="center"/>
          </w:tcPr>
          <w:p w:rsidR="00000000" w:rsidRDefault="00000000">
            <w:pPr>
              <w:widowControl w:val="0"/>
              <w:spacing w:before="80" w:after="80"/>
              <w:jc w:val="both"/>
              <w:rPr>
                <w:sz w:val="22"/>
              </w:rPr>
            </w:pPr>
            <w:r>
              <w:rPr>
                <w:sz w:val="22"/>
              </w:rPr>
              <w:t>Centres secondaires</w:t>
            </w:r>
          </w:p>
        </w:tc>
        <w:tc>
          <w:tcPr>
            <w:tcW w:w="1779" w:type="dxa"/>
            <w:vAlign w:val="center"/>
          </w:tcPr>
          <w:p w:rsidR="00000000" w:rsidRDefault="00000000">
            <w:pPr>
              <w:widowControl w:val="0"/>
              <w:spacing w:before="80" w:after="80"/>
              <w:jc w:val="center"/>
              <w:rPr>
                <w:sz w:val="22"/>
              </w:rPr>
            </w:pPr>
            <w:r>
              <w:rPr>
                <w:sz w:val="22"/>
              </w:rPr>
              <w:t>3,6</w:t>
            </w:r>
          </w:p>
        </w:tc>
        <w:tc>
          <w:tcPr>
            <w:tcW w:w="1780" w:type="dxa"/>
            <w:vAlign w:val="center"/>
          </w:tcPr>
          <w:p w:rsidR="00000000" w:rsidRDefault="00000000">
            <w:pPr>
              <w:widowControl w:val="0"/>
              <w:spacing w:before="80" w:after="80"/>
              <w:jc w:val="center"/>
              <w:rPr>
                <w:sz w:val="22"/>
              </w:rPr>
            </w:pPr>
            <w:r>
              <w:rPr>
                <w:sz w:val="22"/>
              </w:rPr>
              <w:t>87%</w:t>
            </w:r>
          </w:p>
        </w:tc>
        <w:tc>
          <w:tcPr>
            <w:tcW w:w="1780" w:type="dxa"/>
            <w:vAlign w:val="center"/>
          </w:tcPr>
          <w:p w:rsidR="00000000" w:rsidRDefault="00000000">
            <w:pPr>
              <w:widowControl w:val="0"/>
              <w:spacing w:before="80" w:after="80"/>
              <w:jc w:val="center"/>
              <w:rPr>
                <w:sz w:val="22"/>
              </w:rPr>
            </w:pPr>
            <w:r>
              <w:rPr>
                <w:sz w:val="22"/>
              </w:rPr>
              <w:t>-----</w:t>
            </w:r>
          </w:p>
        </w:tc>
        <w:tc>
          <w:tcPr>
            <w:tcW w:w="1780" w:type="dxa"/>
            <w:vAlign w:val="center"/>
          </w:tcPr>
          <w:p w:rsidR="00000000" w:rsidRDefault="00000000">
            <w:pPr>
              <w:widowControl w:val="0"/>
              <w:spacing w:before="80" w:after="80"/>
              <w:jc w:val="center"/>
              <w:rPr>
                <w:sz w:val="22"/>
              </w:rPr>
            </w:pPr>
            <w:r>
              <w:rPr>
                <w:sz w:val="22"/>
              </w:rPr>
              <w:t>-----</w:t>
            </w:r>
          </w:p>
        </w:tc>
      </w:tr>
      <w:tr w:rsidR="00000000">
        <w:tblPrEx>
          <w:tblCellMar>
            <w:top w:w="0" w:type="dxa"/>
            <w:bottom w:w="0" w:type="dxa"/>
          </w:tblCellMar>
        </w:tblPrEx>
        <w:tc>
          <w:tcPr>
            <w:tcW w:w="2682" w:type="dxa"/>
            <w:vAlign w:val="center"/>
          </w:tcPr>
          <w:p w:rsidR="00000000" w:rsidRDefault="00000000">
            <w:pPr>
              <w:widowControl w:val="0"/>
              <w:spacing w:before="80" w:after="80"/>
              <w:jc w:val="both"/>
              <w:rPr>
                <w:sz w:val="22"/>
              </w:rPr>
            </w:pPr>
            <w:r>
              <w:rPr>
                <w:sz w:val="22"/>
              </w:rPr>
              <w:t>Zones rurales</w:t>
            </w:r>
          </w:p>
        </w:tc>
        <w:tc>
          <w:tcPr>
            <w:tcW w:w="1779" w:type="dxa"/>
            <w:vAlign w:val="center"/>
          </w:tcPr>
          <w:p w:rsidR="00000000" w:rsidRDefault="00000000">
            <w:pPr>
              <w:widowControl w:val="0"/>
              <w:spacing w:before="80" w:after="80"/>
              <w:jc w:val="center"/>
              <w:rPr>
                <w:sz w:val="22"/>
              </w:rPr>
            </w:pPr>
            <w:r>
              <w:rPr>
                <w:sz w:val="22"/>
              </w:rPr>
              <w:t>2,9</w:t>
            </w:r>
          </w:p>
        </w:tc>
        <w:tc>
          <w:tcPr>
            <w:tcW w:w="1780" w:type="dxa"/>
            <w:vAlign w:val="center"/>
          </w:tcPr>
          <w:p w:rsidR="00000000" w:rsidRDefault="00000000">
            <w:pPr>
              <w:widowControl w:val="0"/>
              <w:spacing w:before="80" w:after="80"/>
              <w:jc w:val="center"/>
              <w:rPr>
                <w:sz w:val="22"/>
              </w:rPr>
            </w:pPr>
            <w:r>
              <w:rPr>
                <w:sz w:val="22"/>
              </w:rPr>
              <w:t>77%</w:t>
            </w:r>
          </w:p>
        </w:tc>
        <w:tc>
          <w:tcPr>
            <w:tcW w:w="1780" w:type="dxa"/>
            <w:vAlign w:val="center"/>
          </w:tcPr>
          <w:p w:rsidR="00000000" w:rsidRDefault="00000000">
            <w:pPr>
              <w:widowControl w:val="0"/>
              <w:spacing w:before="80" w:after="80"/>
              <w:jc w:val="center"/>
              <w:rPr>
                <w:sz w:val="22"/>
              </w:rPr>
            </w:pPr>
            <w:r>
              <w:rPr>
                <w:sz w:val="22"/>
              </w:rPr>
              <w:t>-----</w:t>
            </w:r>
          </w:p>
        </w:tc>
        <w:tc>
          <w:tcPr>
            <w:tcW w:w="1780" w:type="dxa"/>
            <w:vAlign w:val="center"/>
          </w:tcPr>
          <w:p w:rsidR="00000000" w:rsidRDefault="00000000">
            <w:pPr>
              <w:widowControl w:val="0"/>
              <w:spacing w:before="80" w:after="80"/>
              <w:jc w:val="center"/>
              <w:rPr>
                <w:sz w:val="22"/>
              </w:rPr>
            </w:pPr>
            <w:r>
              <w:rPr>
                <w:sz w:val="22"/>
              </w:rPr>
              <w:t>----</w:t>
            </w:r>
          </w:p>
        </w:tc>
      </w:tr>
      <w:tr w:rsidR="00000000">
        <w:tblPrEx>
          <w:tblCellMar>
            <w:top w:w="0" w:type="dxa"/>
            <w:bottom w:w="0" w:type="dxa"/>
          </w:tblCellMar>
        </w:tblPrEx>
        <w:tc>
          <w:tcPr>
            <w:tcW w:w="2682" w:type="dxa"/>
            <w:vAlign w:val="center"/>
          </w:tcPr>
          <w:p w:rsidR="00000000" w:rsidRDefault="00000000">
            <w:pPr>
              <w:widowControl w:val="0"/>
              <w:spacing w:before="80" w:after="80"/>
              <w:jc w:val="both"/>
              <w:rPr>
                <w:sz w:val="22"/>
              </w:rPr>
            </w:pPr>
            <w:r>
              <w:rPr>
                <w:sz w:val="22"/>
              </w:rPr>
              <w:t>Moyenne</w:t>
            </w:r>
          </w:p>
        </w:tc>
        <w:tc>
          <w:tcPr>
            <w:tcW w:w="1779" w:type="dxa"/>
            <w:vAlign w:val="center"/>
          </w:tcPr>
          <w:p w:rsidR="00000000" w:rsidRDefault="00000000">
            <w:pPr>
              <w:widowControl w:val="0"/>
              <w:spacing w:before="80" w:after="80"/>
              <w:jc w:val="center"/>
              <w:rPr>
                <w:sz w:val="22"/>
              </w:rPr>
            </w:pPr>
            <w:r>
              <w:rPr>
                <w:sz w:val="22"/>
              </w:rPr>
              <w:t>3,4</w:t>
            </w:r>
          </w:p>
        </w:tc>
        <w:tc>
          <w:tcPr>
            <w:tcW w:w="1780" w:type="dxa"/>
            <w:vAlign w:val="center"/>
          </w:tcPr>
          <w:p w:rsidR="00000000" w:rsidRDefault="00000000">
            <w:pPr>
              <w:widowControl w:val="0"/>
              <w:spacing w:before="80" w:after="80"/>
              <w:jc w:val="center"/>
              <w:rPr>
                <w:sz w:val="22"/>
              </w:rPr>
            </w:pPr>
            <w:r>
              <w:rPr>
                <w:sz w:val="22"/>
              </w:rPr>
              <w:t>81%</w:t>
            </w:r>
          </w:p>
        </w:tc>
        <w:tc>
          <w:tcPr>
            <w:tcW w:w="1780" w:type="dxa"/>
            <w:vAlign w:val="center"/>
          </w:tcPr>
          <w:p w:rsidR="00000000" w:rsidRDefault="00000000">
            <w:pPr>
              <w:widowControl w:val="0"/>
              <w:spacing w:before="80" w:after="80"/>
              <w:jc w:val="center"/>
              <w:rPr>
                <w:sz w:val="22"/>
              </w:rPr>
            </w:pPr>
            <w:r>
              <w:rPr>
                <w:sz w:val="22"/>
              </w:rPr>
              <w:t>3,56</w:t>
            </w:r>
          </w:p>
        </w:tc>
        <w:tc>
          <w:tcPr>
            <w:tcW w:w="1780" w:type="dxa"/>
            <w:vAlign w:val="center"/>
          </w:tcPr>
          <w:p w:rsidR="00000000" w:rsidRDefault="00000000">
            <w:pPr>
              <w:widowControl w:val="0"/>
              <w:spacing w:before="80" w:after="80"/>
              <w:jc w:val="center"/>
              <w:rPr>
                <w:sz w:val="22"/>
              </w:rPr>
            </w:pPr>
            <w:r>
              <w:rPr>
                <w:sz w:val="22"/>
              </w:rPr>
              <w:t>85,65%</w:t>
            </w:r>
          </w:p>
        </w:tc>
      </w:tr>
    </w:tbl>
    <w:p w:rsidR="00000000" w:rsidRDefault="00000000">
      <w:pPr>
        <w:widowControl w:val="0"/>
        <w:spacing w:before="120" w:after="120"/>
        <w:ind w:left="57"/>
        <w:jc w:val="both"/>
        <w:rPr>
          <w:i/>
          <w:sz w:val="22"/>
        </w:rPr>
      </w:pPr>
      <w:r>
        <w:rPr>
          <w:i/>
          <w:sz w:val="22"/>
          <w:u w:val="single"/>
        </w:rPr>
        <w:t>Source</w:t>
      </w:r>
      <w:r>
        <w:rPr>
          <w:i/>
          <w:sz w:val="22"/>
        </w:rPr>
        <w:t> : (rapport  d'enquête MSR-DSF, 1999)</w:t>
      </w:r>
    </w:p>
    <w:p w:rsidR="00000000" w:rsidRDefault="00000000">
      <w:pPr>
        <w:widowControl w:val="0"/>
        <w:spacing w:before="120" w:after="120"/>
        <w:ind w:left="57"/>
        <w:jc w:val="both"/>
        <w:rPr>
          <w:sz w:val="22"/>
        </w:rPr>
      </w:pPr>
      <w:r>
        <w:rPr>
          <w:sz w:val="22"/>
        </w:rPr>
        <w:t>Etant donné que le début du suivi prénatal est tardif, le nombre minimum de CPN obligatoire qu'une femme peut effectuer est alors de 2 ( au sixième et huitième mois de grossesse). Le taux de femmes qui ont effectué au moins 2 CPN est de 82,39% à Brazzaville et 88,92% à Pointe Noire.</w:t>
      </w:r>
    </w:p>
    <w:p w:rsidR="00000000" w:rsidRDefault="00000000">
      <w:pPr>
        <w:widowControl w:val="0"/>
        <w:spacing w:before="120" w:after="120"/>
        <w:ind w:left="57"/>
        <w:jc w:val="both"/>
        <w:rPr>
          <w:sz w:val="22"/>
        </w:rPr>
      </w:pPr>
      <w:r>
        <w:rPr>
          <w:sz w:val="22"/>
        </w:rPr>
        <w:t xml:space="preserve">Bien que ces taux soient relativement élevés, ils cachent des disparités et sont en diminution par rapport à ceux observés en 1992 dans ces deux villes (analyse de la situation des femmes et des enfants, 1992). Cela montre que la proportion de mères mal suivies est en augmentation. Cette tendance au relâchement du suivi prénatal pourrait être plus marquée dans les zones rurales, déjà défavorisées par rapport aux villes, où les taux de femmes suivies étaient déjà bas. </w:t>
      </w:r>
    </w:p>
    <w:p w:rsidR="00000000" w:rsidRDefault="00000000">
      <w:pPr>
        <w:pStyle w:val="Heading1"/>
        <w:keepNext w:val="0"/>
        <w:widowControl w:val="0"/>
        <w:tabs>
          <w:tab w:val="num" w:pos="615"/>
        </w:tabs>
        <w:spacing w:before="80" w:after="120"/>
        <w:jc w:val="both"/>
      </w:pPr>
      <w:r>
        <w:t xml:space="preserve">- </w:t>
      </w:r>
      <w:r>
        <w:rPr>
          <w:u w:val="single"/>
        </w:rPr>
        <w:t>Couverture antitétanique</w:t>
      </w:r>
    </w:p>
    <w:p w:rsidR="00000000" w:rsidRDefault="00000000">
      <w:pPr>
        <w:pStyle w:val="BodyTextIndent"/>
        <w:widowControl w:val="0"/>
        <w:spacing w:before="80" w:after="120"/>
        <w:ind w:firstLine="0"/>
        <w:jc w:val="both"/>
        <w:rPr>
          <w:sz w:val="22"/>
        </w:rPr>
      </w:pPr>
      <w:r>
        <w:rPr>
          <w:sz w:val="22"/>
        </w:rPr>
        <w:t xml:space="preserve">La vaccination antitétanique fait partie des soins préventifs qui sont dispensés aux femmes enceintes. Au cours de la grossesse, la femme doit recevoir deux doses de vaccin à un mois d'intervalle puis trois doses de rappel lui seront administrées à une année d'intervalle. </w:t>
      </w:r>
    </w:p>
    <w:p w:rsidR="00000000" w:rsidRDefault="00000000">
      <w:pPr>
        <w:pStyle w:val="BodyTextIndent"/>
        <w:widowControl w:val="0"/>
        <w:spacing w:before="80" w:after="120"/>
        <w:ind w:firstLine="0"/>
        <w:rPr>
          <w:b/>
          <w:sz w:val="22"/>
        </w:rPr>
      </w:pPr>
      <w:r>
        <w:rPr>
          <w:b/>
          <w:sz w:val="22"/>
          <w:u w:val="single"/>
        </w:rPr>
        <w:t>Tableau n° 73</w:t>
      </w:r>
      <w:r>
        <w:rPr>
          <w:b/>
          <w:sz w:val="22"/>
        </w:rPr>
        <w:t xml:space="preserve"> : Répartition des femmes vaccinées au cours de la grossesse </w:t>
      </w:r>
    </w:p>
    <w:tbl>
      <w:tblPr>
        <w:tblW w:w="0" w:type="auto"/>
        <w:tblInd w:w="66" w:type="dxa"/>
        <w:tblLayout w:type="fixed"/>
        <w:tblCellMar>
          <w:left w:w="30" w:type="dxa"/>
          <w:right w:w="30" w:type="dxa"/>
        </w:tblCellMar>
        <w:tblLook w:val="0000" w:firstRow="0" w:lastRow="0" w:firstColumn="0" w:lastColumn="0" w:noHBand="0" w:noVBand="0"/>
      </w:tblPr>
      <w:tblGrid>
        <w:gridCol w:w="1960"/>
        <w:gridCol w:w="1960"/>
        <w:gridCol w:w="1960"/>
        <w:gridCol w:w="1960"/>
        <w:gridCol w:w="1961"/>
      </w:tblGrid>
      <w:tr w:rsidR="00000000">
        <w:tblPrEx>
          <w:tblCellMar>
            <w:top w:w="0" w:type="dxa"/>
            <w:bottom w:w="0" w:type="dxa"/>
          </w:tblCellMar>
        </w:tblPrEx>
        <w:trPr>
          <w:trHeight w:val="247"/>
        </w:trPr>
        <w:tc>
          <w:tcPr>
            <w:tcW w:w="19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spacing w:before="80" w:after="120"/>
              <w:jc w:val="center"/>
              <w:rPr>
                <w:b/>
                <w:snapToGrid w:val="0"/>
                <w:color w:val="000000"/>
                <w:sz w:val="22"/>
              </w:rPr>
            </w:pPr>
            <w:r>
              <w:rPr>
                <w:b/>
                <w:snapToGrid w:val="0"/>
                <w:color w:val="000000"/>
                <w:sz w:val="22"/>
              </w:rPr>
              <w:t>Ville</w:t>
            </w:r>
          </w:p>
        </w:tc>
        <w:tc>
          <w:tcPr>
            <w:tcW w:w="19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spacing w:before="80" w:after="120"/>
              <w:jc w:val="center"/>
              <w:rPr>
                <w:b/>
                <w:snapToGrid w:val="0"/>
                <w:color w:val="000000"/>
                <w:sz w:val="22"/>
              </w:rPr>
            </w:pPr>
            <w:r>
              <w:rPr>
                <w:b/>
                <w:snapToGrid w:val="0"/>
                <w:color w:val="000000"/>
                <w:sz w:val="22"/>
              </w:rPr>
              <w:t>Non vaccinées</w:t>
            </w:r>
          </w:p>
        </w:tc>
        <w:tc>
          <w:tcPr>
            <w:tcW w:w="19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spacing w:before="80" w:after="120"/>
              <w:jc w:val="center"/>
              <w:rPr>
                <w:b/>
                <w:snapToGrid w:val="0"/>
                <w:color w:val="000000"/>
                <w:sz w:val="22"/>
              </w:rPr>
            </w:pPr>
            <w:r>
              <w:rPr>
                <w:b/>
                <w:snapToGrid w:val="0"/>
                <w:color w:val="000000"/>
                <w:sz w:val="22"/>
              </w:rPr>
              <w:t>1dose</w:t>
            </w:r>
          </w:p>
        </w:tc>
        <w:tc>
          <w:tcPr>
            <w:tcW w:w="19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spacing w:before="80" w:after="120"/>
              <w:jc w:val="center"/>
              <w:rPr>
                <w:b/>
                <w:snapToGrid w:val="0"/>
                <w:color w:val="000000"/>
                <w:sz w:val="22"/>
              </w:rPr>
            </w:pPr>
            <w:r>
              <w:rPr>
                <w:b/>
                <w:snapToGrid w:val="0"/>
                <w:color w:val="000000"/>
                <w:sz w:val="22"/>
              </w:rPr>
              <w:t>2 doses</w:t>
            </w:r>
          </w:p>
        </w:tc>
        <w:tc>
          <w:tcPr>
            <w:tcW w:w="1961" w:type="dxa"/>
            <w:tcBorders>
              <w:top w:val="single" w:sz="6" w:space="0" w:color="000000"/>
              <w:bottom w:val="single" w:sz="6" w:space="0" w:color="000000"/>
              <w:right w:val="single" w:sz="6" w:space="0" w:color="000000"/>
            </w:tcBorders>
          </w:tcPr>
          <w:p w:rsidR="00000000" w:rsidRDefault="00000000">
            <w:pPr>
              <w:widowControl w:val="0"/>
              <w:spacing w:before="80" w:after="120"/>
              <w:jc w:val="center"/>
              <w:rPr>
                <w:b/>
                <w:snapToGrid w:val="0"/>
                <w:color w:val="000000"/>
                <w:sz w:val="22"/>
              </w:rPr>
            </w:pPr>
            <w:r>
              <w:rPr>
                <w:b/>
                <w:snapToGrid w:val="0"/>
                <w:color w:val="000000"/>
                <w:sz w:val="22"/>
              </w:rPr>
              <w:t>Total</w:t>
            </w:r>
          </w:p>
        </w:tc>
      </w:tr>
      <w:tr w:rsidR="00000000">
        <w:tblPrEx>
          <w:tblCellMar>
            <w:top w:w="0" w:type="dxa"/>
            <w:bottom w:w="0" w:type="dxa"/>
          </w:tblCellMar>
        </w:tblPrEx>
        <w:trPr>
          <w:trHeight w:val="247"/>
        </w:trPr>
        <w:tc>
          <w:tcPr>
            <w:tcW w:w="19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spacing w:before="80" w:after="120"/>
              <w:rPr>
                <w:b/>
                <w:snapToGrid w:val="0"/>
                <w:color w:val="000000"/>
                <w:sz w:val="22"/>
              </w:rPr>
            </w:pPr>
            <w:r>
              <w:rPr>
                <w:b/>
                <w:snapToGrid w:val="0"/>
                <w:color w:val="000000"/>
                <w:sz w:val="22"/>
              </w:rPr>
              <w:t>Brazzaville</w:t>
            </w:r>
          </w:p>
        </w:tc>
        <w:tc>
          <w:tcPr>
            <w:tcW w:w="19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spacing w:before="80" w:after="120"/>
              <w:jc w:val="center"/>
              <w:rPr>
                <w:snapToGrid w:val="0"/>
                <w:color w:val="000000"/>
                <w:sz w:val="22"/>
              </w:rPr>
            </w:pPr>
            <w:r>
              <w:rPr>
                <w:snapToGrid w:val="0"/>
                <w:color w:val="000000"/>
                <w:sz w:val="22"/>
              </w:rPr>
              <w:t>126 (18,64%)</w:t>
            </w:r>
          </w:p>
        </w:tc>
        <w:tc>
          <w:tcPr>
            <w:tcW w:w="19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spacing w:before="80" w:after="120"/>
              <w:jc w:val="center"/>
              <w:rPr>
                <w:snapToGrid w:val="0"/>
                <w:color w:val="000000"/>
                <w:sz w:val="22"/>
              </w:rPr>
            </w:pPr>
            <w:r>
              <w:rPr>
                <w:snapToGrid w:val="0"/>
                <w:color w:val="000000"/>
                <w:sz w:val="22"/>
              </w:rPr>
              <w:t>52 (7,69%)</w:t>
            </w:r>
          </w:p>
        </w:tc>
        <w:tc>
          <w:tcPr>
            <w:tcW w:w="19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spacing w:before="80" w:after="120"/>
              <w:jc w:val="center"/>
              <w:rPr>
                <w:snapToGrid w:val="0"/>
                <w:color w:val="000000"/>
                <w:sz w:val="22"/>
              </w:rPr>
            </w:pPr>
            <w:r>
              <w:rPr>
                <w:snapToGrid w:val="0"/>
                <w:color w:val="000000"/>
                <w:sz w:val="22"/>
              </w:rPr>
              <w:t>498 (73,67%)</w:t>
            </w:r>
          </w:p>
        </w:tc>
        <w:tc>
          <w:tcPr>
            <w:tcW w:w="1961" w:type="dxa"/>
            <w:tcBorders>
              <w:top w:val="single" w:sz="6" w:space="0" w:color="000000"/>
              <w:left w:val="single" w:sz="6" w:space="0" w:color="000000"/>
              <w:bottom w:val="single" w:sz="6" w:space="0" w:color="000000"/>
              <w:right w:val="single" w:sz="6" w:space="0" w:color="000000"/>
            </w:tcBorders>
          </w:tcPr>
          <w:p w:rsidR="00000000" w:rsidRDefault="00000000">
            <w:pPr>
              <w:widowControl w:val="0"/>
              <w:spacing w:before="80" w:after="120"/>
              <w:jc w:val="center"/>
              <w:rPr>
                <w:snapToGrid w:val="0"/>
                <w:color w:val="000000"/>
                <w:sz w:val="22"/>
              </w:rPr>
            </w:pPr>
            <w:r>
              <w:rPr>
                <w:snapToGrid w:val="0"/>
                <w:color w:val="000000"/>
                <w:sz w:val="22"/>
              </w:rPr>
              <w:t>676 (100%)</w:t>
            </w:r>
          </w:p>
        </w:tc>
      </w:tr>
      <w:tr w:rsidR="00000000">
        <w:tblPrEx>
          <w:tblCellMar>
            <w:top w:w="0" w:type="dxa"/>
            <w:bottom w:w="0" w:type="dxa"/>
          </w:tblCellMar>
        </w:tblPrEx>
        <w:trPr>
          <w:trHeight w:val="247"/>
        </w:trPr>
        <w:tc>
          <w:tcPr>
            <w:tcW w:w="19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spacing w:before="80" w:after="120"/>
              <w:rPr>
                <w:b/>
                <w:snapToGrid w:val="0"/>
                <w:color w:val="000000"/>
                <w:sz w:val="22"/>
              </w:rPr>
            </w:pPr>
            <w:r>
              <w:rPr>
                <w:b/>
                <w:snapToGrid w:val="0"/>
                <w:color w:val="000000"/>
                <w:sz w:val="22"/>
              </w:rPr>
              <w:t>Pointe Noire</w:t>
            </w:r>
          </w:p>
        </w:tc>
        <w:tc>
          <w:tcPr>
            <w:tcW w:w="19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spacing w:before="80" w:after="120"/>
              <w:jc w:val="center"/>
              <w:rPr>
                <w:snapToGrid w:val="0"/>
                <w:color w:val="000000"/>
                <w:sz w:val="22"/>
              </w:rPr>
            </w:pPr>
            <w:r>
              <w:rPr>
                <w:snapToGrid w:val="0"/>
                <w:color w:val="000000"/>
                <w:sz w:val="22"/>
              </w:rPr>
              <w:t>66 (11,60%)</w:t>
            </w:r>
          </w:p>
        </w:tc>
        <w:tc>
          <w:tcPr>
            <w:tcW w:w="19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spacing w:before="80" w:after="120"/>
              <w:jc w:val="center"/>
              <w:rPr>
                <w:snapToGrid w:val="0"/>
                <w:color w:val="000000"/>
                <w:sz w:val="22"/>
              </w:rPr>
            </w:pPr>
            <w:r>
              <w:rPr>
                <w:snapToGrid w:val="0"/>
                <w:color w:val="000000"/>
                <w:sz w:val="22"/>
              </w:rPr>
              <w:t>70 (12,30%)</w:t>
            </w:r>
          </w:p>
        </w:tc>
        <w:tc>
          <w:tcPr>
            <w:tcW w:w="19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spacing w:before="80" w:after="120"/>
              <w:jc w:val="center"/>
              <w:rPr>
                <w:snapToGrid w:val="0"/>
                <w:color w:val="000000"/>
                <w:sz w:val="22"/>
              </w:rPr>
            </w:pPr>
            <w:r>
              <w:rPr>
                <w:snapToGrid w:val="0"/>
                <w:color w:val="000000"/>
                <w:sz w:val="22"/>
              </w:rPr>
              <w:t>433 (76,10%)</w:t>
            </w:r>
          </w:p>
        </w:tc>
        <w:tc>
          <w:tcPr>
            <w:tcW w:w="1961" w:type="dxa"/>
            <w:tcBorders>
              <w:top w:val="single" w:sz="6" w:space="0" w:color="000000"/>
              <w:left w:val="single" w:sz="6" w:space="0" w:color="000000"/>
              <w:bottom w:val="single" w:sz="6" w:space="0" w:color="000000"/>
              <w:right w:val="single" w:sz="6" w:space="0" w:color="000000"/>
            </w:tcBorders>
          </w:tcPr>
          <w:p w:rsidR="00000000" w:rsidRDefault="00000000">
            <w:pPr>
              <w:widowControl w:val="0"/>
              <w:spacing w:before="80" w:after="120"/>
              <w:jc w:val="center"/>
              <w:rPr>
                <w:snapToGrid w:val="0"/>
                <w:color w:val="000000"/>
                <w:sz w:val="22"/>
              </w:rPr>
            </w:pPr>
            <w:r>
              <w:rPr>
                <w:snapToGrid w:val="0"/>
                <w:color w:val="000000"/>
                <w:sz w:val="22"/>
              </w:rPr>
              <w:t>569 (100%)</w:t>
            </w:r>
          </w:p>
        </w:tc>
      </w:tr>
      <w:tr w:rsidR="00000000">
        <w:tblPrEx>
          <w:tblCellMar>
            <w:top w:w="0" w:type="dxa"/>
            <w:bottom w:w="0" w:type="dxa"/>
          </w:tblCellMar>
        </w:tblPrEx>
        <w:trPr>
          <w:trHeight w:val="247"/>
        </w:trPr>
        <w:tc>
          <w:tcPr>
            <w:tcW w:w="19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spacing w:before="80" w:after="120"/>
              <w:rPr>
                <w:b/>
                <w:snapToGrid w:val="0"/>
                <w:color w:val="000000"/>
                <w:sz w:val="22"/>
              </w:rPr>
            </w:pPr>
            <w:r>
              <w:rPr>
                <w:sz w:val="22"/>
              </w:rPr>
              <w:t>Moyenne</w:t>
            </w:r>
          </w:p>
        </w:tc>
        <w:tc>
          <w:tcPr>
            <w:tcW w:w="19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spacing w:before="80" w:after="120"/>
              <w:jc w:val="center"/>
              <w:rPr>
                <w:snapToGrid w:val="0"/>
                <w:color w:val="000000"/>
                <w:sz w:val="22"/>
              </w:rPr>
            </w:pPr>
            <w:r>
              <w:rPr>
                <w:snapToGrid w:val="0"/>
                <w:color w:val="000000"/>
                <w:sz w:val="22"/>
              </w:rPr>
              <w:t>15,12%</w:t>
            </w:r>
          </w:p>
        </w:tc>
        <w:tc>
          <w:tcPr>
            <w:tcW w:w="19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spacing w:before="80" w:after="120"/>
              <w:jc w:val="center"/>
              <w:rPr>
                <w:snapToGrid w:val="0"/>
                <w:color w:val="000000"/>
                <w:sz w:val="22"/>
              </w:rPr>
            </w:pPr>
            <w:r>
              <w:rPr>
                <w:snapToGrid w:val="0"/>
                <w:color w:val="000000"/>
                <w:sz w:val="22"/>
              </w:rPr>
              <w:t>10%</w:t>
            </w:r>
          </w:p>
        </w:tc>
        <w:tc>
          <w:tcPr>
            <w:tcW w:w="1960" w:type="dxa"/>
            <w:tcBorders>
              <w:top w:val="single" w:sz="6" w:space="0" w:color="000000"/>
              <w:left w:val="single" w:sz="6" w:space="0" w:color="000000"/>
              <w:bottom w:val="single" w:sz="6" w:space="0" w:color="000000"/>
              <w:right w:val="single" w:sz="6" w:space="0" w:color="000000"/>
            </w:tcBorders>
          </w:tcPr>
          <w:p w:rsidR="00000000" w:rsidRDefault="00000000">
            <w:pPr>
              <w:widowControl w:val="0"/>
              <w:spacing w:before="80" w:after="120"/>
              <w:jc w:val="center"/>
              <w:rPr>
                <w:snapToGrid w:val="0"/>
                <w:color w:val="000000"/>
                <w:sz w:val="22"/>
              </w:rPr>
            </w:pPr>
            <w:r>
              <w:rPr>
                <w:snapToGrid w:val="0"/>
                <w:color w:val="000000"/>
                <w:sz w:val="22"/>
              </w:rPr>
              <w:t>74,88%</w:t>
            </w:r>
          </w:p>
        </w:tc>
        <w:tc>
          <w:tcPr>
            <w:tcW w:w="1961" w:type="dxa"/>
            <w:tcBorders>
              <w:top w:val="single" w:sz="6" w:space="0" w:color="000000"/>
              <w:left w:val="single" w:sz="6" w:space="0" w:color="000000"/>
              <w:bottom w:val="single" w:sz="6" w:space="0" w:color="000000"/>
              <w:right w:val="single" w:sz="6" w:space="0" w:color="000000"/>
            </w:tcBorders>
          </w:tcPr>
          <w:p w:rsidR="00000000" w:rsidRDefault="00000000">
            <w:pPr>
              <w:widowControl w:val="0"/>
              <w:spacing w:before="80" w:after="120"/>
              <w:jc w:val="center"/>
              <w:rPr>
                <w:snapToGrid w:val="0"/>
                <w:color w:val="000000"/>
                <w:sz w:val="22"/>
              </w:rPr>
            </w:pPr>
            <w:r>
              <w:rPr>
                <w:snapToGrid w:val="0"/>
                <w:color w:val="000000"/>
                <w:sz w:val="22"/>
              </w:rPr>
              <w:t>100%</w:t>
            </w:r>
          </w:p>
        </w:tc>
      </w:tr>
    </w:tbl>
    <w:p w:rsidR="00000000" w:rsidRDefault="00000000">
      <w:pPr>
        <w:widowControl w:val="0"/>
        <w:spacing w:before="80" w:after="120"/>
        <w:jc w:val="both"/>
        <w:rPr>
          <w:i/>
          <w:sz w:val="22"/>
        </w:rPr>
      </w:pPr>
      <w:r>
        <w:rPr>
          <w:i/>
          <w:sz w:val="22"/>
          <w:u w:val="single"/>
        </w:rPr>
        <w:t>Source</w:t>
      </w:r>
      <w:r>
        <w:rPr>
          <w:i/>
          <w:sz w:val="22"/>
        </w:rPr>
        <w:t> : (rapport  d'enquête MSR-DSF, 1999)</w:t>
      </w:r>
    </w:p>
    <w:p w:rsidR="00000000" w:rsidRDefault="00000000">
      <w:pPr>
        <w:widowControl w:val="0"/>
        <w:spacing w:before="80" w:after="120"/>
        <w:jc w:val="both"/>
        <w:rPr>
          <w:sz w:val="22"/>
        </w:rPr>
      </w:pPr>
      <w:r>
        <w:rPr>
          <w:sz w:val="22"/>
        </w:rPr>
        <w:t>La plupart des mères ont été immunisées au cours de la grossesse : 73,67</w:t>
      </w:r>
      <w:r>
        <w:rPr>
          <w:sz w:val="22"/>
        </w:rPr>
        <w:sym w:font="Symbol" w:char="F025"/>
      </w:r>
      <w:r>
        <w:rPr>
          <w:sz w:val="22"/>
        </w:rPr>
        <w:t xml:space="preserve"> à Brazzaville et 76,10</w:t>
      </w:r>
      <w:r>
        <w:rPr>
          <w:sz w:val="22"/>
        </w:rPr>
        <w:sym w:font="Symbol" w:char="F025"/>
      </w:r>
      <w:r>
        <w:rPr>
          <w:sz w:val="22"/>
        </w:rPr>
        <w:t xml:space="preserve"> à Pointe Noire. Cependant, une proportion non négligeable de mères échappe à la vaccination antitétanique : ce sont en particulier celles qui n'ont pas été suivies de façon adéquate au cours de la grossesse.</w:t>
      </w:r>
    </w:p>
    <w:p w:rsidR="00000000" w:rsidRDefault="00000000">
      <w:pPr>
        <w:pStyle w:val="Heading1"/>
        <w:keepNext w:val="0"/>
        <w:widowControl w:val="0"/>
        <w:spacing w:before="80" w:after="120"/>
        <w:ind w:left="57"/>
        <w:jc w:val="both"/>
        <w:rPr>
          <w:u w:val="single"/>
        </w:rPr>
      </w:pPr>
      <w:r>
        <w:t xml:space="preserve">D - </w:t>
      </w:r>
      <w:r>
        <w:rPr>
          <w:u w:val="single"/>
        </w:rPr>
        <w:t>Le lieu d'accouchement</w:t>
      </w:r>
    </w:p>
    <w:p w:rsidR="00000000" w:rsidRDefault="00000000">
      <w:pPr>
        <w:widowControl w:val="0"/>
        <w:spacing w:before="80" w:after="120"/>
        <w:ind w:left="57"/>
        <w:jc w:val="both"/>
        <w:rPr>
          <w:sz w:val="22"/>
        </w:rPr>
      </w:pPr>
      <w:r>
        <w:rPr>
          <w:sz w:val="22"/>
        </w:rPr>
        <w:t>L'accouchement en milieu médical est recommandé aux femmes enceintes par le système de santé. Il doit être pratiqué dans une maternité ou dans un centre de santé intégré à paquet minimum d'activité élargi ; c'est à dire équipé en matériel adéquat en présence d'un agent de santé formé.</w:t>
      </w:r>
    </w:p>
    <w:p w:rsidR="00000000" w:rsidRDefault="00000000">
      <w:pPr>
        <w:spacing w:before="80" w:after="120"/>
        <w:rPr>
          <w:b/>
          <w:sz w:val="22"/>
        </w:rPr>
      </w:pPr>
      <w:r>
        <w:rPr>
          <w:b/>
          <w:sz w:val="22"/>
          <w:u w:val="single"/>
        </w:rPr>
        <w:t>Figure 4</w:t>
      </w:r>
      <w:r>
        <w:rPr>
          <w:b/>
          <w:sz w:val="22"/>
        </w:rPr>
        <w:t xml:space="preserve"> : Répartition des accouchements selon le lieu (rapport  d'enquête MSR-DSF, 1999)</w:t>
      </w:r>
    </w:p>
    <w:p w:rsidR="00000000" w:rsidRDefault="00000000">
      <w:pPr>
        <w:spacing w:before="80" w:after="120" w:line="240" w:lineRule="auto"/>
        <w:jc w:val="center"/>
        <w:rPr>
          <w:sz w:val="22"/>
        </w:rPr>
      </w:pPr>
      <w:r>
        <w:rPr>
          <w:noProof/>
          <w:sz w:val="22"/>
        </w:rPr>
        <w:pict>
          <v:shape id="_x0000_s2055" type="#_x0000_t202" style="position:absolute;left:0;text-align:left;margin-left:375.25pt;margin-top:134.8pt;width:29pt;height:16pt;z-index:5" filled="f" stroked="f">
            <v:textbox style="mso-next-textbox:#_x0000_s2055" inset="0,0,0,0">
              <w:txbxContent>
                <w:p w:rsidR="00000000" w:rsidRDefault="00000000">
                  <w:r>
                    <w:t>(518)</w:t>
                  </w:r>
                </w:p>
              </w:txbxContent>
            </v:textbox>
          </v:shape>
        </w:pict>
      </w:r>
      <w:r>
        <w:rPr>
          <w:noProof/>
          <w:sz w:val="22"/>
        </w:rPr>
        <w:pict>
          <v:shape id="_x0000_s2053" type="#_x0000_t202" style="position:absolute;left:0;text-align:left;margin-left:337.5pt;margin-top:34.8pt;width:29pt;height:16pt;z-index:3" filled="f" stroked="f">
            <v:textbox style="mso-next-textbox:#_x0000_s2053" inset="0,0,0,0">
              <w:txbxContent>
                <w:p w:rsidR="00000000" w:rsidRDefault="00000000">
                  <w:r>
                    <w:t>(23)</w:t>
                  </w:r>
                </w:p>
              </w:txbxContent>
            </v:textbox>
          </v:shape>
        </w:pict>
      </w:r>
      <w:r>
        <w:rPr>
          <w:noProof/>
          <w:sz w:val="22"/>
        </w:rPr>
        <w:pict>
          <v:shape id="_x0000_s2054" type="#_x0000_t202" style="position:absolute;left:0;text-align:left;margin-left:267pt;margin-top:61.3pt;width:29pt;height:16pt;z-index:4" filled="f" stroked="f">
            <v:textbox style="mso-next-textbox:#_x0000_s2054" inset="0,0,0,0">
              <w:txbxContent>
                <w:p w:rsidR="00000000" w:rsidRDefault="00000000">
                  <w:pPr>
                    <w:jc w:val="right"/>
                  </w:pPr>
                  <w:r>
                    <w:t>(28)</w:t>
                  </w:r>
                </w:p>
              </w:txbxContent>
            </v:textbox>
          </v:shape>
        </w:pict>
      </w:r>
      <w:r>
        <w:rPr>
          <w:noProof/>
          <w:sz w:val="22"/>
        </w:rPr>
        <w:pict>
          <v:shape id="_x0000_s2058" type="#_x0000_t202" style="position:absolute;left:0;text-align:left;margin-left:175.15pt;margin-top:149.8pt;width:29pt;height:16pt;z-index:8" filled="f" stroked="f">
            <v:textbox style="mso-next-textbox:#_x0000_s2058" inset="0,0,0,0">
              <w:txbxContent>
                <w:p w:rsidR="00000000" w:rsidRDefault="00000000">
                  <w:r>
                    <w:t>(500)</w:t>
                  </w:r>
                </w:p>
              </w:txbxContent>
            </v:textbox>
          </v:shape>
        </w:pict>
      </w:r>
      <w:r>
        <w:rPr>
          <w:noProof/>
          <w:sz w:val="22"/>
        </w:rPr>
        <w:pict>
          <v:shape id="_x0000_s2057" type="#_x0000_t202" style="position:absolute;left:0;text-align:left;margin-left:78pt;margin-top:105.3pt;width:29pt;height:16pt;z-index:7" filled="f" stroked="f">
            <v:textbox style="mso-next-textbox:#_x0000_s2057" inset="0,0,0,0">
              <w:txbxContent>
                <w:p w:rsidR="00000000" w:rsidRDefault="00000000">
                  <w:pPr>
                    <w:jc w:val="center"/>
                  </w:pPr>
                  <w:r>
                    <w:t>(68)</w:t>
                  </w:r>
                </w:p>
              </w:txbxContent>
            </v:textbox>
          </v:shape>
        </w:pict>
      </w:r>
      <w:r>
        <w:rPr>
          <w:noProof/>
          <w:sz w:val="22"/>
        </w:rPr>
        <w:pict>
          <v:shape id="_x0000_s2056" type="#_x0000_t202" style="position:absolute;left:0;text-align:left;margin-left:141pt;margin-top:50.8pt;width:29pt;height:16pt;z-index:6" filled="f" stroked="f">
            <v:textbox style="mso-next-textbox:#_x0000_s2056" inset="0,0,0,0">
              <w:txbxContent>
                <w:p w:rsidR="00000000" w:rsidRDefault="00000000">
                  <w:r>
                    <w:t>(108)</w:t>
                  </w:r>
                </w:p>
              </w:txbxContent>
            </v:textbox>
          </v:shape>
        </w:pict>
      </w:r>
      <w:bookmarkStart w:id="1" w:name="_MON_1023799039"/>
      <w:bookmarkEnd w:id="1"/>
      <w:r>
        <w:rPr>
          <w:sz w:val="22"/>
        </w:rPr>
        <w:object w:dxaOrig="3855" w:dyaOrig="3869">
          <v:shape id="_x0000_i1026" type="#_x0000_t75" style="width:183pt;height:162.75pt" o:ole="" fillcolor="window">
            <v:imagedata r:id="rId15" o:title=""/>
          </v:shape>
          <o:OLEObject Type="Embed" ProgID="Excel.Sheet.8" ShapeID="_x0000_i1026" DrawAspect="Content" ObjectID="_1394540539" r:id="rId16"/>
        </w:object>
      </w:r>
      <w:r>
        <w:rPr>
          <w:sz w:val="22"/>
        </w:rPr>
        <w:object w:dxaOrig="4334" w:dyaOrig="4380">
          <v:shape id="_x0000_i1027" type="#_x0000_t75" style="width:190.5pt;height:174.75pt" o:ole="" fillcolor="window">
            <v:imagedata r:id="rId17" o:title=""/>
          </v:shape>
          <o:OLEObject Type="Embed" ProgID="Excel.Sheet.8" ShapeID="_x0000_i1027" DrawAspect="Content" ObjectID="_1394540540" r:id="rId18"/>
        </w:object>
      </w:r>
    </w:p>
    <w:p w:rsidR="00000000" w:rsidRDefault="00000000">
      <w:pPr>
        <w:pStyle w:val="BodyText3"/>
        <w:spacing w:before="80" w:after="120"/>
        <w:rPr>
          <w:sz w:val="22"/>
        </w:rPr>
      </w:pPr>
      <w:r>
        <w:rPr>
          <w:sz w:val="22"/>
        </w:rPr>
        <w:t>La majorité des accouchements ont lieu dans les maternités des hôpitaux publics : 91% à Pointe Noire et 74% à Brazzaville.</w:t>
      </w:r>
    </w:p>
    <w:p w:rsidR="00000000" w:rsidRDefault="00000000">
      <w:pPr>
        <w:widowControl w:val="0"/>
        <w:spacing w:before="80" w:after="120"/>
        <w:jc w:val="both"/>
        <w:rPr>
          <w:sz w:val="22"/>
        </w:rPr>
      </w:pPr>
      <w:r>
        <w:rPr>
          <w:sz w:val="22"/>
        </w:rPr>
        <w:t>La proportion élevée des accouchements dans les formations sanitaires privées à Brazzaville, s'explique par leur nombre plus important, mais aussi par les meilleures prestations selon les mères : accueil satisfaisant, disponibilité des médicaments, propreté des locaux, etc.</w:t>
      </w:r>
    </w:p>
    <w:p w:rsidR="00000000" w:rsidRDefault="00000000">
      <w:pPr>
        <w:widowControl w:val="0"/>
        <w:spacing w:before="80" w:after="120"/>
        <w:jc w:val="both"/>
        <w:rPr>
          <w:sz w:val="22"/>
        </w:rPr>
      </w:pPr>
      <w:r>
        <w:rPr>
          <w:sz w:val="22"/>
        </w:rPr>
        <w:t>Il faut noter également que de nombreuses mères non suivies préfèrent accoucher dans les structures  sanitaires privées parce qu'elles n'ont à payer que les frais d'accouchement, ce qui revient moins cher selon elles. Malheureusement, certaines d'entre elles ne sont pas agréées, cela peut exposer les utilisatrices à des pratiques dangereuses.</w:t>
      </w:r>
    </w:p>
    <w:p w:rsidR="00000000" w:rsidRDefault="00000000">
      <w:pPr>
        <w:spacing w:before="80" w:after="120"/>
        <w:jc w:val="both"/>
        <w:rPr>
          <w:sz w:val="22"/>
        </w:rPr>
      </w:pPr>
      <w:r>
        <w:rPr>
          <w:sz w:val="22"/>
        </w:rPr>
        <w:t>Les accouchements à domicile sont observés chez les mères aussi bien adolescentes que âgées. Ils concernent particulièrement les femmes démunies ou non suivies. Ceux-ci sont plus nombreux à Brazzaville où le taux qui est de 10%, se rapproche de la moyenne nationale observée en 1990, celle-ci était de 11% (cf enquête nationale de couverture vaccinale,1990).Cette augmentation peut être liée, soit à un changement de comportement des mères, soit à une réelle inaccessibilité physique des maternités. A Pointe Noire, par contre, le taux est de 5%.</w:t>
      </w:r>
    </w:p>
    <w:p w:rsidR="00000000" w:rsidRDefault="00000000">
      <w:pPr>
        <w:jc w:val="both"/>
        <w:rPr>
          <w:b/>
          <w:sz w:val="22"/>
        </w:rPr>
      </w:pPr>
    </w:p>
    <w:p w:rsidR="00000000" w:rsidRDefault="00000000">
      <w:pPr>
        <w:jc w:val="both"/>
        <w:rPr>
          <w:b/>
          <w:sz w:val="22"/>
          <w:u w:val="single"/>
        </w:rPr>
      </w:pPr>
      <w:r>
        <w:rPr>
          <w:b/>
          <w:sz w:val="22"/>
        </w:rPr>
        <w:t xml:space="preserve">E - </w:t>
      </w:r>
      <w:r>
        <w:rPr>
          <w:b/>
          <w:sz w:val="22"/>
          <w:u w:val="single"/>
        </w:rPr>
        <w:t>L'assistance aux accouchements</w:t>
      </w:r>
    </w:p>
    <w:p w:rsidR="00000000" w:rsidRDefault="00000000">
      <w:pPr>
        <w:spacing w:line="120" w:lineRule="exact"/>
        <w:rPr>
          <w:b/>
          <w:sz w:val="10"/>
          <w:u w:val="single"/>
        </w:rPr>
      </w:pPr>
    </w:p>
    <w:p w:rsidR="00000000" w:rsidRDefault="00000000">
      <w:pPr>
        <w:spacing w:before="80" w:after="120"/>
        <w:rPr>
          <w:b/>
          <w:sz w:val="22"/>
        </w:rPr>
      </w:pPr>
      <w:r>
        <w:rPr>
          <w:b/>
          <w:sz w:val="22"/>
          <w:u w:val="single"/>
        </w:rPr>
        <w:t>Tableau n° 74</w:t>
      </w:r>
      <w:r>
        <w:rPr>
          <w:b/>
          <w:sz w:val="22"/>
        </w:rPr>
        <w:t xml:space="preserve"> : Assistance aux accouchements selon le profil </w:t>
      </w:r>
    </w:p>
    <w:tbl>
      <w:tblPr>
        <w:tblW w:w="0" w:type="auto"/>
        <w:tblInd w:w="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0" w:type="dxa"/>
          <w:right w:w="30" w:type="dxa"/>
        </w:tblCellMar>
        <w:tblLook w:val="0000" w:firstRow="0" w:lastRow="0" w:firstColumn="0" w:lastColumn="0" w:noHBand="0" w:noVBand="0"/>
      </w:tblPr>
      <w:tblGrid>
        <w:gridCol w:w="1397"/>
        <w:gridCol w:w="1398"/>
        <w:gridCol w:w="1397"/>
        <w:gridCol w:w="1398"/>
        <w:gridCol w:w="1397"/>
        <w:gridCol w:w="1398"/>
        <w:gridCol w:w="1398"/>
      </w:tblGrid>
      <w:tr w:rsidR="00000000">
        <w:tblPrEx>
          <w:tblCellMar>
            <w:top w:w="0" w:type="dxa"/>
            <w:bottom w:w="0" w:type="dxa"/>
          </w:tblCellMar>
        </w:tblPrEx>
        <w:trPr>
          <w:trHeight w:val="247"/>
        </w:trPr>
        <w:tc>
          <w:tcPr>
            <w:tcW w:w="1397" w:type="dxa"/>
            <w:shd w:val="clear" w:color="C0C0C0" w:fill="auto"/>
          </w:tcPr>
          <w:p w:rsidR="00000000" w:rsidRDefault="00000000">
            <w:pPr>
              <w:spacing w:before="80" w:after="120"/>
              <w:jc w:val="center"/>
              <w:rPr>
                <w:snapToGrid w:val="0"/>
                <w:color w:val="000000"/>
                <w:sz w:val="22"/>
              </w:rPr>
            </w:pPr>
            <w:r>
              <w:rPr>
                <w:snapToGrid w:val="0"/>
                <w:color w:val="000000"/>
                <w:sz w:val="22"/>
              </w:rPr>
              <w:t>Ville</w:t>
            </w:r>
          </w:p>
        </w:tc>
        <w:tc>
          <w:tcPr>
            <w:tcW w:w="1398" w:type="dxa"/>
            <w:shd w:val="clear" w:color="C0C0C0" w:fill="auto"/>
          </w:tcPr>
          <w:p w:rsidR="00000000" w:rsidRDefault="00000000">
            <w:pPr>
              <w:spacing w:before="80" w:after="120"/>
              <w:jc w:val="center"/>
              <w:rPr>
                <w:snapToGrid w:val="0"/>
                <w:color w:val="000000"/>
                <w:sz w:val="22"/>
              </w:rPr>
            </w:pPr>
            <w:r>
              <w:rPr>
                <w:snapToGrid w:val="0"/>
                <w:color w:val="000000"/>
                <w:sz w:val="22"/>
              </w:rPr>
              <w:t>Parent</w:t>
            </w:r>
          </w:p>
        </w:tc>
        <w:tc>
          <w:tcPr>
            <w:tcW w:w="1397" w:type="dxa"/>
            <w:shd w:val="clear" w:color="C0C0C0" w:fill="auto"/>
          </w:tcPr>
          <w:p w:rsidR="00000000" w:rsidRDefault="00000000">
            <w:pPr>
              <w:spacing w:before="80" w:after="120"/>
              <w:jc w:val="center"/>
              <w:rPr>
                <w:snapToGrid w:val="0"/>
                <w:color w:val="000000"/>
                <w:sz w:val="22"/>
              </w:rPr>
            </w:pPr>
            <w:r>
              <w:rPr>
                <w:snapToGrid w:val="0"/>
                <w:color w:val="000000"/>
                <w:sz w:val="22"/>
              </w:rPr>
              <w:t>Personnel imprécis</w:t>
            </w:r>
          </w:p>
        </w:tc>
        <w:tc>
          <w:tcPr>
            <w:tcW w:w="1398" w:type="dxa"/>
            <w:shd w:val="clear" w:color="C0C0C0" w:fill="auto"/>
          </w:tcPr>
          <w:p w:rsidR="00000000" w:rsidRDefault="00000000">
            <w:pPr>
              <w:spacing w:before="80" w:after="120"/>
              <w:jc w:val="center"/>
              <w:rPr>
                <w:snapToGrid w:val="0"/>
                <w:color w:val="000000"/>
                <w:sz w:val="22"/>
              </w:rPr>
            </w:pPr>
            <w:r>
              <w:rPr>
                <w:snapToGrid w:val="0"/>
                <w:color w:val="000000"/>
                <w:sz w:val="22"/>
              </w:rPr>
              <w:t>Matrone</w:t>
            </w:r>
          </w:p>
        </w:tc>
        <w:tc>
          <w:tcPr>
            <w:tcW w:w="1397" w:type="dxa"/>
            <w:shd w:val="clear" w:color="C0C0C0" w:fill="auto"/>
          </w:tcPr>
          <w:p w:rsidR="00000000" w:rsidRDefault="00000000">
            <w:pPr>
              <w:spacing w:before="80" w:after="120"/>
              <w:jc w:val="center"/>
              <w:rPr>
                <w:snapToGrid w:val="0"/>
                <w:color w:val="000000"/>
                <w:sz w:val="22"/>
              </w:rPr>
            </w:pPr>
            <w:r>
              <w:rPr>
                <w:snapToGrid w:val="0"/>
                <w:color w:val="000000"/>
                <w:sz w:val="22"/>
              </w:rPr>
              <w:t>Médecin</w:t>
            </w:r>
          </w:p>
        </w:tc>
        <w:tc>
          <w:tcPr>
            <w:tcW w:w="1398" w:type="dxa"/>
            <w:shd w:val="clear" w:color="C0C0C0" w:fill="auto"/>
          </w:tcPr>
          <w:p w:rsidR="00000000" w:rsidRDefault="00000000">
            <w:pPr>
              <w:spacing w:before="80" w:after="120"/>
              <w:jc w:val="center"/>
              <w:rPr>
                <w:snapToGrid w:val="0"/>
                <w:color w:val="000000"/>
                <w:sz w:val="22"/>
              </w:rPr>
            </w:pPr>
            <w:r>
              <w:rPr>
                <w:snapToGrid w:val="0"/>
                <w:color w:val="000000"/>
                <w:sz w:val="22"/>
              </w:rPr>
              <w:t>Sage femme</w:t>
            </w:r>
          </w:p>
        </w:tc>
        <w:tc>
          <w:tcPr>
            <w:tcW w:w="1398" w:type="dxa"/>
            <w:shd w:val="clear" w:color="C0C0C0" w:fill="auto"/>
          </w:tcPr>
          <w:p w:rsidR="00000000" w:rsidRDefault="00000000">
            <w:pPr>
              <w:spacing w:before="80" w:after="120"/>
              <w:jc w:val="center"/>
              <w:rPr>
                <w:snapToGrid w:val="0"/>
                <w:color w:val="000000"/>
                <w:sz w:val="22"/>
              </w:rPr>
            </w:pPr>
            <w:r>
              <w:rPr>
                <w:snapToGrid w:val="0"/>
                <w:color w:val="000000"/>
                <w:sz w:val="22"/>
              </w:rPr>
              <w:t>total</w:t>
            </w:r>
          </w:p>
        </w:tc>
      </w:tr>
      <w:tr w:rsidR="00000000">
        <w:tblPrEx>
          <w:tblCellMar>
            <w:top w:w="0" w:type="dxa"/>
            <w:bottom w:w="0" w:type="dxa"/>
          </w:tblCellMar>
        </w:tblPrEx>
        <w:trPr>
          <w:trHeight w:val="247"/>
        </w:trPr>
        <w:tc>
          <w:tcPr>
            <w:tcW w:w="1397" w:type="dxa"/>
          </w:tcPr>
          <w:p w:rsidR="00000000" w:rsidRDefault="00000000">
            <w:pPr>
              <w:spacing w:before="80" w:after="120"/>
              <w:rPr>
                <w:snapToGrid w:val="0"/>
                <w:color w:val="000000"/>
                <w:sz w:val="22"/>
              </w:rPr>
            </w:pPr>
            <w:r>
              <w:rPr>
                <w:snapToGrid w:val="0"/>
                <w:color w:val="000000"/>
                <w:sz w:val="22"/>
              </w:rPr>
              <w:t>Brazzaville</w:t>
            </w:r>
          </w:p>
        </w:tc>
        <w:tc>
          <w:tcPr>
            <w:tcW w:w="1398" w:type="dxa"/>
          </w:tcPr>
          <w:p w:rsidR="00000000" w:rsidRDefault="00000000">
            <w:pPr>
              <w:spacing w:before="80" w:after="120"/>
              <w:jc w:val="center"/>
              <w:rPr>
                <w:snapToGrid w:val="0"/>
                <w:color w:val="000000"/>
                <w:sz w:val="22"/>
              </w:rPr>
            </w:pPr>
            <w:r>
              <w:rPr>
                <w:snapToGrid w:val="0"/>
                <w:color w:val="000000"/>
                <w:sz w:val="22"/>
              </w:rPr>
              <w:t>6,80% (46)</w:t>
            </w:r>
          </w:p>
        </w:tc>
        <w:tc>
          <w:tcPr>
            <w:tcW w:w="1397" w:type="dxa"/>
          </w:tcPr>
          <w:p w:rsidR="00000000" w:rsidRDefault="00000000">
            <w:pPr>
              <w:spacing w:before="80" w:after="120"/>
              <w:jc w:val="center"/>
              <w:rPr>
                <w:snapToGrid w:val="0"/>
                <w:color w:val="000000"/>
                <w:sz w:val="22"/>
              </w:rPr>
            </w:pPr>
            <w:r>
              <w:rPr>
                <w:snapToGrid w:val="0"/>
                <w:color w:val="000000"/>
                <w:sz w:val="22"/>
              </w:rPr>
              <w:t>9,62% (65)</w:t>
            </w:r>
          </w:p>
        </w:tc>
        <w:tc>
          <w:tcPr>
            <w:tcW w:w="1398" w:type="dxa"/>
          </w:tcPr>
          <w:p w:rsidR="00000000" w:rsidRDefault="00000000">
            <w:pPr>
              <w:spacing w:before="80" w:after="120"/>
              <w:jc w:val="center"/>
              <w:rPr>
                <w:snapToGrid w:val="0"/>
                <w:color w:val="000000"/>
                <w:sz w:val="22"/>
              </w:rPr>
            </w:pPr>
            <w:r>
              <w:rPr>
                <w:snapToGrid w:val="0"/>
                <w:color w:val="000000"/>
                <w:sz w:val="22"/>
              </w:rPr>
              <w:t>1,04% (7)</w:t>
            </w:r>
          </w:p>
        </w:tc>
        <w:tc>
          <w:tcPr>
            <w:tcW w:w="1397" w:type="dxa"/>
          </w:tcPr>
          <w:p w:rsidR="00000000" w:rsidRDefault="00000000">
            <w:pPr>
              <w:spacing w:before="80" w:after="120"/>
              <w:jc w:val="center"/>
              <w:rPr>
                <w:snapToGrid w:val="0"/>
                <w:color w:val="000000"/>
                <w:sz w:val="22"/>
              </w:rPr>
            </w:pPr>
            <w:r>
              <w:rPr>
                <w:snapToGrid w:val="0"/>
                <w:color w:val="000000"/>
                <w:sz w:val="22"/>
              </w:rPr>
              <w:t>7,69% (52)</w:t>
            </w:r>
          </w:p>
        </w:tc>
        <w:tc>
          <w:tcPr>
            <w:tcW w:w="1398" w:type="dxa"/>
          </w:tcPr>
          <w:p w:rsidR="00000000" w:rsidRDefault="00000000">
            <w:pPr>
              <w:spacing w:before="80" w:after="120"/>
              <w:jc w:val="center"/>
              <w:rPr>
                <w:snapToGrid w:val="0"/>
                <w:color w:val="000000"/>
                <w:sz w:val="22"/>
              </w:rPr>
            </w:pPr>
            <w:r>
              <w:rPr>
                <w:snapToGrid w:val="0"/>
                <w:color w:val="000000"/>
                <w:sz w:val="22"/>
              </w:rPr>
              <w:t>74,85% (506)</w:t>
            </w:r>
          </w:p>
        </w:tc>
        <w:tc>
          <w:tcPr>
            <w:tcW w:w="1398" w:type="dxa"/>
          </w:tcPr>
          <w:p w:rsidR="00000000" w:rsidRDefault="00000000">
            <w:pPr>
              <w:spacing w:before="80" w:after="120"/>
              <w:jc w:val="center"/>
              <w:rPr>
                <w:snapToGrid w:val="0"/>
                <w:color w:val="000000"/>
                <w:sz w:val="22"/>
              </w:rPr>
            </w:pPr>
            <w:r>
              <w:rPr>
                <w:snapToGrid w:val="0"/>
                <w:color w:val="000000"/>
                <w:sz w:val="22"/>
              </w:rPr>
              <w:t>100% (676)</w:t>
            </w:r>
          </w:p>
        </w:tc>
      </w:tr>
      <w:tr w:rsidR="00000000">
        <w:tblPrEx>
          <w:tblCellMar>
            <w:top w:w="0" w:type="dxa"/>
            <w:bottom w:w="0" w:type="dxa"/>
          </w:tblCellMar>
        </w:tblPrEx>
        <w:trPr>
          <w:trHeight w:val="247"/>
        </w:trPr>
        <w:tc>
          <w:tcPr>
            <w:tcW w:w="1397" w:type="dxa"/>
          </w:tcPr>
          <w:p w:rsidR="00000000" w:rsidRDefault="00000000">
            <w:pPr>
              <w:spacing w:before="80" w:after="120"/>
              <w:rPr>
                <w:snapToGrid w:val="0"/>
                <w:color w:val="000000"/>
                <w:sz w:val="22"/>
              </w:rPr>
            </w:pPr>
            <w:r>
              <w:rPr>
                <w:snapToGrid w:val="0"/>
                <w:color w:val="000000"/>
                <w:sz w:val="22"/>
              </w:rPr>
              <w:t>Pointe Noire</w:t>
            </w:r>
          </w:p>
        </w:tc>
        <w:tc>
          <w:tcPr>
            <w:tcW w:w="1398" w:type="dxa"/>
          </w:tcPr>
          <w:p w:rsidR="00000000" w:rsidRDefault="00000000">
            <w:pPr>
              <w:spacing w:before="80" w:after="120"/>
              <w:jc w:val="center"/>
              <w:rPr>
                <w:snapToGrid w:val="0"/>
                <w:color w:val="000000"/>
                <w:sz w:val="22"/>
              </w:rPr>
            </w:pPr>
            <w:r>
              <w:rPr>
                <w:snapToGrid w:val="0"/>
                <w:color w:val="000000"/>
                <w:sz w:val="22"/>
              </w:rPr>
              <w:t>5,62% (32)</w:t>
            </w:r>
          </w:p>
        </w:tc>
        <w:tc>
          <w:tcPr>
            <w:tcW w:w="1397" w:type="dxa"/>
          </w:tcPr>
          <w:p w:rsidR="00000000" w:rsidRDefault="00000000">
            <w:pPr>
              <w:spacing w:before="80" w:after="120"/>
              <w:jc w:val="center"/>
              <w:rPr>
                <w:snapToGrid w:val="0"/>
                <w:color w:val="000000"/>
                <w:sz w:val="22"/>
              </w:rPr>
            </w:pPr>
            <w:r>
              <w:rPr>
                <w:snapToGrid w:val="0"/>
                <w:color w:val="000000"/>
                <w:sz w:val="22"/>
              </w:rPr>
              <w:t>6,33% (36)</w:t>
            </w:r>
          </w:p>
        </w:tc>
        <w:tc>
          <w:tcPr>
            <w:tcW w:w="1398" w:type="dxa"/>
          </w:tcPr>
          <w:p w:rsidR="00000000" w:rsidRDefault="00000000">
            <w:pPr>
              <w:spacing w:before="80" w:after="120"/>
              <w:jc w:val="center"/>
              <w:rPr>
                <w:snapToGrid w:val="0"/>
                <w:color w:val="000000"/>
                <w:sz w:val="22"/>
              </w:rPr>
            </w:pPr>
            <w:r>
              <w:rPr>
                <w:snapToGrid w:val="0"/>
                <w:color w:val="000000"/>
                <w:sz w:val="22"/>
              </w:rPr>
              <w:t>1,58% (9)</w:t>
            </w:r>
          </w:p>
        </w:tc>
        <w:tc>
          <w:tcPr>
            <w:tcW w:w="1397" w:type="dxa"/>
          </w:tcPr>
          <w:p w:rsidR="00000000" w:rsidRDefault="00000000">
            <w:pPr>
              <w:spacing w:before="80" w:after="120"/>
              <w:jc w:val="center"/>
              <w:rPr>
                <w:snapToGrid w:val="0"/>
                <w:color w:val="000000"/>
                <w:sz w:val="22"/>
              </w:rPr>
            </w:pPr>
            <w:r>
              <w:rPr>
                <w:snapToGrid w:val="0"/>
                <w:color w:val="000000"/>
                <w:sz w:val="22"/>
              </w:rPr>
              <w:t>4,40%(25)</w:t>
            </w:r>
          </w:p>
        </w:tc>
        <w:tc>
          <w:tcPr>
            <w:tcW w:w="1398" w:type="dxa"/>
          </w:tcPr>
          <w:p w:rsidR="00000000" w:rsidRDefault="00000000">
            <w:pPr>
              <w:spacing w:before="80" w:after="120"/>
              <w:jc w:val="center"/>
              <w:rPr>
                <w:snapToGrid w:val="0"/>
                <w:color w:val="000000"/>
                <w:sz w:val="22"/>
              </w:rPr>
            </w:pPr>
            <w:r>
              <w:rPr>
                <w:snapToGrid w:val="0"/>
                <w:color w:val="000000"/>
                <w:sz w:val="22"/>
              </w:rPr>
              <w:t>82,07% (467)</w:t>
            </w:r>
          </w:p>
        </w:tc>
        <w:tc>
          <w:tcPr>
            <w:tcW w:w="1398" w:type="dxa"/>
          </w:tcPr>
          <w:p w:rsidR="00000000" w:rsidRDefault="00000000">
            <w:pPr>
              <w:spacing w:before="80" w:after="120"/>
              <w:jc w:val="center"/>
              <w:rPr>
                <w:snapToGrid w:val="0"/>
                <w:color w:val="000000"/>
                <w:sz w:val="22"/>
              </w:rPr>
            </w:pPr>
            <w:r>
              <w:rPr>
                <w:snapToGrid w:val="0"/>
                <w:color w:val="000000"/>
                <w:sz w:val="22"/>
              </w:rPr>
              <w:t>100% (569)</w:t>
            </w:r>
          </w:p>
        </w:tc>
      </w:tr>
      <w:tr w:rsidR="00000000">
        <w:tblPrEx>
          <w:tblCellMar>
            <w:top w:w="0" w:type="dxa"/>
            <w:bottom w:w="0" w:type="dxa"/>
          </w:tblCellMar>
        </w:tblPrEx>
        <w:trPr>
          <w:trHeight w:val="247"/>
        </w:trPr>
        <w:tc>
          <w:tcPr>
            <w:tcW w:w="1397" w:type="dxa"/>
          </w:tcPr>
          <w:p w:rsidR="00000000" w:rsidRDefault="00000000">
            <w:pPr>
              <w:spacing w:before="80" w:after="120"/>
              <w:rPr>
                <w:snapToGrid w:val="0"/>
                <w:color w:val="000000"/>
                <w:sz w:val="22"/>
              </w:rPr>
            </w:pPr>
            <w:r>
              <w:rPr>
                <w:sz w:val="22"/>
              </w:rPr>
              <w:t>Moyenne</w:t>
            </w:r>
          </w:p>
        </w:tc>
        <w:tc>
          <w:tcPr>
            <w:tcW w:w="1398" w:type="dxa"/>
          </w:tcPr>
          <w:p w:rsidR="00000000" w:rsidRDefault="00000000">
            <w:pPr>
              <w:spacing w:before="80" w:after="120"/>
              <w:jc w:val="center"/>
              <w:rPr>
                <w:snapToGrid w:val="0"/>
                <w:color w:val="000000"/>
                <w:sz w:val="22"/>
              </w:rPr>
            </w:pPr>
            <w:r>
              <w:rPr>
                <w:snapToGrid w:val="0"/>
                <w:color w:val="000000"/>
                <w:sz w:val="22"/>
              </w:rPr>
              <w:t>6,21%</w:t>
            </w:r>
          </w:p>
        </w:tc>
        <w:tc>
          <w:tcPr>
            <w:tcW w:w="1397" w:type="dxa"/>
          </w:tcPr>
          <w:p w:rsidR="00000000" w:rsidRDefault="00000000">
            <w:pPr>
              <w:spacing w:before="80" w:after="120"/>
              <w:jc w:val="center"/>
              <w:rPr>
                <w:snapToGrid w:val="0"/>
                <w:color w:val="000000"/>
                <w:sz w:val="22"/>
              </w:rPr>
            </w:pPr>
            <w:r>
              <w:rPr>
                <w:snapToGrid w:val="0"/>
                <w:color w:val="000000"/>
                <w:sz w:val="22"/>
              </w:rPr>
              <w:t>7,98%</w:t>
            </w:r>
          </w:p>
        </w:tc>
        <w:tc>
          <w:tcPr>
            <w:tcW w:w="1398" w:type="dxa"/>
          </w:tcPr>
          <w:p w:rsidR="00000000" w:rsidRDefault="00000000">
            <w:pPr>
              <w:spacing w:before="80" w:after="120"/>
              <w:jc w:val="center"/>
              <w:rPr>
                <w:snapToGrid w:val="0"/>
                <w:color w:val="000000"/>
                <w:sz w:val="22"/>
              </w:rPr>
            </w:pPr>
            <w:r>
              <w:rPr>
                <w:snapToGrid w:val="0"/>
                <w:color w:val="000000"/>
                <w:sz w:val="22"/>
              </w:rPr>
              <w:t>1,31%</w:t>
            </w:r>
          </w:p>
        </w:tc>
        <w:tc>
          <w:tcPr>
            <w:tcW w:w="1397" w:type="dxa"/>
          </w:tcPr>
          <w:p w:rsidR="00000000" w:rsidRDefault="00000000">
            <w:pPr>
              <w:spacing w:before="80" w:after="120"/>
              <w:jc w:val="center"/>
              <w:rPr>
                <w:snapToGrid w:val="0"/>
                <w:color w:val="000000"/>
                <w:sz w:val="22"/>
              </w:rPr>
            </w:pPr>
            <w:r>
              <w:rPr>
                <w:snapToGrid w:val="0"/>
                <w:color w:val="000000"/>
                <w:sz w:val="22"/>
              </w:rPr>
              <w:t>6,04%</w:t>
            </w:r>
          </w:p>
        </w:tc>
        <w:tc>
          <w:tcPr>
            <w:tcW w:w="1398" w:type="dxa"/>
          </w:tcPr>
          <w:p w:rsidR="00000000" w:rsidRDefault="00000000">
            <w:pPr>
              <w:spacing w:before="80" w:after="120"/>
              <w:jc w:val="center"/>
              <w:rPr>
                <w:snapToGrid w:val="0"/>
                <w:color w:val="000000"/>
                <w:sz w:val="22"/>
              </w:rPr>
            </w:pPr>
            <w:r>
              <w:rPr>
                <w:snapToGrid w:val="0"/>
                <w:color w:val="000000"/>
                <w:sz w:val="22"/>
              </w:rPr>
              <w:t>78,46%</w:t>
            </w:r>
          </w:p>
        </w:tc>
        <w:tc>
          <w:tcPr>
            <w:tcW w:w="1398" w:type="dxa"/>
          </w:tcPr>
          <w:p w:rsidR="00000000" w:rsidRDefault="00000000">
            <w:pPr>
              <w:spacing w:before="80" w:after="120"/>
              <w:jc w:val="center"/>
              <w:rPr>
                <w:snapToGrid w:val="0"/>
                <w:color w:val="000000"/>
                <w:sz w:val="22"/>
              </w:rPr>
            </w:pPr>
            <w:r>
              <w:rPr>
                <w:snapToGrid w:val="0"/>
                <w:color w:val="000000"/>
                <w:sz w:val="22"/>
              </w:rPr>
              <w:t>100%</w:t>
            </w:r>
          </w:p>
        </w:tc>
      </w:tr>
    </w:tbl>
    <w:p w:rsidR="00000000" w:rsidRDefault="00000000">
      <w:pPr>
        <w:spacing w:before="80" w:after="120"/>
        <w:jc w:val="both"/>
        <w:rPr>
          <w:i/>
          <w:sz w:val="22"/>
        </w:rPr>
      </w:pPr>
      <w:r>
        <w:rPr>
          <w:i/>
          <w:sz w:val="22"/>
          <w:u w:val="single"/>
        </w:rPr>
        <w:t>Source</w:t>
      </w:r>
      <w:r>
        <w:rPr>
          <w:i/>
          <w:sz w:val="22"/>
        </w:rPr>
        <w:t> : (Rapport : MSR- DSF,1999)</w:t>
      </w:r>
    </w:p>
    <w:p w:rsidR="00000000" w:rsidRDefault="00000000">
      <w:pPr>
        <w:spacing w:before="80" w:after="120"/>
        <w:jc w:val="both"/>
        <w:rPr>
          <w:sz w:val="22"/>
        </w:rPr>
      </w:pPr>
      <w:r>
        <w:rPr>
          <w:sz w:val="22"/>
        </w:rPr>
        <w:t xml:space="preserve">Lors des accouchements, le plus souvent, les mères sont assistées par un personnel qualifié : Médecin 6,04%, </w:t>
      </w:r>
      <w:r>
        <w:rPr>
          <w:caps/>
          <w:sz w:val="22"/>
        </w:rPr>
        <w:t>s</w:t>
      </w:r>
      <w:r>
        <w:rPr>
          <w:sz w:val="22"/>
        </w:rPr>
        <w:t xml:space="preserve">age-femme(y compris infirmier accoucheur) 78,46%, ou matrone accoucheuse 1,31% ; selon que l'accouchement se déroule dans les formations sanitaires ou à domicile dans certains cas. </w:t>
      </w:r>
    </w:p>
    <w:p w:rsidR="00000000" w:rsidRDefault="00000000">
      <w:pPr>
        <w:spacing w:before="80" w:after="120"/>
        <w:jc w:val="both"/>
        <w:rPr>
          <w:sz w:val="22"/>
        </w:rPr>
      </w:pPr>
      <w:r>
        <w:rPr>
          <w:sz w:val="22"/>
        </w:rPr>
        <w:t>Une faible proportion des mères accouchent en présence d'une personne non formée, tantôt un parent, 6,21% des accouchements, tantôt un "personnel imprécis", 7,98%. Ce qui désigne en réalité toute personne dont le profil exact n'est pas bien défini . Il peut s'agir d'un secouriste, d'un agent qui exerce dans une structure de santé privée et ou fait des prestations au domicile de la parturiente.</w:t>
      </w:r>
    </w:p>
    <w:p w:rsidR="00000000" w:rsidRDefault="00000000">
      <w:pPr>
        <w:spacing w:before="80" w:after="120"/>
        <w:jc w:val="both"/>
        <w:rPr>
          <w:sz w:val="22"/>
        </w:rPr>
      </w:pPr>
      <w:r>
        <w:rPr>
          <w:sz w:val="22"/>
        </w:rPr>
        <w:t>Cette tendance peut être inversée dans les zones rurales parce que le personnel de santé qualifié fait défaut.</w:t>
      </w:r>
    </w:p>
    <w:p w:rsidR="00000000" w:rsidRDefault="00000000">
      <w:pPr>
        <w:widowControl w:val="0"/>
        <w:spacing w:before="80" w:after="80"/>
        <w:ind w:firstLine="29"/>
        <w:jc w:val="both"/>
        <w:rPr>
          <w:b/>
          <w:sz w:val="22"/>
        </w:rPr>
      </w:pPr>
      <w:r>
        <w:rPr>
          <w:b/>
          <w:sz w:val="22"/>
        </w:rPr>
        <w:t xml:space="preserve">F - </w:t>
      </w:r>
      <w:r>
        <w:rPr>
          <w:b/>
          <w:sz w:val="22"/>
          <w:u w:val="single"/>
        </w:rPr>
        <w:t>La consultation postnatale</w:t>
      </w:r>
      <w:r>
        <w:rPr>
          <w:b/>
          <w:sz w:val="22"/>
        </w:rPr>
        <w:t> :</w:t>
      </w:r>
    </w:p>
    <w:p w:rsidR="00000000" w:rsidRDefault="00000000">
      <w:pPr>
        <w:widowControl w:val="0"/>
        <w:spacing w:before="80" w:after="80"/>
        <w:jc w:val="both"/>
        <w:rPr>
          <w:sz w:val="22"/>
        </w:rPr>
      </w:pPr>
      <w:r>
        <w:rPr>
          <w:sz w:val="22"/>
        </w:rPr>
        <w:t>Après tout accouchement, les mères doivent aller en consultation post natale. Celle-ci permet de vérifier l'état de santé de la femme et  de discuter des méthodes contraceptives. La première consultation est réalisée au 15</w:t>
      </w:r>
      <w:r>
        <w:rPr>
          <w:sz w:val="22"/>
          <w:vertAlign w:val="superscript"/>
        </w:rPr>
        <w:t>ème</w:t>
      </w:r>
      <w:r>
        <w:rPr>
          <w:sz w:val="22"/>
        </w:rPr>
        <w:t xml:space="preserve"> jour, et la deuxième au 45</w:t>
      </w:r>
      <w:r>
        <w:rPr>
          <w:sz w:val="22"/>
          <w:vertAlign w:val="superscript"/>
        </w:rPr>
        <w:t>ème</w:t>
      </w:r>
      <w:r>
        <w:rPr>
          <w:sz w:val="22"/>
        </w:rPr>
        <w:t xml:space="preserve"> jour. </w:t>
      </w:r>
    </w:p>
    <w:p w:rsidR="00000000" w:rsidRDefault="00000000">
      <w:pPr>
        <w:pStyle w:val="BodyTextIndent"/>
        <w:widowControl w:val="0"/>
        <w:spacing w:before="80" w:after="80"/>
        <w:ind w:firstLine="0"/>
        <w:jc w:val="both"/>
        <w:rPr>
          <w:sz w:val="22"/>
        </w:rPr>
      </w:pPr>
      <w:r>
        <w:rPr>
          <w:sz w:val="22"/>
        </w:rPr>
        <w:t>La consultation post natale n'est pas une pratique courante, elle n'a été effectuée que par 25% des mères à Brazzaville et 35% des mères à Pointe Noire. Le plus souvent ce sont celles qui ont eu un accouchement difficile, notamment par césarienne qui y ont recouru. En outre, ces mères semblent ignorer l'existence et l'importance de cette consultation et n'ont jamais été informées</w:t>
      </w:r>
      <w:r>
        <w:rPr>
          <w:rStyle w:val="FootnoteReference"/>
          <w:sz w:val="22"/>
        </w:rPr>
        <w:footnoteReference w:id="7"/>
      </w:r>
      <w:r>
        <w:rPr>
          <w:sz w:val="22"/>
        </w:rPr>
        <w:t>.</w:t>
      </w:r>
    </w:p>
    <w:p w:rsidR="00000000" w:rsidRDefault="00000000">
      <w:pPr>
        <w:jc w:val="both"/>
        <w:rPr>
          <w:b/>
          <w:sz w:val="22"/>
        </w:rPr>
      </w:pPr>
    </w:p>
    <w:p w:rsidR="00000000" w:rsidRDefault="00000000">
      <w:pPr>
        <w:jc w:val="both"/>
        <w:rPr>
          <w:b/>
          <w:sz w:val="22"/>
        </w:rPr>
      </w:pPr>
      <w:r>
        <w:rPr>
          <w:b/>
          <w:sz w:val="22"/>
        </w:rPr>
        <w:br w:type="page"/>
        <w:t xml:space="preserve">G - </w:t>
      </w:r>
      <w:r>
        <w:rPr>
          <w:b/>
          <w:sz w:val="22"/>
          <w:u w:val="single"/>
        </w:rPr>
        <w:t>Les prestations de planification familiale</w:t>
      </w:r>
      <w:r>
        <w:rPr>
          <w:b/>
          <w:sz w:val="22"/>
        </w:rPr>
        <w:t> :</w:t>
      </w:r>
    </w:p>
    <w:p w:rsidR="00000000" w:rsidRDefault="00000000">
      <w:pPr>
        <w:ind w:left="360"/>
        <w:jc w:val="both"/>
        <w:rPr>
          <w:b/>
          <w:sz w:val="22"/>
        </w:rPr>
      </w:pPr>
    </w:p>
    <w:p w:rsidR="00000000" w:rsidRDefault="00000000">
      <w:pPr>
        <w:pStyle w:val="BodyText3"/>
        <w:rPr>
          <w:sz w:val="22"/>
        </w:rPr>
      </w:pPr>
      <w:r>
        <w:rPr>
          <w:sz w:val="22"/>
        </w:rPr>
        <w:t>La loi du 31 juillet 1920, portant interdiction de l'avortement et de la publicité anti-conceptionnelle, est encore en vigueur dans notre pays. Cette loi constitue un frein juridique à la planification familiale.</w:t>
      </w:r>
    </w:p>
    <w:p w:rsidR="00000000" w:rsidRDefault="00000000">
      <w:pPr>
        <w:jc w:val="both"/>
        <w:rPr>
          <w:sz w:val="22"/>
        </w:rPr>
      </w:pPr>
      <w:r>
        <w:rPr>
          <w:sz w:val="22"/>
        </w:rPr>
        <w:t>L’article 317 du code pénal sanctionne les auteurs d’avortement :</w:t>
      </w:r>
    </w:p>
    <w:p w:rsidR="00000000" w:rsidRDefault="00000000">
      <w:pPr>
        <w:jc w:val="both"/>
        <w:rPr>
          <w:sz w:val="22"/>
        </w:rPr>
      </w:pPr>
    </w:p>
    <w:p w:rsidR="00000000" w:rsidRDefault="00000000">
      <w:pPr>
        <w:jc w:val="both"/>
        <w:rPr>
          <w:sz w:val="22"/>
        </w:rPr>
      </w:pPr>
      <w:r>
        <w:rPr>
          <w:sz w:val="22"/>
        </w:rPr>
        <w:t>« Quiconque, par aliment, breuvage, médicaments, manœuvre violente ou par tout autre moyen aura procuré ou tenté de procurer l'avortement d'une femme enceinte ou supposée enceinte qu'elle  y ait consenti ou non sera puni d'un emprisonnement d'un an à cinq ans et d'une amende de cent vingt mille à deux millions quatre cent mille francs cfa .</w:t>
      </w:r>
    </w:p>
    <w:p w:rsidR="00000000" w:rsidRDefault="00000000">
      <w:pPr>
        <w:jc w:val="both"/>
        <w:rPr>
          <w:sz w:val="22"/>
        </w:rPr>
      </w:pPr>
      <w:r>
        <w:rPr>
          <w:sz w:val="22"/>
        </w:rPr>
        <w:t>L'amende sera de 1.200.000francs à 4.800.000frs s'il est établi que le coupable s'est livré habituellement aux actes visés au paragraphe précédent ».</w:t>
      </w:r>
    </w:p>
    <w:p w:rsidR="00000000" w:rsidRDefault="00000000">
      <w:pPr>
        <w:pStyle w:val="BodyText"/>
        <w:spacing w:before="120" w:after="120"/>
        <w:rPr>
          <w:sz w:val="22"/>
        </w:rPr>
      </w:pPr>
      <w:r>
        <w:rPr>
          <w:sz w:val="22"/>
        </w:rPr>
        <w:t>Toutefois, la pratique dans ce domaine est largement en avance sur la législation. Ainsi, depuis 1982, les services de santé réalisent des activités en rapport avec la planification familiale ce, dans le cadre de divers projets qui assurent la formation des prestataires de services, l'approvisionnement en contraceptifs et l'équipement. Ces activités visent  l'espacement des naissances et sont orientées vers la distribution gratuite des contraceptifs (ou la vente  à un coût modique).</w:t>
      </w:r>
    </w:p>
    <w:p w:rsidR="00000000" w:rsidRDefault="00000000">
      <w:pPr>
        <w:jc w:val="both"/>
        <w:rPr>
          <w:sz w:val="22"/>
        </w:rPr>
      </w:pPr>
      <w:r>
        <w:rPr>
          <w:sz w:val="22"/>
        </w:rPr>
        <w:t xml:space="preserve">Actuellement, ces activités sont intégrées dans la plupart des formations sanitaires urbaines mais les contraceptifs sont rares et leur coût en pharmacie est relativement élevé . Les associations, les ONGs apportent, pour leur part, une contribution appréciable dans le cadre de la sensibilisation des populations. </w:t>
      </w:r>
    </w:p>
    <w:p w:rsidR="00000000" w:rsidRDefault="00000000">
      <w:pPr>
        <w:jc w:val="both"/>
        <w:rPr>
          <w:sz w:val="22"/>
        </w:rPr>
      </w:pPr>
    </w:p>
    <w:p w:rsidR="00000000" w:rsidRDefault="00000000">
      <w:pPr>
        <w:widowControl w:val="0"/>
        <w:ind w:left="57"/>
        <w:jc w:val="both"/>
        <w:rPr>
          <w:sz w:val="22"/>
        </w:rPr>
      </w:pPr>
      <w:r>
        <w:rPr>
          <w:sz w:val="22"/>
        </w:rPr>
        <w:t>Malheureusement, le taux de prévalence contraceptive est  très faible, il est estimé à 3% pour tout le pays. De nombreux cas d'avortements clandestins avec des conséquences dramatiques sont souvent observés. Par ailleurs, une étude réalisée à Brazzaville et Pointe Noire en 1999  chez des mères qui allaitent indique que, seules 19% des mères à Brazzaville et 25 % à Pointe Noire ont déclaré pratiquer une méthode contraceptive naturelle ou moderne. On note une légère déperdition entre le taux de femmes qui ont eu une consultation post natale et celles qui acceptent la contraception</w:t>
      </w:r>
      <w:r>
        <w:rPr>
          <w:rStyle w:val="FootnoteReference"/>
          <w:sz w:val="22"/>
        </w:rPr>
        <w:footnoteReference w:id="8"/>
      </w:r>
      <w:r>
        <w:rPr>
          <w:sz w:val="22"/>
        </w:rPr>
        <w:t xml:space="preserve">. </w:t>
      </w:r>
    </w:p>
    <w:p w:rsidR="00000000" w:rsidRDefault="00000000">
      <w:pPr>
        <w:widowControl w:val="0"/>
        <w:spacing w:before="80" w:after="80"/>
        <w:ind w:left="57"/>
        <w:jc w:val="both"/>
        <w:rPr>
          <w:sz w:val="22"/>
        </w:rPr>
      </w:pPr>
      <w:r>
        <w:rPr>
          <w:sz w:val="22"/>
        </w:rPr>
        <w:t>Ces taux déjà faibles pourraient s'abaisser davantage à cause des pesanteurs socioculturelles (la tendance pronataliste, les préjugés défavorables à la contraception), de la non intégration de l'activité dans certains centres de santé et du coût élevé des contraceptifs voire même les insuffisances dans les prestations de soins post natals.</w:t>
      </w:r>
    </w:p>
    <w:p w:rsidR="00000000" w:rsidRDefault="00000000">
      <w:pPr>
        <w:jc w:val="both"/>
        <w:rPr>
          <w:sz w:val="22"/>
        </w:rPr>
      </w:pPr>
      <w:r>
        <w:rPr>
          <w:sz w:val="22"/>
        </w:rPr>
        <w:t>Les résultats d'une enquête effectuée par la DSF en 1994 auprès de trois catégories socioprofessionnelles de femmes âgées entre 15-49 ans (élèves, étudiantes, fonctionnaires, vendeuses) révèlent que 45% de femmes utilisent la contraception orale (pilule), 24% les contraceptifs injectables, 18% la méthode Ogino, 09% les préservatifs.</w:t>
      </w:r>
    </w:p>
    <w:p w:rsidR="00000000" w:rsidRDefault="00000000">
      <w:pPr>
        <w:jc w:val="both"/>
        <w:rPr>
          <w:sz w:val="22"/>
        </w:rPr>
      </w:pPr>
    </w:p>
    <w:p w:rsidR="00000000" w:rsidRDefault="00000000">
      <w:pPr>
        <w:widowControl w:val="0"/>
        <w:spacing w:before="80" w:after="80"/>
        <w:ind w:left="57"/>
        <w:jc w:val="both"/>
        <w:rPr>
          <w:sz w:val="22"/>
        </w:rPr>
      </w:pPr>
      <w:r>
        <w:rPr>
          <w:sz w:val="22"/>
        </w:rPr>
        <w:t>Les principaux prescripteurs sont les sages-femmes, 35%, suivi des médecins, 22%, les autres agents de santé, 4%. L'automédication est pratiquée à 35%. La faible prévalence contraceptive expose les femmes à des grossesses non désirées, aux avortements clandestins et à leurs complications.</w:t>
      </w:r>
    </w:p>
    <w:p w:rsidR="00000000" w:rsidRDefault="00000000">
      <w:pPr>
        <w:widowControl w:val="0"/>
        <w:spacing w:before="80" w:after="80"/>
        <w:jc w:val="both"/>
        <w:rPr>
          <w:b/>
          <w:sz w:val="22"/>
        </w:rPr>
      </w:pPr>
      <w:r>
        <w:rPr>
          <w:b/>
          <w:sz w:val="22"/>
        </w:rPr>
        <w:t xml:space="preserve">H - </w:t>
      </w:r>
      <w:r>
        <w:rPr>
          <w:b/>
          <w:sz w:val="22"/>
          <w:u w:val="single"/>
        </w:rPr>
        <w:t>Les cancers des voies génitales</w:t>
      </w:r>
      <w:r>
        <w:rPr>
          <w:b/>
          <w:sz w:val="22"/>
        </w:rPr>
        <w:t> :</w:t>
      </w:r>
    </w:p>
    <w:p w:rsidR="00000000" w:rsidRDefault="00000000">
      <w:pPr>
        <w:widowControl w:val="0"/>
        <w:spacing w:before="80" w:after="80"/>
        <w:ind w:left="57"/>
        <w:jc w:val="both"/>
        <w:rPr>
          <w:sz w:val="22"/>
        </w:rPr>
      </w:pPr>
      <w:r>
        <w:rPr>
          <w:sz w:val="22"/>
        </w:rPr>
        <w:t>Les cancers des voies génitales occupent une place très importante dans la pratique gynécologique au centre hospitalier et universitaire (CHU) de Brazzaville. Ils représentent 37,92% des cas enregistrés au cours de la période 1982-1995. Il s'agit chez la femme, des cancers de la vulve, du vagin, du col de l'utérus, de la trompe et de l'ovaire.</w:t>
      </w:r>
    </w:p>
    <w:p w:rsidR="00000000" w:rsidRDefault="00000000">
      <w:pPr>
        <w:widowControl w:val="0"/>
        <w:spacing w:before="80" w:after="80"/>
        <w:ind w:left="57"/>
        <w:jc w:val="both"/>
        <w:rPr>
          <w:sz w:val="22"/>
        </w:rPr>
      </w:pPr>
      <w:r>
        <w:rPr>
          <w:sz w:val="22"/>
        </w:rPr>
        <w:t>Le cancer du col utérin représente la première cause de mortalité par cancer de la femme au Congo : 27,14% des cas devant le cancer du sein 17,5%. Le nombre de cas de cancer du col chez la femme avant 30 ans est en augmentation surtout dans les formes associées au VIH (4,24% des cas). L'absence d'un programme de dépistage par frottis cervico-vaginal, ne permet pas le diagnostic</w:t>
      </w:r>
    </w:p>
    <w:p w:rsidR="00000000" w:rsidRDefault="00000000">
      <w:pPr>
        <w:widowControl w:val="0"/>
        <w:spacing w:before="80" w:after="80"/>
        <w:ind w:left="57"/>
        <w:jc w:val="both"/>
        <w:rPr>
          <w:sz w:val="22"/>
        </w:rPr>
      </w:pPr>
      <w:r>
        <w:rPr>
          <w:sz w:val="22"/>
        </w:rPr>
        <w:t xml:space="preserve">précoce et rend difficile l'application d'un traitement conservateur chez de nombreuses femmes. </w:t>
      </w:r>
    </w:p>
    <w:p w:rsidR="00000000" w:rsidRDefault="00000000">
      <w:pPr>
        <w:spacing w:before="120"/>
        <w:jc w:val="both"/>
        <w:rPr>
          <w:b/>
          <w:sz w:val="22"/>
        </w:rPr>
      </w:pPr>
      <w:r>
        <w:rPr>
          <w:b/>
          <w:sz w:val="22"/>
        </w:rPr>
        <w:t xml:space="preserve">I - </w:t>
      </w:r>
      <w:r>
        <w:rPr>
          <w:b/>
          <w:sz w:val="22"/>
          <w:u w:val="single"/>
        </w:rPr>
        <w:t>Les violences à l'égard des femmes</w:t>
      </w:r>
      <w:r>
        <w:rPr>
          <w:b/>
          <w:sz w:val="22"/>
        </w:rPr>
        <w:t> :</w:t>
      </w:r>
    </w:p>
    <w:p w:rsidR="00000000" w:rsidRDefault="00000000">
      <w:pPr>
        <w:jc w:val="both"/>
        <w:rPr>
          <w:sz w:val="22"/>
        </w:rPr>
      </w:pPr>
    </w:p>
    <w:p w:rsidR="00000000" w:rsidRDefault="00000000">
      <w:pPr>
        <w:pStyle w:val="BodyText3"/>
        <w:rPr>
          <w:sz w:val="22"/>
        </w:rPr>
      </w:pPr>
      <w:r>
        <w:rPr>
          <w:sz w:val="22"/>
        </w:rPr>
        <w:t xml:space="preserve">La violence à l'égard des femmes sous toutes ses formes a des conséquences graves sur la santé des femmes. Au Congo, les violences à l'égard des femmes trouvent en partie leur source dans le système de relation entre l'homme et la femme. Les textes fondamentaux reconnaissent l'égalité entre l'homme et la femme alors que la coutume proclame la supériorité de l'homme sur la femme. </w:t>
      </w:r>
    </w:p>
    <w:p w:rsidR="00000000" w:rsidRDefault="00000000">
      <w:pPr>
        <w:jc w:val="both"/>
        <w:rPr>
          <w:sz w:val="22"/>
        </w:rPr>
      </w:pPr>
    </w:p>
    <w:p w:rsidR="00000000" w:rsidRDefault="00000000">
      <w:pPr>
        <w:jc w:val="both"/>
        <w:rPr>
          <w:sz w:val="22"/>
        </w:rPr>
      </w:pPr>
      <w:r>
        <w:rPr>
          <w:sz w:val="22"/>
        </w:rPr>
        <w:t>Les diverses formes de violences qui sont enregistrées sont d'ordre physique et psychologique. Elles s'exercent aussi bien dans le cadre familial que dans la société. La violence dans le foyer tend à s'accentuer pendant la grossesse. Une augmentation sensible des cas de violences sexuelles a été constatée avec les conflits armés de ces dernières années.</w:t>
      </w:r>
    </w:p>
    <w:p w:rsidR="00000000" w:rsidRDefault="00000000">
      <w:pPr>
        <w:spacing w:before="120" w:after="120"/>
        <w:jc w:val="both"/>
        <w:rPr>
          <w:sz w:val="22"/>
        </w:rPr>
      </w:pPr>
      <w:r>
        <w:rPr>
          <w:sz w:val="22"/>
        </w:rPr>
        <w:t xml:space="preserve">La situation exacte de ce phénomène est difficile à apprécier vu le caractère tabou du sujet et l'insuffisance de données statistiques dans les formations sociosanitaires. De plus, il n'existe pas de publications sur ces données concernant la période avant le conflit. Les victimes, ignorant leurs droits, se retranchent dans le silence. </w:t>
      </w:r>
    </w:p>
    <w:p w:rsidR="00000000" w:rsidRDefault="00000000">
      <w:pPr>
        <w:jc w:val="both"/>
        <w:rPr>
          <w:sz w:val="22"/>
        </w:rPr>
      </w:pPr>
      <w:r>
        <w:rPr>
          <w:sz w:val="22"/>
        </w:rPr>
        <w:t>Une étude qualitative (Focus - groupe) avec des victimes permet de dire que la violence sexuelle est observée dans toutes les tranches d'âge. Les formes les plus citées sont le viol, le harcèlement sexuel et les abus sexuels</w:t>
      </w:r>
      <w:r>
        <w:rPr>
          <w:rStyle w:val="FootnoteReference"/>
          <w:sz w:val="22"/>
        </w:rPr>
        <w:footnoteReference w:id="9"/>
      </w:r>
      <w:r>
        <w:rPr>
          <w:sz w:val="22"/>
        </w:rPr>
        <w:t>.</w:t>
      </w:r>
    </w:p>
    <w:p w:rsidR="00000000" w:rsidRDefault="00000000">
      <w:pPr>
        <w:spacing w:before="120" w:after="240"/>
        <w:rPr>
          <w:b/>
          <w:sz w:val="22"/>
        </w:rPr>
      </w:pPr>
      <w:r>
        <w:rPr>
          <w:b/>
          <w:sz w:val="22"/>
          <w:u w:val="single"/>
        </w:rPr>
        <w:t>Tableau n° 75</w:t>
      </w:r>
      <w:r>
        <w:rPr>
          <w:b/>
          <w:sz w:val="22"/>
        </w:rPr>
        <w:t xml:space="preserve"> : Situation des violences sexuelles </w:t>
      </w: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73"/>
        <w:gridCol w:w="3273"/>
        <w:gridCol w:w="3273"/>
      </w:tblGrid>
      <w:tr w:rsidR="00000000">
        <w:tblPrEx>
          <w:tblCellMar>
            <w:top w:w="0" w:type="dxa"/>
            <w:bottom w:w="0" w:type="dxa"/>
          </w:tblCellMar>
        </w:tblPrEx>
        <w:tc>
          <w:tcPr>
            <w:tcW w:w="3273" w:type="dxa"/>
            <w:vAlign w:val="center"/>
          </w:tcPr>
          <w:p w:rsidR="00000000" w:rsidRDefault="00000000">
            <w:pPr>
              <w:spacing w:before="120" w:after="120"/>
              <w:jc w:val="center"/>
              <w:rPr>
                <w:sz w:val="22"/>
              </w:rPr>
            </w:pPr>
            <w:r>
              <w:rPr>
                <w:sz w:val="22"/>
              </w:rPr>
              <w:t>Localité - période</w:t>
            </w:r>
          </w:p>
        </w:tc>
        <w:tc>
          <w:tcPr>
            <w:tcW w:w="3273" w:type="dxa"/>
            <w:vAlign w:val="center"/>
          </w:tcPr>
          <w:p w:rsidR="00000000" w:rsidRDefault="00000000">
            <w:pPr>
              <w:spacing w:before="120" w:after="120"/>
              <w:jc w:val="center"/>
              <w:rPr>
                <w:sz w:val="22"/>
              </w:rPr>
            </w:pPr>
            <w:r>
              <w:rPr>
                <w:sz w:val="22"/>
              </w:rPr>
              <w:t>Nombre de cas enregistrés</w:t>
            </w:r>
          </w:p>
        </w:tc>
        <w:tc>
          <w:tcPr>
            <w:tcW w:w="3273" w:type="dxa"/>
            <w:vAlign w:val="center"/>
          </w:tcPr>
          <w:p w:rsidR="00000000" w:rsidRDefault="00000000">
            <w:pPr>
              <w:spacing w:before="120" w:after="120"/>
              <w:jc w:val="center"/>
              <w:rPr>
                <w:sz w:val="22"/>
              </w:rPr>
            </w:pPr>
            <w:r>
              <w:rPr>
                <w:sz w:val="22"/>
              </w:rPr>
              <w:t>Nombre de cas de grossesse</w:t>
            </w:r>
          </w:p>
        </w:tc>
      </w:tr>
      <w:tr w:rsidR="00000000">
        <w:tblPrEx>
          <w:tblCellMar>
            <w:top w:w="0" w:type="dxa"/>
            <w:bottom w:w="0" w:type="dxa"/>
          </w:tblCellMar>
        </w:tblPrEx>
        <w:tc>
          <w:tcPr>
            <w:tcW w:w="3273" w:type="dxa"/>
            <w:vAlign w:val="center"/>
          </w:tcPr>
          <w:p w:rsidR="00000000" w:rsidRDefault="00000000">
            <w:pPr>
              <w:spacing w:before="120"/>
              <w:jc w:val="center"/>
              <w:rPr>
                <w:sz w:val="22"/>
              </w:rPr>
            </w:pPr>
            <w:r>
              <w:rPr>
                <w:sz w:val="22"/>
              </w:rPr>
              <w:t>Brazzaville</w:t>
            </w:r>
          </w:p>
          <w:p w:rsidR="00000000" w:rsidRDefault="00000000">
            <w:pPr>
              <w:spacing w:after="120"/>
              <w:jc w:val="center"/>
              <w:rPr>
                <w:sz w:val="22"/>
              </w:rPr>
            </w:pPr>
            <w:r>
              <w:rPr>
                <w:sz w:val="22"/>
              </w:rPr>
              <w:t>(Mai- Décembre 1999)</w:t>
            </w:r>
          </w:p>
        </w:tc>
        <w:tc>
          <w:tcPr>
            <w:tcW w:w="3273" w:type="dxa"/>
            <w:vAlign w:val="center"/>
          </w:tcPr>
          <w:p w:rsidR="00000000" w:rsidRDefault="00000000">
            <w:pPr>
              <w:spacing w:before="120" w:after="120"/>
              <w:jc w:val="center"/>
              <w:rPr>
                <w:sz w:val="22"/>
              </w:rPr>
            </w:pPr>
            <w:r>
              <w:rPr>
                <w:sz w:val="22"/>
              </w:rPr>
              <w:t>1601</w:t>
            </w:r>
          </w:p>
        </w:tc>
        <w:tc>
          <w:tcPr>
            <w:tcW w:w="3273" w:type="dxa"/>
            <w:vAlign w:val="center"/>
          </w:tcPr>
          <w:p w:rsidR="00000000" w:rsidRDefault="00000000">
            <w:pPr>
              <w:spacing w:before="120" w:after="120"/>
              <w:jc w:val="center"/>
              <w:rPr>
                <w:sz w:val="22"/>
              </w:rPr>
            </w:pPr>
            <w:r>
              <w:rPr>
                <w:sz w:val="22"/>
              </w:rPr>
              <w:t>158</w:t>
            </w:r>
          </w:p>
        </w:tc>
      </w:tr>
      <w:tr w:rsidR="00000000">
        <w:tblPrEx>
          <w:tblCellMar>
            <w:top w:w="0" w:type="dxa"/>
            <w:bottom w:w="0" w:type="dxa"/>
          </w:tblCellMar>
        </w:tblPrEx>
        <w:tc>
          <w:tcPr>
            <w:tcW w:w="3273" w:type="dxa"/>
            <w:vAlign w:val="center"/>
          </w:tcPr>
          <w:p w:rsidR="00000000" w:rsidRDefault="00000000">
            <w:pPr>
              <w:spacing w:before="120"/>
              <w:jc w:val="center"/>
              <w:rPr>
                <w:sz w:val="22"/>
              </w:rPr>
            </w:pPr>
            <w:r>
              <w:rPr>
                <w:sz w:val="22"/>
              </w:rPr>
              <w:t>Pointe Noire</w:t>
            </w:r>
          </w:p>
          <w:p w:rsidR="00000000" w:rsidRDefault="00000000">
            <w:pPr>
              <w:spacing w:after="120"/>
              <w:jc w:val="center"/>
              <w:rPr>
                <w:sz w:val="22"/>
              </w:rPr>
            </w:pPr>
            <w:r>
              <w:rPr>
                <w:sz w:val="22"/>
              </w:rPr>
              <w:t>(Mars- Septembre 1999)</w:t>
            </w:r>
          </w:p>
        </w:tc>
        <w:tc>
          <w:tcPr>
            <w:tcW w:w="3273" w:type="dxa"/>
            <w:vAlign w:val="center"/>
          </w:tcPr>
          <w:p w:rsidR="00000000" w:rsidRDefault="00000000">
            <w:pPr>
              <w:spacing w:before="120" w:after="120"/>
              <w:jc w:val="center"/>
              <w:rPr>
                <w:sz w:val="22"/>
              </w:rPr>
            </w:pPr>
            <w:r>
              <w:rPr>
                <w:sz w:val="22"/>
              </w:rPr>
              <w:t>435</w:t>
            </w:r>
          </w:p>
        </w:tc>
        <w:tc>
          <w:tcPr>
            <w:tcW w:w="3273" w:type="dxa"/>
            <w:vAlign w:val="center"/>
          </w:tcPr>
          <w:p w:rsidR="00000000" w:rsidRDefault="00000000">
            <w:pPr>
              <w:spacing w:before="120" w:after="120"/>
              <w:jc w:val="center"/>
              <w:rPr>
                <w:sz w:val="22"/>
              </w:rPr>
            </w:pPr>
            <w:r>
              <w:rPr>
                <w:sz w:val="22"/>
              </w:rPr>
              <w:t>35</w:t>
            </w:r>
          </w:p>
        </w:tc>
      </w:tr>
    </w:tbl>
    <w:p w:rsidR="00000000" w:rsidRDefault="00000000">
      <w:pPr>
        <w:spacing w:before="240"/>
        <w:jc w:val="both"/>
        <w:rPr>
          <w:i/>
          <w:sz w:val="22"/>
        </w:rPr>
      </w:pPr>
      <w:r>
        <w:rPr>
          <w:i/>
          <w:sz w:val="22"/>
          <w:u w:val="single"/>
        </w:rPr>
        <w:t>Source</w:t>
      </w:r>
      <w:r>
        <w:rPr>
          <w:i/>
          <w:sz w:val="22"/>
        </w:rPr>
        <w:t> : (rapports: IRC,  DSF, 1999)</w:t>
      </w:r>
    </w:p>
    <w:p w:rsidR="00000000" w:rsidRDefault="00000000">
      <w:pPr>
        <w:spacing w:before="240"/>
        <w:jc w:val="both"/>
        <w:rPr>
          <w:sz w:val="22"/>
        </w:rPr>
      </w:pPr>
      <w:r>
        <w:rPr>
          <w:sz w:val="22"/>
        </w:rPr>
        <w:t>Ces chiffres, obtenus à partir de quelques formations sanitaires de Brazzaville et de Pointe Noire, montrent que la violence sexuelle est un problème réel, mais les chiffres ne reflètent pas l'ampleur du problème sur l'ensemble du territoire.</w:t>
      </w:r>
    </w:p>
    <w:p w:rsidR="00000000" w:rsidRDefault="00000000">
      <w:pPr>
        <w:spacing w:before="120"/>
        <w:jc w:val="both"/>
        <w:rPr>
          <w:sz w:val="22"/>
        </w:rPr>
      </w:pPr>
      <w:r>
        <w:rPr>
          <w:sz w:val="22"/>
        </w:rPr>
        <w:t>A Brazzaville, quelques centres de prise en charge psychoclinique des victimes sont fonctionnels. Dans les autres régions du pays, la prise en charge des victimes n'est que partielle, car le volet psychoclinique est inexistant. La majorité des victimes n'a donc pas accès à des services de qualité.</w:t>
      </w:r>
    </w:p>
    <w:p w:rsidR="00000000" w:rsidRDefault="00000000">
      <w:pPr>
        <w:spacing w:before="120"/>
        <w:jc w:val="both"/>
        <w:rPr>
          <w:sz w:val="22"/>
        </w:rPr>
      </w:pPr>
      <w:r>
        <w:rPr>
          <w:sz w:val="22"/>
        </w:rPr>
        <w:t>La question des grossesses post viol et celle de la contamination par le VIH constitue une préoccupation pour les victimes.</w:t>
      </w:r>
    </w:p>
    <w:p w:rsidR="00000000" w:rsidRDefault="00000000">
      <w:pPr>
        <w:spacing w:before="120"/>
        <w:jc w:val="both"/>
        <w:rPr>
          <w:sz w:val="22"/>
        </w:rPr>
      </w:pPr>
      <w:r>
        <w:rPr>
          <w:sz w:val="22"/>
        </w:rPr>
        <w:t>Les lois congolaises sur les violences prévoient la condamnation des coupables ; par exemple le viol est un crime ; il est en principe puni de quinze ans de réclusion criminelle maintenant contre cinq à dix ans avant, la peine a été aggravée dans des circonstances qui tiennent soit au résultat des violences, soit à la qualité  de la victime ou de l'auteur, soit la nature du crime.</w:t>
      </w:r>
    </w:p>
    <w:p w:rsidR="00000000" w:rsidRDefault="00000000">
      <w:pPr>
        <w:spacing w:before="240" w:after="120"/>
        <w:jc w:val="both"/>
        <w:rPr>
          <w:b/>
          <w:sz w:val="22"/>
        </w:rPr>
      </w:pPr>
      <w:r>
        <w:rPr>
          <w:b/>
          <w:sz w:val="22"/>
        </w:rPr>
        <w:t xml:space="preserve">J - </w:t>
      </w:r>
      <w:r>
        <w:rPr>
          <w:b/>
          <w:sz w:val="22"/>
          <w:u w:val="single"/>
        </w:rPr>
        <w:t>L'infection au VIH /SIDA</w:t>
      </w:r>
      <w:r>
        <w:rPr>
          <w:b/>
          <w:sz w:val="22"/>
        </w:rPr>
        <w:t> :</w:t>
      </w:r>
    </w:p>
    <w:p w:rsidR="00000000" w:rsidRDefault="00000000">
      <w:pPr>
        <w:spacing w:before="120" w:after="120"/>
        <w:jc w:val="both"/>
        <w:rPr>
          <w:sz w:val="22"/>
        </w:rPr>
      </w:pPr>
      <w:r>
        <w:rPr>
          <w:sz w:val="22"/>
        </w:rPr>
        <w:t>L’infection au VIH/SIDA est l'une des premières causes de mortalité au Congo, 35,5% des décès chez les personnes âgées de 15 à 45 ans</w:t>
      </w:r>
      <w:r>
        <w:rPr>
          <w:sz w:val="22"/>
          <w:vertAlign w:val="superscript"/>
        </w:rPr>
        <w:t>]</w:t>
      </w:r>
      <w:r>
        <w:rPr>
          <w:sz w:val="22"/>
        </w:rPr>
        <w:t>.</w:t>
      </w:r>
    </w:p>
    <w:p w:rsidR="00000000" w:rsidRDefault="00000000">
      <w:pPr>
        <w:pStyle w:val="BodyText3"/>
        <w:rPr>
          <w:sz w:val="22"/>
        </w:rPr>
      </w:pPr>
      <w:r>
        <w:rPr>
          <w:sz w:val="22"/>
        </w:rPr>
        <w:t>Le taux de séropositivité VIH-1 à Brazzaville a été estimé à 7,8% en 1996. Chez les prostituées, cette séropositivité varie entre 30 et 64%. Chez les donneurs de sang, elle est de 10% et, de 17% chez les sujets atteints de MST, les tuberculeux 34% et chez les femmes enceintes, elle varie entre 5 et 10%</w:t>
      </w:r>
    </w:p>
    <w:p w:rsidR="00000000" w:rsidRDefault="00000000">
      <w:pPr>
        <w:jc w:val="both"/>
        <w:rPr>
          <w:sz w:val="22"/>
        </w:rPr>
      </w:pPr>
      <w:r>
        <w:rPr>
          <w:sz w:val="22"/>
        </w:rPr>
        <w:t>Les taux restent négligeables en zone rurale ; mais ils s'accroissent rapidement dans les zones urbaines et suburbaines constituant ainsi une menace pour la population</w:t>
      </w:r>
      <w:r>
        <w:rPr>
          <w:rStyle w:val="FootnoteReference"/>
          <w:sz w:val="22"/>
        </w:rPr>
        <w:footnoteReference w:id="10"/>
      </w:r>
      <w:r>
        <w:rPr>
          <w:sz w:val="22"/>
        </w:rPr>
        <w:t>.</w:t>
      </w:r>
    </w:p>
    <w:p w:rsidR="00000000" w:rsidRDefault="00000000">
      <w:pPr>
        <w:jc w:val="both"/>
        <w:rPr>
          <w:sz w:val="22"/>
        </w:rPr>
      </w:pPr>
    </w:p>
    <w:p w:rsidR="00000000" w:rsidRDefault="00000000">
      <w:pPr>
        <w:jc w:val="both"/>
        <w:rPr>
          <w:sz w:val="22"/>
        </w:rPr>
      </w:pPr>
      <w:r>
        <w:rPr>
          <w:sz w:val="22"/>
        </w:rPr>
        <w:t>Seuls Brazzaville et Pointe Noire disposent de centres de traitement ambulatoire (CTA) pour  la prise en charge des malades du Sida .</w:t>
      </w:r>
    </w:p>
    <w:p w:rsidR="00000000" w:rsidRDefault="00000000">
      <w:pPr>
        <w:spacing w:before="120" w:after="120"/>
        <w:jc w:val="both"/>
        <w:rPr>
          <w:sz w:val="22"/>
        </w:rPr>
      </w:pPr>
      <w:r>
        <w:rPr>
          <w:sz w:val="22"/>
        </w:rPr>
        <w:t>La sensibilisation des populations et la promotion du préservatif masculin se font dans le cadre du Programme national de lutte contre les MST/ SIDA, l'intégration des activités du PNLS dans les CSI ainsi que celles du CTA dans les hôpitaux de référence. La création d'antennes du centre national de transfusion sanguine de Brazzaville au niveau régional sont les mesures qui sont mises en œuvre pour améliorer la sécurité transfusionnelle et réduire la prévalence de la maladie.</w:t>
      </w:r>
    </w:p>
    <w:p w:rsidR="00000000" w:rsidRDefault="00000000">
      <w:pPr>
        <w:spacing w:before="120" w:after="120"/>
        <w:jc w:val="both"/>
        <w:rPr>
          <w:sz w:val="22"/>
        </w:rPr>
      </w:pPr>
    </w:p>
    <w:p w:rsidR="00000000" w:rsidRDefault="00000000">
      <w:pPr>
        <w:jc w:val="both"/>
        <w:rPr>
          <w:b/>
          <w:sz w:val="22"/>
        </w:rPr>
      </w:pPr>
      <w:r>
        <w:rPr>
          <w:b/>
          <w:sz w:val="22"/>
        </w:rPr>
        <w:t xml:space="preserve">K - </w:t>
      </w:r>
      <w:r>
        <w:rPr>
          <w:b/>
          <w:sz w:val="22"/>
          <w:u w:val="single"/>
        </w:rPr>
        <w:t>La nutrition</w:t>
      </w:r>
      <w:r>
        <w:rPr>
          <w:b/>
          <w:sz w:val="22"/>
        </w:rPr>
        <w:t> :</w:t>
      </w:r>
    </w:p>
    <w:p w:rsidR="00000000" w:rsidRDefault="00000000">
      <w:pPr>
        <w:ind w:left="360"/>
        <w:jc w:val="both"/>
        <w:rPr>
          <w:b/>
          <w:sz w:val="22"/>
        </w:rPr>
      </w:pPr>
    </w:p>
    <w:p w:rsidR="00000000" w:rsidRDefault="00000000">
      <w:pPr>
        <w:jc w:val="both"/>
        <w:rPr>
          <w:sz w:val="22"/>
        </w:rPr>
      </w:pPr>
      <w:r>
        <w:rPr>
          <w:sz w:val="22"/>
        </w:rPr>
        <w:t>Il s'agit de maladies dues aux carences nutritionnelles telle que la malnutrition, la carence en iode, en fer, en vitamine A et acide folique et les maladies de surcharge. Il faut noter que la carence en iode entraîne des troubles graves dont le plus visible est le goitre. Les autres manifestations les plus connues sont :</w:t>
      </w:r>
    </w:p>
    <w:p w:rsidR="00000000" w:rsidRDefault="00000000">
      <w:pPr>
        <w:jc w:val="both"/>
        <w:rPr>
          <w:sz w:val="22"/>
        </w:rPr>
      </w:pPr>
    </w:p>
    <w:p w:rsidR="00000000" w:rsidRDefault="00000000">
      <w:pPr>
        <w:numPr>
          <w:ilvl w:val="0"/>
          <w:numId w:val="224"/>
        </w:numPr>
        <w:jc w:val="both"/>
        <w:rPr>
          <w:sz w:val="22"/>
        </w:rPr>
      </w:pPr>
      <w:r>
        <w:rPr>
          <w:sz w:val="22"/>
        </w:rPr>
        <w:t>les malformations congénitales ;</w:t>
      </w:r>
    </w:p>
    <w:p w:rsidR="00000000" w:rsidRDefault="00000000">
      <w:pPr>
        <w:numPr>
          <w:ilvl w:val="0"/>
          <w:numId w:val="224"/>
        </w:numPr>
        <w:jc w:val="both"/>
        <w:rPr>
          <w:sz w:val="22"/>
        </w:rPr>
      </w:pPr>
      <w:r>
        <w:rPr>
          <w:sz w:val="22"/>
        </w:rPr>
        <w:t>les avortements répétés ;</w:t>
      </w:r>
    </w:p>
    <w:p w:rsidR="00000000" w:rsidRDefault="00000000">
      <w:pPr>
        <w:numPr>
          <w:ilvl w:val="0"/>
          <w:numId w:val="224"/>
        </w:numPr>
        <w:jc w:val="both"/>
        <w:rPr>
          <w:sz w:val="22"/>
        </w:rPr>
      </w:pPr>
      <w:r>
        <w:rPr>
          <w:sz w:val="22"/>
        </w:rPr>
        <w:t>les accouchements prématurés ;</w:t>
      </w:r>
    </w:p>
    <w:p w:rsidR="00000000" w:rsidRDefault="00000000">
      <w:pPr>
        <w:numPr>
          <w:ilvl w:val="0"/>
          <w:numId w:val="224"/>
        </w:numPr>
        <w:jc w:val="both"/>
        <w:rPr>
          <w:sz w:val="22"/>
        </w:rPr>
      </w:pPr>
      <w:r>
        <w:rPr>
          <w:sz w:val="22"/>
        </w:rPr>
        <w:t>l’insuffisance pondérale à la naissance ;</w:t>
      </w:r>
    </w:p>
    <w:p w:rsidR="00000000" w:rsidRDefault="00000000">
      <w:pPr>
        <w:numPr>
          <w:ilvl w:val="0"/>
          <w:numId w:val="224"/>
        </w:numPr>
        <w:jc w:val="both"/>
        <w:rPr>
          <w:sz w:val="22"/>
        </w:rPr>
      </w:pPr>
      <w:r>
        <w:rPr>
          <w:sz w:val="22"/>
        </w:rPr>
        <w:t>le crétinisme (arriération mentale) ;</w:t>
      </w:r>
    </w:p>
    <w:p w:rsidR="00000000" w:rsidRDefault="00000000">
      <w:pPr>
        <w:numPr>
          <w:ilvl w:val="0"/>
          <w:numId w:val="224"/>
        </w:numPr>
        <w:jc w:val="both"/>
        <w:rPr>
          <w:sz w:val="22"/>
        </w:rPr>
      </w:pPr>
      <w:r>
        <w:rPr>
          <w:sz w:val="22"/>
        </w:rPr>
        <w:t>les handicaps divers tels que la surdité, les paralysies, le strabisme… ;</w:t>
      </w:r>
    </w:p>
    <w:p w:rsidR="00000000" w:rsidRDefault="00000000">
      <w:pPr>
        <w:numPr>
          <w:ilvl w:val="0"/>
          <w:numId w:val="224"/>
        </w:numPr>
        <w:jc w:val="both"/>
        <w:rPr>
          <w:sz w:val="22"/>
        </w:rPr>
      </w:pPr>
      <w:r>
        <w:rPr>
          <w:sz w:val="22"/>
        </w:rPr>
        <w:t>la forte mortalité infantile et maternelle.</w:t>
      </w:r>
    </w:p>
    <w:p w:rsidR="00000000" w:rsidRDefault="00000000">
      <w:pPr>
        <w:jc w:val="both"/>
        <w:rPr>
          <w:sz w:val="22"/>
        </w:rPr>
      </w:pPr>
    </w:p>
    <w:p w:rsidR="00000000" w:rsidRDefault="00000000">
      <w:pPr>
        <w:jc w:val="both"/>
        <w:rPr>
          <w:sz w:val="22"/>
        </w:rPr>
      </w:pPr>
      <w:r>
        <w:rPr>
          <w:sz w:val="22"/>
        </w:rPr>
        <w:t>Tout cela a des conséquences nationales sur l’éducation (le retard scolaire) et sur l’économie (réduction de la capacité de production des adultes).</w:t>
      </w:r>
    </w:p>
    <w:p w:rsidR="00000000" w:rsidRDefault="00000000">
      <w:pPr>
        <w:jc w:val="both"/>
        <w:rPr>
          <w:sz w:val="22"/>
        </w:rPr>
      </w:pPr>
    </w:p>
    <w:p w:rsidR="00000000" w:rsidRDefault="00000000">
      <w:pPr>
        <w:jc w:val="both"/>
        <w:rPr>
          <w:sz w:val="22"/>
        </w:rPr>
      </w:pPr>
      <w:r>
        <w:rPr>
          <w:sz w:val="22"/>
        </w:rPr>
        <w:t>Au Congo, il s’agit d’une endémie légère puisque seulement 10% des enfants en milieu scolaire présentent un goitre selon l’enquête nationale réalisée en 1997. Cependant, la situation est préoccupante dans les régions de la Likouala (19,2%), de la Cuvette-Ouest (15,4%) et de la Sangha (13,3%).</w:t>
      </w:r>
    </w:p>
    <w:p w:rsidR="00000000" w:rsidRDefault="00000000">
      <w:pPr>
        <w:jc w:val="both"/>
        <w:rPr>
          <w:sz w:val="22"/>
        </w:rPr>
      </w:pPr>
    </w:p>
    <w:p w:rsidR="00000000" w:rsidRDefault="00000000">
      <w:pPr>
        <w:jc w:val="both"/>
        <w:rPr>
          <w:sz w:val="22"/>
        </w:rPr>
      </w:pPr>
      <w:r>
        <w:rPr>
          <w:sz w:val="22"/>
        </w:rPr>
        <w:t>Sur certains axes tels que Dongou-Berandzoko et Dongou-Macac on note des prévalences de plus de 30%.</w:t>
      </w:r>
    </w:p>
    <w:p w:rsidR="00000000" w:rsidRDefault="00000000">
      <w:pPr>
        <w:jc w:val="both"/>
        <w:rPr>
          <w:sz w:val="22"/>
        </w:rPr>
      </w:pPr>
      <w:r>
        <w:rPr>
          <w:sz w:val="22"/>
        </w:rPr>
        <w:t>Le bas niveau socio-économique et culturel des femmes favorise la consommation  d'aliments contaminés et/ou de faible valeur nutritive. Les guerres ont également eu des répercussions néfastes sur la sécurité alimentaire notamment celles des familles déplacées. Un nombre important de cas de malnutrition sévère a été observé chez des femmes adultes.</w:t>
      </w:r>
    </w:p>
    <w:p w:rsidR="00000000" w:rsidRDefault="00000000">
      <w:pPr>
        <w:jc w:val="both"/>
        <w:rPr>
          <w:sz w:val="22"/>
        </w:rPr>
      </w:pPr>
    </w:p>
    <w:p w:rsidR="00000000" w:rsidRDefault="00000000">
      <w:pPr>
        <w:jc w:val="both"/>
        <w:rPr>
          <w:sz w:val="22"/>
        </w:rPr>
      </w:pPr>
      <w:r>
        <w:rPr>
          <w:sz w:val="22"/>
        </w:rPr>
        <w:t xml:space="preserve">Chez les femmes ,la carence énergétique mesurée par un indice de masse corporel inférieur à 18,4 est en nette augmentation. A Brazzaville, de 1986 à 1996, la prévalence des femmes maigres a presque doublé ; en milieu rural, elle est passée de 11,1 à 14,3 % entre 1987 et 1994. </w:t>
      </w:r>
    </w:p>
    <w:p w:rsidR="00000000" w:rsidRDefault="00000000">
      <w:pPr>
        <w:jc w:val="both"/>
        <w:rPr>
          <w:sz w:val="22"/>
        </w:rPr>
      </w:pPr>
    </w:p>
    <w:p w:rsidR="00000000" w:rsidRDefault="00000000">
      <w:pPr>
        <w:jc w:val="both"/>
        <w:rPr>
          <w:sz w:val="22"/>
        </w:rPr>
      </w:pPr>
      <w:r>
        <w:rPr>
          <w:sz w:val="22"/>
        </w:rPr>
        <w:t>Le taux de prévalence des femmes obèses est de 28,9% en milieu urbain. Ce taux est moins élevé en zone rurale. Cependant, on signale qu’il est de 1,5 fois plus élevé dans les régions de la Lekoumou et de la Cuvette.</w:t>
      </w:r>
    </w:p>
    <w:p w:rsidR="00000000" w:rsidRDefault="00000000">
      <w:pPr>
        <w:jc w:val="both"/>
        <w:rPr>
          <w:sz w:val="22"/>
        </w:rPr>
      </w:pPr>
    </w:p>
    <w:p w:rsidR="00000000" w:rsidRDefault="00000000">
      <w:pPr>
        <w:jc w:val="both"/>
        <w:rPr>
          <w:sz w:val="22"/>
        </w:rPr>
      </w:pPr>
      <w:r>
        <w:rPr>
          <w:sz w:val="22"/>
        </w:rPr>
        <w:t>Le goitre est la manifestation la plus visible, une prévalence de 10% est observée dans les ¾ de la population congolaise (14,5% des garçons).</w:t>
      </w:r>
    </w:p>
    <w:p w:rsidR="00000000" w:rsidRDefault="00000000">
      <w:pPr>
        <w:jc w:val="both"/>
        <w:rPr>
          <w:sz w:val="22"/>
        </w:rPr>
      </w:pPr>
    </w:p>
    <w:p w:rsidR="00000000" w:rsidRDefault="00000000">
      <w:pPr>
        <w:jc w:val="both"/>
        <w:rPr>
          <w:sz w:val="22"/>
        </w:rPr>
      </w:pPr>
      <w:r>
        <w:rPr>
          <w:sz w:val="22"/>
        </w:rPr>
        <w:t>Le taux de prévalence de l'anémie est de 70% chez la femme enceinte, l'anémie s'installe dès le second trimestre de la grossesse.</w:t>
      </w:r>
    </w:p>
    <w:p w:rsidR="00000000" w:rsidRDefault="00000000">
      <w:pPr>
        <w:jc w:val="both"/>
        <w:rPr>
          <w:sz w:val="22"/>
        </w:rPr>
      </w:pPr>
    </w:p>
    <w:p w:rsidR="00000000" w:rsidRDefault="00000000">
      <w:pPr>
        <w:spacing w:before="120" w:after="120"/>
        <w:jc w:val="both"/>
        <w:rPr>
          <w:sz w:val="22"/>
        </w:rPr>
      </w:pPr>
      <w:r>
        <w:rPr>
          <w:sz w:val="22"/>
        </w:rPr>
        <w:t>L'enquête nutritionnelle réalisée en 1999, montre que dans la région du Kouilou, 70,6% des femmes, ont une corpulence acceptable ; la surcharge pondérale touche surtout le milieu urbain, 18,9% des femmes à Pointe Noire contre 7,7% des femmes en milieu rural. L'insuffisance pondérale est plus fréquente chez les femmes urbaines (12,8%) que chez les femmes rurales (10,8%). Concernant le statut en vitamine A chez les femmes en âge de procréer, 6,9% des femmes urbaines et 0,3% des femmes rurales présentent des taches de Bitot</w:t>
      </w:r>
      <w:r>
        <w:rPr>
          <w:rStyle w:val="FootnoteReference"/>
          <w:sz w:val="22"/>
        </w:rPr>
        <w:footnoteReference w:id="11"/>
      </w:r>
      <w:r>
        <w:rPr>
          <w:sz w:val="22"/>
        </w:rPr>
        <w:t>.</w:t>
      </w:r>
    </w:p>
    <w:p w:rsidR="00000000" w:rsidRDefault="00000000">
      <w:pPr>
        <w:spacing w:before="120" w:after="120"/>
        <w:jc w:val="both"/>
        <w:rPr>
          <w:sz w:val="22"/>
        </w:rPr>
      </w:pPr>
      <w:r>
        <w:rPr>
          <w:sz w:val="22"/>
        </w:rPr>
        <w:t>Dans les zones rurales du Nord (Plateau central et forêt exondée), 75,7% ont une corpulence acceptable. La surcharge pondérale touche 9,2% des femmes. L'insuffisance pondérale concerne 15,1% des femmes avec un taux négligeable de malnutrition sévère ; 14,4% des femmes en âge de procréer présentent des taches de Bitot,4% souffrent d'héméralopie.</w:t>
      </w:r>
    </w:p>
    <w:p w:rsidR="00000000" w:rsidRDefault="00000000">
      <w:pPr>
        <w:jc w:val="both"/>
        <w:rPr>
          <w:sz w:val="22"/>
        </w:rPr>
      </w:pPr>
      <w:r>
        <w:rPr>
          <w:sz w:val="22"/>
        </w:rPr>
        <w:t xml:space="preserve">Aussi bien dans le Kouilou que dans la zone rurale nord, l'insuffisance pondérale touche surtout les moins de 25 ans et les plus de 54ans. </w:t>
      </w:r>
    </w:p>
    <w:p w:rsidR="00000000" w:rsidRDefault="00000000">
      <w:pPr>
        <w:ind w:left="360"/>
        <w:jc w:val="both"/>
        <w:rPr>
          <w:b/>
          <w:sz w:val="22"/>
        </w:rPr>
      </w:pPr>
    </w:p>
    <w:p w:rsidR="00000000" w:rsidRDefault="00000000">
      <w:pPr>
        <w:jc w:val="both"/>
        <w:rPr>
          <w:b/>
          <w:sz w:val="22"/>
        </w:rPr>
      </w:pPr>
      <w:r>
        <w:rPr>
          <w:b/>
          <w:sz w:val="22"/>
        </w:rPr>
        <w:t xml:space="preserve">L - </w:t>
      </w:r>
      <w:r>
        <w:rPr>
          <w:b/>
          <w:sz w:val="22"/>
          <w:u w:val="single"/>
        </w:rPr>
        <w:t>L'approvisionnement en eau potable et l’assainissement</w:t>
      </w:r>
      <w:r>
        <w:rPr>
          <w:b/>
          <w:sz w:val="22"/>
        </w:rPr>
        <w:t> :</w:t>
      </w:r>
    </w:p>
    <w:p w:rsidR="00000000" w:rsidRDefault="00000000">
      <w:pPr>
        <w:spacing w:before="120" w:after="120"/>
        <w:jc w:val="both"/>
        <w:rPr>
          <w:b/>
          <w:sz w:val="22"/>
        </w:rPr>
      </w:pPr>
      <w:r>
        <w:rPr>
          <w:b/>
          <w:sz w:val="22"/>
        </w:rPr>
        <w:t xml:space="preserve">1 - </w:t>
      </w:r>
      <w:r>
        <w:rPr>
          <w:b/>
          <w:sz w:val="22"/>
          <w:u w:val="single"/>
        </w:rPr>
        <w:t>L’eau potable</w:t>
      </w:r>
      <w:r>
        <w:rPr>
          <w:b/>
          <w:sz w:val="22"/>
        </w:rPr>
        <w:t xml:space="preserve"> :</w:t>
      </w:r>
    </w:p>
    <w:p w:rsidR="00000000" w:rsidRDefault="00000000">
      <w:pPr>
        <w:pStyle w:val="BodyText3"/>
        <w:spacing w:before="120" w:after="120"/>
        <w:rPr>
          <w:sz w:val="22"/>
        </w:rPr>
      </w:pPr>
      <w:r>
        <w:rPr>
          <w:sz w:val="22"/>
        </w:rPr>
        <w:t>L'évaluation effectuée en 1996, dans le cadre de la mise en œuvre de l'initiative Afrique 2000, alimentation en eau potable et assainissement (AEPA), estimait à 69%, le taux de desserte en eau potable en milieu urbain et de 11% en milieu rural. Cela signifie qu'une bonne partie de la population n'a pas accès à l'eau potable, elle doit donc recourir aux systèmes traditionnels de redistribution ou à l'achat de l'eau de boisson chez les voisins, et à l'utilisation de l'eau de pluie pour les autres besoins. Cette pratique impose le rationnement de l'eau du fait de son coût de revient. La consommation de l'eau conservée pendant une longue période expose à des contaminations.</w:t>
      </w:r>
    </w:p>
    <w:p w:rsidR="00000000" w:rsidRDefault="00000000">
      <w:pPr>
        <w:jc w:val="both"/>
        <w:rPr>
          <w:sz w:val="22"/>
        </w:rPr>
      </w:pPr>
      <w:r>
        <w:rPr>
          <w:sz w:val="22"/>
        </w:rPr>
        <w:t>Dans les quartiers périphériques, les ménages ont recours aux points d'eau traditionnels qui sont souvent pollués.</w:t>
      </w:r>
    </w:p>
    <w:p w:rsidR="00000000" w:rsidRDefault="00000000">
      <w:pPr>
        <w:spacing w:before="120" w:after="120"/>
        <w:jc w:val="both"/>
        <w:rPr>
          <w:sz w:val="22"/>
        </w:rPr>
      </w:pPr>
      <w:r>
        <w:rPr>
          <w:sz w:val="22"/>
        </w:rPr>
        <w:t>En zone rurale, les populations s'approvisionnent en eau à partir des cours d'eau, de l’eau de pluie stockée dans des fûts, des puits traditionnels et des sources.</w:t>
      </w:r>
    </w:p>
    <w:p w:rsidR="00000000" w:rsidRDefault="00000000">
      <w:pPr>
        <w:jc w:val="both"/>
        <w:rPr>
          <w:sz w:val="22"/>
        </w:rPr>
      </w:pPr>
      <w:r>
        <w:rPr>
          <w:sz w:val="22"/>
        </w:rPr>
        <w:t>Les eaux consommées sont généralement polluées et source de principales maladies d'origine hydrique, exceptées celles de certaines sources bien aménagées. Les distances entre les villages et les points d'eau varient en moyenne entre 500 mètres et 1,5 kilomètres et les dénivelés entre 30 et 50 mètres. Cette situation est encore plus dramatique dans les Plateaux Batékés</w:t>
      </w:r>
      <w:r>
        <w:rPr>
          <w:rStyle w:val="FootnoteReference"/>
          <w:sz w:val="22"/>
        </w:rPr>
        <w:footnoteReference w:id="12"/>
      </w:r>
      <w:r>
        <w:rPr>
          <w:sz w:val="22"/>
        </w:rPr>
        <w:t>.</w:t>
      </w:r>
    </w:p>
    <w:p w:rsidR="00000000" w:rsidRDefault="00000000">
      <w:pPr>
        <w:spacing w:before="120" w:after="120"/>
        <w:jc w:val="both"/>
        <w:rPr>
          <w:b/>
          <w:sz w:val="22"/>
        </w:rPr>
      </w:pPr>
      <w:r>
        <w:rPr>
          <w:b/>
          <w:sz w:val="22"/>
        </w:rPr>
        <w:t xml:space="preserve">2 – </w:t>
      </w:r>
      <w:r>
        <w:rPr>
          <w:b/>
          <w:sz w:val="22"/>
          <w:u w:val="single"/>
        </w:rPr>
        <w:t>L’Assainissement</w:t>
      </w:r>
      <w:r>
        <w:rPr>
          <w:b/>
          <w:sz w:val="22"/>
        </w:rPr>
        <w:t> :</w:t>
      </w:r>
    </w:p>
    <w:p w:rsidR="00000000" w:rsidRDefault="00000000">
      <w:pPr>
        <w:pStyle w:val="BodyText3"/>
        <w:spacing w:before="120" w:after="120"/>
        <w:rPr>
          <w:sz w:val="22"/>
        </w:rPr>
      </w:pPr>
      <w:r>
        <w:rPr>
          <w:sz w:val="22"/>
        </w:rPr>
        <w:t>Des dysfonctionnements sont constatés au niveau des services publics chargés d'assurer la salubrité de l'environnement. De nombreuses initiatives privées sont en cours de développement.</w:t>
      </w:r>
    </w:p>
    <w:p w:rsidR="00000000" w:rsidRDefault="00000000">
      <w:pPr>
        <w:spacing w:before="120" w:after="120"/>
        <w:jc w:val="both"/>
        <w:rPr>
          <w:sz w:val="22"/>
        </w:rPr>
      </w:pPr>
      <w:r>
        <w:rPr>
          <w:sz w:val="22"/>
        </w:rPr>
        <w:t>Les enquêtes menées à Brazzaville en 1998 et 1999, montrent que seuls 17% des ménages disposent des fosses septiques et que ces ouvrages ne représentent que 14,4% des ouvrages d'assainissement utilisés à Brazzaville.</w:t>
      </w:r>
    </w:p>
    <w:p w:rsidR="00000000" w:rsidRDefault="00000000">
      <w:pPr>
        <w:jc w:val="both"/>
        <w:rPr>
          <w:sz w:val="22"/>
        </w:rPr>
      </w:pPr>
      <w:r>
        <w:rPr>
          <w:sz w:val="22"/>
        </w:rPr>
        <w:t xml:space="preserve">L'évacuation des eaux usées dans les principales villes du Congo (Brazzaville et Pointe Noire) s'effectue à travers un réseau d'égouts vétustes et caduques construits avant l'indépendance. Ce réseau n'est plus fonctionnel dans sa quasi totalité. </w:t>
      </w:r>
    </w:p>
    <w:p w:rsidR="00000000" w:rsidRDefault="00000000">
      <w:pPr>
        <w:spacing w:before="120"/>
        <w:jc w:val="both"/>
        <w:rPr>
          <w:sz w:val="22"/>
        </w:rPr>
      </w:pPr>
      <w:r>
        <w:rPr>
          <w:sz w:val="22"/>
        </w:rPr>
        <w:t xml:space="preserve">La corvée d’eau et l'hygiène du milieu sont réalisées par la femme et les enfants. C'est ainsi que la dégradation de l'environnement les affectera en premier. </w:t>
      </w:r>
    </w:p>
    <w:p w:rsidR="00000000" w:rsidRDefault="00000000">
      <w:pPr>
        <w:spacing w:before="120"/>
        <w:jc w:val="both"/>
        <w:rPr>
          <w:b/>
          <w:caps/>
          <w:sz w:val="22"/>
        </w:rPr>
      </w:pPr>
    </w:p>
    <w:p w:rsidR="00000000" w:rsidRDefault="00000000">
      <w:pPr>
        <w:spacing w:before="120"/>
        <w:jc w:val="both"/>
        <w:rPr>
          <w:b/>
          <w:caps/>
          <w:sz w:val="22"/>
        </w:rPr>
      </w:pPr>
      <w:r>
        <w:rPr>
          <w:b/>
          <w:caps/>
          <w:sz w:val="22"/>
        </w:rPr>
        <w:t xml:space="preserve">II – </w:t>
      </w:r>
      <w:r>
        <w:rPr>
          <w:b/>
          <w:caps/>
          <w:sz w:val="22"/>
          <w:u w:val="single"/>
        </w:rPr>
        <w:t>LES Contraintes</w:t>
      </w:r>
      <w:r>
        <w:rPr>
          <w:b/>
          <w:caps/>
          <w:sz w:val="22"/>
        </w:rPr>
        <w:t xml:space="preserve"> </w:t>
      </w:r>
    </w:p>
    <w:p w:rsidR="00000000" w:rsidRDefault="00000000">
      <w:pPr>
        <w:pStyle w:val="BodyText3"/>
        <w:spacing w:before="120"/>
        <w:rPr>
          <w:sz w:val="22"/>
        </w:rPr>
      </w:pPr>
    </w:p>
    <w:p w:rsidR="00000000" w:rsidRDefault="00000000">
      <w:pPr>
        <w:pStyle w:val="BodyText3"/>
        <w:spacing w:before="120"/>
        <w:rPr>
          <w:sz w:val="22"/>
        </w:rPr>
      </w:pPr>
      <w:r>
        <w:rPr>
          <w:sz w:val="22"/>
        </w:rPr>
        <w:t>D'une façon générale, la crise économique  et les troubles sociopolitiques que le Congo a connus, ont considérablement ralenti la mise en œuvre des différentes activités en faveur de la protection et de la promotion de la santé des femmes. Ceci n'a pas toujours permis l'application effective de l'article 12 de la convention sur l'élimination de toutes les formes de discrimination à l'égard des femmes.</w:t>
      </w:r>
    </w:p>
    <w:p w:rsidR="00000000" w:rsidRDefault="00000000">
      <w:pPr>
        <w:spacing w:before="120"/>
        <w:jc w:val="both"/>
        <w:rPr>
          <w:sz w:val="22"/>
        </w:rPr>
      </w:pPr>
      <w:r>
        <w:rPr>
          <w:sz w:val="22"/>
        </w:rPr>
        <w:t>II convient également de souligner d'autres contraintes non moins importantes en rapport avec certains aspects précis tels que les aspects socio-économiques, socioculturels, sanitaires et juridiques.</w:t>
      </w:r>
    </w:p>
    <w:p w:rsidR="00000000" w:rsidRDefault="00000000">
      <w:pPr>
        <w:spacing w:before="120"/>
        <w:jc w:val="both"/>
        <w:rPr>
          <w:b/>
          <w:sz w:val="22"/>
        </w:rPr>
      </w:pPr>
    </w:p>
    <w:p w:rsidR="00000000" w:rsidRDefault="00000000">
      <w:pPr>
        <w:spacing w:before="120"/>
        <w:jc w:val="both"/>
        <w:rPr>
          <w:b/>
          <w:sz w:val="22"/>
        </w:rPr>
      </w:pPr>
      <w:r>
        <w:rPr>
          <w:b/>
          <w:sz w:val="22"/>
        </w:rPr>
        <w:t xml:space="preserve">A - </w:t>
      </w:r>
      <w:r>
        <w:rPr>
          <w:b/>
          <w:sz w:val="22"/>
          <w:u w:val="single"/>
        </w:rPr>
        <w:t>Les contraintes socioéconomiques</w:t>
      </w:r>
      <w:r>
        <w:rPr>
          <w:b/>
          <w:sz w:val="22"/>
        </w:rPr>
        <w:t> :</w:t>
      </w:r>
    </w:p>
    <w:p w:rsidR="00000000" w:rsidRDefault="00000000">
      <w:pPr>
        <w:spacing w:before="120"/>
        <w:jc w:val="both"/>
        <w:rPr>
          <w:b/>
          <w:sz w:val="22"/>
        </w:rPr>
      </w:pPr>
    </w:p>
    <w:p w:rsidR="00000000" w:rsidRDefault="00000000">
      <w:pPr>
        <w:jc w:val="both"/>
        <w:rPr>
          <w:sz w:val="22"/>
        </w:rPr>
      </w:pPr>
      <w:r>
        <w:rPr>
          <w:sz w:val="22"/>
        </w:rPr>
        <w:t>La crise économique a entraîné un freinage brutal des dépenses publiques, le désengagement de l'État dans les secteurs de santé a conduit au développement de la facturation directe aux usagers et des prestations en matière de santé. Certains tarifs sont fixés réglementairement, d'autres semblent résulter d'initiatives locales plus ou moins contrôlées.</w:t>
      </w:r>
    </w:p>
    <w:p w:rsidR="00000000" w:rsidRDefault="00000000">
      <w:pPr>
        <w:pStyle w:val="BodyText3"/>
        <w:spacing w:before="120"/>
        <w:rPr>
          <w:sz w:val="22"/>
        </w:rPr>
      </w:pPr>
      <w:r>
        <w:rPr>
          <w:sz w:val="22"/>
        </w:rPr>
        <w:t>La paupérisation des familles, le faible pouvoir d'achat des femmes a rendu inaccessibles les soins de santé à de nombreuses femmes.</w:t>
      </w:r>
    </w:p>
    <w:p w:rsidR="00000000" w:rsidRDefault="00000000">
      <w:pPr>
        <w:pStyle w:val="BodyText3"/>
        <w:spacing w:before="120"/>
        <w:rPr>
          <w:sz w:val="22"/>
        </w:rPr>
      </w:pPr>
    </w:p>
    <w:p w:rsidR="00000000" w:rsidRDefault="00000000">
      <w:pPr>
        <w:spacing w:before="120"/>
        <w:jc w:val="both"/>
        <w:rPr>
          <w:b/>
          <w:sz w:val="22"/>
        </w:rPr>
      </w:pPr>
      <w:r>
        <w:rPr>
          <w:b/>
          <w:sz w:val="22"/>
        </w:rPr>
        <w:t xml:space="preserve">B - </w:t>
      </w:r>
      <w:r>
        <w:rPr>
          <w:b/>
          <w:sz w:val="22"/>
          <w:u w:val="single"/>
        </w:rPr>
        <w:t>Les contraintes socioculturelles</w:t>
      </w:r>
      <w:r>
        <w:rPr>
          <w:b/>
          <w:sz w:val="22"/>
        </w:rPr>
        <w:t> :</w:t>
      </w:r>
    </w:p>
    <w:p w:rsidR="00000000" w:rsidRDefault="00000000">
      <w:pPr>
        <w:widowControl w:val="0"/>
        <w:ind w:left="57"/>
        <w:jc w:val="both"/>
        <w:rPr>
          <w:sz w:val="22"/>
        </w:rPr>
      </w:pPr>
    </w:p>
    <w:p w:rsidR="00000000" w:rsidRDefault="00000000">
      <w:pPr>
        <w:widowControl w:val="0"/>
        <w:ind w:left="57"/>
        <w:jc w:val="both"/>
        <w:rPr>
          <w:sz w:val="22"/>
        </w:rPr>
      </w:pPr>
      <w:r>
        <w:rPr>
          <w:sz w:val="22"/>
        </w:rPr>
        <w:t xml:space="preserve">L'analphabétisme, qui touche plus de 64% des femmes au Congo, les tabous notamment sexuels, les pratiques traditionnelles entourant la sexualité et la procréation influencent aussi négativement la mortalité maternelle. L'ignorance des signes de complications des grossesses par les femmes, la tendance pronataliste, les préjugés défavorables à la contraception sont autant de pesanteurs socioculturelles qui contribuent au mauvais état de santé des femmes. </w:t>
      </w:r>
    </w:p>
    <w:p w:rsidR="00000000" w:rsidRDefault="00000000">
      <w:pPr>
        <w:widowControl w:val="0"/>
        <w:ind w:left="57"/>
        <w:jc w:val="both"/>
        <w:rPr>
          <w:sz w:val="22"/>
        </w:rPr>
      </w:pPr>
    </w:p>
    <w:p w:rsidR="00000000" w:rsidRDefault="00000000">
      <w:pPr>
        <w:widowControl w:val="0"/>
        <w:ind w:left="57"/>
        <w:jc w:val="both"/>
        <w:rPr>
          <w:sz w:val="22"/>
        </w:rPr>
      </w:pPr>
      <w:r>
        <w:rPr>
          <w:sz w:val="22"/>
        </w:rPr>
        <w:t>Par ailleurs, il faut noter la faible participation des femmes dans la gestion de la santé  au niveau des centres de santé intégré (CSI) liés aux us et coutumes rétrogrades alors qu'elles sont les grandes utilisatrices des services de santé.</w:t>
      </w:r>
    </w:p>
    <w:p w:rsidR="00000000" w:rsidRDefault="00000000">
      <w:pPr>
        <w:widowControl w:val="0"/>
        <w:ind w:left="57"/>
        <w:jc w:val="both"/>
        <w:rPr>
          <w:sz w:val="22"/>
        </w:rPr>
      </w:pPr>
    </w:p>
    <w:p w:rsidR="00000000" w:rsidRDefault="00000000">
      <w:pPr>
        <w:spacing w:before="120"/>
        <w:jc w:val="both"/>
        <w:rPr>
          <w:b/>
          <w:sz w:val="22"/>
        </w:rPr>
      </w:pPr>
      <w:r>
        <w:rPr>
          <w:b/>
          <w:sz w:val="22"/>
        </w:rPr>
        <w:t xml:space="preserve">C - </w:t>
      </w:r>
      <w:r>
        <w:rPr>
          <w:b/>
          <w:sz w:val="22"/>
          <w:u w:val="single"/>
        </w:rPr>
        <w:t>Les contraintes liées au système de santé</w:t>
      </w:r>
      <w:r>
        <w:rPr>
          <w:b/>
          <w:sz w:val="22"/>
        </w:rPr>
        <w:t> :</w:t>
      </w:r>
    </w:p>
    <w:p w:rsidR="00000000" w:rsidRDefault="00000000">
      <w:pPr>
        <w:jc w:val="both"/>
        <w:rPr>
          <w:sz w:val="22"/>
        </w:rPr>
      </w:pPr>
    </w:p>
    <w:p w:rsidR="00000000" w:rsidRDefault="00000000">
      <w:pPr>
        <w:jc w:val="both"/>
        <w:rPr>
          <w:sz w:val="22"/>
        </w:rPr>
      </w:pPr>
      <w:r>
        <w:rPr>
          <w:sz w:val="22"/>
        </w:rPr>
        <w:t>Les difficultés de déblocage des crédits de fonctionnement ont eu pour conséquences, le délabrement des locaux et des équipements par manque d'entretien, l'absence quasi totale de matériel consommable, de médicaments y compris des contraceptifs obligeant le corps médical à ne travailler que sur ordonnance peu accessible .</w:t>
      </w:r>
    </w:p>
    <w:p w:rsidR="00000000" w:rsidRDefault="00000000">
      <w:pPr>
        <w:jc w:val="both"/>
        <w:rPr>
          <w:sz w:val="22"/>
        </w:rPr>
      </w:pPr>
    </w:p>
    <w:p w:rsidR="00000000" w:rsidRDefault="00000000">
      <w:pPr>
        <w:pStyle w:val="BodyText3"/>
        <w:rPr>
          <w:sz w:val="22"/>
        </w:rPr>
      </w:pPr>
      <w:r>
        <w:rPr>
          <w:sz w:val="22"/>
        </w:rPr>
        <w:t xml:space="preserve">La lenteur dans la mise en œuvre du PNDS, (la couverture en CSI rationalisé est encore faible, actuellement 50 centres de santé sont rationalisés sur les 200 prévus pour tout le pays) ; la non intégration des activités relatives à certaines composantes de la santé de la reproduction (cas des violences sexuelles dans les centres de santé), la faiblesse dans les prestations de soins, liées entre autres  à l'insuffisance de formation ou à la démotivation du personnel ainsi que les amendes infligées aux mères qui se présentent tardivement à la consultation prénatale, constituent également un frein à l'utilisation des services. </w:t>
      </w:r>
    </w:p>
    <w:p w:rsidR="00000000" w:rsidRDefault="00000000">
      <w:pPr>
        <w:jc w:val="both"/>
        <w:rPr>
          <w:sz w:val="22"/>
        </w:rPr>
      </w:pPr>
      <w:r>
        <w:rPr>
          <w:sz w:val="22"/>
        </w:rPr>
        <w:t>A cela, il faut ajouter l'arrêt brutal de  l'exécution de nombreux projets et programmes de santé  dû aux guerres</w:t>
      </w:r>
      <w:r>
        <w:rPr>
          <w:rStyle w:val="FootnoteReference"/>
          <w:sz w:val="22"/>
        </w:rPr>
        <w:footnoteReference w:id="13"/>
      </w:r>
      <w:r>
        <w:rPr>
          <w:sz w:val="22"/>
        </w:rPr>
        <w:t>.</w:t>
      </w:r>
    </w:p>
    <w:p w:rsidR="00000000" w:rsidRDefault="00000000">
      <w:pPr>
        <w:jc w:val="both"/>
        <w:rPr>
          <w:sz w:val="22"/>
        </w:rPr>
      </w:pPr>
    </w:p>
    <w:p w:rsidR="00000000" w:rsidRDefault="00000000">
      <w:pPr>
        <w:spacing w:before="120"/>
        <w:jc w:val="both"/>
        <w:rPr>
          <w:b/>
          <w:sz w:val="22"/>
        </w:rPr>
      </w:pPr>
      <w:r>
        <w:rPr>
          <w:sz w:val="22"/>
        </w:rPr>
        <w:t xml:space="preserve"> </w:t>
      </w:r>
      <w:r>
        <w:rPr>
          <w:b/>
          <w:sz w:val="22"/>
        </w:rPr>
        <w:t xml:space="preserve">D - </w:t>
      </w:r>
      <w:r>
        <w:rPr>
          <w:b/>
          <w:sz w:val="22"/>
          <w:u w:val="single"/>
        </w:rPr>
        <w:t>Les contraintes  juridiques</w:t>
      </w:r>
      <w:r>
        <w:rPr>
          <w:b/>
          <w:sz w:val="22"/>
        </w:rPr>
        <w:t> :</w:t>
      </w:r>
    </w:p>
    <w:p w:rsidR="00000000" w:rsidRDefault="00000000">
      <w:pPr>
        <w:pStyle w:val="BodyText3"/>
        <w:spacing w:before="120"/>
        <w:rPr>
          <w:sz w:val="22"/>
        </w:rPr>
      </w:pPr>
    </w:p>
    <w:p w:rsidR="00000000" w:rsidRDefault="00000000">
      <w:pPr>
        <w:pStyle w:val="BodyText3"/>
        <w:spacing w:before="120"/>
        <w:rPr>
          <w:sz w:val="22"/>
        </w:rPr>
      </w:pPr>
      <w:r>
        <w:rPr>
          <w:sz w:val="22"/>
        </w:rPr>
        <w:t>Certaines lois, textes et règlements relatifs à la santé ou à la violence faite aux femmes sont devenus caducs, d'autres présentent des lacunes ou des vides juridiques : cas des textes sur les violences sexuelles figurant dans le code pénal. De plus, le poids de la coutume, l'ignorance des dispositions en faveur des femmes par les femmes ainsi que les dysfonctionnements du système judiciaire ne permettent pas aux femmes d'exercer leurs droits.</w:t>
      </w:r>
    </w:p>
    <w:p w:rsidR="00000000" w:rsidRDefault="00000000">
      <w:pPr>
        <w:jc w:val="both"/>
        <w:rPr>
          <w:sz w:val="22"/>
        </w:rPr>
      </w:pPr>
    </w:p>
    <w:p w:rsidR="00000000" w:rsidRDefault="00000000">
      <w:pPr>
        <w:jc w:val="both"/>
        <w:rPr>
          <w:sz w:val="22"/>
        </w:rPr>
      </w:pPr>
      <w:r>
        <w:rPr>
          <w:sz w:val="22"/>
        </w:rPr>
        <w:t>La loi du 31 juillet 1920, portant interdiction de l'avortement et de la publicité anti-conceptionnelle est encore en vigueur dans notre pays. Cette loi constitue un frein juridique à la planification familiale. Cependant, l’État (ministère de la santé) et les ONGs sont en avance et travaillent dans le sens de la planification familiale.</w:t>
      </w:r>
    </w:p>
    <w:p w:rsidR="00000000" w:rsidRDefault="00000000">
      <w:pPr>
        <w:jc w:val="both"/>
        <w:rPr>
          <w:sz w:val="22"/>
        </w:rPr>
      </w:pPr>
    </w:p>
    <w:p w:rsidR="00000000" w:rsidRDefault="00000000">
      <w:pPr>
        <w:spacing w:before="120"/>
        <w:jc w:val="both"/>
        <w:rPr>
          <w:b/>
          <w:caps/>
          <w:sz w:val="22"/>
          <w:u w:val="single"/>
        </w:rPr>
      </w:pPr>
      <w:r>
        <w:rPr>
          <w:b/>
          <w:caps/>
          <w:sz w:val="22"/>
        </w:rPr>
        <w:t xml:space="preserve">III – </w:t>
      </w:r>
      <w:r>
        <w:rPr>
          <w:b/>
          <w:caps/>
          <w:sz w:val="22"/>
          <w:u w:val="single"/>
        </w:rPr>
        <w:t>LES Atouts</w:t>
      </w:r>
    </w:p>
    <w:p w:rsidR="00000000" w:rsidRDefault="00000000">
      <w:pPr>
        <w:jc w:val="both"/>
        <w:rPr>
          <w:sz w:val="22"/>
        </w:rPr>
      </w:pPr>
    </w:p>
    <w:p w:rsidR="00000000" w:rsidRDefault="00000000">
      <w:pPr>
        <w:jc w:val="both"/>
        <w:rPr>
          <w:sz w:val="22"/>
        </w:rPr>
      </w:pPr>
      <w:r>
        <w:rPr>
          <w:sz w:val="22"/>
        </w:rPr>
        <w:t xml:space="preserve">Les nombreuses actions déjà réalisées pour promouvoir et protéger la santé des femmes constituent de véritables atouts pour l'application de l'article 12 de la convention sur l'élimination de toutes les formes de discrimination à l'égard des femmes, il s'agit de : </w:t>
      </w:r>
    </w:p>
    <w:p w:rsidR="00000000" w:rsidRDefault="00000000">
      <w:pPr>
        <w:jc w:val="both"/>
        <w:rPr>
          <w:sz w:val="22"/>
        </w:rPr>
      </w:pPr>
    </w:p>
    <w:p w:rsidR="00000000" w:rsidRDefault="00000000">
      <w:pPr>
        <w:numPr>
          <w:ilvl w:val="0"/>
          <w:numId w:val="212"/>
        </w:numPr>
        <w:jc w:val="both"/>
        <w:rPr>
          <w:sz w:val="22"/>
        </w:rPr>
      </w:pPr>
      <w:r>
        <w:rPr>
          <w:sz w:val="22"/>
        </w:rPr>
        <w:t xml:space="preserve">la ratification par le Congo des conventions internationales sur les problèmes de santé ; </w:t>
      </w:r>
    </w:p>
    <w:p w:rsidR="00000000" w:rsidRDefault="00000000">
      <w:pPr>
        <w:numPr>
          <w:ilvl w:val="0"/>
          <w:numId w:val="212"/>
        </w:numPr>
        <w:jc w:val="both"/>
        <w:rPr>
          <w:sz w:val="22"/>
        </w:rPr>
      </w:pPr>
      <w:r>
        <w:rPr>
          <w:sz w:val="22"/>
        </w:rPr>
        <w:t>la prise en compte des questions de santé dans les différents textes fondamentaux ;</w:t>
      </w:r>
    </w:p>
    <w:p w:rsidR="00000000" w:rsidRDefault="00000000">
      <w:pPr>
        <w:numPr>
          <w:ilvl w:val="0"/>
          <w:numId w:val="212"/>
        </w:numPr>
        <w:jc w:val="both"/>
        <w:rPr>
          <w:sz w:val="22"/>
        </w:rPr>
      </w:pPr>
      <w:r>
        <w:rPr>
          <w:sz w:val="22"/>
        </w:rPr>
        <w:t>l'adoption de la loi n°014/92 du 29 Avril1992 instituant le PNDS ;</w:t>
      </w:r>
    </w:p>
    <w:p w:rsidR="00000000" w:rsidRDefault="00000000">
      <w:pPr>
        <w:numPr>
          <w:ilvl w:val="0"/>
          <w:numId w:val="212"/>
        </w:numPr>
        <w:jc w:val="both"/>
        <w:rPr>
          <w:sz w:val="22"/>
        </w:rPr>
      </w:pPr>
      <w:r>
        <w:rPr>
          <w:sz w:val="22"/>
        </w:rPr>
        <w:t>l'existence de la direction de la santé de la famille qui élabore et met en oeuvre les stratégies relatives à la santé de la reproduction (normes et procédures  en santé familiale ; stratégie nationale en santé de la reproduction) ;</w:t>
      </w:r>
    </w:p>
    <w:p w:rsidR="00000000" w:rsidRDefault="00000000">
      <w:pPr>
        <w:numPr>
          <w:ilvl w:val="0"/>
          <w:numId w:val="212"/>
        </w:numPr>
        <w:jc w:val="both"/>
        <w:rPr>
          <w:sz w:val="22"/>
        </w:rPr>
      </w:pPr>
      <w:r>
        <w:rPr>
          <w:sz w:val="22"/>
        </w:rPr>
        <w:t>la gratuité de  la vaccination antitétanique chez les femmes en âge de procréer et enceintes,  et le coût modique des contraceptifs ;</w:t>
      </w:r>
    </w:p>
    <w:p w:rsidR="00000000" w:rsidRDefault="00000000">
      <w:pPr>
        <w:numPr>
          <w:ilvl w:val="0"/>
          <w:numId w:val="212"/>
        </w:numPr>
        <w:jc w:val="both"/>
        <w:rPr>
          <w:sz w:val="22"/>
        </w:rPr>
      </w:pPr>
      <w:r>
        <w:rPr>
          <w:sz w:val="22"/>
        </w:rPr>
        <w:t>l’existence de lois réprimandant les violences ;</w:t>
      </w:r>
    </w:p>
    <w:p w:rsidR="00000000" w:rsidRDefault="00000000">
      <w:pPr>
        <w:numPr>
          <w:ilvl w:val="0"/>
          <w:numId w:val="212"/>
        </w:numPr>
        <w:jc w:val="both"/>
        <w:rPr>
          <w:sz w:val="22"/>
        </w:rPr>
      </w:pPr>
      <w:r>
        <w:rPr>
          <w:sz w:val="22"/>
        </w:rPr>
        <w:t>la rationalisation de la consultation prénatale, et l'intégration de la santé de la reproduction dans le paquet minimum des activités des CSI avec comme effet la réduction du coût du suivi prénatal et des accouchements ;</w:t>
      </w:r>
    </w:p>
    <w:p w:rsidR="00000000" w:rsidRDefault="00000000">
      <w:pPr>
        <w:numPr>
          <w:ilvl w:val="0"/>
          <w:numId w:val="212"/>
        </w:numPr>
        <w:jc w:val="both"/>
        <w:rPr>
          <w:sz w:val="22"/>
        </w:rPr>
      </w:pPr>
      <w:r>
        <w:rPr>
          <w:sz w:val="22"/>
        </w:rPr>
        <w:t>la mise en place de la Centrale nationale d'achat des médicaments essentiels  afin de fournir les médicaments à des coûts abordables aux populations et l'inscription des contraceptifs dans la liste des médicaments essentiels ;</w:t>
      </w:r>
    </w:p>
    <w:p w:rsidR="00000000" w:rsidRDefault="00000000">
      <w:pPr>
        <w:numPr>
          <w:ilvl w:val="0"/>
          <w:numId w:val="212"/>
        </w:numPr>
        <w:jc w:val="both"/>
        <w:rPr>
          <w:sz w:val="22"/>
        </w:rPr>
      </w:pPr>
      <w:r>
        <w:rPr>
          <w:sz w:val="22"/>
        </w:rPr>
        <w:t>la mise en œuvre de certains projets spécifiques sur la santé des femmes : Projet Maternité sans risque, projet violence sexuelle ;</w:t>
      </w:r>
    </w:p>
    <w:p w:rsidR="00000000" w:rsidRDefault="00000000">
      <w:pPr>
        <w:numPr>
          <w:ilvl w:val="0"/>
          <w:numId w:val="212"/>
        </w:numPr>
        <w:jc w:val="both"/>
        <w:rPr>
          <w:sz w:val="22"/>
        </w:rPr>
      </w:pPr>
      <w:r>
        <w:rPr>
          <w:sz w:val="22"/>
        </w:rPr>
        <w:t>l'existence de deux centres de traitement ambulatoire des malades du SIDA, la création d'un centre  national de transfusion sanguine et de deux centres régionaux qui permettent aux femmes de recevoir un sang testé ou de bénéficier d'un traitement du sida à un coût abordable ;</w:t>
      </w:r>
    </w:p>
    <w:p w:rsidR="00000000" w:rsidRDefault="00000000">
      <w:pPr>
        <w:numPr>
          <w:ilvl w:val="0"/>
          <w:numId w:val="212"/>
        </w:numPr>
        <w:jc w:val="both"/>
        <w:rPr>
          <w:sz w:val="22"/>
        </w:rPr>
      </w:pPr>
      <w:r>
        <w:rPr>
          <w:sz w:val="22"/>
        </w:rPr>
        <w:t>l'existence d'un partenariat avec les ONGs et associations oeuvrant dans le domaine de la santé ;</w:t>
      </w:r>
    </w:p>
    <w:p w:rsidR="00000000" w:rsidRDefault="00000000">
      <w:pPr>
        <w:numPr>
          <w:ilvl w:val="0"/>
          <w:numId w:val="212"/>
        </w:numPr>
        <w:jc w:val="both"/>
        <w:rPr>
          <w:sz w:val="22"/>
        </w:rPr>
      </w:pPr>
      <w:r>
        <w:rPr>
          <w:sz w:val="22"/>
        </w:rPr>
        <w:t>l'appui multiforme des organismes internationaux, OMS,FNUAP, PNUD, UNICEF, etc.</w:t>
      </w:r>
    </w:p>
    <w:p w:rsidR="00000000" w:rsidRDefault="00000000">
      <w:pPr>
        <w:ind w:left="360"/>
        <w:jc w:val="both"/>
        <w:rPr>
          <w:sz w:val="22"/>
        </w:rPr>
      </w:pPr>
    </w:p>
    <w:p w:rsidR="00000000" w:rsidRDefault="00000000">
      <w:pPr>
        <w:spacing w:before="120"/>
        <w:jc w:val="both"/>
        <w:rPr>
          <w:sz w:val="22"/>
        </w:rPr>
      </w:pPr>
      <w:r>
        <w:rPr>
          <w:sz w:val="22"/>
        </w:rPr>
        <w:t>Dans la loi n° 45/75 du 15 mars 1975 et n° 06/96 du 6 mars 1996 portant code du travail, il est stipulé entre autres, ce qui suit :</w:t>
      </w:r>
    </w:p>
    <w:p w:rsidR="00000000" w:rsidRDefault="00000000">
      <w:pPr>
        <w:spacing w:before="120"/>
        <w:jc w:val="both"/>
        <w:rPr>
          <w:sz w:val="22"/>
        </w:rPr>
      </w:pPr>
      <w:r>
        <w:rPr>
          <w:i/>
          <w:sz w:val="22"/>
          <w:u w:val="single"/>
        </w:rPr>
        <w:t>Article113</w:t>
      </w:r>
      <w:r>
        <w:rPr>
          <w:sz w:val="22"/>
        </w:rPr>
        <w:t xml:space="preserve"> : « Toute femme enceinte dont l'état  a été médicalement constaté, peut quitter le travail sans préavis et sans avoir de ce fait à payer une indemnité de rupture de contrat. Par ailleurs, elle a droit, à la charge de la CNSS, aux soins gratuits ». </w:t>
      </w:r>
    </w:p>
    <w:p w:rsidR="00000000" w:rsidRDefault="00000000">
      <w:pPr>
        <w:spacing w:before="120"/>
        <w:jc w:val="both"/>
        <w:rPr>
          <w:sz w:val="22"/>
        </w:rPr>
      </w:pPr>
      <w:r>
        <w:rPr>
          <w:i/>
          <w:sz w:val="22"/>
          <w:u w:val="single"/>
        </w:rPr>
        <w:t>Article 114</w:t>
      </w:r>
      <w:r>
        <w:rPr>
          <w:sz w:val="22"/>
        </w:rPr>
        <w:t xml:space="preserve"> : « Il est interdit d'employer une femme, pendant les 15 semaines de congé de maternité prévues à l'article précédent ».</w:t>
      </w:r>
    </w:p>
    <w:p w:rsidR="00000000" w:rsidRDefault="00000000">
      <w:pPr>
        <w:spacing w:before="120"/>
        <w:jc w:val="both"/>
        <w:rPr>
          <w:sz w:val="22"/>
        </w:rPr>
      </w:pPr>
      <w:r>
        <w:rPr>
          <w:i/>
          <w:sz w:val="22"/>
          <w:u w:val="single"/>
        </w:rPr>
        <w:t>Article 115</w:t>
      </w:r>
      <w:r>
        <w:rPr>
          <w:sz w:val="22"/>
        </w:rPr>
        <w:t xml:space="preserve"> : « Pendant une période de quinze mois, à compter de la naissance de l'enfant, la mère a droit à des repos pour allaitement ».</w:t>
      </w:r>
    </w:p>
    <w:p w:rsidR="00000000" w:rsidRDefault="00000000">
      <w:pPr>
        <w:spacing w:before="120"/>
        <w:jc w:val="both"/>
        <w:rPr>
          <w:sz w:val="22"/>
        </w:rPr>
      </w:pPr>
      <w:r>
        <w:rPr>
          <w:sz w:val="22"/>
        </w:rPr>
        <w:t>Les prestations familiales prévues dans l'article 38, du chapitre 1° du code de sécurité sociale portent sur :</w:t>
      </w:r>
    </w:p>
    <w:p w:rsidR="00000000" w:rsidRDefault="00000000">
      <w:pPr>
        <w:numPr>
          <w:ilvl w:val="0"/>
          <w:numId w:val="129"/>
        </w:numPr>
        <w:jc w:val="both"/>
        <w:rPr>
          <w:sz w:val="22"/>
        </w:rPr>
      </w:pPr>
      <w:r>
        <w:rPr>
          <w:sz w:val="22"/>
        </w:rPr>
        <w:t>les allocations prénatales ;</w:t>
      </w:r>
    </w:p>
    <w:p w:rsidR="00000000" w:rsidRDefault="00000000">
      <w:pPr>
        <w:numPr>
          <w:ilvl w:val="0"/>
          <w:numId w:val="129"/>
        </w:numPr>
        <w:jc w:val="both"/>
        <w:rPr>
          <w:sz w:val="22"/>
        </w:rPr>
      </w:pPr>
      <w:r>
        <w:rPr>
          <w:sz w:val="22"/>
        </w:rPr>
        <w:t>les allocations aux jeunes ménages ou prime à la naissance ;</w:t>
      </w:r>
    </w:p>
    <w:p w:rsidR="00000000" w:rsidRDefault="00000000">
      <w:pPr>
        <w:numPr>
          <w:ilvl w:val="0"/>
          <w:numId w:val="129"/>
        </w:numPr>
        <w:jc w:val="both"/>
        <w:rPr>
          <w:sz w:val="22"/>
        </w:rPr>
      </w:pPr>
      <w:r>
        <w:rPr>
          <w:sz w:val="22"/>
        </w:rPr>
        <w:t>les allocations familiales ;</w:t>
      </w:r>
    </w:p>
    <w:p w:rsidR="00000000" w:rsidRDefault="00000000">
      <w:pPr>
        <w:numPr>
          <w:ilvl w:val="0"/>
          <w:numId w:val="129"/>
        </w:numPr>
        <w:jc w:val="both"/>
        <w:rPr>
          <w:sz w:val="22"/>
        </w:rPr>
      </w:pPr>
      <w:r>
        <w:rPr>
          <w:sz w:val="22"/>
        </w:rPr>
        <w:t>les indemnités journalières de maternité et les soins prévus dans l'article 113 du code du travail ;</w:t>
      </w:r>
    </w:p>
    <w:p w:rsidR="00000000" w:rsidRDefault="00000000">
      <w:pPr>
        <w:numPr>
          <w:ilvl w:val="0"/>
          <w:numId w:val="129"/>
        </w:numPr>
        <w:jc w:val="both"/>
        <w:rPr>
          <w:sz w:val="22"/>
        </w:rPr>
      </w:pPr>
      <w:r>
        <w:rPr>
          <w:sz w:val="22"/>
        </w:rPr>
        <w:t xml:space="preserve">les prestations en nature et éventuellement toutes les autres prestations prévues par la loi. </w:t>
      </w:r>
    </w:p>
    <w:p w:rsidR="00000000" w:rsidRDefault="00000000">
      <w:pPr>
        <w:spacing w:before="120"/>
        <w:jc w:val="both"/>
        <w:rPr>
          <w:sz w:val="22"/>
        </w:rPr>
      </w:pPr>
      <w:r>
        <w:rPr>
          <w:sz w:val="22"/>
        </w:rPr>
        <w:t xml:space="preserve">Dans les articles 39 et suivants y relatif, il apparaît que : </w:t>
      </w:r>
    </w:p>
    <w:p w:rsidR="00000000" w:rsidRDefault="00000000">
      <w:pPr>
        <w:jc w:val="both"/>
        <w:rPr>
          <w:sz w:val="22"/>
        </w:rPr>
      </w:pPr>
      <w:r>
        <w:rPr>
          <w:sz w:val="22"/>
        </w:rPr>
        <w:t>seuls les travailleurs assujettis au régime de sécurité sociale institué par la loi, et qui justifient d'une activité professionnelle salariée de 6 mois consécutifs, ou d'un temps minimum de travail de 20 jours ou 13O jours, peuvent prétendre aux prestations familiales.</w:t>
      </w:r>
    </w:p>
    <w:p w:rsidR="00000000" w:rsidRDefault="00000000">
      <w:pPr>
        <w:pStyle w:val="BodyText"/>
        <w:spacing w:before="120"/>
        <w:rPr>
          <w:sz w:val="22"/>
        </w:rPr>
      </w:pPr>
      <w:r>
        <w:rPr>
          <w:sz w:val="22"/>
        </w:rPr>
        <w:t>Le droit aux prestations familiales est ouvert à toute femme salariée, ou conjointe d'un travailleur salarié. Celles- ci, sont dues pour les 9 mois de grossesse jusqu'à l'accouchement, à condition que l'état soit dûment constaté, et la déclaration faite dans les premiers mois de grossesse ( présentation d'un certificat médical).</w:t>
      </w:r>
    </w:p>
    <w:p w:rsidR="00000000" w:rsidRDefault="00000000">
      <w:pPr>
        <w:jc w:val="both"/>
        <w:rPr>
          <w:sz w:val="22"/>
        </w:rPr>
      </w:pPr>
    </w:p>
    <w:p w:rsidR="00000000" w:rsidRDefault="00000000">
      <w:pPr>
        <w:jc w:val="both"/>
        <w:rPr>
          <w:sz w:val="22"/>
        </w:rPr>
      </w:pPr>
      <w:r>
        <w:rPr>
          <w:sz w:val="22"/>
        </w:rPr>
        <w:t>Le montant des allocations perçues est le même quel que soit le niveau de rémunération.</w:t>
      </w:r>
    </w:p>
    <w:p w:rsidR="00000000" w:rsidRDefault="00000000">
      <w:pPr>
        <w:jc w:val="both"/>
        <w:rPr>
          <w:sz w:val="22"/>
        </w:rPr>
      </w:pPr>
    </w:p>
    <w:p w:rsidR="00000000" w:rsidRDefault="00000000">
      <w:pPr>
        <w:pStyle w:val="BodyText"/>
        <w:spacing w:before="120" w:line="240" w:lineRule="exact"/>
        <w:rPr>
          <w:sz w:val="22"/>
        </w:rPr>
      </w:pPr>
      <w:r>
        <w:rPr>
          <w:sz w:val="22"/>
        </w:rPr>
        <w:t>En considérant ces dispositions, il apparaît que les femmes ou couples, œuvrant dans le secteur informel, ne bénéficient pas des allocations prénatales. Ceci constitue une discrimination qui, dans une certaine mesure, peut limiter l'accès des femmes aux soins de maternité.</w:t>
      </w:r>
    </w:p>
    <w:p w:rsidR="00000000" w:rsidRDefault="00000000">
      <w:pPr>
        <w:spacing w:before="120"/>
        <w:jc w:val="both"/>
        <w:rPr>
          <w:sz w:val="22"/>
        </w:rPr>
      </w:pPr>
      <w:r>
        <w:rPr>
          <w:sz w:val="22"/>
        </w:rPr>
        <w:t>Vu le caractère spécifique de la procréation, toutes les femmes sans distinction du statut socioprofessionnel, devraient pouvoir bénéficier des allocations prénatales, ou tout autre forme de couverture sociale pour les soins liés à la grossesse et à l' accouchement, afin de leur garantir un meilleur accès aux services de santé.</w:t>
      </w:r>
    </w:p>
    <w:p w:rsidR="00000000" w:rsidRDefault="00000000">
      <w:pPr>
        <w:spacing w:before="120"/>
        <w:jc w:val="both"/>
        <w:rPr>
          <w:sz w:val="22"/>
        </w:rPr>
      </w:pPr>
      <w:r>
        <w:rPr>
          <w:sz w:val="22"/>
        </w:rPr>
        <w:t>En dehors des prestations familiales définies, on note une faiblesse dans la couverture sociale des populations d'une façon générale y compris celles des femmes et des personnes du 3</w:t>
      </w:r>
      <w:r>
        <w:rPr>
          <w:sz w:val="22"/>
          <w:vertAlign w:val="superscript"/>
        </w:rPr>
        <w:t xml:space="preserve">è </w:t>
      </w:r>
      <w:r>
        <w:rPr>
          <w:sz w:val="22"/>
        </w:rPr>
        <w:t>âge. Il n'existe pas d'assurance maladie, aussi les bilans de santé systématiques ne sont pas réalisés.</w:t>
      </w:r>
    </w:p>
    <w:p w:rsidR="00000000" w:rsidRDefault="00000000">
      <w:pPr>
        <w:ind w:left="360"/>
        <w:jc w:val="both"/>
        <w:rPr>
          <w:sz w:val="22"/>
        </w:rPr>
      </w:pPr>
    </w:p>
    <w:p w:rsidR="00000000" w:rsidRDefault="00000000">
      <w:pPr>
        <w:spacing w:before="120"/>
        <w:jc w:val="both"/>
        <w:rPr>
          <w:b/>
          <w:sz w:val="22"/>
        </w:rPr>
      </w:pPr>
      <w:r>
        <w:rPr>
          <w:b/>
          <w:sz w:val="22"/>
          <w:u w:val="single"/>
        </w:rPr>
        <w:t>SECTION</w:t>
      </w:r>
      <w:r>
        <w:rPr>
          <w:b/>
          <w:sz w:val="22"/>
        </w:rPr>
        <w:t xml:space="preserve"> II – </w:t>
      </w:r>
      <w:r>
        <w:rPr>
          <w:b/>
          <w:sz w:val="22"/>
          <w:u w:val="single"/>
        </w:rPr>
        <w:t>LA SECURITE SOCIALE EN MATIERE DE SANTE</w:t>
      </w:r>
      <w:r>
        <w:rPr>
          <w:b/>
          <w:sz w:val="22"/>
        </w:rPr>
        <w:t> :</w:t>
      </w:r>
    </w:p>
    <w:p w:rsidR="00000000" w:rsidRDefault="00000000">
      <w:pPr>
        <w:jc w:val="both"/>
        <w:rPr>
          <w:b/>
          <w:sz w:val="22"/>
        </w:rPr>
      </w:pPr>
    </w:p>
    <w:p w:rsidR="00000000" w:rsidRDefault="00000000">
      <w:pPr>
        <w:jc w:val="both"/>
        <w:rPr>
          <w:sz w:val="22"/>
        </w:rPr>
      </w:pPr>
      <w:r>
        <w:rPr>
          <w:sz w:val="22"/>
        </w:rPr>
        <w:t>Les préoccupations des pouvoirs publics de garantir des prestations sociales aux travailleurs, remontent au lendemain des indépendances. Les décrets n° 60/29 et n° 60/30 du 4 février 1960,         n° 60/ 264 du 15 Septembre 1960 vont constituer le nouveau régime de pension civile et militaire.</w:t>
      </w:r>
    </w:p>
    <w:p w:rsidR="00000000" w:rsidRDefault="00000000">
      <w:pPr>
        <w:spacing w:before="120"/>
        <w:jc w:val="both"/>
        <w:rPr>
          <w:sz w:val="22"/>
        </w:rPr>
      </w:pPr>
      <w:r>
        <w:rPr>
          <w:sz w:val="22"/>
        </w:rPr>
        <w:t xml:space="preserve">Plus tard, le décret n° 84/ 891 du 12/10/84 modifié par le décret n° 87/447 du 19/8/87, crée la caisse de retraite des fonctionnaires (CRF) ; elle a, entre autres, mission de développer l'action sanitaire et sociale en faveur des retraités et de leurs familles. </w:t>
      </w:r>
    </w:p>
    <w:p w:rsidR="00000000" w:rsidRDefault="00000000">
      <w:pPr>
        <w:spacing w:before="120"/>
        <w:jc w:val="both"/>
        <w:rPr>
          <w:sz w:val="22"/>
        </w:rPr>
      </w:pPr>
      <w:r>
        <w:rPr>
          <w:sz w:val="22"/>
        </w:rPr>
        <w:t>La loi n° 04/86 du 26 février 1986, crée la caisse nationale de sécurité sociale(CNSS) à laquelle ne sont assujettis que les travailleurs relevant du code du travail et d'autres assimilés. La CNSS gère, parmi ses branches, une branche des prestations familiales et de maternité.</w:t>
      </w:r>
    </w:p>
    <w:p w:rsidR="00000000" w:rsidRDefault="00000000">
      <w:pPr>
        <w:spacing w:before="120"/>
        <w:jc w:val="both"/>
        <w:rPr>
          <w:sz w:val="22"/>
        </w:rPr>
      </w:pPr>
      <w:r>
        <w:rPr>
          <w:sz w:val="22"/>
        </w:rPr>
        <w:t>Actuellement, ce sont ces deux institutions placées sous la tutelle du ministère du travail et de la sécurité sociale, qui assurent les prestations sociales. Elles pratiquent le régime d'épargne retraite obligatoire. Les travailleurs actuels et les employeurs financent les versements des prestations des personnes parties à la retraite</w:t>
      </w:r>
      <w:r>
        <w:rPr>
          <w:rStyle w:val="FootnoteReference"/>
          <w:sz w:val="22"/>
        </w:rPr>
        <w:footnoteReference w:id="14"/>
      </w:r>
      <w:r>
        <w:rPr>
          <w:sz w:val="22"/>
        </w:rPr>
        <w:t>.</w:t>
      </w:r>
    </w:p>
    <w:p w:rsidR="00000000" w:rsidRDefault="00000000">
      <w:pPr>
        <w:spacing w:before="120"/>
        <w:ind w:left="-567"/>
        <w:jc w:val="both"/>
        <w:rPr>
          <w:b/>
          <w:caps/>
          <w:sz w:val="22"/>
          <w:u w:val="single"/>
        </w:rPr>
      </w:pPr>
    </w:p>
    <w:p w:rsidR="00000000" w:rsidRDefault="00000000">
      <w:pPr>
        <w:spacing w:before="120"/>
        <w:jc w:val="both"/>
        <w:rPr>
          <w:b/>
          <w:caps/>
          <w:sz w:val="22"/>
        </w:rPr>
      </w:pPr>
      <w:r>
        <w:rPr>
          <w:b/>
          <w:caps/>
          <w:sz w:val="22"/>
          <w:u w:val="single"/>
        </w:rPr>
        <w:t>SECTION</w:t>
      </w:r>
      <w:r>
        <w:rPr>
          <w:b/>
          <w:caps/>
          <w:sz w:val="22"/>
        </w:rPr>
        <w:t xml:space="preserve"> III – </w:t>
      </w:r>
      <w:r>
        <w:rPr>
          <w:b/>
          <w:caps/>
          <w:sz w:val="22"/>
          <w:u w:val="single"/>
        </w:rPr>
        <w:t>CONCLUSION</w:t>
      </w:r>
    </w:p>
    <w:p w:rsidR="00000000" w:rsidRDefault="00000000">
      <w:pPr>
        <w:pStyle w:val="BodyText3"/>
        <w:spacing w:before="120"/>
        <w:rPr>
          <w:sz w:val="22"/>
        </w:rPr>
      </w:pPr>
      <w:r>
        <w:rPr>
          <w:sz w:val="22"/>
        </w:rPr>
        <w:t xml:space="preserve">Au regard de la situation sanitaire et de la sécurité sociale, on constate que l'état de santé de la femme congolaise est précaire. L'application de l'article 12 de la CEDAW est confrontée à des difficultés, des contraintes parmi lesquelles un accès insuffisant des femmes aux services de santé, une faiblesse des ressources, des dysfonctionnements des services de santé et de sécurité sociale. Aussi ,les objectifs poursuivis ne pourront être atteints avec efficacité  sans d'une part, l'amélioration des services de santé et de sécurité sociale et d'autre part, une réelle amélioration du statut, du pouvoir d'achat de la femme. </w:t>
      </w:r>
    </w:p>
    <w:p w:rsidR="00000000" w:rsidRDefault="00000000">
      <w:pPr>
        <w:spacing w:before="120"/>
        <w:jc w:val="both"/>
        <w:rPr>
          <w:sz w:val="22"/>
        </w:rPr>
      </w:pPr>
      <w:r>
        <w:rPr>
          <w:sz w:val="22"/>
        </w:rPr>
        <w:t>Les points forts ou atouts relevés permettent de dire que des efforts sont réalisés par le gouvernement, en vue de promouvoir et de protéger la santé des femmes. Les perspectives suivantes sont à prendre en compte pour de meilleurs résultats :</w:t>
      </w:r>
    </w:p>
    <w:p w:rsidR="00000000" w:rsidRDefault="00000000">
      <w:pPr>
        <w:numPr>
          <w:ilvl w:val="0"/>
          <w:numId w:val="213"/>
        </w:numPr>
        <w:spacing w:before="120"/>
        <w:jc w:val="both"/>
        <w:rPr>
          <w:sz w:val="22"/>
        </w:rPr>
      </w:pPr>
      <w:r>
        <w:rPr>
          <w:sz w:val="22"/>
        </w:rPr>
        <w:t>la poursuite de la mise en œuvre du PNDS ;</w:t>
      </w:r>
    </w:p>
    <w:p w:rsidR="00000000" w:rsidRDefault="00000000">
      <w:pPr>
        <w:numPr>
          <w:ilvl w:val="0"/>
          <w:numId w:val="213"/>
        </w:numPr>
        <w:spacing w:before="120"/>
        <w:jc w:val="both"/>
        <w:rPr>
          <w:sz w:val="22"/>
        </w:rPr>
      </w:pPr>
      <w:r>
        <w:rPr>
          <w:sz w:val="22"/>
        </w:rPr>
        <w:t>la sensibilisation des populations sur la santé des femmes et sur les questions du genre ;</w:t>
      </w:r>
    </w:p>
    <w:p w:rsidR="00000000" w:rsidRDefault="00000000">
      <w:pPr>
        <w:numPr>
          <w:ilvl w:val="0"/>
          <w:numId w:val="213"/>
        </w:numPr>
        <w:spacing w:before="120"/>
        <w:jc w:val="both"/>
        <w:rPr>
          <w:sz w:val="22"/>
        </w:rPr>
      </w:pPr>
      <w:r>
        <w:rPr>
          <w:sz w:val="22"/>
        </w:rPr>
        <w:t>la mise en œuvre de la stratégie nationale de la santé de la reproduction ;</w:t>
      </w:r>
    </w:p>
    <w:p w:rsidR="00000000" w:rsidRDefault="00000000">
      <w:pPr>
        <w:numPr>
          <w:ilvl w:val="0"/>
          <w:numId w:val="213"/>
        </w:numPr>
        <w:spacing w:before="120"/>
        <w:jc w:val="both"/>
        <w:rPr>
          <w:sz w:val="22"/>
        </w:rPr>
      </w:pPr>
      <w:r>
        <w:rPr>
          <w:sz w:val="22"/>
        </w:rPr>
        <w:t>la révision des textes juridiques portant sur les questions de santé des femmes (loi de 1920, textes juridiques sur les violences etc.) ;</w:t>
      </w:r>
    </w:p>
    <w:p w:rsidR="00000000" w:rsidRDefault="00000000">
      <w:pPr>
        <w:numPr>
          <w:ilvl w:val="0"/>
          <w:numId w:val="213"/>
        </w:numPr>
        <w:spacing w:before="120"/>
        <w:jc w:val="both"/>
        <w:rPr>
          <w:sz w:val="22"/>
        </w:rPr>
      </w:pPr>
      <w:r>
        <w:rPr>
          <w:sz w:val="22"/>
        </w:rPr>
        <w:t>la révision du code national de sécurité sociale ;</w:t>
      </w:r>
    </w:p>
    <w:p w:rsidR="00000000" w:rsidRDefault="00000000">
      <w:pPr>
        <w:numPr>
          <w:ilvl w:val="0"/>
          <w:numId w:val="213"/>
        </w:numPr>
        <w:spacing w:before="120"/>
        <w:jc w:val="both"/>
        <w:rPr>
          <w:sz w:val="22"/>
        </w:rPr>
      </w:pPr>
      <w:r>
        <w:rPr>
          <w:sz w:val="22"/>
        </w:rPr>
        <w:t>la vulgarisation de la CEDAW ;</w:t>
      </w:r>
    </w:p>
    <w:p w:rsidR="00000000" w:rsidRDefault="00000000">
      <w:pPr>
        <w:numPr>
          <w:ilvl w:val="0"/>
          <w:numId w:val="213"/>
        </w:numPr>
        <w:spacing w:before="120"/>
        <w:jc w:val="both"/>
        <w:rPr>
          <w:sz w:val="22"/>
        </w:rPr>
      </w:pPr>
      <w:r>
        <w:rPr>
          <w:sz w:val="22"/>
        </w:rPr>
        <w:t>la mise en œuvre des activités génératrices de revenus dans le cadre de l'amélioration du pouvoir d'achat des femmes ;</w:t>
      </w:r>
    </w:p>
    <w:p w:rsidR="00000000" w:rsidRDefault="00000000">
      <w:pPr>
        <w:numPr>
          <w:ilvl w:val="0"/>
          <w:numId w:val="213"/>
        </w:numPr>
        <w:spacing w:before="120"/>
        <w:jc w:val="both"/>
        <w:rPr>
          <w:sz w:val="22"/>
        </w:rPr>
      </w:pPr>
      <w:r>
        <w:rPr>
          <w:sz w:val="22"/>
        </w:rPr>
        <w:t>l'amélioration du niveau d'instruction des femmes ;</w:t>
      </w:r>
    </w:p>
    <w:p w:rsidR="00000000" w:rsidRDefault="00000000">
      <w:pPr>
        <w:numPr>
          <w:ilvl w:val="0"/>
          <w:numId w:val="213"/>
        </w:numPr>
        <w:spacing w:before="120"/>
        <w:jc w:val="both"/>
        <w:rPr>
          <w:sz w:val="22"/>
        </w:rPr>
      </w:pPr>
      <w:r>
        <w:rPr>
          <w:sz w:val="22"/>
        </w:rPr>
        <w:t>la prise en compte des aspects liés à la santé des femmes dans le développement des projets - Approvisionnement en eau potable et assainissement (AEPA) - et de salubrité de l'environnement ;</w:t>
      </w:r>
    </w:p>
    <w:p w:rsidR="00000000" w:rsidRDefault="00000000">
      <w:pPr>
        <w:numPr>
          <w:ilvl w:val="0"/>
          <w:numId w:val="213"/>
        </w:numPr>
        <w:spacing w:before="120"/>
        <w:jc w:val="both"/>
        <w:rPr>
          <w:sz w:val="22"/>
        </w:rPr>
      </w:pPr>
      <w:r>
        <w:rPr>
          <w:sz w:val="22"/>
        </w:rPr>
        <w:t>la réhabilitation d’enquêtes démographiques et santé (EDS) ;</w:t>
      </w:r>
    </w:p>
    <w:p w:rsidR="00000000" w:rsidRDefault="00000000">
      <w:pPr>
        <w:numPr>
          <w:ilvl w:val="0"/>
          <w:numId w:val="213"/>
        </w:numPr>
        <w:spacing w:before="120"/>
        <w:jc w:val="both"/>
        <w:rPr>
          <w:sz w:val="22"/>
        </w:rPr>
      </w:pPr>
      <w:r>
        <w:rPr>
          <w:sz w:val="22"/>
        </w:rPr>
        <w:t>l’information du couple de son état de santé en cas d’infection au VIH/SIDA ;</w:t>
      </w:r>
    </w:p>
    <w:p w:rsidR="00000000" w:rsidRDefault="00000000">
      <w:pPr>
        <w:numPr>
          <w:ilvl w:val="0"/>
          <w:numId w:val="213"/>
        </w:numPr>
        <w:spacing w:before="120"/>
        <w:jc w:val="both"/>
        <w:rPr>
          <w:sz w:val="22"/>
        </w:rPr>
      </w:pPr>
      <w:r>
        <w:rPr>
          <w:sz w:val="22"/>
        </w:rPr>
        <w:t>l’instauration dans les SMI et hôpitaux, des services d’accueil des femmes handicapées</w:t>
      </w:r>
    </w:p>
    <w:p w:rsidR="00000000" w:rsidRDefault="00000000">
      <w:pPr>
        <w:jc w:val="both"/>
        <w:rPr>
          <w:sz w:val="22"/>
        </w:rPr>
      </w:pPr>
    </w:p>
    <w:p w:rsidR="00000000" w:rsidRDefault="00000000">
      <w:pPr>
        <w:rPr>
          <w:sz w:val="22"/>
        </w:rPr>
      </w:pPr>
    </w:p>
    <w:p w:rsidR="00000000" w:rsidRDefault="00000000">
      <w:pPr>
        <w:rPr>
          <w:sz w:val="22"/>
        </w:rPr>
      </w:pPr>
    </w:p>
    <w:tbl>
      <w:tblPr>
        <w:tblW w:w="0" w:type="auto"/>
        <w:tblInd w:w="1913" w:type="dxa"/>
        <w:tblLayout w:type="fixed"/>
        <w:tblCellMar>
          <w:left w:w="70" w:type="dxa"/>
          <w:right w:w="70" w:type="dxa"/>
        </w:tblCellMar>
        <w:tblLook w:val="0000" w:firstRow="0" w:lastRow="0" w:firstColumn="0" w:lastColumn="0" w:noHBand="0" w:noVBand="0"/>
      </w:tblPr>
      <w:tblGrid>
        <w:gridCol w:w="2268"/>
        <w:gridCol w:w="5029"/>
      </w:tblGrid>
      <w:tr w:rsidR="00000000">
        <w:tblPrEx>
          <w:tblCellMar>
            <w:top w:w="0" w:type="dxa"/>
            <w:bottom w:w="0" w:type="dxa"/>
          </w:tblCellMar>
        </w:tblPrEx>
        <w:tc>
          <w:tcPr>
            <w:tcW w:w="2268" w:type="dxa"/>
          </w:tcPr>
          <w:p w:rsidR="00000000" w:rsidRDefault="00000000">
            <w:pPr>
              <w:pStyle w:val="BodyText"/>
              <w:jc w:val="left"/>
              <w:rPr>
                <w:b/>
              </w:rPr>
            </w:pPr>
            <w:r>
              <w:rPr>
                <w:b/>
                <w:u w:val="single"/>
              </w:rPr>
              <w:t>CHAPITRE  XIII</w:t>
            </w:r>
            <w:r>
              <w:rPr>
                <w:b/>
              </w:rPr>
              <w:t xml:space="preserve"> : </w:t>
            </w:r>
          </w:p>
          <w:p w:rsidR="00000000" w:rsidRDefault="00000000">
            <w:pPr>
              <w:pStyle w:val="BodyText"/>
              <w:jc w:val="left"/>
            </w:pPr>
          </w:p>
          <w:p w:rsidR="00000000" w:rsidRDefault="00000000">
            <w:pPr>
              <w:pStyle w:val="BodyText"/>
              <w:jc w:val="left"/>
              <w:rPr>
                <w:b/>
                <w:u w:val="single"/>
              </w:rPr>
            </w:pPr>
          </w:p>
        </w:tc>
        <w:tc>
          <w:tcPr>
            <w:tcW w:w="5029" w:type="dxa"/>
          </w:tcPr>
          <w:p w:rsidR="00000000" w:rsidRDefault="00000000">
            <w:pPr>
              <w:pStyle w:val="BodyText"/>
              <w:rPr>
                <w:b/>
              </w:rPr>
            </w:pPr>
            <w:r>
              <w:rPr>
                <w:b/>
                <w:caps/>
                <w:u w:val="single"/>
              </w:rPr>
              <w:t xml:space="preserve">DROITS ECONOMIQUES ET SOCIAUX DE LA FEMME </w:t>
            </w:r>
            <w:r>
              <w:rPr>
                <w:b/>
              </w:rPr>
              <w:t>(article 13)</w:t>
            </w:r>
          </w:p>
          <w:p w:rsidR="00000000" w:rsidRDefault="00000000">
            <w:pPr>
              <w:pStyle w:val="BodyText"/>
              <w:jc w:val="left"/>
              <w:rPr>
                <w:b/>
                <w:u w:val="single"/>
              </w:rPr>
            </w:pPr>
          </w:p>
        </w:tc>
      </w:tr>
    </w:tbl>
    <w:p w:rsidR="00000000" w:rsidRDefault="00000000">
      <w:pPr>
        <w:pStyle w:val="BodyText"/>
        <w:jc w:val="left"/>
        <w:rPr>
          <w:b/>
          <w:sz w:val="22"/>
        </w:rPr>
      </w:pPr>
      <w:r>
        <w:rPr>
          <w:b/>
          <w:sz w:val="22"/>
          <w:u w:val="single"/>
        </w:rPr>
        <w:t>Article 13</w:t>
      </w:r>
      <w:r>
        <w:rPr>
          <w:b/>
          <w:sz w:val="22"/>
        </w:rPr>
        <w:t> :</w:t>
      </w:r>
    </w:p>
    <w:p w:rsidR="00000000" w:rsidRDefault="00000000">
      <w:pPr>
        <w:pStyle w:val="BodyText"/>
        <w:jc w:val="left"/>
        <w:rPr>
          <w:b/>
          <w:sz w:val="22"/>
          <w:u w:val="single"/>
        </w:rPr>
      </w:pPr>
    </w:p>
    <w:p w:rsidR="00000000" w:rsidRDefault="00000000">
      <w:pPr>
        <w:pStyle w:val="BodyText"/>
        <w:rPr>
          <w:i/>
          <w:sz w:val="22"/>
        </w:rPr>
      </w:pPr>
      <w:r>
        <w:rPr>
          <w:i/>
          <w:sz w:val="22"/>
        </w:rPr>
        <w:t>« 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pStyle w:val="BodyText"/>
        <w:rPr>
          <w:sz w:val="22"/>
        </w:rPr>
      </w:pPr>
    </w:p>
    <w:p w:rsidR="00000000" w:rsidRDefault="00000000">
      <w:pPr>
        <w:pStyle w:val="BodyText"/>
        <w:numPr>
          <w:ilvl w:val="0"/>
          <w:numId w:val="114"/>
        </w:numPr>
        <w:rPr>
          <w:i/>
          <w:sz w:val="22"/>
        </w:rPr>
      </w:pPr>
      <w:r>
        <w:rPr>
          <w:i/>
          <w:sz w:val="22"/>
        </w:rPr>
        <w:t>le droit aux prestations familiales ;</w:t>
      </w:r>
    </w:p>
    <w:p w:rsidR="00000000" w:rsidRDefault="00000000">
      <w:pPr>
        <w:pStyle w:val="BodyText"/>
        <w:numPr>
          <w:ilvl w:val="0"/>
          <w:numId w:val="114"/>
        </w:numPr>
        <w:rPr>
          <w:i/>
          <w:sz w:val="22"/>
        </w:rPr>
      </w:pPr>
      <w:r>
        <w:rPr>
          <w:i/>
          <w:sz w:val="22"/>
        </w:rPr>
        <w:t>le droit aux prêts bancaires, aux prêts hypothécaires et autres formes de crédit financier ;</w:t>
      </w:r>
    </w:p>
    <w:p w:rsidR="00000000" w:rsidRDefault="00000000">
      <w:pPr>
        <w:pStyle w:val="BodyText"/>
        <w:numPr>
          <w:ilvl w:val="0"/>
          <w:numId w:val="114"/>
        </w:numPr>
        <w:rPr>
          <w:i/>
          <w:sz w:val="22"/>
        </w:rPr>
      </w:pPr>
      <w:r>
        <w:rPr>
          <w:i/>
          <w:sz w:val="22"/>
        </w:rPr>
        <w:t>le droit de participer aux activités récréatives, au sport et à tous les aspects de la vie culturelle. »</w:t>
      </w:r>
    </w:p>
    <w:p w:rsidR="00000000" w:rsidRDefault="00000000">
      <w:pPr>
        <w:pStyle w:val="BodyText"/>
        <w:rPr>
          <w:sz w:val="22"/>
        </w:rPr>
      </w:pPr>
    </w:p>
    <w:p w:rsidR="00000000" w:rsidRDefault="00000000">
      <w:pPr>
        <w:pStyle w:val="BodyText"/>
        <w:rPr>
          <w:sz w:val="22"/>
        </w:rPr>
      </w:pPr>
      <w:r>
        <w:rPr>
          <w:sz w:val="22"/>
        </w:rPr>
        <w:t>La participation des femmes dans les activités industrielles, commerciales, formelles et artisanales, reste insuffisante. Elles s’intéressent surtout aux activités commerciales et agricoles réalisées en milieu rural.</w:t>
      </w:r>
    </w:p>
    <w:p w:rsidR="00000000" w:rsidRDefault="00000000">
      <w:pPr>
        <w:pStyle w:val="BodyText"/>
        <w:rPr>
          <w:sz w:val="22"/>
        </w:rPr>
      </w:pPr>
    </w:p>
    <w:p w:rsidR="00000000" w:rsidRDefault="00000000">
      <w:pPr>
        <w:pStyle w:val="BodyText"/>
        <w:rPr>
          <w:sz w:val="22"/>
        </w:rPr>
      </w:pPr>
      <w:r>
        <w:rPr>
          <w:sz w:val="22"/>
        </w:rPr>
        <w:t>Le secteur informel constitue le secteur de prédilection pour les femmes qui représentent 64% des actifs. Mais elles sont confrontées à plusieurs problèmes notamment l’absence d’un cadre juridique et réglementaire ainsi que la concurrence déloyale.</w:t>
      </w:r>
    </w:p>
    <w:p w:rsidR="00000000" w:rsidRDefault="00000000">
      <w:pPr>
        <w:pStyle w:val="BodyText"/>
        <w:rPr>
          <w:sz w:val="22"/>
        </w:rPr>
      </w:pPr>
    </w:p>
    <w:p w:rsidR="00000000" w:rsidRDefault="00000000">
      <w:pPr>
        <w:pStyle w:val="BodyText"/>
        <w:rPr>
          <w:b/>
          <w:sz w:val="22"/>
          <w:u w:val="single"/>
        </w:rPr>
      </w:pPr>
      <w:r>
        <w:rPr>
          <w:b/>
          <w:sz w:val="22"/>
          <w:u w:val="single"/>
        </w:rPr>
        <w:t>SECTION</w:t>
      </w:r>
      <w:r>
        <w:rPr>
          <w:b/>
          <w:sz w:val="22"/>
        </w:rPr>
        <w:t xml:space="preserve"> I- </w:t>
      </w:r>
      <w:r>
        <w:rPr>
          <w:b/>
          <w:sz w:val="22"/>
          <w:u w:val="single"/>
        </w:rPr>
        <w:t>Le droit aux prestations familiales</w:t>
      </w:r>
    </w:p>
    <w:p w:rsidR="00000000" w:rsidRDefault="00000000">
      <w:pPr>
        <w:pStyle w:val="BodyText"/>
        <w:jc w:val="left"/>
        <w:rPr>
          <w:b/>
          <w:sz w:val="22"/>
        </w:rPr>
      </w:pPr>
    </w:p>
    <w:p w:rsidR="00000000" w:rsidRDefault="00000000">
      <w:pPr>
        <w:pStyle w:val="BodyText"/>
        <w:rPr>
          <w:sz w:val="22"/>
        </w:rPr>
      </w:pPr>
      <w:r>
        <w:rPr>
          <w:sz w:val="22"/>
        </w:rPr>
        <w:t>L’article 212 du statut général de la fonction publique déclare que tout agent a droit à une couverture sociale ; et qu’il bénéficie d’un droit à la pension de retraite. Celui-ci est défini par la loi sur les pensions civiles de l’État.</w:t>
      </w:r>
    </w:p>
    <w:p w:rsidR="00000000" w:rsidRDefault="00000000">
      <w:pPr>
        <w:pStyle w:val="BodyText"/>
        <w:rPr>
          <w:sz w:val="22"/>
        </w:rPr>
      </w:pPr>
    </w:p>
    <w:p w:rsidR="00000000" w:rsidRDefault="00000000">
      <w:pPr>
        <w:pStyle w:val="BodyText"/>
        <w:rPr>
          <w:sz w:val="22"/>
        </w:rPr>
      </w:pPr>
      <w:r>
        <w:rPr>
          <w:sz w:val="22"/>
        </w:rPr>
        <w:t>Il convient de relever que le régime de sécurité sociale au Congo ne couvre pas encore totalement ses missions. Il se limite aux régimes de pensions. Les prestations familiales sont constituées des allocations familiales et suppléments familiaux variables en fonction du nombre d’enfants.</w:t>
      </w:r>
    </w:p>
    <w:p w:rsidR="00000000" w:rsidRDefault="00000000">
      <w:pPr>
        <w:pStyle w:val="BodyText"/>
        <w:rPr>
          <w:sz w:val="22"/>
        </w:rPr>
      </w:pPr>
    </w:p>
    <w:p w:rsidR="00000000" w:rsidRDefault="00000000">
      <w:pPr>
        <w:pStyle w:val="BodyText"/>
        <w:rPr>
          <w:sz w:val="22"/>
        </w:rPr>
      </w:pPr>
      <w:r>
        <w:rPr>
          <w:sz w:val="22"/>
        </w:rPr>
        <w:t>Aussi, la femme dite ménagère (n’ayant pas d’emploi salarié) et celle qui vit en zone rurale, ne peuvent prétendre à aucune prestation ni autre subvention à titre social ; sauf si elle est veuve d’un salarié ou d’un fonctionnaire pour bénéficier de la pension du mari et des allocations familiales.</w:t>
      </w:r>
    </w:p>
    <w:p w:rsidR="00000000" w:rsidRDefault="00000000">
      <w:pPr>
        <w:pStyle w:val="BodyText"/>
        <w:rPr>
          <w:sz w:val="22"/>
        </w:rPr>
      </w:pPr>
    </w:p>
    <w:p w:rsidR="00000000" w:rsidRDefault="00000000">
      <w:pPr>
        <w:pStyle w:val="BodyText"/>
        <w:rPr>
          <w:sz w:val="22"/>
        </w:rPr>
      </w:pPr>
    </w:p>
    <w:p w:rsidR="00000000" w:rsidRDefault="00000000">
      <w:pPr>
        <w:pStyle w:val="BodyText"/>
        <w:rPr>
          <w:sz w:val="22"/>
        </w:rPr>
      </w:pPr>
    </w:p>
    <w:p w:rsidR="00000000" w:rsidRDefault="00000000">
      <w:pPr>
        <w:pStyle w:val="BodyText"/>
        <w:rPr>
          <w:sz w:val="22"/>
        </w:rPr>
      </w:pPr>
    </w:p>
    <w:p w:rsidR="00000000" w:rsidRDefault="00000000">
      <w:pPr>
        <w:pStyle w:val="BodyText"/>
        <w:rPr>
          <w:b/>
          <w:sz w:val="22"/>
          <w:u w:val="single"/>
        </w:rPr>
      </w:pPr>
      <w:r>
        <w:rPr>
          <w:b/>
          <w:sz w:val="22"/>
          <w:u w:val="single"/>
        </w:rPr>
        <w:t>SECTION</w:t>
      </w:r>
      <w:r>
        <w:rPr>
          <w:b/>
          <w:sz w:val="22"/>
        </w:rPr>
        <w:t xml:space="preserve"> II- </w:t>
      </w:r>
      <w:r>
        <w:rPr>
          <w:b/>
          <w:sz w:val="22"/>
          <w:u w:val="single"/>
        </w:rPr>
        <w:t>Le droit aux prêts bancaires, prêts hypothécaires et autres formes de crédits financiers</w:t>
      </w:r>
    </w:p>
    <w:p w:rsidR="00000000" w:rsidRDefault="00000000">
      <w:pPr>
        <w:pStyle w:val="BodyText"/>
        <w:jc w:val="left"/>
        <w:rPr>
          <w:b/>
          <w:sz w:val="22"/>
        </w:rPr>
      </w:pPr>
    </w:p>
    <w:p w:rsidR="00000000" w:rsidRDefault="00000000">
      <w:pPr>
        <w:pStyle w:val="BodyText"/>
        <w:rPr>
          <w:sz w:val="22"/>
        </w:rPr>
      </w:pPr>
      <w:r>
        <w:rPr>
          <w:sz w:val="22"/>
        </w:rPr>
        <w:t>La rigidité du secteur bancaire ne facilite pas l’accès au crédit financier en faveur de la femme. Ce qui la contraint à travailler avec des institutions financières traditionnelles et autres usuriers. La femme recourt souvent aux prêts bancaires, aux tontines, aux mobikissi (usurier ambulant).</w:t>
      </w:r>
    </w:p>
    <w:p w:rsidR="00000000" w:rsidRDefault="00000000">
      <w:pPr>
        <w:pStyle w:val="BodyText"/>
        <w:rPr>
          <w:sz w:val="22"/>
        </w:rPr>
      </w:pPr>
    </w:p>
    <w:p w:rsidR="00000000" w:rsidRDefault="00000000">
      <w:pPr>
        <w:pStyle w:val="BodyText"/>
        <w:rPr>
          <w:sz w:val="22"/>
        </w:rPr>
      </w:pPr>
      <w:r>
        <w:rPr>
          <w:sz w:val="22"/>
        </w:rPr>
        <w:t>La majorité des femmes opératrices économiques ne tiennent pas de comptabilité et n’ont ni bilan, ni compte d’exploitation prévisionnel.</w:t>
      </w:r>
    </w:p>
    <w:p w:rsidR="00000000" w:rsidRDefault="00000000">
      <w:pPr>
        <w:pStyle w:val="BodyText"/>
        <w:rPr>
          <w:sz w:val="22"/>
        </w:rPr>
      </w:pPr>
    </w:p>
    <w:p w:rsidR="00000000" w:rsidRDefault="00000000">
      <w:pPr>
        <w:pStyle w:val="BodyText"/>
        <w:rPr>
          <w:sz w:val="22"/>
        </w:rPr>
      </w:pPr>
      <w:r>
        <w:rPr>
          <w:sz w:val="22"/>
        </w:rPr>
        <w:t>Les conditions d’octroi de crédits, la constitution du dossier nécessitent un bulletin de salaire, une attestation de commerce, un compte d’exploitation prévisionnel, un apport d’au moins 20%, ce qui oblige les femmes à s’orienter vers les institutions financières plus souples et mieux adaptées à leurs niveau et besoins.</w:t>
      </w:r>
    </w:p>
    <w:p w:rsidR="00000000" w:rsidRDefault="00000000">
      <w:pPr>
        <w:pStyle w:val="BodyText"/>
        <w:rPr>
          <w:sz w:val="22"/>
        </w:rPr>
      </w:pPr>
    </w:p>
    <w:p w:rsidR="00000000" w:rsidRDefault="00000000">
      <w:pPr>
        <w:pStyle w:val="BodyText"/>
        <w:rPr>
          <w:sz w:val="22"/>
        </w:rPr>
      </w:pPr>
      <w:r>
        <w:rPr>
          <w:sz w:val="22"/>
        </w:rPr>
        <w:t>La femme fait encore face à de multiples contraintes notamment :</w:t>
      </w:r>
    </w:p>
    <w:p w:rsidR="00000000" w:rsidRDefault="00000000">
      <w:pPr>
        <w:pStyle w:val="BodyText"/>
        <w:rPr>
          <w:sz w:val="22"/>
        </w:rPr>
      </w:pPr>
    </w:p>
    <w:p w:rsidR="00000000" w:rsidRDefault="00000000">
      <w:pPr>
        <w:pStyle w:val="BodyText"/>
        <w:numPr>
          <w:ilvl w:val="0"/>
          <w:numId w:val="214"/>
        </w:numPr>
        <w:rPr>
          <w:sz w:val="22"/>
        </w:rPr>
      </w:pPr>
      <w:r>
        <w:rPr>
          <w:sz w:val="22"/>
        </w:rPr>
        <w:t>la rigidité du secteur bancaire ;</w:t>
      </w:r>
    </w:p>
    <w:p w:rsidR="00000000" w:rsidRDefault="00000000">
      <w:pPr>
        <w:pStyle w:val="BodyText"/>
        <w:numPr>
          <w:ilvl w:val="0"/>
          <w:numId w:val="214"/>
        </w:numPr>
        <w:rPr>
          <w:sz w:val="22"/>
        </w:rPr>
      </w:pPr>
      <w:r>
        <w:rPr>
          <w:sz w:val="22"/>
        </w:rPr>
        <w:t>le manque de formation en gestion et comptabilité ;</w:t>
      </w:r>
    </w:p>
    <w:p w:rsidR="00000000" w:rsidRDefault="00000000">
      <w:pPr>
        <w:pStyle w:val="BodyText"/>
        <w:numPr>
          <w:ilvl w:val="0"/>
          <w:numId w:val="214"/>
        </w:numPr>
        <w:rPr>
          <w:sz w:val="22"/>
        </w:rPr>
      </w:pPr>
      <w:r>
        <w:rPr>
          <w:sz w:val="22"/>
        </w:rPr>
        <w:t>l’absence d’un cadre juridique et réglementaire en matière de micro-finance.</w:t>
      </w:r>
    </w:p>
    <w:p w:rsidR="00000000" w:rsidRDefault="00000000">
      <w:pPr>
        <w:pStyle w:val="BodyText"/>
        <w:rPr>
          <w:sz w:val="22"/>
        </w:rPr>
      </w:pPr>
    </w:p>
    <w:p w:rsidR="00000000" w:rsidRDefault="00000000">
      <w:pPr>
        <w:pStyle w:val="BodyText"/>
        <w:rPr>
          <w:sz w:val="22"/>
        </w:rPr>
      </w:pPr>
      <w:r>
        <w:rPr>
          <w:sz w:val="22"/>
        </w:rPr>
        <w:t>Pour pallier ces obstacles, un projet « appui aux femmes du système informel » réalisé avec l’aide du Programme des Nations Unies pour le Développement (PNUD) a démarré en 1993 et a mis en place un mécanisme de crédit adapté aux besoins de financement des femmes.</w:t>
      </w:r>
    </w:p>
    <w:p w:rsidR="00000000" w:rsidRDefault="00000000">
      <w:pPr>
        <w:pStyle w:val="BodyText"/>
        <w:rPr>
          <w:sz w:val="22"/>
        </w:rPr>
      </w:pPr>
    </w:p>
    <w:p w:rsidR="00000000" w:rsidRDefault="00000000">
      <w:pPr>
        <w:pStyle w:val="BodyText"/>
        <w:rPr>
          <w:sz w:val="22"/>
        </w:rPr>
      </w:pPr>
      <w:r>
        <w:rPr>
          <w:sz w:val="22"/>
        </w:rPr>
        <w:t xml:space="preserve">Ce projet a mis en place deux caisses pilotes féminines d’épargne et de crédit à Brazzaville et à Mindouli. Le succès enregistré par cette initiative a suscité la naissance d’autres caisses. On compte dix caisses et près de 2000 comptes sur tout le territoire, qui fonctionnent comme des mini banques, récoltant l’épargne et accordant des crédits, qui sont bien remboursés par les femmes.(près de 100%). </w:t>
      </w:r>
    </w:p>
    <w:p w:rsidR="00000000" w:rsidRDefault="00000000">
      <w:pPr>
        <w:pStyle w:val="BodyText"/>
        <w:rPr>
          <w:sz w:val="22"/>
        </w:rPr>
      </w:pPr>
      <w:r>
        <w:rPr>
          <w:sz w:val="22"/>
        </w:rPr>
        <w:t>Depuis 1999 cette expérience a été reprise après la guerre de 1997 qui a tous détruit. Dans le cadre du projet PRC/008/98 équité entre les femmes et les hommes, le PNUD et le Gouvernement ont relancé cette activité et en compte aujourd’hui près de dix sept (17) caisses féminines qui drainent l’épargne des femmes et leur offre quelques financements minimes pour lancer leurs activités.</w:t>
      </w:r>
    </w:p>
    <w:p w:rsidR="00000000" w:rsidRDefault="00000000">
      <w:pPr>
        <w:pStyle w:val="BodyText"/>
        <w:rPr>
          <w:sz w:val="22"/>
        </w:rPr>
      </w:pPr>
    </w:p>
    <w:p w:rsidR="00000000" w:rsidRDefault="00000000">
      <w:pPr>
        <w:pStyle w:val="BodyText"/>
        <w:rPr>
          <w:sz w:val="22"/>
        </w:rPr>
      </w:pPr>
      <w:r>
        <w:rPr>
          <w:sz w:val="22"/>
        </w:rPr>
        <w:t>Il convient de souligner la récente création d’une banque formelle pour la femme ; société à capitaux, ouverte à la femme et pour l’aide au développement aux micro-projets de femmes. Cette œuvre a été réalisée par une femme.</w:t>
      </w:r>
    </w:p>
    <w:p w:rsidR="00000000" w:rsidRDefault="00000000">
      <w:pPr>
        <w:pStyle w:val="BodyText"/>
        <w:rPr>
          <w:sz w:val="22"/>
        </w:rPr>
      </w:pPr>
    </w:p>
    <w:p w:rsidR="00000000" w:rsidRDefault="00000000">
      <w:pPr>
        <w:pStyle w:val="BodyText"/>
        <w:rPr>
          <w:sz w:val="22"/>
        </w:rPr>
      </w:pPr>
      <w:r>
        <w:rPr>
          <w:sz w:val="22"/>
        </w:rPr>
        <w:t>Le développement des ressources humaines et la lutte contre la pauvreté sont une priorité du Gouvernement. Dans les budgets de l’État, depuis l’année 1998, une large part est affectée à la mise en application du plan d’action découlant de la politique de promotion de la femme. La promotion aux investissements diversifiés (PID) a accordé 2001 la somme de cinq cent quatre vingt dix neuf millions (599 000 000) de francs CFA pour le soutient financier des activités des femmes.</w:t>
      </w:r>
    </w:p>
    <w:p w:rsidR="00000000" w:rsidRDefault="00000000">
      <w:pPr>
        <w:pStyle w:val="BodyText"/>
        <w:rPr>
          <w:sz w:val="22"/>
        </w:rPr>
      </w:pPr>
    </w:p>
    <w:p w:rsidR="00000000" w:rsidRDefault="00000000">
      <w:pPr>
        <w:pStyle w:val="BodyText"/>
        <w:rPr>
          <w:sz w:val="22"/>
        </w:rPr>
      </w:pPr>
      <w:r>
        <w:rPr>
          <w:sz w:val="22"/>
        </w:rPr>
        <w:t>Aussi, dans son rôle de facilitateur et de régulateur, l’État est entrain de mettre en place un cadre de concertation pour l’élaboration d’une législation et d’une réglementation adaptées aux micro-entreprises et aux dispositifs d’appui. Trop d’obstacles freinent réellement l’essor de l’activité de la femme et sa promotion.</w:t>
      </w:r>
    </w:p>
    <w:p w:rsidR="00000000" w:rsidRDefault="00000000">
      <w:pPr>
        <w:pStyle w:val="BodyText"/>
        <w:rPr>
          <w:sz w:val="22"/>
        </w:rPr>
      </w:pPr>
    </w:p>
    <w:p w:rsidR="00000000" w:rsidRDefault="00000000">
      <w:pPr>
        <w:pStyle w:val="BodyText"/>
        <w:rPr>
          <w:sz w:val="22"/>
        </w:rPr>
      </w:pPr>
    </w:p>
    <w:p w:rsidR="00000000" w:rsidRDefault="00000000">
      <w:pPr>
        <w:pStyle w:val="BodyText"/>
        <w:ind w:left="1425" w:hanging="1425"/>
        <w:rPr>
          <w:b/>
          <w:sz w:val="22"/>
          <w:u w:val="single"/>
        </w:rPr>
      </w:pPr>
      <w:r>
        <w:rPr>
          <w:b/>
          <w:sz w:val="22"/>
          <w:u w:val="single"/>
        </w:rPr>
        <w:t>SECTION</w:t>
      </w:r>
      <w:r>
        <w:rPr>
          <w:b/>
          <w:sz w:val="22"/>
        </w:rPr>
        <w:t xml:space="preserve"> III-</w:t>
      </w:r>
      <w:r>
        <w:rPr>
          <w:b/>
          <w:sz w:val="22"/>
        </w:rPr>
        <w:tab/>
      </w:r>
      <w:r>
        <w:rPr>
          <w:b/>
          <w:sz w:val="22"/>
          <w:u w:val="single"/>
        </w:rPr>
        <w:t>Le droit de participer aux activités récréatives, aux sports et à tous les aspects de la vie culturelle</w:t>
      </w:r>
    </w:p>
    <w:p w:rsidR="00000000" w:rsidRDefault="00000000">
      <w:pPr>
        <w:pStyle w:val="BodyText"/>
        <w:rPr>
          <w:sz w:val="22"/>
        </w:rPr>
      </w:pPr>
    </w:p>
    <w:p w:rsidR="00000000" w:rsidRDefault="00000000">
      <w:pPr>
        <w:pStyle w:val="BodyText"/>
        <w:rPr>
          <w:sz w:val="22"/>
        </w:rPr>
      </w:pPr>
      <w:r>
        <w:rPr>
          <w:sz w:val="22"/>
        </w:rPr>
        <w:t>Les pouvoirs publics congolais garantissent à l’homme et à la femme, la possibilité de participer aux sports et loisirs.</w:t>
      </w:r>
    </w:p>
    <w:p w:rsidR="00000000" w:rsidRDefault="00000000">
      <w:pPr>
        <w:pStyle w:val="BodyText"/>
        <w:rPr>
          <w:sz w:val="22"/>
        </w:rPr>
      </w:pPr>
    </w:p>
    <w:p w:rsidR="00000000" w:rsidRDefault="00000000">
      <w:pPr>
        <w:pStyle w:val="BodyText"/>
        <w:rPr>
          <w:sz w:val="22"/>
        </w:rPr>
      </w:pPr>
      <w:r>
        <w:rPr>
          <w:sz w:val="22"/>
        </w:rPr>
        <w:t>L’acte fondamental, les codes de la famille, de la sécurité sociale, du travail et les conventions sur les droits de la femme et de la jeune fille reconnaissent aux femmes les mêmes chances d’accès aux activités récréatives, aux sports et à tous les aspects de la vie culturelle.</w:t>
      </w:r>
    </w:p>
    <w:p w:rsidR="00000000" w:rsidRDefault="00000000">
      <w:pPr>
        <w:pStyle w:val="BodyText"/>
        <w:rPr>
          <w:sz w:val="22"/>
        </w:rPr>
      </w:pPr>
    </w:p>
    <w:p w:rsidR="00000000" w:rsidRDefault="00000000">
      <w:pPr>
        <w:pStyle w:val="BodyText"/>
        <w:rPr>
          <w:b/>
          <w:sz w:val="22"/>
          <w:u w:val="single"/>
        </w:rPr>
      </w:pPr>
      <w:r>
        <w:rPr>
          <w:b/>
          <w:sz w:val="22"/>
        </w:rPr>
        <w:t>I -</w:t>
      </w:r>
      <w:r>
        <w:rPr>
          <w:sz w:val="22"/>
        </w:rPr>
        <w:t xml:space="preserve"> </w:t>
      </w:r>
      <w:r>
        <w:rPr>
          <w:b/>
          <w:sz w:val="22"/>
          <w:u w:val="single"/>
        </w:rPr>
        <w:t>Au plan culturel</w:t>
      </w:r>
    </w:p>
    <w:p w:rsidR="00000000" w:rsidRDefault="00000000">
      <w:pPr>
        <w:pStyle w:val="BodyText"/>
        <w:jc w:val="left"/>
        <w:rPr>
          <w:b/>
          <w:sz w:val="22"/>
        </w:rPr>
      </w:pPr>
    </w:p>
    <w:p w:rsidR="00000000" w:rsidRDefault="00000000">
      <w:pPr>
        <w:pStyle w:val="BodyText"/>
        <w:rPr>
          <w:sz w:val="22"/>
        </w:rPr>
      </w:pPr>
      <w:r>
        <w:rPr>
          <w:sz w:val="22"/>
        </w:rPr>
        <w:t>La participation de la femme congolaise au développement culturel est très active. Dans tous les domaines des arts et de la culture, la femme est présente de manière effective : littérature, musique, théâtre, art plastique… Elle a contribué depuis longtemps et sans complexe à la revalorisation du patrimoine culturel. Cependant, il faut tout de même signaler la faible participation de la femme dans les domaines de la sculpture, de la peinture et de la céramique.</w:t>
      </w:r>
    </w:p>
    <w:p w:rsidR="00000000" w:rsidRDefault="00000000">
      <w:pPr>
        <w:pStyle w:val="BodyText"/>
        <w:rPr>
          <w:sz w:val="22"/>
        </w:rPr>
      </w:pPr>
    </w:p>
    <w:p w:rsidR="00000000" w:rsidRDefault="00000000">
      <w:pPr>
        <w:pStyle w:val="BodyText"/>
        <w:rPr>
          <w:b/>
          <w:sz w:val="22"/>
        </w:rPr>
      </w:pPr>
      <w:r>
        <w:rPr>
          <w:b/>
          <w:sz w:val="22"/>
        </w:rPr>
        <w:t xml:space="preserve">II - </w:t>
      </w:r>
      <w:r>
        <w:rPr>
          <w:b/>
          <w:sz w:val="22"/>
          <w:u w:val="single"/>
        </w:rPr>
        <w:t>Au plan scolaire</w:t>
      </w:r>
    </w:p>
    <w:p w:rsidR="00000000" w:rsidRDefault="00000000">
      <w:pPr>
        <w:pStyle w:val="BodyText"/>
        <w:jc w:val="left"/>
        <w:rPr>
          <w:sz w:val="22"/>
        </w:rPr>
      </w:pPr>
    </w:p>
    <w:p w:rsidR="00000000" w:rsidRDefault="00000000">
      <w:pPr>
        <w:pStyle w:val="BodyText"/>
        <w:rPr>
          <w:sz w:val="22"/>
        </w:rPr>
      </w:pPr>
      <w:r>
        <w:rPr>
          <w:sz w:val="22"/>
        </w:rPr>
        <w:t>La jeune fille et le jeune garçon ont également les mêmes chances d’accès à l’éducation qu’à l’instruction de la maternelle à l’université. On déplore toutefois la forte déperdition scolaire des filles au niveau de l’enseignement secondaire et universitaire, du fait de l’entrée précoce des filles dans le statut de mère et chef de ménage.</w:t>
      </w:r>
    </w:p>
    <w:p w:rsidR="00000000" w:rsidRDefault="00000000">
      <w:pPr>
        <w:pStyle w:val="BodyText"/>
        <w:rPr>
          <w:sz w:val="22"/>
        </w:rPr>
      </w:pPr>
    </w:p>
    <w:p w:rsidR="00000000" w:rsidRDefault="00000000">
      <w:pPr>
        <w:pStyle w:val="BodyText"/>
        <w:rPr>
          <w:sz w:val="22"/>
        </w:rPr>
      </w:pPr>
      <w:r>
        <w:rPr>
          <w:b/>
          <w:sz w:val="22"/>
        </w:rPr>
        <w:br w:type="page"/>
        <w:t xml:space="preserve">III - </w:t>
      </w:r>
      <w:r>
        <w:rPr>
          <w:b/>
          <w:sz w:val="22"/>
          <w:u w:val="single"/>
        </w:rPr>
        <w:t>Au plan sportif</w:t>
      </w:r>
    </w:p>
    <w:p w:rsidR="00000000" w:rsidRDefault="00000000">
      <w:pPr>
        <w:pStyle w:val="BodyText"/>
        <w:jc w:val="left"/>
        <w:rPr>
          <w:sz w:val="22"/>
        </w:rPr>
      </w:pPr>
    </w:p>
    <w:p w:rsidR="00000000" w:rsidRDefault="00000000">
      <w:pPr>
        <w:pStyle w:val="BodyText"/>
        <w:rPr>
          <w:sz w:val="22"/>
        </w:rPr>
      </w:pPr>
      <w:r>
        <w:rPr>
          <w:sz w:val="22"/>
        </w:rPr>
        <w:t>La République du Congo est l’un des pays africains où la jeune fille a, grâce au sport, contribué au rayonnement international de son pays. On note ici une forte participation de la jeune fille congolaise au hand-ball, sport où l’équipe féminine a été parmi les premières d’Afrique, mais aussi au volley-ball ; basket-ball, tennis et football. Elle prend de plus en plus part à la pratique des arts martiaux.</w:t>
      </w:r>
    </w:p>
    <w:p w:rsidR="00000000" w:rsidRDefault="00000000">
      <w:pPr>
        <w:pStyle w:val="BodyText"/>
        <w:rPr>
          <w:sz w:val="22"/>
        </w:rPr>
      </w:pPr>
    </w:p>
    <w:p w:rsidR="00000000" w:rsidRDefault="00000000">
      <w:pPr>
        <w:pStyle w:val="BodyText"/>
        <w:rPr>
          <w:sz w:val="22"/>
        </w:rPr>
      </w:pPr>
      <w:r>
        <w:rPr>
          <w:sz w:val="22"/>
        </w:rPr>
        <w:t>Ces différents sports se pratiquent dans l’ensemble du territoire national mais surtout dans les grands centres urbains. D’autres sports, tels que le judo, le lancement de poids, le javelot, la natation sont peu pratiqués par manque d’engouement de la jeune fille et aussi du fait de l’absence de structures appropriées et non pas à cause d’une exclusion ou interdiction quelconque.</w:t>
      </w:r>
    </w:p>
    <w:p w:rsidR="00000000" w:rsidRDefault="00000000">
      <w:pPr>
        <w:pStyle w:val="BodyText"/>
        <w:rPr>
          <w:sz w:val="22"/>
        </w:rPr>
      </w:pPr>
    </w:p>
    <w:p w:rsidR="00000000" w:rsidRDefault="00000000">
      <w:pPr>
        <w:pStyle w:val="BodyText"/>
        <w:rPr>
          <w:sz w:val="22"/>
        </w:rPr>
      </w:pPr>
      <w:r>
        <w:rPr>
          <w:sz w:val="22"/>
        </w:rPr>
        <w:t>La femme du Congo, jeune ou adulte, selon ses potentialités physiques ou intellectuelles, a accès à toutes les activités sportives et culturelles, sans discrimination aucune et bénéficie de l’activité d’encadrement des services gouvernementaux.</w:t>
      </w:r>
    </w:p>
    <w:p w:rsidR="00000000" w:rsidRDefault="00000000">
      <w:pPr>
        <w:pStyle w:val="BodyText"/>
        <w:rPr>
          <w:sz w:val="22"/>
        </w:rPr>
      </w:pPr>
    </w:p>
    <w:p w:rsidR="00000000" w:rsidRDefault="00000000">
      <w:pPr>
        <w:pStyle w:val="BodyText"/>
        <w:rPr>
          <w:sz w:val="22"/>
        </w:rPr>
      </w:pPr>
    </w:p>
    <w:p w:rsidR="00000000" w:rsidRDefault="00000000">
      <w:pPr>
        <w:pStyle w:val="BodyText"/>
        <w:rPr>
          <w:b/>
          <w:sz w:val="22"/>
        </w:rPr>
      </w:pPr>
      <w:r>
        <w:rPr>
          <w:b/>
          <w:sz w:val="22"/>
          <w:u w:val="single"/>
        </w:rPr>
        <w:t>SECTION</w:t>
      </w:r>
      <w:r>
        <w:rPr>
          <w:b/>
          <w:sz w:val="22"/>
        </w:rPr>
        <w:t xml:space="preserve"> IV – </w:t>
      </w:r>
      <w:r>
        <w:rPr>
          <w:b/>
          <w:sz w:val="22"/>
          <w:u w:val="single"/>
        </w:rPr>
        <w:t>Perspectives</w:t>
      </w:r>
      <w:r>
        <w:rPr>
          <w:b/>
          <w:sz w:val="22"/>
        </w:rPr>
        <w:t> :</w:t>
      </w:r>
    </w:p>
    <w:p w:rsidR="00000000" w:rsidRDefault="00000000">
      <w:pPr>
        <w:pStyle w:val="BodyText"/>
        <w:rPr>
          <w:sz w:val="22"/>
        </w:rPr>
      </w:pPr>
    </w:p>
    <w:p w:rsidR="00000000" w:rsidRDefault="00000000">
      <w:pPr>
        <w:pStyle w:val="BodyText"/>
        <w:rPr>
          <w:sz w:val="22"/>
        </w:rPr>
      </w:pPr>
      <w:r>
        <w:rPr>
          <w:sz w:val="22"/>
        </w:rPr>
        <w:t>Plusieurs perspectives peuvent être dégagées ; il s’agit de :</w:t>
      </w:r>
    </w:p>
    <w:p w:rsidR="00000000" w:rsidRDefault="00000000">
      <w:pPr>
        <w:pStyle w:val="BodyText"/>
        <w:rPr>
          <w:sz w:val="22"/>
        </w:rPr>
      </w:pPr>
    </w:p>
    <w:p w:rsidR="00000000" w:rsidRDefault="00000000">
      <w:pPr>
        <w:pStyle w:val="BodyText"/>
        <w:numPr>
          <w:ilvl w:val="0"/>
          <w:numId w:val="215"/>
        </w:numPr>
        <w:rPr>
          <w:sz w:val="22"/>
        </w:rPr>
      </w:pPr>
      <w:r>
        <w:rPr>
          <w:sz w:val="22"/>
        </w:rPr>
        <w:t>la mise en place par le Gouvernement d’un cadre de concertation pour l’élaboration d’une législation et d’une réglementation adaptées aux micro-entreprises et aux dispositifs d’appui ;</w:t>
      </w:r>
    </w:p>
    <w:p w:rsidR="00000000" w:rsidRDefault="00000000">
      <w:pPr>
        <w:pStyle w:val="BodyText"/>
        <w:numPr>
          <w:ilvl w:val="0"/>
          <w:numId w:val="215"/>
        </w:numPr>
        <w:rPr>
          <w:sz w:val="22"/>
        </w:rPr>
      </w:pPr>
      <w:r>
        <w:rPr>
          <w:sz w:val="22"/>
        </w:rPr>
        <w:t>l’organisation des campagnes d’information, d’éducation et de communication en matière d’épargne et de crédit ;</w:t>
      </w:r>
    </w:p>
    <w:p w:rsidR="00000000" w:rsidRDefault="00000000">
      <w:pPr>
        <w:pStyle w:val="BodyText"/>
        <w:numPr>
          <w:ilvl w:val="0"/>
          <w:numId w:val="215"/>
        </w:numPr>
        <w:rPr>
          <w:sz w:val="22"/>
        </w:rPr>
      </w:pPr>
      <w:r>
        <w:rPr>
          <w:sz w:val="22"/>
        </w:rPr>
        <w:t>l’appui à l’extension des caisses féminines dans toutes les régions du pays ainsi que leur financement.</w:t>
      </w:r>
    </w:p>
    <w:p w:rsidR="00000000" w:rsidRDefault="00000000">
      <w:pPr>
        <w:pStyle w:val="BodyText"/>
        <w:jc w:val="center"/>
        <w:rPr>
          <w:b/>
          <w:u w:val="single"/>
        </w:rPr>
      </w:pPr>
    </w:p>
    <w:p w:rsidR="00000000" w:rsidRDefault="00000000">
      <w:pPr>
        <w:pStyle w:val="BodyText"/>
        <w:jc w:val="center"/>
        <w:rPr>
          <w:b/>
          <w:u w:val="single"/>
        </w:rPr>
      </w:pPr>
    </w:p>
    <w:p w:rsidR="00000000" w:rsidRDefault="00000000">
      <w:pPr>
        <w:pStyle w:val="BodyText"/>
        <w:jc w:val="center"/>
        <w:rPr>
          <w:b/>
          <w:u w:val="single"/>
        </w:rPr>
      </w:pPr>
    </w:p>
    <w:p w:rsidR="00000000" w:rsidRDefault="00000000">
      <w:pPr>
        <w:pStyle w:val="BodyText"/>
        <w:jc w:val="center"/>
        <w:rPr>
          <w:b/>
          <w:u w:val="single"/>
        </w:rPr>
      </w:pPr>
      <w:r>
        <w:rPr>
          <w:b/>
          <w:u w:val="single"/>
        </w:rPr>
        <w:t>CHAPITRE XIV</w:t>
      </w:r>
      <w:r>
        <w:rPr>
          <w:b/>
        </w:rPr>
        <w:t xml:space="preserve"> :  </w:t>
      </w:r>
      <w:r>
        <w:rPr>
          <w:b/>
          <w:u w:val="single"/>
        </w:rPr>
        <w:t>SITUATION DES FEMMES RURALES</w:t>
      </w:r>
    </w:p>
    <w:p w:rsidR="00000000" w:rsidRDefault="00000000">
      <w:pPr>
        <w:pStyle w:val="BodyText"/>
        <w:rPr>
          <w:sz w:val="22"/>
        </w:rPr>
      </w:pPr>
    </w:p>
    <w:p w:rsidR="00000000" w:rsidRDefault="00000000">
      <w:pPr>
        <w:pStyle w:val="BodyText"/>
        <w:rPr>
          <w:b/>
          <w:sz w:val="22"/>
        </w:rPr>
      </w:pPr>
      <w:r>
        <w:rPr>
          <w:b/>
          <w:sz w:val="22"/>
          <w:u w:val="single"/>
        </w:rPr>
        <w:t>Article 14</w:t>
      </w:r>
      <w:r>
        <w:rPr>
          <w:b/>
          <w:sz w:val="22"/>
        </w:rPr>
        <w:t> :</w:t>
      </w:r>
    </w:p>
    <w:p w:rsidR="00000000" w:rsidRDefault="00000000">
      <w:pPr>
        <w:pStyle w:val="BodyText"/>
        <w:rPr>
          <w:sz w:val="22"/>
        </w:rPr>
      </w:pPr>
    </w:p>
    <w:p w:rsidR="00000000" w:rsidRDefault="00000000">
      <w:pPr>
        <w:pStyle w:val="BodyText"/>
        <w:rPr>
          <w:i/>
          <w:sz w:val="22"/>
        </w:rPr>
      </w:pPr>
      <w:r>
        <w:rPr>
          <w:i/>
          <w:sz w:val="22"/>
        </w:rPr>
        <w:t>« 1- 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000000" w:rsidRDefault="00000000">
      <w:pPr>
        <w:pStyle w:val="BodyText"/>
        <w:rPr>
          <w:i/>
          <w:sz w:val="22"/>
        </w:rPr>
      </w:pPr>
    </w:p>
    <w:p w:rsidR="00000000" w:rsidRDefault="00000000">
      <w:pPr>
        <w:pStyle w:val="BodyText"/>
        <w:rPr>
          <w:i/>
          <w:sz w:val="22"/>
        </w:rPr>
      </w:pPr>
      <w:r>
        <w:rPr>
          <w:i/>
          <w:sz w:val="22"/>
        </w:rPr>
        <w:t>2- 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00000" w:rsidRDefault="00000000">
      <w:pPr>
        <w:pStyle w:val="BodyText"/>
        <w:rPr>
          <w:i/>
          <w:sz w:val="22"/>
        </w:rPr>
      </w:pPr>
    </w:p>
    <w:p w:rsidR="00000000" w:rsidRDefault="00000000">
      <w:pPr>
        <w:pStyle w:val="BodyText"/>
        <w:numPr>
          <w:ilvl w:val="0"/>
          <w:numId w:val="51"/>
        </w:numPr>
        <w:rPr>
          <w:i/>
          <w:sz w:val="22"/>
        </w:rPr>
      </w:pPr>
      <w:r>
        <w:rPr>
          <w:i/>
          <w:sz w:val="22"/>
        </w:rPr>
        <w:t>De participer pleinement à l’élaboration et à l’exécution des plans de développement à tous les échelons ;</w:t>
      </w:r>
    </w:p>
    <w:p w:rsidR="00000000" w:rsidRDefault="00000000">
      <w:pPr>
        <w:pStyle w:val="BodyText"/>
        <w:rPr>
          <w:i/>
          <w:sz w:val="22"/>
        </w:rPr>
      </w:pPr>
    </w:p>
    <w:p w:rsidR="00000000" w:rsidRDefault="00000000">
      <w:pPr>
        <w:pStyle w:val="BodyText"/>
        <w:numPr>
          <w:ilvl w:val="0"/>
          <w:numId w:val="51"/>
        </w:numPr>
        <w:rPr>
          <w:i/>
          <w:sz w:val="22"/>
        </w:rPr>
      </w:pPr>
      <w:r>
        <w:rPr>
          <w:i/>
          <w:sz w:val="22"/>
        </w:rPr>
        <w:t>D’avoir accès aux services adéquats dans le domaine de la santé, y compris aux informations, conseils et services en matière de planification familiale ;</w:t>
      </w:r>
    </w:p>
    <w:p w:rsidR="00000000" w:rsidRDefault="00000000">
      <w:pPr>
        <w:pStyle w:val="BodyText"/>
        <w:rPr>
          <w:i/>
          <w:sz w:val="22"/>
        </w:rPr>
      </w:pPr>
    </w:p>
    <w:p w:rsidR="00000000" w:rsidRDefault="00000000">
      <w:pPr>
        <w:pStyle w:val="BodyText"/>
        <w:numPr>
          <w:ilvl w:val="0"/>
          <w:numId w:val="51"/>
        </w:numPr>
        <w:rPr>
          <w:i/>
          <w:sz w:val="22"/>
        </w:rPr>
      </w:pPr>
      <w:r>
        <w:rPr>
          <w:i/>
          <w:sz w:val="22"/>
        </w:rPr>
        <w:t>De bénéficier directement des programmes de sécurité sociale ;</w:t>
      </w:r>
    </w:p>
    <w:p w:rsidR="00000000" w:rsidRDefault="00000000">
      <w:pPr>
        <w:pStyle w:val="BodyText"/>
        <w:rPr>
          <w:i/>
          <w:sz w:val="22"/>
        </w:rPr>
      </w:pPr>
    </w:p>
    <w:p w:rsidR="00000000" w:rsidRDefault="00000000">
      <w:pPr>
        <w:pStyle w:val="BodyText"/>
        <w:numPr>
          <w:ilvl w:val="0"/>
          <w:numId w:val="51"/>
        </w:numPr>
        <w:rPr>
          <w:i/>
          <w:sz w:val="22"/>
        </w:rPr>
      </w:pPr>
      <w:r>
        <w:rPr>
          <w:i/>
          <w:sz w:val="22"/>
        </w:rPr>
        <w:t>De recevoir tout type de formation et d’éducation, scolaire ou non, y compris en matière d’alphabétisation fonctionnelle, et de pouvoir bénéficier de tous les services communautaires et de vulgarisation, notamment pour accroître leurs compétences techniques ;</w:t>
      </w:r>
    </w:p>
    <w:p w:rsidR="00000000" w:rsidRDefault="00000000">
      <w:pPr>
        <w:pStyle w:val="BodyText"/>
        <w:rPr>
          <w:i/>
          <w:sz w:val="22"/>
        </w:rPr>
      </w:pPr>
    </w:p>
    <w:p w:rsidR="00000000" w:rsidRDefault="00000000">
      <w:pPr>
        <w:pStyle w:val="BodyText"/>
        <w:numPr>
          <w:ilvl w:val="0"/>
          <w:numId w:val="51"/>
        </w:numPr>
        <w:rPr>
          <w:i/>
          <w:sz w:val="22"/>
        </w:rPr>
      </w:pPr>
      <w:r>
        <w:rPr>
          <w:i/>
          <w:sz w:val="22"/>
        </w:rPr>
        <w:t>D’organiser des groupes d’entraide et des coopératives afin de permettre l’égalité de chances sur le plan économique, qu’il s’agisse de travail salarié ou de travail indépendant ;</w:t>
      </w:r>
    </w:p>
    <w:p w:rsidR="00000000" w:rsidRDefault="00000000">
      <w:pPr>
        <w:pStyle w:val="BodyText"/>
        <w:rPr>
          <w:i/>
          <w:sz w:val="22"/>
        </w:rPr>
      </w:pPr>
    </w:p>
    <w:p w:rsidR="00000000" w:rsidRDefault="00000000">
      <w:pPr>
        <w:pStyle w:val="BodyText"/>
        <w:numPr>
          <w:ilvl w:val="0"/>
          <w:numId w:val="51"/>
        </w:numPr>
        <w:rPr>
          <w:i/>
          <w:sz w:val="22"/>
        </w:rPr>
      </w:pPr>
      <w:r>
        <w:rPr>
          <w:i/>
          <w:sz w:val="22"/>
        </w:rPr>
        <w:t>De participer à toutes les activités de la communauté ;</w:t>
      </w:r>
    </w:p>
    <w:p w:rsidR="00000000" w:rsidRDefault="00000000">
      <w:pPr>
        <w:pStyle w:val="BodyText"/>
        <w:rPr>
          <w:i/>
          <w:sz w:val="22"/>
        </w:rPr>
      </w:pPr>
    </w:p>
    <w:p w:rsidR="00000000" w:rsidRDefault="00000000">
      <w:pPr>
        <w:pStyle w:val="BodyText"/>
        <w:numPr>
          <w:ilvl w:val="0"/>
          <w:numId w:val="51"/>
        </w:numPr>
        <w:rPr>
          <w:i/>
          <w:sz w:val="22"/>
        </w:rPr>
      </w:pPr>
      <w:r>
        <w:rPr>
          <w:i/>
          <w:sz w:val="22"/>
        </w:rPr>
        <w:t>D’avoir accès au crédit et prêts agricoles, ainsi qu’aux services de commercialisation et aux technologies appropriées, et de recevoir un traitement égal dans les réformes foncières et agraires et dans les projets d’aménagement rural ;</w:t>
      </w:r>
    </w:p>
    <w:p w:rsidR="00000000" w:rsidRDefault="00000000">
      <w:pPr>
        <w:pStyle w:val="BodyText"/>
        <w:rPr>
          <w:i/>
          <w:sz w:val="22"/>
        </w:rPr>
      </w:pPr>
    </w:p>
    <w:p w:rsidR="00000000" w:rsidRDefault="00000000">
      <w:pPr>
        <w:pStyle w:val="BodyText"/>
        <w:numPr>
          <w:ilvl w:val="0"/>
          <w:numId w:val="51"/>
        </w:numPr>
        <w:rPr>
          <w:i/>
          <w:sz w:val="22"/>
        </w:rPr>
      </w:pPr>
      <w:r>
        <w:rPr>
          <w:i/>
          <w:sz w:val="22"/>
        </w:rPr>
        <w:t>De bénéficier de conditions de vie convenables, notamment en ce qui concerne le logement, l’assainissement, l’approvisionnement en électricité et en eau, les transports et les communications. »</w:t>
      </w:r>
    </w:p>
    <w:p w:rsidR="00000000" w:rsidRDefault="00000000">
      <w:pPr>
        <w:pStyle w:val="BodyText"/>
        <w:rPr>
          <w:sz w:val="22"/>
        </w:rPr>
      </w:pPr>
    </w:p>
    <w:p w:rsidR="00000000" w:rsidRDefault="00000000">
      <w:pPr>
        <w:pStyle w:val="BodyText"/>
        <w:rPr>
          <w:b/>
          <w:sz w:val="22"/>
          <w:u w:val="single"/>
        </w:rPr>
      </w:pPr>
      <w:r>
        <w:rPr>
          <w:b/>
          <w:sz w:val="22"/>
          <w:u w:val="single"/>
        </w:rPr>
        <w:t>SECTION</w:t>
      </w:r>
      <w:r>
        <w:rPr>
          <w:b/>
          <w:sz w:val="22"/>
        </w:rPr>
        <w:t xml:space="preserve"> I- </w:t>
      </w:r>
      <w:r>
        <w:rPr>
          <w:b/>
          <w:sz w:val="22"/>
          <w:u w:val="single"/>
        </w:rPr>
        <w:t>CONTEXTE GENERAL DU MILIEU RURAL</w:t>
      </w:r>
    </w:p>
    <w:p w:rsidR="00000000" w:rsidRDefault="00000000">
      <w:pPr>
        <w:pStyle w:val="BodyText"/>
        <w:rPr>
          <w:sz w:val="22"/>
        </w:rPr>
      </w:pPr>
    </w:p>
    <w:p w:rsidR="00000000" w:rsidRDefault="00000000">
      <w:pPr>
        <w:pStyle w:val="BodyText"/>
        <w:rPr>
          <w:sz w:val="22"/>
        </w:rPr>
      </w:pPr>
      <w:r>
        <w:rPr>
          <w:sz w:val="22"/>
        </w:rPr>
        <w:t>Le milieu rural congolais se caractérise par :</w:t>
      </w:r>
    </w:p>
    <w:p w:rsidR="00000000" w:rsidRDefault="00000000">
      <w:pPr>
        <w:pStyle w:val="BodyText"/>
        <w:rPr>
          <w:sz w:val="22"/>
        </w:rPr>
      </w:pPr>
    </w:p>
    <w:p w:rsidR="00000000" w:rsidRDefault="00000000">
      <w:pPr>
        <w:pStyle w:val="BodyText"/>
        <w:numPr>
          <w:ilvl w:val="0"/>
          <w:numId w:val="52"/>
        </w:numPr>
        <w:rPr>
          <w:sz w:val="22"/>
        </w:rPr>
      </w:pPr>
      <w:r>
        <w:rPr>
          <w:sz w:val="22"/>
        </w:rPr>
        <w:t>une grande pauvreté de ses habitants ;</w:t>
      </w:r>
    </w:p>
    <w:p w:rsidR="00000000" w:rsidRDefault="00000000">
      <w:pPr>
        <w:pStyle w:val="BodyText"/>
        <w:numPr>
          <w:ilvl w:val="0"/>
          <w:numId w:val="52"/>
        </w:numPr>
        <w:rPr>
          <w:sz w:val="22"/>
        </w:rPr>
      </w:pPr>
      <w:r>
        <w:rPr>
          <w:sz w:val="22"/>
        </w:rPr>
        <w:t>un exode rural massif ;</w:t>
      </w:r>
    </w:p>
    <w:p w:rsidR="00000000" w:rsidRDefault="00000000">
      <w:pPr>
        <w:pStyle w:val="BodyText"/>
        <w:numPr>
          <w:ilvl w:val="0"/>
          <w:numId w:val="52"/>
        </w:numPr>
        <w:rPr>
          <w:sz w:val="22"/>
        </w:rPr>
      </w:pPr>
      <w:r>
        <w:rPr>
          <w:sz w:val="22"/>
        </w:rPr>
        <w:t>un retard technologique important ;</w:t>
      </w:r>
    </w:p>
    <w:p w:rsidR="00000000" w:rsidRDefault="00000000">
      <w:pPr>
        <w:pStyle w:val="BodyText"/>
        <w:numPr>
          <w:ilvl w:val="0"/>
          <w:numId w:val="52"/>
        </w:numPr>
        <w:rPr>
          <w:sz w:val="22"/>
        </w:rPr>
      </w:pPr>
      <w:r>
        <w:rPr>
          <w:sz w:val="22"/>
        </w:rPr>
        <w:t>un système de communication peu performant ;</w:t>
      </w:r>
    </w:p>
    <w:p w:rsidR="00000000" w:rsidRDefault="00000000">
      <w:pPr>
        <w:pStyle w:val="BodyText"/>
        <w:numPr>
          <w:ilvl w:val="0"/>
          <w:numId w:val="52"/>
        </w:numPr>
        <w:rPr>
          <w:sz w:val="22"/>
        </w:rPr>
      </w:pPr>
      <w:r>
        <w:rPr>
          <w:sz w:val="22"/>
        </w:rPr>
        <w:t>une commercialisation des produits aléatoire ;</w:t>
      </w:r>
    </w:p>
    <w:p w:rsidR="00000000" w:rsidRDefault="00000000">
      <w:pPr>
        <w:pStyle w:val="BodyText"/>
        <w:numPr>
          <w:ilvl w:val="0"/>
          <w:numId w:val="52"/>
        </w:numPr>
        <w:rPr>
          <w:sz w:val="22"/>
        </w:rPr>
      </w:pPr>
      <w:r>
        <w:rPr>
          <w:sz w:val="22"/>
        </w:rPr>
        <w:t>une difficulté d’accès à l’eau potable et aux diverses sources d’énergie.</w:t>
      </w:r>
    </w:p>
    <w:p w:rsidR="00000000" w:rsidRDefault="00000000">
      <w:pPr>
        <w:pStyle w:val="BodyText"/>
        <w:rPr>
          <w:sz w:val="22"/>
        </w:rPr>
      </w:pPr>
    </w:p>
    <w:p w:rsidR="00000000" w:rsidRDefault="00000000">
      <w:pPr>
        <w:pStyle w:val="BodyText"/>
        <w:rPr>
          <w:sz w:val="22"/>
        </w:rPr>
      </w:pPr>
      <w:r>
        <w:rPr>
          <w:b/>
          <w:sz w:val="22"/>
        </w:rPr>
        <w:t xml:space="preserve">I - </w:t>
      </w:r>
      <w:r>
        <w:rPr>
          <w:b/>
          <w:sz w:val="22"/>
          <w:u w:val="single"/>
        </w:rPr>
        <w:t>Démographie</w:t>
      </w:r>
    </w:p>
    <w:p w:rsidR="00000000" w:rsidRDefault="00000000">
      <w:pPr>
        <w:pStyle w:val="BodyText"/>
        <w:rPr>
          <w:sz w:val="22"/>
        </w:rPr>
      </w:pPr>
    </w:p>
    <w:p w:rsidR="00000000" w:rsidRDefault="00000000">
      <w:pPr>
        <w:pStyle w:val="BodyText"/>
        <w:rPr>
          <w:sz w:val="22"/>
        </w:rPr>
      </w:pPr>
      <w:r>
        <w:rPr>
          <w:sz w:val="22"/>
        </w:rPr>
        <w:t>Les femmes constituent 52% de la population congolaise. Elles représentent 46% de la force de travail, soit 64% des actifs agricoles en milieu rural. Elles produisent près de 80% des denrées alimentaires consommées</w:t>
      </w:r>
      <w:r>
        <w:rPr>
          <w:rStyle w:val="FootnoteReference"/>
          <w:sz w:val="22"/>
        </w:rPr>
        <w:footnoteReference w:id="15"/>
      </w:r>
      <w:r>
        <w:rPr>
          <w:sz w:val="22"/>
        </w:rPr>
        <w:t>.</w:t>
      </w:r>
    </w:p>
    <w:p w:rsidR="00000000" w:rsidRDefault="00000000">
      <w:pPr>
        <w:pStyle w:val="BodyText"/>
        <w:rPr>
          <w:sz w:val="22"/>
        </w:rPr>
      </w:pPr>
    </w:p>
    <w:p w:rsidR="00000000" w:rsidRDefault="00000000">
      <w:pPr>
        <w:pStyle w:val="BodyText"/>
        <w:rPr>
          <w:sz w:val="22"/>
        </w:rPr>
      </w:pPr>
      <w:r>
        <w:rPr>
          <w:sz w:val="22"/>
        </w:rPr>
        <w:t>Le recensement de 1984 indique que la population dans les centres urbains représente près de 50,1% d’hommes contre 49,9% de femmes alors qu’à la campagne, on compte 48,7% d’hommes pour 51,3% de femmes tel que le confirme le tableau ci-dessous.</w:t>
      </w:r>
    </w:p>
    <w:p w:rsidR="00000000" w:rsidRDefault="00000000">
      <w:pPr>
        <w:pStyle w:val="BodyText"/>
        <w:rPr>
          <w:sz w:val="22"/>
        </w:rPr>
      </w:pPr>
    </w:p>
    <w:p w:rsidR="00000000" w:rsidRDefault="00000000">
      <w:pPr>
        <w:pStyle w:val="BodyText"/>
        <w:rPr>
          <w:sz w:val="22"/>
        </w:rPr>
      </w:pPr>
      <w:r>
        <w:rPr>
          <w:b/>
          <w:sz w:val="22"/>
          <w:u w:val="single"/>
        </w:rPr>
        <w:t>Tableau n° 76</w:t>
      </w:r>
      <w:r>
        <w:rPr>
          <w:b/>
          <w:sz w:val="22"/>
        </w:rPr>
        <w:t xml:space="preserve"> : </w:t>
      </w:r>
      <w:r>
        <w:rPr>
          <w:sz w:val="22"/>
        </w:rPr>
        <w:t>Répartition par sexe de la population résidente</w:t>
      </w:r>
    </w:p>
    <w:p w:rsidR="00000000" w:rsidRDefault="00000000">
      <w:pPr>
        <w:pStyle w:val="BodyText"/>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50"/>
        <w:gridCol w:w="2450"/>
        <w:gridCol w:w="2450"/>
        <w:gridCol w:w="2451"/>
      </w:tblGrid>
      <w:tr w:rsidR="00000000">
        <w:tblPrEx>
          <w:tblCellMar>
            <w:top w:w="0" w:type="dxa"/>
            <w:bottom w:w="0" w:type="dxa"/>
          </w:tblCellMar>
        </w:tblPrEx>
        <w:tc>
          <w:tcPr>
            <w:tcW w:w="2450" w:type="dxa"/>
          </w:tcPr>
          <w:p w:rsidR="00000000" w:rsidRDefault="00000000">
            <w:pPr>
              <w:pStyle w:val="BodyText"/>
              <w:jc w:val="center"/>
              <w:rPr>
                <w:sz w:val="22"/>
              </w:rPr>
            </w:pPr>
            <w:r>
              <w:rPr>
                <w:sz w:val="22"/>
              </w:rPr>
              <w:t>Zone géographique</w:t>
            </w:r>
          </w:p>
        </w:tc>
        <w:tc>
          <w:tcPr>
            <w:tcW w:w="2450" w:type="dxa"/>
          </w:tcPr>
          <w:p w:rsidR="00000000" w:rsidRDefault="00000000">
            <w:pPr>
              <w:pStyle w:val="BodyText"/>
              <w:jc w:val="center"/>
              <w:rPr>
                <w:sz w:val="22"/>
              </w:rPr>
            </w:pPr>
            <w:r>
              <w:rPr>
                <w:sz w:val="22"/>
              </w:rPr>
              <w:t>Hommes</w:t>
            </w:r>
          </w:p>
        </w:tc>
        <w:tc>
          <w:tcPr>
            <w:tcW w:w="2450" w:type="dxa"/>
          </w:tcPr>
          <w:p w:rsidR="00000000" w:rsidRDefault="00000000">
            <w:pPr>
              <w:pStyle w:val="BodyText"/>
              <w:jc w:val="center"/>
              <w:rPr>
                <w:sz w:val="22"/>
              </w:rPr>
            </w:pPr>
            <w:r>
              <w:rPr>
                <w:sz w:val="22"/>
              </w:rPr>
              <w:t>Femmes</w:t>
            </w:r>
          </w:p>
        </w:tc>
        <w:tc>
          <w:tcPr>
            <w:tcW w:w="2451" w:type="dxa"/>
          </w:tcPr>
          <w:p w:rsidR="00000000" w:rsidRDefault="00000000">
            <w:pPr>
              <w:pStyle w:val="BodyText"/>
              <w:jc w:val="center"/>
              <w:rPr>
                <w:sz w:val="22"/>
              </w:rPr>
            </w:pPr>
            <w:r>
              <w:rPr>
                <w:sz w:val="22"/>
              </w:rPr>
              <w:t>Effectifs</w:t>
            </w:r>
          </w:p>
        </w:tc>
      </w:tr>
      <w:tr w:rsidR="00000000">
        <w:tblPrEx>
          <w:tblCellMar>
            <w:top w:w="0" w:type="dxa"/>
            <w:bottom w:w="0" w:type="dxa"/>
          </w:tblCellMar>
        </w:tblPrEx>
        <w:tc>
          <w:tcPr>
            <w:tcW w:w="2450" w:type="dxa"/>
          </w:tcPr>
          <w:p w:rsidR="00000000" w:rsidRDefault="00000000">
            <w:pPr>
              <w:pStyle w:val="BodyText"/>
              <w:rPr>
                <w:sz w:val="22"/>
              </w:rPr>
            </w:pPr>
            <w:r>
              <w:rPr>
                <w:sz w:val="22"/>
              </w:rPr>
              <w:t>Zone urbaine</w:t>
            </w:r>
          </w:p>
          <w:p w:rsidR="00000000" w:rsidRDefault="00000000">
            <w:pPr>
              <w:pStyle w:val="BodyText"/>
              <w:rPr>
                <w:sz w:val="22"/>
              </w:rPr>
            </w:pPr>
            <w:r>
              <w:rPr>
                <w:sz w:val="22"/>
              </w:rPr>
              <w:t>Zone rurale</w:t>
            </w:r>
          </w:p>
          <w:p w:rsidR="00000000" w:rsidRDefault="00000000">
            <w:pPr>
              <w:pStyle w:val="BodyText"/>
              <w:rPr>
                <w:sz w:val="22"/>
              </w:rPr>
            </w:pPr>
            <w:r>
              <w:rPr>
                <w:sz w:val="22"/>
              </w:rPr>
              <w:t>Ensemble Congo</w:t>
            </w:r>
          </w:p>
        </w:tc>
        <w:tc>
          <w:tcPr>
            <w:tcW w:w="2450" w:type="dxa"/>
          </w:tcPr>
          <w:p w:rsidR="00000000" w:rsidRDefault="00000000">
            <w:pPr>
              <w:pStyle w:val="BodyText"/>
              <w:jc w:val="center"/>
              <w:rPr>
                <w:sz w:val="22"/>
              </w:rPr>
            </w:pPr>
            <w:r>
              <w:rPr>
                <w:sz w:val="22"/>
              </w:rPr>
              <w:t>50,1</w:t>
            </w:r>
          </w:p>
          <w:p w:rsidR="00000000" w:rsidRDefault="00000000">
            <w:pPr>
              <w:pStyle w:val="BodyText"/>
              <w:jc w:val="center"/>
              <w:rPr>
                <w:sz w:val="22"/>
              </w:rPr>
            </w:pPr>
            <w:r>
              <w:rPr>
                <w:sz w:val="22"/>
              </w:rPr>
              <w:t>47,0</w:t>
            </w:r>
          </w:p>
          <w:p w:rsidR="00000000" w:rsidRDefault="00000000">
            <w:pPr>
              <w:pStyle w:val="BodyText"/>
              <w:jc w:val="center"/>
              <w:rPr>
                <w:sz w:val="22"/>
              </w:rPr>
            </w:pPr>
            <w:r>
              <w:rPr>
                <w:sz w:val="22"/>
              </w:rPr>
              <w:t>48,7</w:t>
            </w:r>
          </w:p>
        </w:tc>
        <w:tc>
          <w:tcPr>
            <w:tcW w:w="2450" w:type="dxa"/>
          </w:tcPr>
          <w:p w:rsidR="00000000" w:rsidRDefault="00000000">
            <w:pPr>
              <w:pStyle w:val="BodyText"/>
              <w:jc w:val="center"/>
              <w:rPr>
                <w:sz w:val="22"/>
              </w:rPr>
            </w:pPr>
            <w:r>
              <w:rPr>
                <w:sz w:val="22"/>
              </w:rPr>
              <w:t>49,9</w:t>
            </w:r>
          </w:p>
          <w:p w:rsidR="00000000" w:rsidRDefault="00000000">
            <w:pPr>
              <w:pStyle w:val="BodyText"/>
              <w:jc w:val="center"/>
              <w:rPr>
                <w:sz w:val="22"/>
              </w:rPr>
            </w:pPr>
            <w:r>
              <w:rPr>
                <w:sz w:val="22"/>
              </w:rPr>
              <w:t>53,0</w:t>
            </w:r>
          </w:p>
          <w:p w:rsidR="00000000" w:rsidRDefault="00000000">
            <w:pPr>
              <w:pStyle w:val="BodyText"/>
              <w:jc w:val="center"/>
              <w:rPr>
                <w:sz w:val="22"/>
              </w:rPr>
            </w:pPr>
            <w:r>
              <w:rPr>
                <w:sz w:val="22"/>
              </w:rPr>
              <w:t>51,3</w:t>
            </w:r>
          </w:p>
        </w:tc>
        <w:tc>
          <w:tcPr>
            <w:tcW w:w="2451" w:type="dxa"/>
          </w:tcPr>
          <w:p w:rsidR="00000000" w:rsidRDefault="00000000">
            <w:pPr>
              <w:pStyle w:val="BodyText"/>
              <w:ind w:right="567"/>
              <w:jc w:val="right"/>
              <w:rPr>
                <w:sz w:val="22"/>
              </w:rPr>
            </w:pPr>
            <w:r>
              <w:rPr>
                <w:sz w:val="22"/>
              </w:rPr>
              <w:t>992.097</w:t>
            </w:r>
          </w:p>
          <w:p w:rsidR="00000000" w:rsidRDefault="00000000">
            <w:pPr>
              <w:pStyle w:val="BodyText"/>
              <w:ind w:right="567"/>
              <w:jc w:val="right"/>
              <w:rPr>
                <w:sz w:val="22"/>
              </w:rPr>
            </w:pPr>
            <w:r>
              <w:rPr>
                <w:sz w:val="22"/>
              </w:rPr>
              <w:t>917.751</w:t>
            </w:r>
          </w:p>
          <w:p w:rsidR="00000000" w:rsidRDefault="00000000">
            <w:pPr>
              <w:pStyle w:val="BodyText"/>
              <w:ind w:right="567"/>
              <w:jc w:val="right"/>
              <w:rPr>
                <w:sz w:val="22"/>
              </w:rPr>
            </w:pPr>
            <w:r>
              <w:rPr>
                <w:sz w:val="22"/>
              </w:rPr>
              <w:t>1.909.248</w:t>
            </w:r>
          </w:p>
        </w:tc>
      </w:tr>
    </w:tbl>
    <w:p w:rsidR="00000000" w:rsidRDefault="00000000">
      <w:pPr>
        <w:pStyle w:val="BodyText"/>
        <w:rPr>
          <w:sz w:val="22"/>
        </w:rPr>
      </w:pPr>
    </w:p>
    <w:p w:rsidR="00000000" w:rsidRDefault="00000000">
      <w:pPr>
        <w:pStyle w:val="BodyText"/>
        <w:ind w:left="708"/>
        <w:rPr>
          <w:sz w:val="22"/>
        </w:rPr>
      </w:pPr>
      <w:r>
        <w:rPr>
          <w:i/>
          <w:sz w:val="22"/>
          <w:u w:val="single"/>
        </w:rPr>
        <w:t>Source</w:t>
      </w:r>
      <w:r>
        <w:rPr>
          <w:i/>
          <w:sz w:val="22"/>
        </w:rPr>
        <w:t xml:space="preserve"> :</w:t>
      </w:r>
      <w:r>
        <w:rPr>
          <w:sz w:val="22"/>
        </w:rPr>
        <w:t xml:space="preserve"> Recensement général de la population et de l’habitat, 1984, (RGPH 84)</w:t>
      </w:r>
    </w:p>
    <w:p w:rsidR="00000000" w:rsidRDefault="00000000">
      <w:pPr>
        <w:pStyle w:val="BodyText"/>
        <w:rPr>
          <w:b/>
          <w:sz w:val="22"/>
          <w:u w:val="single"/>
        </w:rPr>
      </w:pPr>
      <w:r>
        <w:rPr>
          <w:b/>
          <w:sz w:val="22"/>
        </w:rPr>
        <w:t xml:space="preserve">II - </w:t>
      </w:r>
      <w:r>
        <w:rPr>
          <w:b/>
          <w:sz w:val="22"/>
          <w:u w:val="single"/>
        </w:rPr>
        <w:t>L’exode rural</w:t>
      </w:r>
    </w:p>
    <w:p w:rsidR="00000000" w:rsidRDefault="00000000">
      <w:pPr>
        <w:pStyle w:val="BodyText"/>
        <w:rPr>
          <w:sz w:val="22"/>
        </w:rPr>
      </w:pPr>
    </w:p>
    <w:p w:rsidR="00000000" w:rsidRDefault="00000000">
      <w:pPr>
        <w:pStyle w:val="BodyText"/>
        <w:rPr>
          <w:sz w:val="22"/>
        </w:rPr>
      </w:pPr>
      <w:r>
        <w:rPr>
          <w:sz w:val="22"/>
        </w:rPr>
        <w:t>Le Congo est un pays fortement urbanisé ; 57% de la population se retrouve en ville. Cela est lié à l’exode rural massif qu’a connu le pays depuis plusieurs décennies.</w:t>
      </w:r>
    </w:p>
    <w:p w:rsidR="00000000" w:rsidRDefault="00000000">
      <w:pPr>
        <w:pStyle w:val="BodyText"/>
        <w:rPr>
          <w:sz w:val="22"/>
        </w:rPr>
      </w:pPr>
    </w:p>
    <w:p w:rsidR="00000000" w:rsidRDefault="00000000">
      <w:pPr>
        <w:pStyle w:val="BodyText"/>
        <w:rPr>
          <w:sz w:val="22"/>
        </w:rPr>
      </w:pPr>
      <w:r>
        <w:rPr>
          <w:sz w:val="22"/>
        </w:rPr>
        <w:t>Ainsi, en 1972 et 1984, le nombre de villages est passé de 6.092 à 4.551. En 12 ans, 25,3% des localités rurales ont disparu, soit 154 villages par an ou un village tous les deux jours. C’est ainsi que l’on constate qu’en 1997, on comptait un actif agricole pour 5 habitants et qu’on projetait un actif pour 11 habitants en l’an 2000.</w:t>
      </w:r>
    </w:p>
    <w:p w:rsidR="00000000" w:rsidRDefault="00000000">
      <w:pPr>
        <w:pStyle w:val="BodyText"/>
        <w:rPr>
          <w:sz w:val="22"/>
        </w:rPr>
      </w:pPr>
    </w:p>
    <w:p w:rsidR="00000000" w:rsidRDefault="00000000">
      <w:pPr>
        <w:pStyle w:val="BodyText"/>
        <w:rPr>
          <w:sz w:val="22"/>
        </w:rPr>
      </w:pPr>
      <w:r>
        <w:rPr>
          <w:sz w:val="22"/>
        </w:rPr>
        <w:t>Cet exode rural s’accompagne d’un vieillissement de la population agricole sur l’ensemble du territoire national. Il en résulte que 69% des exploitations agricoles appartiennent à des exploitants, tous sexes confondus, âgés de 40 à 70 ans. Pourtant la population congolaise est jeune, les moins de 25 ans représentant 65% de celle-ci.</w:t>
      </w:r>
    </w:p>
    <w:p w:rsidR="00000000" w:rsidRDefault="00000000">
      <w:pPr>
        <w:pStyle w:val="BodyText"/>
        <w:rPr>
          <w:sz w:val="22"/>
        </w:rPr>
      </w:pPr>
    </w:p>
    <w:p w:rsidR="00000000" w:rsidRDefault="00000000">
      <w:pPr>
        <w:pStyle w:val="BodyText"/>
        <w:rPr>
          <w:sz w:val="22"/>
        </w:rPr>
      </w:pPr>
      <w:r>
        <w:rPr>
          <w:sz w:val="22"/>
        </w:rPr>
        <w:t>D’une manière générale, on constate une baisse de la population agricole. En 1974, elle représentait 62,1% de la population totale, elle est passée à 48,9% en 1984 et ne représentait plus que 38,2% en 1994</w:t>
      </w:r>
      <w:r>
        <w:rPr>
          <w:rStyle w:val="FootnoteReference"/>
          <w:sz w:val="22"/>
        </w:rPr>
        <w:footnoteReference w:id="16"/>
      </w:r>
      <w:r>
        <w:rPr>
          <w:sz w:val="22"/>
        </w:rPr>
        <w:t>. L’exode rural est la résultante d’une politique nationale qui n’a pas permis aux jeunes de se fixer à la campagne. En effet, le travail de la terre est considéré par les jeunes comme pénible et peu stimulant. Le milieu rural manque en plus de distractions et son enclavement est lié à l’absence de moyens de communication qui rendent ce milieu presque hostile.</w:t>
      </w:r>
    </w:p>
    <w:p w:rsidR="00000000" w:rsidRDefault="00000000">
      <w:pPr>
        <w:pStyle w:val="BodyText"/>
        <w:rPr>
          <w:sz w:val="22"/>
        </w:rPr>
      </w:pPr>
    </w:p>
    <w:p w:rsidR="00000000" w:rsidRDefault="00000000">
      <w:pPr>
        <w:pStyle w:val="BodyText"/>
        <w:rPr>
          <w:sz w:val="22"/>
        </w:rPr>
      </w:pPr>
      <w:r>
        <w:rPr>
          <w:sz w:val="22"/>
        </w:rPr>
        <w:t>A côté de ces aspects liés aux conditions de vie en zone rurale, l’autre cause qui justifie le vieillissement de la population rurale est celle de la scolarisation des enfants.</w:t>
      </w:r>
    </w:p>
    <w:p w:rsidR="00000000" w:rsidRDefault="00000000">
      <w:pPr>
        <w:pStyle w:val="BodyText"/>
        <w:rPr>
          <w:sz w:val="22"/>
        </w:rPr>
      </w:pPr>
    </w:p>
    <w:p w:rsidR="00000000" w:rsidRDefault="00000000">
      <w:pPr>
        <w:pStyle w:val="BodyText"/>
        <w:rPr>
          <w:sz w:val="22"/>
        </w:rPr>
      </w:pPr>
      <w:r>
        <w:rPr>
          <w:sz w:val="22"/>
        </w:rPr>
        <w:t>Le Congo a eu une politique volontariste de la scolarisation qui s’est traduite par des taux de scolarisation de près de 100% de ses enfants. Mais cette politique n’était pas suivie de toutes les mesures nécessaires devant enclencher le développement du pays en général et de l’arrière pays en particulier. En effet, cette mesure qui devrait engendrer le développement du pays n’a pas mis l’accent sur la formation professionnelle et technique qui aurait pu donner naissance à des petits métiers. Elle n’a privilégié que l’enseignement général, ne formant ainsi que des jeunes qui ne voyaient leur accomplissement que dans la fonction publique. Cette formation envoyait les jeunes massivement en ville où l’on trouve tous les cycles scolaires pour y finir les études et ne jamais revenir à la campagne où ils n’avaient rien à faire. Ainsi la campagne s’est trouvée, pour toutes les raisons évoquées, dépeuplée de ses bras valides.</w:t>
      </w:r>
    </w:p>
    <w:p w:rsidR="00000000" w:rsidRDefault="00000000">
      <w:pPr>
        <w:pStyle w:val="BodyText"/>
        <w:rPr>
          <w:sz w:val="22"/>
        </w:rPr>
      </w:pPr>
    </w:p>
    <w:p w:rsidR="00000000" w:rsidRDefault="00000000">
      <w:pPr>
        <w:pStyle w:val="BodyText"/>
        <w:rPr>
          <w:sz w:val="22"/>
        </w:rPr>
      </w:pPr>
      <w:r>
        <w:rPr>
          <w:sz w:val="22"/>
        </w:rPr>
        <w:t>Il faut, cependant, noter qu’après la forte augmentation de l’exode rural de 1973 à 1986, un mouvement de retour à la campagne semble s’amorcer en raison de la baisse des possibilités d’emplois dans les centres urbains et après les guerres de 1993 et 1997 le mouvement de retour en zone rurale est plus prononcé.</w:t>
      </w:r>
    </w:p>
    <w:p w:rsidR="00000000" w:rsidRDefault="00000000">
      <w:pPr>
        <w:pStyle w:val="BodyText"/>
        <w:rPr>
          <w:sz w:val="22"/>
        </w:rPr>
      </w:pPr>
    </w:p>
    <w:p w:rsidR="00000000" w:rsidRDefault="00000000">
      <w:pPr>
        <w:pStyle w:val="BodyText"/>
        <w:rPr>
          <w:b/>
          <w:sz w:val="22"/>
        </w:rPr>
      </w:pPr>
      <w:r>
        <w:rPr>
          <w:b/>
          <w:sz w:val="22"/>
        </w:rPr>
        <w:t xml:space="preserve">III - </w:t>
      </w:r>
      <w:r>
        <w:rPr>
          <w:b/>
          <w:sz w:val="22"/>
          <w:u w:val="single"/>
        </w:rPr>
        <w:t>L’économie</w:t>
      </w:r>
      <w:r>
        <w:rPr>
          <w:b/>
          <w:sz w:val="22"/>
        </w:rPr>
        <w:t> :</w:t>
      </w:r>
    </w:p>
    <w:p w:rsidR="00000000" w:rsidRDefault="00000000">
      <w:pPr>
        <w:pStyle w:val="BodyText"/>
        <w:rPr>
          <w:sz w:val="22"/>
        </w:rPr>
      </w:pPr>
      <w:r>
        <w:rPr>
          <w:sz w:val="22"/>
        </w:rPr>
        <w:t xml:space="preserve">  </w:t>
      </w:r>
    </w:p>
    <w:p w:rsidR="00000000" w:rsidRDefault="00000000">
      <w:pPr>
        <w:pStyle w:val="BodyText"/>
        <w:rPr>
          <w:sz w:val="22"/>
        </w:rPr>
      </w:pPr>
      <w:r>
        <w:rPr>
          <w:sz w:val="22"/>
        </w:rPr>
        <w:t>Pendant des années, l’agriculture a été déclarée « priorité des priorités » dans notre pays afin d’atteindre l’autosuffisance alimentaire. Cela s’est traduit par un engagement important de l’État dans le secteur de l’agriculture et de l’élevage par la création des grandes entreprises agricoles de l’État. Malheureusement, toutes ces entreprises ont aujourd’hui fait faillite après plusieurs tentatives de redressement.</w:t>
      </w:r>
    </w:p>
    <w:p w:rsidR="00000000" w:rsidRDefault="00000000">
      <w:pPr>
        <w:pStyle w:val="BodyText"/>
        <w:rPr>
          <w:sz w:val="22"/>
        </w:rPr>
      </w:pPr>
    </w:p>
    <w:p w:rsidR="00000000" w:rsidRDefault="00000000">
      <w:pPr>
        <w:pStyle w:val="BodyText"/>
        <w:rPr>
          <w:sz w:val="22"/>
        </w:rPr>
      </w:pPr>
      <w:r>
        <w:rPr>
          <w:sz w:val="22"/>
        </w:rPr>
        <w:t>L’agriculture congolaise se caractérise par un secteur paysan dominant, mais peu productif, structuré en exploitations familiales et en terroirs lignagers utilisant 70% de la surface agricole estimée à        230 000 hectares et fournissant 98% des produits vivriers et la quasi totalité des cultures d’exportation.</w:t>
      </w:r>
    </w:p>
    <w:p w:rsidR="00000000" w:rsidRDefault="00000000">
      <w:pPr>
        <w:pStyle w:val="BodyText"/>
        <w:rPr>
          <w:sz w:val="22"/>
        </w:rPr>
      </w:pPr>
    </w:p>
    <w:p w:rsidR="00000000" w:rsidRDefault="00000000">
      <w:pPr>
        <w:pStyle w:val="BodyText"/>
        <w:rPr>
          <w:sz w:val="22"/>
        </w:rPr>
      </w:pPr>
      <w:r>
        <w:rPr>
          <w:sz w:val="22"/>
        </w:rPr>
        <w:t>Ce secteur paysan pratique une agriculture traditionnelle basée sur les systèmes culturaux itinérants sur défriches-brûlis, l’association de cultures et une longue jachère (2-4 ans en savane et 4 à 10 ans en forêt).</w:t>
      </w:r>
    </w:p>
    <w:p w:rsidR="00000000" w:rsidRDefault="00000000">
      <w:pPr>
        <w:pStyle w:val="BodyText"/>
        <w:rPr>
          <w:sz w:val="22"/>
        </w:rPr>
      </w:pPr>
    </w:p>
    <w:p w:rsidR="00000000" w:rsidRDefault="00000000">
      <w:pPr>
        <w:pStyle w:val="BodyText"/>
        <w:rPr>
          <w:sz w:val="22"/>
        </w:rPr>
      </w:pPr>
      <w:r>
        <w:rPr>
          <w:sz w:val="22"/>
        </w:rPr>
        <w:t>En 1978 et 1990, le taux d’utilisation des surfaces cultivables est passé de 2% à 1,4%. La superficie moyenne par actif est passée de 0,53 hectares à 0,49 hectares ; le nombre d’exploitations de 200.000 à 190.000 et entre 1960 et 1990, le nombre de bouches à nourrir est passé de 4 à 10.</w:t>
      </w:r>
    </w:p>
    <w:p w:rsidR="00000000" w:rsidRDefault="00000000">
      <w:pPr>
        <w:pStyle w:val="BodyText"/>
        <w:rPr>
          <w:sz w:val="22"/>
        </w:rPr>
      </w:pPr>
    </w:p>
    <w:p w:rsidR="00000000" w:rsidRDefault="00000000">
      <w:pPr>
        <w:pStyle w:val="BodyText"/>
        <w:rPr>
          <w:sz w:val="22"/>
        </w:rPr>
      </w:pPr>
      <w:r>
        <w:rPr>
          <w:sz w:val="22"/>
        </w:rPr>
        <w:t>Les moyens de production utilisés sont rudimentaires, cela a pour conséquence des rendements faibles et des niveaux de production très bas ne générant que de faibles revenus. Les petites exploitations dispersées rendent difficiles et onéreuses l’intervention des services d’appui au développement, la vulgarisation et la commercialisation des produits agricoles.</w:t>
      </w:r>
    </w:p>
    <w:p w:rsidR="00000000" w:rsidRDefault="00000000">
      <w:pPr>
        <w:pStyle w:val="BodyText"/>
        <w:rPr>
          <w:sz w:val="22"/>
        </w:rPr>
      </w:pPr>
    </w:p>
    <w:p w:rsidR="00000000" w:rsidRDefault="00000000">
      <w:pPr>
        <w:pStyle w:val="BodyText"/>
        <w:rPr>
          <w:sz w:val="22"/>
        </w:rPr>
      </w:pPr>
      <w:r>
        <w:rPr>
          <w:sz w:val="22"/>
        </w:rPr>
        <w:t xml:space="preserve">Aussi, de 1985 à 1990, l’agriculture congolaise ne participait que pour près de 8,3% au produit intérieur brut (PIB) et de 12% en 1994-1995 et, malgré le potentiel humain et les grandes superficies cultivables disponibles, le Congo n’a pas atteint l’autosuffisance alimentaire. La pauvreté s’accentue et l’écart entre la ville et la campagne se creuse. </w:t>
      </w:r>
    </w:p>
    <w:p w:rsidR="00000000" w:rsidRDefault="00000000">
      <w:pPr>
        <w:pStyle w:val="BodyText"/>
        <w:rPr>
          <w:b/>
          <w:sz w:val="22"/>
        </w:rPr>
      </w:pPr>
    </w:p>
    <w:p w:rsidR="00000000" w:rsidRDefault="00000000">
      <w:pPr>
        <w:pStyle w:val="BodyText"/>
        <w:rPr>
          <w:b/>
          <w:sz w:val="22"/>
          <w:u w:val="single"/>
        </w:rPr>
      </w:pPr>
      <w:r>
        <w:rPr>
          <w:b/>
          <w:sz w:val="22"/>
        </w:rPr>
        <w:t xml:space="preserve">IV - </w:t>
      </w:r>
      <w:r>
        <w:rPr>
          <w:b/>
          <w:sz w:val="22"/>
          <w:u w:val="single"/>
        </w:rPr>
        <w:t>Le retard technologique</w:t>
      </w:r>
    </w:p>
    <w:p w:rsidR="00000000" w:rsidRDefault="00000000">
      <w:pPr>
        <w:pStyle w:val="BodyText"/>
        <w:rPr>
          <w:b/>
          <w:sz w:val="22"/>
          <w:u w:val="single"/>
        </w:rPr>
      </w:pPr>
    </w:p>
    <w:p w:rsidR="00000000" w:rsidRDefault="00000000">
      <w:pPr>
        <w:pStyle w:val="BodyText"/>
        <w:rPr>
          <w:sz w:val="22"/>
        </w:rPr>
      </w:pPr>
      <w:r>
        <w:rPr>
          <w:sz w:val="22"/>
        </w:rPr>
        <w:t>L’agriculture congolaise se caractérise par l’utilisation d’outils archaïques ne permettant pas à un cultivateur d’agrandir la taille de ses exploitations. Les techniques culturales sont rudimentaires : culture sur brûlis avec mise en jachère. L’utilisation des intrants est marginale (seulement 3,5% des exploitations). Les semences améliorées (44,8%) et les produits phytosanitaires (30,9%) constituent les trois-quarts des intrants utilisés. Les engrais interviennent pour 24,3%</w:t>
      </w:r>
      <w:r>
        <w:rPr>
          <w:rStyle w:val="FootnoteReference"/>
          <w:sz w:val="22"/>
        </w:rPr>
        <w:footnoteReference w:id="17"/>
      </w:r>
      <w:r>
        <w:rPr>
          <w:sz w:val="22"/>
        </w:rPr>
        <w:t>. Le contexte que nous avons décrit ci-dessous est celui de la femme rurale congolaise.</w:t>
      </w:r>
    </w:p>
    <w:p w:rsidR="00000000" w:rsidRDefault="00000000">
      <w:pPr>
        <w:pStyle w:val="BodyText"/>
        <w:rPr>
          <w:sz w:val="22"/>
        </w:rPr>
      </w:pPr>
    </w:p>
    <w:p w:rsidR="00000000" w:rsidRDefault="00000000">
      <w:pPr>
        <w:pStyle w:val="BodyText"/>
        <w:rPr>
          <w:sz w:val="22"/>
        </w:rPr>
      </w:pPr>
      <w:r>
        <w:rPr>
          <w:sz w:val="22"/>
        </w:rPr>
        <w:t>Les femmes sont le pilier de la production agricole tant de par leur nombre que par leur rôle. Elles représentent 64% environ de la population agricole active. Le degré de participation des hommes semblait dépendre, dans une large mesure, de l’intérêt commercial de l’activité pratiquée sur l’exploitation.</w:t>
      </w:r>
    </w:p>
    <w:p w:rsidR="00000000" w:rsidRDefault="00000000">
      <w:pPr>
        <w:pStyle w:val="BodyText"/>
        <w:rPr>
          <w:sz w:val="22"/>
        </w:rPr>
      </w:pPr>
    </w:p>
    <w:p w:rsidR="00000000" w:rsidRDefault="00000000">
      <w:pPr>
        <w:pStyle w:val="BodyText"/>
        <w:rPr>
          <w:sz w:val="22"/>
        </w:rPr>
      </w:pPr>
      <w:r>
        <w:rPr>
          <w:sz w:val="22"/>
        </w:rPr>
        <w:t>Lorsqu’une « culture de femme » devient commercialement viable, elle attire les hommes. Ils commencent ainsi à jouer un rôle de plus en plus important dans la production et la commercialisation du manioc dans les zones où le potentiel de création de revenus est élevé.</w:t>
      </w:r>
    </w:p>
    <w:p w:rsidR="00000000" w:rsidRDefault="00000000">
      <w:pPr>
        <w:pStyle w:val="BodyText"/>
        <w:rPr>
          <w:sz w:val="22"/>
        </w:rPr>
      </w:pPr>
    </w:p>
    <w:p w:rsidR="00000000" w:rsidRDefault="00000000">
      <w:pPr>
        <w:pStyle w:val="BodyText"/>
        <w:rPr>
          <w:sz w:val="22"/>
        </w:rPr>
      </w:pPr>
      <w:r>
        <w:rPr>
          <w:sz w:val="22"/>
        </w:rPr>
        <w:t>Pour mieux apprécier la situation de la femme rurale, il faut analyser les différents indicateurs.</w:t>
      </w:r>
    </w:p>
    <w:p w:rsidR="00000000" w:rsidRDefault="00000000">
      <w:pPr>
        <w:pStyle w:val="BodyText"/>
        <w:rPr>
          <w:sz w:val="22"/>
        </w:rPr>
      </w:pPr>
    </w:p>
    <w:p w:rsidR="00000000" w:rsidRDefault="00000000">
      <w:pPr>
        <w:pStyle w:val="BodyText"/>
        <w:rPr>
          <w:b/>
          <w:sz w:val="22"/>
          <w:u w:val="single"/>
        </w:rPr>
      </w:pPr>
      <w:r>
        <w:rPr>
          <w:b/>
          <w:sz w:val="22"/>
        </w:rPr>
        <w:t xml:space="preserve">V - </w:t>
      </w:r>
      <w:r>
        <w:rPr>
          <w:b/>
          <w:sz w:val="22"/>
          <w:u w:val="single"/>
        </w:rPr>
        <w:t>Participation à la prise de décisions</w:t>
      </w:r>
    </w:p>
    <w:p w:rsidR="00000000" w:rsidRDefault="00000000">
      <w:pPr>
        <w:pStyle w:val="BodyText"/>
        <w:rPr>
          <w:sz w:val="22"/>
        </w:rPr>
      </w:pPr>
    </w:p>
    <w:p w:rsidR="00000000" w:rsidRDefault="00000000">
      <w:pPr>
        <w:pStyle w:val="BodyText"/>
        <w:rPr>
          <w:sz w:val="22"/>
        </w:rPr>
      </w:pPr>
      <w:r>
        <w:rPr>
          <w:sz w:val="22"/>
        </w:rPr>
        <w:t>La participation de la femme rurale à la prise de décision tant au niveau de la famille que de la société reste limitée pour plusieurs raisons :</w:t>
      </w:r>
    </w:p>
    <w:p w:rsidR="00000000" w:rsidRDefault="00000000">
      <w:pPr>
        <w:pStyle w:val="BodyText"/>
        <w:rPr>
          <w:sz w:val="22"/>
        </w:rPr>
      </w:pPr>
    </w:p>
    <w:p w:rsidR="00000000" w:rsidRDefault="00000000">
      <w:pPr>
        <w:pStyle w:val="BodyText"/>
        <w:numPr>
          <w:ilvl w:val="0"/>
          <w:numId w:val="52"/>
        </w:numPr>
        <w:rPr>
          <w:sz w:val="22"/>
        </w:rPr>
      </w:pPr>
      <w:r>
        <w:rPr>
          <w:sz w:val="22"/>
        </w:rPr>
        <w:t>le poids de la tradition qui fait de l’homme, le chef de famille, plaçant ainsi les femmes dans une position d’asservissement ;</w:t>
      </w:r>
    </w:p>
    <w:p w:rsidR="00000000" w:rsidRDefault="00000000">
      <w:pPr>
        <w:pStyle w:val="BodyText"/>
        <w:numPr>
          <w:ilvl w:val="0"/>
          <w:numId w:val="52"/>
        </w:numPr>
        <w:rPr>
          <w:sz w:val="22"/>
        </w:rPr>
      </w:pPr>
      <w:r>
        <w:rPr>
          <w:sz w:val="22"/>
        </w:rPr>
        <w:t>l’analphabétisme des femmes et le manque de formation qui réduisent leurs capacités d’intervention ;</w:t>
      </w:r>
    </w:p>
    <w:p w:rsidR="00000000" w:rsidRDefault="00000000">
      <w:pPr>
        <w:pStyle w:val="BodyText"/>
        <w:numPr>
          <w:ilvl w:val="0"/>
          <w:numId w:val="52"/>
        </w:numPr>
        <w:rPr>
          <w:sz w:val="22"/>
        </w:rPr>
      </w:pPr>
      <w:r>
        <w:rPr>
          <w:sz w:val="22"/>
        </w:rPr>
        <w:t>l’absence  de ressources financières qui fait d’elles des partenaires de second rôle ;</w:t>
      </w:r>
    </w:p>
    <w:p w:rsidR="00000000" w:rsidRDefault="00000000">
      <w:pPr>
        <w:pStyle w:val="BodyText"/>
        <w:numPr>
          <w:ilvl w:val="0"/>
          <w:numId w:val="52"/>
        </w:numPr>
        <w:rPr>
          <w:sz w:val="22"/>
        </w:rPr>
      </w:pPr>
      <w:r>
        <w:rPr>
          <w:sz w:val="22"/>
        </w:rPr>
        <w:t>la surcharge de leur emploi du temps liée à leurs multiples rôles de mère, d’épouse et d’agent de développement, qui les empêche d’être disponibles et de consacrer du temps aux travaux de réflexion et de gestion des problèmes de la cité.</w:t>
      </w:r>
    </w:p>
    <w:p w:rsidR="00000000" w:rsidRDefault="00000000">
      <w:pPr>
        <w:pStyle w:val="BodyText"/>
        <w:rPr>
          <w:sz w:val="22"/>
        </w:rPr>
      </w:pPr>
    </w:p>
    <w:p w:rsidR="00000000" w:rsidRDefault="00000000">
      <w:pPr>
        <w:pStyle w:val="BodyText"/>
        <w:rPr>
          <w:sz w:val="22"/>
        </w:rPr>
      </w:pPr>
      <w:r>
        <w:rPr>
          <w:sz w:val="22"/>
        </w:rPr>
        <w:t>La création des directions régionales chargées de la promotion de la femme sont entrain de faire un grand travail d’IEC.</w:t>
      </w:r>
    </w:p>
    <w:p w:rsidR="00000000" w:rsidRDefault="00000000">
      <w:pPr>
        <w:pStyle w:val="BodyText"/>
        <w:rPr>
          <w:sz w:val="22"/>
        </w:rPr>
      </w:pPr>
    </w:p>
    <w:p w:rsidR="00000000" w:rsidRDefault="00000000">
      <w:pPr>
        <w:pStyle w:val="BodyText"/>
        <w:rPr>
          <w:b/>
          <w:sz w:val="22"/>
          <w:u w:val="single"/>
        </w:rPr>
      </w:pPr>
      <w:r>
        <w:rPr>
          <w:b/>
          <w:sz w:val="22"/>
        </w:rPr>
        <w:t xml:space="preserve">VI - </w:t>
      </w:r>
      <w:r>
        <w:rPr>
          <w:b/>
          <w:sz w:val="22"/>
          <w:u w:val="single"/>
        </w:rPr>
        <w:t>Accès aux services adéquats dans le domaine de la santé</w:t>
      </w:r>
    </w:p>
    <w:p w:rsidR="00000000" w:rsidRDefault="00000000">
      <w:pPr>
        <w:pStyle w:val="BodyText"/>
        <w:rPr>
          <w:sz w:val="22"/>
        </w:rPr>
      </w:pPr>
    </w:p>
    <w:p w:rsidR="00000000" w:rsidRDefault="00000000">
      <w:pPr>
        <w:pStyle w:val="BodyText"/>
        <w:rPr>
          <w:sz w:val="22"/>
        </w:rPr>
      </w:pPr>
      <w:r>
        <w:rPr>
          <w:sz w:val="22"/>
        </w:rPr>
        <w:t>Les pouvoirs publics ont entrepris des actions pour rapprocher les services de santé des populations et donc des femmes rurales, dans le cadre du Plan National de Développement Sanitaire (PNDS) par l'installation des centres de santé intégrés.</w:t>
      </w:r>
    </w:p>
    <w:p w:rsidR="00000000" w:rsidRDefault="00000000">
      <w:pPr>
        <w:pStyle w:val="BodyText"/>
        <w:rPr>
          <w:sz w:val="22"/>
        </w:rPr>
      </w:pPr>
    </w:p>
    <w:p w:rsidR="00000000" w:rsidRDefault="00000000">
      <w:pPr>
        <w:pStyle w:val="BodyText"/>
        <w:rPr>
          <w:sz w:val="22"/>
        </w:rPr>
      </w:pPr>
      <w:r>
        <w:rPr>
          <w:sz w:val="22"/>
        </w:rPr>
        <w:t>Des programmes d’éducation nutritionnelle ont été entrepris. Mais la dégradation du tissu économique national, aggravé par les programmes d’ajustement structurel et les différentes guerres qu’a connues le pays entre 1993 et 1999 ont eu raison de tous ces efforts.</w:t>
      </w:r>
    </w:p>
    <w:p w:rsidR="00000000" w:rsidRDefault="00000000">
      <w:pPr>
        <w:pStyle w:val="BodyText"/>
        <w:rPr>
          <w:sz w:val="22"/>
        </w:rPr>
      </w:pPr>
    </w:p>
    <w:p w:rsidR="00000000" w:rsidRDefault="00000000">
      <w:pPr>
        <w:pStyle w:val="BodyText"/>
        <w:rPr>
          <w:sz w:val="22"/>
        </w:rPr>
      </w:pPr>
      <w:r>
        <w:rPr>
          <w:sz w:val="22"/>
        </w:rPr>
        <w:t>Un travail de sensibilisation sur la santé sexuelle, santé de la reproduction et planification familiale et les MST/VIH/SIDA est en cours dans les zones rurales, même si cela a été limité par les conflits.</w:t>
      </w:r>
    </w:p>
    <w:p w:rsidR="00000000" w:rsidRDefault="00000000">
      <w:pPr>
        <w:pStyle w:val="BodyText"/>
        <w:rPr>
          <w:sz w:val="22"/>
        </w:rPr>
      </w:pPr>
    </w:p>
    <w:p w:rsidR="00000000" w:rsidRDefault="00000000">
      <w:pPr>
        <w:pStyle w:val="BodyText"/>
        <w:rPr>
          <w:sz w:val="22"/>
        </w:rPr>
      </w:pPr>
      <w:r>
        <w:rPr>
          <w:sz w:val="22"/>
        </w:rPr>
        <w:t>D’une manière générale, la femme rurale, du fait même de son extrême pauvreté n’a pas accès facilement aux services de santé de qualité. On déplore l’insuffisance d’équipements sanitaires dans l’hinterland.</w:t>
      </w:r>
    </w:p>
    <w:p w:rsidR="00000000" w:rsidRDefault="00000000">
      <w:pPr>
        <w:pStyle w:val="BodyText"/>
        <w:rPr>
          <w:sz w:val="22"/>
        </w:rPr>
      </w:pPr>
    </w:p>
    <w:p w:rsidR="00000000" w:rsidRDefault="00000000">
      <w:pPr>
        <w:pStyle w:val="BodyText"/>
        <w:rPr>
          <w:b/>
          <w:sz w:val="22"/>
        </w:rPr>
      </w:pPr>
      <w:r>
        <w:rPr>
          <w:b/>
          <w:sz w:val="22"/>
        </w:rPr>
        <w:t xml:space="preserve">VII - </w:t>
      </w:r>
      <w:r>
        <w:rPr>
          <w:b/>
          <w:sz w:val="22"/>
          <w:u w:val="single"/>
        </w:rPr>
        <w:t>Programme de sécurité sociale</w:t>
      </w:r>
    </w:p>
    <w:p w:rsidR="00000000" w:rsidRDefault="00000000">
      <w:pPr>
        <w:pStyle w:val="BodyText"/>
        <w:rPr>
          <w:sz w:val="22"/>
        </w:rPr>
      </w:pPr>
    </w:p>
    <w:p w:rsidR="00000000" w:rsidRDefault="00000000">
      <w:pPr>
        <w:pStyle w:val="BodyText"/>
        <w:rPr>
          <w:sz w:val="22"/>
        </w:rPr>
      </w:pPr>
      <w:r>
        <w:rPr>
          <w:sz w:val="22"/>
        </w:rPr>
        <w:t>Le système de sécurité sociale touche très peu de personnes au Congo. Il se caractérise par la couverture de certaines prestations notamment les allocations familiales dont ne bénéficient que les salariés des secteurs public et privé, et donc ne couvre pas les populations rurales.</w:t>
      </w:r>
    </w:p>
    <w:p w:rsidR="00000000" w:rsidRDefault="00000000">
      <w:pPr>
        <w:pStyle w:val="BodyText"/>
        <w:rPr>
          <w:sz w:val="22"/>
        </w:rPr>
      </w:pPr>
    </w:p>
    <w:p w:rsidR="00000000" w:rsidRDefault="00000000">
      <w:pPr>
        <w:pStyle w:val="BodyText"/>
        <w:rPr>
          <w:b/>
          <w:sz w:val="22"/>
          <w:u w:val="single"/>
        </w:rPr>
      </w:pPr>
      <w:r>
        <w:rPr>
          <w:b/>
          <w:sz w:val="22"/>
        </w:rPr>
        <w:t xml:space="preserve">VIII - </w:t>
      </w:r>
      <w:r>
        <w:rPr>
          <w:b/>
          <w:sz w:val="22"/>
          <w:u w:val="single"/>
        </w:rPr>
        <w:t>Accès à l’éducation et à la formation</w:t>
      </w:r>
    </w:p>
    <w:p w:rsidR="00000000" w:rsidRDefault="00000000">
      <w:pPr>
        <w:pStyle w:val="BodyText"/>
        <w:rPr>
          <w:sz w:val="22"/>
        </w:rPr>
      </w:pPr>
    </w:p>
    <w:p w:rsidR="00000000" w:rsidRDefault="00000000">
      <w:pPr>
        <w:pStyle w:val="BodyText"/>
        <w:rPr>
          <w:sz w:val="22"/>
        </w:rPr>
      </w:pPr>
      <w:r>
        <w:rPr>
          <w:sz w:val="22"/>
        </w:rPr>
        <w:t>Au Congo, il n’existe pas de discrimination entre l’homme et la femme pour ce qui est de l’accès au système éducatif et à la formation professionnelle. Cependant, les déperditions scolaires en milieu féminin sont plus importantes que chez les garçons pour cause de :</w:t>
      </w:r>
    </w:p>
    <w:p w:rsidR="00000000" w:rsidRDefault="00000000">
      <w:pPr>
        <w:pStyle w:val="BodyText"/>
        <w:rPr>
          <w:sz w:val="22"/>
        </w:rPr>
      </w:pPr>
    </w:p>
    <w:p w:rsidR="00000000" w:rsidRDefault="00000000">
      <w:pPr>
        <w:pStyle w:val="BodyText"/>
        <w:numPr>
          <w:ilvl w:val="0"/>
          <w:numId w:val="54"/>
        </w:numPr>
        <w:rPr>
          <w:sz w:val="22"/>
        </w:rPr>
      </w:pPr>
      <w:r>
        <w:rPr>
          <w:sz w:val="22"/>
        </w:rPr>
        <w:t>mariages précoces ;</w:t>
      </w:r>
    </w:p>
    <w:p w:rsidR="00000000" w:rsidRDefault="00000000">
      <w:pPr>
        <w:pStyle w:val="BodyText"/>
        <w:numPr>
          <w:ilvl w:val="0"/>
          <w:numId w:val="54"/>
        </w:numPr>
        <w:rPr>
          <w:sz w:val="22"/>
        </w:rPr>
      </w:pPr>
      <w:r>
        <w:rPr>
          <w:sz w:val="22"/>
        </w:rPr>
        <w:t>grossesses rapprochées et indésirées ;</w:t>
      </w:r>
    </w:p>
    <w:p w:rsidR="00000000" w:rsidRDefault="00000000">
      <w:pPr>
        <w:pStyle w:val="BodyText"/>
        <w:numPr>
          <w:ilvl w:val="0"/>
          <w:numId w:val="54"/>
        </w:numPr>
        <w:rPr>
          <w:sz w:val="22"/>
        </w:rPr>
      </w:pPr>
      <w:r>
        <w:rPr>
          <w:sz w:val="22"/>
        </w:rPr>
        <w:t>surcharge des tâches domestiques.</w:t>
      </w:r>
    </w:p>
    <w:p w:rsidR="00000000" w:rsidRDefault="00000000">
      <w:pPr>
        <w:pStyle w:val="BodyText"/>
        <w:rPr>
          <w:sz w:val="22"/>
        </w:rPr>
      </w:pPr>
    </w:p>
    <w:p w:rsidR="00000000" w:rsidRDefault="00000000">
      <w:pPr>
        <w:pStyle w:val="BodyText"/>
        <w:rPr>
          <w:sz w:val="22"/>
        </w:rPr>
      </w:pPr>
      <w:r>
        <w:rPr>
          <w:sz w:val="22"/>
        </w:rPr>
        <w:t>Ces causes se produisent avec beaucoup plus d’importance en milieu rural qu’en milieu urbain, du fait de l’influence des us et coutumes. De même, le taux d’analphabétisme des populations rurales féminines y est plus important qu’en ville. En plus, les femmes en milieu rural vivent dans un certain état d’immersion, n’ayant que très peu accès à la formation et de contacts avec l’extérieur.</w:t>
      </w:r>
    </w:p>
    <w:p w:rsidR="00000000" w:rsidRDefault="00000000">
      <w:pPr>
        <w:pStyle w:val="BodyText"/>
        <w:rPr>
          <w:sz w:val="22"/>
        </w:rPr>
      </w:pPr>
    </w:p>
    <w:p w:rsidR="00000000" w:rsidRDefault="00000000">
      <w:pPr>
        <w:pStyle w:val="BodyText"/>
        <w:rPr>
          <w:sz w:val="22"/>
        </w:rPr>
      </w:pPr>
      <w:r>
        <w:rPr>
          <w:sz w:val="22"/>
        </w:rPr>
        <w:t>Un programme de semences améliorées mené avec des femmes multiplicatrices assisté par le Centre de vulgarisation des techniques agricoles a bien fonctionné, mais a été arrêté malheureusement pour cause de conflits armés. Par contre, les femmes agricultrices des zones péri-urbaines bénéficient un peu plus de formations.</w:t>
      </w:r>
    </w:p>
    <w:p w:rsidR="00000000" w:rsidRDefault="00000000">
      <w:pPr>
        <w:pStyle w:val="BodyText"/>
        <w:rPr>
          <w:sz w:val="22"/>
        </w:rPr>
      </w:pPr>
    </w:p>
    <w:p w:rsidR="00000000" w:rsidRDefault="00000000">
      <w:pPr>
        <w:pStyle w:val="BodyText"/>
        <w:rPr>
          <w:sz w:val="22"/>
        </w:rPr>
      </w:pPr>
      <w:r>
        <w:rPr>
          <w:sz w:val="22"/>
        </w:rPr>
        <w:t>Les femmes restent le groupe le moins alphabétisé : 62% des analphabètes sont des femmes avec des proportions plus importantes allant jusqu’à 67,80% des  femmes de 15 ans et plus ne sachant ni lire, ni écrire dans les zones rurales.</w:t>
      </w:r>
    </w:p>
    <w:p w:rsidR="00000000" w:rsidRDefault="00000000">
      <w:pPr>
        <w:pStyle w:val="BodyText"/>
        <w:rPr>
          <w:sz w:val="22"/>
        </w:rPr>
      </w:pPr>
    </w:p>
    <w:p w:rsidR="00000000" w:rsidRDefault="00000000">
      <w:pPr>
        <w:pStyle w:val="BodyText"/>
        <w:rPr>
          <w:b/>
          <w:sz w:val="22"/>
          <w:u w:val="single"/>
        </w:rPr>
      </w:pPr>
      <w:r>
        <w:rPr>
          <w:b/>
          <w:sz w:val="22"/>
        </w:rPr>
        <w:t xml:space="preserve">IX - </w:t>
      </w:r>
      <w:r>
        <w:rPr>
          <w:b/>
          <w:sz w:val="22"/>
          <w:u w:val="single"/>
        </w:rPr>
        <w:t>Organisation des groupes d’entraide</w:t>
      </w:r>
    </w:p>
    <w:p w:rsidR="00000000" w:rsidRDefault="00000000">
      <w:pPr>
        <w:pStyle w:val="BodyText"/>
        <w:rPr>
          <w:sz w:val="22"/>
        </w:rPr>
      </w:pPr>
    </w:p>
    <w:p w:rsidR="00000000" w:rsidRDefault="00000000">
      <w:pPr>
        <w:pStyle w:val="BodyText"/>
        <w:rPr>
          <w:sz w:val="22"/>
        </w:rPr>
      </w:pPr>
      <w:r>
        <w:rPr>
          <w:sz w:val="22"/>
        </w:rPr>
        <w:t>L’organisation des femmes en groupements précoopératifs n’a pas connu beaucoup de succès au Congo. Mais les groupes traditionnels d’entraide, sorte de bourses du travail subsistent. Leur finalité est l’entraide dans le travail. Cependant, on note la création d’associations et d’organisations non gouvernementales (ONG), sur la base de la loi du 1</w:t>
      </w:r>
      <w:r>
        <w:rPr>
          <w:sz w:val="22"/>
          <w:vertAlign w:val="superscript"/>
        </w:rPr>
        <w:t>er</w:t>
      </w:r>
      <w:r>
        <w:rPr>
          <w:sz w:val="22"/>
        </w:rPr>
        <w:t xml:space="preserve"> juillet 1901 relative au contrat d’association. Mais elles manquent d’expérience, de formation, de dynamisme et méritent d’être encouragées.</w:t>
      </w:r>
    </w:p>
    <w:p w:rsidR="00000000" w:rsidRDefault="00000000">
      <w:pPr>
        <w:pStyle w:val="BodyText"/>
        <w:rPr>
          <w:sz w:val="22"/>
        </w:rPr>
      </w:pPr>
    </w:p>
    <w:p w:rsidR="00000000" w:rsidRDefault="00000000">
      <w:pPr>
        <w:pStyle w:val="BodyText"/>
        <w:rPr>
          <w:b/>
          <w:sz w:val="22"/>
          <w:u w:val="single"/>
        </w:rPr>
      </w:pPr>
      <w:r>
        <w:rPr>
          <w:b/>
          <w:sz w:val="22"/>
        </w:rPr>
        <w:t xml:space="preserve">X - </w:t>
      </w:r>
      <w:r>
        <w:rPr>
          <w:b/>
          <w:sz w:val="22"/>
          <w:u w:val="single"/>
        </w:rPr>
        <w:t>Participation de la femme aux activités de la communauté</w:t>
      </w:r>
    </w:p>
    <w:p w:rsidR="00000000" w:rsidRDefault="00000000">
      <w:pPr>
        <w:pStyle w:val="BodyText"/>
        <w:rPr>
          <w:sz w:val="22"/>
        </w:rPr>
      </w:pPr>
    </w:p>
    <w:p w:rsidR="00000000" w:rsidRDefault="00000000">
      <w:pPr>
        <w:pStyle w:val="BodyText"/>
        <w:rPr>
          <w:sz w:val="22"/>
        </w:rPr>
      </w:pPr>
      <w:r>
        <w:rPr>
          <w:sz w:val="22"/>
        </w:rPr>
        <w:t>En général, la femme rurale peut participer à la gestion de la communauté villageoise. Mais de par ses multiples occupations (productrices et domestiques), elle est souvent absente des centres de gestion. De toute façon, l’homme est le chef de famille et il est conforté en cela par l’article 152 du code de la famille.</w:t>
      </w:r>
    </w:p>
    <w:p w:rsidR="00000000" w:rsidRDefault="00000000">
      <w:pPr>
        <w:pStyle w:val="BodyText"/>
        <w:rPr>
          <w:sz w:val="22"/>
        </w:rPr>
      </w:pPr>
    </w:p>
    <w:p w:rsidR="00000000" w:rsidRDefault="00000000">
      <w:pPr>
        <w:pStyle w:val="BodyText"/>
        <w:rPr>
          <w:sz w:val="22"/>
        </w:rPr>
      </w:pPr>
      <w:r>
        <w:rPr>
          <w:sz w:val="22"/>
        </w:rPr>
        <w:t>Cependant, le rôle de la femme reste crucial dans l’équilibre et le fonctionnement de la famille et donc de la société. Il en est ainsi de son rôle dans la production alimentaire.</w:t>
      </w:r>
    </w:p>
    <w:p w:rsidR="00000000" w:rsidRDefault="00000000">
      <w:pPr>
        <w:pStyle w:val="BodyText"/>
        <w:rPr>
          <w:sz w:val="22"/>
        </w:rPr>
      </w:pPr>
    </w:p>
    <w:p w:rsidR="00000000" w:rsidRDefault="00000000">
      <w:pPr>
        <w:pStyle w:val="BodyText"/>
        <w:rPr>
          <w:b/>
          <w:sz w:val="22"/>
          <w:u w:val="single"/>
        </w:rPr>
      </w:pPr>
      <w:r>
        <w:rPr>
          <w:b/>
          <w:sz w:val="22"/>
        </w:rPr>
        <w:t xml:space="preserve">XI - </w:t>
      </w:r>
      <w:r>
        <w:rPr>
          <w:b/>
          <w:sz w:val="22"/>
          <w:u w:val="single"/>
        </w:rPr>
        <w:t>Accès aux ressources</w:t>
      </w:r>
    </w:p>
    <w:p w:rsidR="00000000" w:rsidRDefault="00000000">
      <w:pPr>
        <w:pStyle w:val="BodyText"/>
        <w:rPr>
          <w:sz w:val="22"/>
        </w:rPr>
      </w:pPr>
    </w:p>
    <w:p w:rsidR="00000000" w:rsidRDefault="00000000">
      <w:pPr>
        <w:pStyle w:val="BodyText"/>
        <w:rPr>
          <w:sz w:val="22"/>
        </w:rPr>
      </w:pPr>
      <w:r>
        <w:rPr>
          <w:sz w:val="22"/>
        </w:rPr>
        <w:t>Les femmes rurales ont un accès limité aux ressources productives.</w:t>
      </w:r>
    </w:p>
    <w:p w:rsidR="00000000" w:rsidRDefault="00000000">
      <w:pPr>
        <w:pStyle w:val="BodyText"/>
        <w:rPr>
          <w:sz w:val="22"/>
        </w:rPr>
      </w:pPr>
    </w:p>
    <w:p w:rsidR="00000000" w:rsidRDefault="00000000">
      <w:pPr>
        <w:pStyle w:val="BodyText"/>
        <w:rPr>
          <w:b/>
          <w:sz w:val="22"/>
        </w:rPr>
      </w:pPr>
      <w:r>
        <w:rPr>
          <w:b/>
          <w:sz w:val="22"/>
        </w:rPr>
        <w:t xml:space="preserve">A - </w:t>
      </w:r>
      <w:r>
        <w:rPr>
          <w:b/>
          <w:sz w:val="22"/>
          <w:u w:val="single"/>
        </w:rPr>
        <w:t>Accès à la terre</w:t>
      </w:r>
    </w:p>
    <w:p w:rsidR="00000000" w:rsidRDefault="00000000">
      <w:pPr>
        <w:pStyle w:val="BodyText"/>
        <w:rPr>
          <w:sz w:val="22"/>
        </w:rPr>
      </w:pPr>
    </w:p>
    <w:p w:rsidR="00000000" w:rsidRDefault="00000000">
      <w:pPr>
        <w:pStyle w:val="BodyText"/>
        <w:rPr>
          <w:sz w:val="22"/>
        </w:rPr>
      </w:pPr>
      <w:r>
        <w:rPr>
          <w:sz w:val="22"/>
        </w:rPr>
        <w:t xml:space="preserve">Les femmes tout en constituant 60,4% des actifs agricoles, ne possèdent que 25,5% des exploitations. </w:t>
      </w:r>
    </w:p>
    <w:p w:rsidR="00000000" w:rsidRDefault="00000000">
      <w:pPr>
        <w:pStyle w:val="BodyText"/>
        <w:rPr>
          <w:sz w:val="22"/>
        </w:rPr>
      </w:pPr>
    </w:p>
    <w:p w:rsidR="00000000" w:rsidRDefault="00000000">
      <w:pPr>
        <w:pStyle w:val="BodyText"/>
        <w:rPr>
          <w:sz w:val="22"/>
        </w:rPr>
      </w:pPr>
      <w:r>
        <w:rPr>
          <w:sz w:val="22"/>
        </w:rPr>
        <w:t>Sur ces 25,5%, il y a en majorité (70,4%) des femmes non mariées (célibataires, divorcées ou veuves).</w:t>
      </w:r>
    </w:p>
    <w:p w:rsidR="00000000" w:rsidRDefault="00000000">
      <w:pPr>
        <w:pStyle w:val="BodyText"/>
        <w:rPr>
          <w:sz w:val="22"/>
        </w:rPr>
      </w:pPr>
    </w:p>
    <w:p w:rsidR="00000000" w:rsidRDefault="00000000">
      <w:pPr>
        <w:pStyle w:val="BodyText"/>
        <w:rPr>
          <w:b/>
          <w:sz w:val="22"/>
        </w:rPr>
      </w:pPr>
      <w:r>
        <w:rPr>
          <w:b/>
          <w:sz w:val="22"/>
          <w:u w:val="single"/>
        </w:rPr>
        <w:t>Tableau n° 77</w:t>
      </w:r>
      <w:r>
        <w:rPr>
          <w:b/>
          <w:sz w:val="22"/>
        </w:rPr>
        <w:t> : Répartition des exploitations agricoles par région selon le sexe</w:t>
      </w:r>
    </w:p>
    <w:p w:rsidR="00000000" w:rsidRDefault="00000000">
      <w:pPr>
        <w:pStyle w:val="BodyText"/>
        <w:rPr>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50"/>
        <w:gridCol w:w="2450"/>
        <w:gridCol w:w="2450"/>
        <w:gridCol w:w="2451"/>
      </w:tblGrid>
      <w:tr w:rsidR="00000000">
        <w:tblPrEx>
          <w:tblCellMar>
            <w:top w:w="0" w:type="dxa"/>
            <w:bottom w:w="0" w:type="dxa"/>
          </w:tblCellMar>
        </w:tblPrEx>
        <w:tc>
          <w:tcPr>
            <w:tcW w:w="2450" w:type="dxa"/>
            <w:tcBorders>
              <w:bottom w:val="nil"/>
            </w:tcBorders>
          </w:tcPr>
          <w:p w:rsidR="00000000" w:rsidRDefault="00000000">
            <w:pPr>
              <w:pStyle w:val="BodyText"/>
              <w:jc w:val="center"/>
              <w:rPr>
                <w:sz w:val="22"/>
              </w:rPr>
            </w:pPr>
            <w:r>
              <w:rPr>
                <w:sz w:val="22"/>
              </w:rPr>
              <w:t>Régions</w:t>
            </w:r>
          </w:p>
        </w:tc>
        <w:tc>
          <w:tcPr>
            <w:tcW w:w="2450" w:type="dxa"/>
            <w:tcBorders>
              <w:bottom w:val="nil"/>
            </w:tcBorders>
          </w:tcPr>
          <w:p w:rsidR="00000000" w:rsidRDefault="00000000">
            <w:pPr>
              <w:pStyle w:val="BodyText"/>
              <w:jc w:val="center"/>
              <w:rPr>
                <w:sz w:val="22"/>
              </w:rPr>
            </w:pPr>
            <w:r>
              <w:rPr>
                <w:sz w:val="22"/>
              </w:rPr>
              <w:t>Hommes</w:t>
            </w:r>
          </w:p>
        </w:tc>
        <w:tc>
          <w:tcPr>
            <w:tcW w:w="2450" w:type="dxa"/>
            <w:tcBorders>
              <w:bottom w:val="nil"/>
            </w:tcBorders>
          </w:tcPr>
          <w:p w:rsidR="00000000" w:rsidRDefault="00000000">
            <w:pPr>
              <w:pStyle w:val="BodyText"/>
              <w:jc w:val="center"/>
              <w:rPr>
                <w:sz w:val="22"/>
              </w:rPr>
            </w:pPr>
            <w:r>
              <w:rPr>
                <w:sz w:val="22"/>
              </w:rPr>
              <w:t>Femmes</w:t>
            </w:r>
          </w:p>
        </w:tc>
        <w:tc>
          <w:tcPr>
            <w:tcW w:w="2451" w:type="dxa"/>
            <w:tcBorders>
              <w:bottom w:val="nil"/>
            </w:tcBorders>
          </w:tcPr>
          <w:p w:rsidR="00000000" w:rsidRDefault="00000000">
            <w:pPr>
              <w:pStyle w:val="BodyText"/>
              <w:jc w:val="center"/>
              <w:rPr>
                <w:sz w:val="22"/>
              </w:rPr>
            </w:pPr>
            <w:r>
              <w:rPr>
                <w:sz w:val="22"/>
              </w:rPr>
              <w:t>Effectif</w:t>
            </w:r>
          </w:p>
        </w:tc>
      </w:tr>
      <w:tr w:rsidR="00000000">
        <w:tblPrEx>
          <w:tblCellMar>
            <w:top w:w="0" w:type="dxa"/>
            <w:bottom w:w="0" w:type="dxa"/>
          </w:tblCellMar>
        </w:tblPrEx>
        <w:tc>
          <w:tcPr>
            <w:tcW w:w="2450" w:type="dxa"/>
            <w:tcBorders>
              <w:bottom w:val="nil"/>
            </w:tcBorders>
          </w:tcPr>
          <w:p w:rsidR="00000000" w:rsidRDefault="00000000">
            <w:pPr>
              <w:pStyle w:val="BodyText"/>
              <w:rPr>
                <w:sz w:val="22"/>
              </w:rPr>
            </w:pPr>
            <w:r>
              <w:rPr>
                <w:sz w:val="22"/>
              </w:rPr>
              <w:t>Niari</w:t>
            </w:r>
          </w:p>
        </w:tc>
        <w:tc>
          <w:tcPr>
            <w:tcW w:w="2450" w:type="dxa"/>
            <w:tcBorders>
              <w:bottom w:val="nil"/>
            </w:tcBorders>
          </w:tcPr>
          <w:p w:rsidR="00000000" w:rsidRDefault="00000000">
            <w:pPr>
              <w:pStyle w:val="BodyText"/>
              <w:ind w:right="1134"/>
              <w:jc w:val="right"/>
              <w:rPr>
                <w:sz w:val="22"/>
              </w:rPr>
            </w:pPr>
            <w:r>
              <w:rPr>
                <w:sz w:val="22"/>
              </w:rPr>
              <w:t>78,1</w:t>
            </w:r>
          </w:p>
        </w:tc>
        <w:tc>
          <w:tcPr>
            <w:tcW w:w="2450" w:type="dxa"/>
            <w:tcBorders>
              <w:bottom w:val="nil"/>
            </w:tcBorders>
          </w:tcPr>
          <w:p w:rsidR="00000000" w:rsidRDefault="00000000">
            <w:pPr>
              <w:pStyle w:val="BodyText"/>
              <w:ind w:right="1134"/>
              <w:jc w:val="right"/>
              <w:rPr>
                <w:sz w:val="22"/>
              </w:rPr>
            </w:pPr>
            <w:r>
              <w:rPr>
                <w:sz w:val="22"/>
              </w:rPr>
              <w:t>21,9</w:t>
            </w:r>
          </w:p>
        </w:tc>
        <w:tc>
          <w:tcPr>
            <w:tcW w:w="2451" w:type="dxa"/>
            <w:tcBorders>
              <w:bottom w:val="nil"/>
            </w:tcBorders>
          </w:tcPr>
          <w:p w:rsidR="00000000" w:rsidRDefault="00000000">
            <w:pPr>
              <w:pStyle w:val="BodyText"/>
              <w:ind w:right="1134"/>
              <w:jc w:val="right"/>
              <w:rPr>
                <w:sz w:val="22"/>
              </w:rPr>
            </w:pPr>
            <w:r>
              <w:rPr>
                <w:sz w:val="22"/>
              </w:rPr>
              <w:t>16.851</w:t>
            </w:r>
          </w:p>
        </w:tc>
      </w:tr>
      <w:tr w:rsidR="00000000">
        <w:tblPrEx>
          <w:tblCellMar>
            <w:top w:w="0" w:type="dxa"/>
            <w:bottom w:w="0" w:type="dxa"/>
          </w:tblCellMar>
        </w:tblPrEx>
        <w:tc>
          <w:tcPr>
            <w:tcW w:w="2450" w:type="dxa"/>
            <w:tcBorders>
              <w:top w:val="nil"/>
              <w:bottom w:val="nil"/>
            </w:tcBorders>
          </w:tcPr>
          <w:p w:rsidR="00000000" w:rsidRDefault="00000000">
            <w:pPr>
              <w:pStyle w:val="BodyText"/>
              <w:rPr>
                <w:sz w:val="22"/>
              </w:rPr>
            </w:pPr>
            <w:r>
              <w:rPr>
                <w:sz w:val="22"/>
              </w:rPr>
              <w:t>Lékoumou</w:t>
            </w:r>
          </w:p>
        </w:tc>
        <w:tc>
          <w:tcPr>
            <w:tcW w:w="2450" w:type="dxa"/>
            <w:tcBorders>
              <w:top w:val="nil"/>
              <w:bottom w:val="nil"/>
            </w:tcBorders>
          </w:tcPr>
          <w:p w:rsidR="00000000" w:rsidRDefault="00000000">
            <w:pPr>
              <w:pStyle w:val="BodyText"/>
              <w:ind w:right="1134"/>
              <w:jc w:val="right"/>
              <w:rPr>
                <w:sz w:val="22"/>
              </w:rPr>
            </w:pPr>
            <w:r>
              <w:rPr>
                <w:sz w:val="22"/>
              </w:rPr>
              <w:t>74,8</w:t>
            </w:r>
          </w:p>
        </w:tc>
        <w:tc>
          <w:tcPr>
            <w:tcW w:w="2450" w:type="dxa"/>
            <w:tcBorders>
              <w:top w:val="nil"/>
              <w:bottom w:val="nil"/>
            </w:tcBorders>
          </w:tcPr>
          <w:p w:rsidR="00000000" w:rsidRDefault="00000000">
            <w:pPr>
              <w:pStyle w:val="BodyText"/>
              <w:ind w:right="1134"/>
              <w:jc w:val="right"/>
              <w:rPr>
                <w:sz w:val="22"/>
              </w:rPr>
            </w:pPr>
            <w:r>
              <w:rPr>
                <w:sz w:val="22"/>
              </w:rPr>
              <w:t>25,2</w:t>
            </w:r>
          </w:p>
        </w:tc>
        <w:tc>
          <w:tcPr>
            <w:tcW w:w="2451" w:type="dxa"/>
            <w:tcBorders>
              <w:top w:val="nil"/>
              <w:bottom w:val="nil"/>
            </w:tcBorders>
          </w:tcPr>
          <w:p w:rsidR="00000000" w:rsidRDefault="00000000">
            <w:pPr>
              <w:pStyle w:val="BodyText"/>
              <w:ind w:right="1134"/>
              <w:jc w:val="right"/>
              <w:rPr>
                <w:sz w:val="22"/>
              </w:rPr>
            </w:pPr>
            <w:r>
              <w:rPr>
                <w:sz w:val="22"/>
              </w:rPr>
              <w:t>11.720</w:t>
            </w:r>
          </w:p>
        </w:tc>
      </w:tr>
      <w:tr w:rsidR="00000000">
        <w:tblPrEx>
          <w:tblCellMar>
            <w:top w:w="0" w:type="dxa"/>
            <w:bottom w:w="0" w:type="dxa"/>
          </w:tblCellMar>
        </w:tblPrEx>
        <w:tc>
          <w:tcPr>
            <w:tcW w:w="2450" w:type="dxa"/>
            <w:tcBorders>
              <w:top w:val="nil"/>
              <w:bottom w:val="nil"/>
            </w:tcBorders>
          </w:tcPr>
          <w:p w:rsidR="00000000" w:rsidRDefault="00000000">
            <w:pPr>
              <w:pStyle w:val="BodyText"/>
              <w:rPr>
                <w:sz w:val="22"/>
              </w:rPr>
            </w:pPr>
            <w:r>
              <w:rPr>
                <w:sz w:val="22"/>
              </w:rPr>
              <w:t>Bouenza</w:t>
            </w:r>
          </w:p>
        </w:tc>
        <w:tc>
          <w:tcPr>
            <w:tcW w:w="2450" w:type="dxa"/>
            <w:tcBorders>
              <w:top w:val="nil"/>
              <w:bottom w:val="nil"/>
            </w:tcBorders>
          </w:tcPr>
          <w:p w:rsidR="00000000" w:rsidRDefault="00000000">
            <w:pPr>
              <w:pStyle w:val="BodyText"/>
              <w:ind w:right="1134"/>
              <w:jc w:val="right"/>
              <w:rPr>
                <w:sz w:val="22"/>
              </w:rPr>
            </w:pPr>
            <w:r>
              <w:rPr>
                <w:sz w:val="22"/>
              </w:rPr>
              <w:t>69,9</w:t>
            </w:r>
          </w:p>
        </w:tc>
        <w:tc>
          <w:tcPr>
            <w:tcW w:w="2450" w:type="dxa"/>
            <w:tcBorders>
              <w:top w:val="nil"/>
              <w:bottom w:val="nil"/>
            </w:tcBorders>
          </w:tcPr>
          <w:p w:rsidR="00000000" w:rsidRDefault="00000000">
            <w:pPr>
              <w:pStyle w:val="BodyText"/>
              <w:ind w:right="1134"/>
              <w:jc w:val="right"/>
              <w:rPr>
                <w:sz w:val="22"/>
              </w:rPr>
            </w:pPr>
            <w:r>
              <w:rPr>
                <w:sz w:val="22"/>
              </w:rPr>
              <w:t>30,1</w:t>
            </w:r>
          </w:p>
        </w:tc>
        <w:tc>
          <w:tcPr>
            <w:tcW w:w="2451" w:type="dxa"/>
            <w:tcBorders>
              <w:top w:val="nil"/>
              <w:bottom w:val="nil"/>
            </w:tcBorders>
          </w:tcPr>
          <w:p w:rsidR="00000000" w:rsidRDefault="00000000">
            <w:pPr>
              <w:pStyle w:val="BodyText"/>
              <w:ind w:right="1134"/>
              <w:jc w:val="right"/>
              <w:rPr>
                <w:sz w:val="22"/>
              </w:rPr>
            </w:pPr>
            <w:r>
              <w:rPr>
                <w:sz w:val="22"/>
              </w:rPr>
              <w:t>25.074</w:t>
            </w:r>
          </w:p>
        </w:tc>
      </w:tr>
      <w:tr w:rsidR="00000000">
        <w:tblPrEx>
          <w:tblCellMar>
            <w:top w:w="0" w:type="dxa"/>
            <w:bottom w:w="0" w:type="dxa"/>
          </w:tblCellMar>
        </w:tblPrEx>
        <w:tc>
          <w:tcPr>
            <w:tcW w:w="2450" w:type="dxa"/>
            <w:tcBorders>
              <w:top w:val="nil"/>
              <w:bottom w:val="nil"/>
            </w:tcBorders>
          </w:tcPr>
          <w:p w:rsidR="00000000" w:rsidRDefault="00000000">
            <w:pPr>
              <w:pStyle w:val="BodyText"/>
              <w:rPr>
                <w:sz w:val="22"/>
              </w:rPr>
            </w:pPr>
            <w:r>
              <w:rPr>
                <w:sz w:val="22"/>
              </w:rPr>
              <w:t>Pool</w:t>
            </w:r>
          </w:p>
        </w:tc>
        <w:tc>
          <w:tcPr>
            <w:tcW w:w="2450" w:type="dxa"/>
            <w:tcBorders>
              <w:top w:val="nil"/>
              <w:bottom w:val="nil"/>
            </w:tcBorders>
          </w:tcPr>
          <w:p w:rsidR="00000000" w:rsidRDefault="00000000">
            <w:pPr>
              <w:pStyle w:val="BodyText"/>
              <w:ind w:right="1134"/>
              <w:jc w:val="right"/>
              <w:rPr>
                <w:sz w:val="22"/>
              </w:rPr>
            </w:pPr>
            <w:r>
              <w:rPr>
                <w:sz w:val="22"/>
              </w:rPr>
              <w:t>63,6</w:t>
            </w:r>
          </w:p>
        </w:tc>
        <w:tc>
          <w:tcPr>
            <w:tcW w:w="2450" w:type="dxa"/>
            <w:tcBorders>
              <w:top w:val="nil"/>
              <w:bottom w:val="nil"/>
            </w:tcBorders>
          </w:tcPr>
          <w:p w:rsidR="00000000" w:rsidRDefault="00000000">
            <w:pPr>
              <w:pStyle w:val="BodyText"/>
              <w:ind w:right="1134"/>
              <w:jc w:val="right"/>
              <w:rPr>
                <w:sz w:val="22"/>
              </w:rPr>
            </w:pPr>
            <w:r>
              <w:rPr>
                <w:sz w:val="22"/>
              </w:rPr>
              <w:t>36,4</w:t>
            </w:r>
          </w:p>
        </w:tc>
        <w:tc>
          <w:tcPr>
            <w:tcW w:w="2451" w:type="dxa"/>
            <w:tcBorders>
              <w:top w:val="nil"/>
              <w:bottom w:val="nil"/>
            </w:tcBorders>
          </w:tcPr>
          <w:p w:rsidR="00000000" w:rsidRDefault="00000000">
            <w:pPr>
              <w:pStyle w:val="BodyText"/>
              <w:ind w:right="1134"/>
              <w:jc w:val="right"/>
              <w:rPr>
                <w:sz w:val="22"/>
              </w:rPr>
            </w:pPr>
            <w:r>
              <w:rPr>
                <w:sz w:val="22"/>
              </w:rPr>
              <w:t>31.650</w:t>
            </w:r>
          </w:p>
        </w:tc>
      </w:tr>
      <w:tr w:rsidR="00000000">
        <w:tblPrEx>
          <w:tblCellMar>
            <w:top w:w="0" w:type="dxa"/>
            <w:bottom w:w="0" w:type="dxa"/>
          </w:tblCellMar>
        </w:tblPrEx>
        <w:tc>
          <w:tcPr>
            <w:tcW w:w="2450" w:type="dxa"/>
            <w:tcBorders>
              <w:top w:val="nil"/>
              <w:bottom w:val="nil"/>
            </w:tcBorders>
          </w:tcPr>
          <w:p w:rsidR="00000000" w:rsidRDefault="00000000">
            <w:pPr>
              <w:pStyle w:val="BodyText"/>
              <w:rPr>
                <w:sz w:val="22"/>
              </w:rPr>
            </w:pPr>
            <w:r>
              <w:rPr>
                <w:sz w:val="22"/>
              </w:rPr>
              <w:t>Plateaux</w:t>
            </w:r>
          </w:p>
        </w:tc>
        <w:tc>
          <w:tcPr>
            <w:tcW w:w="2450" w:type="dxa"/>
            <w:tcBorders>
              <w:top w:val="nil"/>
              <w:bottom w:val="nil"/>
            </w:tcBorders>
          </w:tcPr>
          <w:p w:rsidR="00000000" w:rsidRDefault="00000000">
            <w:pPr>
              <w:pStyle w:val="BodyText"/>
              <w:ind w:right="1134"/>
              <w:jc w:val="right"/>
              <w:rPr>
                <w:sz w:val="22"/>
              </w:rPr>
            </w:pPr>
            <w:r>
              <w:rPr>
                <w:sz w:val="22"/>
              </w:rPr>
              <w:t>92,5</w:t>
            </w:r>
          </w:p>
        </w:tc>
        <w:tc>
          <w:tcPr>
            <w:tcW w:w="2450" w:type="dxa"/>
            <w:tcBorders>
              <w:top w:val="nil"/>
              <w:bottom w:val="nil"/>
            </w:tcBorders>
          </w:tcPr>
          <w:p w:rsidR="00000000" w:rsidRDefault="00000000">
            <w:pPr>
              <w:pStyle w:val="BodyText"/>
              <w:ind w:right="1134"/>
              <w:jc w:val="right"/>
              <w:rPr>
                <w:sz w:val="22"/>
              </w:rPr>
            </w:pPr>
            <w:r>
              <w:rPr>
                <w:sz w:val="22"/>
              </w:rPr>
              <w:t>7,5</w:t>
            </w:r>
          </w:p>
        </w:tc>
        <w:tc>
          <w:tcPr>
            <w:tcW w:w="2451" w:type="dxa"/>
            <w:tcBorders>
              <w:top w:val="nil"/>
              <w:bottom w:val="nil"/>
            </w:tcBorders>
          </w:tcPr>
          <w:p w:rsidR="00000000" w:rsidRDefault="00000000">
            <w:pPr>
              <w:pStyle w:val="BodyText"/>
              <w:ind w:right="1134"/>
              <w:jc w:val="right"/>
              <w:rPr>
                <w:sz w:val="22"/>
              </w:rPr>
            </w:pPr>
            <w:r>
              <w:rPr>
                <w:sz w:val="22"/>
              </w:rPr>
              <w:t>17.081</w:t>
            </w:r>
          </w:p>
        </w:tc>
      </w:tr>
      <w:tr w:rsidR="00000000">
        <w:tblPrEx>
          <w:tblCellMar>
            <w:top w:w="0" w:type="dxa"/>
            <w:bottom w:w="0" w:type="dxa"/>
          </w:tblCellMar>
        </w:tblPrEx>
        <w:tc>
          <w:tcPr>
            <w:tcW w:w="2450" w:type="dxa"/>
            <w:tcBorders>
              <w:top w:val="nil"/>
              <w:bottom w:val="nil"/>
            </w:tcBorders>
          </w:tcPr>
          <w:p w:rsidR="00000000" w:rsidRDefault="00000000">
            <w:pPr>
              <w:pStyle w:val="BodyText"/>
              <w:rPr>
                <w:sz w:val="22"/>
              </w:rPr>
            </w:pPr>
            <w:r>
              <w:rPr>
                <w:sz w:val="22"/>
              </w:rPr>
              <w:t>Cuvette</w:t>
            </w:r>
          </w:p>
        </w:tc>
        <w:tc>
          <w:tcPr>
            <w:tcW w:w="2450" w:type="dxa"/>
            <w:tcBorders>
              <w:top w:val="nil"/>
              <w:bottom w:val="nil"/>
            </w:tcBorders>
          </w:tcPr>
          <w:p w:rsidR="00000000" w:rsidRDefault="00000000">
            <w:pPr>
              <w:pStyle w:val="BodyText"/>
              <w:ind w:right="1134"/>
              <w:jc w:val="right"/>
              <w:rPr>
                <w:sz w:val="22"/>
              </w:rPr>
            </w:pPr>
            <w:r>
              <w:rPr>
                <w:sz w:val="22"/>
              </w:rPr>
              <w:t>77,9</w:t>
            </w:r>
          </w:p>
        </w:tc>
        <w:tc>
          <w:tcPr>
            <w:tcW w:w="2450" w:type="dxa"/>
            <w:tcBorders>
              <w:top w:val="nil"/>
              <w:bottom w:val="nil"/>
            </w:tcBorders>
          </w:tcPr>
          <w:p w:rsidR="00000000" w:rsidRDefault="00000000">
            <w:pPr>
              <w:pStyle w:val="BodyText"/>
              <w:ind w:right="1134"/>
              <w:jc w:val="right"/>
              <w:rPr>
                <w:sz w:val="22"/>
              </w:rPr>
            </w:pPr>
            <w:r>
              <w:rPr>
                <w:sz w:val="22"/>
              </w:rPr>
              <w:t>22,1</w:t>
            </w:r>
          </w:p>
        </w:tc>
        <w:tc>
          <w:tcPr>
            <w:tcW w:w="2451" w:type="dxa"/>
            <w:tcBorders>
              <w:top w:val="nil"/>
              <w:bottom w:val="nil"/>
            </w:tcBorders>
          </w:tcPr>
          <w:p w:rsidR="00000000" w:rsidRDefault="00000000">
            <w:pPr>
              <w:pStyle w:val="BodyText"/>
              <w:ind w:right="1134"/>
              <w:jc w:val="right"/>
              <w:rPr>
                <w:sz w:val="22"/>
              </w:rPr>
            </w:pPr>
            <w:r>
              <w:rPr>
                <w:sz w:val="22"/>
              </w:rPr>
              <w:t>20.350</w:t>
            </w:r>
          </w:p>
        </w:tc>
      </w:tr>
      <w:tr w:rsidR="00000000">
        <w:tblPrEx>
          <w:tblCellMar>
            <w:top w:w="0" w:type="dxa"/>
            <w:bottom w:w="0" w:type="dxa"/>
          </w:tblCellMar>
        </w:tblPrEx>
        <w:tc>
          <w:tcPr>
            <w:tcW w:w="2450" w:type="dxa"/>
            <w:tcBorders>
              <w:top w:val="nil"/>
              <w:bottom w:val="nil"/>
            </w:tcBorders>
          </w:tcPr>
          <w:p w:rsidR="00000000" w:rsidRDefault="00000000">
            <w:pPr>
              <w:pStyle w:val="BodyText"/>
              <w:rPr>
                <w:sz w:val="22"/>
              </w:rPr>
            </w:pPr>
            <w:r>
              <w:rPr>
                <w:sz w:val="22"/>
              </w:rPr>
              <w:t>Sangha</w:t>
            </w:r>
          </w:p>
        </w:tc>
        <w:tc>
          <w:tcPr>
            <w:tcW w:w="2450" w:type="dxa"/>
            <w:tcBorders>
              <w:top w:val="nil"/>
              <w:bottom w:val="nil"/>
            </w:tcBorders>
          </w:tcPr>
          <w:p w:rsidR="00000000" w:rsidRDefault="00000000">
            <w:pPr>
              <w:pStyle w:val="BodyText"/>
              <w:ind w:right="1134"/>
              <w:jc w:val="right"/>
              <w:rPr>
                <w:sz w:val="22"/>
              </w:rPr>
            </w:pPr>
            <w:r>
              <w:rPr>
                <w:sz w:val="22"/>
              </w:rPr>
              <w:t>79,9</w:t>
            </w:r>
          </w:p>
        </w:tc>
        <w:tc>
          <w:tcPr>
            <w:tcW w:w="2450" w:type="dxa"/>
            <w:tcBorders>
              <w:top w:val="nil"/>
              <w:bottom w:val="nil"/>
            </w:tcBorders>
          </w:tcPr>
          <w:p w:rsidR="00000000" w:rsidRDefault="00000000">
            <w:pPr>
              <w:pStyle w:val="BodyText"/>
              <w:ind w:right="1134"/>
              <w:jc w:val="right"/>
              <w:rPr>
                <w:sz w:val="22"/>
              </w:rPr>
            </w:pPr>
            <w:r>
              <w:rPr>
                <w:sz w:val="22"/>
              </w:rPr>
              <w:t>20,1</w:t>
            </w:r>
          </w:p>
        </w:tc>
        <w:tc>
          <w:tcPr>
            <w:tcW w:w="2451" w:type="dxa"/>
            <w:tcBorders>
              <w:top w:val="nil"/>
              <w:bottom w:val="nil"/>
            </w:tcBorders>
          </w:tcPr>
          <w:p w:rsidR="00000000" w:rsidRDefault="00000000">
            <w:pPr>
              <w:pStyle w:val="BodyText"/>
              <w:ind w:right="1134"/>
              <w:jc w:val="right"/>
              <w:rPr>
                <w:sz w:val="22"/>
              </w:rPr>
            </w:pPr>
            <w:r>
              <w:rPr>
                <w:sz w:val="22"/>
              </w:rPr>
              <w:t>5.777</w:t>
            </w:r>
          </w:p>
        </w:tc>
      </w:tr>
      <w:tr w:rsidR="00000000">
        <w:tblPrEx>
          <w:tblCellMar>
            <w:top w:w="0" w:type="dxa"/>
            <w:bottom w:w="0" w:type="dxa"/>
          </w:tblCellMar>
        </w:tblPrEx>
        <w:tc>
          <w:tcPr>
            <w:tcW w:w="2450" w:type="dxa"/>
            <w:tcBorders>
              <w:top w:val="nil"/>
            </w:tcBorders>
          </w:tcPr>
          <w:p w:rsidR="00000000" w:rsidRDefault="00000000">
            <w:pPr>
              <w:pStyle w:val="BodyText"/>
              <w:rPr>
                <w:sz w:val="22"/>
              </w:rPr>
            </w:pPr>
            <w:r>
              <w:rPr>
                <w:sz w:val="22"/>
              </w:rPr>
              <w:t>Ensemble</w:t>
            </w:r>
          </w:p>
        </w:tc>
        <w:tc>
          <w:tcPr>
            <w:tcW w:w="2450" w:type="dxa"/>
            <w:tcBorders>
              <w:top w:val="nil"/>
            </w:tcBorders>
          </w:tcPr>
          <w:p w:rsidR="00000000" w:rsidRDefault="00000000">
            <w:pPr>
              <w:pStyle w:val="BodyText"/>
              <w:ind w:right="1134"/>
              <w:jc w:val="right"/>
              <w:rPr>
                <w:sz w:val="22"/>
              </w:rPr>
            </w:pPr>
            <w:r>
              <w:rPr>
                <w:sz w:val="22"/>
              </w:rPr>
              <w:t>74,5</w:t>
            </w:r>
          </w:p>
        </w:tc>
        <w:tc>
          <w:tcPr>
            <w:tcW w:w="2450" w:type="dxa"/>
            <w:tcBorders>
              <w:top w:val="nil"/>
            </w:tcBorders>
          </w:tcPr>
          <w:p w:rsidR="00000000" w:rsidRDefault="00000000">
            <w:pPr>
              <w:pStyle w:val="BodyText"/>
              <w:ind w:right="1134"/>
              <w:jc w:val="right"/>
              <w:rPr>
                <w:sz w:val="22"/>
              </w:rPr>
            </w:pPr>
            <w:r>
              <w:rPr>
                <w:sz w:val="22"/>
              </w:rPr>
              <w:t>25,5</w:t>
            </w:r>
          </w:p>
        </w:tc>
        <w:tc>
          <w:tcPr>
            <w:tcW w:w="2451" w:type="dxa"/>
            <w:tcBorders>
              <w:top w:val="nil"/>
            </w:tcBorders>
          </w:tcPr>
          <w:p w:rsidR="00000000" w:rsidRDefault="00000000">
            <w:pPr>
              <w:pStyle w:val="BodyText"/>
              <w:ind w:right="1134"/>
              <w:jc w:val="right"/>
              <w:rPr>
                <w:sz w:val="22"/>
              </w:rPr>
            </w:pPr>
            <w:r>
              <w:rPr>
                <w:sz w:val="22"/>
              </w:rPr>
              <w:t>128.303</w:t>
            </w:r>
          </w:p>
        </w:tc>
      </w:tr>
    </w:tbl>
    <w:p w:rsidR="00000000" w:rsidRDefault="00000000">
      <w:pPr>
        <w:pStyle w:val="BodyText"/>
        <w:rPr>
          <w:sz w:val="22"/>
        </w:rPr>
      </w:pPr>
      <w:r>
        <w:rPr>
          <w:i/>
          <w:sz w:val="22"/>
          <w:u w:val="single"/>
        </w:rPr>
        <w:t>Source</w:t>
      </w:r>
      <w:r>
        <w:rPr>
          <w:i/>
          <w:sz w:val="22"/>
        </w:rPr>
        <w:t xml:space="preserve"> :</w:t>
      </w:r>
      <w:r>
        <w:rPr>
          <w:sz w:val="22"/>
        </w:rPr>
        <w:t xml:space="preserve"> Enquête agricole superficie production (EASP) 1990</w:t>
      </w:r>
    </w:p>
    <w:p w:rsidR="00000000" w:rsidRDefault="00000000">
      <w:pPr>
        <w:pStyle w:val="BodyText"/>
        <w:rPr>
          <w:sz w:val="22"/>
        </w:rPr>
      </w:pPr>
      <w:r>
        <w:rPr>
          <w:sz w:val="22"/>
        </w:rPr>
        <w:t>L’accès à la terre en qualité et en quantité suffisante est nécessaire pour une productivité optimale. Au Congo, la femme peut accéder à la terre par :</w:t>
      </w:r>
    </w:p>
    <w:p w:rsidR="00000000" w:rsidRDefault="00000000">
      <w:pPr>
        <w:pStyle w:val="BodyText"/>
        <w:numPr>
          <w:ilvl w:val="0"/>
          <w:numId w:val="55"/>
        </w:numPr>
        <w:rPr>
          <w:sz w:val="22"/>
        </w:rPr>
      </w:pPr>
      <w:r>
        <w:rPr>
          <w:sz w:val="22"/>
        </w:rPr>
        <w:t>la filiation matrilinéaire ou patrilinéaire : le chef de lignage, en général un homme, décide de l’attribution des terres ;</w:t>
      </w:r>
    </w:p>
    <w:p w:rsidR="00000000" w:rsidRDefault="00000000">
      <w:pPr>
        <w:pStyle w:val="BodyText"/>
        <w:numPr>
          <w:ilvl w:val="0"/>
          <w:numId w:val="55"/>
        </w:numPr>
        <w:rPr>
          <w:sz w:val="22"/>
        </w:rPr>
      </w:pPr>
      <w:r>
        <w:rPr>
          <w:sz w:val="22"/>
        </w:rPr>
        <w:t>les liens de mariage : le chef de lignage suite à la demande du mari attribue des terres à l’épouse ;</w:t>
      </w:r>
    </w:p>
    <w:p w:rsidR="00000000" w:rsidRDefault="00000000">
      <w:pPr>
        <w:pStyle w:val="BodyText"/>
        <w:numPr>
          <w:ilvl w:val="0"/>
          <w:numId w:val="55"/>
        </w:numPr>
        <w:rPr>
          <w:sz w:val="22"/>
        </w:rPr>
      </w:pPr>
      <w:r>
        <w:rPr>
          <w:sz w:val="22"/>
        </w:rPr>
        <w:t>la location : moyennant une rente foncière qui varie selon la nature de la terre (2.000 fcfa et plus le lopin de terre de 0,25 à 0,50 ha)</w:t>
      </w:r>
      <w:r>
        <w:rPr>
          <w:rStyle w:val="FootnoteReference"/>
          <w:sz w:val="22"/>
        </w:rPr>
        <w:footnoteReference w:id="18"/>
      </w:r>
      <w:r>
        <w:rPr>
          <w:sz w:val="22"/>
        </w:rPr>
        <w:t> ;</w:t>
      </w:r>
    </w:p>
    <w:p w:rsidR="00000000" w:rsidRDefault="00000000">
      <w:pPr>
        <w:pStyle w:val="BodyText"/>
        <w:numPr>
          <w:ilvl w:val="0"/>
          <w:numId w:val="55"/>
        </w:numPr>
        <w:rPr>
          <w:sz w:val="22"/>
        </w:rPr>
      </w:pPr>
      <w:r>
        <w:rPr>
          <w:sz w:val="22"/>
        </w:rPr>
        <w:t>l’achat : il s’agit d’une modalité relativement récente et, peu de femmes utilisent encore cette forme d’acquisition.</w:t>
      </w:r>
    </w:p>
    <w:p w:rsidR="00000000" w:rsidRDefault="00000000">
      <w:pPr>
        <w:pStyle w:val="BodyText"/>
        <w:rPr>
          <w:sz w:val="22"/>
        </w:rPr>
      </w:pPr>
    </w:p>
    <w:p w:rsidR="00000000" w:rsidRDefault="00000000">
      <w:pPr>
        <w:pStyle w:val="BodyText"/>
        <w:rPr>
          <w:sz w:val="22"/>
        </w:rPr>
      </w:pPr>
      <w:r>
        <w:rPr>
          <w:sz w:val="22"/>
        </w:rPr>
        <w:t>Ainsi, si la femme n’est pas chef de lignage, elle doit se référer à un homme pour accéder à la terre. Mais, même là, la pression foncière fait que le chef de lignage s’arroge les meilleures terres, laissant aux autres celles de moins bonne qualité.</w:t>
      </w:r>
    </w:p>
    <w:p w:rsidR="00000000" w:rsidRDefault="00000000">
      <w:pPr>
        <w:pStyle w:val="BodyText"/>
        <w:spacing w:line="120" w:lineRule="exact"/>
        <w:rPr>
          <w:sz w:val="10"/>
        </w:rPr>
      </w:pPr>
    </w:p>
    <w:p w:rsidR="00000000" w:rsidRDefault="00000000">
      <w:pPr>
        <w:pStyle w:val="BodyText"/>
        <w:rPr>
          <w:b/>
          <w:sz w:val="22"/>
        </w:rPr>
      </w:pPr>
      <w:r>
        <w:rPr>
          <w:b/>
          <w:sz w:val="22"/>
        </w:rPr>
        <w:t xml:space="preserve">B - </w:t>
      </w:r>
      <w:r>
        <w:rPr>
          <w:b/>
          <w:sz w:val="22"/>
          <w:u w:val="single"/>
        </w:rPr>
        <w:t>Accès aux services de crédit</w:t>
      </w:r>
      <w:r>
        <w:rPr>
          <w:b/>
          <w:sz w:val="22"/>
        </w:rPr>
        <w:t> :</w:t>
      </w:r>
    </w:p>
    <w:p w:rsidR="00000000" w:rsidRDefault="00000000">
      <w:pPr>
        <w:pStyle w:val="BodyText"/>
        <w:rPr>
          <w:sz w:val="22"/>
        </w:rPr>
      </w:pPr>
    </w:p>
    <w:p w:rsidR="00000000" w:rsidRDefault="00000000">
      <w:pPr>
        <w:pStyle w:val="BodyText"/>
        <w:rPr>
          <w:sz w:val="22"/>
        </w:rPr>
      </w:pPr>
      <w:r>
        <w:rPr>
          <w:sz w:val="22"/>
        </w:rPr>
        <w:t>Le secteur bancaire classique (Banques commerciales ou de développement) est peu accessible aux femmes, à cause des contraintes liées aux conditions d’octroi des crédits. C’est pourquoi d’autres formes d’épargne et de crédit ont été créées, pour être plus accessibles aux couches les plus démunies. Ce sont les caisses féminines d’épargne et de crédit mutuel (CFECM).</w:t>
      </w:r>
    </w:p>
    <w:p w:rsidR="00000000" w:rsidRDefault="00000000">
      <w:pPr>
        <w:pStyle w:val="BodyText"/>
        <w:rPr>
          <w:sz w:val="22"/>
        </w:rPr>
      </w:pPr>
    </w:p>
    <w:p w:rsidR="00000000" w:rsidRDefault="00000000">
      <w:pPr>
        <w:pStyle w:val="BodyText"/>
        <w:rPr>
          <w:sz w:val="22"/>
        </w:rPr>
      </w:pPr>
      <w:r>
        <w:rPr>
          <w:sz w:val="22"/>
        </w:rPr>
        <w:t>Financé par le Programme des Nations Unies pour le Développement (PNUD) en 1992, dans le cadre du projet PRC/90/002 intitulé « Système de crédit pour les femmes du secteur informel », les CFCM pilotes ont pour vocation d’aider les femmes micro-entrepreneurs en zone urbaine et péri-urbaine, à mobiliser leur épargne et accéder au crédit. Il s’agit d’une action ciblée envers les femmes qui d’habitude font appel à des modes informels d’épargne (tontines, ristournes…).</w:t>
      </w:r>
    </w:p>
    <w:p w:rsidR="00000000" w:rsidRDefault="00000000">
      <w:pPr>
        <w:pStyle w:val="BodyText"/>
        <w:rPr>
          <w:sz w:val="22"/>
        </w:rPr>
      </w:pPr>
    </w:p>
    <w:p w:rsidR="00000000" w:rsidRDefault="00000000">
      <w:pPr>
        <w:pStyle w:val="BodyText"/>
        <w:rPr>
          <w:sz w:val="22"/>
        </w:rPr>
      </w:pPr>
      <w:r>
        <w:rPr>
          <w:sz w:val="22"/>
        </w:rPr>
        <w:t>Les résultats satisfaisants (cf tableau n° 73), obtenus par ces caisses (taux de remboursement des crédits de 100%) durant les années 1994-1996, ont suscité l’intérêt des femmes des autres localités. A cet effet, plusieurs caisses ont été créées à Brazzaville et à l’intérieur du pays depuis 1999. Les caisses ont obtenu un appui financier et technique du projet PRC/98-08 « Promotion de l’équité entre les femmes et les hommes » en 2000-2001. En 2000-2001, des financements sur la provision aux investissements diversifiés (PID) ont été alloués aux femmes par le Gouvernement (1 milliard).</w:t>
      </w:r>
    </w:p>
    <w:p w:rsidR="00000000" w:rsidRDefault="00000000">
      <w:pPr>
        <w:pStyle w:val="BodyText"/>
        <w:rPr>
          <w:sz w:val="22"/>
        </w:rPr>
      </w:pPr>
    </w:p>
    <w:p w:rsidR="00000000" w:rsidRDefault="00000000">
      <w:pPr>
        <w:pStyle w:val="BodyText"/>
        <w:rPr>
          <w:sz w:val="22"/>
        </w:rPr>
      </w:pPr>
      <w:r>
        <w:rPr>
          <w:sz w:val="22"/>
        </w:rPr>
        <w:t>Cependant, l’on note la méfiance des femmes envers les institutions d’épargne et de crédit. Ceci est le résultat de plusieurs expériences malheureuses (Caisse Nationale d’Epargne, Coopérative d’Epargne et de Crédit en faillite). Un travail de longue haleine est nécessaire pour redonner confiance aux femmes, surtout les femmes rurales.</w:t>
      </w:r>
    </w:p>
    <w:p w:rsidR="00000000" w:rsidRDefault="00000000">
      <w:pPr>
        <w:pStyle w:val="BodyText"/>
        <w:rPr>
          <w:sz w:val="22"/>
        </w:rPr>
      </w:pPr>
    </w:p>
    <w:p w:rsidR="00000000" w:rsidRDefault="00000000">
      <w:pPr>
        <w:pStyle w:val="BodyText"/>
        <w:rPr>
          <w:b/>
          <w:sz w:val="22"/>
        </w:rPr>
      </w:pPr>
      <w:r>
        <w:rPr>
          <w:b/>
          <w:sz w:val="22"/>
          <w:u w:val="single"/>
        </w:rPr>
        <w:br w:type="page"/>
        <w:t>Tableau n° 78</w:t>
      </w:r>
      <w:r>
        <w:rPr>
          <w:b/>
          <w:sz w:val="22"/>
        </w:rPr>
        <w:t> : Crédits octroyés par la Caisse féminine nationale d’épargne et de crédit mutuel</w:t>
      </w:r>
    </w:p>
    <w:p w:rsidR="00000000" w:rsidRDefault="00000000">
      <w:pPr>
        <w:pStyle w:val="BodyText"/>
        <w:rPr>
          <w:sz w:val="22"/>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24"/>
        <w:gridCol w:w="1711"/>
        <w:gridCol w:w="1712"/>
        <w:gridCol w:w="1712"/>
        <w:gridCol w:w="1712"/>
        <w:gridCol w:w="1712"/>
      </w:tblGrid>
      <w:tr w:rsidR="00000000">
        <w:tblPrEx>
          <w:tblCellMar>
            <w:top w:w="0" w:type="dxa"/>
            <w:bottom w:w="0" w:type="dxa"/>
          </w:tblCellMar>
        </w:tblPrEx>
        <w:tc>
          <w:tcPr>
            <w:tcW w:w="1224" w:type="dxa"/>
            <w:tcBorders>
              <w:bottom w:val="nil"/>
            </w:tcBorders>
          </w:tcPr>
          <w:p w:rsidR="00000000" w:rsidRDefault="00000000">
            <w:pPr>
              <w:pStyle w:val="BodyText"/>
              <w:jc w:val="center"/>
              <w:rPr>
                <w:sz w:val="22"/>
              </w:rPr>
            </w:pPr>
            <w:r>
              <w:rPr>
                <w:sz w:val="22"/>
              </w:rPr>
              <w:t>Année</w:t>
            </w:r>
          </w:p>
        </w:tc>
        <w:tc>
          <w:tcPr>
            <w:tcW w:w="1711" w:type="dxa"/>
            <w:tcBorders>
              <w:bottom w:val="nil"/>
            </w:tcBorders>
          </w:tcPr>
          <w:p w:rsidR="00000000" w:rsidRDefault="00000000">
            <w:pPr>
              <w:pStyle w:val="BodyText"/>
              <w:jc w:val="center"/>
              <w:rPr>
                <w:sz w:val="22"/>
              </w:rPr>
            </w:pPr>
            <w:r>
              <w:rPr>
                <w:sz w:val="22"/>
              </w:rPr>
              <w:t>Fonds de crédits</w:t>
            </w:r>
          </w:p>
        </w:tc>
        <w:tc>
          <w:tcPr>
            <w:tcW w:w="1712" w:type="dxa"/>
            <w:tcBorders>
              <w:bottom w:val="nil"/>
            </w:tcBorders>
          </w:tcPr>
          <w:p w:rsidR="00000000" w:rsidRDefault="00000000">
            <w:pPr>
              <w:pStyle w:val="BodyText"/>
              <w:jc w:val="center"/>
              <w:rPr>
                <w:sz w:val="22"/>
              </w:rPr>
            </w:pPr>
            <w:r>
              <w:rPr>
                <w:sz w:val="22"/>
              </w:rPr>
              <w:t>Origine des fonds</w:t>
            </w:r>
          </w:p>
        </w:tc>
        <w:tc>
          <w:tcPr>
            <w:tcW w:w="1712" w:type="dxa"/>
            <w:tcBorders>
              <w:bottom w:val="nil"/>
            </w:tcBorders>
          </w:tcPr>
          <w:p w:rsidR="00000000" w:rsidRDefault="00000000">
            <w:pPr>
              <w:pStyle w:val="BodyText"/>
              <w:jc w:val="center"/>
              <w:rPr>
                <w:sz w:val="22"/>
              </w:rPr>
            </w:pPr>
            <w:r>
              <w:rPr>
                <w:sz w:val="22"/>
              </w:rPr>
              <w:t>Nombre de femmes bénéficiaires</w:t>
            </w:r>
          </w:p>
        </w:tc>
        <w:tc>
          <w:tcPr>
            <w:tcW w:w="1712" w:type="dxa"/>
            <w:tcBorders>
              <w:bottom w:val="nil"/>
            </w:tcBorders>
          </w:tcPr>
          <w:p w:rsidR="00000000" w:rsidRDefault="00000000">
            <w:pPr>
              <w:pStyle w:val="BodyText"/>
              <w:jc w:val="center"/>
              <w:rPr>
                <w:sz w:val="22"/>
              </w:rPr>
            </w:pPr>
            <w:r>
              <w:rPr>
                <w:sz w:val="22"/>
              </w:rPr>
              <w:t>Montant total des crédits</w:t>
            </w:r>
          </w:p>
        </w:tc>
        <w:tc>
          <w:tcPr>
            <w:tcW w:w="1712" w:type="dxa"/>
            <w:tcBorders>
              <w:bottom w:val="nil"/>
            </w:tcBorders>
          </w:tcPr>
          <w:p w:rsidR="00000000" w:rsidRDefault="00000000">
            <w:pPr>
              <w:pStyle w:val="BodyText"/>
              <w:jc w:val="center"/>
              <w:rPr>
                <w:sz w:val="22"/>
              </w:rPr>
            </w:pPr>
            <w:r>
              <w:rPr>
                <w:sz w:val="22"/>
              </w:rPr>
              <w:t>% de remboursement</w:t>
            </w:r>
          </w:p>
        </w:tc>
      </w:tr>
      <w:tr w:rsidR="00000000">
        <w:tblPrEx>
          <w:tblCellMar>
            <w:top w:w="0" w:type="dxa"/>
            <w:bottom w:w="0" w:type="dxa"/>
          </w:tblCellMar>
        </w:tblPrEx>
        <w:tc>
          <w:tcPr>
            <w:tcW w:w="1224" w:type="dxa"/>
            <w:tcBorders>
              <w:bottom w:val="nil"/>
            </w:tcBorders>
          </w:tcPr>
          <w:p w:rsidR="00000000" w:rsidRDefault="00000000">
            <w:pPr>
              <w:pStyle w:val="BodyText"/>
              <w:rPr>
                <w:sz w:val="22"/>
              </w:rPr>
            </w:pPr>
            <w:r>
              <w:rPr>
                <w:sz w:val="22"/>
              </w:rPr>
              <w:t>1993</w:t>
            </w:r>
          </w:p>
        </w:tc>
        <w:tc>
          <w:tcPr>
            <w:tcW w:w="1711" w:type="dxa"/>
            <w:tcBorders>
              <w:bottom w:val="nil"/>
            </w:tcBorders>
          </w:tcPr>
          <w:p w:rsidR="00000000" w:rsidRDefault="00000000">
            <w:pPr>
              <w:pStyle w:val="BodyText"/>
              <w:ind w:right="567"/>
              <w:jc w:val="right"/>
              <w:rPr>
                <w:sz w:val="22"/>
              </w:rPr>
            </w:pPr>
            <w:r>
              <w:rPr>
                <w:sz w:val="22"/>
              </w:rPr>
              <w:t>5.400.000</w:t>
            </w:r>
          </w:p>
        </w:tc>
        <w:tc>
          <w:tcPr>
            <w:tcW w:w="1712" w:type="dxa"/>
            <w:tcBorders>
              <w:bottom w:val="nil"/>
            </w:tcBorders>
          </w:tcPr>
          <w:p w:rsidR="00000000" w:rsidRDefault="00000000">
            <w:pPr>
              <w:pStyle w:val="BodyText"/>
              <w:jc w:val="center"/>
              <w:rPr>
                <w:sz w:val="22"/>
              </w:rPr>
            </w:pPr>
            <w:r>
              <w:rPr>
                <w:sz w:val="22"/>
              </w:rPr>
              <w:t>PNUD</w:t>
            </w:r>
          </w:p>
        </w:tc>
        <w:tc>
          <w:tcPr>
            <w:tcW w:w="1712" w:type="dxa"/>
            <w:tcBorders>
              <w:bottom w:val="nil"/>
            </w:tcBorders>
          </w:tcPr>
          <w:p w:rsidR="00000000" w:rsidRDefault="00000000">
            <w:pPr>
              <w:pStyle w:val="BodyText"/>
              <w:ind w:right="567"/>
              <w:jc w:val="right"/>
              <w:rPr>
                <w:sz w:val="22"/>
                <w:lang w:val="nl-NL"/>
              </w:rPr>
            </w:pPr>
            <w:r>
              <w:rPr>
                <w:sz w:val="22"/>
                <w:lang w:val="nl-NL"/>
              </w:rPr>
              <w:t>63</w:t>
            </w:r>
          </w:p>
        </w:tc>
        <w:tc>
          <w:tcPr>
            <w:tcW w:w="1712" w:type="dxa"/>
            <w:tcBorders>
              <w:bottom w:val="nil"/>
            </w:tcBorders>
          </w:tcPr>
          <w:p w:rsidR="00000000" w:rsidRDefault="00000000">
            <w:pPr>
              <w:pStyle w:val="BodyText"/>
              <w:jc w:val="right"/>
              <w:rPr>
                <w:sz w:val="22"/>
                <w:lang w:val="nl-NL"/>
              </w:rPr>
            </w:pPr>
            <w:r>
              <w:rPr>
                <w:sz w:val="22"/>
                <w:lang w:val="nl-NL"/>
              </w:rPr>
              <w:t>5.400.000</w:t>
            </w:r>
          </w:p>
        </w:tc>
        <w:tc>
          <w:tcPr>
            <w:tcW w:w="1712" w:type="dxa"/>
            <w:tcBorders>
              <w:bottom w:val="nil"/>
            </w:tcBorders>
          </w:tcPr>
          <w:p w:rsidR="00000000" w:rsidRDefault="00000000">
            <w:pPr>
              <w:pStyle w:val="BodyText"/>
              <w:ind w:right="851"/>
              <w:jc w:val="right"/>
              <w:rPr>
                <w:sz w:val="22"/>
                <w:lang w:val="nl-NL"/>
              </w:rPr>
            </w:pPr>
            <w:r>
              <w:rPr>
                <w:sz w:val="22"/>
                <w:lang w:val="nl-NL"/>
              </w:rPr>
              <w:t>100%</w:t>
            </w:r>
          </w:p>
        </w:tc>
      </w:tr>
      <w:tr w:rsidR="00000000">
        <w:tblPrEx>
          <w:tblCellMar>
            <w:top w:w="0" w:type="dxa"/>
            <w:bottom w:w="0" w:type="dxa"/>
          </w:tblCellMar>
        </w:tblPrEx>
        <w:tc>
          <w:tcPr>
            <w:tcW w:w="1224" w:type="dxa"/>
            <w:tcBorders>
              <w:top w:val="nil"/>
              <w:bottom w:val="nil"/>
            </w:tcBorders>
          </w:tcPr>
          <w:p w:rsidR="00000000" w:rsidRDefault="00000000">
            <w:pPr>
              <w:pStyle w:val="BodyText"/>
              <w:rPr>
                <w:sz w:val="22"/>
                <w:lang w:val="nl-NL"/>
              </w:rPr>
            </w:pPr>
            <w:r>
              <w:rPr>
                <w:sz w:val="22"/>
                <w:lang w:val="nl-NL"/>
              </w:rPr>
              <w:t>1994</w:t>
            </w:r>
          </w:p>
        </w:tc>
        <w:tc>
          <w:tcPr>
            <w:tcW w:w="1711" w:type="dxa"/>
            <w:tcBorders>
              <w:top w:val="nil"/>
              <w:bottom w:val="nil"/>
            </w:tcBorders>
          </w:tcPr>
          <w:p w:rsidR="00000000" w:rsidRDefault="00000000">
            <w:pPr>
              <w:pStyle w:val="BodyText"/>
              <w:ind w:right="567"/>
              <w:jc w:val="right"/>
              <w:rPr>
                <w:sz w:val="22"/>
                <w:lang w:val="nl-NL"/>
              </w:rPr>
            </w:pPr>
            <w:r>
              <w:rPr>
                <w:sz w:val="22"/>
                <w:lang w:val="nl-NL"/>
              </w:rPr>
              <w:t>37.000.000</w:t>
            </w:r>
          </w:p>
        </w:tc>
        <w:tc>
          <w:tcPr>
            <w:tcW w:w="1712" w:type="dxa"/>
            <w:tcBorders>
              <w:top w:val="nil"/>
              <w:bottom w:val="nil"/>
            </w:tcBorders>
          </w:tcPr>
          <w:p w:rsidR="00000000" w:rsidRDefault="00000000">
            <w:pPr>
              <w:pStyle w:val="BodyText"/>
              <w:jc w:val="center"/>
              <w:rPr>
                <w:sz w:val="22"/>
                <w:lang w:val="nl-NL"/>
              </w:rPr>
            </w:pPr>
            <w:r>
              <w:rPr>
                <w:sz w:val="22"/>
                <w:lang w:val="nl-NL"/>
              </w:rPr>
              <w:t>PNUD</w:t>
            </w:r>
          </w:p>
        </w:tc>
        <w:tc>
          <w:tcPr>
            <w:tcW w:w="1712" w:type="dxa"/>
            <w:tcBorders>
              <w:top w:val="nil"/>
              <w:bottom w:val="nil"/>
            </w:tcBorders>
          </w:tcPr>
          <w:p w:rsidR="00000000" w:rsidRDefault="00000000">
            <w:pPr>
              <w:pStyle w:val="BodyText"/>
              <w:ind w:right="567"/>
              <w:jc w:val="right"/>
              <w:rPr>
                <w:sz w:val="22"/>
                <w:lang w:val="nl-NL"/>
              </w:rPr>
            </w:pPr>
            <w:r>
              <w:rPr>
                <w:sz w:val="22"/>
                <w:lang w:val="nl-NL"/>
              </w:rPr>
              <w:t>163</w:t>
            </w:r>
          </w:p>
        </w:tc>
        <w:tc>
          <w:tcPr>
            <w:tcW w:w="1712" w:type="dxa"/>
            <w:tcBorders>
              <w:top w:val="nil"/>
              <w:bottom w:val="nil"/>
            </w:tcBorders>
          </w:tcPr>
          <w:p w:rsidR="00000000" w:rsidRDefault="00000000">
            <w:pPr>
              <w:pStyle w:val="BodyText"/>
              <w:jc w:val="right"/>
              <w:rPr>
                <w:sz w:val="22"/>
                <w:lang w:val="nl-NL"/>
              </w:rPr>
            </w:pPr>
            <w:r>
              <w:rPr>
                <w:sz w:val="22"/>
                <w:lang w:val="nl-NL"/>
              </w:rPr>
              <w:t>28.260.000</w:t>
            </w:r>
          </w:p>
        </w:tc>
        <w:tc>
          <w:tcPr>
            <w:tcW w:w="1712" w:type="dxa"/>
            <w:tcBorders>
              <w:top w:val="nil"/>
              <w:bottom w:val="nil"/>
            </w:tcBorders>
          </w:tcPr>
          <w:p w:rsidR="00000000" w:rsidRDefault="00000000">
            <w:pPr>
              <w:pStyle w:val="BodyText"/>
              <w:ind w:right="851"/>
              <w:jc w:val="right"/>
              <w:rPr>
                <w:sz w:val="22"/>
                <w:lang w:val="nl-NL"/>
              </w:rPr>
            </w:pPr>
            <w:r>
              <w:rPr>
                <w:sz w:val="22"/>
                <w:lang w:val="nl-NL"/>
              </w:rPr>
              <w:t>97%</w:t>
            </w:r>
          </w:p>
        </w:tc>
      </w:tr>
      <w:tr w:rsidR="00000000">
        <w:tblPrEx>
          <w:tblCellMar>
            <w:top w:w="0" w:type="dxa"/>
            <w:bottom w:w="0" w:type="dxa"/>
          </w:tblCellMar>
        </w:tblPrEx>
        <w:tc>
          <w:tcPr>
            <w:tcW w:w="1224" w:type="dxa"/>
            <w:tcBorders>
              <w:top w:val="nil"/>
              <w:bottom w:val="nil"/>
            </w:tcBorders>
          </w:tcPr>
          <w:p w:rsidR="00000000" w:rsidRDefault="00000000">
            <w:pPr>
              <w:pStyle w:val="BodyText"/>
              <w:rPr>
                <w:sz w:val="22"/>
                <w:lang w:val="nl-NL"/>
              </w:rPr>
            </w:pPr>
            <w:r>
              <w:rPr>
                <w:sz w:val="22"/>
                <w:lang w:val="nl-NL"/>
              </w:rPr>
              <w:t>1995</w:t>
            </w:r>
          </w:p>
        </w:tc>
        <w:tc>
          <w:tcPr>
            <w:tcW w:w="1711" w:type="dxa"/>
            <w:tcBorders>
              <w:top w:val="nil"/>
              <w:bottom w:val="nil"/>
            </w:tcBorders>
          </w:tcPr>
          <w:p w:rsidR="00000000" w:rsidRDefault="00000000">
            <w:pPr>
              <w:pStyle w:val="BodyText"/>
              <w:jc w:val="center"/>
              <w:rPr>
                <w:sz w:val="22"/>
                <w:lang w:val="nl-NL"/>
              </w:rPr>
            </w:pPr>
            <w:r>
              <w:rPr>
                <w:sz w:val="22"/>
                <w:lang w:val="nl-NL"/>
              </w:rPr>
              <w:t>-</w:t>
            </w:r>
          </w:p>
        </w:tc>
        <w:tc>
          <w:tcPr>
            <w:tcW w:w="1712" w:type="dxa"/>
            <w:tcBorders>
              <w:top w:val="nil"/>
              <w:bottom w:val="nil"/>
            </w:tcBorders>
          </w:tcPr>
          <w:p w:rsidR="00000000" w:rsidRDefault="00000000">
            <w:pPr>
              <w:pStyle w:val="BodyText"/>
              <w:jc w:val="center"/>
              <w:rPr>
                <w:sz w:val="22"/>
                <w:lang w:val="nl-NL"/>
              </w:rPr>
            </w:pPr>
            <w:r>
              <w:rPr>
                <w:sz w:val="22"/>
                <w:lang w:val="nl-NL"/>
              </w:rPr>
              <w:t>PNUD</w:t>
            </w:r>
          </w:p>
        </w:tc>
        <w:tc>
          <w:tcPr>
            <w:tcW w:w="1712" w:type="dxa"/>
            <w:tcBorders>
              <w:top w:val="nil"/>
              <w:bottom w:val="nil"/>
            </w:tcBorders>
          </w:tcPr>
          <w:p w:rsidR="00000000" w:rsidRDefault="00000000">
            <w:pPr>
              <w:pStyle w:val="BodyText"/>
              <w:ind w:right="567"/>
              <w:jc w:val="right"/>
              <w:rPr>
                <w:sz w:val="22"/>
                <w:lang w:val="nl-NL"/>
              </w:rPr>
            </w:pPr>
            <w:r>
              <w:rPr>
                <w:sz w:val="22"/>
                <w:lang w:val="nl-NL"/>
              </w:rPr>
              <w:t>15</w:t>
            </w:r>
          </w:p>
        </w:tc>
        <w:tc>
          <w:tcPr>
            <w:tcW w:w="1712" w:type="dxa"/>
            <w:tcBorders>
              <w:top w:val="nil"/>
              <w:bottom w:val="nil"/>
            </w:tcBorders>
          </w:tcPr>
          <w:p w:rsidR="00000000" w:rsidRDefault="00000000">
            <w:pPr>
              <w:pStyle w:val="BodyText"/>
              <w:jc w:val="right"/>
              <w:rPr>
                <w:sz w:val="22"/>
                <w:lang w:val="nl-NL"/>
              </w:rPr>
            </w:pPr>
            <w:r>
              <w:rPr>
                <w:sz w:val="22"/>
                <w:lang w:val="nl-NL"/>
              </w:rPr>
              <w:t>3.570.000</w:t>
            </w:r>
          </w:p>
        </w:tc>
        <w:tc>
          <w:tcPr>
            <w:tcW w:w="1712" w:type="dxa"/>
            <w:tcBorders>
              <w:top w:val="nil"/>
              <w:bottom w:val="nil"/>
            </w:tcBorders>
          </w:tcPr>
          <w:p w:rsidR="00000000" w:rsidRDefault="00000000">
            <w:pPr>
              <w:pStyle w:val="BodyText"/>
              <w:ind w:right="851"/>
              <w:jc w:val="right"/>
              <w:rPr>
                <w:sz w:val="22"/>
                <w:lang w:val="nl-NL"/>
              </w:rPr>
            </w:pPr>
            <w:r>
              <w:rPr>
                <w:sz w:val="22"/>
                <w:lang w:val="nl-NL"/>
              </w:rPr>
              <w:t>100%</w:t>
            </w:r>
          </w:p>
        </w:tc>
      </w:tr>
      <w:tr w:rsidR="00000000">
        <w:tblPrEx>
          <w:tblCellMar>
            <w:top w:w="0" w:type="dxa"/>
            <w:bottom w:w="0" w:type="dxa"/>
          </w:tblCellMar>
        </w:tblPrEx>
        <w:tc>
          <w:tcPr>
            <w:tcW w:w="1224" w:type="dxa"/>
            <w:tcBorders>
              <w:top w:val="nil"/>
            </w:tcBorders>
          </w:tcPr>
          <w:p w:rsidR="00000000" w:rsidRDefault="00000000">
            <w:pPr>
              <w:pStyle w:val="BodyText"/>
              <w:rPr>
                <w:sz w:val="22"/>
                <w:lang w:val="nl-NL"/>
              </w:rPr>
            </w:pPr>
            <w:r>
              <w:rPr>
                <w:sz w:val="22"/>
                <w:lang w:val="nl-NL"/>
              </w:rPr>
              <w:t>1996</w:t>
            </w:r>
          </w:p>
        </w:tc>
        <w:tc>
          <w:tcPr>
            <w:tcW w:w="1711" w:type="dxa"/>
            <w:tcBorders>
              <w:top w:val="nil"/>
            </w:tcBorders>
          </w:tcPr>
          <w:p w:rsidR="00000000" w:rsidRDefault="00000000">
            <w:pPr>
              <w:pStyle w:val="BodyText"/>
              <w:jc w:val="center"/>
              <w:rPr>
                <w:sz w:val="22"/>
                <w:lang w:val="nl-NL"/>
              </w:rPr>
            </w:pPr>
            <w:r>
              <w:rPr>
                <w:sz w:val="22"/>
                <w:lang w:val="nl-NL"/>
              </w:rPr>
              <w:t>-</w:t>
            </w:r>
          </w:p>
        </w:tc>
        <w:tc>
          <w:tcPr>
            <w:tcW w:w="1712" w:type="dxa"/>
            <w:tcBorders>
              <w:top w:val="nil"/>
            </w:tcBorders>
          </w:tcPr>
          <w:p w:rsidR="00000000" w:rsidRDefault="00000000">
            <w:pPr>
              <w:pStyle w:val="BodyText"/>
              <w:jc w:val="center"/>
              <w:rPr>
                <w:sz w:val="22"/>
                <w:lang w:val="nl-NL"/>
              </w:rPr>
            </w:pPr>
            <w:r>
              <w:rPr>
                <w:sz w:val="22"/>
                <w:lang w:val="nl-NL"/>
              </w:rPr>
              <w:t>PNUD</w:t>
            </w:r>
          </w:p>
        </w:tc>
        <w:tc>
          <w:tcPr>
            <w:tcW w:w="1712" w:type="dxa"/>
            <w:tcBorders>
              <w:top w:val="nil"/>
            </w:tcBorders>
          </w:tcPr>
          <w:p w:rsidR="00000000" w:rsidRDefault="00000000">
            <w:pPr>
              <w:pStyle w:val="BodyText"/>
              <w:ind w:right="567"/>
              <w:jc w:val="right"/>
              <w:rPr>
                <w:sz w:val="22"/>
              </w:rPr>
            </w:pPr>
            <w:r>
              <w:rPr>
                <w:sz w:val="22"/>
              </w:rPr>
              <w:t>109</w:t>
            </w:r>
          </w:p>
        </w:tc>
        <w:tc>
          <w:tcPr>
            <w:tcW w:w="1712" w:type="dxa"/>
            <w:tcBorders>
              <w:top w:val="nil"/>
            </w:tcBorders>
          </w:tcPr>
          <w:p w:rsidR="00000000" w:rsidRDefault="00000000">
            <w:pPr>
              <w:pStyle w:val="BodyText"/>
              <w:jc w:val="right"/>
              <w:rPr>
                <w:sz w:val="22"/>
              </w:rPr>
            </w:pPr>
            <w:r>
              <w:rPr>
                <w:sz w:val="22"/>
              </w:rPr>
              <w:t>28.200.000</w:t>
            </w:r>
          </w:p>
        </w:tc>
        <w:tc>
          <w:tcPr>
            <w:tcW w:w="1712" w:type="dxa"/>
            <w:tcBorders>
              <w:top w:val="nil"/>
            </w:tcBorders>
          </w:tcPr>
          <w:p w:rsidR="00000000" w:rsidRDefault="00000000">
            <w:pPr>
              <w:pStyle w:val="BodyText"/>
              <w:ind w:right="851"/>
              <w:jc w:val="center"/>
              <w:rPr>
                <w:sz w:val="22"/>
              </w:rPr>
            </w:pPr>
            <w:r>
              <w:rPr>
                <w:sz w:val="22"/>
              </w:rPr>
              <w:t xml:space="preserve">  -</w:t>
            </w:r>
          </w:p>
        </w:tc>
      </w:tr>
    </w:tbl>
    <w:p w:rsidR="00000000" w:rsidRDefault="00000000">
      <w:pPr>
        <w:pStyle w:val="BodyText"/>
        <w:spacing w:line="120" w:lineRule="exact"/>
        <w:rPr>
          <w:sz w:val="10"/>
        </w:rPr>
      </w:pPr>
    </w:p>
    <w:p w:rsidR="00000000" w:rsidRDefault="00000000">
      <w:pPr>
        <w:pStyle w:val="BodyText"/>
        <w:rPr>
          <w:sz w:val="22"/>
        </w:rPr>
      </w:pPr>
      <w:r>
        <w:rPr>
          <w:i/>
          <w:sz w:val="22"/>
          <w:u w:val="single"/>
        </w:rPr>
        <w:t>Source</w:t>
      </w:r>
      <w:r>
        <w:rPr>
          <w:i/>
          <w:sz w:val="22"/>
        </w:rPr>
        <w:t xml:space="preserve"> :</w:t>
      </w:r>
      <w:r>
        <w:rPr>
          <w:sz w:val="22"/>
        </w:rPr>
        <w:t xml:space="preserve"> rapport synthèse activité caisse féminine nationale d’épargne et de crédit mutuel.</w:t>
      </w:r>
    </w:p>
    <w:p w:rsidR="00000000" w:rsidRDefault="00000000">
      <w:pPr>
        <w:pStyle w:val="BodyText"/>
        <w:rPr>
          <w:sz w:val="22"/>
        </w:rPr>
      </w:pPr>
    </w:p>
    <w:p w:rsidR="00000000" w:rsidRDefault="00000000">
      <w:pPr>
        <w:pStyle w:val="BodyText"/>
        <w:rPr>
          <w:sz w:val="22"/>
        </w:rPr>
      </w:pPr>
    </w:p>
    <w:p w:rsidR="00000000" w:rsidRDefault="00000000">
      <w:pPr>
        <w:pStyle w:val="BodyText"/>
        <w:ind w:left="426" w:hanging="426"/>
        <w:rPr>
          <w:b/>
          <w:sz w:val="22"/>
          <w:u w:val="single"/>
        </w:rPr>
      </w:pPr>
      <w:r>
        <w:rPr>
          <w:b/>
          <w:sz w:val="22"/>
        </w:rPr>
        <w:t xml:space="preserve">XII - </w:t>
      </w:r>
      <w:r>
        <w:rPr>
          <w:b/>
          <w:sz w:val="22"/>
          <w:u w:val="single"/>
        </w:rPr>
        <w:t>Cadre de vie de la femme rurale</w:t>
      </w:r>
      <w:r>
        <w:rPr>
          <w:b/>
          <w:sz w:val="22"/>
        </w:rPr>
        <w:t xml:space="preserve"> : </w:t>
      </w:r>
      <w:r>
        <w:rPr>
          <w:b/>
          <w:sz w:val="22"/>
          <w:u w:val="single"/>
        </w:rPr>
        <w:t>logement, approvisionnement en électricité et en eau, transports et communications.</w:t>
      </w:r>
    </w:p>
    <w:p w:rsidR="00000000" w:rsidRDefault="00000000">
      <w:pPr>
        <w:pStyle w:val="BodyText"/>
        <w:rPr>
          <w:sz w:val="22"/>
        </w:rPr>
      </w:pPr>
    </w:p>
    <w:p w:rsidR="00000000" w:rsidRDefault="00000000">
      <w:pPr>
        <w:pStyle w:val="BodyText"/>
        <w:rPr>
          <w:sz w:val="22"/>
        </w:rPr>
      </w:pPr>
      <w:r>
        <w:rPr>
          <w:sz w:val="22"/>
        </w:rPr>
        <w:t>Le Congo a adopté, en juin 1995, un Programme National d’Actions Environnementales qui sert de cadre de référence des actions sectorielles. La dégradation des écosystèmes forestiers résultant de la demande en bois de chauffe, la dégradation des sols due aux différentes intempéries et les brûlis pour des raisons agricoles sont autant de problèmes environnementaux qui viennent aggraver la situation sanitaire des femmes et des enfants.</w:t>
      </w:r>
    </w:p>
    <w:p w:rsidR="00000000" w:rsidRDefault="00000000">
      <w:pPr>
        <w:pStyle w:val="BodyText"/>
        <w:rPr>
          <w:sz w:val="22"/>
        </w:rPr>
      </w:pPr>
    </w:p>
    <w:p w:rsidR="00000000" w:rsidRDefault="00000000">
      <w:pPr>
        <w:pStyle w:val="BodyText"/>
        <w:rPr>
          <w:sz w:val="22"/>
        </w:rPr>
      </w:pPr>
      <w:r>
        <w:rPr>
          <w:sz w:val="22"/>
        </w:rPr>
        <w:t>La majorité de la population n’a pas accès à l’eau potable et à des conditions minimum d’hygiène et aux sources d’énergie. En milieu rural, les taux d’accès à l’eau potable et aux infrastructures d’assainissement sont respectivement de 8% et 9%. L’habitat est spontané. Les femmes qui ont la charge d’assurer l’hygiène environnementale et sanitaire à leur famille parcourent de longues distances pour avoir de l’eau mais généralement, les points d’eau où elles s’approvisionnent sont pollués et engendrent des maladies diverses.</w:t>
      </w:r>
    </w:p>
    <w:p w:rsidR="00000000" w:rsidRDefault="00000000">
      <w:pPr>
        <w:pStyle w:val="BodyText"/>
        <w:rPr>
          <w:sz w:val="22"/>
        </w:rPr>
      </w:pPr>
    </w:p>
    <w:p w:rsidR="00000000" w:rsidRDefault="00000000">
      <w:pPr>
        <w:pStyle w:val="BodyText"/>
        <w:rPr>
          <w:sz w:val="22"/>
        </w:rPr>
      </w:pPr>
      <w:r>
        <w:rPr>
          <w:sz w:val="22"/>
        </w:rPr>
        <w:t>Le problème des voies de communication, souvent dans un état de vétusté avancée, entraîne la désorganisation des circuits de commercialisation.</w:t>
      </w:r>
    </w:p>
    <w:p w:rsidR="00000000" w:rsidRDefault="00000000">
      <w:pPr>
        <w:pStyle w:val="BodyText"/>
        <w:rPr>
          <w:sz w:val="22"/>
        </w:rPr>
      </w:pPr>
    </w:p>
    <w:p w:rsidR="00000000" w:rsidRDefault="00000000">
      <w:pPr>
        <w:pStyle w:val="BodyText"/>
        <w:rPr>
          <w:sz w:val="22"/>
        </w:rPr>
      </w:pPr>
      <w:r>
        <w:rPr>
          <w:sz w:val="22"/>
        </w:rPr>
        <w:t>Tous ces facteurs entraînent une insécurité alimentaire des ménages ruraux, qui se caractérise par le mauvais état nutritionnel des mères et des enfants.</w:t>
      </w:r>
    </w:p>
    <w:p w:rsidR="00000000" w:rsidRDefault="00000000">
      <w:pPr>
        <w:pStyle w:val="BodyText"/>
        <w:rPr>
          <w:sz w:val="22"/>
        </w:rPr>
      </w:pPr>
    </w:p>
    <w:p w:rsidR="00000000" w:rsidRDefault="00000000">
      <w:pPr>
        <w:pStyle w:val="BodyText"/>
        <w:rPr>
          <w:sz w:val="22"/>
        </w:rPr>
      </w:pPr>
      <w:r>
        <w:rPr>
          <w:sz w:val="22"/>
        </w:rPr>
        <w:t>D’une manière générale la situation de la femme face à l’activité économique comporte des différences nettes. Les femmes des zones rurales travaillent plus que les hommes (55,9% d’emplois occupés par les femmes) tandis qu’en zone urbaine, elles n’ont pas d’accès facile à l’emploi urbain (32,5% des emplois urbains les concernent contre 67,5% pour les hommes)</w:t>
      </w:r>
      <w:r>
        <w:rPr>
          <w:rStyle w:val="FootnoteReference"/>
          <w:sz w:val="22"/>
        </w:rPr>
        <w:footnoteReference w:id="19"/>
      </w:r>
      <w:r>
        <w:rPr>
          <w:sz w:val="22"/>
        </w:rPr>
        <w:t>.</w:t>
      </w:r>
    </w:p>
    <w:p w:rsidR="00000000" w:rsidRDefault="00000000">
      <w:pPr>
        <w:pStyle w:val="BodyText"/>
        <w:rPr>
          <w:sz w:val="22"/>
        </w:rPr>
      </w:pPr>
    </w:p>
    <w:p w:rsidR="00000000" w:rsidRDefault="00000000">
      <w:pPr>
        <w:pStyle w:val="BodyText"/>
        <w:rPr>
          <w:b/>
          <w:sz w:val="22"/>
        </w:rPr>
      </w:pPr>
      <w:r>
        <w:rPr>
          <w:b/>
          <w:sz w:val="22"/>
          <w:u w:val="single"/>
        </w:rPr>
        <w:t>SECTION</w:t>
      </w:r>
      <w:r>
        <w:rPr>
          <w:b/>
          <w:sz w:val="22"/>
        </w:rPr>
        <w:t xml:space="preserve"> II- </w:t>
      </w:r>
      <w:r>
        <w:rPr>
          <w:b/>
          <w:sz w:val="22"/>
          <w:u w:val="single"/>
        </w:rPr>
        <w:t>EXAMEN DES CONTRAINTES</w:t>
      </w:r>
    </w:p>
    <w:p w:rsidR="00000000" w:rsidRDefault="00000000">
      <w:pPr>
        <w:pStyle w:val="BodyText"/>
        <w:rPr>
          <w:b/>
          <w:sz w:val="22"/>
        </w:rPr>
      </w:pPr>
    </w:p>
    <w:p w:rsidR="00000000" w:rsidRDefault="00000000">
      <w:pPr>
        <w:pStyle w:val="BodyText"/>
        <w:rPr>
          <w:sz w:val="22"/>
        </w:rPr>
      </w:pPr>
      <w:r>
        <w:rPr>
          <w:sz w:val="22"/>
        </w:rPr>
        <w:t>L’analyse différentielle selon les genres appliquée aux principaux systèmes de production agricole du pays, réalisée dans le cadre du projet FAO-TCP/PREC/4452 « Appui à la promotion et à l’intégration de la femme au développement rural » ainsi que le rapport d’évaluation de la mise en œuvre des plates-formes de Beijing et de Dakar (1999) ont conduit à dégager plusieurs contraintes limitant la participation des femmes au processus de développement rural.</w:t>
      </w:r>
    </w:p>
    <w:p w:rsidR="00000000" w:rsidRDefault="00000000">
      <w:pPr>
        <w:pStyle w:val="BodyText"/>
        <w:rPr>
          <w:sz w:val="22"/>
        </w:rPr>
      </w:pPr>
    </w:p>
    <w:p w:rsidR="00000000" w:rsidRDefault="00000000">
      <w:pPr>
        <w:pStyle w:val="BodyText"/>
        <w:rPr>
          <w:sz w:val="22"/>
        </w:rPr>
      </w:pPr>
      <w:r>
        <w:rPr>
          <w:sz w:val="22"/>
        </w:rPr>
        <w:t xml:space="preserve">Ces contraintes sont d’ordre économiques, socioculturelles, environnementales et institutionnelles. </w:t>
      </w:r>
    </w:p>
    <w:p w:rsidR="00000000" w:rsidRDefault="00000000">
      <w:pPr>
        <w:pStyle w:val="BodyText"/>
        <w:rPr>
          <w:sz w:val="22"/>
        </w:rPr>
      </w:pPr>
    </w:p>
    <w:p w:rsidR="00000000" w:rsidRDefault="00000000">
      <w:pPr>
        <w:pStyle w:val="BodyText"/>
        <w:rPr>
          <w:b/>
          <w:sz w:val="22"/>
          <w:u w:val="single"/>
        </w:rPr>
      </w:pPr>
      <w:r>
        <w:rPr>
          <w:b/>
          <w:sz w:val="22"/>
        </w:rPr>
        <w:t xml:space="preserve">I – </w:t>
      </w:r>
      <w:r>
        <w:rPr>
          <w:b/>
          <w:sz w:val="22"/>
          <w:u w:val="single"/>
        </w:rPr>
        <w:t>Contraintes économiques</w:t>
      </w:r>
    </w:p>
    <w:p w:rsidR="00000000" w:rsidRDefault="00000000">
      <w:pPr>
        <w:pStyle w:val="BodyText"/>
        <w:rPr>
          <w:sz w:val="22"/>
        </w:rPr>
      </w:pPr>
    </w:p>
    <w:p w:rsidR="00000000" w:rsidRDefault="00000000">
      <w:pPr>
        <w:pStyle w:val="BodyText"/>
        <w:numPr>
          <w:ilvl w:val="0"/>
          <w:numId w:val="56"/>
        </w:numPr>
        <w:rPr>
          <w:sz w:val="22"/>
        </w:rPr>
      </w:pPr>
      <w:r>
        <w:rPr>
          <w:sz w:val="22"/>
        </w:rPr>
        <w:t>Difficultés d’écoulement des produits :</w:t>
      </w:r>
    </w:p>
    <w:p w:rsidR="00000000" w:rsidRDefault="00000000">
      <w:pPr>
        <w:pStyle w:val="BodyText"/>
        <w:numPr>
          <w:ilvl w:val="0"/>
          <w:numId w:val="57"/>
        </w:numPr>
        <w:ind w:left="700"/>
        <w:rPr>
          <w:sz w:val="22"/>
        </w:rPr>
      </w:pPr>
      <w:r>
        <w:rPr>
          <w:sz w:val="22"/>
        </w:rPr>
        <w:t>mauvais état des routes et des pistes ;</w:t>
      </w:r>
    </w:p>
    <w:p w:rsidR="00000000" w:rsidRDefault="00000000">
      <w:pPr>
        <w:pStyle w:val="BodyText"/>
        <w:numPr>
          <w:ilvl w:val="0"/>
          <w:numId w:val="57"/>
        </w:numPr>
        <w:ind w:left="700"/>
        <w:rPr>
          <w:sz w:val="22"/>
        </w:rPr>
      </w:pPr>
      <w:r>
        <w:rPr>
          <w:sz w:val="22"/>
        </w:rPr>
        <w:t>irrégularité des moyens de transport ;</w:t>
      </w:r>
    </w:p>
    <w:p w:rsidR="00000000" w:rsidRDefault="00000000">
      <w:pPr>
        <w:pStyle w:val="BodyText"/>
        <w:numPr>
          <w:ilvl w:val="0"/>
          <w:numId w:val="57"/>
        </w:numPr>
        <w:ind w:left="700"/>
        <w:rPr>
          <w:sz w:val="22"/>
        </w:rPr>
      </w:pPr>
      <w:r>
        <w:rPr>
          <w:sz w:val="22"/>
        </w:rPr>
        <w:t>manque d’organisation des circuits commerciaux.</w:t>
      </w:r>
    </w:p>
    <w:p w:rsidR="00000000" w:rsidRDefault="00000000">
      <w:pPr>
        <w:pStyle w:val="BodyText"/>
        <w:rPr>
          <w:sz w:val="22"/>
        </w:rPr>
      </w:pPr>
    </w:p>
    <w:p w:rsidR="00000000" w:rsidRDefault="00000000">
      <w:pPr>
        <w:pStyle w:val="BodyText"/>
        <w:numPr>
          <w:ilvl w:val="0"/>
          <w:numId w:val="60"/>
        </w:numPr>
        <w:rPr>
          <w:sz w:val="22"/>
        </w:rPr>
      </w:pPr>
      <w:r>
        <w:rPr>
          <w:sz w:val="22"/>
        </w:rPr>
        <w:t>Faibles rendements agricoles :</w:t>
      </w:r>
    </w:p>
    <w:p w:rsidR="00000000" w:rsidRDefault="00000000">
      <w:pPr>
        <w:pStyle w:val="BodyText"/>
        <w:numPr>
          <w:ilvl w:val="0"/>
          <w:numId w:val="58"/>
        </w:numPr>
        <w:ind w:left="700"/>
        <w:rPr>
          <w:sz w:val="22"/>
        </w:rPr>
      </w:pPr>
      <w:r>
        <w:rPr>
          <w:sz w:val="22"/>
        </w:rPr>
        <w:t>insuffisance en quantité et qualité de semences ;</w:t>
      </w:r>
    </w:p>
    <w:p w:rsidR="00000000" w:rsidRDefault="00000000">
      <w:pPr>
        <w:pStyle w:val="BodyText"/>
        <w:numPr>
          <w:ilvl w:val="0"/>
          <w:numId w:val="58"/>
        </w:numPr>
        <w:ind w:left="700"/>
        <w:rPr>
          <w:sz w:val="22"/>
        </w:rPr>
      </w:pPr>
      <w:r>
        <w:rPr>
          <w:sz w:val="22"/>
        </w:rPr>
        <w:t>outils rudimentaires.</w:t>
      </w:r>
    </w:p>
    <w:p w:rsidR="00000000" w:rsidRDefault="00000000">
      <w:pPr>
        <w:pStyle w:val="BodyText"/>
        <w:rPr>
          <w:sz w:val="22"/>
        </w:rPr>
      </w:pPr>
    </w:p>
    <w:p w:rsidR="00000000" w:rsidRDefault="00000000">
      <w:pPr>
        <w:pStyle w:val="BodyText"/>
        <w:numPr>
          <w:ilvl w:val="0"/>
          <w:numId w:val="61"/>
        </w:numPr>
        <w:rPr>
          <w:sz w:val="22"/>
        </w:rPr>
      </w:pPr>
      <w:r>
        <w:rPr>
          <w:sz w:val="22"/>
        </w:rPr>
        <w:t>Difficultés d’accès au crédit / manque de crédit</w:t>
      </w:r>
    </w:p>
    <w:p w:rsidR="00000000" w:rsidRDefault="00000000">
      <w:pPr>
        <w:pStyle w:val="BodyText"/>
        <w:rPr>
          <w:sz w:val="22"/>
        </w:rPr>
      </w:pPr>
    </w:p>
    <w:p w:rsidR="00000000" w:rsidRDefault="00000000">
      <w:pPr>
        <w:pStyle w:val="BodyText"/>
        <w:numPr>
          <w:ilvl w:val="0"/>
          <w:numId w:val="63"/>
        </w:numPr>
        <w:rPr>
          <w:sz w:val="22"/>
        </w:rPr>
      </w:pPr>
      <w:r>
        <w:rPr>
          <w:sz w:val="22"/>
        </w:rPr>
        <w:t>Pertes après récolte à cause :</w:t>
      </w:r>
    </w:p>
    <w:p w:rsidR="00000000" w:rsidRDefault="00000000">
      <w:pPr>
        <w:pStyle w:val="BodyText"/>
        <w:numPr>
          <w:ilvl w:val="0"/>
          <w:numId w:val="59"/>
        </w:numPr>
        <w:ind w:left="700"/>
        <w:rPr>
          <w:sz w:val="22"/>
        </w:rPr>
      </w:pPr>
      <w:r>
        <w:rPr>
          <w:sz w:val="22"/>
        </w:rPr>
        <w:t>difficultés de conservation des produits ;</w:t>
      </w:r>
    </w:p>
    <w:p w:rsidR="00000000" w:rsidRDefault="00000000">
      <w:pPr>
        <w:pStyle w:val="BodyText"/>
        <w:numPr>
          <w:ilvl w:val="0"/>
          <w:numId w:val="59"/>
        </w:numPr>
        <w:ind w:left="700"/>
        <w:rPr>
          <w:sz w:val="22"/>
        </w:rPr>
      </w:pPr>
      <w:r>
        <w:rPr>
          <w:sz w:val="22"/>
        </w:rPr>
        <w:t>absence d’infrastructures de stockage.</w:t>
      </w:r>
    </w:p>
    <w:p w:rsidR="00000000" w:rsidRDefault="00000000">
      <w:pPr>
        <w:pStyle w:val="BodyText"/>
        <w:rPr>
          <w:sz w:val="22"/>
        </w:rPr>
      </w:pPr>
      <w:r>
        <w:rPr>
          <w:b/>
          <w:sz w:val="22"/>
        </w:rPr>
        <w:t xml:space="preserve">II - </w:t>
      </w:r>
      <w:r>
        <w:rPr>
          <w:b/>
          <w:sz w:val="22"/>
          <w:u w:val="single"/>
        </w:rPr>
        <w:t>Contraintes socioculturelles</w:t>
      </w:r>
    </w:p>
    <w:p w:rsidR="00000000" w:rsidRDefault="00000000">
      <w:pPr>
        <w:pStyle w:val="BodyText"/>
        <w:rPr>
          <w:sz w:val="22"/>
        </w:rPr>
      </w:pPr>
    </w:p>
    <w:p w:rsidR="00000000" w:rsidRDefault="00000000">
      <w:pPr>
        <w:pStyle w:val="BodyText"/>
        <w:numPr>
          <w:ilvl w:val="0"/>
          <w:numId w:val="64"/>
        </w:numPr>
        <w:rPr>
          <w:sz w:val="22"/>
        </w:rPr>
      </w:pPr>
      <w:r>
        <w:rPr>
          <w:sz w:val="22"/>
        </w:rPr>
        <w:t>conditions sanitaires précaires ;</w:t>
      </w:r>
    </w:p>
    <w:p w:rsidR="00000000" w:rsidRDefault="00000000">
      <w:pPr>
        <w:pStyle w:val="BodyText"/>
        <w:numPr>
          <w:ilvl w:val="0"/>
          <w:numId w:val="64"/>
        </w:numPr>
        <w:rPr>
          <w:sz w:val="22"/>
        </w:rPr>
      </w:pPr>
      <w:r>
        <w:rPr>
          <w:sz w:val="22"/>
        </w:rPr>
        <w:t>barrières sociologiques et psychologiques et poids de la tradition ;</w:t>
      </w:r>
    </w:p>
    <w:p w:rsidR="00000000" w:rsidRDefault="00000000">
      <w:pPr>
        <w:pStyle w:val="BodyText"/>
        <w:numPr>
          <w:ilvl w:val="0"/>
          <w:numId w:val="64"/>
        </w:numPr>
        <w:rPr>
          <w:sz w:val="22"/>
        </w:rPr>
      </w:pPr>
      <w:r>
        <w:rPr>
          <w:sz w:val="22"/>
        </w:rPr>
        <w:t>analphabétisme et inadéquation du système éducationnel :</w:t>
      </w:r>
    </w:p>
    <w:p w:rsidR="00000000" w:rsidRDefault="00000000">
      <w:pPr>
        <w:pStyle w:val="BodyText"/>
        <w:numPr>
          <w:ilvl w:val="0"/>
          <w:numId w:val="64"/>
        </w:numPr>
        <w:rPr>
          <w:sz w:val="22"/>
        </w:rPr>
      </w:pPr>
      <w:r>
        <w:rPr>
          <w:sz w:val="22"/>
        </w:rPr>
        <w:t>surcharge de travail ;</w:t>
      </w:r>
    </w:p>
    <w:p w:rsidR="00000000" w:rsidRDefault="00000000">
      <w:pPr>
        <w:pStyle w:val="BodyText"/>
        <w:numPr>
          <w:ilvl w:val="0"/>
          <w:numId w:val="64"/>
        </w:numPr>
        <w:rPr>
          <w:sz w:val="22"/>
        </w:rPr>
      </w:pPr>
      <w:r>
        <w:rPr>
          <w:sz w:val="22"/>
        </w:rPr>
        <w:t>maternités précoces, rapprochées et nombreuses ;</w:t>
      </w:r>
    </w:p>
    <w:p w:rsidR="00000000" w:rsidRDefault="00000000">
      <w:pPr>
        <w:pStyle w:val="BodyText"/>
        <w:numPr>
          <w:ilvl w:val="0"/>
          <w:numId w:val="64"/>
        </w:numPr>
        <w:rPr>
          <w:sz w:val="22"/>
        </w:rPr>
      </w:pPr>
      <w:r>
        <w:rPr>
          <w:sz w:val="22"/>
        </w:rPr>
        <w:t>réticence à l’action coopérative et instabilité des familles.</w:t>
      </w:r>
    </w:p>
    <w:p w:rsidR="00000000" w:rsidRDefault="00000000">
      <w:pPr>
        <w:pStyle w:val="BodyText"/>
        <w:rPr>
          <w:sz w:val="22"/>
        </w:rPr>
      </w:pPr>
    </w:p>
    <w:p w:rsidR="00000000" w:rsidRDefault="00000000">
      <w:pPr>
        <w:pStyle w:val="BodyText"/>
        <w:rPr>
          <w:b/>
          <w:sz w:val="22"/>
          <w:u w:val="single"/>
        </w:rPr>
      </w:pPr>
      <w:r>
        <w:rPr>
          <w:b/>
          <w:sz w:val="22"/>
        </w:rPr>
        <w:t xml:space="preserve">III - </w:t>
      </w:r>
      <w:r>
        <w:rPr>
          <w:b/>
          <w:sz w:val="22"/>
          <w:u w:val="single"/>
        </w:rPr>
        <w:t>Contraintes environnementales et institutionnelles</w:t>
      </w:r>
    </w:p>
    <w:p w:rsidR="00000000" w:rsidRDefault="00000000">
      <w:pPr>
        <w:pStyle w:val="BodyText"/>
        <w:rPr>
          <w:sz w:val="22"/>
        </w:rPr>
      </w:pPr>
    </w:p>
    <w:p w:rsidR="00000000" w:rsidRDefault="00000000">
      <w:pPr>
        <w:pStyle w:val="BodyText"/>
        <w:numPr>
          <w:ilvl w:val="0"/>
          <w:numId w:val="65"/>
        </w:numPr>
        <w:rPr>
          <w:sz w:val="22"/>
        </w:rPr>
      </w:pPr>
      <w:r>
        <w:rPr>
          <w:sz w:val="22"/>
        </w:rPr>
        <w:t>destruction de la forêt / dégradation de l’écosystème ;</w:t>
      </w:r>
    </w:p>
    <w:p w:rsidR="00000000" w:rsidRDefault="00000000">
      <w:pPr>
        <w:pStyle w:val="BodyText"/>
        <w:numPr>
          <w:ilvl w:val="0"/>
          <w:numId w:val="65"/>
        </w:numPr>
        <w:rPr>
          <w:sz w:val="22"/>
        </w:rPr>
      </w:pPr>
      <w:r>
        <w:rPr>
          <w:sz w:val="22"/>
        </w:rPr>
        <w:t>éloignement des champs ;</w:t>
      </w:r>
    </w:p>
    <w:p w:rsidR="00000000" w:rsidRDefault="00000000">
      <w:pPr>
        <w:pStyle w:val="BodyText"/>
        <w:numPr>
          <w:ilvl w:val="0"/>
          <w:numId w:val="65"/>
        </w:numPr>
        <w:rPr>
          <w:sz w:val="22"/>
        </w:rPr>
      </w:pPr>
      <w:r>
        <w:rPr>
          <w:sz w:val="22"/>
        </w:rPr>
        <w:t>difficultés d’obtention d’eau par forage / éloignement des points d’eau potable ;</w:t>
      </w:r>
    </w:p>
    <w:p w:rsidR="00000000" w:rsidRDefault="00000000">
      <w:pPr>
        <w:pStyle w:val="BodyText"/>
        <w:numPr>
          <w:ilvl w:val="0"/>
          <w:numId w:val="65"/>
        </w:numPr>
        <w:rPr>
          <w:sz w:val="22"/>
        </w:rPr>
      </w:pPr>
      <w:r>
        <w:rPr>
          <w:sz w:val="22"/>
        </w:rPr>
        <w:t>service de vulgarisation local non opérationnel ou absent ;</w:t>
      </w:r>
    </w:p>
    <w:p w:rsidR="00000000" w:rsidRDefault="00000000">
      <w:pPr>
        <w:pStyle w:val="BodyText"/>
        <w:numPr>
          <w:ilvl w:val="0"/>
          <w:numId w:val="65"/>
        </w:numPr>
        <w:rPr>
          <w:sz w:val="22"/>
        </w:rPr>
      </w:pPr>
      <w:r>
        <w:rPr>
          <w:sz w:val="22"/>
        </w:rPr>
        <w:t>insuffisance des structures sociosanitaires, PNDS non opérationnel ;</w:t>
      </w:r>
    </w:p>
    <w:p w:rsidR="00000000" w:rsidRDefault="00000000">
      <w:pPr>
        <w:pStyle w:val="BodyText"/>
        <w:numPr>
          <w:ilvl w:val="0"/>
          <w:numId w:val="65"/>
        </w:numPr>
        <w:rPr>
          <w:sz w:val="22"/>
        </w:rPr>
      </w:pPr>
      <w:r>
        <w:rPr>
          <w:sz w:val="22"/>
        </w:rPr>
        <w:t>insécurité foncière / problèmes fonciers ;</w:t>
      </w:r>
    </w:p>
    <w:p w:rsidR="00000000" w:rsidRDefault="00000000">
      <w:pPr>
        <w:pStyle w:val="BodyText"/>
        <w:numPr>
          <w:ilvl w:val="0"/>
          <w:numId w:val="65"/>
        </w:numPr>
        <w:rPr>
          <w:sz w:val="22"/>
        </w:rPr>
      </w:pPr>
      <w:r>
        <w:rPr>
          <w:sz w:val="22"/>
        </w:rPr>
        <w:t>anarchie dans la perception des taxes (secteur informel), etc.</w:t>
      </w:r>
    </w:p>
    <w:p w:rsidR="00000000" w:rsidRDefault="00000000">
      <w:pPr>
        <w:pStyle w:val="BodyText"/>
        <w:rPr>
          <w:sz w:val="22"/>
        </w:rPr>
      </w:pPr>
    </w:p>
    <w:p w:rsidR="00000000" w:rsidRDefault="00000000">
      <w:pPr>
        <w:pStyle w:val="BodyText"/>
        <w:rPr>
          <w:b/>
          <w:sz w:val="22"/>
          <w:u w:val="single"/>
        </w:rPr>
      </w:pPr>
      <w:r>
        <w:rPr>
          <w:b/>
          <w:sz w:val="22"/>
          <w:u w:val="single"/>
        </w:rPr>
        <w:t>SECTION</w:t>
      </w:r>
      <w:r>
        <w:rPr>
          <w:b/>
          <w:sz w:val="22"/>
        </w:rPr>
        <w:t xml:space="preserve"> III - </w:t>
      </w:r>
      <w:r>
        <w:rPr>
          <w:b/>
          <w:sz w:val="22"/>
          <w:u w:val="single"/>
        </w:rPr>
        <w:t>PERSPECTIVES</w:t>
      </w:r>
    </w:p>
    <w:p w:rsidR="00000000" w:rsidRDefault="00000000">
      <w:pPr>
        <w:pStyle w:val="BodyText"/>
        <w:rPr>
          <w:sz w:val="22"/>
        </w:rPr>
      </w:pPr>
    </w:p>
    <w:p w:rsidR="00000000" w:rsidRDefault="00000000">
      <w:pPr>
        <w:pStyle w:val="BodyText"/>
        <w:rPr>
          <w:sz w:val="22"/>
        </w:rPr>
      </w:pPr>
      <w:r>
        <w:rPr>
          <w:sz w:val="22"/>
        </w:rPr>
        <w:t>Des actions prioritaires devraient être menées en vue de contribuer à l’amélioration des conditions de vie des femmes rurales. Il s’agit notamment de :</w:t>
      </w:r>
    </w:p>
    <w:p w:rsidR="00000000" w:rsidRDefault="00000000">
      <w:pPr>
        <w:pStyle w:val="BodyText"/>
        <w:rPr>
          <w:sz w:val="22"/>
        </w:rPr>
      </w:pPr>
    </w:p>
    <w:p w:rsidR="00000000" w:rsidRDefault="00000000">
      <w:pPr>
        <w:pStyle w:val="BodyText"/>
        <w:numPr>
          <w:ilvl w:val="0"/>
          <w:numId w:val="67"/>
        </w:numPr>
        <w:rPr>
          <w:sz w:val="22"/>
        </w:rPr>
      </w:pPr>
      <w:r>
        <w:rPr>
          <w:sz w:val="22"/>
        </w:rPr>
        <w:t>la relance de la campagne d’alphabétisation fonctionnelle en milieu rural ;</w:t>
      </w:r>
    </w:p>
    <w:p w:rsidR="00000000" w:rsidRDefault="00000000">
      <w:pPr>
        <w:pStyle w:val="BodyText"/>
        <w:numPr>
          <w:ilvl w:val="0"/>
          <w:numId w:val="67"/>
        </w:numPr>
        <w:rPr>
          <w:sz w:val="22"/>
        </w:rPr>
      </w:pPr>
      <w:r>
        <w:rPr>
          <w:sz w:val="22"/>
        </w:rPr>
        <w:t>l’approvisionnement en semences améliorées pour les groupements féminins producteurs agricoles et en équipements de transformation des produits agricoles ;</w:t>
      </w:r>
    </w:p>
    <w:p w:rsidR="00000000" w:rsidRDefault="00000000">
      <w:pPr>
        <w:pStyle w:val="BodyText"/>
        <w:numPr>
          <w:ilvl w:val="0"/>
          <w:numId w:val="67"/>
        </w:numPr>
        <w:rPr>
          <w:sz w:val="22"/>
        </w:rPr>
      </w:pPr>
      <w:r>
        <w:rPr>
          <w:sz w:val="22"/>
        </w:rPr>
        <w:t>l’appui à l’afforestation communautaire ;</w:t>
      </w:r>
    </w:p>
    <w:p w:rsidR="00000000" w:rsidRDefault="00000000">
      <w:pPr>
        <w:pStyle w:val="BodyText"/>
        <w:numPr>
          <w:ilvl w:val="0"/>
          <w:numId w:val="67"/>
        </w:numPr>
        <w:rPr>
          <w:sz w:val="22"/>
        </w:rPr>
      </w:pPr>
      <w:r>
        <w:rPr>
          <w:sz w:val="22"/>
        </w:rPr>
        <w:t>l’appui à la mobilisation de l’épargne et à la création des structures de crédit en milieu féminin ;</w:t>
      </w:r>
    </w:p>
    <w:p w:rsidR="00000000" w:rsidRDefault="00000000">
      <w:pPr>
        <w:pStyle w:val="BodyText"/>
        <w:numPr>
          <w:ilvl w:val="0"/>
          <w:numId w:val="67"/>
        </w:numPr>
        <w:rPr>
          <w:sz w:val="22"/>
        </w:rPr>
      </w:pPr>
      <w:r>
        <w:rPr>
          <w:sz w:val="22"/>
        </w:rPr>
        <w:t>l’entretien et la réouverture des pistes agricoles par les populations et les organisations non gouvernementales ;</w:t>
      </w:r>
    </w:p>
    <w:p w:rsidR="00000000" w:rsidRDefault="00000000">
      <w:pPr>
        <w:pStyle w:val="BodyText"/>
        <w:numPr>
          <w:ilvl w:val="0"/>
          <w:numId w:val="67"/>
        </w:numPr>
        <w:rPr>
          <w:sz w:val="22"/>
        </w:rPr>
      </w:pPr>
      <w:r>
        <w:rPr>
          <w:sz w:val="22"/>
        </w:rPr>
        <w:t>l’organisation des circuits de commercialisation et des marchés locaux ;</w:t>
      </w:r>
    </w:p>
    <w:p w:rsidR="00000000" w:rsidRDefault="00000000">
      <w:pPr>
        <w:pStyle w:val="BodyText"/>
        <w:numPr>
          <w:ilvl w:val="0"/>
          <w:numId w:val="67"/>
        </w:numPr>
        <w:rPr>
          <w:sz w:val="22"/>
        </w:rPr>
      </w:pPr>
      <w:r>
        <w:rPr>
          <w:sz w:val="22"/>
        </w:rPr>
        <w:t>l’approvisionnement en eau : construction d’impluvium, aménagement des points d’eau ;</w:t>
      </w:r>
    </w:p>
    <w:p w:rsidR="00000000" w:rsidRDefault="00000000">
      <w:pPr>
        <w:pStyle w:val="BodyText"/>
        <w:numPr>
          <w:ilvl w:val="0"/>
          <w:numId w:val="67"/>
        </w:numPr>
        <w:rPr>
          <w:sz w:val="22"/>
        </w:rPr>
      </w:pPr>
      <w:r>
        <w:rPr>
          <w:sz w:val="22"/>
        </w:rPr>
        <w:t>la participation des femmes dans les comités de santé ;</w:t>
      </w:r>
    </w:p>
    <w:p w:rsidR="00000000" w:rsidRDefault="00000000">
      <w:pPr>
        <w:pStyle w:val="BodyText"/>
        <w:numPr>
          <w:ilvl w:val="0"/>
          <w:numId w:val="67"/>
        </w:numPr>
        <w:rPr>
          <w:sz w:val="22"/>
        </w:rPr>
      </w:pPr>
      <w:r>
        <w:rPr>
          <w:sz w:val="22"/>
        </w:rPr>
        <w:t>la relance de la formation des accoucheuses en milieu rural ;</w:t>
      </w:r>
    </w:p>
    <w:p w:rsidR="00000000" w:rsidRDefault="00000000">
      <w:pPr>
        <w:pStyle w:val="BodyText"/>
        <w:numPr>
          <w:ilvl w:val="0"/>
          <w:numId w:val="67"/>
        </w:numPr>
        <w:rPr>
          <w:sz w:val="22"/>
        </w:rPr>
      </w:pPr>
      <w:r>
        <w:rPr>
          <w:sz w:val="22"/>
        </w:rPr>
        <w:t>la mise en œuvre des campagnes d’IEC et de mobilisation des femmes sur des thèmes concourant à l’amélioration des conditions de vie des femmes rurales.</w:t>
      </w:r>
    </w:p>
    <w:p w:rsidR="00000000" w:rsidRDefault="00000000">
      <w:pPr>
        <w:pStyle w:val="BodyText"/>
        <w:rPr>
          <w:sz w:val="22"/>
        </w:rPr>
      </w:pPr>
    </w:p>
    <w:p w:rsidR="00000000" w:rsidRDefault="00000000">
      <w:pPr>
        <w:pStyle w:val="BodyText"/>
        <w:ind w:left="3325" w:hanging="1960"/>
        <w:rPr>
          <w:b/>
          <w:u w:val="single"/>
        </w:rPr>
      </w:pPr>
      <w:r>
        <w:rPr>
          <w:b/>
          <w:u w:val="single"/>
        </w:rPr>
        <w:t>CHAPITRE XV</w:t>
      </w:r>
      <w:r>
        <w:rPr>
          <w:b/>
        </w:rPr>
        <w:t> :</w:t>
      </w:r>
      <w:r>
        <w:rPr>
          <w:b/>
        </w:rPr>
        <w:tab/>
      </w:r>
      <w:r>
        <w:rPr>
          <w:b/>
          <w:caps/>
          <w:u w:val="single"/>
        </w:rPr>
        <w:t>L’égalité de l’homme et de la femme devant la loi</w:t>
      </w:r>
      <w:r>
        <w:rPr>
          <w:b/>
          <w:u w:val="single"/>
        </w:rPr>
        <w:t xml:space="preserve"> </w:t>
      </w:r>
      <w:r>
        <w:rPr>
          <w:b/>
        </w:rPr>
        <w:t>(article 15)</w:t>
      </w:r>
    </w:p>
    <w:p w:rsidR="00000000" w:rsidRDefault="00000000">
      <w:pPr>
        <w:pStyle w:val="BodyText"/>
        <w:jc w:val="left"/>
        <w:rPr>
          <w:b/>
        </w:rPr>
      </w:pPr>
    </w:p>
    <w:p w:rsidR="00000000" w:rsidRDefault="00000000">
      <w:pPr>
        <w:pStyle w:val="BodyText"/>
        <w:jc w:val="left"/>
        <w:rPr>
          <w:b/>
          <w:sz w:val="22"/>
        </w:rPr>
      </w:pPr>
      <w:r>
        <w:rPr>
          <w:b/>
          <w:sz w:val="22"/>
          <w:u w:val="single"/>
        </w:rPr>
        <w:t>L’article 15</w:t>
      </w:r>
      <w:r>
        <w:rPr>
          <w:b/>
          <w:sz w:val="22"/>
        </w:rPr>
        <w:t> :</w:t>
      </w:r>
    </w:p>
    <w:p w:rsidR="00000000" w:rsidRDefault="00000000">
      <w:pPr>
        <w:pStyle w:val="BodyText"/>
        <w:jc w:val="left"/>
        <w:rPr>
          <w:i/>
          <w:sz w:val="22"/>
        </w:rPr>
      </w:pPr>
      <w:r>
        <w:rPr>
          <w:i/>
          <w:sz w:val="22"/>
        </w:rPr>
        <w:t>« </w:t>
      </w:r>
    </w:p>
    <w:p w:rsidR="00000000" w:rsidRDefault="00000000">
      <w:pPr>
        <w:pStyle w:val="BodyText"/>
        <w:numPr>
          <w:ilvl w:val="0"/>
          <w:numId w:val="201"/>
        </w:numPr>
        <w:jc w:val="left"/>
        <w:rPr>
          <w:i/>
          <w:sz w:val="22"/>
        </w:rPr>
      </w:pPr>
      <w:r>
        <w:rPr>
          <w:i/>
          <w:sz w:val="22"/>
        </w:rPr>
        <w:t>Les États parties reconnaissent à la femme l’égalité avec l’homme devant la loi.</w:t>
      </w:r>
    </w:p>
    <w:p w:rsidR="00000000" w:rsidRDefault="00000000">
      <w:pPr>
        <w:pStyle w:val="BodyText"/>
        <w:numPr>
          <w:ilvl w:val="0"/>
          <w:numId w:val="201"/>
        </w:numPr>
        <w:rPr>
          <w:i/>
          <w:sz w:val="22"/>
        </w:rPr>
      </w:pPr>
      <w:r>
        <w:rPr>
          <w:i/>
          <w:sz w:val="22"/>
        </w:rPr>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000000" w:rsidRDefault="00000000">
      <w:pPr>
        <w:pStyle w:val="BodyText"/>
        <w:numPr>
          <w:ilvl w:val="0"/>
          <w:numId w:val="201"/>
        </w:numPr>
        <w:rPr>
          <w:i/>
          <w:sz w:val="22"/>
        </w:rPr>
      </w:pPr>
      <w:r>
        <w:rPr>
          <w:i/>
          <w:sz w:val="22"/>
        </w:rPr>
        <w:t>Les États parties conviennent que tout contrat et tout autre instrument privé, de quelque type que ce soit, ayant un effet juridique visant à limiter la capacité juridique de la femme doivent être considérés comme nuls.</w:t>
      </w:r>
    </w:p>
    <w:p w:rsidR="00000000" w:rsidRDefault="00000000">
      <w:pPr>
        <w:pStyle w:val="BodyText"/>
        <w:numPr>
          <w:ilvl w:val="0"/>
          <w:numId w:val="201"/>
        </w:numPr>
        <w:rPr>
          <w:i/>
          <w:sz w:val="22"/>
        </w:rPr>
      </w:pPr>
      <w:r>
        <w:rPr>
          <w:i/>
          <w:sz w:val="22"/>
        </w:rPr>
        <w:t>Les États parties reconnaissent à l’homme et à la femme les mêmes droits en ce qui concerne la législation relative aux droits des personnes à circuler librement et à choisir leur résidence et leur domicile. »</w:t>
      </w:r>
    </w:p>
    <w:p w:rsidR="00000000" w:rsidRDefault="00000000">
      <w:pPr>
        <w:pStyle w:val="BodyText"/>
        <w:jc w:val="left"/>
        <w:rPr>
          <w:sz w:val="22"/>
        </w:rPr>
      </w:pPr>
    </w:p>
    <w:p w:rsidR="00000000" w:rsidRDefault="00000000">
      <w:pPr>
        <w:pStyle w:val="BodyText"/>
        <w:ind w:left="709" w:hanging="709"/>
        <w:rPr>
          <w:b/>
          <w:sz w:val="22"/>
        </w:rPr>
      </w:pPr>
    </w:p>
    <w:p w:rsidR="00000000" w:rsidRDefault="00000000">
      <w:pPr>
        <w:pStyle w:val="BodyText"/>
        <w:rPr>
          <w:b/>
          <w:sz w:val="22"/>
        </w:rPr>
      </w:pPr>
      <w:r>
        <w:rPr>
          <w:b/>
          <w:sz w:val="22"/>
          <w:u w:val="single"/>
        </w:rPr>
        <w:t>SECTION</w:t>
      </w:r>
      <w:r>
        <w:rPr>
          <w:b/>
          <w:sz w:val="22"/>
        </w:rPr>
        <w:t xml:space="preserve"> I- </w:t>
      </w:r>
      <w:r>
        <w:rPr>
          <w:b/>
          <w:caps/>
          <w:sz w:val="22"/>
          <w:u w:val="single"/>
        </w:rPr>
        <w:t>L’égalité DE l’HOMME ET DE LA FEMME DEVANT LA LOI</w:t>
      </w:r>
    </w:p>
    <w:p w:rsidR="00000000" w:rsidRDefault="00000000">
      <w:pPr>
        <w:pStyle w:val="BodyText"/>
        <w:ind w:left="709" w:hanging="709"/>
        <w:rPr>
          <w:b/>
          <w:sz w:val="22"/>
        </w:rPr>
      </w:pPr>
    </w:p>
    <w:p w:rsidR="00000000" w:rsidRDefault="00000000">
      <w:pPr>
        <w:pStyle w:val="BodyText"/>
        <w:rPr>
          <w:sz w:val="22"/>
        </w:rPr>
      </w:pPr>
      <w:r>
        <w:rPr>
          <w:sz w:val="22"/>
        </w:rPr>
        <w:t>L’égalité entre les sexes est un principe constitutionnellement garanti. Le préambule de l’Acte Fondamental se réfère à la déclaration universelle des droits de l’homme du 10 décembre 1948 et à la Charte Africaine des Droits de l’Homme et des Peuples qui consacrent l’égalité juridique des hommes et des femmes. L’égalité figure, en outre, parmi les fondements du nouvel ordre politique à instaurer. Et, la participation de chacun à la vie de la nation doit être garanti. Le titre II sur les droits fondamentaux précise dans son article 14 le contenu de ce principe.</w:t>
      </w:r>
    </w:p>
    <w:p w:rsidR="00000000" w:rsidRDefault="00000000">
      <w:pPr>
        <w:pStyle w:val="BodyText"/>
        <w:rPr>
          <w:sz w:val="22"/>
        </w:rPr>
      </w:pPr>
    </w:p>
    <w:p w:rsidR="00000000" w:rsidRDefault="00000000">
      <w:pPr>
        <w:pStyle w:val="BodyText"/>
        <w:rPr>
          <w:sz w:val="22"/>
        </w:rPr>
      </w:pPr>
      <w:r>
        <w:rPr>
          <w:sz w:val="22"/>
          <w:u w:val="single"/>
        </w:rPr>
        <w:t>Article 14</w:t>
      </w:r>
      <w:r>
        <w:rPr>
          <w:sz w:val="22"/>
        </w:rPr>
        <w:t> :</w:t>
      </w:r>
    </w:p>
    <w:p w:rsidR="00000000" w:rsidRDefault="00000000">
      <w:pPr>
        <w:pStyle w:val="BodyText"/>
        <w:rPr>
          <w:sz w:val="22"/>
        </w:rPr>
      </w:pPr>
    </w:p>
    <w:p w:rsidR="00000000" w:rsidRDefault="00000000">
      <w:pPr>
        <w:pStyle w:val="BodyText"/>
        <w:rPr>
          <w:sz w:val="22"/>
        </w:rPr>
      </w:pPr>
      <w:r>
        <w:rPr>
          <w:sz w:val="22"/>
        </w:rPr>
        <w:t>« Tous les citoyens congolais sont égaux en droit. Tout acte qui accorde des privilèges à des nationaux ou limite leurs droits en raison de l’origine ethnique ou régionale, de l’opinion politique ou philosophique, de la religion, du sexe ou de l’état physique est contraire au présent Acte Fondamental et puni des peines prévues par la loi. »</w:t>
      </w:r>
    </w:p>
    <w:p w:rsidR="00000000" w:rsidRDefault="00000000">
      <w:pPr>
        <w:pStyle w:val="BodyText"/>
        <w:rPr>
          <w:sz w:val="22"/>
        </w:rPr>
      </w:pPr>
    </w:p>
    <w:p w:rsidR="00000000" w:rsidRDefault="00000000">
      <w:pPr>
        <w:pStyle w:val="BodyText"/>
        <w:rPr>
          <w:sz w:val="22"/>
        </w:rPr>
      </w:pPr>
      <w:r>
        <w:rPr>
          <w:sz w:val="22"/>
        </w:rPr>
        <w:t>Ce principe constitutionnel détermine le contenu des normes subordonnées qui sont tenues de le respecter sous peine d’inconstitutionnalité. L’égalité entre les sexes conduit à la reconnaissance de la capacité juridique de la femme.</w:t>
      </w:r>
    </w:p>
    <w:p w:rsidR="00000000" w:rsidRDefault="00000000">
      <w:pPr>
        <w:pStyle w:val="BodyText"/>
        <w:rPr>
          <w:sz w:val="22"/>
        </w:rPr>
      </w:pPr>
    </w:p>
    <w:p w:rsidR="00000000" w:rsidRDefault="00000000">
      <w:pPr>
        <w:pStyle w:val="BodyText"/>
        <w:rPr>
          <w:b/>
          <w:sz w:val="22"/>
          <w:u w:val="single"/>
        </w:rPr>
      </w:pPr>
      <w:r>
        <w:rPr>
          <w:b/>
          <w:sz w:val="22"/>
          <w:u w:val="single"/>
        </w:rPr>
        <w:br w:type="page"/>
        <w:t>SECTION</w:t>
      </w:r>
      <w:r>
        <w:rPr>
          <w:b/>
          <w:sz w:val="22"/>
        </w:rPr>
        <w:t xml:space="preserve"> II- </w:t>
      </w:r>
      <w:r>
        <w:rPr>
          <w:b/>
          <w:sz w:val="22"/>
          <w:u w:val="single"/>
        </w:rPr>
        <w:t>LA RECONNAISSANCE DE LA CAPACITE JURIDIQUE DE LA FEMME</w:t>
      </w:r>
    </w:p>
    <w:p w:rsidR="00000000" w:rsidRDefault="00000000">
      <w:pPr>
        <w:pStyle w:val="BodyText"/>
        <w:rPr>
          <w:sz w:val="22"/>
        </w:rPr>
      </w:pPr>
    </w:p>
    <w:p w:rsidR="00000000" w:rsidRDefault="00000000">
      <w:pPr>
        <w:pStyle w:val="BodyText"/>
        <w:rPr>
          <w:sz w:val="22"/>
        </w:rPr>
      </w:pPr>
      <w:r>
        <w:rPr>
          <w:sz w:val="22"/>
        </w:rPr>
        <w:t>La législation consacre aujourd’hui la pleine capacité juridique de la femme quel que soit son état matrimonial.</w:t>
      </w:r>
    </w:p>
    <w:p w:rsidR="00000000" w:rsidRDefault="00000000">
      <w:pPr>
        <w:pStyle w:val="BodyText"/>
        <w:rPr>
          <w:sz w:val="22"/>
        </w:rPr>
      </w:pPr>
    </w:p>
    <w:p w:rsidR="00000000" w:rsidRDefault="00000000">
      <w:pPr>
        <w:pStyle w:val="BodyText"/>
        <w:tabs>
          <w:tab w:val="left" w:pos="1575"/>
        </w:tabs>
        <w:ind w:left="1575" w:hanging="1575"/>
        <w:rPr>
          <w:b/>
          <w:sz w:val="22"/>
          <w:u w:val="single"/>
        </w:rPr>
      </w:pPr>
      <w:r>
        <w:rPr>
          <w:b/>
          <w:sz w:val="22"/>
          <w:u w:val="single"/>
        </w:rPr>
        <w:t>SECTION</w:t>
      </w:r>
      <w:r>
        <w:rPr>
          <w:b/>
          <w:sz w:val="22"/>
        </w:rPr>
        <w:t xml:space="preserve"> III-</w:t>
      </w:r>
      <w:r>
        <w:rPr>
          <w:b/>
          <w:sz w:val="22"/>
        </w:rPr>
        <w:tab/>
      </w:r>
      <w:r>
        <w:rPr>
          <w:b/>
          <w:sz w:val="22"/>
          <w:u w:val="single"/>
        </w:rPr>
        <w:t>LE DROIT POUR LA FEMME DE CIRCULER LIBREMENT ET DE CHOISIR SON DOMICILE</w:t>
      </w:r>
    </w:p>
    <w:p w:rsidR="00000000" w:rsidRDefault="00000000">
      <w:pPr>
        <w:pStyle w:val="BodyText"/>
        <w:rPr>
          <w:sz w:val="22"/>
        </w:rPr>
      </w:pPr>
    </w:p>
    <w:p w:rsidR="00000000" w:rsidRDefault="00000000">
      <w:pPr>
        <w:pStyle w:val="BodyText"/>
        <w:rPr>
          <w:sz w:val="22"/>
        </w:rPr>
      </w:pPr>
      <w:r>
        <w:rPr>
          <w:sz w:val="22"/>
        </w:rPr>
        <w:t>Le droit de la femme de circuler librement et de choisir son domicile est constitutionnellement reconnu.</w:t>
      </w:r>
    </w:p>
    <w:p w:rsidR="00000000" w:rsidRDefault="00000000">
      <w:pPr>
        <w:pStyle w:val="BodyText"/>
        <w:rPr>
          <w:sz w:val="22"/>
        </w:rPr>
      </w:pPr>
    </w:p>
    <w:p w:rsidR="00000000" w:rsidRDefault="00000000">
      <w:pPr>
        <w:pStyle w:val="BodyText"/>
        <w:rPr>
          <w:b/>
          <w:sz w:val="22"/>
        </w:rPr>
      </w:pPr>
      <w:r>
        <w:rPr>
          <w:b/>
          <w:sz w:val="22"/>
        </w:rPr>
        <w:t xml:space="preserve">I - </w:t>
      </w:r>
      <w:r>
        <w:rPr>
          <w:b/>
          <w:sz w:val="22"/>
          <w:u w:val="single"/>
        </w:rPr>
        <w:t>la liberté d’aller et de venir</w:t>
      </w:r>
    </w:p>
    <w:p w:rsidR="00000000" w:rsidRDefault="00000000">
      <w:pPr>
        <w:pStyle w:val="BodyText"/>
        <w:rPr>
          <w:b/>
          <w:sz w:val="22"/>
        </w:rPr>
      </w:pPr>
    </w:p>
    <w:p w:rsidR="00000000" w:rsidRDefault="00000000">
      <w:pPr>
        <w:pStyle w:val="BodyText"/>
        <w:rPr>
          <w:sz w:val="22"/>
        </w:rPr>
      </w:pPr>
      <w:r>
        <w:rPr>
          <w:sz w:val="22"/>
        </w:rPr>
        <w:t>D’un point de vue formel, la femme dispose de la liberté d’aller et de venir ; cette liberté fondamentale est consacrée par l’Acte Fondamental.</w:t>
      </w:r>
    </w:p>
    <w:p w:rsidR="00000000" w:rsidRDefault="00000000">
      <w:pPr>
        <w:pStyle w:val="BodyText"/>
        <w:rPr>
          <w:sz w:val="22"/>
        </w:rPr>
      </w:pPr>
    </w:p>
    <w:p w:rsidR="00000000" w:rsidRDefault="00000000">
      <w:pPr>
        <w:pStyle w:val="BodyText"/>
        <w:rPr>
          <w:sz w:val="22"/>
        </w:rPr>
      </w:pPr>
      <w:r>
        <w:rPr>
          <w:sz w:val="22"/>
        </w:rPr>
        <w:t>Article 17 de l’Acte fondamental :</w:t>
      </w:r>
    </w:p>
    <w:p w:rsidR="00000000" w:rsidRDefault="00000000">
      <w:pPr>
        <w:pStyle w:val="BodyText"/>
        <w:rPr>
          <w:sz w:val="22"/>
        </w:rPr>
      </w:pPr>
      <w:r>
        <w:rPr>
          <w:sz w:val="22"/>
        </w:rPr>
        <w:t>« La République garantit l’exercice des droits et des libertés individuelles et des collectivités notamment les libertés de circulation, d’opinion, de religion, d’expression, d’association, de cortège et de manifestation. »</w:t>
      </w:r>
    </w:p>
    <w:p w:rsidR="00000000" w:rsidRDefault="00000000">
      <w:pPr>
        <w:pStyle w:val="BodyText"/>
        <w:rPr>
          <w:sz w:val="22"/>
        </w:rPr>
      </w:pPr>
    </w:p>
    <w:p w:rsidR="00000000" w:rsidRDefault="00000000">
      <w:pPr>
        <w:pStyle w:val="BodyText"/>
        <w:rPr>
          <w:sz w:val="22"/>
        </w:rPr>
      </w:pPr>
      <w:r>
        <w:rPr>
          <w:sz w:val="22"/>
        </w:rPr>
        <w:t>Ce principe qui ne posait pas de réel problème pour les femmes célibataires constituait une source de préoccupation pour les femmes mariées. Elles étaient, en effet, contraintes d’obtenir l’autorisation de leur époux pour la délivrance d’un passeport ainsi qu’une autorisation de sortie pour tout déplacement à l’étranger. A défaut d’autorisation, il n’y avait ni titre de voyage, ni voyage. L’affirmation de la liberté de circulation de la femme lui permet aujourd’hui d’entreprendre divers actes sans l’autorisation préalable du mari. Il va de soi que pour des raisons d’équilibre conjugal, l’épouse recherchera souvent l’autorisation de son mari.</w:t>
      </w:r>
    </w:p>
    <w:p w:rsidR="00000000" w:rsidRDefault="00000000">
      <w:pPr>
        <w:pStyle w:val="BodyText"/>
        <w:rPr>
          <w:sz w:val="22"/>
        </w:rPr>
      </w:pPr>
    </w:p>
    <w:p w:rsidR="00000000" w:rsidRDefault="00000000">
      <w:pPr>
        <w:pStyle w:val="BodyText"/>
        <w:rPr>
          <w:b/>
          <w:sz w:val="22"/>
          <w:u w:val="single"/>
        </w:rPr>
      </w:pPr>
      <w:r>
        <w:rPr>
          <w:b/>
          <w:sz w:val="22"/>
        </w:rPr>
        <w:t xml:space="preserve">II - </w:t>
      </w:r>
      <w:r>
        <w:rPr>
          <w:b/>
          <w:sz w:val="22"/>
          <w:u w:val="single"/>
        </w:rPr>
        <w:t>Le choix du domicile</w:t>
      </w:r>
    </w:p>
    <w:p w:rsidR="00000000" w:rsidRDefault="00000000">
      <w:pPr>
        <w:pStyle w:val="BodyText"/>
        <w:rPr>
          <w:sz w:val="22"/>
        </w:rPr>
      </w:pPr>
    </w:p>
    <w:p w:rsidR="00000000" w:rsidRDefault="00000000">
      <w:pPr>
        <w:pStyle w:val="BodyText"/>
        <w:rPr>
          <w:sz w:val="22"/>
        </w:rPr>
      </w:pPr>
      <w:r>
        <w:rPr>
          <w:sz w:val="22"/>
        </w:rPr>
        <w:t>Le choix du domicile est susceptible de poser des problèmes à la femme pré-mariée et à la femme mariée.</w:t>
      </w:r>
    </w:p>
    <w:p w:rsidR="00000000" w:rsidRDefault="00000000">
      <w:pPr>
        <w:pStyle w:val="BodyText"/>
        <w:rPr>
          <w:sz w:val="22"/>
        </w:rPr>
      </w:pPr>
    </w:p>
    <w:p w:rsidR="00000000" w:rsidRDefault="00000000">
      <w:pPr>
        <w:pStyle w:val="BodyText"/>
        <w:rPr>
          <w:b/>
          <w:sz w:val="22"/>
          <w:u w:val="single"/>
        </w:rPr>
      </w:pPr>
      <w:r>
        <w:rPr>
          <w:b/>
          <w:sz w:val="22"/>
        </w:rPr>
        <w:t xml:space="preserve">A - </w:t>
      </w:r>
      <w:r>
        <w:rPr>
          <w:b/>
          <w:sz w:val="22"/>
          <w:u w:val="single"/>
        </w:rPr>
        <w:t>Le domicile de la femme pré-mariée</w:t>
      </w:r>
    </w:p>
    <w:p w:rsidR="00000000" w:rsidRDefault="00000000">
      <w:pPr>
        <w:pStyle w:val="BodyText"/>
        <w:rPr>
          <w:sz w:val="22"/>
        </w:rPr>
      </w:pPr>
    </w:p>
    <w:p w:rsidR="00000000" w:rsidRDefault="00000000">
      <w:pPr>
        <w:pStyle w:val="BodyText"/>
        <w:rPr>
          <w:sz w:val="22"/>
        </w:rPr>
      </w:pPr>
      <w:r>
        <w:rPr>
          <w:sz w:val="22"/>
        </w:rPr>
        <w:t>Les pré-mariés peuvent décider de se fréquenter régulièrement ou de cohabiter. Si c’est la seconde option qui est retenue, la pré-mariée est tenue d’habiter au domicile choisi par le pré-marié. Ce régime établit une inégalité entre le pré-marié et la pré-mariée ; celle-ci n’ayant pas la possibilité d’intervenir dans le choix de domicile.</w:t>
      </w:r>
    </w:p>
    <w:p w:rsidR="00000000" w:rsidRDefault="00000000">
      <w:pPr>
        <w:pStyle w:val="BodyText"/>
        <w:rPr>
          <w:sz w:val="22"/>
        </w:rPr>
      </w:pPr>
    </w:p>
    <w:p w:rsidR="00000000" w:rsidRDefault="00000000">
      <w:pPr>
        <w:pStyle w:val="BodyText"/>
        <w:rPr>
          <w:b/>
          <w:sz w:val="22"/>
          <w:u w:val="single"/>
        </w:rPr>
      </w:pPr>
      <w:r>
        <w:rPr>
          <w:b/>
          <w:sz w:val="22"/>
        </w:rPr>
        <w:t xml:space="preserve">B - </w:t>
      </w:r>
      <w:r>
        <w:rPr>
          <w:b/>
          <w:sz w:val="22"/>
          <w:u w:val="single"/>
        </w:rPr>
        <w:t>Le domicile de la femme mariée</w:t>
      </w:r>
    </w:p>
    <w:p w:rsidR="00000000" w:rsidRDefault="00000000">
      <w:pPr>
        <w:pStyle w:val="BodyText"/>
        <w:jc w:val="left"/>
        <w:rPr>
          <w:sz w:val="22"/>
        </w:rPr>
      </w:pPr>
    </w:p>
    <w:p w:rsidR="00000000" w:rsidRDefault="00000000">
      <w:pPr>
        <w:pStyle w:val="BodyText"/>
        <w:jc w:val="left"/>
        <w:rPr>
          <w:sz w:val="22"/>
        </w:rPr>
      </w:pPr>
      <w:r>
        <w:rPr>
          <w:sz w:val="22"/>
        </w:rPr>
        <w:t>Le domicile du couple est choisi d’un commun accord par les époux. Ce n’est qu’en cas de désaccord que le mari décide.</w:t>
      </w:r>
    </w:p>
    <w:p w:rsidR="00000000" w:rsidRDefault="00000000">
      <w:pPr>
        <w:pStyle w:val="BodyText"/>
        <w:jc w:val="left"/>
        <w:rPr>
          <w:sz w:val="22"/>
        </w:rPr>
      </w:pPr>
    </w:p>
    <w:p w:rsidR="00000000" w:rsidRDefault="00000000">
      <w:r>
        <w:br w:type="page"/>
      </w:r>
    </w:p>
    <w:tbl>
      <w:tblPr>
        <w:tblW w:w="0" w:type="auto"/>
        <w:tblInd w:w="1204" w:type="dxa"/>
        <w:tblLayout w:type="fixed"/>
        <w:tblCellMar>
          <w:left w:w="70" w:type="dxa"/>
          <w:right w:w="70" w:type="dxa"/>
        </w:tblCellMar>
        <w:tblLook w:val="0000" w:firstRow="0" w:lastRow="0" w:firstColumn="0" w:lastColumn="0" w:noHBand="0" w:noVBand="0"/>
      </w:tblPr>
      <w:tblGrid>
        <w:gridCol w:w="2268"/>
        <w:gridCol w:w="5738"/>
      </w:tblGrid>
      <w:tr w:rsidR="00000000">
        <w:tblPrEx>
          <w:tblCellMar>
            <w:top w:w="0" w:type="dxa"/>
            <w:bottom w:w="0" w:type="dxa"/>
          </w:tblCellMar>
        </w:tblPrEx>
        <w:tc>
          <w:tcPr>
            <w:tcW w:w="2268" w:type="dxa"/>
          </w:tcPr>
          <w:p w:rsidR="00000000" w:rsidRDefault="00000000">
            <w:pPr>
              <w:pStyle w:val="BodyText"/>
            </w:pPr>
            <w:r>
              <w:rPr>
                <w:b/>
                <w:u w:val="single"/>
              </w:rPr>
              <w:t>CHAPITRE XVI</w:t>
            </w:r>
            <w:r>
              <w:rPr>
                <w:b/>
              </w:rPr>
              <w:t> :</w:t>
            </w:r>
          </w:p>
        </w:tc>
        <w:tc>
          <w:tcPr>
            <w:tcW w:w="5738" w:type="dxa"/>
          </w:tcPr>
          <w:p w:rsidR="00000000" w:rsidRDefault="00000000">
            <w:pPr>
              <w:pStyle w:val="BodyText"/>
              <w:rPr>
                <w:u w:val="single"/>
              </w:rPr>
            </w:pPr>
            <w:r>
              <w:rPr>
                <w:b/>
                <w:caps/>
                <w:u w:val="single"/>
              </w:rPr>
              <w:t xml:space="preserve">le mariage </w:t>
            </w:r>
          </w:p>
        </w:tc>
      </w:tr>
    </w:tbl>
    <w:p w:rsidR="00000000" w:rsidRDefault="00000000">
      <w:pPr>
        <w:pStyle w:val="BodyText"/>
        <w:rPr>
          <w:sz w:val="22"/>
        </w:rPr>
      </w:pPr>
    </w:p>
    <w:p w:rsidR="00000000" w:rsidRDefault="00000000">
      <w:pPr>
        <w:pStyle w:val="BodyText"/>
        <w:rPr>
          <w:b/>
          <w:sz w:val="22"/>
        </w:rPr>
      </w:pPr>
      <w:r>
        <w:rPr>
          <w:b/>
          <w:sz w:val="22"/>
          <w:u w:val="single"/>
        </w:rPr>
        <w:t>Article 16 </w:t>
      </w:r>
      <w:r>
        <w:rPr>
          <w:b/>
          <w:sz w:val="22"/>
        </w:rPr>
        <w:t>:</w:t>
      </w:r>
    </w:p>
    <w:p w:rsidR="00000000" w:rsidRDefault="00000000">
      <w:pPr>
        <w:pStyle w:val="BodyText"/>
        <w:rPr>
          <w:i/>
          <w:sz w:val="22"/>
        </w:rPr>
      </w:pPr>
      <w:r>
        <w:rPr>
          <w:i/>
          <w:sz w:val="22"/>
        </w:rPr>
        <w:t>« </w:t>
      </w:r>
    </w:p>
    <w:p w:rsidR="00000000" w:rsidRDefault="00000000">
      <w:pPr>
        <w:pStyle w:val="BodyText"/>
        <w:numPr>
          <w:ilvl w:val="0"/>
          <w:numId w:val="202"/>
        </w:numPr>
        <w:rPr>
          <w:i/>
          <w:sz w:val="22"/>
        </w:rPr>
      </w:pPr>
      <w:r>
        <w:rPr>
          <w:i/>
          <w:sz w:val="22"/>
        </w:rPr>
        <w:t>Les États parties reconnaissent à l’égard des femmes dans toutes les questions découlant du mariage et dans les rapports familiaux et, en particulier, assurent, sur la base de l’égalité de l’homme et de la femme :</w:t>
      </w:r>
    </w:p>
    <w:p w:rsidR="00000000" w:rsidRDefault="00000000">
      <w:pPr>
        <w:pStyle w:val="BodyText"/>
        <w:numPr>
          <w:ilvl w:val="0"/>
          <w:numId w:val="203"/>
        </w:numPr>
        <w:rPr>
          <w:i/>
          <w:sz w:val="22"/>
        </w:rPr>
      </w:pPr>
      <w:r>
        <w:rPr>
          <w:i/>
          <w:sz w:val="22"/>
        </w:rPr>
        <w:t>Le même droit de contracter mariage ;</w:t>
      </w:r>
    </w:p>
    <w:p w:rsidR="00000000" w:rsidRDefault="00000000">
      <w:pPr>
        <w:pStyle w:val="BodyText"/>
        <w:numPr>
          <w:ilvl w:val="0"/>
          <w:numId w:val="203"/>
        </w:numPr>
        <w:rPr>
          <w:i/>
          <w:sz w:val="22"/>
        </w:rPr>
      </w:pPr>
      <w:r>
        <w:rPr>
          <w:i/>
          <w:sz w:val="22"/>
        </w:rPr>
        <w:t>Le même droit de choisir librement son conjoint et de ne contracter mariage que de son libre et plein consentement ;</w:t>
      </w:r>
    </w:p>
    <w:p w:rsidR="00000000" w:rsidRDefault="00000000">
      <w:pPr>
        <w:pStyle w:val="BodyText"/>
        <w:numPr>
          <w:ilvl w:val="0"/>
          <w:numId w:val="203"/>
        </w:numPr>
        <w:rPr>
          <w:i/>
          <w:sz w:val="22"/>
        </w:rPr>
      </w:pPr>
      <w:r>
        <w:rPr>
          <w:i/>
          <w:sz w:val="22"/>
        </w:rPr>
        <w:t>Les mêmes droits et les mêmes responsabilités au cours du mariage et lors de sa dissolution ;</w:t>
      </w:r>
    </w:p>
    <w:p w:rsidR="00000000" w:rsidRDefault="00000000">
      <w:pPr>
        <w:pStyle w:val="BodyText"/>
        <w:numPr>
          <w:ilvl w:val="0"/>
          <w:numId w:val="203"/>
        </w:numPr>
        <w:rPr>
          <w:i/>
          <w:sz w:val="22"/>
        </w:rPr>
      </w:pPr>
      <w:r>
        <w:rPr>
          <w:i/>
          <w:sz w:val="22"/>
        </w:rPr>
        <w:t>Les mêmes droits et les mêmes responsabilités en tant que parents, quel que soit leur état matrimonial, pour les questions se rapportant à leurs enfants ; dans tous les cas, l’intérêt des enfants est la considération primordiale ;</w:t>
      </w:r>
    </w:p>
    <w:p w:rsidR="00000000" w:rsidRDefault="00000000">
      <w:pPr>
        <w:pStyle w:val="BodyText"/>
        <w:numPr>
          <w:ilvl w:val="0"/>
          <w:numId w:val="203"/>
        </w:numPr>
        <w:rPr>
          <w:i/>
          <w:sz w:val="22"/>
        </w:rPr>
      </w:pPr>
      <w:r>
        <w:rPr>
          <w:i/>
          <w:sz w:val="22"/>
        </w:rPr>
        <w:t>Les mêmes droits de décider librement et en toute connaissance de cause du nombre et de l’espacement des naissances et d’avoir accès aux informations, à l’éducation et aux moyens nécessaires pour leur permettre d’exercer ces droits ;</w:t>
      </w:r>
    </w:p>
    <w:p w:rsidR="00000000" w:rsidRDefault="00000000">
      <w:pPr>
        <w:pStyle w:val="BodyText"/>
        <w:numPr>
          <w:ilvl w:val="0"/>
          <w:numId w:val="203"/>
        </w:numPr>
        <w:rPr>
          <w:i/>
          <w:sz w:val="22"/>
        </w:rPr>
      </w:pPr>
      <w:r>
        <w:rPr>
          <w:i/>
          <w:sz w:val="22"/>
        </w:rPr>
        <w:t>Les mêmes droits et responsabilités en matière de tutelle, de curatelle, de garde et d’adoption des enfants, ou d’institutions similaires, lorsque ces concepts existent dans la législation nationale ; dans tous les cas, l’intérêt des enfants est la considération primordiale ;</w:t>
      </w:r>
    </w:p>
    <w:p w:rsidR="00000000" w:rsidRDefault="00000000">
      <w:pPr>
        <w:pStyle w:val="BodyText"/>
        <w:numPr>
          <w:ilvl w:val="0"/>
          <w:numId w:val="203"/>
        </w:numPr>
        <w:rPr>
          <w:i/>
          <w:sz w:val="22"/>
        </w:rPr>
      </w:pPr>
      <w:r>
        <w:rPr>
          <w:i/>
          <w:sz w:val="22"/>
        </w:rPr>
        <w:t>Les mêmes droits personnels au mari et à la femme, y compris en ce qui concerne le choix du nom de famille, d’une profession et d’une occupation ;</w:t>
      </w:r>
    </w:p>
    <w:p w:rsidR="00000000" w:rsidRDefault="00000000">
      <w:pPr>
        <w:pStyle w:val="BodyText"/>
        <w:numPr>
          <w:ilvl w:val="0"/>
          <w:numId w:val="203"/>
        </w:numPr>
        <w:rPr>
          <w:i/>
          <w:sz w:val="22"/>
        </w:rPr>
      </w:pPr>
      <w:r>
        <w:rPr>
          <w:i/>
          <w:sz w:val="22"/>
        </w:rPr>
        <w:t>Les mêmes droits à chacun des époux en matière de propriété, d’acquisition, de gestion, d’administration, de jouissance et de disposition des biens, tant à titre gratuit qu’à titre onéreux ;</w:t>
      </w:r>
    </w:p>
    <w:p w:rsidR="00000000" w:rsidRDefault="00000000">
      <w:pPr>
        <w:pStyle w:val="BodyText"/>
        <w:rPr>
          <w:i/>
          <w:sz w:val="22"/>
        </w:rPr>
      </w:pPr>
    </w:p>
    <w:p w:rsidR="00000000" w:rsidRDefault="00000000">
      <w:pPr>
        <w:pStyle w:val="BodyText"/>
        <w:numPr>
          <w:ilvl w:val="0"/>
          <w:numId w:val="202"/>
        </w:numPr>
        <w:rPr>
          <w:i/>
          <w:sz w:val="22"/>
        </w:rPr>
      </w:pPr>
      <w:r>
        <w:rPr>
          <w:i/>
          <w:sz w:val="22"/>
        </w:rPr>
        <w:t>Les fiançailles et les mariages d’enfants n’ont pas d’effets juridiques et toutes les mesures nécessaires, y compris des dispositions législatives, sont prises afin de fixer un âge minimal pour le mariage et de rendre obligatoire l’inscription du mariage sur un registre officiel. »</w:t>
      </w:r>
    </w:p>
    <w:p w:rsidR="00000000" w:rsidRDefault="00000000">
      <w:pPr>
        <w:pStyle w:val="BodyText"/>
        <w:rPr>
          <w:sz w:val="22"/>
        </w:rPr>
      </w:pPr>
    </w:p>
    <w:p w:rsidR="00000000" w:rsidRDefault="00000000">
      <w:pPr>
        <w:jc w:val="both"/>
        <w:rPr>
          <w:sz w:val="22"/>
        </w:rPr>
      </w:pPr>
      <w:r>
        <w:rPr>
          <w:sz w:val="22"/>
        </w:rPr>
        <w:t>Cet article concerne le mariage et les droits et devoirs en découlant ; son analyse nécessite que soient examinées certaines dispositions du code de la famille. Promulgué le 17 octobre 1984, le code de la famille est entré en vigueur un an après. Il a officiellement mis fin à l’application des textes du code civil français et des diverses coutumes dans le domaine du mariage, de la filiation et des successions. Le code de la famille avait donc pour but d’uniformiser l’ensemble des règles traitant de la matière.</w:t>
      </w:r>
    </w:p>
    <w:p w:rsidR="00000000" w:rsidRDefault="00000000">
      <w:pPr>
        <w:jc w:val="both"/>
        <w:rPr>
          <w:sz w:val="22"/>
        </w:rPr>
      </w:pPr>
    </w:p>
    <w:p w:rsidR="00000000" w:rsidRDefault="00000000">
      <w:pPr>
        <w:jc w:val="both"/>
        <w:rPr>
          <w:sz w:val="22"/>
        </w:rPr>
      </w:pPr>
      <w:r>
        <w:rPr>
          <w:sz w:val="22"/>
        </w:rPr>
        <w:t>L’article 16 de la CEDAW impose aux États parties une obligation principale, à savoir, celle de prendre toutes les mesures appropriées, pour éliminer la discrimination à l’égard des femmes dans toutes les questions découlant du mariage et dans les rapports familiaux. Cet article peut être divisé en deux (2) parties qui concernent le mariage et les fiançailles.</w:t>
      </w:r>
    </w:p>
    <w:p w:rsidR="00000000" w:rsidRDefault="00000000">
      <w:pPr>
        <w:jc w:val="both"/>
        <w:rPr>
          <w:sz w:val="22"/>
        </w:rPr>
      </w:pPr>
    </w:p>
    <w:p w:rsidR="00000000" w:rsidRDefault="00000000">
      <w:pPr>
        <w:jc w:val="both"/>
        <w:rPr>
          <w:sz w:val="22"/>
        </w:rPr>
      </w:pPr>
      <w:r>
        <w:rPr>
          <w:sz w:val="22"/>
        </w:rPr>
        <w:t>Dans chaque partie, il sera tout d’abord fait état du droit positif, c’est à dire des dispositions législatives en vigueur avant de relever les points contraires aux dispositions de la CEDAW ou tout simplement ceux qui posent quelques difficultés. Les moyens de les harmoniser avec les dites dispositions seront proposés après l’examen de ces deux grandes parties.</w:t>
      </w:r>
    </w:p>
    <w:p w:rsidR="00000000" w:rsidRDefault="00000000">
      <w:pPr>
        <w:jc w:val="both"/>
        <w:rPr>
          <w:sz w:val="22"/>
        </w:rPr>
      </w:pPr>
    </w:p>
    <w:p w:rsidR="00000000" w:rsidRDefault="00000000">
      <w:pPr>
        <w:jc w:val="both"/>
        <w:rPr>
          <w:sz w:val="22"/>
        </w:rPr>
      </w:pPr>
    </w:p>
    <w:p w:rsidR="00000000" w:rsidRDefault="00000000">
      <w:pPr>
        <w:jc w:val="both"/>
        <w:rPr>
          <w:b/>
          <w:sz w:val="22"/>
          <w:u w:val="single"/>
        </w:rPr>
      </w:pPr>
      <w:r>
        <w:rPr>
          <w:b/>
          <w:sz w:val="22"/>
          <w:u w:val="single"/>
        </w:rPr>
        <w:br w:type="page"/>
        <w:t>SECTION</w:t>
      </w:r>
      <w:r>
        <w:rPr>
          <w:b/>
          <w:sz w:val="22"/>
        </w:rPr>
        <w:t xml:space="preserve"> I - </w:t>
      </w:r>
      <w:r>
        <w:rPr>
          <w:b/>
          <w:sz w:val="22"/>
          <w:u w:val="single"/>
        </w:rPr>
        <w:t>Les fiançailles</w:t>
      </w:r>
      <w:r>
        <w:rPr>
          <w:b/>
          <w:sz w:val="22"/>
        </w:rPr>
        <w:t> :</w:t>
      </w:r>
    </w:p>
    <w:p w:rsidR="00000000" w:rsidRDefault="00000000">
      <w:pPr>
        <w:jc w:val="both"/>
        <w:rPr>
          <w:sz w:val="22"/>
        </w:rPr>
      </w:pPr>
    </w:p>
    <w:p w:rsidR="00000000" w:rsidRDefault="00000000">
      <w:pPr>
        <w:jc w:val="both"/>
        <w:rPr>
          <w:sz w:val="22"/>
        </w:rPr>
      </w:pPr>
      <w:r>
        <w:rPr>
          <w:sz w:val="22"/>
        </w:rPr>
        <w:t>Les fiançailles sont cette période qui précède le mariage et qui naît de la promesse faite par deux personnes de se prendre pour mari et femme.</w:t>
      </w:r>
    </w:p>
    <w:p w:rsidR="00000000" w:rsidRDefault="00000000">
      <w:pPr>
        <w:jc w:val="both"/>
        <w:rPr>
          <w:sz w:val="22"/>
        </w:rPr>
      </w:pPr>
    </w:p>
    <w:p w:rsidR="00000000" w:rsidRDefault="00000000">
      <w:pPr>
        <w:jc w:val="both"/>
        <w:rPr>
          <w:b/>
          <w:sz w:val="22"/>
        </w:rPr>
      </w:pPr>
      <w:r>
        <w:rPr>
          <w:b/>
          <w:sz w:val="22"/>
        </w:rPr>
        <w:t xml:space="preserve">I - </w:t>
      </w:r>
      <w:r>
        <w:rPr>
          <w:b/>
          <w:sz w:val="22"/>
          <w:u w:val="single"/>
        </w:rPr>
        <w:t>État du droit positif</w:t>
      </w:r>
      <w:r>
        <w:rPr>
          <w:b/>
          <w:sz w:val="22"/>
        </w:rPr>
        <w:t> :</w:t>
      </w:r>
    </w:p>
    <w:p w:rsidR="00000000" w:rsidRDefault="00000000">
      <w:pPr>
        <w:jc w:val="both"/>
        <w:rPr>
          <w:sz w:val="22"/>
        </w:rPr>
      </w:pPr>
    </w:p>
    <w:p w:rsidR="00000000" w:rsidRDefault="00000000">
      <w:pPr>
        <w:jc w:val="both"/>
        <w:rPr>
          <w:sz w:val="22"/>
        </w:rPr>
      </w:pPr>
      <w:r>
        <w:rPr>
          <w:sz w:val="22"/>
        </w:rPr>
        <w:t>Le législateur congolais n’organise pas les fiançailles, le code de la famille fait plutôt état, en son article 122, du pré mariage qui est « une convention solennelle par laquelle un homme et une femme, avec l’accord de leur famille, et au besoin en présence du président du comité du village ou du chef  de bloc, ou de leur représentant, se promettent mutuellement mariage ». Outre son caractère obligatoire, la particularité du pré mariage réside en ce qu’il peut être célébré après le mariage (article 123 du code de la famille).</w:t>
      </w:r>
    </w:p>
    <w:p w:rsidR="00000000" w:rsidRDefault="00000000">
      <w:pPr>
        <w:jc w:val="both"/>
        <w:rPr>
          <w:sz w:val="22"/>
        </w:rPr>
      </w:pPr>
    </w:p>
    <w:p w:rsidR="00000000" w:rsidRDefault="00000000">
      <w:pPr>
        <w:jc w:val="both"/>
        <w:rPr>
          <w:b/>
          <w:sz w:val="22"/>
        </w:rPr>
      </w:pPr>
      <w:r>
        <w:rPr>
          <w:b/>
          <w:sz w:val="22"/>
        </w:rPr>
        <w:t xml:space="preserve">A - </w:t>
      </w:r>
      <w:r>
        <w:rPr>
          <w:b/>
          <w:sz w:val="22"/>
          <w:u w:val="single"/>
        </w:rPr>
        <w:t>Conditions de fond</w:t>
      </w:r>
      <w:r>
        <w:rPr>
          <w:b/>
          <w:sz w:val="22"/>
        </w:rPr>
        <w:t> :</w:t>
      </w:r>
    </w:p>
    <w:p w:rsidR="00000000" w:rsidRDefault="00000000">
      <w:pPr>
        <w:jc w:val="both"/>
        <w:rPr>
          <w:sz w:val="22"/>
        </w:rPr>
      </w:pPr>
    </w:p>
    <w:p w:rsidR="00000000" w:rsidRDefault="00000000">
      <w:pPr>
        <w:jc w:val="both"/>
        <w:rPr>
          <w:sz w:val="22"/>
        </w:rPr>
      </w:pPr>
      <w:r>
        <w:rPr>
          <w:sz w:val="22"/>
        </w:rPr>
        <w:t>Elles concernent le consentement et l’âge des pré mariés :</w:t>
      </w:r>
    </w:p>
    <w:p w:rsidR="00000000" w:rsidRDefault="00000000">
      <w:pPr>
        <w:numPr>
          <w:ilvl w:val="0"/>
          <w:numId w:val="77"/>
        </w:numPr>
        <w:jc w:val="both"/>
        <w:rPr>
          <w:sz w:val="22"/>
        </w:rPr>
      </w:pPr>
      <w:r>
        <w:rPr>
          <w:sz w:val="22"/>
        </w:rPr>
        <w:t>les pré mariés doivent personnellement donner leur consentement</w:t>
      </w:r>
      <w:r>
        <w:rPr>
          <w:rStyle w:val="FootnoteReference"/>
          <w:sz w:val="22"/>
        </w:rPr>
        <w:footnoteReference w:id="20"/>
      </w:r>
      <w:r>
        <w:rPr>
          <w:sz w:val="22"/>
        </w:rPr>
        <w:t>, qui doit être libre ;</w:t>
      </w:r>
    </w:p>
    <w:p w:rsidR="00000000" w:rsidRDefault="00000000">
      <w:pPr>
        <w:numPr>
          <w:ilvl w:val="0"/>
          <w:numId w:val="77"/>
        </w:numPr>
        <w:jc w:val="both"/>
        <w:rPr>
          <w:sz w:val="22"/>
        </w:rPr>
      </w:pPr>
      <w:r>
        <w:rPr>
          <w:sz w:val="22"/>
        </w:rPr>
        <w:t>l’âge minimum des pré mariés n’est pas fixé.</w:t>
      </w:r>
    </w:p>
    <w:p w:rsidR="00000000" w:rsidRDefault="00000000">
      <w:pPr>
        <w:jc w:val="both"/>
        <w:rPr>
          <w:sz w:val="22"/>
        </w:rPr>
      </w:pPr>
    </w:p>
    <w:p w:rsidR="00000000" w:rsidRDefault="00000000">
      <w:pPr>
        <w:jc w:val="both"/>
        <w:rPr>
          <w:b/>
          <w:sz w:val="22"/>
        </w:rPr>
      </w:pPr>
      <w:r>
        <w:rPr>
          <w:b/>
          <w:sz w:val="22"/>
        </w:rPr>
        <w:t xml:space="preserve">B - </w:t>
      </w:r>
      <w:r>
        <w:rPr>
          <w:b/>
          <w:sz w:val="22"/>
          <w:u w:val="single"/>
        </w:rPr>
        <w:t>Effet</w:t>
      </w:r>
      <w:r>
        <w:rPr>
          <w:b/>
          <w:sz w:val="22"/>
        </w:rPr>
        <w:t> :</w:t>
      </w:r>
    </w:p>
    <w:p w:rsidR="00000000" w:rsidRDefault="00000000">
      <w:pPr>
        <w:jc w:val="both"/>
        <w:rPr>
          <w:sz w:val="22"/>
        </w:rPr>
      </w:pPr>
    </w:p>
    <w:p w:rsidR="00000000" w:rsidRDefault="00000000">
      <w:pPr>
        <w:jc w:val="both"/>
        <w:rPr>
          <w:sz w:val="22"/>
        </w:rPr>
      </w:pPr>
      <w:r>
        <w:rPr>
          <w:sz w:val="22"/>
        </w:rPr>
        <w:t>Le pré mariage est sans effet</w:t>
      </w:r>
      <w:r>
        <w:rPr>
          <w:sz w:val="22"/>
          <w:vertAlign w:val="superscript"/>
        </w:rPr>
        <w:t>7</w:t>
      </w:r>
      <w:r>
        <w:rPr>
          <w:sz w:val="22"/>
        </w:rPr>
        <w:t xml:space="preserve"> juridique à l’égard des tiers :</w:t>
      </w:r>
    </w:p>
    <w:p w:rsidR="00000000" w:rsidRDefault="00000000">
      <w:pPr>
        <w:jc w:val="both"/>
        <w:rPr>
          <w:sz w:val="22"/>
        </w:rPr>
      </w:pPr>
    </w:p>
    <w:p w:rsidR="00000000" w:rsidRDefault="00000000">
      <w:pPr>
        <w:numPr>
          <w:ilvl w:val="0"/>
          <w:numId w:val="78"/>
        </w:numPr>
        <w:jc w:val="both"/>
        <w:rPr>
          <w:sz w:val="22"/>
        </w:rPr>
      </w:pPr>
      <w:r>
        <w:rPr>
          <w:sz w:val="22"/>
        </w:rPr>
        <w:t>les pré mariés se doivent mutuellement respect et s’ils cohabitent, ils sont placés sous le régime de la séparation des biens. Ils ne peuvent, néanmoins, succéder l’un à l’autre.</w:t>
      </w:r>
    </w:p>
    <w:p w:rsidR="00000000" w:rsidRDefault="00000000">
      <w:pPr>
        <w:numPr>
          <w:ilvl w:val="0"/>
          <w:numId w:val="78"/>
        </w:numPr>
        <w:jc w:val="both"/>
        <w:rPr>
          <w:sz w:val="22"/>
        </w:rPr>
      </w:pPr>
      <w:r>
        <w:rPr>
          <w:sz w:val="22"/>
        </w:rPr>
        <w:t>en cas d’homicide commis sur la personne du pré marie, l’autre pré marié peut se prévaloir d’un préjudice.</w:t>
      </w:r>
    </w:p>
    <w:p w:rsidR="00000000" w:rsidRDefault="00000000">
      <w:pPr>
        <w:jc w:val="both"/>
        <w:rPr>
          <w:sz w:val="22"/>
        </w:rPr>
      </w:pPr>
    </w:p>
    <w:p w:rsidR="00000000" w:rsidRDefault="00000000">
      <w:pPr>
        <w:jc w:val="both"/>
        <w:rPr>
          <w:b/>
          <w:sz w:val="22"/>
        </w:rPr>
      </w:pPr>
      <w:r>
        <w:rPr>
          <w:b/>
          <w:sz w:val="22"/>
        </w:rPr>
        <w:t xml:space="preserve">C - </w:t>
      </w:r>
      <w:r>
        <w:rPr>
          <w:b/>
          <w:sz w:val="22"/>
          <w:u w:val="single"/>
        </w:rPr>
        <w:t>Rupture </w:t>
      </w:r>
      <w:r>
        <w:rPr>
          <w:b/>
          <w:sz w:val="22"/>
        </w:rPr>
        <w:t>:</w:t>
      </w:r>
    </w:p>
    <w:p w:rsidR="00000000" w:rsidRDefault="00000000">
      <w:pPr>
        <w:jc w:val="both"/>
        <w:rPr>
          <w:sz w:val="22"/>
        </w:rPr>
      </w:pPr>
    </w:p>
    <w:p w:rsidR="00000000" w:rsidRDefault="00000000">
      <w:pPr>
        <w:jc w:val="both"/>
        <w:rPr>
          <w:sz w:val="22"/>
        </w:rPr>
      </w:pPr>
      <w:r>
        <w:rPr>
          <w:sz w:val="22"/>
        </w:rPr>
        <w:t>L’article 126 du code de la famille reconnaît à chacun des pré mariés le droit de décider de la rupture du pré mariage, après concertation des deux familles. Toute rupture abusive peut donner lieu au remboursement des frais occasionnés par le pré mariage et à des dommages intérêts, conformément aux dispositions générales relatives à la responsabilité civile.</w:t>
      </w:r>
    </w:p>
    <w:p w:rsidR="00000000" w:rsidRDefault="00000000">
      <w:pPr>
        <w:jc w:val="both"/>
        <w:rPr>
          <w:sz w:val="22"/>
        </w:rPr>
      </w:pPr>
    </w:p>
    <w:p w:rsidR="00000000" w:rsidRDefault="00000000">
      <w:pPr>
        <w:jc w:val="both"/>
        <w:rPr>
          <w:sz w:val="22"/>
        </w:rPr>
      </w:pPr>
      <w:r>
        <w:rPr>
          <w:sz w:val="22"/>
        </w:rPr>
        <w:t>La prolongation du pré mariage au-delà de cinq ans peut être considérée comme abusive.</w:t>
      </w:r>
    </w:p>
    <w:p w:rsidR="00000000" w:rsidRDefault="00000000">
      <w:pPr>
        <w:jc w:val="both"/>
        <w:rPr>
          <w:sz w:val="22"/>
        </w:rPr>
      </w:pPr>
    </w:p>
    <w:p w:rsidR="00000000" w:rsidRDefault="00000000">
      <w:pPr>
        <w:jc w:val="both"/>
        <w:rPr>
          <w:b/>
          <w:sz w:val="22"/>
        </w:rPr>
      </w:pPr>
      <w:r>
        <w:rPr>
          <w:b/>
          <w:sz w:val="22"/>
        </w:rPr>
        <w:t xml:space="preserve">II - </w:t>
      </w:r>
      <w:r>
        <w:rPr>
          <w:b/>
          <w:sz w:val="22"/>
          <w:u w:val="single"/>
        </w:rPr>
        <w:t>Difficultés relevées</w:t>
      </w:r>
      <w:r>
        <w:rPr>
          <w:b/>
          <w:sz w:val="22"/>
        </w:rPr>
        <w:t> :</w:t>
      </w:r>
    </w:p>
    <w:p w:rsidR="00000000" w:rsidRDefault="00000000">
      <w:pPr>
        <w:jc w:val="both"/>
        <w:rPr>
          <w:sz w:val="22"/>
        </w:rPr>
      </w:pPr>
    </w:p>
    <w:p w:rsidR="00000000" w:rsidRDefault="00000000">
      <w:pPr>
        <w:jc w:val="both"/>
        <w:rPr>
          <w:sz w:val="22"/>
        </w:rPr>
      </w:pPr>
      <w:r>
        <w:rPr>
          <w:sz w:val="22"/>
        </w:rPr>
        <w:t>Les difficultés relevées sont de trois (3) ordres.</w:t>
      </w:r>
    </w:p>
    <w:p w:rsidR="00000000" w:rsidRDefault="00000000">
      <w:pPr>
        <w:jc w:val="both"/>
        <w:rPr>
          <w:sz w:val="22"/>
        </w:rPr>
      </w:pPr>
      <w:r>
        <w:rPr>
          <w:sz w:val="22"/>
        </w:rPr>
        <w:t xml:space="preserve">La principale concerne la non fixation de l’âge minimum des pré mariés alors que le législateur leur reconnaît la possibilité de cohabiter. </w:t>
      </w:r>
    </w:p>
    <w:p w:rsidR="00000000" w:rsidRDefault="00000000">
      <w:pPr>
        <w:jc w:val="both"/>
        <w:rPr>
          <w:sz w:val="22"/>
        </w:rPr>
      </w:pPr>
    </w:p>
    <w:p w:rsidR="00000000" w:rsidRDefault="00000000">
      <w:pPr>
        <w:jc w:val="both"/>
        <w:rPr>
          <w:sz w:val="22"/>
        </w:rPr>
      </w:pPr>
      <w:r>
        <w:rPr>
          <w:sz w:val="22"/>
        </w:rPr>
        <w:t>Il ne sera donc pas étonnant de voir des pré mariés dont l’un d’eux, généralement la femme, est encore mineur.</w:t>
      </w:r>
    </w:p>
    <w:p w:rsidR="00000000" w:rsidRDefault="00000000">
      <w:pPr>
        <w:pStyle w:val="BodyText3"/>
        <w:rPr>
          <w:sz w:val="22"/>
        </w:rPr>
      </w:pPr>
      <w:r>
        <w:rPr>
          <w:sz w:val="22"/>
        </w:rPr>
        <w:t>Ce problème d’âge mérite de retenir l’attention des gouvernants car dans notre société, la majorité de couples cohabite sans être mariés à l’État civil.</w:t>
      </w:r>
    </w:p>
    <w:p w:rsidR="00000000" w:rsidRDefault="00000000">
      <w:pPr>
        <w:jc w:val="both"/>
        <w:rPr>
          <w:sz w:val="22"/>
        </w:rPr>
      </w:pPr>
    </w:p>
    <w:p w:rsidR="00000000" w:rsidRDefault="00000000">
      <w:pPr>
        <w:jc w:val="both"/>
        <w:rPr>
          <w:sz w:val="22"/>
        </w:rPr>
      </w:pPr>
      <w:r>
        <w:rPr>
          <w:sz w:val="22"/>
        </w:rPr>
        <w:t>La deuxième difficulté est que le pré mariage n’emporte aucun effet patrimonial. Ainsi, les pré mariés ne peuvent succéder l’un à l’autre. Cette disposition est source de frustration, voire même d’injustice pour les couples dont la cohabitation a été assez longue.</w:t>
      </w:r>
    </w:p>
    <w:p w:rsidR="00000000" w:rsidRDefault="00000000">
      <w:pPr>
        <w:jc w:val="both"/>
        <w:rPr>
          <w:sz w:val="22"/>
        </w:rPr>
      </w:pPr>
    </w:p>
    <w:p w:rsidR="00000000" w:rsidRDefault="00000000">
      <w:pPr>
        <w:jc w:val="both"/>
        <w:rPr>
          <w:sz w:val="22"/>
        </w:rPr>
      </w:pPr>
      <w:r>
        <w:rPr>
          <w:sz w:val="22"/>
        </w:rPr>
        <w:t>La dernière difficulté que nous avons relevée porte sur l’obligation imposée par l’article 124 de consulter les deux familles lorsque l’un des pré mariés décide de la rupture.</w:t>
      </w:r>
    </w:p>
    <w:p w:rsidR="00000000" w:rsidRDefault="00000000">
      <w:pPr>
        <w:jc w:val="both"/>
        <w:rPr>
          <w:sz w:val="22"/>
        </w:rPr>
      </w:pPr>
    </w:p>
    <w:p w:rsidR="00000000" w:rsidRDefault="00000000">
      <w:pPr>
        <w:jc w:val="both"/>
        <w:rPr>
          <w:sz w:val="22"/>
        </w:rPr>
      </w:pPr>
      <w:r>
        <w:rPr>
          <w:sz w:val="22"/>
        </w:rPr>
        <w:t>Cette consultation peut être un frein à la liberté qui devait être reconnue à chaque pré marié de rompre le pré mariage surtout que la rupture peut donner lieu au remboursement des frais occasionnés par le pré mariage.</w:t>
      </w:r>
    </w:p>
    <w:p w:rsidR="00000000" w:rsidRDefault="00000000">
      <w:pPr>
        <w:jc w:val="both"/>
        <w:rPr>
          <w:sz w:val="22"/>
        </w:rPr>
      </w:pPr>
    </w:p>
    <w:p w:rsidR="00000000" w:rsidRDefault="00000000">
      <w:pPr>
        <w:jc w:val="both"/>
        <w:rPr>
          <w:b/>
          <w:sz w:val="22"/>
        </w:rPr>
      </w:pPr>
      <w:r>
        <w:rPr>
          <w:b/>
          <w:sz w:val="22"/>
          <w:u w:val="single"/>
        </w:rPr>
        <w:t>SECTION</w:t>
      </w:r>
      <w:r>
        <w:rPr>
          <w:b/>
          <w:sz w:val="22"/>
        </w:rPr>
        <w:t xml:space="preserve"> II - </w:t>
      </w:r>
      <w:r>
        <w:rPr>
          <w:b/>
          <w:sz w:val="22"/>
          <w:u w:val="single"/>
        </w:rPr>
        <w:t>Le mariage</w:t>
      </w:r>
      <w:r>
        <w:rPr>
          <w:b/>
          <w:sz w:val="22"/>
        </w:rPr>
        <w:t> :</w:t>
      </w:r>
    </w:p>
    <w:p w:rsidR="00000000" w:rsidRDefault="00000000">
      <w:pPr>
        <w:jc w:val="both"/>
        <w:rPr>
          <w:sz w:val="22"/>
        </w:rPr>
      </w:pPr>
    </w:p>
    <w:p w:rsidR="00000000" w:rsidRDefault="00000000">
      <w:pPr>
        <w:pStyle w:val="BodyText3"/>
        <w:rPr>
          <w:sz w:val="22"/>
        </w:rPr>
      </w:pPr>
      <w:r>
        <w:rPr>
          <w:sz w:val="22"/>
        </w:rPr>
        <w:t>C’est l’acte public par lequel un homme et une femme établissent entre eux une union légale et durable dont les conditions de formation, les effets et la dissolution sont codifiés.</w:t>
      </w:r>
    </w:p>
    <w:p w:rsidR="00000000" w:rsidRDefault="00000000">
      <w:pPr>
        <w:jc w:val="both"/>
        <w:rPr>
          <w:sz w:val="22"/>
        </w:rPr>
      </w:pPr>
    </w:p>
    <w:p w:rsidR="00000000" w:rsidRDefault="00000000">
      <w:pPr>
        <w:jc w:val="both"/>
        <w:rPr>
          <w:b/>
          <w:sz w:val="22"/>
        </w:rPr>
      </w:pPr>
      <w:r>
        <w:rPr>
          <w:b/>
          <w:sz w:val="22"/>
        </w:rPr>
        <w:t xml:space="preserve">I - </w:t>
      </w:r>
      <w:r>
        <w:rPr>
          <w:b/>
          <w:sz w:val="22"/>
          <w:u w:val="single"/>
        </w:rPr>
        <w:t>Droit positif</w:t>
      </w:r>
      <w:r>
        <w:rPr>
          <w:b/>
          <w:sz w:val="22"/>
        </w:rPr>
        <w:t> :</w:t>
      </w:r>
    </w:p>
    <w:p w:rsidR="00000000" w:rsidRDefault="00000000">
      <w:pPr>
        <w:jc w:val="both"/>
        <w:rPr>
          <w:sz w:val="22"/>
        </w:rPr>
      </w:pPr>
    </w:p>
    <w:p w:rsidR="00000000" w:rsidRDefault="00000000">
      <w:pPr>
        <w:jc w:val="both"/>
        <w:rPr>
          <w:sz w:val="22"/>
        </w:rPr>
      </w:pPr>
      <w:r>
        <w:rPr>
          <w:sz w:val="22"/>
        </w:rPr>
        <w:t>L’article 128 du code de la famille énonce « l’homme avant 21 ans révolus et la femme avant 18 ans révolus, ne peuvent contracter mariage ».</w:t>
      </w:r>
    </w:p>
    <w:p w:rsidR="00000000" w:rsidRDefault="00000000">
      <w:pPr>
        <w:jc w:val="both"/>
        <w:rPr>
          <w:sz w:val="22"/>
        </w:rPr>
      </w:pPr>
    </w:p>
    <w:p w:rsidR="00000000" w:rsidRDefault="00000000">
      <w:pPr>
        <w:jc w:val="both"/>
        <w:rPr>
          <w:sz w:val="22"/>
        </w:rPr>
      </w:pPr>
      <w:r>
        <w:rPr>
          <w:sz w:val="22"/>
        </w:rPr>
        <w:t>La majorité civile au Congo est fixée à 18 ans mais le législateur a délibérément introduit une discrimination portant sur l’âge. Cette discrimination ne semble poser aucun problème. Certainement parce qu’elle rejoint l’opinion communément admise que les jeunes filles se sentent responsables plus tôt que les jeunes gens de leur âge.</w:t>
      </w:r>
    </w:p>
    <w:p w:rsidR="00000000" w:rsidRDefault="00000000">
      <w:pPr>
        <w:jc w:val="both"/>
        <w:rPr>
          <w:sz w:val="22"/>
        </w:rPr>
      </w:pPr>
    </w:p>
    <w:p w:rsidR="00000000" w:rsidRDefault="00000000">
      <w:pPr>
        <w:jc w:val="both"/>
        <w:rPr>
          <w:b/>
          <w:sz w:val="22"/>
        </w:rPr>
      </w:pPr>
      <w:r>
        <w:rPr>
          <w:b/>
          <w:sz w:val="22"/>
        </w:rPr>
        <w:t xml:space="preserve">A - </w:t>
      </w:r>
      <w:r>
        <w:rPr>
          <w:b/>
          <w:sz w:val="22"/>
          <w:u w:val="single"/>
        </w:rPr>
        <w:t>Conditions de fond</w:t>
      </w:r>
      <w:r>
        <w:rPr>
          <w:b/>
          <w:sz w:val="22"/>
        </w:rPr>
        <w:t> :</w:t>
      </w:r>
    </w:p>
    <w:p w:rsidR="00000000" w:rsidRDefault="00000000">
      <w:pPr>
        <w:jc w:val="both"/>
        <w:rPr>
          <w:sz w:val="22"/>
        </w:rPr>
      </w:pPr>
    </w:p>
    <w:p w:rsidR="00000000" w:rsidRDefault="00000000">
      <w:pPr>
        <w:jc w:val="both"/>
        <w:rPr>
          <w:sz w:val="22"/>
        </w:rPr>
      </w:pPr>
      <w:r>
        <w:rPr>
          <w:sz w:val="22"/>
        </w:rPr>
        <w:t>Ce sont les conditions de validité du mariage. Elles concernent l’âge et le consentement des futurs époux.</w:t>
      </w:r>
    </w:p>
    <w:p w:rsidR="00000000" w:rsidRDefault="00000000">
      <w:pPr>
        <w:jc w:val="both"/>
        <w:rPr>
          <w:sz w:val="22"/>
        </w:rPr>
      </w:pPr>
    </w:p>
    <w:p w:rsidR="00000000" w:rsidRDefault="00000000">
      <w:pPr>
        <w:jc w:val="both"/>
        <w:rPr>
          <w:b/>
          <w:sz w:val="22"/>
        </w:rPr>
      </w:pPr>
      <w:r>
        <w:rPr>
          <w:b/>
          <w:sz w:val="22"/>
        </w:rPr>
        <w:t xml:space="preserve">1 - </w:t>
      </w:r>
      <w:r>
        <w:rPr>
          <w:b/>
          <w:sz w:val="22"/>
          <w:u w:val="single"/>
        </w:rPr>
        <w:t>L’âge</w:t>
      </w:r>
      <w:r>
        <w:rPr>
          <w:b/>
          <w:sz w:val="22"/>
        </w:rPr>
        <w:t> :</w:t>
      </w:r>
    </w:p>
    <w:p w:rsidR="00000000" w:rsidRDefault="00000000">
      <w:pPr>
        <w:jc w:val="both"/>
        <w:rPr>
          <w:sz w:val="22"/>
        </w:rPr>
      </w:pPr>
    </w:p>
    <w:p w:rsidR="00000000" w:rsidRDefault="00000000">
      <w:pPr>
        <w:jc w:val="both"/>
        <w:rPr>
          <w:sz w:val="22"/>
        </w:rPr>
      </w:pPr>
      <w:r>
        <w:rPr>
          <w:sz w:val="22"/>
        </w:rPr>
        <w:t>Il est fixé à 18 ans au moins pour la fille et 21 ans pour le garçon. Néanmoins, le procureur de la République peut accorder des dispenses d’âge pour des motifs graves (article 128 alinéa 2).</w:t>
      </w:r>
    </w:p>
    <w:p w:rsidR="00000000" w:rsidRDefault="00000000">
      <w:pPr>
        <w:jc w:val="both"/>
        <w:rPr>
          <w:sz w:val="22"/>
        </w:rPr>
      </w:pPr>
    </w:p>
    <w:p w:rsidR="00000000" w:rsidRDefault="00000000">
      <w:pPr>
        <w:jc w:val="both"/>
        <w:rPr>
          <w:b/>
          <w:sz w:val="22"/>
        </w:rPr>
      </w:pPr>
      <w:r>
        <w:rPr>
          <w:b/>
          <w:sz w:val="22"/>
        </w:rPr>
        <w:t xml:space="preserve">2 - </w:t>
      </w:r>
      <w:r>
        <w:rPr>
          <w:b/>
          <w:sz w:val="22"/>
          <w:u w:val="single"/>
        </w:rPr>
        <w:t>Le consentement</w:t>
      </w:r>
      <w:r>
        <w:rPr>
          <w:b/>
          <w:sz w:val="22"/>
        </w:rPr>
        <w:t> :</w:t>
      </w:r>
    </w:p>
    <w:p w:rsidR="00000000" w:rsidRDefault="00000000">
      <w:pPr>
        <w:jc w:val="both"/>
        <w:rPr>
          <w:sz w:val="22"/>
        </w:rPr>
      </w:pPr>
    </w:p>
    <w:p w:rsidR="00000000" w:rsidRDefault="00000000">
      <w:pPr>
        <w:jc w:val="both"/>
        <w:rPr>
          <w:sz w:val="22"/>
        </w:rPr>
      </w:pPr>
      <w:r>
        <w:rPr>
          <w:sz w:val="22"/>
        </w:rPr>
        <w:t>Aux termes de l’article 129 du code de la famille « chacun des époux, même mineur, doit consentir personnellement au mariage. Le consentement n’est point valable s’il a été extorqué par violence ou s’il n’a été donné que par suite d’une erreur sur l’identité physique, civile ou sur une qualité essentielle telle que l’autre époux n’aurait pas contracté s’il avait connu l’erreur ».</w:t>
      </w:r>
    </w:p>
    <w:p w:rsidR="00000000" w:rsidRDefault="00000000">
      <w:pPr>
        <w:jc w:val="both"/>
        <w:rPr>
          <w:sz w:val="22"/>
        </w:rPr>
      </w:pPr>
    </w:p>
    <w:p w:rsidR="00000000" w:rsidRDefault="00000000">
      <w:pPr>
        <w:jc w:val="both"/>
        <w:rPr>
          <w:sz w:val="22"/>
        </w:rPr>
      </w:pPr>
      <w:r>
        <w:rPr>
          <w:sz w:val="22"/>
        </w:rPr>
        <w:t>Ainsi sont assurés les droits énumérés aux points (a) et (b) de l’article 16 de la CEDAW, à savoir : le même droit pour l’homme et pour la femme de contracter mariage, de choisir librement son conjoint et de ne contracter mariage que de son libre et plein consentement.</w:t>
      </w:r>
    </w:p>
    <w:p w:rsidR="00000000" w:rsidRDefault="00000000">
      <w:pPr>
        <w:jc w:val="both"/>
        <w:rPr>
          <w:sz w:val="22"/>
        </w:rPr>
      </w:pPr>
    </w:p>
    <w:p w:rsidR="00000000" w:rsidRDefault="00000000">
      <w:pPr>
        <w:jc w:val="both"/>
        <w:rPr>
          <w:b/>
          <w:sz w:val="22"/>
        </w:rPr>
      </w:pPr>
      <w:r>
        <w:rPr>
          <w:b/>
          <w:sz w:val="22"/>
        </w:rPr>
        <w:t xml:space="preserve">B - </w:t>
      </w:r>
      <w:r>
        <w:rPr>
          <w:b/>
          <w:sz w:val="22"/>
          <w:u w:val="single"/>
        </w:rPr>
        <w:t>Droits et devoirs</w:t>
      </w:r>
      <w:r>
        <w:rPr>
          <w:b/>
          <w:sz w:val="22"/>
        </w:rPr>
        <w:t> :</w:t>
      </w:r>
    </w:p>
    <w:p w:rsidR="00000000" w:rsidRDefault="00000000">
      <w:pPr>
        <w:jc w:val="both"/>
        <w:rPr>
          <w:sz w:val="22"/>
        </w:rPr>
      </w:pPr>
    </w:p>
    <w:p w:rsidR="00000000" w:rsidRDefault="00000000">
      <w:pPr>
        <w:jc w:val="both"/>
        <w:rPr>
          <w:sz w:val="22"/>
        </w:rPr>
      </w:pPr>
      <w:r>
        <w:rPr>
          <w:sz w:val="22"/>
        </w:rPr>
        <w:t>Les points (c) à (h) de l’article 16 de la CEDAW font état de deux types de droits et de devoirs :</w:t>
      </w:r>
    </w:p>
    <w:p w:rsidR="00000000" w:rsidRDefault="00000000">
      <w:pPr>
        <w:numPr>
          <w:ilvl w:val="0"/>
          <w:numId w:val="83"/>
        </w:numPr>
        <w:jc w:val="both"/>
        <w:rPr>
          <w:sz w:val="22"/>
        </w:rPr>
      </w:pPr>
      <w:r>
        <w:rPr>
          <w:sz w:val="22"/>
        </w:rPr>
        <w:t>les droits et devoirs réciproques des époux ;</w:t>
      </w:r>
    </w:p>
    <w:p w:rsidR="00000000" w:rsidRDefault="00000000">
      <w:pPr>
        <w:numPr>
          <w:ilvl w:val="0"/>
          <w:numId w:val="83"/>
        </w:numPr>
        <w:jc w:val="both"/>
        <w:rPr>
          <w:sz w:val="22"/>
        </w:rPr>
      </w:pPr>
      <w:r>
        <w:rPr>
          <w:sz w:val="22"/>
        </w:rPr>
        <w:t>les droits et devoirs des époux à l’égard de leurs enfants.</w:t>
      </w:r>
    </w:p>
    <w:p w:rsidR="00000000" w:rsidRDefault="00000000">
      <w:pPr>
        <w:jc w:val="both"/>
        <w:rPr>
          <w:sz w:val="22"/>
        </w:rPr>
      </w:pPr>
    </w:p>
    <w:p w:rsidR="00000000" w:rsidRDefault="00000000">
      <w:pPr>
        <w:jc w:val="both"/>
        <w:rPr>
          <w:b/>
          <w:sz w:val="22"/>
        </w:rPr>
      </w:pPr>
      <w:r>
        <w:rPr>
          <w:b/>
          <w:sz w:val="22"/>
        </w:rPr>
        <w:t xml:space="preserve">1 - </w:t>
      </w:r>
      <w:r>
        <w:rPr>
          <w:b/>
          <w:sz w:val="22"/>
          <w:u w:val="single"/>
        </w:rPr>
        <w:t>Droits et devoirs réciproques des époux</w:t>
      </w:r>
      <w:r>
        <w:rPr>
          <w:b/>
          <w:sz w:val="22"/>
        </w:rPr>
        <w:t> :</w:t>
      </w:r>
    </w:p>
    <w:p w:rsidR="00000000" w:rsidRDefault="00000000">
      <w:pPr>
        <w:jc w:val="both"/>
        <w:rPr>
          <w:sz w:val="22"/>
        </w:rPr>
      </w:pPr>
    </w:p>
    <w:p w:rsidR="00000000" w:rsidRDefault="00000000">
      <w:pPr>
        <w:pStyle w:val="BodyText3"/>
        <w:rPr>
          <w:sz w:val="22"/>
        </w:rPr>
      </w:pPr>
      <w:r>
        <w:rPr>
          <w:sz w:val="22"/>
        </w:rPr>
        <w:t>Selon les dispositions de la CEDAW, l’homme et la femme doivent avoir :</w:t>
      </w:r>
    </w:p>
    <w:p w:rsidR="00000000" w:rsidRDefault="00000000">
      <w:pPr>
        <w:jc w:val="both"/>
        <w:rPr>
          <w:sz w:val="22"/>
        </w:rPr>
      </w:pPr>
    </w:p>
    <w:p w:rsidR="00000000" w:rsidRDefault="00000000">
      <w:pPr>
        <w:numPr>
          <w:ilvl w:val="0"/>
          <w:numId w:val="84"/>
        </w:numPr>
        <w:ind w:left="420"/>
        <w:jc w:val="both"/>
        <w:rPr>
          <w:sz w:val="22"/>
        </w:rPr>
      </w:pPr>
      <w:r>
        <w:rPr>
          <w:sz w:val="22"/>
        </w:rPr>
        <w:t>les mêmes droits et les mêmes responsabilités au cours du mariage et lors de sa dissolution ;</w:t>
      </w:r>
    </w:p>
    <w:p w:rsidR="00000000" w:rsidRDefault="00000000">
      <w:pPr>
        <w:numPr>
          <w:ilvl w:val="0"/>
          <w:numId w:val="84"/>
        </w:numPr>
        <w:ind w:left="420"/>
        <w:jc w:val="both"/>
        <w:rPr>
          <w:sz w:val="22"/>
        </w:rPr>
      </w:pPr>
      <w:r>
        <w:rPr>
          <w:sz w:val="22"/>
        </w:rPr>
        <w:t>les mêmes droits de décider librement et en toute connaissance de cause du nombre et de l’espacement des naissances et d’avoir accès aux informations, à l’éducation et aux moyens nécessaires pour leur permettre d’exercer les droits ;</w:t>
      </w:r>
    </w:p>
    <w:p w:rsidR="00000000" w:rsidRDefault="00000000">
      <w:pPr>
        <w:numPr>
          <w:ilvl w:val="0"/>
          <w:numId w:val="84"/>
        </w:numPr>
        <w:ind w:left="420"/>
        <w:jc w:val="both"/>
        <w:rPr>
          <w:sz w:val="22"/>
        </w:rPr>
      </w:pPr>
      <w:r>
        <w:rPr>
          <w:sz w:val="22"/>
        </w:rPr>
        <w:t>les mêmes droits personnels au mari et à la femme, y compris en ce qui concerne le choix du nom de la famille, d’une profession et d’une occupation.</w:t>
      </w:r>
    </w:p>
    <w:p w:rsidR="00000000" w:rsidRDefault="00000000">
      <w:pPr>
        <w:numPr>
          <w:ilvl w:val="0"/>
          <w:numId w:val="84"/>
        </w:numPr>
        <w:ind w:left="420"/>
        <w:jc w:val="both"/>
        <w:rPr>
          <w:sz w:val="22"/>
        </w:rPr>
      </w:pPr>
      <w:r>
        <w:rPr>
          <w:sz w:val="22"/>
        </w:rPr>
        <w:t>les mêmes droits à chacun des époux en matière de propriété, d’acquisition, de gestion, d’administration, de jouissance et de disposition des biens tant à titre gratuit qu’à titre onéreux.</w:t>
      </w:r>
    </w:p>
    <w:p w:rsidR="00000000" w:rsidRDefault="00000000">
      <w:pPr>
        <w:jc w:val="both"/>
        <w:rPr>
          <w:sz w:val="22"/>
        </w:rPr>
      </w:pPr>
    </w:p>
    <w:p w:rsidR="00000000" w:rsidRDefault="00000000">
      <w:pPr>
        <w:jc w:val="both"/>
        <w:rPr>
          <w:sz w:val="22"/>
        </w:rPr>
      </w:pPr>
      <w:r>
        <w:rPr>
          <w:sz w:val="22"/>
        </w:rPr>
        <w:t>Pour ce qui est du cas de notre pays, tous ces droits sont énoncés aux articles 166 à 178 du code de la famille et on peut relever que sur le plan des textes, les époux ont sensiblement les mêmes droits hormis le fait que le mari soit le chef de famille et ait la possibilité d’avoir plusieurs épouses. Il en est de même pour ce qui est de l’information et de l’éducation en matière de planification familiale.</w:t>
      </w:r>
    </w:p>
    <w:p w:rsidR="00000000" w:rsidRDefault="00000000">
      <w:pPr>
        <w:jc w:val="both"/>
        <w:rPr>
          <w:sz w:val="22"/>
        </w:rPr>
      </w:pPr>
    </w:p>
    <w:p w:rsidR="00000000" w:rsidRDefault="00000000">
      <w:pPr>
        <w:jc w:val="both"/>
        <w:rPr>
          <w:sz w:val="22"/>
        </w:rPr>
      </w:pPr>
      <w:r>
        <w:rPr>
          <w:sz w:val="22"/>
        </w:rPr>
        <w:t>On peut, cependant, dire que dans ce dernier domaine, la femme est privilégiée. En effet, elle a à sa disposition, principalement dans les zones urbaines, des services auxquels elle a seule accès et qui sont les services de santé maternelle et infantile, qui donnent à la jeune mère les informations nécessaires sur la planification familiale.</w:t>
      </w:r>
    </w:p>
    <w:p w:rsidR="00000000" w:rsidRDefault="00000000">
      <w:pPr>
        <w:jc w:val="both"/>
        <w:rPr>
          <w:sz w:val="22"/>
        </w:rPr>
      </w:pPr>
    </w:p>
    <w:p w:rsidR="00000000" w:rsidRDefault="00000000">
      <w:pPr>
        <w:jc w:val="both"/>
        <w:rPr>
          <w:sz w:val="22"/>
        </w:rPr>
      </w:pPr>
      <w:r>
        <w:rPr>
          <w:sz w:val="22"/>
        </w:rPr>
        <w:t>Les époux ont encore les mêmes droits en ce qui concerne le choix d’une famille, d’une profession et d’une occupation ; les mêmes droits en matière de propriété, d’acquisition, de gestion, d’administration, de jouissance et de dispositions des biens, tant à titre gratuit qu’à titre onéreux (articles 169, 171 à 177 du code de la famille).</w:t>
      </w:r>
    </w:p>
    <w:p w:rsidR="00000000" w:rsidRDefault="00000000">
      <w:pPr>
        <w:jc w:val="both"/>
        <w:rPr>
          <w:sz w:val="22"/>
        </w:rPr>
      </w:pPr>
    </w:p>
    <w:p w:rsidR="00000000" w:rsidRDefault="00000000">
      <w:pPr>
        <w:jc w:val="both"/>
        <w:rPr>
          <w:b/>
          <w:sz w:val="22"/>
        </w:rPr>
      </w:pPr>
      <w:r>
        <w:rPr>
          <w:b/>
          <w:sz w:val="22"/>
        </w:rPr>
        <w:t xml:space="preserve">2 </w:t>
      </w:r>
      <w:r>
        <w:rPr>
          <w:sz w:val="22"/>
        </w:rPr>
        <w:t xml:space="preserve">- </w:t>
      </w:r>
      <w:r>
        <w:rPr>
          <w:b/>
          <w:sz w:val="22"/>
          <w:u w:val="single"/>
        </w:rPr>
        <w:t>Droits et devoirs des époux à l’égard de leurs enfants</w:t>
      </w:r>
      <w:r>
        <w:rPr>
          <w:b/>
          <w:sz w:val="22"/>
        </w:rPr>
        <w:t> :</w:t>
      </w:r>
    </w:p>
    <w:p w:rsidR="00000000" w:rsidRDefault="00000000">
      <w:pPr>
        <w:jc w:val="both"/>
        <w:rPr>
          <w:sz w:val="22"/>
        </w:rPr>
      </w:pPr>
    </w:p>
    <w:p w:rsidR="00000000" w:rsidRDefault="00000000">
      <w:pPr>
        <w:pStyle w:val="BodyText3"/>
        <w:rPr>
          <w:sz w:val="22"/>
        </w:rPr>
      </w:pPr>
      <w:r>
        <w:rPr>
          <w:sz w:val="22"/>
        </w:rPr>
        <w:t>Ils sont énumérés aux articles 168 alinéa 2, 178, 320 et 321 du code de la famille.</w:t>
      </w:r>
    </w:p>
    <w:p w:rsidR="00000000" w:rsidRDefault="00000000">
      <w:pPr>
        <w:jc w:val="both"/>
        <w:rPr>
          <w:sz w:val="22"/>
        </w:rPr>
      </w:pPr>
    </w:p>
    <w:p w:rsidR="00000000" w:rsidRDefault="00000000">
      <w:pPr>
        <w:jc w:val="both"/>
        <w:rPr>
          <w:sz w:val="22"/>
        </w:rPr>
      </w:pPr>
      <w:r>
        <w:rPr>
          <w:sz w:val="22"/>
        </w:rPr>
        <w:t>Il s’agit notamment :</w:t>
      </w:r>
    </w:p>
    <w:p w:rsidR="00000000" w:rsidRDefault="00000000">
      <w:pPr>
        <w:jc w:val="both"/>
        <w:rPr>
          <w:sz w:val="22"/>
        </w:rPr>
      </w:pPr>
    </w:p>
    <w:p w:rsidR="00000000" w:rsidRDefault="00000000">
      <w:pPr>
        <w:numPr>
          <w:ilvl w:val="0"/>
          <w:numId w:val="85"/>
        </w:numPr>
        <w:jc w:val="both"/>
        <w:rPr>
          <w:sz w:val="22"/>
        </w:rPr>
      </w:pPr>
      <w:r>
        <w:rPr>
          <w:sz w:val="22"/>
        </w:rPr>
        <w:t>la femme concourt avec le mari à assurer la direction morale et matérielle de la famille, à élever les enfants et à préparer leur établissement</w:t>
      </w:r>
      <w:r>
        <w:rPr>
          <w:rStyle w:val="FootnoteReference"/>
          <w:sz w:val="22"/>
        </w:rPr>
        <w:footnoteReference w:id="21"/>
      </w:r>
      <w:r>
        <w:rPr>
          <w:sz w:val="22"/>
        </w:rPr>
        <w:t> ;</w:t>
      </w:r>
    </w:p>
    <w:p w:rsidR="00000000" w:rsidRDefault="00000000">
      <w:pPr>
        <w:numPr>
          <w:ilvl w:val="0"/>
          <w:numId w:val="85"/>
        </w:numPr>
        <w:jc w:val="both"/>
        <w:rPr>
          <w:sz w:val="22"/>
        </w:rPr>
      </w:pPr>
      <w:r>
        <w:rPr>
          <w:sz w:val="22"/>
        </w:rPr>
        <w:t>les époux contractent ensemble, par le seul fait du mariage, l’obligation de nourrir, élever et instruire leurs enfants</w:t>
      </w:r>
      <w:r>
        <w:rPr>
          <w:rStyle w:val="FootnoteReference"/>
          <w:sz w:val="22"/>
        </w:rPr>
        <w:footnoteReference w:id="22"/>
      </w:r>
      <w:r>
        <w:rPr>
          <w:sz w:val="22"/>
        </w:rPr>
        <w:t> ;</w:t>
      </w:r>
    </w:p>
    <w:p w:rsidR="00000000" w:rsidRDefault="00000000">
      <w:pPr>
        <w:numPr>
          <w:ilvl w:val="0"/>
          <w:numId w:val="85"/>
        </w:numPr>
        <w:jc w:val="both"/>
        <w:rPr>
          <w:sz w:val="22"/>
        </w:rPr>
      </w:pPr>
      <w:r>
        <w:rPr>
          <w:sz w:val="22"/>
        </w:rPr>
        <w:t>les père et mère sont tenus d’entretenir et d’encadrer leurs enfants jusqu’à la majorité ou leur émancipation par mariage</w:t>
      </w:r>
      <w:r>
        <w:rPr>
          <w:rStyle w:val="FootnoteReference"/>
          <w:sz w:val="22"/>
        </w:rPr>
        <w:footnoteReference w:id="23"/>
      </w:r>
      <w:r>
        <w:rPr>
          <w:sz w:val="22"/>
        </w:rPr>
        <w:t>.</w:t>
      </w:r>
    </w:p>
    <w:p w:rsidR="00000000" w:rsidRDefault="00000000">
      <w:pPr>
        <w:jc w:val="both"/>
        <w:rPr>
          <w:sz w:val="22"/>
        </w:rPr>
      </w:pPr>
      <w:r>
        <w:rPr>
          <w:sz w:val="22"/>
        </w:rPr>
        <w:t>Les père et mère exercent leur autorité de façon conjointe et la décision prise ou l’acte fait par l’un d’eux est présumé l’avoir été avec l’accord de l’autre, sauf opposition de ce dernier auprès des tiers intéressés.</w:t>
      </w:r>
    </w:p>
    <w:p w:rsidR="00000000" w:rsidRDefault="00000000">
      <w:pPr>
        <w:jc w:val="both"/>
        <w:rPr>
          <w:sz w:val="22"/>
        </w:rPr>
      </w:pPr>
    </w:p>
    <w:p w:rsidR="00000000" w:rsidRDefault="00000000">
      <w:pPr>
        <w:jc w:val="both"/>
        <w:rPr>
          <w:sz w:val="22"/>
        </w:rPr>
      </w:pPr>
      <w:r>
        <w:rPr>
          <w:sz w:val="22"/>
        </w:rPr>
        <w:t>Ainsi vis-à-vis de leurs enfants, les époux ont des droits égaux, exerçant leur autorité de façon conjointe tandis que pour la direction du ménage, la femme ne fait que concourir à l’action de son mari et à le remplacer en cas d’empêchement.</w:t>
      </w:r>
    </w:p>
    <w:p w:rsidR="00000000" w:rsidRDefault="00000000">
      <w:pPr>
        <w:jc w:val="both"/>
        <w:rPr>
          <w:sz w:val="22"/>
        </w:rPr>
      </w:pPr>
    </w:p>
    <w:p w:rsidR="00000000" w:rsidRDefault="00000000">
      <w:pPr>
        <w:jc w:val="both"/>
        <w:rPr>
          <w:b/>
          <w:sz w:val="22"/>
        </w:rPr>
      </w:pPr>
      <w:r>
        <w:rPr>
          <w:b/>
          <w:sz w:val="22"/>
        </w:rPr>
        <w:t xml:space="preserve">II - </w:t>
      </w:r>
      <w:r>
        <w:rPr>
          <w:b/>
          <w:sz w:val="22"/>
          <w:u w:val="single"/>
        </w:rPr>
        <w:t>Difficultés relevées</w:t>
      </w:r>
      <w:r>
        <w:rPr>
          <w:b/>
          <w:sz w:val="22"/>
        </w:rPr>
        <w:t> :</w:t>
      </w:r>
    </w:p>
    <w:p w:rsidR="00000000" w:rsidRDefault="00000000">
      <w:pPr>
        <w:jc w:val="both"/>
        <w:rPr>
          <w:sz w:val="22"/>
        </w:rPr>
      </w:pPr>
    </w:p>
    <w:p w:rsidR="00000000" w:rsidRDefault="00000000">
      <w:pPr>
        <w:pStyle w:val="BodyText"/>
        <w:rPr>
          <w:sz w:val="22"/>
        </w:rPr>
      </w:pPr>
      <w:r>
        <w:rPr>
          <w:sz w:val="22"/>
        </w:rPr>
        <w:t>Si en règle générale, le législateur a instauré l’égalité entre l’homme et la femme, il faut, cependant noter que certaines coutumes, pourtant officiellement abolies sont utilisées pour entretenir la discrimination entre l’homme et la femme. Plus grave encore, certains articles du code de la famille ont le même effet. Il s’agit des articles suivants :</w:t>
      </w:r>
    </w:p>
    <w:p w:rsidR="00000000" w:rsidRDefault="00000000">
      <w:pPr>
        <w:jc w:val="both"/>
        <w:rPr>
          <w:sz w:val="22"/>
        </w:rPr>
      </w:pPr>
    </w:p>
    <w:p w:rsidR="00000000" w:rsidRDefault="00000000">
      <w:pPr>
        <w:numPr>
          <w:ilvl w:val="0"/>
          <w:numId w:val="86"/>
        </w:numPr>
        <w:jc w:val="both"/>
        <w:rPr>
          <w:sz w:val="22"/>
        </w:rPr>
      </w:pPr>
      <w:r>
        <w:rPr>
          <w:sz w:val="22"/>
        </w:rPr>
        <w:t>Article 166 du code de la famille : « les époux s’obligent à une communauté de vie. Ils se doivent respect et affection. En cas de polygamie, chaque épouse est en droit de prétendre à l’égalité de traitement par rapport à l’autre ».</w:t>
      </w:r>
    </w:p>
    <w:p w:rsidR="00000000" w:rsidRDefault="00000000">
      <w:pPr>
        <w:numPr>
          <w:ilvl w:val="0"/>
          <w:numId w:val="86"/>
        </w:numPr>
        <w:jc w:val="both"/>
        <w:rPr>
          <w:sz w:val="22"/>
        </w:rPr>
      </w:pPr>
      <w:r>
        <w:rPr>
          <w:sz w:val="22"/>
        </w:rPr>
        <w:t>Article 167 du code de la famille « les époux se doivent mutuellement fidélité. Ils se doivent secours, aide et assistance réciproque.»</w:t>
      </w:r>
    </w:p>
    <w:p w:rsidR="00000000" w:rsidRDefault="00000000">
      <w:pPr>
        <w:jc w:val="both"/>
        <w:rPr>
          <w:sz w:val="22"/>
        </w:rPr>
      </w:pPr>
    </w:p>
    <w:p w:rsidR="00000000" w:rsidRDefault="00000000">
      <w:pPr>
        <w:jc w:val="both"/>
        <w:rPr>
          <w:sz w:val="22"/>
        </w:rPr>
      </w:pPr>
      <w:r>
        <w:rPr>
          <w:sz w:val="22"/>
        </w:rPr>
        <w:t>Seul un homme peut épouser plusieurs femmes. Comment concilier l’obligation de fidélité avec l’option polygamique réservée à l’homme ? De plus, seule l’égalité de traitement sur le plan matériel peut être atteinte si l’homme le désire véritablement. Sur le plan affectif, comment aboutir à une telle égalité ? la discrimination est inévitable.</w:t>
      </w:r>
    </w:p>
    <w:p w:rsidR="00000000" w:rsidRDefault="00000000">
      <w:pPr>
        <w:jc w:val="both"/>
        <w:rPr>
          <w:sz w:val="22"/>
        </w:rPr>
      </w:pPr>
    </w:p>
    <w:p w:rsidR="00000000" w:rsidRDefault="00000000">
      <w:pPr>
        <w:numPr>
          <w:ilvl w:val="0"/>
          <w:numId w:val="87"/>
        </w:numPr>
        <w:jc w:val="both"/>
        <w:rPr>
          <w:sz w:val="22"/>
        </w:rPr>
      </w:pPr>
      <w:r>
        <w:rPr>
          <w:sz w:val="22"/>
        </w:rPr>
        <w:t>Article 168 du code de la famille : « le mari est le chef de la famille. Il exerce cette fonction dans l’intérêt commun du mariage et des enfants. La femme remplace le mari dans sa fonction de chef de famille s’il est hors d’état de manifester sa volonté. »</w:t>
      </w:r>
    </w:p>
    <w:p w:rsidR="00000000" w:rsidRDefault="00000000">
      <w:pPr>
        <w:jc w:val="both"/>
        <w:rPr>
          <w:sz w:val="22"/>
        </w:rPr>
      </w:pPr>
    </w:p>
    <w:p w:rsidR="00000000" w:rsidRDefault="00000000">
      <w:pPr>
        <w:jc w:val="both"/>
        <w:rPr>
          <w:sz w:val="22"/>
        </w:rPr>
      </w:pPr>
      <w:r>
        <w:rPr>
          <w:sz w:val="22"/>
        </w:rPr>
        <w:t>La discrimination entre l’homme et la femme est ici flagrante. Il s’agit de réfléchir sur les moyens pouvant permettre l’harmonisation du droit positif congolais avec les dispositions de la Convention.</w:t>
      </w:r>
    </w:p>
    <w:p w:rsidR="00000000" w:rsidRDefault="00000000">
      <w:pPr>
        <w:jc w:val="both"/>
        <w:rPr>
          <w:sz w:val="22"/>
        </w:rPr>
      </w:pPr>
    </w:p>
    <w:p w:rsidR="00000000" w:rsidRDefault="00000000">
      <w:pPr>
        <w:jc w:val="both"/>
        <w:rPr>
          <w:b/>
          <w:sz w:val="22"/>
        </w:rPr>
      </w:pPr>
      <w:r>
        <w:rPr>
          <w:b/>
          <w:sz w:val="22"/>
          <w:u w:val="single"/>
        </w:rPr>
        <w:t>SECTION</w:t>
      </w:r>
      <w:r>
        <w:rPr>
          <w:b/>
          <w:sz w:val="22"/>
        </w:rPr>
        <w:t xml:space="preserve"> III - </w:t>
      </w:r>
      <w:r>
        <w:rPr>
          <w:b/>
          <w:sz w:val="22"/>
          <w:u w:val="single"/>
        </w:rPr>
        <w:t>Possibilité d’une harmonisation avec les dispositions de la Convention</w:t>
      </w:r>
      <w:r>
        <w:rPr>
          <w:b/>
          <w:sz w:val="22"/>
        </w:rPr>
        <w:t> :</w:t>
      </w:r>
    </w:p>
    <w:p w:rsidR="00000000" w:rsidRDefault="00000000">
      <w:pPr>
        <w:jc w:val="both"/>
        <w:rPr>
          <w:sz w:val="22"/>
        </w:rPr>
      </w:pPr>
    </w:p>
    <w:p w:rsidR="00000000" w:rsidRDefault="00000000">
      <w:pPr>
        <w:pStyle w:val="BodyText3"/>
        <w:rPr>
          <w:sz w:val="22"/>
        </w:rPr>
      </w:pPr>
      <w:r>
        <w:rPr>
          <w:sz w:val="22"/>
        </w:rPr>
        <w:t>Pour éviter de fragiliser nos sociétés en leur imposant des dispositions nouvelles non adaptées à notre quotidien, il conviendrait de procéder par étape et de distinguer les mesures qui peuvent être prises à court terme de celles qui ne pourront l’être qu’à moyen ou long terme.</w:t>
      </w:r>
    </w:p>
    <w:p w:rsidR="00000000" w:rsidRDefault="00000000">
      <w:pPr>
        <w:jc w:val="both"/>
        <w:rPr>
          <w:sz w:val="22"/>
        </w:rPr>
      </w:pPr>
    </w:p>
    <w:p w:rsidR="00000000" w:rsidRDefault="00000000">
      <w:pPr>
        <w:jc w:val="both"/>
        <w:rPr>
          <w:b/>
          <w:sz w:val="22"/>
        </w:rPr>
      </w:pPr>
      <w:r>
        <w:rPr>
          <w:b/>
          <w:sz w:val="22"/>
        </w:rPr>
        <w:t xml:space="preserve">I - </w:t>
      </w:r>
      <w:r>
        <w:rPr>
          <w:b/>
          <w:sz w:val="22"/>
          <w:u w:val="single"/>
        </w:rPr>
        <w:t>Mesures susceptibles d’être prises à court terme</w:t>
      </w:r>
      <w:r>
        <w:rPr>
          <w:b/>
          <w:sz w:val="22"/>
        </w:rPr>
        <w:t> :</w:t>
      </w:r>
    </w:p>
    <w:p w:rsidR="00000000" w:rsidRDefault="00000000">
      <w:pPr>
        <w:jc w:val="both"/>
        <w:rPr>
          <w:sz w:val="22"/>
        </w:rPr>
      </w:pPr>
    </w:p>
    <w:p w:rsidR="00000000" w:rsidRDefault="00000000">
      <w:pPr>
        <w:jc w:val="both"/>
        <w:rPr>
          <w:sz w:val="22"/>
        </w:rPr>
      </w:pPr>
      <w:r>
        <w:rPr>
          <w:sz w:val="22"/>
        </w:rPr>
        <w:t>Plusieurs mesures sont susceptibles d’être envisagées :</w:t>
      </w:r>
    </w:p>
    <w:p w:rsidR="00000000" w:rsidRDefault="00000000">
      <w:pPr>
        <w:jc w:val="both"/>
        <w:rPr>
          <w:sz w:val="22"/>
        </w:rPr>
      </w:pPr>
    </w:p>
    <w:p w:rsidR="00000000" w:rsidRDefault="00000000">
      <w:pPr>
        <w:jc w:val="both"/>
        <w:rPr>
          <w:b/>
          <w:sz w:val="22"/>
        </w:rPr>
      </w:pPr>
      <w:r>
        <w:rPr>
          <w:b/>
          <w:sz w:val="22"/>
        </w:rPr>
        <w:t xml:space="preserve">A - </w:t>
      </w:r>
      <w:r>
        <w:rPr>
          <w:b/>
          <w:sz w:val="22"/>
          <w:u w:val="single"/>
        </w:rPr>
        <w:t>Le pré mariage</w:t>
      </w:r>
      <w:r>
        <w:rPr>
          <w:b/>
          <w:sz w:val="22"/>
        </w:rPr>
        <w:t> :</w:t>
      </w:r>
    </w:p>
    <w:p w:rsidR="00000000" w:rsidRDefault="00000000">
      <w:pPr>
        <w:jc w:val="both"/>
        <w:rPr>
          <w:sz w:val="22"/>
        </w:rPr>
      </w:pPr>
    </w:p>
    <w:p w:rsidR="00000000" w:rsidRDefault="00000000">
      <w:pPr>
        <w:pStyle w:val="BodyText3"/>
        <w:rPr>
          <w:sz w:val="22"/>
        </w:rPr>
      </w:pPr>
      <w:r>
        <w:rPr>
          <w:sz w:val="22"/>
        </w:rPr>
        <w:t>Elles concernent :</w:t>
      </w:r>
    </w:p>
    <w:p w:rsidR="00000000" w:rsidRDefault="00000000">
      <w:pPr>
        <w:jc w:val="both"/>
        <w:rPr>
          <w:sz w:val="22"/>
        </w:rPr>
      </w:pPr>
    </w:p>
    <w:p w:rsidR="00000000" w:rsidRDefault="00000000">
      <w:pPr>
        <w:numPr>
          <w:ilvl w:val="0"/>
          <w:numId w:val="90"/>
        </w:numPr>
        <w:jc w:val="both"/>
        <w:rPr>
          <w:sz w:val="22"/>
        </w:rPr>
      </w:pPr>
      <w:r>
        <w:rPr>
          <w:sz w:val="22"/>
        </w:rPr>
        <w:t>la fixation d’un âge limité pour le pré mariage qui pourrait être la majorité civile (18) ;</w:t>
      </w:r>
    </w:p>
    <w:p w:rsidR="00000000" w:rsidRDefault="00000000">
      <w:pPr>
        <w:numPr>
          <w:ilvl w:val="0"/>
          <w:numId w:val="90"/>
        </w:numPr>
        <w:jc w:val="both"/>
        <w:rPr>
          <w:sz w:val="22"/>
        </w:rPr>
      </w:pPr>
      <w:r>
        <w:rPr>
          <w:sz w:val="22"/>
        </w:rPr>
        <w:t>la production des effets patrimoniaux au pré mariage lorsqu’il dure depuis au moins cinq ans.</w:t>
      </w:r>
    </w:p>
    <w:p w:rsidR="00000000" w:rsidRDefault="00000000">
      <w:pPr>
        <w:jc w:val="both"/>
        <w:rPr>
          <w:b/>
          <w:sz w:val="22"/>
        </w:rPr>
      </w:pPr>
      <w:r>
        <w:rPr>
          <w:b/>
          <w:sz w:val="22"/>
        </w:rPr>
        <w:t xml:space="preserve">B - </w:t>
      </w:r>
      <w:r>
        <w:rPr>
          <w:b/>
          <w:sz w:val="22"/>
          <w:u w:val="single"/>
        </w:rPr>
        <w:t>La gestion du ménage</w:t>
      </w:r>
      <w:r>
        <w:rPr>
          <w:b/>
          <w:sz w:val="22"/>
        </w:rPr>
        <w:t xml:space="preserve"> : </w:t>
      </w:r>
    </w:p>
    <w:p w:rsidR="00000000" w:rsidRDefault="00000000">
      <w:pPr>
        <w:jc w:val="both"/>
        <w:rPr>
          <w:sz w:val="22"/>
        </w:rPr>
      </w:pPr>
    </w:p>
    <w:p w:rsidR="00000000" w:rsidRDefault="00000000">
      <w:pPr>
        <w:pStyle w:val="BodyText3"/>
        <w:rPr>
          <w:sz w:val="22"/>
        </w:rPr>
      </w:pPr>
      <w:r>
        <w:rPr>
          <w:sz w:val="22"/>
        </w:rPr>
        <w:t xml:space="preserve">Il serait souhaitable que soit supprimé le titre de chef de famille au mari et que les deux époux assurent ensemble la direction de la famille. </w:t>
      </w:r>
    </w:p>
    <w:p w:rsidR="00000000" w:rsidRDefault="00000000">
      <w:pPr>
        <w:ind w:left="851"/>
        <w:jc w:val="both"/>
        <w:rPr>
          <w:sz w:val="22"/>
        </w:rPr>
      </w:pPr>
    </w:p>
    <w:p w:rsidR="00000000" w:rsidRDefault="00000000">
      <w:pPr>
        <w:pStyle w:val="Heading1"/>
        <w:jc w:val="both"/>
        <w:rPr>
          <w:b w:val="0"/>
        </w:rPr>
      </w:pPr>
      <w:r>
        <w:rPr>
          <w:b w:val="0"/>
        </w:rPr>
        <w:t>En cas de mariage polygamique, cette cogestion se réalisera entre le mari et chacune de ses épouses.</w:t>
      </w:r>
    </w:p>
    <w:p w:rsidR="00000000" w:rsidRDefault="00000000">
      <w:pPr>
        <w:jc w:val="both"/>
        <w:rPr>
          <w:sz w:val="22"/>
        </w:rPr>
      </w:pPr>
    </w:p>
    <w:p w:rsidR="00000000" w:rsidRDefault="00000000">
      <w:pPr>
        <w:jc w:val="both"/>
        <w:rPr>
          <w:sz w:val="22"/>
        </w:rPr>
      </w:pPr>
      <w:r>
        <w:rPr>
          <w:sz w:val="22"/>
        </w:rPr>
        <w:t>L’on pourrait organiser un travail d’information et de conscientisation à l’endroit de l’ensemble de la société congolaise en général, y compris les jeunes gens et les jeunes filles et des ménages polygamiques, en particulier.</w:t>
      </w:r>
    </w:p>
    <w:p w:rsidR="00000000" w:rsidRDefault="00000000">
      <w:pPr>
        <w:rPr>
          <w:sz w:val="22"/>
        </w:rPr>
      </w:pPr>
    </w:p>
    <w:p w:rsidR="00000000" w:rsidRDefault="00000000">
      <w:pPr>
        <w:jc w:val="both"/>
        <w:rPr>
          <w:sz w:val="22"/>
        </w:rPr>
      </w:pPr>
      <w:r>
        <w:rPr>
          <w:sz w:val="22"/>
        </w:rPr>
        <w:t>L’information portera aussi sur l’application effective des dispositions de l’article 166 du code de la famille en particulier en ce qui concerne le respect, l’affection et l’égalité de traitement dans les ménages polygamiques surtout.</w:t>
      </w:r>
    </w:p>
    <w:p w:rsidR="00000000" w:rsidRDefault="00000000">
      <w:pPr>
        <w:jc w:val="both"/>
        <w:rPr>
          <w:sz w:val="22"/>
        </w:rPr>
      </w:pPr>
    </w:p>
    <w:p w:rsidR="00000000" w:rsidRDefault="00000000">
      <w:pPr>
        <w:jc w:val="both"/>
        <w:rPr>
          <w:b/>
          <w:sz w:val="22"/>
        </w:rPr>
      </w:pPr>
      <w:r>
        <w:rPr>
          <w:b/>
          <w:sz w:val="22"/>
        </w:rPr>
        <w:t xml:space="preserve">II - </w:t>
      </w:r>
      <w:r>
        <w:rPr>
          <w:b/>
          <w:sz w:val="22"/>
          <w:u w:val="single"/>
        </w:rPr>
        <w:t>Mesures à moyen ou long terme</w:t>
      </w:r>
      <w:r>
        <w:rPr>
          <w:b/>
          <w:sz w:val="22"/>
        </w:rPr>
        <w:t> :</w:t>
      </w:r>
    </w:p>
    <w:p w:rsidR="00000000" w:rsidRDefault="00000000">
      <w:pPr>
        <w:jc w:val="both"/>
        <w:rPr>
          <w:sz w:val="22"/>
        </w:rPr>
      </w:pPr>
    </w:p>
    <w:p w:rsidR="00000000" w:rsidRDefault="00000000">
      <w:pPr>
        <w:jc w:val="both"/>
        <w:rPr>
          <w:sz w:val="22"/>
        </w:rPr>
      </w:pPr>
      <w:r>
        <w:rPr>
          <w:sz w:val="22"/>
        </w:rPr>
        <w:t>Ce sont principalement des mesures qui aménageraient une rupture plus facile du pré mariage d’une part, et d’autre part, de celles qui viseraient à supprimer la polygamie.</w:t>
      </w:r>
    </w:p>
    <w:p w:rsidR="00000000" w:rsidRDefault="00000000">
      <w:pPr>
        <w:jc w:val="both"/>
        <w:rPr>
          <w:sz w:val="22"/>
        </w:rPr>
      </w:pPr>
      <w:r>
        <w:rPr>
          <w:sz w:val="22"/>
        </w:rPr>
        <w:t>Pour cela, il conviendrait d’interroger le peuple, par référendum par exemple, pour l’amener à se prononcer pour ou contre la polygamie.</w:t>
      </w:r>
    </w:p>
    <w:p w:rsidR="00000000" w:rsidRDefault="00000000">
      <w:pPr>
        <w:jc w:val="both"/>
        <w:rPr>
          <w:sz w:val="22"/>
        </w:rPr>
      </w:pPr>
    </w:p>
    <w:p w:rsidR="00000000" w:rsidRDefault="00000000">
      <w:pPr>
        <w:jc w:val="both"/>
        <w:rPr>
          <w:b/>
          <w:sz w:val="22"/>
          <w:u w:val="single"/>
        </w:rPr>
      </w:pPr>
      <w:r>
        <w:rPr>
          <w:b/>
          <w:sz w:val="22"/>
          <w:u w:val="single"/>
        </w:rPr>
        <w:t>Conclusion générale</w:t>
      </w:r>
    </w:p>
    <w:p w:rsidR="00000000" w:rsidRDefault="00000000">
      <w:pPr>
        <w:jc w:val="both"/>
        <w:rPr>
          <w:sz w:val="22"/>
        </w:rPr>
      </w:pPr>
    </w:p>
    <w:p w:rsidR="00000000" w:rsidRDefault="00000000">
      <w:pPr>
        <w:jc w:val="both"/>
        <w:rPr>
          <w:sz w:val="22"/>
        </w:rPr>
      </w:pPr>
      <w:r>
        <w:rPr>
          <w:sz w:val="22"/>
        </w:rPr>
        <w:t>L’examen de la législation congolaise permet de constater que l’égalité des sexes constitue un principe juridique consacré.</w:t>
      </w:r>
    </w:p>
    <w:p w:rsidR="00000000" w:rsidRDefault="00000000">
      <w:pPr>
        <w:jc w:val="both"/>
        <w:rPr>
          <w:sz w:val="22"/>
        </w:rPr>
      </w:pPr>
      <w:r>
        <w:rPr>
          <w:sz w:val="22"/>
        </w:rPr>
        <w:t>La réalité atteste, néanmoins qu’au-délà de la proclamation formelle, des discriminations persistent. Elles résultent de la combinaison de plusieurs facteurs qui constituent autant de contraintes à lever le concours des ONG et associations et du ministère chargé de la promotion de la femme apparaît comme une nécessité.</w:t>
      </w:r>
    </w:p>
    <w:p w:rsidR="00000000" w:rsidRDefault="00000000">
      <w:pPr>
        <w:pStyle w:val="BodyText"/>
        <w:jc w:val="left"/>
        <w:rPr>
          <w:b/>
          <w:sz w:val="22"/>
          <w:u w:val="single"/>
        </w:rPr>
      </w:pPr>
    </w:p>
    <w:p w:rsidR="00000000" w:rsidRDefault="00000000">
      <w:pPr>
        <w:pStyle w:val="BodyText"/>
        <w:jc w:val="center"/>
        <w:rPr>
          <w:b/>
          <w:u w:val="single"/>
        </w:rPr>
      </w:pPr>
      <w:r>
        <w:rPr>
          <w:b/>
          <w:u w:val="single"/>
        </w:rPr>
        <w:br w:type="page"/>
        <w:t>LISTE  DES TABLEAUX</w:t>
      </w:r>
    </w:p>
    <w:p w:rsidR="00000000" w:rsidRDefault="00000000">
      <w:pPr>
        <w:pStyle w:val="BodyText"/>
        <w:rPr>
          <w:sz w:val="22"/>
        </w:rPr>
      </w:pPr>
    </w:p>
    <w:p w:rsidR="00000000" w:rsidRDefault="00000000">
      <w:pPr>
        <w:pStyle w:val="BodyText"/>
        <w:rPr>
          <w:sz w:val="22"/>
        </w:rPr>
      </w:pPr>
    </w:p>
    <w:tbl>
      <w:tblPr>
        <w:tblW w:w="0" w:type="auto"/>
        <w:tblLayout w:type="fixed"/>
        <w:tblCellMar>
          <w:left w:w="70" w:type="dxa"/>
          <w:right w:w="70" w:type="dxa"/>
        </w:tblCellMar>
        <w:tblLook w:val="0000" w:firstRow="0" w:lastRow="0" w:firstColumn="0" w:lastColumn="0" w:noHBand="0" w:noVBand="0"/>
      </w:tblPr>
      <w:tblGrid>
        <w:gridCol w:w="1630"/>
        <w:gridCol w:w="7938"/>
      </w:tblGrid>
      <w:tr w:rsidR="00000000">
        <w:tblPrEx>
          <w:tblCellMar>
            <w:top w:w="0" w:type="dxa"/>
            <w:bottom w:w="0" w:type="dxa"/>
          </w:tblCellMar>
        </w:tblPrEx>
        <w:tc>
          <w:tcPr>
            <w:tcW w:w="1630" w:type="dxa"/>
          </w:tcPr>
          <w:p w:rsidR="00000000" w:rsidRDefault="00000000">
            <w:pPr>
              <w:pStyle w:val="BodyText"/>
              <w:rPr>
                <w:sz w:val="22"/>
              </w:rPr>
            </w:pPr>
            <w:r>
              <w:rPr>
                <w:sz w:val="22"/>
              </w:rPr>
              <w:t>Tableau n° 1 :</w:t>
            </w:r>
          </w:p>
        </w:tc>
        <w:tc>
          <w:tcPr>
            <w:tcW w:w="7938" w:type="dxa"/>
          </w:tcPr>
          <w:p w:rsidR="00000000" w:rsidRDefault="00000000">
            <w:pPr>
              <w:pStyle w:val="BodyText"/>
              <w:rPr>
                <w:sz w:val="22"/>
              </w:rPr>
            </w:pPr>
            <w:r>
              <w:rPr>
                <w:sz w:val="22"/>
              </w:rPr>
              <w:t>Les journalistes en poste au Ministère de la communication</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2 :</w:t>
            </w:r>
          </w:p>
        </w:tc>
        <w:tc>
          <w:tcPr>
            <w:tcW w:w="7938" w:type="dxa"/>
          </w:tcPr>
          <w:p w:rsidR="00000000" w:rsidRDefault="00000000">
            <w:pPr>
              <w:pStyle w:val="BodyText"/>
              <w:rPr>
                <w:sz w:val="22"/>
              </w:rPr>
            </w:pPr>
            <w:r>
              <w:rPr>
                <w:sz w:val="22"/>
              </w:rPr>
              <w:t>Répartition des parlementaires par législature et par sexe</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3 :</w:t>
            </w:r>
          </w:p>
        </w:tc>
        <w:tc>
          <w:tcPr>
            <w:tcW w:w="7938" w:type="dxa"/>
          </w:tcPr>
          <w:p w:rsidR="00000000" w:rsidRDefault="00000000">
            <w:pPr>
              <w:pStyle w:val="BodyText"/>
              <w:rPr>
                <w:sz w:val="22"/>
              </w:rPr>
            </w:pPr>
            <w:r>
              <w:rPr>
                <w:sz w:val="22"/>
              </w:rPr>
              <w:t>Répartition des conseillers régionaux</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4 :</w:t>
            </w:r>
          </w:p>
        </w:tc>
        <w:tc>
          <w:tcPr>
            <w:tcW w:w="7938" w:type="dxa"/>
          </w:tcPr>
          <w:p w:rsidR="00000000" w:rsidRDefault="00000000">
            <w:pPr>
              <w:pStyle w:val="BodyText"/>
              <w:rPr>
                <w:sz w:val="22"/>
              </w:rPr>
            </w:pPr>
            <w:r>
              <w:rPr>
                <w:sz w:val="22"/>
              </w:rPr>
              <w:t>Répartition des conseillers de district et d’arrondissement</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5 :</w:t>
            </w:r>
          </w:p>
        </w:tc>
        <w:tc>
          <w:tcPr>
            <w:tcW w:w="7938" w:type="dxa"/>
          </w:tcPr>
          <w:p w:rsidR="00000000" w:rsidRDefault="00000000">
            <w:pPr>
              <w:pStyle w:val="BodyText"/>
              <w:rPr>
                <w:sz w:val="22"/>
              </w:rPr>
            </w:pPr>
            <w:r>
              <w:rPr>
                <w:sz w:val="22"/>
              </w:rPr>
              <w:t>Participation des femmes au Gouvernement</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6 :</w:t>
            </w:r>
          </w:p>
        </w:tc>
        <w:tc>
          <w:tcPr>
            <w:tcW w:w="7938" w:type="dxa"/>
          </w:tcPr>
          <w:p w:rsidR="00000000" w:rsidRDefault="00000000">
            <w:pPr>
              <w:pStyle w:val="BodyText"/>
              <w:rPr>
                <w:sz w:val="22"/>
              </w:rPr>
            </w:pPr>
            <w:r>
              <w:rPr>
                <w:sz w:val="22"/>
              </w:rPr>
              <w:t>Occupation des postes de direction en 1991</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7 :</w:t>
            </w:r>
          </w:p>
        </w:tc>
        <w:tc>
          <w:tcPr>
            <w:tcW w:w="7938" w:type="dxa"/>
          </w:tcPr>
          <w:p w:rsidR="00000000" w:rsidRDefault="00000000">
            <w:pPr>
              <w:pStyle w:val="BodyText"/>
              <w:rPr>
                <w:sz w:val="22"/>
              </w:rPr>
            </w:pPr>
            <w:r>
              <w:rPr>
                <w:sz w:val="22"/>
              </w:rPr>
              <w:t>Occupation du poste de Directeur de Cabinet</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8 :</w:t>
            </w:r>
          </w:p>
        </w:tc>
        <w:tc>
          <w:tcPr>
            <w:tcW w:w="7938" w:type="dxa"/>
          </w:tcPr>
          <w:p w:rsidR="00000000" w:rsidRDefault="00000000">
            <w:pPr>
              <w:pStyle w:val="BodyText"/>
              <w:rPr>
                <w:sz w:val="22"/>
              </w:rPr>
            </w:pPr>
            <w:r>
              <w:rPr>
                <w:sz w:val="22"/>
              </w:rPr>
              <w:t>Occupation du poste de Conseiller</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9 :</w:t>
            </w:r>
          </w:p>
        </w:tc>
        <w:tc>
          <w:tcPr>
            <w:tcW w:w="7938" w:type="dxa"/>
          </w:tcPr>
          <w:p w:rsidR="00000000" w:rsidRDefault="00000000">
            <w:pPr>
              <w:pStyle w:val="BodyText"/>
              <w:rPr>
                <w:sz w:val="22"/>
              </w:rPr>
            </w:pPr>
            <w:r>
              <w:rPr>
                <w:sz w:val="22"/>
              </w:rPr>
              <w:t>Poste d’attaché</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10 :</w:t>
            </w:r>
          </w:p>
        </w:tc>
        <w:tc>
          <w:tcPr>
            <w:tcW w:w="7938" w:type="dxa"/>
          </w:tcPr>
          <w:p w:rsidR="00000000" w:rsidRDefault="00000000">
            <w:pPr>
              <w:pStyle w:val="BodyText"/>
              <w:rPr>
                <w:sz w:val="22"/>
              </w:rPr>
            </w:pPr>
            <w:r>
              <w:rPr>
                <w:sz w:val="22"/>
              </w:rPr>
              <w:t>Répartition des préfets</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11 :</w:t>
            </w:r>
          </w:p>
        </w:tc>
        <w:tc>
          <w:tcPr>
            <w:tcW w:w="7938" w:type="dxa"/>
          </w:tcPr>
          <w:p w:rsidR="00000000" w:rsidRDefault="00000000">
            <w:pPr>
              <w:pStyle w:val="BodyText"/>
              <w:rPr>
                <w:sz w:val="22"/>
              </w:rPr>
            </w:pPr>
            <w:r>
              <w:rPr>
                <w:sz w:val="22"/>
              </w:rPr>
              <w:t>Répartition des sous-préfets</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12 :</w:t>
            </w:r>
          </w:p>
        </w:tc>
        <w:tc>
          <w:tcPr>
            <w:tcW w:w="7938" w:type="dxa"/>
          </w:tcPr>
          <w:p w:rsidR="00000000" w:rsidRDefault="00000000">
            <w:pPr>
              <w:pStyle w:val="BodyText"/>
              <w:rPr>
                <w:sz w:val="22"/>
              </w:rPr>
            </w:pPr>
            <w:r>
              <w:rPr>
                <w:sz w:val="22"/>
              </w:rPr>
              <w:t>Ministère de l’Urbanisme et de l’habitat</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13 :</w:t>
            </w:r>
          </w:p>
        </w:tc>
        <w:tc>
          <w:tcPr>
            <w:tcW w:w="7938" w:type="dxa"/>
          </w:tcPr>
          <w:p w:rsidR="00000000" w:rsidRDefault="00000000">
            <w:pPr>
              <w:pStyle w:val="BodyText"/>
              <w:rPr>
                <w:sz w:val="22"/>
              </w:rPr>
            </w:pPr>
            <w:r>
              <w:rPr>
                <w:sz w:val="22"/>
              </w:rPr>
              <w:t>Ministère de la Culture, des Arts et du Tourisme</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14 :</w:t>
            </w:r>
          </w:p>
        </w:tc>
        <w:tc>
          <w:tcPr>
            <w:tcW w:w="7938" w:type="dxa"/>
          </w:tcPr>
          <w:p w:rsidR="00000000" w:rsidRDefault="00000000">
            <w:pPr>
              <w:pStyle w:val="BodyText"/>
              <w:rPr>
                <w:sz w:val="22"/>
              </w:rPr>
            </w:pPr>
            <w:r>
              <w:rPr>
                <w:sz w:val="22"/>
              </w:rPr>
              <w:t>Ministère des Travaux Publics</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15:</w:t>
            </w:r>
          </w:p>
        </w:tc>
        <w:tc>
          <w:tcPr>
            <w:tcW w:w="7938" w:type="dxa"/>
          </w:tcPr>
          <w:p w:rsidR="00000000" w:rsidRDefault="00000000">
            <w:pPr>
              <w:pStyle w:val="BodyText"/>
              <w:rPr>
                <w:sz w:val="22"/>
              </w:rPr>
            </w:pPr>
            <w:r>
              <w:rPr>
                <w:sz w:val="22"/>
              </w:rPr>
              <w:t>Caisse Nationale de Sécurité Sociale</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16 :</w:t>
            </w:r>
          </w:p>
        </w:tc>
        <w:tc>
          <w:tcPr>
            <w:tcW w:w="7938" w:type="dxa"/>
          </w:tcPr>
          <w:p w:rsidR="00000000" w:rsidRDefault="00000000">
            <w:pPr>
              <w:pStyle w:val="BodyText"/>
              <w:rPr>
                <w:sz w:val="22"/>
              </w:rPr>
            </w:pPr>
            <w:r>
              <w:rPr>
                <w:sz w:val="22"/>
              </w:rPr>
              <w:t>Ministère de l’Economie Forestière chargé de la Pêche et des Ressources Halieutiques : an 2000</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17 :</w:t>
            </w:r>
          </w:p>
        </w:tc>
        <w:tc>
          <w:tcPr>
            <w:tcW w:w="7938" w:type="dxa"/>
          </w:tcPr>
          <w:p w:rsidR="00000000" w:rsidRDefault="00000000">
            <w:pPr>
              <w:pStyle w:val="BodyText"/>
              <w:rPr>
                <w:sz w:val="22"/>
              </w:rPr>
            </w:pPr>
            <w:r>
              <w:rPr>
                <w:sz w:val="22"/>
              </w:rPr>
              <w:t>Ministère de l’Agriculture et de l’Elevage : an 2000</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18 :</w:t>
            </w:r>
          </w:p>
        </w:tc>
        <w:tc>
          <w:tcPr>
            <w:tcW w:w="7938" w:type="dxa"/>
          </w:tcPr>
          <w:p w:rsidR="00000000" w:rsidRDefault="00000000">
            <w:pPr>
              <w:pStyle w:val="BodyText"/>
              <w:rPr>
                <w:sz w:val="22"/>
              </w:rPr>
            </w:pPr>
            <w:r>
              <w:rPr>
                <w:sz w:val="22"/>
              </w:rPr>
              <w:t>Ministère de la Justice, Période de 1979-2000</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19 :</w:t>
            </w:r>
          </w:p>
        </w:tc>
        <w:tc>
          <w:tcPr>
            <w:tcW w:w="7938" w:type="dxa"/>
          </w:tcPr>
          <w:p w:rsidR="00000000" w:rsidRDefault="00000000">
            <w:pPr>
              <w:pStyle w:val="BodyText"/>
              <w:rPr>
                <w:sz w:val="22"/>
              </w:rPr>
            </w:pPr>
            <w:r>
              <w:rPr>
                <w:sz w:val="22"/>
              </w:rPr>
              <w:t>Ministère de l’Enseignement Primaire, Secondaire et Supérieur, Période de 1979-2000</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20 :</w:t>
            </w:r>
          </w:p>
        </w:tc>
        <w:tc>
          <w:tcPr>
            <w:tcW w:w="7938" w:type="dxa"/>
          </w:tcPr>
          <w:p w:rsidR="00000000" w:rsidRDefault="00000000">
            <w:pPr>
              <w:pStyle w:val="BodyText"/>
              <w:rPr>
                <w:sz w:val="22"/>
              </w:rPr>
            </w:pPr>
            <w:r>
              <w:rPr>
                <w:sz w:val="22"/>
              </w:rPr>
              <w:t>Ministère de l’Energie et Hydraulique, Période de 1979-2000</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21 :</w:t>
            </w:r>
          </w:p>
        </w:tc>
        <w:tc>
          <w:tcPr>
            <w:tcW w:w="7938" w:type="dxa"/>
          </w:tcPr>
          <w:p w:rsidR="00000000" w:rsidRDefault="00000000">
            <w:pPr>
              <w:pStyle w:val="BodyText"/>
              <w:rPr>
                <w:sz w:val="22"/>
              </w:rPr>
            </w:pPr>
            <w:r>
              <w:rPr>
                <w:sz w:val="22"/>
              </w:rPr>
              <w:t>Ministère des Postes et Télécommunications, Période 1997-2000</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22 :</w:t>
            </w:r>
          </w:p>
        </w:tc>
        <w:tc>
          <w:tcPr>
            <w:tcW w:w="7938" w:type="dxa"/>
          </w:tcPr>
          <w:p w:rsidR="00000000" w:rsidRDefault="00000000">
            <w:pPr>
              <w:pStyle w:val="BodyText"/>
              <w:rPr>
                <w:sz w:val="22"/>
              </w:rPr>
            </w:pPr>
            <w:r>
              <w:rPr>
                <w:sz w:val="22"/>
              </w:rPr>
              <w:t>Ministère de la Santé, Période de 1979-2000</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23 :</w:t>
            </w:r>
          </w:p>
        </w:tc>
        <w:tc>
          <w:tcPr>
            <w:tcW w:w="7938" w:type="dxa"/>
          </w:tcPr>
          <w:p w:rsidR="00000000" w:rsidRDefault="00000000">
            <w:pPr>
              <w:pStyle w:val="BodyText"/>
              <w:rPr>
                <w:sz w:val="22"/>
              </w:rPr>
            </w:pPr>
            <w:r>
              <w:rPr>
                <w:sz w:val="22"/>
              </w:rPr>
              <w:t>Ministère de l’Urbanisme et de l’Habitat</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24 :</w:t>
            </w:r>
          </w:p>
        </w:tc>
        <w:tc>
          <w:tcPr>
            <w:tcW w:w="7938" w:type="dxa"/>
          </w:tcPr>
          <w:p w:rsidR="00000000" w:rsidRDefault="00000000">
            <w:pPr>
              <w:pStyle w:val="BodyText"/>
              <w:rPr>
                <w:sz w:val="22"/>
              </w:rPr>
            </w:pPr>
            <w:r>
              <w:rPr>
                <w:sz w:val="22"/>
              </w:rPr>
              <w:t>Ministère du Travail et de la Sécurité Sociale : an 2000</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25 :</w:t>
            </w:r>
          </w:p>
        </w:tc>
        <w:tc>
          <w:tcPr>
            <w:tcW w:w="7938" w:type="dxa"/>
          </w:tcPr>
          <w:p w:rsidR="00000000" w:rsidRDefault="00000000">
            <w:pPr>
              <w:pStyle w:val="BodyText"/>
              <w:rPr>
                <w:sz w:val="22"/>
              </w:rPr>
            </w:pPr>
            <w:r>
              <w:rPr>
                <w:sz w:val="22"/>
              </w:rPr>
              <w:t>Répartition des femmes dans l’Administration centrale des affaires étrangères</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26 :</w:t>
            </w:r>
          </w:p>
        </w:tc>
        <w:tc>
          <w:tcPr>
            <w:tcW w:w="7938" w:type="dxa"/>
          </w:tcPr>
          <w:p w:rsidR="00000000" w:rsidRDefault="00000000">
            <w:pPr>
              <w:pStyle w:val="BodyText"/>
              <w:rPr>
                <w:sz w:val="22"/>
              </w:rPr>
            </w:pPr>
            <w:r>
              <w:rPr>
                <w:sz w:val="22"/>
              </w:rPr>
              <w:t>Répartition des femmes dans les différents grades de la diplomatie</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27 :</w:t>
            </w:r>
          </w:p>
        </w:tc>
        <w:tc>
          <w:tcPr>
            <w:tcW w:w="7938" w:type="dxa"/>
          </w:tcPr>
          <w:p w:rsidR="00000000" w:rsidRDefault="00000000">
            <w:pPr>
              <w:pStyle w:val="BodyText"/>
              <w:rPr>
                <w:sz w:val="22"/>
              </w:rPr>
            </w:pPr>
            <w:r>
              <w:rPr>
                <w:sz w:val="22"/>
              </w:rPr>
              <w:t>Répartition des femmes dans les missions diplomatiques</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28 :</w:t>
            </w:r>
          </w:p>
        </w:tc>
        <w:tc>
          <w:tcPr>
            <w:tcW w:w="7938" w:type="dxa"/>
          </w:tcPr>
          <w:p w:rsidR="00000000" w:rsidRDefault="00000000">
            <w:pPr>
              <w:pStyle w:val="BodyText"/>
              <w:rPr>
                <w:sz w:val="22"/>
              </w:rPr>
            </w:pPr>
            <w:r>
              <w:rPr>
                <w:sz w:val="22"/>
              </w:rPr>
              <w:t>Représentativité des femmes dans les institutions internationales</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29 :</w:t>
            </w:r>
          </w:p>
        </w:tc>
        <w:tc>
          <w:tcPr>
            <w:tcW w:w="7938" w:type="dxa"/>
          </w:tcPr>
          <w:p w:rsidR="00000000" w:rsidRDefault="00000000">
            <w:pPr>
              <w:pStyle w:val="BodyText"/>
              <w:rPr>
                <w:sz w:val="22"/>
              </w:rPr>
            </w:pPr>
            <w:r>
              <w:rPr>
                <w:sz w:val="22"/>
              </w:rPr>
              <w:t>Effectifs des élèves et enseignants (1997 et 1998)</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30 :</w:t>
            </w:r>
          </w:p>
        </w:tc>
        <w:tc>
          <w:tcPr>
            <w:tcW w:w="7938" w:type="dxa"/>
          </w:tcPr>
          <w:p w:rsidR="00000000" w:rsidRDefault="00000000">
            <w:pPr>
              <w:pStyle w:val="BodyText"/>
              <w:rPr>
                <w:sz w:val="22"/>
              </w:rPr>
            </w:pPr>
            <w:r>
              <w:rPr>
                <w:sz w:val="22"/>
              </w:rPr>
              <w:t>Taux brut de la scolarisation dans le préscolaire 1990-1998</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31 :</w:t>
            </w:r>
          </w:p>
        </w:tc>
        <w:tc>
          <w:tcPr>
            <w:tcW w:w="7938" w:type="dxa"/>
          </w:tcPr>
          <w:p w:rsidR="00000000" w:rsidRDefault="00000000">
            <w:pPr>
              <w:pStyle w:val="BodyText"/>
              <w:rPr>
                <w:sz w:val="22"/>
              </w:rPr>
            </w:pPr>
            <w:r>
              <w:rPr>
                <w:sz w:val="22"/>
              </w:rPr>
              <w:t>Evolution des salles de classe et des enseignants au cycle préscolaire et au primaire</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32 :</w:t>
            </w:r>
          </w:p>
        </w:tc>
        <w:tc>
          <w:tcPr>
            <w:tcW w:w="7938" w:type="dxa"/>
          </w:tcPr>
          <w:p w:rsidR="00000000" w:rsidRDefault="00000000">
            <w:pPr>
              <w:pStyle w:val="BodyText"/>
              <w:rPr>
                <w:sz w:val="22"/>
              </w:rPr>
            </w:pPr>
            <w:r>
              <w:rPr>
                <w:sz w:val="22"/>
              </w:rPr>
              <w:t>Effectifs des élèves et des enseignants au primaire, 1997-1998</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33 :</w:t>
            </w:r>
          </w:p>
        </w:tc>
        <w:tc>
          <w:tcPr>
            <w:tcW w:w="7938" w:type="dxa"/>
          </w:tcPr>
          <w:p w:rsidR="00000000" w:rsidRDefault="00000000">
            <w:pPr>
              <w:pStyle w:val="BodyText"/>
              <w:rPr>
                <w:sz w:val="22"/>
              </w:rPr>
            </w:pPr>
            <w:r>
              <w:rPr>
                <w:sz w:val="22"/>
              </w:rPr>
              <w:t>Evolution du taux brut de la scolarisation dans le primaire, 1990-1998</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34 :</w:t>
            </w:r>
          </w:p>
        </w:tc>
        <w:tc>
          <w:tcPr>
            <w:tcW w:w="7938" w:type="dxa"/>
          </w:tcPr>
          <w:p w:rsidR="00000000" w:rsidRDefault="00000000">
            <w:pPr>
              <w:pStyle w:val="BodyText"/>
              <w:rPr>
                <w:sz w:val="22"/>
              </w:rPr>
            </w:pPr>
            <w:r>
              <w:rPr>
                <w:sz w:val="22"/>
              </w:rPr>
              <w:t>Evolution du taux brut d’admission en première année du primaire, de 1991 à 1995</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35 :</w:t>
            </w:r>
          </w:p>
        </w:tc>
        <w:tc>
          <w:tcPr>
            <w:tcW w:w="7938" w:type="dxa"/>
          </w:tcPr>
          <w:p w:rsidR="00000000" w:rsidRDefault="00000000">
            <w:pPr>
              <w:pStyle w:val="BodyText"/>
              <w:rPr>
                <w:sz w:val="22"/>
              </w:rPr>
            </w:pPr>
            <w:r>
              <w:rPr>
                <w:sz w:val="22"/>
              </w:rPr>
              <w:t>Taux de redoublement dans le primaire</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36 :</w:t>
            </w:r>
          </w:p>
        </w:tc>
        <w:tc>
          <w:tcPr>
            <w:tcW w:w="7938" w:type="dxa"/>
          </w:tcPr>
          <w:p w:rsidR="00000000" w:rsidRDefault="00000000">
            <w:pPr>
              <w:pStyle w:val="BodyText"/>
              <w:rPr>
                <w:sz w:val="22"/>
              </w:rPr>
            </w:pPr>
            <w:r>
              <w:rPr>
                <w:sz w:val="22"/>
              </w:rPr>
              <w:t>Effectifs au cycle secondaire de l’enseignement général</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37 :</w:t>
            </w:r>
          </w:p>
        </w:tc>
        <w:tc>
          <w:tcPr>
            <w:tcW w:w="7938" w:type="dxa"/>
          </w:tcPr>
          <w:p w:rsidR="00000000" w:rsidRDefault="00000000">
            <w:pPr>
              <w:pStyle w:val="BodyText"/>
              <w:rPr>
                <w:sz w:val="22"/>
              </w:rPr>
            </w:pPr>
            <w:r>
              <w:rPr>
                <w:sz w:val="22"/>
              </w:rPr>
              <w:t>Effectifs au cycle secondaire de l’enseignement technique et professionnel</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38 :</w:t>
            </w:r>
          </w:p>
        </w:tc>
        <w:tc>
          <w:tcPr>
            <w:tcW w:w="7938" w:type="dxa"/>
          </w:tcPr>
          <w:p w:rsidR="00000000" w:rsidRDefault="00000000">
            <w:pPr>
              <w:pStyle w:val="BodyText"/>
              <w:rPr>
                <w:sz w:val="22"/>
              </w:rPr>
            </w:pPr>
            <w:r>
              <w:rPr>
                <w:sz w:val="22"/>
              </w:rPr>
              <w:t>Taux de redoublement au collège</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39 :</w:t>
            </w:r>
          </w:p>
        </w:tc>
        <w:tc>
          <w:tcPr>
            <w:tcW w:w="7938" w:type="dxa"/>
          </w:tcPr>
          <w:p w:rsidR="00000000" w:rsidRDefault="00000000">
            <w:pPr>
              <w:pStyle w:val="BodyText"/>
              <w:rPr>
                <w:sz w:val="22"/>
              </w:rPr>
            </w:pPr>
            <w:r>
              <w:rPr>
                <w:sz w:val="22"/>
              </w:rPr>
              <w:t xml:space="preserve">Ratio dans l’enseignement technique et professionnel </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40 :</w:t>
            </w:r>
          </w:p>
        </w:tc>
        <w:tc>
          <w:tcPr>
            <w:tcW w:w="7938" w:type="dxa"/>
          </w:tcPr>
          <w:p w:rsidR="00000000" w:rsidRDefault="00000000">
            <w:pPr>
              <w:pStyle w:val="BodyText"/>
              <w:rPr>
                <w:sz w:val="22"/>
              </w:rPr>
            </w:pPr>
            <w:r>
              <w:rPr>
                <w:sz w:val="22"/>
              </w:rPr>
              <w:t>Ratio dans l’enseignement technique et professionnel, 1997-1998</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41 :</w:t>
            </w:r>
          </w:p>
        </w:tc>
        <w:tc>
          <w:tcPr>
            <w:tcW w:w="7938" w:type="dxa"/>
          </w:tcPr>
          <w:p w:rsidR="00000000" w:rsidRDefault="00000000">
            <w:pPr>
              <w:pStyle w:val="BodyText"/>
              <w:rPr>
                <w:sz w:val="22"/>
              </w:rPr>
            </w:pPr>
            <w:r>
              <w:rPr>
                <w:sz w:val="22"/>
              </w:rPr>
              <w:t>Evolution des résultats aux examens de sortie des écoles professionnelles</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42 :</w:t>
            </w:r>
          </w:p>
        </w:tc>
        <w:tc>
          <w:tcPr>
            <w:tcW w:w="7938" w:type="dxa"/>
          </w:tcPr>
          <w:p w:rsidR="00000000" w:rsidRDefault="00000000">
            <w:pPr>
              <w:pStyle w:val="BodyText"/>
              <w:rPr>
                <w:sz w:val="22"/>
              </w:rPr>
            </w:pPr>
            <w:r>
              <w:rPr>
                <w:sz w:val="22"/>
              </w:rPr>
              <w:t>Evolution des effectifs des étudiants par sexe</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43 :</w:t>
            </w:r>
          </w:p>
        </w:tc>
        <w:tc>
          <w:tcPr>
            <w:tcW w:w="7938" w:type="dxa"/>
          </w:tcPr>
          <w:p w:rsidR="00000000" w:rsidRDefault="00000000">
            <w:pPr>
              <w:pStyle w:val="BodyText"/>
              <w:rPr>
                <w:sz w:val="22"/>
              </w:rPr>
            </w:pPr>
            <w:r>
              <w:rPr>
                <w:sz w:val="22"/>
              </w:rPr>
              <w:t>Taux de scolarisation des filles en 1990</w:t>
            </w:r>
          </w:p>
        </w:tc>
      </w:tr>
      <w:tr w:rsidR="00000000">
        <w:tblPrEx>
          <w:tblCellMar>
            <w:top w:w="0" w:type="dxa"/>
            <w:bottom w:w="0" w:type="dxa"/>
          </w:tblCellMar>
        </w:tblPrEx>
        <w:trPr>
          <w:cantSplit/>
        </w:trPr>
        <w:tc>
          <w:tcPr>
            <w:tcW w:w="1630" w:type="dxa"/>
          </w:tcPr>
          <w:p w:rsidR="00000000" w:rsidRDefault="00000000">
            <w:pPr>
              <w:pStyle w:val="BodyText"/>
              <w:rPr>
                <w:sz w:val="22"/>
              </w:rPr>
            </w:pPr>
            <w:r>
              <w:rPr>
                <w:sz w:val="22"/>
              </w:rPr>
              <w:t>Tableau n° 44 :</w:t>
            </w:r>
          </w:p>
        </w:tc>
        <w:tc>
          <w:tcPr>
            <w:tcW w:w="7938" w:type="dxa"/>
          </w:tcPr>
          <w:p w:rsidR="00000000" w:rsidRDefault="00000000">
            <w:pPr>
              <w:pStyle w:val="BodyText"/>
              <w:rPr>
                <w:sz w:val="22"/>
              </w:rPr>
            </w:pPr>
            <w:r>
              <w:rPr>
                <w:sz w:val="22"/>
              </w:rPr>
              <w:t>Poids des dépenses publiques ordinaires d’éducation dans le budget de fonctionnement de l’État</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45 :</w:t>
            </w:r>
          </w:p>
        </w:tc>
        <w:tc>
          <w:tcPr>
            <w:tcW w:w="7938" w:type="dxa"/>
          </w:tcPr>
          <w:p w:rsidR="00000000" w:rsidRDefault="00000000">
            <w:pPr>
              <w:pStyle w:val="BodyText"/>
              <w:rPr>
                <w:sz w:val="22"/>
              </w:rPr>
            </w:pPr>
            <w:r>
              <w:rPr>
                <w:sz w:val="22"/>
              </w:rPr>
              <w:t>Financement de l’éducation en matière de formation</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46 :</w:t>
            </w:r>
          </w:p>
        </w:tc>
        <w:tc>
          <w:tcPr>
            <w:tcW w:w="7938" w:type="dxa"/>
          </w:tcPr>
          <w:p w:rsidR="00000000" w:rsidRDefault="00000000">
            <w:pPr>
              <w:pStyle w:val="BodyText"/>
              <w:rPr>
                <w:sz w:val="22"/>
              </w:rPr>
            </w:pPr>
            <w:r>
              <w:rPr>
                <w:sz w:val="22"/>
              </w:rPr>
              <w:t>Représentativité des filles à la Faculté de sciences économiques</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47 :</w:t>
            </w:r>
          </w:p>
        </w:tc>
        <w:tc>
          <w:tcPr>
            <w:tcW w:w="7938" w:type="dxa"/>
          </w:tcPr>
          <w:p w:rsidR="00000000" w:rsidRDefault="00000000">
            <w:pPr>
              <w:pStyle w:val="BodyText"/>
              <w:rPr>
                <w:sz w:val="22"/>
              </w:rPr>
            </w:pPr>
            <w:r>
              <w:rPr>
                <w:sz w:val="22"/>
              </w:rPr>
              <w:t>Représentativité des filles à la Faculté des lettres et des sciences humaines</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48 :</w:t>
            </w:r>
          </w:p>
        </w:tc>
        <w:tc>
          <w:tcPr>
            <w:tcW w:w="7938" w:type="dxa"/>
          </w:tcPr>
          <w:p w:rsidR="00000000" w:rsidRDefault="00000000">
            <w:pPr>
              <w:pStyle w:val="BodyText"/>
              <w:rPr>
                <w:sz w:val="22"/>
              </w:rPr>
            </w:pPr>
            <w:r>
              <w:rPr>
                <w:sz w:val="22"/>
              </w:rPr>
              <w:t>Représentativité des filles à la Faculté de droit</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49 :</w:t>
            </w:r>
          </w:p>
        </w:tc>
        <w:tc>
          <w:tcPr>
            <w:tcW w:w="7938" w:type="dxa"/>
          </w:tcPr>
          <w:p w:rsidR="00000000" w:rsidRDefault="00000000">
            <w:pPr>
              <w:pStyle w:val="BodyText"/>
              <w:rPr>
                <w:sz w:val="22"/>
              </w:rPr>
            </w:pPr>
            <w:r>
              <w:rPr>
                <w:sz w:val="22"/>
              </w:rPr>
              <w:t>Représentativité des filles à la Faculté des sciences</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50 :</w:t>
            </w:r>
          </w:p>
        </w:tc>
        <w:tc>
          <w:tcPr>
            <w:tcW w:w="7938" w:type="dxa"/>
          </w:tcPr>
          <w:p w:rsidR="00000000" w:rsidRDefault="00000000">
            <w:pPr>
              <w:pStyle w:val="BodyText"/>
              <w:rPr>
                <w:sz w:val="22"/>
              </w:rPr>
            </w:pPr>
            <w:r>
              <w:rPr>
                <w:sz w:val="22"/>
              </w:rPr>
              <w:t>Participation des filles à l’Ecole Normale Supérieure</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51 :</w:t>
            </w:r>
          </w:p>
        </w:tc>
        <w:tc>
          <w:tcPr>
            <w:tcW w:w="7938" w:type="dxa"/>
          </w:tcPr>
          <w:p w:rsidR="00000000" w:rsidRDefault="00000000">
            <w:pPr>
              <w:pStyle w:val="BodyText"/>
              <w:rPr>
                <w:sz w:val="22"/>
              </w:rPr>
            </w:pPr>
            <w:r>
              <w:rPr>
                <w:sz w:val="22"/>
              </w:rPr>
              <w:t>Représentativité des filles à la Faculté des sciences de la santé</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52 :</w:t>
            </w:r>
          </w:p>
        </w:tc>
        <w:tc>
          <w:tcPr>
            <w:tcW w:w="7938" w:type="dxa"/>
          </w:tcPr>
          <w:p w:rsidR="00000000" w:rsidRDefault="00000000">
            <w:pPr>
              <w:pStyle w:val="BodyText"/>
              <w:rPr>
                <w:sz w:val="22"/>
              </w:rPr>
            </w:pPr>
            <w:r>
              <w:rPr>
                <w:sz w:val="22"/>
              </w:rPr>
              <w:t>Représentativité des filles à l’Institut supérieur de l’éducation physique et sportive</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53 :</w:t>
            </w:r>
          </w:p>
        </w:tc>
        <w:tc>
          <w:tcPr>
            <w:tcW w:w="7938" w:type="dxa"/>
          </w:tcPr>
          <w:p w:rsidR="00000000" w:rsidRDefault="00000000">
            <w:pPr>
              <w:pStyle w:val="BodyText"/>
              <w:rPr>
                <w:sz w:val="22"/>
              </w:rPr>
            </w:pPr>
            <w:r>
              <w:rPr>
                <w:sz w:val="22"/>
              </w:rPr>
              <w:t>Effectifs du personnel enseignant</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54 :</w:t>
            </w:r>
          </w:p>
        </w:tc>
        <w:tc>
          <w:tcPr>
            <w:tcW w:w="7938" w:type="dxa"/>
          </w:tcPr>
          <w:p w:rsidR="00000000" w:rsidRDefault="00000000">
            <w:pPr>
              <w:pStyle w:val="BodyText"/>
              <w:rPr>
                <w:sz w:val="22"/>
              </w:rPr>
            </w:pPr>
            <w:r>
              <w:rPr>
                <w:sz w:val="22"/>
              </w:rPr>
              <w:t>Représentativité des filles à l’Institut des sciences et techniques de la communication</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55 :</w:t>
            </w:r>
          </w:p>
        </w:tc>
        <w:tc>
          <w:tcPr>
            <w:tcW w:w="7938" w:type="dxa"/>
          </w:tcPr>
          <w:p w:rsidR="00000000" w:rsidRDefault="00000000">
            <w:pPr>
              <w:pStyle w:val="BodyText"/>
              <w:rPr>
                <w:sz w:val="22"/>
              </w:rPr>
            </w:pPr>
            <w:r>
              <w:rPr>
                <w:sz w:val="22"/>
              </w:rPr>
              <w:t>Représentativité des filles à l’Ecole Nationale de l’Administration et de la Magistrature</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56 :</w:t>
            </w:r>
          </w:p>
        </w:tc>
        <w:tc>
          <w:tcPr>
            <w:tcW w:w="7938" w:type="dxa"/>
          </w:tcPr>
          <w:p w:rsidR="00000000" w:rsidRDefault="00000000">
            <w:pPr>
              <w:pStyle w:val="BodyText"/>
              <w:rPr>
                <w:sz w:val="22"/>
              </w:rPr>
            </w:pPr>
            <w:r>
              <w:rPr>
                <w:sz w:val="22"/>
              </w:rPr>
              <w:t>Représentativité des filles à l’Ecole Nationale Supérieure Polytechnique</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57 :</w:t>
            </w:r>
          </w:p>
        </w:tc>
        <w:tc>
          <w:tcPr>
            <w:tcW w:w="7938" w:type="dxa"/>
          </w:tcPr>
          <w:p w:rsidR="00000000" w:rsidRDefault="00000000">
            <w:pPr>
              <w:pStyle w:val="BodyText"/>
              <w:rPr>
                <w:sz w:val="22"/>
              </w:rPr>
            </w:pPr>
            <w:r>
              <w:rPr>
                <w:sz w:val="22"/>
              </w:rPr>
              <w:t>Représentativité des filles à l’Institut de Développement Rural</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58 :</w:t>
            </w:r>
          </w:p>
        </w:tc>
        <w:tc>
          <w:tcPr>
            <w:tcW w:w="7938" w:type="dxa"/>
          </w:tcPr>
          <w:p w:rsidR="00000000" w:rsidRDefault="00000000">
            <w:pPr>
              <w:pStyle w:val="BodyText"/>
              <w:rPr>
                <w:sz w:val="22"/>
              </w:rPr>
            </w:pPr>
            <w:r>
              <w:rPr>
                <w:sz w:val="22"/>
              </w:rPr>
              <w:t>Représentativité des filles à l’Institut Supérieur de Gestion</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59 :</w:t>
            </w:r>
          </w:p>
        </w:tc>
        <w:tc>
          <w:tcPr>
            <w:tcW w:w="7938" w:type="dxa"/>
          </w:tcPr>
          <w:p w:rsidR="00000000" w:rsidRDefault="00000000">
            <w:pPr>
              <w:pStyle w:val="BodyText"/>
              <w:rPr>
                <w:sz w:val="22"/>
              </w:rPr>
            </w:pPr>
            <w:r>
              <w:rPr>
                <w:sz w:val="22"/>
              </w:rPr>
              <w:t>Représentativité des filles à l’Université Mariem Ngouabi</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60 :</w:t>
            </w:r>
          </w:p>
        </w:tc>
        <w:tc>
          <w:tcPr>
            <w:tcW w:w="7938" w:type="dxa"/>
          </w:tcPr>
          <w:p w:rsidR="00000000" w:rsidRDefault="00000000">
            <w:pPr>
              <w:pStyle w:val="BodyText"/>
              <w:rPr>
                <w:sz w:val="22"/>
              </w:rPr>
            </w:pPr>
            <w:r>
              <w:rPr>
                <w:sz w:val="22"/>
              </w:rPr>
              <w:t>Attribution des bourses par sexe</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61 :</w:t>
            </w:r>
          </w:p>
        </w:tc>
        <w:tc>
          <w:tcPr>
            <w:tcW w:w="7938" w:type="dxa"/>
          </w:tcPr>
          <w:p w:rsidR="00000000" w:rsidRDefault="00000000">
            <w:pPr>
              <w:pStyle w:val="BodyText"/>
              <w:rPr>
                <w:sz w:val="22"/>
              </w:rPr>
            </w:pPr>
            <w:r>
              <w:rPr>
                <w:sz w:val="22"/>
              </w:rPr>
              <w:t>Evolution des centres d’alphabétisation</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62 :</w:t>
            </w:r>
          </w:p>
        </w:tc>
        <w:tc>
          <w:tcPr>
            <w:tcW w:w="7938" w:type="dxa"/>
          </w:tcPr>
          <w:p w:rsidR="00000000" w:rsidRDefault="00000000">
            <w:pPr>
              <w:pStyle w:val="BodyText"/>
              <w:rPr>
                <w:sz w:val="22"/>
              </w:rPr>
            </w:pPr>
            <w:r>
              <w:rPr>
                <w:sz w:val="22"/>
              </w:rPr>
              <w:t>Estimation du taux d’alphabétisme au Congo</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63 :</w:t>
            </w:r>
          </w:p>
        </w:tc>
        <w:tc>
          <w:tcPr>
            <w:tcW w:w="7938" w:type="dxa"/>
          </w:tcPr>
          <w:p w:rsidR="00000000" w:rsidRDefault="00000000">
            <w:pPr>
              <w:pStyle w:val="BodyText"/>
              <w:rPr>
                <w:sz w:val="22"/>
              </w:rPr>
            </w:pPr>
            <w:r>
              <w:rPr>
                <w:sz w:val="22"/>
              </w:rPr>
              <w:t>Evolution du taux d’alphabétisme des années</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64 :</w:t>
            </w:r>
          </w:p>
        </w:tc>
        <w:tc>
          <w:tcPr>
            <w:tcW w:w="7938" w:type="dxa"/>
          </w:tcPr>
          <w:p w:rsidR="00000000" w:rsidRDefault="00000000">
            <w:pPr>
              <w:pStyle w:val="BodyText"/>
              <w:rPr>
                <w:sz w:val="22"/>
              </w:rPr>
            </w:pPr>
            <w:r>
              <w:rPr>
                <w:sz w:val="22"/>
              </w:rPr>
              <w:t>Evolution des taux d’alphabétisation des sujets âgés de 15 à 24 ans</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65 :</w:t>
            </w:r>
          </w:p>
        </w:tc>
        <w:tc>
          <w:tcPr>
            <w:tcW w:w="7938" w:type="dxa"/>
          </w:tcPr>
          <w:p w:rsidR="00000000" w:rsidRDefault="00000000">
            <w:pPr>
              <w:pStyle w:val="BodyText"/>
              <w:rPr>
                <w:sz w:val="22"/>
              </w:rPr>
            </w:pPr>
            <w:r>
              <w:rPr>
                <w:sz w:val="22"/>
              </w:rPr>
              <w:t>Taux de redoublement dans le primaire</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66 :</w:t>
            </w:r>
          </w:p>
        </w:tc>
        <w:tc>
          <w:tcPr>
            <w:tcW w:w="7938" w:type="dxa"/>
          </w:tcPr>
          <w:p w:rsidR="00000000" w:rsidRDefault="00000000">
            <w:pPr>
              <w:pStyle w:val="BodyText"/>
              <w:rPr>
                <w:sz w:val="22"/>
              </w:rPr>
            </w:pPr>
            <w:r>
              <w:rPr>
                <w:sz w:val="22"/>
              </w:rPr>
              <w:t>Abandon au primaire sur 1000 élèves entrés au CP1</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67 :</w:t>
            </w:r>
          </w:p>
        </w:tc>
        <w:tc>
          <w:tcPr>
            <w:tcW w:w="7938" w:type="dxa"/>
          </w:tcPr>
          <w:p w:rsidR="00000000" w:rsidRDefault="00000000">
            <w:pPr>
              <w:pStyle w:val="BodyText"/>
              <w:rPr>
                <w:sz w:val="22"/>
              </w:rPr>
            </w:pPr>
            <w:r>
              <w:rPr>
                <w:sz w:val="22"/>
              </w:rPr>
              <w:t>Coefficient d’efficacité et de déperdition en 5</w:t>
            </w:r>
            <w:r>
              <w:rPr>
                <w:sz w:val="22"/>
                <w:vertAlign w:val="superscript"/>
              </w:rPr>
              <w:t>ème</w:t>
            </w:r>
            <w:r>
              <w:rPr>
                <w:sz w:val="22"/>
              </w:rPr>
              <w:t xml:space="preserve"> et 6</w:t>
            </w:r>
            <w:r>
              <w:rPr>
                <w:sz w:val="22"/>
                <w:vertAlign w:val="superscript"/>
              </w:rPr>
              <w:t>ème</w:t>
            </w:r>
            <w:r>
              <w:rPr>
                <w:sz w:val="22"/>
              </w:rPr>
              <w:t xml:space="preserve"> années du primaire en 1993-1994</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68 :</w:t>
            </w:r>
          </w:p>
        </w:tc>
        <w:tc>
          <w:tcPr>
            <w:tcW w:w="7938" w:type="dxa"/>
          </w:tcPr>
          <w:p w:rsidR="00000000" w:rsidRDefault="00000000">
            <w:pPr>
              <w:pStyle w:val="BodyText"/>
              <w:rPr>
                <w:sz w:val="22"/>
              </w:rPr>
            </w:pPr>
            <w:r>
              <w:rPr>
                <w:sz w:val="22"/>
              </w:rPr>
              <w:t>Les effectifs des enseignants d’éducation physique et sportive (EPS)</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69 :</w:t>
            </w:r>
          </w:p>
        </w:tc>
        <w:tc>
          <w:tcPr>
            <w:tcW w:w="7938" w:type="dxa"/>
          </w:tcPr>
          <w:p w:rsidR="00000000" w:rsidRDefault="00000000">
            <w:pPr>
              <w:pStyle w:val="BodyText"/>
              <w:rPr>
                <w:sz w:val="22"/>
              </w:rPr>
            </w:pPr>
            <w:r>
              <w:rPr>
                <w:sz w:val="22"/>
              </w:rPr>
              <w:t>Les effectifs des enseignants d’EPS dans les établissements</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70 :</w:t>
            </w:r>
          </w:p>
        </w:tc>
        <w:tc>
          <w:tcPr>
            <w:tcW w:w="7938" w:type="dxa"/>
          </w:tcPr>
          <w:p w:rsidR="00000000" w:rsidRDefault="00000000">
            <w:pPr>
              <w:pStyle w:val="BodyText"/>
              <w:jc w:val="left"/>
              <w:rPr>
                <w:sz w:val="22"/>
              </w:rPr>
            </w:pPr>
            <w:r>
              <w:rPr>
                <w:sz w:val="22"/>
              </w:rPr>
              <w:t>Résultats des examens de l’année 1994-1995 à l’Institut supérieur de l’éducation physique et sportive</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71 :</w:t>
            </w:r>
          </w:p>
        </w:tc>
        <w:tc>
          <w:tcPr>
            <w:tcW w:w="7938" w:type="dxa"/>
          </w:tcPr>
          <w:p w:rsidR="00000000" w:rsidRDefault="00000000">
            <w:pPr>
              <w:pStyle w:val="BodyText"/>
              <w:rPr>
                <w:sz w:val="22"/>
              </w:rPr>
            </w:pPr>
            <w:r>
              <w:rPr>
                <w:sz w:val="22"/>
              </w:rPr>
              <w:t>Nombre de consultations prénatales par femme selon les villes</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72 :</w:t>
            </w:r>
          </w:p>
        </w:tc>
        <w:tc>
          <w:tcPr>
            <w:tcW w:w="7938" w:type="dxa"/>
          </w:tcPr>
          <w:p w:rsidR="00000000" w:rsidRDefault="00000000">
            <w:pPr>
              <w:pStyle w:val="BodyText"/>
              <w:rPr>
                <w:sz w:val="22"/>
              </w:rPr>
            </w:pPr>
            <w:r>
              <w:rPr>
                <w:sz w:val="22"/>
              </w:rPr>
              <w:t>Suivi prénatal selon la zone géographique et les années</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73 :</w:t>
            </w:r>
          </w:p>
        </w:tc>
        <w:tc>
          <w:tcPr>
            <w:tcW w:w="7938" w:type="dxa"/>
          </w:tcPr>
          <w:p w:rsidR="00000000" w:rsidRDefault="00000000">
            <w:pPr>
              <w:pStyle w:val="BodyText"/>
              <w:rPr>
                <w:sz w:val="22"/>
              </w:rPr>
            </w:pPr>
            <w:r>
              <w:rPr>
                <w:sz w:val="22"/>
              </w:rPr>
              <w:t>Répartition des femmes vaccinées au cours de la grossesse</w:t>
            </w:r>
          </w:p>
        </w:tc>
      </w:tr>
      <w:tr w:rsidR="00000000">
        <w:tblPrEx>
          <w:tblCellMar>
            <w:top w:w="0" w:type="dxa"/>
            <w:bottom w:w="0" w:type="dxa"/>
          </w:tblCellMar>
        </w:tblPrEx>
        <w:tc>
          <w:tcPr>
            <w:tcW w:w="1630" w:type="dxa"/>
          </w:tcPr>
          <w:p w:rsidR="00000000" w:rsidRDefault="00000000">
            <w:pPr>
              <w:pStyle w:val="BodyText"/>
              <w:rPr>
                <w:sz w:val="22"/>
              </w:rPr>
            </w:pPr>
            <w:r>
              <w:rPr>
                <w:sz w:val="22"/>
              </w:rPr>
              <w:t>Figure 4 :</w:t>
            </w:r>
          </w:p>
        </w:tc>
        <w:tc>
          <w:tcPr>
            <w:tcW w:w="7938" w:type="dxa"/>
          </w:tcPr>
          <w:p w:rsidR="00000000" w:rsidRDefault="00000000">
            <w:pPr>
              <w:pStyle w:val="BodyText"/>
              <w:rPr>
                <w:sz w:val="22"/>
              </w:rPr>
            </w:pPr>
            <w:r>
              <w:rPr>
                <w:sz w:val="22"/>
              </w:rPr>
              <w:t>Répartition des accouchements selon le lieu</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74 :</w:t>
            </w:r>
          </w:p>
        </w:tc>
        <w:tc>
          <w:tcPr>
            <w:tcW w:w="7938" w:type="dxa"/>
          </w:tcPr>
          <w:p w:rsidR="00000000" w:rsidRDefault="00000000">
            <w:pPr>
              <w:pStyle w:val="BodyText"/>
              <w:rPr>
                <w:sz w:val="22"/>
              </w:rPr>
            </w:pPr>
            <w:r>
              <w:rPr>
                <w:sz w:val="22"/>
              </w:rPr>
              <w:t>Assistance aux accouchements selon le profil</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75 :</w:t>
            </w:r>
          </w:p>
        </w:tc>
        <w:tc>
          <w:tcPr>
            <w:tcW w:w="7938" w:type="dxa"/>
          </w:tcPr>
          <w:p w:rsidR="00000000" w:rsidRDefault="00000000">
            <w:pPr>
              <w:pStyle w:val="BodyText"/>
              <w:rPr>
                <w:sz w:val="22"/>
              </w:rPr>
            </w:pPr>
            <w:r>
              <w:rPr>
                <w:sz w:val="22"/>
              </w:rPr>
              <w:t>Situation des violences sexuelles</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76 :</w:t>
            </w:r>
          </w:p>
        </w:tc>
        <w:tc>
          <w:tcPr>
            <w:tcW w:w="7938" w:type="dxa"/>
          </w:tcPr>
          <w:p w:rsidR="00000000" w:rsidRDefault="00000000">
            <w:pPr>
              <w:pStyle w:val="BodyText"/>
              <w:rPr>
                <w:sz w:val="22"/>
              </w:rPr>
            </w:pPr>
            <w:r>
              <w:rPr>
                <w:sz w:val="22"/>
              </w:rPr>
              <w:t>Répartition par sexe de la population résidente</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77 :</w:t>
            </w:r>
          </w:p>
        </w:tc>
        <w:tc>
          <w:tcPr>
            <w:tcW w:w="7938" w:type="dxa"/>
          </w:tcPr>
          <w:p w:rsidR="00000000" w:rsidRDefault="00000000">
            <w:pPr>
              <w:pStyle w:val="BodyText"/>
              <w:rPr>
                <w:sz w:val="22"/>
              </w:rPr>
            </w:pPr>
            <w:r>
              <w:rPr>
                <w:sz w:val="22"/>
              </w:rPr>
              <w:t>Répartition des exploitations agricoles par région selon le sexe</w:t>
            </w:r>
          </w:p>
        </w:tc>
      </w:tr>
      <w:tr w:rsidR="00000000">
        <w:tblPrEx>
          <w:tblCellMar>
            <w:top w:w="0" w:type="dxa"/>
            <w:bottom w:w="0" w:type="dxa"/>
          </w:tblCellMar>
        </w:tblPrEx>
        <w:tc>
          <w:tcPr>
            <w:tcW w:w="1630" w:type="dxa"/>
          </w:tcPr>
          <w:p w:rsidR="00000000" w:rsidRDefault="00000000">
            <w:pPr>
              <w:pStyle w:val="BodyText"/>
              <w:rPr>
                <w:sz w:val="22"/>
              </w:rPr>
            </w:pPr>
            <w:r>
              <w:rPr>
                <w:sz w:val="22"/>
              </w:rPr>
              <w:t>Tableau n° 78 :</w:t>
            </w:r>
          </w:p>
        </w:tc>
        <w:tc>
          <w:tcPr>
            <w:tcW w:w="7938" w:type="dxa"/>
          </w:tcPr>
          <w:p w:rsidR="00000000" w:rsidRDefault="00000000">
            <w:pPr>
              <w:pStyle w:val="BodyText"/>
              <w:rPr>
                <w:sz w:val="22"/>
              </w:rPr>
            </w:pPr>
            <w:r>
              <w:rPr>
                <w:sz w:val="22"/>
              </w:rPr>
              <w:t>Crédits octroyés par la Caisse féminine nationale d’épargne et de crédit mutuel</w:t>
            </w:r>
          </w:p>
        </w:tc>
      </w:tr>
    </w:tbl>
    <w:p w:rsidR="00000000" w:rsidRDefault="00000000">
      <w:pPr>
        <w:pStyle w:val="BodyText"/>
        <w:jc w:val="center"/>
        <w:rPr>
          <w:b/>
          <w:u w:val="single"/>
        </w:rPr>
      </w:pPr>
      <w:r>
        <w:rPr>
          <w:sz w:val="22"/>
        </w:rPr>
        <w:br w:type="page"/>
      </w:r>
      <w:r>
        <w:rPr>
          <w:b/>
          <w:u w:val="single"/>
        </w:rPr>
        <w:t>BIBLIOGRAPHIE</w:t>
      </w:r>
    </w:p>
    <w:p w:rsidR="00000000" w:rsidRDefault="00000000">
      <w:pPr>
        <w:pStyle w:val="BodyText"/>
        <w:rPr>
          <w:sz w:val="22"/>
        </w:rPr>
      </w:pPr>
    </w:p>
    <w:p w:rsidR="00000000" w:rsidRDefault="00000000">
      <w:pPr>
        <w:pStyle w:val="BodyText2"/>
        <w:numPr>
          <w:ilvl w:val="0"/>
          <w:numId w:val="182"/>
        </w:numPr>
        <w:jc w:val="both"/>
        <w:rPr>
          <w:b w:val="0"/>
        </w:rPr>
      </w:pPr>
      <w:r>
        <w:rPr>
          <w:b w:val="0"/>
        </w:rPr>
        <w:t>BONZONGO Damase, appréciation de la situation sanitaire au Congo, DGS, 1998-1999, 29 p.</w:t>
      </w:r>
    </w:p>
    <w:p w:rsidR="00000000" w:rsidRDefault="00000000">
      <w:pPr>
        <w:pStyle w:val="BodyText2"/>
        <w:numPr>
          <w:ilvl w:val="0"/>
          <w:numId w:val="182"/>
        </w:numPr>
        <w:jc w:val="both"/>
        <w:rPr>
          <w:b w:val="0"/>
          <w:bCs/>
        </w:rPr>
      </w:pPr>
      <w:r>
        <w:rPr>
          <w:b w:val="0"/>
          <w:bCs/>
        </w:rPr>
        <w:t>Gabriel BOKOUMAKA, le système éducatif au Congo. Problème – Réflexion sur le redressement.</w:t>
      </w:r>
    </w:p>
    <w:p w:rsidR="00000000" w:rsidRDefault="00000000">
      <w:pPr>
        <w:pStyle w:val="BodyText2"/>
        <w:numPr>
          <w:ilvl w:val="0"/>
          <w:numId w:val="182"/>
        </w:numPr>
        <w:jc w:val="both"/>
        <w:rPr>
          <w:b w:val="0"/>
        </w:rPr>
      </w:pPr>
      <w:r>
        <w:rPr>
          <w:b w:val="0"/>
        </w:rPr>
        <w:t>déclaration de ZANZIBAR (conférence régionale des femmes pour la culture de la paix : mai 1999)</w:t>
      </w:r>
    </w:p>
    <w:p w:rsidR="00000000" w:rsidRDefault="00000000">
      <w:pPr>
        <w:pStyle w:val="BodyText2"/>
        <w:numPr>
          <w:ilvl w:val="0"/>
          <w:numId w:val="182"/>
        </w:numPr>
        <w:jc w:val="both"/>
        <w:rPr>
          <w:b w:val="0"/>
        </w:rPr>
      </w:pPr>
      <w:r>
        <w:rPr>
          <w:b w:val="0"/>
        </w:rPr>
        <w:t>femme et politique (UNESCO)</w:t>
      </w:r>
    </w:p>
    <w:p w:rsidR="00000000" w:rsidRDefault="00000000">
      <w:pPr>
        <w:pStyle w:val="BodyText"/>
        <w:numPr>
          <w:ilvl w:val="0"/>
          <w:numId w:val="229"/>
        </w:numPr>
        <w:rPr>
          <w:sz w:val="22"/>
        </w:rPr>
      </w:pPr>
      <w:r>
        <w:rPr>
          <w:sz w:val="22"/>
        </w:rPr>
        <w:t>Forum Régional de l’Afrique – Femmes, sciences et technologie, Ouagadougou, Janvier 1999.</w:t>
      </w:r>
    </w:p>
    <w:p w:rsidR="00000000" w:rsidRDefault="00000000">
      <w:pPr>
        <w:pStyle w:val="BodyText2"/>
        <w:numPr>
          <w:ilvl w:val="0"/>
          <w:numId w:val="182"/>
        </w:numPr>
        <w:jc w:val="both"/>
        <w:rPr>
          <w:b w:val="0"/>
        </w:rPr>
      </w:pPr>
      <w:r>
        <w:rPr>
          <w:b w:val="0"/>
        </w:rPr>
        <w:t>génome et droit humains (UNESCO)</w:t>
      </w:r>
    </w:p>
    <w:p w:rsidR="00000000" w:rsidRDefault="00000000">
      <w:pPr>
        <w:pStyle w:val="BodyText2"/>
        <w:numPr>
          <w:ilvl w:val="0"/>
          <w:numId w:val="182"/>
        </w:numPr>
        <w:jc w:val="both"/>
        <w:rPr>
          <w:b w:val="0"/>
        </w:rPr>
      </w:pPr>
      <w:r>
        <w:rPr>
          <w:b w:val="0"/>
        </w:rPr>
        <w:t>la charte des progrès (CEA)</w:t>
      </w:r>
    </w:p>
    <w:p w:rsidR="00000000" w:rsidRDefault="00000000">
      <w:pPr>
        <w:pStyle w:val="BodyText2"/>
        <w:numPr>
          <w:ilvl w:val="0"/>
          <w:numId w:val="182"/>
        </w:numPr>
        <w:jc w:val="both"/>
        <w:rPr>
          <w:b w:val="0"/>
        </w:rPr>
      </w:pPr>
      <w:r>
        <w:rPr>
          <w:b w:val="0"/>
        </w:rPr>
        <w:t>le Gender en Afrique (CEA)</w:t>
      </w:r>
    </w:p>
    <w:p w:rsidR="00000000" w:rsidRDefault="00000000">
      <w:pPr>
        <w:pStyle w:val="BodyText"/>
        <w:numPr>
          <w:ilvl w:val="0"/>
          <w:numId w:val="229"/>
        </w:numPr>
        <w:rPr>
          <w:sz w:val="22"/>
        </w:rPr>
      </w:pPr>
      <w:r>
        <w:rPr>
          <w:sz w:val="22"/>
        </w:rPr>
        <w:t>MAKOUMBA-NZAMBI et TCHIBINDAT : Rapport national sur les femmes de l’agriculture et le développement : FAO/AIDO.S Avril 1994.</w:t>
      </w:r>
    </w:p>
    <w:p w:rsidR="00000000" w:rsidRDefault="00000000">
      <w:pPr>
        <w:pStyle w:val="BodyText"/>
        <w:numPr>
          <w:ilvl w:val="0"/>
          <w:numId w:val="229"/>
        </w:numPr>
        <w:rPr>
          <w:sz w:val="22"/>
        </w:rPr>
      </w:pPr>
      <w:r>
        <w:rPr>
          <w:sz w:val="22"/>
        </w:rPr>
        <w:t xml:space="preserve">Marie-Joseph MALLALI-YUGA, Education Pour Tous. Bilan à l’an 2000. </w:t>
      </w:r>
    </w:p>
    <w:p w:rsidR="00000000" w:rsidRDefault="00000000">
      <w:pPr>
        <w:numPr>
          <w:ilvl w:val="0"/>
          <w:numId w:val="229"/>
        </w:numPr>
        <w:rPr>
          <w:sz w:val="22"/>
        </w:rPr>
      </w:pPr>
      <w:r>
        <w:rPr>
          <w:sz w:val="22"/>
        </w:rPr>
        <w:t>MFPRAPF, document de politique de la Femme en matière de promotion de la Femme</w:t>
      </w:r>
    </w:p>
    <w:p w:rsidR="00000000" w:rsidRDefault="00000000">
      <w:pPr>
        <w:pStyle w:val="BodyText"/>
        <w:numPr>
          <w:ilvl w:val="0"/>
          <w:numId w:val="229"/>
        </w:numPr>
        <w:rPr>
          <w:sz w:val="22"/>
        </w:rPr>
      </w:pPr>
      <w:r>
        <w:rPr>
          <w:sz w:val="22"/>
        </w:rPr>
        <w:t>MFPRAPF, plan d’action en matière de promotion de la femme. Mai 1999.</w:t>
      </w:r>
    </w:p>
    <w:p w:rsidR="00000000" w:rsidRDefault="00000000">
      <w:pPr>
        <w:pStyle w:val="BodyText"/>
        <w:numPr>
          <w:ilvl w:val="0"/>
          <w:numId w:val="229"/>
        </w:numPr>
        <w:rPr>
          <w:sz w:val="22"/>
        </w:rPr>
      </w:pPr>
      <w:r>
        <w:rPr>
          <w:sz w:val="22"/>
        </w:rPr>
        <w:t>MFPRAPF, rapport de la consultation nationale préparatoire à la conférence de l’Afrique de l’Ouest et du Centre sur la vision de l’enfant africain au 21</w:t>
      </w:r>
      <w:r>
        <w:rPr>
          <w:sz w:val="22"/>
          <w:vertAlign w:val="superscript"/>
        </w:rPr>
        <w:t>ème</w:t>
      </w:r>
      <w:r>
        <w:rPr>
          <w:sz w:val="22"/>
        </w:rPr>
        <w:t xml:space="preserve"> siècle. Novembre 1999.</w:t>
      </w:r>
    </w:p>
    <w:p w:rsidR="00000000" w:rsidRDefault="00000000">
      <w:pPr>
        <w:pStyle w:val="BodyText"/>
        <w:numPr>
          <w:ilvl w:val="0"/>
          <w:numId w:val="229"/>
        </w:numPr>
        <w:rPr>
          <w:sz w:val="22"/>
        </w:rPr>
      </w:pPr>
      <w:r>
        <w:rPr>
          <w:sz w:val="22"/>
        </w:rPr>
        <w:t>MFPRAPF, Rapport national d’évaluation de la mise en œuvre des plates-formes de Dakar et de Beijing. République du Congo. Juillet 1999.</w:t>
      </w:r>
    </w:p>
    <w:p w:rsidR="00000000" w:rsidRDefault="00000000">
      <w:pPr>
        <w:numPr>
          <w:ilvl w:val="0"/>
          <w:numId w:val="229"/>
        </w:numPr>
        <w:rPr>
          <w:sz w:val="22"/>
        </w:rPr>
      </w:pPr>
      <w:r>
        <w:rPr>
          <w:sz w:val="22"/>
        </w:rPr>
        <w:t>MFPRAPF, rapport National du Congo  à la 6</w:t>
      </w:r>
      <w:r>
        <w:rPr>
          <w:sz w:val="22"/>
          <w:vertAlign w:val="superscript"/>
        </w:rPr>
        <w:t>e</w:t>
      </w:r>
      <w:r>
        <w:rPr>
          <w:sz w:val="22"/>
        </w:rPr>
        <w:t xml:space="preserve"> Conférence africaine des Femmes à ADDIS-ABEBA ( 1999)</w:t>
      </w:r>
    </w:p>
    <w:p w:rsidR="00000000" w:rsidRDefault="00000000">
      <w:pPr>
        <w:numPr>
          <w:ilvl w:val="0"/>
          <w:numId w:val="229"/>
        </w:numPr>
        <w:rPr>
          <w:sz w:val="22"/>
        </w:rPr>
      </w:pPr>
      <w:r>
        <w:rPr>
          <w:sz w:val="22"/>
        </w:rPr>
        <w:t>MIFD, rapport National du Congo à la 5</w:t>
      </w:r>
      <w:r>
        <w:rPr>
          <w:sz w:val="22"/>
          <w:vertAlign w:val="superscript"/>
        </w:rPr>
        <w:t>e</w:t>
      </w:r>
      <w:r>
        <w:rPr>
          <w:sz w:val="22"/>
        </w:rPr>
        <w:t xml:space="preserve"> Conférence Mondiale des Femmes à Beijing (1995)</w:t>
      </w:r>
    </w:p>
    <w:p w:rsidR="00000000" w:rsidRDefault="00000000">
      <w:pPr>
        <w:pStyle w:val="BodyText"/>
        <w:numPr>
          <w:ilvl w:val="0"/>
          <w:numId w:val="229"/>
        </w:numPr>
        <w:rPr>
          <w:sz w:val="22"/>
        </w:rPr>
      </w:pPr>
      <w:r>
        <w:rPr>
          <w:sz w:val="22"/>
        </w:rPr>
        <w:t>Ministère du Plan, Annuaire statistique 1988, CNSEE.</w:t>
      </w:r>
    </w:p>
    <w:p w:rsidR="00000000" w:rsidRDefault="00000000">
      <w:pPr>
        <w:pStyle w:val="BodyText"/>
        <w:numPr>
          <w:ilvl w:val="0"/>
          <w:numId w:val="229"/>
        </w:numPr>
        <w:rPr>
          <w:sz w:val="22"/>
        </w:rPr>
      </w:pPr>
      <w:r>
        <w:rPr>
          <w:sz w:val="22"/>
        </w:rPr>
        <w:t>Ministère du Plan, Résultats définitifs du Recensement général de la population et de l’habitat, 1984, Volume IV.</w:t>
      </w:r>
    </w:p>
    <w:p w:rsidR="00000000" w:rsidRDefault="00000000">
      <w:pPr>
        <w:pStyle w:val="BodyText2"/>
        <w:numPr>
          <w:ilvl w:val="0"/>
          <w:numId w:val="182"/>
        </w:numPr>
        <w:jc w:val="both"/>
        <w:rPr>
          <w:b w:val="0"/>
        </w:rPr>
      </w:pPr>
      <w:r>
        <w:rPr>
          <w:b w:val="0"/>
        </w:rPr>
        <w:t>MSSAH, plan d’action national de développement sanitaire</w:t>
      </w:r>
    </w:p>
    <w:p w:rsidR="00000000" w:rsidRDefault="00000000">
      <w:pPr>
        <w:pStyle w:val="BodyText2"/>
        <w:numPr>
          <w:ilvl w:val="0"/>
          <w:numId w:val="182"/>
        </w:numPr>
        <w:jc w:val="both"/>
        <w:rPr>
          <w:b w:val="0"/>
        </w:rPr>
      </w:pPr>
      <w:r>
        <w:rPr>
          <w:b w:val="0"/>
        </w:rPr>
        <w:t>MSSAH, politique de santé, Brazzaville, 2000, 23 p.</w:t>
      </w:r>
    </w:p>
    <w:p w:rsidR="00000000" w:rsidRDefault="00000000">
      <w:pPr>
        <w:pStyle w:val="BodyText2"/>
        <w:numPr>
          <w:ilvl w:val="0"/>
          <w:numId w:val="182"/>
        </w:numPr>
        <w:jc w:val="both"/>
        <w:rPr>
          <w:b w:val="0"/>
        </w:rPr>
      </w:pPr>
      <w:r>
        <w:rPr>
          <w:b w:val="0"/>
        </w:rPr>
        <w:t>MSSAH, service santé maternité et infantile, planification familiale. Rapport. Focus. Groupe avec les victimes des violences sexuelles, 1998, 4 p.</w:t>
      </w:r>
    </w:p>
    <w:p w:rsidR="00000000" w:rsidRDefault="00000000">
      <w:pPr>
        <w:pStyle w:val="BodyText2"/>
        <w:numPr>
          <w:ilvl w:val="0"/>
          <w:numId w:val="182"/>
        </w:numPr>
        <w:jc w:val="both"/>
        <w:rPr>
          <w:b w:val="0"/>
        </w:rPr>
      </w:pPr>
      <w:r>
        <w:rPr>
          <w:b w:val="0"/>
        </w:rPr>
        <w:t>MSSAH, stratégie nationale en santé de la reproduction, 39 p.</w:t>
      </w:r>
    </w:p>
    <w:p w:rsidR="00000000" w:rsidRDefault="00000000">
      <w:pPr>
        <w:pStyle w:val="BodyText2"/>
        <w:numPr>
          <w:ilvl w:val="0"/>
          <w:numId w:val="182"/>
        </w:numPr>
        <w:jc w:val="both"/>
        <w:rPr>
          <w:b w:val="0"/>
        </w:rPr>
      </w:pPr>
      <w:r>
        <w:rPr>
          <w:b w:val="0"/>
        </w:rPr>
        <w:t>MSSAH, UNICEF ERNAH, situation nutritionnelle des populations congolaises,</w:t>
      </w:r>
    </w:p>
    <w:p w:rsidR="00000000" w:rsidRDefault="00000000">
      <w:pPr>
        <w:pStyle w:val="BodyText2"/>
        <w:numPr>
          <w:ilvl w:val="0"/>
          <w:numId w:val="182"/>
        </w:numPr>
        <w:jc w:val="both"/>
        <w:rPr>
          <w:b w:val="0"/>
        </w:rPr>
      </w:pPr>
      <w:r>
        <w:rPr>
          <w:b w:val="0"/>
        </w:rPr>
        <w:t>MSSAH, UNICEF rapport d’étude : maternité sans risque, situation actuelle et perspectives, 1999, 25 p.</w:t>
      </w:r>
    </w:p>
    <w:p w:rsidR="00000000" w:rsidRDefault="00000000">
      <w:pPr>
        <w:pStyle w:val="BodyText2"/>
        <w:numPr>
          <w:ilvl w:val="0"/>
          <w:numId w:val="182"/>
        </w:numPr>
        <w:jc w:val="both"/>
        <w:rPr>
          <w:b w:val="0"/>
        </w:rPr>
      </w:pPr>
      <w:r>
        <w:rPr>
          <w:b w:val="0"/>
        </w:rPr>
        <w:t>OSSETE Jean Michel, analyse des enfants et des femmes au Congo, alimentation en eau potable, assainissement, salubrité de l’environnement, UNICEF, 1998, 41 p.</w:t>
      </w:r>
    </w:p>
    <w:p w:rsidR="00000000" w:rsidRDefault="00000000">
      <w:pPr>
        <w:pStyle w:val="BodyText"/>
        <w:numPr>
          <w:ilvl w:val="0"/>
          <w:numId w:val="229"/>
        </w:numPr>
        <w:rPr>
          <w:sz w:val="22"/>
        </w:rPr>
      </w:pPr>
      <w:r>
        <w:rPr>
          <w:sz w:val="22"/>
        </w:rPr>
        <w:t>Projet FAO. TCP/PRC/4452 « Appui à la promotion et à l’intégration de la femme au développement rural.</w:t>
      </w:r>
    </w:p>
    <w:p w:rsidR="00000000" w:rsidRDefault="00000000">
      <w:pPr>
        <w:pStyle w:val="BodyText"/>
        <w:numPr>
          <w:ilvl w:val="0"/>
          <w:numId w:val="229"/>
        </w:numPr>
        <w:rPr>
          <w:sz w:val="22"/>
        </w:rPr>
      </w:pPr>
      <w:r>
        <w:rPr>
          <w:sz w:val="22"/>
        </w:rPr>
        <w:t>SEP. Développement – projet d’intégration de la femme au développement dans les districts de Mfouati, Mindouli et Lékana. Ministère de la santé et des affaires sociales. Décembre 1990.</w:t>
      </w:r>
    </w:p>
    <w:p w:rsidR="00000000" w:rsidRDefault="00000000">
      <w:pPr>
        <w:pStyle w:val="BodyText"/>
        <w:numPr>
          <w:ilvl w:val="0"/>
          <w:numId w:val="229"/>
        </w:numPr>
        <w:rPr>
          <w:sz w:val="22"/>
        </w:rPr>
      </w:pPr>
      <w:r>
        <w:rPr>
          <w:sz w:val="22"/>
        </w:rPr>
        <w:t>UNICEF 1992, situation des enfants et des femmes au Congo.</w:t>
      </w:r>
    </w:p>
    <w:p w:rsidR="00000000" w:rsidRDefault="00000000">
      <w:pPr>
        <w:rPr>
          <w:sz w:val="22"/>
        </w:rPr>
      </w:pPr>
    </w:p>
    <w:p w:rsidR="00000000" w:rsidRDefault="00000000">
      <w:pPr>
        <w:spacing w:line="240" w:lineRule="auto"/>
        <w:jc w:val="both"/>
      </w:pPr>
      <w:r>
        <w:rPr>
          <w:noProof/>
          <w:w w:val="100"/>
          <w:lang w:val="en-US"/>
        </w:rPr>
        <w:pict>
          <v:line id="_x0000_s2062" style="position:absolute;left:0;text-align:left;z-index:11;mso-position-horizontal-relative:page" from="270pt,24pt" to="342pt,24pt" strokeweight=".25pt">
            <w10:anchorlock/>
          </v:line>
        </w:pict>
      </w:r>
    </w:p>
    <w:sectPr w:rsidR="00000000">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NO&gt;&gt;N0233196F&lt;&lt;ODS JOB NO&gt;&gt;</w:t>
      </w:r>
    </w:p>
    <w:p w:rsidR="00000000" w:rsidRDefault="00000000">
      <w:pPr>
        <w:pStyle w:val="CommentText"/>
      </w:pPr>
      <w:r>
        <w:t>&lt;&lt;ODS DOC SYMBOL1&gt;&gt;CEDAW/C/COG/1-5&lt;&lt;ODS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0233196f.doc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0233196f.doc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02-33196 (F)</w:t>
    </w:r>
    <w:r>
      <w:rPr>
        <w:b w:val="0"/>
        <w:sz w:val="20"/>
      </w:rPr>
      <w:fldChar w:fldCharType="end"/>
    </w:r>
    <w:r>
      <w:rPr>
        <w:b w:val="0"/>
        <w:sz w:val="20"/>
      </w:rPr>
      <w:t xml:space="preserve">    070602    100602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*0233196*</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In MSSAH, politique de santé, 2000, 23 p.</w:t>
      </w:r>
    </w:p>
  </w:footnote>
  <w:footnote w:id="2">
    <w:p w:rsidR="00000000" w:rsidRDefault="00000000">
      <w:pPr>
        <w:pStyle w:val="FootnoteText"/>
      </w:pPr>
      <w:r>
        <w:rPr>
          <w:rStyle w:val="FootnoteReference"/>
        </w:rPr>
        <w:footnoteRef/>
      </w:r>
      <w:r>
        <w:t xml:space="preserve"> rapport d’analyse des résultats du RGPH, 1984, vol.4, septembre 1992.</w:t>
      </w:r>
    </w:p>
  </w:footnote>
  <w:footnote w:id="3">
    <w:p w:rsidR="00000000" w:rsidRDefault="00000000">
      <w:pPr>
        <w:pStyle w:val="FootnoteText"/>
      </w:pPr>
      <w:r>
        <w:rPr>
          <w:rStyle w:val="FootnoteReference"/>
        </w:rPr>
        <w:footnoteRef/>
      </w:r>
      <w:r>
        <w:t xml:space="preserve"> Source : MSSAH, politique de santé, 2000, 23 pages</w:t>
      </w:r>
    </w:p>
    <w:p w:rsidR="00000000" w:rsidRDefault="00000000">
      <w:pPr>
        <w:pStyle w:val="FootnoteText"/>
      </w:pPr>
    </w:p>
  </w:footnote>
  <w:footnote w:id="4">
    <w:p w:rsidR="00000000" w:rsidRDefault="00000000">
      <w:pPr>
        <w:pStyle w:val="FootnoteText"/>
      </w:pPr>
      <w:r>
        <w:rPr>
          <w:rStyle w:val="FootnoteReference"/>
        </w:rPr>
        <w:footnoteRef/>
      </w:r>
      <w:r>
        <w:t xml:space="preserve"> Source : ministère de la santé et des affaires sociales, plan d’action national de développement sanitaire.</w:t>
      </w:r>
    </w:p>
  </w:footnote>
  <w:footnote w:id="5">
    <w:p w:rsidR="00000000" w:rsidRDefault="00000000">
      <w:pPr>
        <w:pStyle w:val="FootnoteText"/>
      </w:pPr>
      <w:r>
        <w:rPr>
          <w:rStyle w:val="FootnoteReference"/>
        </w:rPr>
        <w:footnoteRef/>
      </w:r>
      <w:r>
        <w:t xml:space="preserve"> source : MSSAH, stratégie nationale en santé de la reproduction, 39 pages.</w:t>
      </w:r>
    </w:p>
  </w:footnote>
  <w:footnote w:id="6">
    <w:p w:rsidR="00000000" w:rsidRDefault="00000000">
      <w:pPr>
        <w:pStyle w:val="FootnoteText"/>
      </w:pPr>
      <w:r>
        <w:rPr>
          <w:rStyle w:val="FootnoteReference"/>
        </w:rPr>
        <w:footnoteRef/>
      </w:r>
      <w:r>
        <w:t xml:space="preserve"> Source : op. cit.</w:t>
      </w:r>
    </w:p>
  </w:footnote>
  <w:footnote w:id="7">
    <w:p w:rsidR="00000000" w:rsidRDefault="00000000">
      <w:pPr>
        <w:pStyle w:val="FootnoteText"/>
      </w:pPr>
      <w:r>
        <w:rPr>
          <w:rStyle w:val="FootnoteReference"/>
        </w:rPr>
        <w:footnoteRef/>
      </w:r>
      <w:r>
        <w:t xml:space="preserve"> source : MSSAH, DSF, UNICEF, rapport d’étude : maternité sans risque, situation actuelle et perspectives, 1999, 25 pages.</w:t>
      </w:r>
    </w:p>
  </w:footnote>
  <w:footnote w:id="8">
    <w:p w:rsidR="00000000" w:rsidRDefault="00000000">
      <w:pPr>
        <w:pStyle w:val="FootnoteText"/>
      </w:pPr>
      <w:r>
        <w:rPr>
          <w:rStyle w:val="FootnoteReference"/>
        </w:rPr>
        <w:footnoteRef/>
      </w:r>
      <w:r>
        <w:t xml:space="preserve"> Source : op.cit</w:t>
      </w:r>
    </w:p>
  </w:footnote>
  <w:footnote w:id="9">
    <w:p w:rsidR="00000000" w:rsidRDefault="00000000">
      <w:pPr>
        <w:pStyle w:val="FootnoteText"/>
      </w:pPr>
      <w:r>
        <w:rPr>
          <w:rStyle w:val="FootnoteReference"/>
        </w:rPr>
        <w:footnoteRef/>
      </w:r>
      <w:r>
        <w:t xml:space="preserve"> source : service santé maternelle et infantile, planification familiale, rapport. Focus. Groupe avec les victimes des violences sexuelles, 1998, 4 pages.</w:t>
      </w:r>
    </w:p>
  </w:footnote>
  <w:footnote w:id="10">
    <w:p w:rsidR="00000000" w:rsidRDefault="00000000">
      <w:pPr>
        <w:pStyle w:val="FootnoteText"/>
      </w:pPr>
      <w:r>
        <w:rPr>
          <w:rStyle w:val="FootnoteReference"/>
        </w:rPr>
        <w:footnoteRef/>
      </w:r>
      <w:r>
        <w:t xml:space="preserve"> Source : programme national de lutte contre le sida. Bulletin de surveillance épidémiologique, VIN/MST, </w:t>
      </w:r>
    </w:p>
    <w:p w:rsidR="00000000" w:rsidRDefault="00000000">
      <w:pPr>
        <w:pStyle w:val="FootnoteText"/>
      </w:pPr>
      <w:r>
        <w:t>N°7-01-1997.</w:t>
      </w:r>
    </w:p>
  </w:footnote>
  <w:footnote w:id="11">
    <w:p w:rsidR="00000000" w:rsidRDefault="00000000">
      <w:pPr>
        <w:pStyle w:val="FootnoteText"/>
      </w:pPr>
      <w:r>
        <w:rPr>
          <w:rStyle w:val="FootnoteReference"/>
        </w:rPr>
        <w:footnoteRef/>
      </w:r>
      <w:r>
        <w:t xml:space="preserve"> Source : MSSAH, UNICEF, URNAH, situation nutritionnelle des populations congolaises, en cours de publication.</w:t>
      </w:r>
    </w:p>
  </w:footnote>
  <w:footnote w:id="12">
    <w:p w:rsidR="00000000" w:rsidRDefault="00000000">
      <w:pPr>
        <w:pStyle w:val="FootnoteText"/>
      </w:pPr>
      <w:r>
        <w:rPr>
          <w:rStyle w:val="FootnoteReference"/>
        </w:rPr>
        <w:footnoteRef/>
      </w:r>
      <w:r>
        <w:t xml:space="preserve"> Source : OSSETE Jean Michel, analyse des enfants et des femmes au Congo, alimentation en eau potable, assainissement, salubrité de l’environnement, UNICEF, 1998, 41 pages.</w:t>
      </w:r>
    </w:p>
  </w:footnote>
  <w:footnote w:id="13">
    <w:p w:rsidR="00000000" w:rsidRDefault="00000000">
      <w:pPr>
        <w:pStyle w:val="FootnoteText"/>
      </w:pPr>
      <w:r>
        <w:rPr>
          <w:rStyle w:val="FootnoteReference"/>
        </w:rPr>
        <w:footnoteRef/>
      </w:r>
      <w:r>
        <w:t xml:space="preserve"> Source : BONZONGO Damase : appréciation de la situation sanitaire et tendance de l’état de santé au Congo DGS, 1998-1999, 29 pages.</w:t>
      </w:r>
    </w:p>
  </w:footnote>
  <w:footnote w:id="14">
    <w:p w:rsidR="00000000" w:rsidRDefault="00000000">
      <w:pPr>
        <w:pStyle w:val="FootnoteText"/>
      </w:pPr>
      <w:r>
        <w:rPr>
          <w:rStyle w:val="FootnoteReference"/>
        </w:rPr>
        <w:footnoteRef/>
      </w:r>
      <w:r>
        <w:t xml:space="preserve"> Source : op. cit.</w:t>
      </w:r>
    </w:p>
  </w:footnote>
  <w:footnote w:id="15">
    <w:p w:rsidR="00000000" w:rsidRDefault="00000000">
      <w:pPr>
        <w:pStyle w:val="FootnoteText"/>
      </w:pPr>
      <w:r>
        <w:rPr>
          <w:rStyle w:val="FootnoteReference"/>
        </w:rPr>
        <w:footnoteRef/>
      </w:r>
      <w:r>
        <w:t xml:space="preserve"> </w:t>
      </w:r>
      <w:r>
        <w:rPr>
          <w:i/>
        </w:rPr>
        <w:t>In :</w:t>
      </w:r>
      <w:r>
        <w:t xml:space="preserve"> Femmes dans l’agriculture et le développement rural, FAO 1994-1995.</w:t>
      </w:r>
    </w:p>
  </w:footnote>
  <w:footnote w:id="16">
    <w:p w:rsidR="00000000" w:rsidRDefault="00000000">
      <w:pPr>
        <w:pStyle w:val="FootnoteText"/>
      </w:pPr>
      <w:r>
        <w:rPr>
          <w:rStyle w:val="FootnoteReference"/>
        </w:rPr>
        <w:footnoteRef/>
      </w:r>
      <w:r>
        <w:t xml:space="preserve"> </w:t>
      </w:r>
      <w:r>
        <w:rPr>
          <w:i/>
        </w:rPr>
        <w:t>In :</w:t>
      </w:r>
      <w:r>
        <w:t xml:space="preserve"> Grands axes de la politique agricole, Juillet 1998.</w:t>
      </w:r>
    </w:p>
  </w:footnote>
  <w:footnote w:id="17">
    <w:p w:rsidR="00000000" w:rsidRDefault="00000000">
      <w:pPr>
        <w:pStyle w:val="FootnoteText"/>
      </w:pPr>
      <w:r>
        <w:rPr>
          <w:rStyle w:val="FootnoteReference"/>
        </w:rPr>
        <w:footnoteRef/>
      </w:r>
      <w:r>
        <w:t xml:space="preserve"> </w:t>
      </w:r>
      <w:r>
        <w:rPr>
          <w:i/>
        </w:rPr>
        <w:t>Source :</w:t>
      </w:r>
      <w:r>
        <w:t xml:space="preserve"> Adapté de l’Enquête Agricole Superficie Production (EASP) 1990</w:t>
      </w:r>
    </w:p>
  </w:footnote>
  <w:footnote w:id="18">
    <w:p w:rsidR="00000000" w:rsidRDefault="00000000">
      <w:pPr>
        <w:pStyle w:val="FootnoteText"/>
      </w:pPr>
      <w:r>
        <w:rPr>
          <w:rStyle w:val="FootnoteReference"/>
        </w:rPr>
        <w:footnoteRef/>
      </w:r>
      <w:r>
        <w:t xml:space="preserve"> SEP Développement op. cit.</w:t>
      </w:r>
    </w:p>
  </w:footnote>
  <w:footnote w:id="19">
    <w:p w:rsidR="00000000" w:rsidRDefault="00000000">
      <w:pPr>
        <w:pStyle w:val="FootnoteText"/>
      </w:pPr>
      <w:r>
        <w:rPr>
          <w:rStyle w:val="FootnoteReference"/>
        </w:rPr>
        <w:footnoteRef/>
      </w:r>
      <w:r>
        <w:t xml:space="preserve"> </w:t>
      </w:r>
      <w:r>
        <w:rPr>
          <w:i/>
        </w:rPr>
        <w:t>Source :</w:t>
      </w:r>
      <w:r>
        <w:t xml:space="preserve"> RGPH : Emplois agricoles.</w:t>
      </w:r>
    </w:p>
  </w:footnote>
  <w:footnote w:id="20">
    <w:p w:rsidR="00000000" w:rsidRDefault="00000000">
      <w:pPr>
        <w:pStyle w:val="FootnoteText"/>
      </w:pPr>
      <w:r>
        <w:rPr>
          <w:rStyle w:val="FootnoteReference"/>
        </w:rPr>
        <w:footnoteRef/>
      </w:r>
      <w:r>
        <w:t xml:space="preserve"> Selon l’article 125 code de famille, le défaut de consentement entraîne la nullité du pré mariage. </w:t>
      </w:r>
    </w:p>
    <w:p w:rsidR="00000000" w:rsidRDefault="00000000">
      <w:pPr>
        <w:pStyle w:val="FootnoteText"/>
        <w:rPr>
          <w:sz w:val="24"/>
        </w:rPr>
      </w:pPr>
    </w:p>
  </w:footnote>
  <w:footnote w:id="21">
    <w:p w:rsidR="00000000" w:rsidRDefault="00000000">
      <w:pPr>
        <w:pStyle w:val="FootnoteText"/>
      </w:pPr>
      <w:r>
        <w:rPr>
          <w:rStyle w:val="FootnoteReference"/>
        </w:rPr>
        <w:footnoteRef/>
      </w:r>
      <w:r>
        <w:t xml:space="preserve"> article 168 alinéa 1</w:t>
      </w:r>
      <w:r>
        <w:rPr>
          <w:vertAlign w:val="superscript"/>
        </w:rPr>
        <w:t>er</w:t>
      </w:r>
      <w:r>
        <w:t xml:space="preserve"> c.f.</w:t>
      </w:r>
    </w:p>
  </w:footnote>
  <w:footnote w:id="22">
    <w:p w:rsidR="00000000" w:rsidRDefault="00000000">
      <w:pPr>
        <w:pStyle w:val="FootnoteText"/>
      </w:pPr>
      <w:r>
        <w:rPr>
          <w:rStyle w:val="FootnoteReference"/>
        </w:rPr>
        <w:footnoteRef/>
      </w:r>
      <w:r>
        <w:t xml:space="preserve"> article 178 c.f.</w:t>
      </w:r>
    </w:p>
  </w:footnote>
  <w:footnote w:id="23">
    <w:p w:rsidR="00000000" w:rsidRDefault="00000000">
      <w:pPr>
        <w:pStyle w:val="FootnoteText"/>
      </w:pPr>
      <w:r>
        <w:rPr>
          <w:rStyle w:val="FootnoteReference"/>
        </w:rPr>
        <w:footnoteRef/>
      </w:r>
      <w:r>
        <w:t xml:space="preserve"> article 320 c.f.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CEDAW/C/COG/1-5</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CEDAW/C/COG/1-5</w:t>
                      </w:r>
                      <w:r>
                        <w:rPr>
                          <w:b/>
                        </w:rPr>
                        <w:fldChar w:fldCharType="end"/>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/C/COG/1-5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8 avril 2002</w:t>
          </w:r>
        </w:p>
        <w:p w:rsidR="00000000" w:rsidRDefault="00000000"/>
        <w:p w:rsidR="00000000" w:rsidRDefault="00000000">
          <w:r>
            <w:t>Original: français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12E0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
    <w:nsid w:val="00DB6F45"/>
    <w:multiLevelType w:val="singleLevel"/>
    <w:tmpl w:val="5E4ACC46"/>
    <w:lvl w:ilvl="0">
      <w:start w:val="1"/>
      <w:numFmt w:val="lowerLetter"/>
      <w:lvlText w:val="%1)"/>
      <w:lvlJc w:val="left"/>
      <w:pPr>
        <w:tabs>
          <w:tab w:val="num" w:pos="360"/>
        </w:tabs>
        <w:ind w:left="360" w:hanging="360"/>
      </w:pPr>
      <w:rPr>
        <w:rFonts w:hint="default"/>
      </w:rPr>
    </w:lvl>
  </w:abstractNum>
  <w:abstractNum w:abstractNumId="2">
    <w:nsid w:val="024E1B92"/>
    <w:multiLevelType w:val="singleLevel"/>
    <w:tmpl w:val="56323822"/>
    <w:lvl w:ilvl="0">
      <w:numFmt w:val="bullet"/>
      <w:lvlText w:val="-"/>
      <w:lvlJc w:val="left"/>
      <w:pPr>
        <w:tabs>
          <w:tab w:val="num" w:pos="360"/>
        </w:tabs>
        <w:ind w:left="357" w:hanging="357"/>
      </w:pPr>
      <w:rPr>
        <w:rFonts w:hint="default"/>
      </w:rPr>
    </w:lvl>
  </w:abstractNum>
  <w:abstractNum w:abstractNumId="3">
    <w:nsid w:val="02D3110B"/>
    <w:multiLevelType w:val="singleLevel"/>
    <w:tmpl w:val="FE407E42"/>
    <w:lvl w:ilvl="0">
      <w:start w:val="1"/>
      <w:numFmt w:val="upperLetter"/>
      <w:lvlText w:val="%1-"/>
      <w:lvlJc w:val="left"/>
      <w:pPr>
        <w:tabs>
          <w:tab w:val="num" w:pos="360"/>
        </w:tabs>
        <w:ind w:left="360" w:hanging="360"/>
      </w:pPr>
      <w:rPr>
        <w:rFonts w:hint="default"/>
        <w:b/>
      </w:rPr>
    </w:lvl>
  </w:abstractNum>
  <w:abstractNum w:abstractNumId="4">
    <w:nsid w:val="03C84EB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5">
    <w:nsid w:val="03F33E31"/>
    <w:multiLevelType w:val="singleLevel"/>
    <w:tmpl w:val="56323822"/>
    <w:lvl w:ilvl="0">
      <w:numFmt w:val="bullet"/>
      <w:lvlText w:val="-"/>
      <w:lvlJc w:val="left"/>
      <w:pPr>
        <w:tabs>
          <w:tab w:val="num" w:pos="360"/>
        </w:tabs>
        <w:ind w:left="357" w:hanging="357"/>
      </w:pPr>
      <w:rPr>
        <w:rFonts w:hint="default"/>
      </w:rPr>
    </w:lvl>
  </w:abstractNum>
  <w:abstractNum w:abstractNumId="6">
    <w:nsid w:val="0444612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
    <w:nsid w:val="0486463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
    <w:nsid w:val="05B055EA"/>
    <w:multiLevelType w:val="singleLevel"/>
    <w:tmpl w:val="56323822"/>
    <w:lvl w:ilvl="0">
      <w:numFmt w:val="bullet"/>
      <w:lvlText w:val="-"/>
      <w:lvlJc w:val="left"/>
      <w:pPr>
        <w:tabs>
          <w:tab w:val="num" w:pos="360"/>
        </w:tabs>
        <w:ind w:left="357" w:hanging="357"/>
      </w:pPr>
      <w:rPr>
        <w:rFonts w:hint="default"/>
      </w:rPr>
    </w:lvl>
  </w:abstractNum>
  <w:abstractNum w:abstractNumId="9">
    <w:nsid w:val="067B52E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0">
    <w:nsid w:val="075D2E3F"/>
    <w:multiLevelType w:val="multilevel"/>
    <w:tmpl w:val="DB584216"/>
    <w:lvl w:ilvl="0">
      <w:start w:val="16"/>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eastAsia="Times New Roman" w:hAnsi="Symbol"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076F6AFF"/>
    <w:multiLevelType w:val="singleLevel"/>
    <w:tmpl w:val="56323822"/>
    <w:lvl w:ilvl="0">
      <w:numFmt w:val="bullet"/>
      <w:lvlText w:val="-"/>
      <w:lvlJc w:val="left"/>
      <w:pPr>
        <w:tabs>
          <w:tab w:val="num" w:pos="360"/>
        </w:tabs>
        <w:ind w:left="357" w:hanging="357"/>
      </w:pPr>
      <w:rPr>
        <w:rFonts w:hint="default"/>
      </w:rPr>
    </w:lvl>
  </w:abstractNum>
  <w:abstractNum w:abstractNumId="12">
    <w:nsid w:val="08294596"/>
    <w:multiLevelType w:val="singleLevel"/>
    <w:tmpl w:val="5E4ACC46"/>
    <w:lvl w:ilvl="0">
      <w:start w:val="1"/>
      <w:numFmt w:val="lowerLetter"/>
      <w:lvlText w:val="%1)"/>
      <w:lvlJc w:val="left"/>
      <w:pPr>
        <w:tabs>
          <w:tab w:val="num" w:pos="360"/>
        </w:tabs>
        <w:ind w:left="360" w:hanging="360"/>
      </w:pPr>
      <w:rPr>
        <w:rFonts w:hint="default"/>
      </w:rPr>
    </w:lvl>
  </w:abstractNum>
  <w:abstractNum w:abstractNumId="13">
    <w:nsid w:val="092E611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4">
    <w:nsid w:val="09703D4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5">
    <w:nsid w:val="0BD5148D"/>
    <w:multiLevelType w:val="hybridMultilevel"/>
    <w:tmpl w:val="4B684292"/>
    <w:lvl w:ilvl="0" w:tplc="FFFFFFFF">
      <w:start w:val="4"/>
      <w:numFmt w:val="bullet"/>
      <w:lvlText w:val="-"/>
      <w:lvlJc w:val="left"/>
      <w:pPr>
        <w:tabs>
          <w:tab w:val="num" w:pos="1060"/>
        </w:tabs>
        <w:ind w:left="1060" w:hanging="360"/>
      </w:pPr>
      <w:rPr>
        <w:rFonts w:ascii="Times New Roman" w:eastAsia="Times New Roman" w:hAnsi="Times New Roman" w:cs="Times New Roman" w:hint="default"/>
      </w:rPr>
    </w:lvl>
    <w:lvl w:ilvl="1" w:tplc="FFFFFFFF" w:tentative="1">
      <w:start w:val="1"/>
      <w:numFmt w:val="bullet"/>
      <w:lvlText w:val="o"/>
      <w:lvlJc w:val="left"/>
      <w:pPr>
        <w:tabs>
          <w:tab w:val="num" w:pos="1780"/>
        </w:tabs>
        <w:ind w:left="1780" w:hanging="360"/>
      </w:pPr>
      <w:rPr>
        <w:rFonts w:ascii="Courier New" w:hAnsi="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6">
    <w:nsid w:val="0BDD4AF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
    <w:nsid w:val="0C001910"/>
    <w:multiLevelType w:val="singleLevel"/>
    <w:tmpl w:val="1D664B30"/>
    <w:lvl w:ilvl="0">
      <w:start w:val="1"/>
      <w:numFmt w:val="upperRoman"/>
      <w:lvlText w:val="%1-"/>
      <w:lvlJc w:val="left"/>
      <w:pPr>
        <w:tabs>
          <w:tab w:val="num" w:pos="720"/>
        </w:tabs>
        <w:ind w:left="720" w:hanging="720"/>
      </w:pPr>
      <w:rPr>
        <w:rFonts w:hint="default"/>
      </w:rPr>
    </w:lvl>
  </w:abstractNum>
  <w:abstractNum w:abstractNumId="18">
    <w:nsid w:val="0C1D7961"/>
    <w:multiLevelType w:val="singleLevel"/>
    <w:tmpl w:val="CC6A9922"/>
    <w:lvl w:ilvl="0">
      <w:start w:val="1"/>
      <w:numFmt w:val="lowerLetter"/>
      <w:lvlText w:val="%1)"/>
      <w:lvlJc w:val="left"/>
      <w:pPr>
        <w:tabs>
          <w:tab w:val="num" w:pos="360"/>
        </w:tabs>
        <w:ind w:left="360" w:hanging="360"/>
      </w:pPr>
      <w:rPr>
        <w:rFonts w:hint="default"/>
      </w:rPr>
    </w:lvl>
  </w:abstractNum>
  <w:abstractNum w:abstractNumId="19">
    <w:nsid w:val="0CFA0246"/>
    <w:multiLevelType w:val="multilevel"/>
    <w:tmpl w:val="A8D2179E"/>
    <w:lvl w:ilvl="0">
      <w:start w:val="1"/>
      <w:numFmt w:val="decimal"/>
      <w:lvlText w:val="%1)"/>
      <w:lvlJc w:val="left"/>
      <w:pPr>
        <w:tabs>
          <w:tab w:val="num" w:pos="720"/>
        </w:tabs>
        <w:ind w:left="720" w:hanging="360"/>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0D6B72C9"/>
    <w:multiLevelType w:val="singleLevel"/>
    <w:tmpl w:val="A5A43434"/>
    <w:lvl w:ilvl="0">
      <w:numFmt w:val="bullet"/>
      <w:lvlText w:val="-"/>
      <w:lvlJc w:val="left"/>
      <w:pPr>
        <w:tabs>
          <w:tab w:val="num" w:pos="1211"/>
        </w:tabs>
        <w:ind w:left="1211" w:hanging="360"/>
      </w:pPr>
      <w:rPr>
        <w:rFonts w:hint="default"/>
      </w:rPr>
    </w:lvl>
  </w:abstractNum>
  <w:abstractNum w:abstractNumId="21">
    <w:nsid w:val="0E812423"/>
    <w:multiLevelType w:val="hybridMultilevel"/>
    <w:tmpl w:val="F968A3D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0E952725"/>
    <w:multiLevelType w:val="singleLevel"/>
    <w:tmpl w:val="56323822"/>
    <w:lvl w:ilvl="0">
      <w:numFmt w:val="bullet"/>
      <w:lvlText w:val="-"/>
      <w:lvlJc w:val="left"/>
      <w:pPr>
        <w:tabs>
          <w:tab w:val="num" w:pos="360"/>
        </w:tabs>
        <w:ind w:left="357" w:hanging="357"/>
      </w:pPr>
      <w:rPr>
        <w:rFonts w:hint="default"/>
      </w:rPr>
    </w:lvl>
  </w:abstractNum>
  <w:abstractNum w:abstractNumId="23">
    <w:nsid w:val="0EAF7C72"/>
    <w:multiLevelType w:val="singleLevel"/>
    <w:tmpl w:val="0A04A9D0"/>
    <w:lvl w:ilvl="0">
      <w:start w:val="1"/>
      <w:numFmt w:val="lowerLetter"/>
      <w:lvlText w:val="%1-"/>
      <w:lvlJc w:val="left"/>
      <w:pPr>
        <w:tabs>
          <w:tab w:val="num" w:pos="360"/>
        </w:tabs>
        <w:ind w:left="360" w:hanging="360"/>
      </w:pPr>
      <w:rPr>
        <w:rFonts w:hint="default"/>
        <w:b/>
      </w:rPr>
    </w:lvl>
  </w:abstractNum>
  <w:abstractNum w:abstractNumId="24">
    <w:nsid w:val="0F9D3689"/>
    <w:multiLevelType w:val="singleLevel"/>
    <w:tmpl w:val="A5A43434"/>
    <w:lvl w:ilvl="0">
      <w:numFmt w:val="bullet"/>
      <w:lvlText w:val="-"/>
      <w:lvlJc w:val="left"/>
      <w:pPr>
        <w:tabs>
          <w:tab w:val="num" w:pos="1211"/>
        </w:tabs>
        <w:ind w:left="1211" w:hanging="360"/>
      </w:pPr>
      <w:rPr>
        <w:rFonts w:hint="default"/>
      </w:rPr>
    </w:lvl>
  </w:abstractNum>
  <w:abstractNum w:abstractNumId="25">
    <w:nsid w:val="10147A27"/>
    <w:multiLevelType w:val="singleLevel"/>
    <w:tmpl w:val="415849FA"/>
    <w:lvl w:ilvl="0">
      <w:numFmt w:val="bullet"/>
      <w:lvlText w:val="-"/>
      <w:lvlJc w:val="left"/>
      <w:pPr>
        <w:tabs>
          <w:tab w:val="num" w:pos="360"/>
        </w:tabs>
        <w:ind w:left="360" w:hanging="360"/>
      </w:pPr>
      <w:rPr>
        <w:rFonts w:hint="default"/>
      </w:rPr>
    </w:lvl>
  </w:abstractNum>
  <w:abstractNum w:abstractNumId="26">
    <w:nsid w:val="106A712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7">
    <w:nsid w:val="107A5E3E"/>
    <w:multiLevelType w:val="singleLevel"/>
    <w:tmpl w:val="858E3E5A"/>
    <w:lvl w:ilvl="0">
      <w:start w:val="1"/>
      <w:numFmt w:val="lowerLetter"/>
      <w:lvlText w:val="%1-"/>
      <w:lvlJc w:val="left"/>
      <w:pPr>
        <w:tabs>
          <w:tab w:val="num" w:pos="360"/>
        </w:tabs>
        <w:ind w:left="360" w:hanging="360"/>
      </w:pPr>
      <w:rPr>
        <w:rFonts w:hint="default"/>
      </w:rPr>
    </w:lvl>
  </w:abstractNum>
  <w:abstractNum w:abstractNumId="28">
    <w:nsid w:val="10FD6E7A"/>
    <w:multiLevelType w:val="singleLevel"/>
    <w:tmpl w:val="13F02F22"/>
    <w:lvl w:ilvl="0">
      <w:start w:val="1"/>
      <w:numFmt w:val="upperRoman"/>
      <w:lvlText w:val="%1-"/>
      <w:lvlJc w:val="left"/>
      <w:pPr>
        <w:tabs>
          <w:tab w:val="num" w:pos="720"/>
        </w:tabs>
        <w:ind w:left="720" w:hanging="720"/>
      </w:pPr>
      <w:rPr>
        <w:rFonts w:hint="default"/>
      </w:rPr>
    </w:lvl>
  </w:abstractNum>
  <w:abstractNum w:abstractNumId="29">
    <w:nsid w:val="1173143A"/>
    <w:multiLevelType w:val="singleLevel"/>
    <w:tmpl w:val="45B00012"/>
    <w:lvl w:ilvl="0">
      <w:start w:val="1"/>
      <w:numFmt w:val="bullet"/>
      <w:lvlText w:val=""/>
      <w:lvlJc w:val="left"/>
      <w:pPr>
        <w:tabs>
          <w:tab w:val="num" w:pos="360"/>
        </w:tabs>
        <w:ind w:left="360" w:hanging="360"/>
      </w:pPr>
      <w:rPr>
        <w:rFonts w:ascii="Symbol" w:hAnsi="Symbol" w:hint="default"/>
      </w:rPr>
    </w:lvl>
  </w:abstractNum>
  <w:abstractNum w:abstractNumId="30">
    <w:nsid w:val="11AC22CA"/>
    <w:multiLevelType w:val="singleLevel"/>
    <w:tmpl w:val="56323822"/>
    <w:lvl w:ilvl="0">
      <w:numFmt w:val="bullet"/>
      <w:lvlText w:val="-"/>
      <w:lvlJc w:val="left"/>
      <w:pPr>
        <w:tabs>
          <w:tab w:val="num" w:pos="360"/>
        </w:tabs>
        <w:ind w:left="357" w:hanging="357"/>
      </w:pPr>
      <w:rPr>
        <w:rFonts w:hint="default"/>
      </w:rPr>
    </w:lvl>
  </w:abstractNum>
  <w:abstractNum w:abstractNumId="31">
    <w:nsid w:val="126E3C31"/>
    <w:multiLevelType w:val="singleLevel"/>
    <w:tmpl w:val="3B34BA9E"/>
    <w:lvl w:ilvl="0">
      <w:start w:val="1"/>
      <w:numFmt w:val="bullet"/>
      <w:lvlText w:val=""/>
      <w:lvlJc w:val="left"/>
      <w:pPr>
        <w:tabs>
          <w:tab w:val="num" w:pos="360"/>
        </w:tabs>
        <w:ind w:left="360" w:hanging="360"/>
      </w:pPr>
      <w:rPr>
        <w:rFonts w:ascii="Symbol" w:hAnsi="Symbol" w:hint="default"/>
      </w:rPr>
    </w:lvl>
  </w:abstractNum>
  <w:abstractNum w:abstractNumId="32">
    <w:nsid w:val="1292254B"/>
    <w:multiLevelType w:val="singleLevel"/>
    <w:tmpl w:val="E3003774"/>
    <w:lvl w:ilvl="0">
      <w:start w:val="1"/>
      <w:numFmt w:val="decimal"/>
      <w:lvlText w:val="%1-"/>
      <w:lvlJc w:val="left"/>
      <w:pPr>
        <w:tabs>
          <w:tab w:val="num" w:pos="360"/>
        </w:tabs>
        <w:ind w:left="360" w:hanging="360"/>
      </w:pPr>
      <w:rPr>
        <w:rFonts w:hint="default"/>
      </w:rPr>
    </w:lvl>
  </w:abstractNum>
  <w:abstractNum w:abstractNumId="33">
    <w:nsid w:val="12C7147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4">
    <w:nsid w:val="150769BC"/>
    <w:multiLevelType w:val="multilevel"/>
    <w:tmpl w:val="E2CC2FC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5">
    <w:nsid w:val="16D179BB"/>
    <w:multiLevelType w:val="singleLevel"/>
    <w:tmpl w:val="3B34BA9E"/>
    <w:lvl w:ilvl="0">
      <w:start w:val="1"/>
      <w:numFmt w:val="bullet"/>
      <w:lvlText w:val=""/>
      <w:lvlJc w:val="left"/>
      <w:pPr>
        <w:tabs>
          <w:tab w:val="num" w:pos="360"/>
        </w:tabs>
        <w:ind w:left="360" w:hanging="360"/>
      </w:pPr>
      <w:rPr>
        <w:rFonts w:ascii="Symbol" w:hAnsi="Symbol" w:hint="default"/>
      </w:rPr>
    </w:lvl>
  </w:abstractNum>
  <w:abstractNum w:abstractNumId="36">
    <w:nsid w:val="189826B5"/>
    <w:multiLevelType w:val="singleLevel"/>
    <w:tmpl w:val="56323822"/>
    <w:lvl w:ilvl="0">
      <w:numFmt w:val="bullet"/>
      <w:lvlText w:val="-"/>
      <w:lvlJc w:val="left"/>
      <w:pPr>
        <w:tabs>
          <w:tab w:val="num" w:pos="360"/>
        </w:tabs>
        <w:ind w:left="357" w:hanging="357"/>
      </w:pPr>
      <w:rPr>
        <w:rFonts w:hint="default"/>
      </w:rPr>
    </w:lvl>
  </w:abstractNum>
  <w:abstractNum w:abstractNumId="37">
    <w:nsid w:val="18B5192F"/>
    <w:multiLevelType w:val="singleLevel"/>
    <w:tmpl w:val="56323822"/>
    <w:lvl w:ilvl="0">
      <w:numFmt w:val="bullet"/>
      <w:lvlText w:val="-"/>
      <w:lvlJc w:val="left"/>
      <w:pPr>
        <w:tabs>
          <w:tab w:val="num" w:pos="360"/>
        </w:tabs>
        <w:ind w:left="357" w:hanging="357"/>
      </w:pPr>
      <w:rPr>
        <w:rFonts w:hint="default"/>
      </w:rPr>
    </w:lvl>
  </w:abstractNum>
  <w:abstractNum w:abstractNumId="38">
    <w:nsid w:val="18FC3350"/>
    <w:multiLevelType w:val="singleLevel"/>
    <w:tmpl w:val="FCF6FD50"/>
    <w:lvl w:ilvl="0">
      <w:start w:val="1"/>
      <w:numFmt w:val="upperLetter"/>
      <w:lvlText w:val="%1-"/>
      <w:lvlJc w:val="left"/>
      <w:pPr>
        <w:tabs>
          <w:tab w:val="num" w:pos="360"/>
        </w:tabs>
        <w:ind w:left="360" w:hanging="360"/>
      </w:pPr>
      <w:rPr>
        <w:rFonts w:hint="default"/>
        <w:u w:val="none"/>
      </w:rPr>
    </w:lvl>
  </w:abstractNum>
  <w:abstractNum w:abstractNumId="39">
    <w:nsid w:val="193F2F49"/>
    <w:multiLevelType w:val="singleLevel"/>
    <w:tmpl w:val="2B3857C2"/>
    <w:lvl w:ilvl="0">
      <w:start w:val="1"/>
      <w:numFmt w:val="lowerLetter"/>
      <w:lvlText w:val="%1)"/>
      <w:lvlJc w:val="left"/>
      <w:pPr>
        <w:tabs>
          <w:tab w:val="num" w:pos="360"/>
        </w:tabs>
        <w:ind w:left="360" w:hanging="360"/>
      </w:pPr>
      <w:rPr>
        <w:rFonts w:hint="default"/>
      </w:rPr>
    </w:lvl>
  </w:abstractNum>
  <w:abstractNum w:abstractNumId="40">
    <w:nsid w:val="19DD6A1D"/>
    <w:multiLevelType w:val="singleLevel"/>
    <w:tmpl w:val="56323822"/>
    <w:lvl w:ilvl="0">
      <w:numFmt w:val="bullet"/>
      <w:lvlText w:val="-"/>
      <w:lvlJc w:val="left"/>
      <w:pPr>
        <w:tabs>
          <w:tab w:val="num" w:pos="360"/>
        </w:tabs>
        <w:ind w:left="357" w:hanging="357"/>
      </w:pPr>
      <w:rPr>
        <w:rFonts w:hint="default"/>
      </w:rPr>
    </w:lvl>
  </w:abstractNum>
  <w:abstractNum w:abstractNumId="41">
    <w:nsid w:val="1D493C0D"/>
    <w:multiLevelType w:val="singleLevel"/>
    <w:tmpl w:val="A5A43434"/>
    <w:lvl w:ilvl="0">
      <w:numFmt w:val="bullet"/>
      <w:lvlText w:val="-"/>
      <w:lvlJc w:val="left"/>
      <w:pPr>
        <w:tabs>
          <w:tab w:val="num" w:pos="1211"/>
        </w:tabs>
        <w:ind w:left="1211" w:hanging="360"/>
      </w:pPr>
      <w:rPr>
        <w:rFonts w:hint="default"/>
      </w:rPr>
    </w:lvl>
  </w:abstractNum>
  <w:abstractNum w:abstractNumId="42">
    <w:nsid w:val="1D823EB6"/>
    <w:multiLevelType w:val="singleLevel"/>
    <w:tmpl w:val="A5A43434"/>
    <w:lvl w:ilvl="0">
      <w:numFmt w:val="bullet"/>
      <w:lvlText w:val="-"/>
      <w:lvlJc w:val="left"/>
      <w:pPr>
        <w:tabs>
          <w:tab w:val="num" w:pos="1211"/>
        </w:tabs>
        <w:ind w:left="1211" w:hanging="360"/>
      </w:pPr>
      <w:rPr>
        <w:rFonts w:hint="default"/>
      </w:rPr>
    </w:lvl>
  </w:abstractNum>
  <w:abstractNum w:abstractNumId="43">
    <w:nsid w:val="1DE507CC"/>
    <w:multiLevelType w:val="singleLevel"/>
    <w:tmpl w:val="56323822"/>
    <w:lvl w:ilvl="0">
      <w:numFmt w:val="bullet"/>
      <w:lvlText w:val="-"/>
      <w:lvlJc w:val="left"/>
      <w:pPr>
        <w:tabs>
          <w:tab w:val="num" w:pos="360"/>
        </w:tabs>
        <w:ind w:left="357" w:hanging="357"/>
      </w:pPr>
      <w:rPr>
        <w:rFonts w:hint="default"/>
      </w:rPr>
    </w:lvl>
  </w:abstractNum>
  <w:abstractNum w:abstractNumId="44">
    <w:nsid w:val="1F1941FA"/>
    <w:multiLevelType w:val="singleLevel"/>
    <w:tmpl w:val="56323822"/>
    <w:lvl w:ilvl="0">
      <w:numFmt w:val="bullet"/>
      <w:lvlText w:val="-"/>
      <w:lvlJc w:val="left"/>
      <w:pPr>
        <w:tabs>
          <w:tab w:val="num" w:pos="360"/>
        </w:tabs>
        <w:ind w:left="357" w:hanging="357"/>
      </w:pPr>
      <w:rPr>
        <w:rFonts w:hint="default"/>
      </w:rPr>
    </w:lvl>
  </w:abstractNum>
  <w:abstractNum w:abstractNumId="45">
    <w:nsid w:val="1F4A0C38"/>
    <w:multiLevelType w:val="singleLevel"/>
    <w:tmpl w:val="56323822"/>
    <w:lvl w:ilvl="0">
      <w:numFmt w:val="bullet"/>
      <w:lvlText w:val="-"/>
      <w:lvlJc w:val="left"/>
      <w:pPr>
        <w:tabs>
          <w:tab w:val="num" w:pos="360"/>
        </w:tabs>
        <w:ind w:left="357" w:hanging="357"/>
      </w:pPr>
      <w:rPr>
        <w:rFonts w:hint="default"/>
      </w:rPr>
    </w:lvl>
  </w:abstractNum>
  <w:abstractNum w:abstractNumId="46">
    <w:nsid w:val="207C5A94"/>
    <w:multiLevelType w:val="singleLevel"/>
    <w:tmpl w:val="45B00012"/>
    <w:lvl w:ilvl="0">
      <w:start w:val="1"/>
      <w:numFmt w:val="bullet"/>
      <w:lvlText w:val=""/>
      <w:lvlJc w:val="left"/>
      <w:pPr>
        <w:tabs>
          <w:tab w:val="num" w:pos="360"/>
        </w:tabs>
        <w:ind w:left="360" w:hanging="360"/>
      </w:pPr>
      <w:rPr>
        <w:rFonts w:ascii="Symbol" w:hAnsi="Symbol" w:hint="default"/>
      </w:rPr>
    </w:lvl>
  </w:abstractNum>
  <w:abstractNum w:abstractNumId="47">
    <w:nsid w:val="214E73BD"/>
    <w:multiLevelType w:val="singleLevel"/>
    <w:tmpl w:val="2DD6DA14"/>
    <w:lvl w:ilvl="0">
      <w:start w:val="1"/>
      <w:numFmt w:val="decimal"/>
      <w:lvlText w:val="%1-"/>
      <w:lvlJc w:val="left"/>
      <w:pPr>
        <w:tabs>
          <w:tab w:val="num" w:pos="360"/>
        </w:tabs>
        <w:ind w:left="360" w:hanging="360"/>
      </w:pPr>
      <w:rPr>
        <w:rFonts w:hint="default"/>
      </w:rPr>
    </w:lvl>
  </w:abstractNum>
  <w:abstractNum w:abstractNumId="48">
    <w:nsid w:val="21851237"/>
    <w:multiLevelType w:val="singleLevel"/>
    <w:tmpl w:val="B0A2A73C"/>
    <w:lvl w:ilvl="0">
      <w:start w:val="3"/>
      <w:numFmt w:val="bullet"/>
      <w:lvlText w:val="-"/>
      <w:lvlJc w:val="left"/>
      <w:pPr>
        <w:tabs>
          <w:tab w:val="num" w:pos="360"/>
        </w:tabs>
        <w:ind w:left="360" w:hanging="360"/>
      </w:pPr>
      <w:rPr>
        <w:rFonts w:hint="default"/>
      </w:rPr>
    </w:lvl>
  </w:abstractNum>
  <w:abstractNum w:abstractNumId="49">
    <w:nsid w:val="21EA4A8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50">
    <w:nsid w:val="22BB11C7"/>
    <w:multiLevelType w:val="singleLevel"/>
    <w:tmpl w:val="65783F5A"/>
    <w:lvl w:ilvl="0">
      <w:start w:val="1"/>
      <w:numFmt w:val="upperRoman"/>
      <w:lvlText w:val="%1-"/>
      <w:lvlJc w:val="left"/>
      <w:pPr>
        <w:tabs>
          <w:tab w:val="num" w:pos="720"/>
        </w:tabs>
        <w:ind w:left="720" w:hanging="720"/>
      </w:pPr>
      <w:rPr>
        <w:rFonts w:hint="default"/>
      </w:rPr>
    </w:lvl>
  </w:abstractNum>
  <w:abstractNum w:abstractNumId="51">
    <w:nsid w:val="24546B81"/>
    <w:multiLevelType w:val="hybridMultilevel"/>
    <w:tmpl w:val="1A824534"/>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2459178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53">
    <w:nsid w:val="249D5BE3"/>
    <w:multiLevelType w:val="singleLevel"/>
    <w:tmpl w:val="56323822"/>
    <w:lvl w:ilvl="0">
      <w:numFmt w:val="bullet"/>
      <w:lvlText w:val="-"/>
      <w:lvlJc w:val="left"/>
      <w:pPr>
        <w:tabs>
          <w:tab w:val="num" w:pos="360"/>
        </w:tabs>
        <w:ind w:left="357" w:hanging="357"/>
      </w:pPr>
      <w:rPr>
        <w:rFonts w:hint="default"/>
      </w:rPr>
    </w:lvl>
  </w:abstractNum>
  <w:abstractNum w:abstractNumId="54">
    <w:nsid w:val="24CF51D6"/>
    <w:multiLevelType w:val="hybridMultilevel"/>
    <w:tmpl w:val="ADA046E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
    <w:nsid w:val="24E347DB"/>
    <w:multiLevelType w:val="singleLevel"/>
    <w:tmpl w:val="56323822"/>
    <w:lvl w:ilvl="0">
      <w:numFmt w:val="bullet"/>
      <w:lvlText w:val="-"/>
      <w:lvlJc w:val="left"/>
      <w:pPr>
        <w:tabs>
          <w:tab w:val="num" w:pos="360"/>
        </w:tabs>
        <w:ind w:left="357" w:hanging="357"/>
      </w:pPr>
      <w:rPr>
        <w:rFonts w:hint="default"/>
      </w:rPr>
    </w:lvl>
  </w:abstractNum>
  <w:abstractNum w:abstractNumId="56">
    <w:nsid w:val="25444DE2"/>
    <w:multiLevelType w:val="singleLevel"/>
    <w:tmpl w:val="56323822"/>
    <w:lvl w:ilvl="0">
      <w:numFmt w:val="bullet"/>
      <w:lvlText w:val="-"/>
      <w:lvlJc w:val="left"/>
      <w:pPr>
        <w:tabs>
          <w:tab w:val="num" w:pos="360"/>
        </w:tabs>
        <w:ind w:left="357" w:hanging="357"/>
      </w:pPr>
      <w:rPr>
        <w:rFonts w:hint="default"/>
      </w:rPr>
    </w:lvl>
  </w:abstractNum>
  <w:abstractNum w:abstractNumId="57">
    <w:nsid w:val="25A86475"/>
    <w:multiLevelType w:val="multilevel"/>
    <w:tmpl w:val="70CCE13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8">
    <w:nsid w:val="25E5014E"/>
    <w:multiLevelType w:val="singleLevel"/>
    <w:tmpl w:val="56323822"/>
    <w:lvl w:ilvl="0">
      <w:numFmt w:val="bullet"/>
      <w:lvlText w:val="-"/>
      <w:lvlJc w:val="left"/>
      <w:pPr>
        <w:tabs>
          <w:tab w:val="num" w:pos="360"/>
        </w:tabs>
        <w:ind w:left="357" w:hanging="357"/>
      </w:pPr>
      <w:rPr>
        <w:rFonts w:hint="default"/>
      </w:rPr>
    </w:lvl>
  </w:abstractNum>
  <w:abstractNum w:abstractNumId="59">
    <w:nsid w:val="25EF78B9"/>
    <w:multiLevelType w:val="singleLevel"/>
    <w:tmpl w:val="69788A4A"/>
    <w:lvl w:ilvl="0">
      <w:start w:val="1"/>
      <w:numFmt w:val="decimal"/>
      <w:lvlText w:val="%1-"/>
      <w:lvlJc w:val="left"/>
      <w:pPr>
        <w:tabs>
          <w:tab w:val="num" w:pos="360"/>
        </w:tabs>
        <w:ind w:left="360" w:hanging="360"/>
      </w:pPr>
      <w:rPr>
        <w:rFonts w:hint="default"/>
      </w:rPr>
    </w:lvl>
  </w:abstractNum>
  <w:abstractNum w:abstractNumId="60">
    <w:nsid w:val="263F6A2B"/>
    <w:multiLevelType w:val="singleLevel"/>
    <w:tmpl w:val="56323822"/>
    <w:lvl w:ilvl="0">
      <w:numFmt w:val="bullet"/>
      <w:lvlText w:val="-"/>
      <w:lvlJc w:val="left"/>
      <w:pPr>
        <w:tabs>
          <w:tab w:val="num" w:pos="360"/>
        </w:tabs>
        <w:ind w:left="357" w:hanging="357"/>
      </w:pPr>
      <w:rPr>
        <w:rFonts w:hint="default"/>
      </w:rPr>
    </w:lvl>
  </w:abstractNum>
  <w:abstractNum w:abstractNumId="61">
    <w:nsid w:val="26972393"/>
    <w:multiLevelType w:val="singleLevel"/>
    <w:tmpl w:val="3B34BA9E"/>
    <w:lvl w:ilvl="0">
      <w:start w:val="1"/>
      <w:numFmt w:val="bullet"/>
      <w:lvlText w:val=""/>
      <w:lvlJc w:val="left"/>
      <w:pPr>
        <w:tabs>
          <w:tab w:val="num" w:pos="360"/>
        </w:tabs>
        <w:ind w:left="360" w:hanging="360"/>
      </w:pPr>
      <w:rPr>
        <w:rFonts w:ascii="Symbol" w:hAnsi="Symbol" w:hint="default"/>
      </w:rPr>
    </w:lvl>
  </w:abstractNum>
  <w:abstractNum w:abstractNumId="62">
    <w:nsid w:val="285637A9"/>
    <w:multiLevelType w:val="multilevel"/>
    <w:tmpl w:val="8EAE54F6"/>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63">
    <w:nsid w:val="28BA18BF"/>
    <w:multiLevelType w:val="singleLevel"/>
    <w:tmpl w:val="45B00012"/>
    <w:lvl w:ilvl="0">
      <w:start w:val="1"/>
      <w:numFmt w:val="bullet"/>
      <w:lvlText w:val=""/>
      <w:lvlJc w:val="left"/>
      <w:pPr>
        <w:tabs>
          <w:tab w:val="num" w:pos="360"/>
        </w:tabs>
        <w:ind w:left="360" w:hanging="360"/>
      </w:pPr>
      <w:rPr>
        <w:rFonts w:ascii="Symbol" w:hAnsi="Symbol" w:hint="default"/>
      </w:rPr>
    </w:lvl>
  </w:abstractNum>
  <w:abstractNum w:abstractNumId="64">
    <w:nsid w:val="28C0088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5">
    <w:nsid w:val="296E1B4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6">
    <w:nsid w:val="298F7D71"/>
    <w:multiLevelType w:val="singleLevel"/>
    <w:tmpl w:val="56323822"/>
    <w:lvl w:ilvl="0">
      <w:numFmt w:val="bullet"/>
      <w:lvlText w:val="-"/>
      <w:lvlJc w:val="left"/>
      <w:pPr>
        <w:tabs>
          <w:tab w:val="num" w:pos="360"/>
        </w:tabs>
        <w:ind w:left="357" w:hanging="357"/>
      </w:pPr>
      <w:rPr>
        <w:rFonts w:hint="default"/>
      </w:rPr>
    </w:lvl>
  </w:abstractNum>
  <w:abstractNum w:abstractNumId="67">
    <w:nsid w:val="2A106B40"/>
    <w:multiLevelType w:val="hybridMultilevel"/>
    <w:tmpl w:val="8BEEC38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8">
    <w:nsid w:val="2B24425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9">
    <w:nsid w:val="2BB75469"/>
    <w:multiLevelType w:val="singleLevel"/>
    <w:tmpl w:val="56323822"/>
    <w:lvl w:ilvl="0">
      <w:numFmt w:val="bullet"/>
      <w:lvlText w:val="-"/>
      <w:lvlJc w:val="left"/>
      <w:pPr>
        <w:tabs>
          <w:tab w:val="num" w:pos="360"/>
        </w:tabs>
        <w:ind w:left="357" w:hanging="357"/>
      </w:pPr>
      <w:rPr>
        <w:rFonts w:hint="default"/>
      </w:rPr>
    </w:lvl>
  </w:abstractNum>
  <w:abstractNum w:abstractNumId="70">
    <w:nsid w:val="2BF75E0F"/>
    <w:multiLevelType w:val="singleLevel"/>
    <w:tmpl w:val="56323822"/>
    <w:lvl w:ilvl="0">
      <w:numFmt w:val="bullet"/>
      <w:lvlText w:val="-"/>
      <w:lvlJc w:val="left"/>
      <w:pPr>
        <w:tabs>
          <w:tab w:val="num" w:pos="360"/>
        </w:tabs>
        <w:ind w:left="357" w:hanging="357"/>
      </w:pPr>
      <w:rPr>
        <w:rFonts w:hint="default"/>
      </w:rPr>
    </w:lvl>
  </w:abstractNum>
  <w:abstractNum w:abstractNumId="71">
    <w:nsid w:val="2D955DAF"/>
    <w:multiLevelType w:val="singleLevel"/>
    <w:tmpl w:val="D8DC2646"/>
    <w:lvl w:ilvl="0">
      <w:numFmt w:val="bullet"/>
      <w:lvlText w:val="-"/>
      <w:lvlJc w:val="left"/>
      <w:pPr>
        <w:tabs>
          <w:tab w:val="num" w:pos="360"/>
        </w:tabs>
        <w:ind w:left="360" w:hanging="360"/>
      </w:pPr>
      <w:rPr>
        <w:rFonts w:hint="default"/>
      </w:rPr>
    </w:lvl>
  </w:abstractNum>
  <w:abstractNum w:abstractNumId="72">
    <w:nsid w:val="2E663C9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3">
    <w:nsid w:val="2F8E17DB"/>
    <w:multiLevelType w:val="singleLevel"/>
    <w:tmpl w:val="C04A831E"/>
    <w:lvl w:ilvl="0">
      <w:start w:val="1"/>
      <w:numFmt w:val="upperLetter"/>
      <w:lvlText w:val="%1-"/>
      <w:lvlJc w:val="left"/>
      <w:pPr>
        <w:tabs>
          <w:tab w:val="num" w:pos="360"/>
        </w:tabs>
        <w:ind w:left="360" w:hanging="360"/>
      </w:pPr>
      <w:rPr>
        <w:rFonts w:hint="default"/>
      </w:rPr>
    </w:lvl>
  </w:abstractNum>
  <w:abstractNum w:abstractNumId="74">
    <w:nsid w:val="2F9947B9"/>
    <w:multiLevelType w:val="singleLevel"/>
    <w:tmpl w:val="56323822"/>
    <w:lvl w:ilvl="0">
      <w:numFmt w:val="bullet"/>
      <w:lvlText w:val="-"/>
      <w:lvlJc w:val="left"/>
      <w:pPr>
        <w:tabs>
          <w:tab w:val="num" w:pos="360"/>
        </w:tabs>
        <w:ind w:left="357" w:hanging="357"/>
      </w:pPr>
      <w:rPr>
        <w:rFonts w:hint="default"/>
      </w:rPr>
    </w:lvl>
  </w:abstractNum>
  <w:abstractNum w:abstractNumId="75">
    <w:nsid w:val="2FC97B67"/>
    <w:multiLevelType w:val="hybridMultilevel"/>
    <w:tmpl w:val="FEA6F13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30902ED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7">
    <w:nsid w:val="30A15DE3"/>
    <w:multiLevelType w:val="hybridMultilevel"/>
    <w:tmpl w:val="15DAB8D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nsid w:val="31012FD2"/>
    <w:multiLevelType w:val="singleLevel"/>
    <w:tmpl w:val="45B00012"/>
    <w:lvl w:ilvl="0">
      <w:start w:val="1"/>
      <w:numFmt w:val="bullet"/>
      <w:lvlText w:val=""/>
      <w:lvlJc w:val="left"/>
      <w:pPr>
        <w:tabs>
          <w:tab w:val="num" w:pos="360"/>
        </w:tabs>
        <w:ind w:left="360" w:hanging="360"/>
      </w:pPr>
      <w:rPr>
        <w:rFonts w:ascii="Symbol" w:hAnsi="Symbol" w:hint="default"/>
      </w:rPr>
    </w:lvl>
  </w:abstractNum>
  <w:abstractNum w:abstractNumId="79">
    <w:nsid w:val="31D270F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0">
    <w:nsid w:val="31DC073C"/>
    <w:multiLevelType w:val="singleLevel"/>
    <w:tmpl w:val="56323822"/>
    <w:lvl w:ilvl="0">
      <w:numFmt w:val="bullet"/>
      <w:lvlText w:val="-"/>
      <w:lvlJc w:val="left"/>
      <w:pPr>
        <w:tabs>
          <w:tab w:val="num" w:pos="360"/>
        </w:tabs>
        <w:ind w:left="357" w:hanging="357"/>
      </w:pPr>
      <w:rPr>
        <w:rFonts w:hint="default"/>
      </w:rPr>
    </w:lvl>
  </w:abstractNum>
  <w:abstractNum w:abstractNumId="81">
    <w:nsid w:val="322E5155"/>
    <w:multiLevelType w:val="singleLevel"/>
    <w:tmpl w:val="45B00012"/>
    <w:lvl w:ilvl="0">
      <w:start w:val="1"/>
      <w:numFmt w:val="bullet"/>
      <w:lvlText w:val=""/>
      <w:lvlJc w:val="left"/>
      <w:pPr>
        <w:tabs>
          <w:tab w:val="num" w:pos="360"/>
        </w:tabs>
        <w:ind w:left="360" w:hanging="360"/>
      </w:pPr>
      <w:rPr>
        <w:rFonts w:ascii="Symbol" w:hAnsi="Symbol" w:hint="default"/>
      </w:rPr>
    </w:lvl>
  </w:abstractNum>
  <w:abstractNum w:abstractNumId="82">
    <w:nsid w:val="323A22D5"/>
    <w:multiLevelType w:val="singleLevel"/>
    <w:tmpl w:val="7226AD4C"/>
    <w:lvl w:ilvl="0">
      <w:start w:val="1"/>
      <w:numFmt w:val="decimal"/>
      <w:lvlText w:val="%1-"/>
      <w:lvlJc w:val="left"/>
      <w:pPr>
        <w:tabs>
          <w:tab w:val="num" w:pos="360"/>
        </w:tabs>
        <w:ind w:left="360" w:hanging="360"/>
      </w:pPr>
      <w:rPr>
        <w:rFonts w:hint="default"/>
      </w:rPr>
    </w:lvl>
  </w:abstractNum>
  <w:abstractNum w:abstractNumId="83">
    <w:nsid w:val="3287339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4">
    <w:nsid w:val="32C44DB3"/>
    <w:multiLevelType w:val="singleLevel"/>
    <w:tmpl w:val="44CA7348"/>
    <w:lvl w:ilvl="0">
      <w:start w:val="1"/>
      <w:numFmt w:val="upperLetter"/>
      <w:lvlText w:val="%1-"/>
      <w:lvlJc w:val="left"/>
      <w:pPr>
        <w:tabs>
          <w:tab w:val="num" w:pos="360"/>
        </w:tabs>
        <w:ind w:left="360" w:hanging="360"/>
      </w:pPr>
      <w:rPr>
        <w:rFonts w:hint="default"/>
      </w:rPr>
    </w:lvl>
  </w:abstractNum>
  <w:abstractNum w:abstractNumId="85">
    <w:nsid w:val="335804C6"/>
    <w:multiLevelType w:val="hybridMultilevel"/>
    <w:tmpl w:val="9732EFC4"/>
    <w:lvl w:ilvl="0" w:tplc="FFFFFFFF">
      <w:start w:val="2"/>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6">
    <w:nsid w:val="335E4CA8"/>
    <w:multiLevelType w:val="multilevel"/>
    <w:tmpl w:val="A882118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
    <w:nsid w:val="33A57520"/>
    <w:multiLevelType w:val="hybridMultilevel"/>
    <w:tmpl w:val="16D42550"/>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8">
    <w:nsid w:val="33C9766E"/>
    <w:multiLevelType w:val="singleLevel"/>
    <w:tmpl w:val="56323822"/>
    <w:lvl w:ilvl="0">
      <w:numFmt w:val="bullet"/>
      <w:lvlText w:val="-"/>
      <w:lvlJc w:val="left"/>
      <w:pPr>
        <w:tabs>
          <w:tab w:val="num" w:pos="360"/>
        </w:tabs>
        <w:ind w:left="357" w:hanging="357"/>
      </w:pPr>
      <w:rPr>
        <w:rFonts w:hint="default"/>
      </w:rPr>
    </w:lvl>
  </w:abstractNum>
  <w:abstractNum w:abstractNumId="89">
    <w:nsid w:val="341E2C3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90">
    <w:nsid w:val="34777372"/>
    <w:multiLevelType w:val="singleLevel"/>
    <w:tmpl w:val="56323822"/>
    <w:lvl w:ilvl="0">
      <w:numFmt w:val="bullet"/>
      <w:lvlText w:val="-"/>
      <w:lvlJc w:val="left"/>
      <w:pPr>
        <w:tabs>
          <w:tab w:val="num" w:pos="360"/>
        </w:tabs>
        <w:ind w:left="357" w:hanging="357"/>
      </w:pPr>
      <w:rPr>
        <w:rFonts w:hint="default"/>
      </w:rPr>
    </w:lvl>
  </w:abstractNum>
  <w:abstractNum w:abstractNumId="91">
    <w:nsid w:val="35077D96"/>
    <w:multiLevelType w:val="multilevel"/>
    <w:tmpl w:val="9860437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2">
    <w:nsid w:val="35A7147A"/>
    <w:multiLevelType w:val="singleLevel"/>
    <w:tmpl w:val="415849FA"/>
    <w:lvl w:ilvl="0">
      <w:numFmt w:val="bullet"/>
      <w:lvlText w:val="-"/>
      <w:lvlJc w:val="left"/>
      <w:pPr>
        <w:tabs>
          <w:tab w:val="num" w:pos="360"/>
        </w:tabs>
        <w:ind w:left="360" w:hanging="360"/>
      </w:pPr>
      <w:rPr>
        <w:rFonts w:hint="default"/>
      </w:rPr>
    </w:lvl>
  </w:abstractNum>
  <w:abstractNum w:abstractNumId="93">
    <w:nsid w:val="36725F37"/>
    <w:multiLevelType w:val="singleLevel"/>
    <w:tmpl w:val="56323822"/>
    <w:lvl w:ilvl="0">
      <w:numFmt w:val="bullet"/>
      <w:lvlText w:val="-"/>
      <w:lvlJc w:val="left"/>
      <w:pPr>
        <w:tabs>
          <w:tab w:val="num" w:pos="360"/>
        </w:tabs>
        <w:ind w:left="357" w:hanging="357"/>
      </w:pPr>
      <w:rPr>
        <w:rFonts w:hint="default"/>
      </w:rPr>
    </w:lvl>
  </w:abstractNum>
  <w:abstractNum w:abstractNumId="94">
    <w:nsid w:val="373B12D1"/>
    <w:multiLevelType w:val="multilevel"/>
    <w:tmpl w:val="57E6A1C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5">
    <w:nsid w:val="39C029A4"/>
    <w:multiLevelType w:val="hybridMultilevel"/>
    <w:tmpl w:val="7078426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6">
    <w:nsid w:val="3A7C6D4F"/>
    <w:multiLevelType w:val="singleLevel"/>
    <w:tmpl w:val="EBD25D34"/>
    <w:lvl w:ilvl="0">
      <w:start w:val="1"/>
      <w:numFmt w:val="decimal"/>
      <w:lvlText w:val="%1-"/>
      <w:lvlJc w:val="left"/>
      <w:pPr>
        <w:tabs>
          <w:tab w:val="num" w:pos="360"/>
        </w:tabs>
        <w:ind w:left="360" w:hanging="360"/>
      </w:pPr>
    </w:lvl>
  </w:abstractNum>
  <w:abstractNum w:abstractNumId="97">
    <w:nsid w:val="3A9C38E2"/>
    <w:multiLevelType w:val="singleLevel"/>
    <w:tmpl w:val="5E4ACC46"/>
    <w:lvl w:ilvl="0">
      <w:start w:val="1"/>
      <w:numFmt w:val="lowerLetter"/>
      <w:lvlText w:val="%1)"/>
      <w:lvlJc w:val="left"/>
      <w:pPr>
        <w:tabs>
          <w:tab w:val="num" w:pos="360"/>
        </w:tabs>
        <w:ind w:left="360" w:hanging="360"/>
      </w:pPr>
      <w:rPr>
        <w:rFonts w:hint="default"/>
      </w:rPr>
    </w:lvl>
  </w:abstractNum>
  <w:abstractNum w:abstractNumId="98">
    <w:nsid w:val="3AD8355B"/>
    <w:multiLevelType w:val="singleLevel"/>
    <w:tmpl w:val="CC6A9922"/>
    <w:lvl w:ilvl="0">
      <w:start w:val="1"/>
      <w:numFmt w:val="lowerLetter"/>
      <w:lvlText w:val="%1)"/>
      <w:lvlJc w:val="left"/>
      <w:pPr>
        <w:tabs>
          <w:tab w:val="num" w:pos="360"/>
        </w:tabs>
        <w:ind w:left="360" w:hanging="360"/>
      </w:pPr>
      <w:rPr>
        <w:rFonts w:hint="default"/>
      </w:rPr>
    </w:lvl>
  </w:abstractNum>
  <w:abstractNum w:abstractNumId="99">
    <w:nsid w:val="3B32212A"/>
    <w:multiLevelType w:val="singleLevel"/>
    <w:tmpl w:val="56323822"/>
    <w:lvl w:ilvl="0">
      <w:numFmt w:val="bullet"/>
      <w:lvlText w:val="-"/>
      <w:lvlJc w:val="left"/>
      <w:pPr>
        <w:tabs>
          <w:tab w:val="num" w:pos="360"/>
        </w:tabs>
        <w:ind w:left="357" w:hanging="357"/>
      </w:pPr>
      <w:rPr>
        <w:rFonts w:hint="default"/>
      </w:rPr>
    </w:lvl>
  </w:abstractNum>
  <w:abstractNum w:abstractNumId="100">
    <w:nsid w:val="3BA60DB5"/>
    <w:multiLevelType w:val="singleLevel"/>
    <w:tmpl w:val="020CF6CC"/>
    <w:lvl w:ilvl="0">
      <w:start w:val="1"/>
      <w:numFmt w:val="upperLetter"/>
      <w:lvlText w:val="%1-"/>
      <w:lvlJc w:val="left"/>
      <w:pPr>
        <w:tabs>
          <w:tab w:val="num" w:pos="360"/>
        </w:tabs>
        <w:ind w:left="360" w:hanging="360"/>
      </w:pPr>
      <w:rPr>
        <w:rFonts w:hint="default"/>
      </w:rPr>
    </w:lvl>
  </w:abstractNum>
  <w:abstractNum w:abstractNumId="101">
    <w:nsid w:val="3BF84C7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02">
    <w:nsid w:val="3C35065E"/>
    <w:multiLevelType w:val="singleLevel"/>
    <w:tmpl w:val="56323822"/>
    <w:lvl w:ilvl="0">
      <w:numFmt w:val="bullet"/>
      <w:lvlText w:val="-"/>
      <w:lvlJc w:val="left"/>
      <w:pPr>
        <w:tabs>
          <w:tab w:val="num" w:pos="360"/>
        </w:tabs>
        <w:ind w:left="357" w:hanging="357"/>
      </w:pPr>
      <w:rPr>
        <w:rFonts w:hint="default"/>
      </w:rPr>
    </w:lvl>
  </w:abstractNum>
  <w:abstractNum w:abstractNumId="103">
    <w:nsid w:val="3C48499E"/>
    <w:multiLevelType w:val="singleLevel"/>
    <w:tmpl w:val="A5A43434"/>
    <w:lvl w:ilvl="0">
      <w:numFmt w:val="bullet"/>
      <w:lvlText w:val="-"/>
      <w:lvlJc w:val="left"/>
      <w:pPr>
        <w:tabs>
          <w:tab w:val="num" w:pos="1211"/>
        </w:tabs>
        <w:ind w:left="1211" w:hanging="360"/>
      </w:pPr>
      <w:rPr>
        <w:rFonts w:hint="default"/>
      </w:rPr>
    </w:lvl>
  </w:abstractNum>
  <w:abstractNum w:abstractNumId="104">
    <w:nsid w:val="3C891389"/>
    <w:multiLevelType w:val="multilevel"/>
    <w:tmpl w:val="67DE42D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5">
    <w:nsid w:val="3D7B46BB"/>
    <w:multiLevelType w:val="multilevel"/>
    <w:tmpl w:val="665A031E"/>
    <w:lvl w:ilvl="0">
      <w:start w:val="16"/>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6">
    <w:nsid w:val="3DCF7996"/>
    <w:multiLevelType w:val="singleLevel"/>
    <w:tmpl w:val="56323822"/>
    <w:lvl w:ilvl="0">
      <w:numFmt w:val="bullet"/>
      <w:lvlText w:val="-"/>
      <w:lvlJc w:val="left"/>
      <w:pPr>
        <w:tabs>
          <w:tab w:val="num" w:pos="360"/>
        </w:tabs>
        <w:ind w:left="357" w:hanging="357"/>
      </w:pPr>
      <w:rPr>
        <w:rFonts w:hint="default"/>
      </w:rPr>
    </w:lvl>
  </w:abstractNum>
  <w:abstractNum w:abstractNumId="107">
    <w:nsid w:val="3E603729"/>
    <w:multiLevelType w:val="singleLevel"/>
    <w:tmpl w:val="45B00012"/>
    <w:lvl w:ilvl="0">
      <w:start w:val="1"/>
      <w:numFmt w:val="bullet"/>
      <w:lvlText w:val=""/>
      <w:lvlJc w:val="left"/>
      <w:pPr>
        <w:tabs>
          <w:tab w:val="num" w:pos="360"/>
        </w:tabs>
        <w:ind w:left="360" w:hanging="360"/>
      </w:pPr>
      <w:rPr>
        <w:rFonts w:ascii="Symbol" w:hAnsi="Symbol" w:hint="default"/>
      </w:rPr>
    </w:lvl>
  </w:abstractNum>
  <w:abstractNum w:abstractNumId="108">
    <w:nsid w:val="3ED11E26"/>
    <w:multiLevelType w:val="singleLevel"/>
    <w:tmpl w:val="CC6A9922"/>
    <w:lvl w:ilvl="0">
      <w:start w:val="1"/>
      <w:numFmt w:val="lowerLetter"/>
      <w:lvlText w:val="%1)"/>
      <w:lvlJc w:val="left"/>
      <w:pPr>
        <w:tabs>
          <w:tab w:val="num" w:pos="360"/>
        </w:tabs>
        <w:ind w:left="360" w:hanging="360"/>
      </w:pPr>
      <w:rPr>
        <w:rFonts w:hint="default"/>
      </w:rPr>
    </w:lvl>
  </w:abstractNum>
  <w:abstractNum w:abstractNumId="109">
    <w:nsid w:val="401774C3"/>
    <w:multiLevelType w:val="singleLevel"/>
    <w:tmpl w:val="5E4ACC46"/>
    <w:lvl w:ilvl="0">
      <w:start w:val="1"/>
      <w:numFmt w:val="lowerLetter"/>
      <w:lvlText w:val="%1)"/>
      <w:lvlJc w:val="left"/>
      <w:pPr>
        <w:tabs>
          <w:tab w:val="num" w:pos="360"/>
        </w:tabs>
        <w:ind w:left="360" w:hanging="360"/>
      </w:pPr>
      <w:rPr>
        <w:rFonts w:hint="default"/>
      </w:rPr>
    </w:lvl>
  </w:abstractNum>
  <w:abstractNum w:abstractNumId="110">
    <w:nsid w:val="40954802"/>
    <w:multiLevelType w:val="singleLevel"/>
    <w:tmpl w:val="69402482"/>
    <w:lvl w:ilvl="0">
      <w:start w:val="1"/>
      <w:numFmt w:val="upperRoman"/>
      <w:lvlText w:val="%1-"/>
      <w:lvlJc w:val="left"/>
      <w:pPr>
        <w:tabs>
          <w:tab w:val="num" w:pos="720"/>
        </w:tabs>
        <w:ind w:left="720" w:hanging="720"/>
      </w:pPr>
      <w:rPr>
        <w:rFonts w:hint="default"/>
      </w:rPr>
    </w:lvl>
  </w:abstractNum>
  <w:abstractNum w:abstractNumId="111">
    <w:nsid w:val="410C3A0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2">
    <w:nsid w:val="41F474F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3">
    <w:nsid w:val="42307ED6"/>
    <w:multiLevelType w:val="singleLevel"/>
    <w:tmpl w:val="56323822"/>
    <w:lvl w:ilvl="0">
      <w:numFmt w:val="bullet"/>
      <w:lvlText w:val="-"/>
      <w:lvlJc w:val="left"/>
      <w:pPr>
        <w:tabs>
          <w:tab w:val="num" w:pos="360"/>
        </w:tabs>
        <w:ind w:left="357" w:hanging="357"/>
      </w:pPr>
      <w:rPr>
        <w:rFonts w:hint="default"/>
      </w:rPr>
    </w:lvl>
  </w:abstractNum>
  <w:abstractNum w:abstractNumId="114">
    <w:nsid w:val="42F159E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5">
    <w:nsid w:val="4328193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6">
    <w:nsid w:val="432E6F9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7">
    <w:nsid w:val="43531870"/>
    <w:multiLevelType w:val="singleLevel"/>
    <w:tmpl w:val="56323822"/>
    <w:lvl w:ilvl="0">
      <w:numFmt w:val="bullet"/>
      <w:lvlText w:val="-"/>
      <w:lvlJc w:val="left"/>
      <w:pPr>
        <w:tabs>
          <w:tab w:val="num" w:pos="360"/>
        </w:tabs>
        <w:ind w:left="357" w:hanging="357"/>
      </w:pPr>
      <w:rPr>
        <w:rFonts w:hint="default"/>
      </w:rPr>
    </w:lvl>
  </w:abstractNum>
  <w:abstractNum w:abstractNumId="118">
    <w:nsid w:val="448866A6"/>
    <w:multiLevelType w:val="singleLevel"/>
    <w:tmpl w:val="040C000F"/>
    <w:lvl w:ilvl="0">
      <w:start w:val="1"/>
      <w:numFmt w:val="decimal"/>
      <w:lvlText w:val="%1."/>
      <w:lvlJc w:val="left"/>
      <w:pPr>
        <w:tabs>
          <w:tab w:val="num" w:pos="360"/>
        </w:tabs>
        <w:ind w:left="360" w:hanging="360"/>
      </w:pPr>
    </w:lvl>
  </w:abstractNum>
  <w:abstractNum w:abstractNumId="119">
    <w:nsid w:val="44AE7A50"/>
    <w:multiLevelType w:val="singleLevel"/>
    <w:tmpl w:val="B0A2A73C"/>
    <w:lvl w:ilvl="0">
      <w:start w:val="3"/>
      <w:numFmt w:val="bullet"/>
      <w:lvlText w:val="-"/>
      <w:lvlJc w:val="left"/>
      <w:pPr>
        <w:tabs>
          <w:tab w:val="num" w:pos="360"/>
        </w:tabs>
        <w:ind w:left="360" w:hanging="360"/>
      </w:pPr>
      <w:rPr>
        <w:rFonts w:hint="default"/>
      </w:rPr>
    </w:lvl>
  </w:abstractNum>
  <w:abstractNum w:abstractNumId="120">
    <w:nsid w:val="44F53914"/>
    <w:multiLevelType w:val="singleLevel"/>
    <w:tmpl w:val="45B00012"/>
    <w:lvl w:ilvl="0">
      <w:start w:val="1"/>
      <w:numFmt w:val="bullet"/>
      <w:lvlText w:val=""/>
      <w:lvlJc w:val="left"/>
      <w:pPr>
        <w:tabs>
          <w:tab w:val="num" w:pos="360"/>
        </w:tabs>
        <w:ind w:left="360" w:hanging="360"/>
      </w:pPr>
      <w:rPr>
        <w:rFonts w:ascii="Symbol" w:hAnsi="Symbol" w:hint="default"/>
      </w:rPr>
    </w:lvl>
  </w:abstractNum>
  <w:abstractNum w:abstractNumId="121">
    <w:nsid w:val="467545B3"/>
    <w:multiLevelType w:val="singleLevel"/>
    <w:tmpl w:val="040C000F"/>
    <w:lvl w:ilvl="0">
      <w:start w:val="1"/>
      <w:numFmt w:val="decimal"/>
      <w:lvlText w:val="%1."/>
      <w:lvlJc w:val="left"/>
      <w:pPr>
        <w:tabs>
          <w:tab w:val="num" w:pos="360"/>
        </w:tabs>
        <w:ind w:left="360" w:hanging="360"/>
      </w:pPr>
    </w:lvl>
  </w:abstractNum>
  <w:abstractNum w:abstractNumId="122">
    <w:nsid w:val="46FE3A26"/>
    <w:multiLevelType w:val="hybridMultilevel"/>
    <w:tmpl w:val="E7C896A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3">
    <w:nsid w:val="4702630E"/>
    <w:multiLevelType w:val="hybridMultilevel"/>
    <w:tmpl w:val="B3763DB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4">
    <w:nsid w:val="48040D27"/>
    <w:multiLevelType w:val="singleLevel"/>
    <w:tmpl w:val="A5A43434"/>
    <w:lvl w:ilvl="0">
      <w:numFmt w:val="bullet"/>
      <w:lvlText w:val="-"/>
      <w:lvlJc w:val="left"/>
      <w:pPr>
        <w:tabs>
          <w:tab w:val="num" w:pos="1211"/>
        </w:tabs>
        <w:ind w:left="1211" w:hanging="360"/>
      </w:pPr>
      <w:rPr>
        <w:rFonts w:hint="default"/>
      </w:rPr>
    </w:lvl>
  </w:abstractNum>
  <w:abstractNum w:abstractNumId="125">
    <w:nsid w:val="48B759B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6">
    <w:nsid w:val="48FD6661"/>
    <w:multiLevelType w:val="singleLevel"/>
    <w:tmpl w:val="415849FA"/>
    <w:lvl w:ilvl="0">
      <w:numFmt w:val="bullet"/>
      <w:lvlText w:val="-"/>
      <w:lvlJc w:val="left"/>
      <w:pPr>
        <w:tabs>
          <w:tab w:val="num" w:pos="360"/>
        </w:tabs>
        <w:ind w:left="360" w:hanging="360"/>
      </w:pPr>
      <w:rPr>
        <w:rFonts w:hint="default"/>
      </w:rPr>
    </w:lvl>
  </w:abstractNum>
  <w:abstractNum w:abstractNumId="127">
    <w:nsid w:val="4AB8459F"/>
    <w:multiLevelType w:val="singleLevel"/>
    <w:tmpl w:val="56323822"/>
    <w:lvl w:ilvl="0">
      <w:numFmt w:val="bullet"/>
      <w:lvlText w:val="-"/>
      <w:lvlJc w:val="left"/>
      <w:pPr>
        <w:tabs>
          <w:tab w:val="num" w:pos="360"/>
        </w:tabs>
        <w:ind w:left="357" w:hanging="357"/>
      </w:pPr>
      <w:rPr>
        <w:rFonts w:hint="default"/>
      </w:rPr>
    </w:lvl>
  </w:abstractNum>
  <w:abstractNum w:abstractNumId="128">
    <w:nsid w:val="4ABF57A0"/>
    <w:multiLevelType w:val="singleLevel"/>
    <w:tmpl w:val="D0D61EEA"/>
    <w:lvl w:ilvl="0">
      <w:start w:val="1"/>
      <w:numFmt w:val="lowerLetter"/>
      <w:lvlText w:val="%1-"/>
      <w:lvlJc w:val="left"/>
      <w:pPr>
        <w:tabs>
          <w:tab w:val="num" w:pos="360"/>
        </w:tabs>
        <w:ind w:left="360" w:hanging="360"/>
      </w:pPr>
      <w:rPr>
        <w:rFonts w:hint="default"/>
        <w:b/>
      </w:rPr>
    </w:lvl>
  </w:abstractNum>
  <w:abstractNum w:abstractNumId="129">
    <w:nsid w:val="4B2643B2"/>
    <w:multiLevelType w:val="singleLevel"/>
    <w:tmpl w:val="415849FA"/>
    <w:lvl w:ilvl="0">
      <w:numFmt w:val="bullet"/>
      <w:lvlText w:val="-"/>
      <w:lvlJc w:val="left"/>
      <w:pPr>
        <w:tabs>
          <w:tab w:val="num" w:pos="360"/>
        </w:tabs>
        <w:ind w:left="360" w:hanging="360"/>
      </w:pPr>
      <w:rPr>
        <w:rFonts w:hint="default"/>
      </w:rPr>
    </w:lvl>
  </w:abstractNum>
  <w:abstractNum w:abstractNumId="130">
    <w:nsid w:val="4B3F7AA8"/>
    <w:multiLevelType w:val="multilevel"/>
    <w:tmpl w:val="89947A0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1">
    <w:nsid w:val="4BEF5137"/>
    <w:multiLevelType w:val="singleLevel"/>
    <w:tmpl w:val="56323822"/>
    <w:lvl w:ilvl="0">
      <w:numFmt w:val="bullet"/>
      <w:lvlText w:val="-"/>
      <w:lvlJc w:val="left"/>
      <w:pPr>
        <w:tabs>
          <w:tab w:val="num" w:pos="360"/>
        </w:tabs>
        <w:ind w:left="357" w:hanging="357"/>
      </w:pPr>
      <w:rPr>
        <w:rFonts w:hint="default"/>
      </w:rPr>
    </w:lvl>
  </w:abstractNum>
  <w:abstractNum w:abstractNumId="132">
    <w:nsid w:val="4C0107E3"/>
    <w:multiLevelType w:val="singleLevel"/>
    <w:tmpl w:val="67B0499E"/>
    <w:lvl w:ilvl="0">
      <w:start w:val="8"/>
      <w:numFmt w:val="upperLetter"/>
      <w:lvlText w:val="%1-"/>
      <w:lvlJc w:val="left"/>
      <w:pPr>
        <w:tabs>
          <w:tab w:val="num" w:pos="360"/>
        </w:tabs>
        <w:ind w:left="360" w:hanging="360"/>
      </w:pPr>
      <w:rPr>
        <w:rFonts w:hint="default"/>
      </w:rPr>
    </w:lvl>
  </w:abstractNum>
  <w:abstractNum w:abstractNumId="133">
    <w:nsid w:val="4C370F7F"/>
    <w:multiLevelType w:val="singleLevel"/>
    <w:tmpl w:val="56323822"/>
    <w:lvl w:ilvl="0">
      <w:numFmt w:val="bullet"/>
      <w:lvlText w:val="-"/>
      <w:lvlJc w:val="left"/>
      <w:pPr>
        <w:tabs>
          <w:tab w:val="num" w:pos="360"/>
        </w:tabs>
        <w:ind w:left="357" w:hanging="357"/>
      </w:pPr>
      <w:rPr>
        <w:rFonts w:hint="default"/>
      </w:rPr>
    </w:lvl>
  </w:abstractNum>
  <w:abstractNum w:abstractNumId="134">
    <w:nsid w:val="4C790AFD"/>
    <w:multiLevelType w:val="singleLevel"/>
    <w:tmpl w:val="56323822"/>
    <w:lvl w:ilvl="0">
      <w:numFmt w:val="bullet"/>
      <w:lvlText w:val="-"/>
      <w:lvlJc w:val="left"/>
      <w:pPr>
        <w:tabs>
          <w:tab w:val="num" w:pos="360"/>
        </w:tabs>
        <w:ind w:left="357" w:hanging="357"/>
      </w:pPr>
      <w:rPr>
        <w:rFonts w:hint="default"/>
      </w:rPr>
    </w:lvl>
  </w:abstractNum>
  <w:abstractNum w:abstractNumId="135">
    <w:nsid w:val="4C7B40DA"/>
    <w:multiLevelType w:val="singleLevel"/>
    <w:tmpl w:val="56323822"/>
    <w:lvl w:ilvl="0">
      <w:numFmt w:val="bullet"/>
      <w:lvlText w:val="-"/>
      <w:lvlJc w:val="left"/>
      <w:pPr>
        <w:tabs>
          <w:tab w:val="num" w:pos="360"/>
        </w:tabs>
        <w:ind w:left="357" w:hanging="357"/>
      </w:pPr>
      <w:rPr>
        <w:rFonts w:hint="default"/>
      </w:rPr>
    </w:lvl>
  </w:abstractNum>
  <w:abstractNum w:abstractNumId="136">
    <w:nsid w:val="4CA77856"/>
    <w:multiLevelType w:val="singleLevel"/>
    <w:tmpl w:val="56323822"/>
    <w:lvl w:ilvl="0">
      <w:numFmt w:val="bullet"/>
      <w:lvlText w:val="-"/>
      <w:lvlJc w:val="left"/>
      <w:pPr>
        <w:tabs>
          <w:tab w:val="num" w:pos="360"/>
        </w:tabs>
        <w:ind w:left="357" w:hanging="357"/>
      </w:pPr>
      <w:rPr>
        <w:rFonts w:hint="default"/>
      </w:rPr>
    </w:lvl>
  </w:abstractNum>
  <w:abstractNum w:abstractNumId="137">
    <w:nsid w:val="4CBC7A5B"/>
    <w:multiLevelType w:val="singleLevel"/>
    <w:tmpl w:val="56323822"/>
    <w:lvl w:ilvl="0">
      <w:numFmt w:val="bullet"/>
      <w:lvlText w:val="-"/>
      <w:lvlJc w:val="left"/>
      <w:pPr>
        <w:tabs>
          <w:tab w:val="num" w:pos="360"/>
        </w:tabs>
        <w:ind w:left="357" w:hanging="357"/>
      </w:pPr>
      <w:rPr>
        <w:rFonts w:hint="default"/>
      </w:rPr>
    </w:lvl>
  </w:abstractNum>
  <w:abstractNum w:abstractNumId="138">
    <w:nsid w:val="4D0C07D0"/>
    <w:multiLevelType w:val="multilevel"/>
    <w:tmpl w:val="C2CA61E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9">
    <w:nsid w:val="4D766B9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40">
    <w:nsid w:val="4E414D09"/>
    <w:multiLevelType w:val="singleLevel"/>
    <w:tmpl w:val="56323822"/>
    <w:lvl w:ilvl="0">
      <w:numFmt w:val="bullet"/>
      <w:lvlText w:val="-"/>
      <w:lvlJc w:val="left"/>
      <w:pPr>
        <w:tabs>
          <w:tab w:val="num" w:pos="360"/>
        </w:tabs>
        <w:ind w:left="357" w:hanging="357"/>
      </w:pPr>
      <w:rPr>
        <w:rFonts w:hint="default"/>
      </w:rPr>
    </w:lvl>
  </w:abstractNum>
  <w:abstractNum w:abstractNumId="141">
    <w:nsid w:val="4E6C460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42">
    <w:nsid w:val="4EF71015"/>
    <w:multiLevelType w:val="hybridMultilevel"/>
    <w:tmpl w:val="F630469A"/>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3">
    <w:nsid w:val="4F2740FA"/>
    <w:multiLevelType w:val="singleLevel"/>
    <w:tmpl w:val="56323822"/>
    <w:lvl w:ilvl="0">
      <w:numFmt w:val="bullet"/>
      <w:lvlText w:val="-"/>
      <w:lvlJc w:val="left"/>
      <w:pPr>
        <w:tabs>
          <w:tab w:val="num" w:pos="360"/>
        </w:tabs>
        <w:ind w:left="357" w:hanging="357"/>
      </w:pPr>
      <w:rPr>
        <w:rFonts w:hint="default"/>
      </w:rPr>
    </w:lvl>
  </w:abstractNum>
  <w:abstractNum w:abstractNumId="144">
    <w:nsid w:val="4F4E2540"/>
    <w:multiLevelType w:val="singleLevel"/>
    <w:tmpl w:val="3B34BA9E"/>
    <w:lvl w:ilvl="0">
      <w:start w:val="1"/>
      <w:numFmt w:val="bullet"/>
      <w:lvlText w:val=""/>
      <w:lvlJc w:val="left"/>
      <w:pPr>
        <w:tabs>
          <w:tab w:val="num" w:pos="360"/>
        </w:tabs>
        <w:ind w:left="360" w:hanging="360"/>
      </w:pPr>
      <w:rPr>
        <w:rFonts w:ascii="Symbol" w:hAnsi="Symbol" w:hint="default"/>
      </w:rPr>
    </w:lvl>
  </w:abstractNum>
  <w:abstractNum w:abstractNumId="145">
    <w:nsid w:val="50201A9E"/>
    <w:multiLevelType w:val="singleLevel"/>
    <w:tmpl w:val="040C000F"/>
    <w:lvl w:ilvl="0">
      <w:start w:val="1"/>
      <w:numFmt w:val="decimal"/>
      <w:lvlText w:val="%1."/>
      <w:lvlJc w:val="left"/>
      <w:pPr>
        <w:tabs>
          <w:tab w:val="num" w:pos="360"/>
        </w:tabs>
        <w:ind w:left="360" w:hanging="360"/>
      </w:pPr>
    </w:lvl>
  </w:abstractNum>
  <w:abstractNum w:abstractNumId="146">
    <w:nsid w:val="50CF588E"/>
    <w:multiLevelType w:val="singleLevel"/>
    <w:tmpl w:val="56323822"/>
    <w:lvl w:ilvl="0">
      <w:numFmt w:val="bullet"/>
      <w:lvlText w:val="-"/>
      <w:lvlJc w:val="left"/>
      <w:pPr>
        <w:tabs>
          <w:tab w:val="num" w:pos="360"/>
        </w:tabs>
        <w:ind w:left="357" w:hanging="357"/>
      </w:pPr>
      <w:rPr>
        <w:rFonts w:hint="default"/>
      </w:rPr>
    </w:lvl>
  </w:abstractNum>
  <w:abstractNum w:abstractNumId="147">
    <w:nsid w:val="51673036"/>
    <w:multiLevelType w:val="singleLevel"/>
    <w:tmpl w:val="415849FA"/>
    <w:lvl w:ilvl="0">
      <w:numFmt w:val="bullet"/>
      <w:lvlText w:val="-"/>
      <w:lvlJc w:val="left"/>
      <w:pPr>
        <w:tabs>
          <w:tab w:val="num" w:pos="360"/>
        </w:tabs>
        <w:ind w:left="360" w:hanging="360"/>
      </w:pPr>
      <w:rPr>
        <w:rFonts w:hint="default"/>
      </w:rPr>
    </w:lvl>
  </w:abstractNum>
  <w:abstractNum w:abstractNumId="148">
    <w:nsid w:val="51876F12"/>
    <w:multiLevelType w:val="singleLevel"/>
    <w:tmpl w:val="56323822"/>
    <w:lvl w:ilvl="0">
      <w:numFmt w:val="bullet"/>
      <w:lvlText w:val="-"/>
      <w:lvlJc w:val="left"/>
      <w:pPr>
        <w:tabs>
          <w:tab w:val="num" w:pos="360"/>
        </w:tabs>
        <w:ind w:left="357" w:hanging="357"/>
      </w:pPr>
      <w:rPr>
        <w:rFonts w:hint="default"/>
      </w:rPr>
    </w:lvl>
  </w:abstractNum>
  <w:abstractNum w:abstractNumId="149">
    <w:nsid w:val="51F14E6B"/>
    <w:multiLevelType w:val="singleLevel"/>
    <w:tmpl w:val="FD6EEA00"/>
    <w:lvl w:ilvl="0">
      <w:start w:val="1"/>
      <w:numFmt w:val="decimal"/>
      <w:lvlText w:val="%1-"/>
      <w:lvlJc w:val="left"/>
      <w:pPr>
        <w:tabs>
          <w:tab w:val="num" w:pos="360"/>
        </w:tabs>
        <w:ind w:left="360" w:hanging="360"/>
      </w:pPr>
    </w:lvl>
  </w:abstractNum>
  <w:abstractNum w:abstractNumId="150">
    <w:nsid w:val="52892523"/>
    <w:multiLevelType w:val="singleLevel"/>
    <w:tmpl w:val="A5A43434"/>
    <w:lvl w:ilvl="0">
      <w:numFmt w:val="bullet"/>
      <w:lvlText w:val="-"/>
      <w:lvlJc w:val="left"/>
      <w:pPr>
        <w:tabs>
          <w:tab w:val="num" w:pos="1211"/>
        </w:tabs>
        <w:ind w:left="1211" w:hanging="360"/>
      </w:pPr>
      <w:rPr>
        <w:rFonts w:hint="default"/>
      </w:rPr>
    </w:lvl>
  </w:abstractNum>
  <w:abstractNum w:abstractNumId="151">
    <w:nsid w:val="530249EA"/>
    <w:multiLevelType w:val="singleLevel"/>
    <w:tmpl w:val="56323822"/>
    <w:lvl w:ilvl="0">
      <w:numFmt w:val="bullet"/>
      <w:lvlText w:val="-"/>
      <w:lvlJc w:val="left"/>
      <w:pPr>
        <w:tabs>
          <w:tab w:val="num" w:pos="360"/>
        </w:tabs>
        <w:ind w:left="357" w:hanging="357"/>
      </w:pPr>
      <w:rPr>
        <w:rFonts w:hint="default"/>
      </w:rPr>
    </w:lvl>
  </w:abstractNum>
  <w:abstractNum w:abstractNumId="152">
    <w:nsid w:val="54255BCB"/>
    <w:multiLevelType w:val="multilevel"/>
    <w:tmpl w:val="9BE2D08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3">
    <w:nsid w:val="543821C8"/>
    <w:multiLevelType w:val="singleLevel"/>
    <w:tmpl w:val="A5A43434"/>
    <w:lvl w:ilvl="0">
      <w:numFmt w:val="bullet"/>
      <w:lvlText w:val="-"/>
      <w:lvlJc w:val="left"/>
      <w:pPr>
        <w:tabs>
          <w:tab w:val="num" w:pos="1211"/>
        </w:tabs>
        <w:ind w:left="1211" w:hanging="360"/>
      </w:pPr>
      <w:rPr>
        <w:rFonts w:hint="default"/>
      </w:rPr>
    </w:lvl>
  </w:abstractNum>
  <w:abstractNum w:abstractNumId="154">
    <w:nsid w:val="54A75770"/>
    <w:multiLevelType w:val="singleLevel"/>
    <w:tmpl w:val="56323822"/>
    <w:lvl w:ilvl="0">
      <w:numFmt w:val="bullet"/>
      <w:lvlText w:val="-"/>
      <w:lvlJc w:val="left"/>
      <w:pPr>
        <w:tabs>
          <w:tab w:val="num" w:pos="360"/>
        </w:tabs>
        <w:ind w:left="357" w:hanging="357"/>
      </w:pPr>
      <w:rPr>
        <w:rFonts w:hint="default"/>
      </w:rPr>
    </w:lvl>
  </w:abstractNum>
  <w:abstractNum w:abstractNumId="155">
    <w:nsid w:val="552D7023"/>
    <w:multiLevelType w:val="singleLevel"/>
    <w:tmpl w:val="56323822"/>
    <w:lvl w:ilvl="0">
      <w:numFmt w:val="bullet"/>
      <w:lvlText w:val="-"/>
      <w:lvlJc w:val="left"/>
      <w:pPr>
        <w:tabs>
          <w:tab w:val="num" w:pos="360"/>
        </w:tabs>
        <w:ind w:left="357" w:hanging="357"/>
      </w:pPr>
      <w:rPr>
        <w:rFonts w:hint="default"/>
      </w:rPr>
    </w:lvl>
  </w:abstractNum>
  <w:abstractNum w:abstractNumId="156">
    <w:nsid w:val="55613F2A"/>
    <w:multiLevelType w:val="singleLevel"/>
    <w:tmpl w:val="56323822"/>
    <w:lvl w:ilvl="0">
      <w:numFmt w:val="bullet"/>
      <w:lvlText w:val="-"/>
      <w:lvlJc w:val="left"/>
      <w:pPr>
        <w:tabs>
          <w:tab w:val="num" w:pos="360"/>
        </w:tabs>
        <w:ind w:left="357" w:hanging="357"/>
      </w:pPr>
      <w:rPr>
        <w:rFonts w:hint="default"/>
      </w:rPr>
    </w:lvl>
  </w:abstractNum>
  <w:abstractNum w:abstractNumId="157">
    <w:nsid w:val="5686212E"/>
    <w:multiLevelType w:val="singleLevel"/>
    <w:tmpl w:val="56323822"/>
    <w:lvl w:ilvl="0">
      <w:numFmt w:val="bullet"/>
      <w:lvlText w:val="-"/>
      <w:lvlJc w:val="left"/>
      <w:pPr>
        <w:tabs>
          <w:tab w:val="num" w:pos="360"/>
        </w:tabs>
        <w:ind w:left="357" w:hanging="357"/>
      </w:pPr>
      <w:rPr>
        <w:rFonts w:hint="default"/>
      </w:rPr>
    </w:lvl>
  </w:abstractNum>
  <w:abstractNum w:abstractNumId="158">
    <w:nsid w:val="581F76D4"/>
    <w:multiLevelType w:val="singleLevel"/>
    <w:tmpl w:val="56323822"/>
    <w:lvl w:ilvl="0">
      <w:numFmt w:val="bullet"/>
      <w:lvlText w:val="-"/>
      <w:lvlJc w:val="left"/>
      <w:pPr>
        <w:tabs>
          <w:tab w:val="num" w:pos="360"/>
        </w:tabs>
        <w:ind w:left="357" w:hanging="357"/>
      </w:pPr>
      <w:rPr>
        <w:rFonts w:hint="default"/>
      </w:rPr>
    </w:lvl>
  </w:abstractNum>
  <w:abstractNum w:abstractNumId="159">
    <w:nsid w:val="5861573B"/>
    <w:multiLevelType w:val="singleLevel"/>
    <w:tmpl w:val="CC6A9922"/>
    <w:lvl w:ilvl="0">
      <w:start w:val="1"/>
      <w:numFmt w:val="lowerLetter"/>
      <w:lvlText w:val="%1)"/>
      <w:lvlJc w:val="left"/>
      <w:pPr>
        <w:tabs>
          <w:tab w:val="num" w:pos="360"/>
        </w:tabs>
        <w:ind w:left="360" w:hanging="360"/>
      </w:pPr>
      <w:rPr>
        <w:rFonts w:hint="default"/>
      </w:rPr>
    </w:lvl>
  </w:abstractNum>
  <w:abstractNum w:abstractNumId="160">
    <w:nsid w:val="58DF315D"/>
    <w:multiLevelType w:val="singleLevel"/>
    <w:tmpl w:val="D9D2E696"/>
    <w:lvl w:ilvl="0">
      <w:start w:val="1"/>
      <w:numFmt w:val="decimal"/>
      <w:lvlText w:val="%1-"/>
      <w:lvlJc w:val="left"/>
      <w:pPr>
        <w:tabs>
          <w:tab w:val="num" w:pos="660"/>
        </w:tabs>
        <w:ind w:left="660" w:hanging="360"/>
      </w:pPr>
      <w:rPr>
        <w:rFonts w:hint="default"/>
      </w:rPr>
    </w:lvl>
  </w:abstractNum>
  <w:abstractNum w:abstractNumId="161">
    <w:nsid w:val="59D6343E"/>
    <w:multiLevelType w:val="singleLevel"/>
    <w:tmpl w:val="56323822"/>
    <w:lvl w:ilvl="0">
      <w:numFmt w:val="bullet"/>
      <w:lvlText w:val="-"/>
      <w:lvlJc w:val="left"/>
      <w:pPr>
        <w:tabs>
          <w:tab w:val="num" w:pos="360"/>
        </w:tabs>
        <w:ind w:left="357" w:hanging="357"/>
      </w:pPr>
      <w:rPr>
        <w:rFonts w:hint="default"/>
      </w:rPr>
    </w:lvl>
  </w:abstractNum>
  <w:abstractNum w:abstractNumId="162">
    <w:nsid w:val="59ED1A90"/>
    <w:multiLevelType w:val="singleLevel"/>
    <w:tmpl w:val="5DDE8238"/>
    <w:lvl w:ilvl="0">
      <w:start w:val="1"/>
      <w:numFmt w:val="decimal"/>
      <w:lvlText w:val="%1-"/>
      <w:lvlJc w:val="left"/>
      <w:pPr>
        <w:tabs>
          <w:tab w:val="num" w:pos="360"/>
        </w:tabs>
        <w:ind w:left="360" w:hanging="360"/>
      </w:pPr>
      <w:rPr>
        <w:rFonts w:hint="default"/>
      </w:rPr>
    </w:lvl>
  </w:abstractNum>
  <w:abstractNum w:abstractNumId="163">
    <w:nsid w:val="5A2E607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64">
    <w:nsid w:val="5AC45B07"/>
    <w:multiLevelType w:val="singleLevel"/>
    <w:tmpl w:val="CE427546"/>
    <w:lvl w:ilvl="0">
      <w:start w:val="1"/>
      <w:numFmt w:val="upperLetter"/>
      <w:lvlText w:val="%1-"/>
      <w:lvlJc w:val="left"/>
      <w:pPr>
        <w:tabs>
          <w:tab w:val="num" w:pos="540"/>
        </w:tabs>
        <w:ind w:left="540" w:hanging="540"/>
      </w:pPr>
      <w:rPr>
        <w:rFonts w:hint="default"/>
      </w:rPr>
    </w:lvl>
  </w:abstractNum>
  <w:abstractNum w:abstractNumId="165">
    <w:nsid w:val="5ACE5698"/>
    <w:multiLevelType w:val="singleLevel"/>
    <w:tmpl w:val="56323822"/>
    <w:lvl w:ilvl="0">
      <w:numFmt w:val="bullet"/>
      <w:lvlText w:val="-"/>
      <w:lvlJc w:val="left"/>
      <w:pPr>
        <w:tabs>
          <w:tab w:val="num" w:pos="360"/>
        </w:tabs>
        <w:ind w:left="357" w:hanging="357"/>
      </w:pPr>
      <w:rPr>
        <w:rFonts w:hint="default"/>
      </w:rPr>
    </w:lvl>
  </w:abstractNum>
  <w:abstractNum w:abstractNumId="166">
    <w:nsid w:val="5AF8294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67">
    <w:nsid w:val="5B330801"/>
    <w:multiLevelType w:val="hybridMultilevel"/>
    <w:tmpl w:val="73E6C24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8">
    <w:nsid w:val="5B7A24BE"/>
    <w:multiLevelType w:val="singleLevel"/>
    <w:tmpl w:val="A5A43434"/>
    <w:lvl w:ilvl="0">
      <w:numFmt w:val="bullet"/>
      <w:lvlText w:val="-"/>
      <w:lvlJc w:val="left"/>
      <w:pPr>
        <w:tabs>
          <w:tab w:val="num" w:pos="1211"/>
        </w:tabs>
        <w:ind w:left="1211" w:hanging="360"/>
      </w:pPr>
      <w:rPr>
        <w:rFonts w:hint="default"/>
      </w:rPr>
    </w:lvl>
  </w:abstractNum>
  <w:abstractNum w:abstractNumId="169">
    <w:nsid w:val="5BE3594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0">
    <w:nsid w:val="5CD82659"/>
    <w:multiLevelType w:val="singleLevel"/>
    <w:tmpl w:val="CC6A9922"/>
    <w:lvl w:ilvl="0">
      <w:start w:val="1"/>
      <w:numFmt w:val="lowerLetter"/>
      <w:lvlText w:val="%1)"/>
      <w:lvlJc w:val="left"/>
      <w:pPr>
        <w:tabs>
          <w:tab w:val="num" w:pos="360"/>
        </w:tabs>
        <w:ind w:left="360" w:hanging="360"/>
      </w:pPr>
      <w:rPr>
        <w:rFonts w:hint="default"/>
      </w:rPr>
    </w:lvl>
  </w:abstractNum>
  <w:abstractNum w:abstractNumId="171">
    <w:nsid w:val="5CE57910"/>
    <w:multiLevelType w:val="singleLevel"/>
    <w:tmpl w:val="6CC43C80"/>
    <w:lvl w:ilvl="0">
      <w:start w:val="1"/>
      <w:numFmt w:val="upperRoman"/>
      <w:lvlText w:val="%1-"/>
      <w:lvlJc w:val="left"/>
      <w:pPr>
        <w:tabs>
          <w:tab w:val="num" w:pos="720"/>
        </w:tabs>
        <w:ind w:left="720" w:hanging="720"/>
      </w:pPr>
      <w:rPr>
        <w:rFonts w:hint="default"/>
      </w:rPr>
    </w:lvl>
  </w:abstractNum>
  <w:abstractNum w:abstractNumId="172">
    <w:nsid w:val="5DF84E7A"/>
    <w:multiLevelType w:val="singleLevel"/>
    <w:tmpl w:val="56323822"/>
    <w:lvl w:ilvl="0">
      <w:numFmt w:val="bullet"/>
      <w:lvlText w:val="-"/>
      <w:lvlJc w:val="left"/>
      <w:pPr>
        <w:tabs>
          <w:tab w:val="num" w:pos="360"/>
        </w:tabs>
        <w:ind w:left="357" w:hanging="357"/>
      </w:pPr>
      <w:rPr>
        <w:rFonts w:hint="default"/>
      </w:rPr>
    </w:lvl>
  </w:abstractNum>
  <w:abstractNum w:abstractNumId="173">
    <w:nsid w:val="5E0B2725"/>
    <w:multiLevelType w:val="singleLevel"/>
    <w:tmpl w:val="56323822"/>
    <w:lvl w:ilvl="0">
      <w:numFmt w:val="bullet"/>
      <w:lvlText w:val="-"/>
      <w:lvlJc w:val="left"/>
      <w:pPr>
        <w:tabs>
          <w:tab w:val="num" w:pos="360"/>
        </w:tabs>
        <w:ind w:left="357" w:hanging="357"/>
      </w:pPr>
      <w:rPr>
        <w:rFonts w:hint="default"/>
      </w:rPr>
    </w:lvl>
  </w:abstractNum>
  <w:abstractNum w:abstractNumId="174">
    <w:nsid w:val="5E5A5A24"/>
    <w:multiLevelType w:val="singleLevel"/>
    <w:tmpl w:val="56323822"/>
    <w:lvl w:ilvl="0">
      <w:numFmt w:val="bullet"/>
      <w:lvlText w:val="-"/>
      <w:lvlJc w:val="left"/>
      <w:pPr>
        <w:tabs>
          <w:tab w:val="num" w:pos="360"/>
        </w:tabs>
        <w:ind w:left="357" w:hanging="357"/>
      </w:pPr>
      <w:rPr>
        <w:rFonts w:hint="default"/>
      </w:rPr>
    </w:lvl>
  </w:abstractNum>
  <w:abstractNum w:abstractNumId="175">
    <w:nsid w:val="5EBC2DC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6">
    <w:nsid w:val="5F0D4F1D"/>
    <w:multiLevelType w:val="singleLevel"/>
    <w:tmpl w:val="CC6A9922"/>
    <w:lvl w:ilvl="0">
      <w:start w:val="1"/>
      <w:numFmt w:val="lowerLetter"/>
      <w:lvlText w:val="%1)"/>
      <w:lvlJc w:val="left"/>
      <w:pPr>
        <w:tabs>
          <w:tab w:val="num" w:pos="360"/>
        </w:tabs>
        <w:ind w:left="360" w:hanging="360"/>
      </w:pPr>
      <w:rPr>
        <w:rFonts w:hint="default"/>
      </w:rPr>
    </w:lvl>
  </w:abstractNum>
  <w:abstractNum w:abstractNumId="177">
    <w:nsid w:val="5FDD5B9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8">
    <w:nsid w:val="60D8078B"/>
    <w:multiLevelType w:val="multilevel"/>
    <w:tmpl w:val="16C86A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9">
    <w:nsid w:val="625105E3"/>
    <w:multiLevelType w:val="singleLevel"/>
    <w:tmpl w:val="EBD25D34"/>
    <w:lvl w:ilvl="0">
      <w:start w:val="1"/>
      <w:numFmt w:val="decimal"/>
      <w:lvlText w:val="%1-"/>
      <w:lvlJc w:val="left"/>
      <w:pPr>
        <w:tabs>
          <w:tab w:val="num" w:pos="360"/>
        </w:tabs>
        <w:ind w:left="360" w:hanging="360"/>
      </w:pPr>
    </w:lvl>
  </w:abstractNum>
  <w:abstractNum w:abstractNumId="180">
    <w:nsid w:val="62F7770F"/>
    <w:multiLevelType w:val="singleLevel"/>
    <w:tmpl w:val="56323822"/>
    <w:lvl w:ilvl="0">
      <w:numFmt w:val="bullet"/>
      <w:lvlText w:val="-"/>
      <w:lvlJc w:val="left"/>
      <w:pPr>
        <w:tabs>
          <w:tab w:val="num" w:pos="360"/>
        </w:tabs>
        <w:ind w:left="357" w:hanging="357"/>
      </w:pPr>
      <w:rPr>
        <w:rFonts w:hint="default"/>
      </w:rPr>
    </w:lvl>
  </w:abstractNum>
  <w:abstractNum w:abstractNumId="181">
    <w:nsid w:val="641831B2"/>
    <w:multiLevelType w:val="multilevel"/>
    <w:tmpl w:val="8EAE54F6"/>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182">
    <w:nsid w:val="64E62071"/>
    <w:multiLevelType w:val="singleLevel"/>
    <w:tmpl w:val="5E4ACC46"/>
    <w:lvl w:ilvl="0">
      <w:start w:val="1"/>
      <w:numFmt w:val="lowerLetter"/>
      <w:lvlText w:val="%1)"/>
      <w:lvlJc w:val="left"/>
      <w:pPr>
        <w:tabs>
          <w:tab w:val="num" w:pos="360"/>
        </w:tabs>
        <w:ind w:left="360" w:hanging="360"/>
      </w:pPr>
      <w:rPr>
        <w:rFonts w:hint="default"/>
      </w:rPr>
    </w:lvl>
  </w:abstractNum>
  <w:abstractNum w:abstractNumId="183">
    <w:nsid w:val="65512E0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84">
    <w:nsid w:val="66A05251"/>
    <w:multiLevelType w:val="singleLevel"/>
    <w:tmpl w:val="CC6A9922"/>
    <w:lvl w:ilvl="0">
      <w:start w:val="1"/>
      <w:numFmt w:val="lowerLetter"/>
      <w:lvlText w:val="%1)"/>
      <w:lvlJc w:val="left"/>
      <w:pPr>
        <w:tabs>
          <w:tab w:val="num" w:pos="360"/>
        </w:tabs>
        <w:ind w:left="360" w:hanging="360"/>
      </w:pPr>
      <w:rPr>
        <w:rFonts w:hint="default"/>
      </w:rPr>
    </w:lvl>
  </w:abstractNum>
  <w:abstractNum w:abstractNumId="185">
    <w:nsid w:val="66B14FC0"/>
    <w:multiLevelType w:val="singleLevel"/>
    <w:tmpl w:val="A5A43434"/>
    <w:lvl w:ilvl="0">
      <w:numFmt w:val="bullet"/>
      <w:lvlText w:val="-"/>
      <w:lvlJc w:val="left"/>
      <w:pPr>
        <w:tabs>
          <w:tab w:val="num" w:pos="1211"/>
        </w:tabs>
        <w:ind w:left="1211" w:hanging="360"/>
      </w:pPr>
      <w:rPr>
        <w:rFonts w:hint="default"/>
      </w:rPr>
    </w:lvl>
  </w:abstractNum>
  <w:abstractNum w:abstractNumId="186">
    <w:nsid w:val="672D6E4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87">
    <w:nsid w:val="67905B6B"/>
    <w:multiLevelType w:val="singleLevel"/>
    <w:tmpl w:val="45B00012"/>
    <w:lvl w:ilvl="0">
      <w:start w:val="1"/>
      <w:numFmt w:val="bullet"/>
      <w:lvlText w:val=""/>
      <w:lvlJc w:val="left"/>
      <w:pPr>
        <w:tabs>
          <w:tab w:val="num" w:pos="360"/>
        </w:tabs>
        <w:ind w:left="360" w:hanging="360"/>
      </w:pPr>
      <w:rPr>
        <w:rFonts w:ascii="Symbol" w:hAnsi="Symbol" w:hint="default"/>
      </w:rPr>
    </w:lvl>
  </w:abstractNum>
  <w:abstractNum w:abstractNumId="188">
    <w:nsid w:val="67A90A25"/>
    <w:multiLevelType w:val="singleLevel"/>
    <w:tmpl w:val="EBD25D34"/>
    <w:lvl w:ilvl="0">
      <w:start w:val="1"/>
      <w:numFmt w:val="decimal"/>
      <w:lvlText w:val="%1-"/>
      <w:lvlJc w:val="left"/>
      <w:pPr>
        <w:tabs>
          <w:tab w:val="num" w:pos="360"/>
        </w:tabs>
        <w:ind w:left="360" w:hanging="360"/>
      </w:pPr>
    </w:lvl>
  </w:abstractNum>
  <w:abstractNum w:abstractNumId="189">
    <w:nsid w:val="68BA7D4A"/>
    <w:multiLevelType w:val="hybridMultilevel"/>
    <w:tmpl w:val="A0C67D7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0">
    <w:nsid w:val="68C648AC"/>
    <w:multiLevelType w:val="singleLevel"/>
    <w:tmpl w:val="CE60E60A"/>
    <w:lvl w:ilvl="0">
      <w:start w:val="1"/>
      <w:numFmt w:val="lowerLetter"/>
      <w:lvlText w:val="%1-"/>
      <w:lvlJc w:val="left"/>
      <w:pPr>
        <w:tabs>
          <w:tab w:val="num" w:pos="360"/>
        </w:tabs>
        <w:ind w:left="360" w:hanging="360"/>
      </w:pPr>
      <w:rPr>
        <w:rFonts w:hint="default"/>
      </w:rPr>
    </w:lvl>
  </w:abstractNum>
  <w:abstractNum w:abstractNumId="191">
    <w:nsid w:val="692B6A81"/>
    <w:multiLevelType w:val="hybridMultilevel"/>
    <w:tmpl w:val="3B9299F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2">
    <w:nsid w:val="694B2C2A"/>
    <w:multiLevelType w:val="singleLevel"/>
    <w:tmpl w:val="1D664B30"/>
    <w:lvl w:ilvl="0">
      <w:start w:val="1"/>
      <w:numFmt w:val="upperRoman"/>
      <w:lvlText w:val="%1-"/>
      <w:lvlJc w:val="left"/>
      <w:pPr>
        <w:tabs>
          <w:tab w:val="num" w:pos="720"/>
        </w:tabs>
        <w:ind w:left="720" w:hanging="720"/>
      </w:pPr>
      <w:rPr>
        <w:rFonts w:hint="default"/>
      </w:rPr>
    </w:lvl>
  </w:abstractNum>
  <w:abstractNum w:abstractNumId="193">
    <w:nsid w:val="6A423A4A"/>
    <w:multiLevelType w:val="singleLevel"/>
    <w:tmpl w:val="A5A43434"/>
    <w:lvl w:ilvl="0">
      <w:numFmt w:val="bullet"/>
      <w:lvlText w:val="-"/>
      <w:lvlJc w:val="left"/>
      <w:pPr>
        <w:tabs>
          <w:tab w:val="num" w:pos="1211"/>
        </w:tabs>
        <w:ind w:left="1211" w:hanging="360"/>
      </w:pPr>
      <w:rPr>
        <w:rFonts w:hint="default"/>
      </w:rPr>
    </w:lvl>
  </w:abstractNum>
  <w:abstractNum w:abstractNumId="194">
    <w:nsid w:val="6BCE1843"/>
    <w:multiLevelType w:val="singleLevel"/>
    <w:tmpl w:val="B0A2A73C"/>
    <w:lvl w:ilvl="0">
      <w:start w:val="3"/>
      <w:numFmt w:val="bullet"/>
      <w:lvlText w:val="-"/>
      <w:lvlJc w:val="left"/>
      <w:pPr>
        <w:tabs>
          <w:tab w:val="num" w:pos="360"/>
        </w:tabs>
        <w:ind w:left="360" w:hanging="360"/>
      </w:pPr>
      <w:rPr>
        <w:rFonts w:hint="default"/>
      </w:rPr>
    </w:lvl>
  </w:abstractNum>
  <w:abstractNum w:abstractNumId="195">
    <w:nsid w:val="6C426482"/>
    <w:multiLevelType w:val="singleLevel"/>
    <w:tmpl w:val="56323822"/>
    <w:lvl w:ilvl="0">
      <w:numFmt w:val="bullet"/>
      <w:lvlText w:val="-"/>
      <w:lvlJc w:val="left"/>
      <w:pPr>
        <w:tabs>
          <w:tab w:val="num" w:pos="360"/>
        </w:tabs>
        <w:ind w:left="357" w:hanging="357"/>
      </w:pPr>
      <w:rPr>
        <w:rFonts w:hint="default"/>
      </w:rPr>
    </w:lvl>
  </w:abstractNum>
  <w:abstractNum w:abstractNumId="196">
    <w:nsid w:val="6C816ACE"/>
    <w:multiLevelType w:val="singleLevel"/>
    <w:tmpl w:val="50B24FDA"/>
    <w:lvl w:ilvl="0">
      <w:start w:val="1"/>
      <w:numFmt w:val="lowerLetter"/>
      <w:lvlText w:val="%1-"/>
      <w:lvlJc w:val="left"/>
      <w:pPr>
        <w:tabs>
          <w:tab w:val="num" w:pos="360"/>
        </w:tabs>
        <w:ind w:left="360" w:hanging="360"/>
      </w:pPr>
      <w:rPr>
        <w:rFonts w:hint="default"/>
      </w:rPr>
    </w:lvl>
  </w:abstractNum>
  <w:abstractNum w:abstractNumId="197">
    <w:nsid w:val="6C984D8F"/>
    <w:multiLevelType w:val="singleLevel"/>
    <w:tmpl w:val="B0A2A73C"/>
    <w:lvl w:ilvl="0">
      <w:start w:val="3"/>
      <w:numFmt w:val="bullet"/>
      <w:lvlText w:val="-"/>
      <w:lvlJc w:val="left"/>
      <w:pPr>
        <w:tabs>
          <w:tab w:val="num" w:pos="360"/>
        </w:tabs>
        <w:ind w:left="360" w:hanging="360"/>
      </w:pPr>
      <w:rPr>
        <w:rFonts w:hint="default"/>
      </w:rPr>
    </w:lvl>
  </w:abstractNum>
  <w:abstractNum w:abstractNumId="198">
    <w:nsid w:val="6CD149A2"/>
    <w:multiLevelType w:val="singleLevel"/>
    <w:tmpl w:val="3B34BA9E"/>
    <w:lvl w:ilvl="0">
      <w:start w:val="1"/>
      <w:numFmt w:val="bullet"/>
      <w:lvlText w:val=""/>
      <w:lvlJc w:val="left"/>
      <w:pPr>
        <w:tabs>
          <w:tab w:val="num" w:pos="360"/>
        </w:tabs>
        <w:ind w:left="360" w:hanging="360"/>
      </w:pPr>
      <w:rPr>
        <w:rFonts w:ascii="Symbol" w:hAnsi="Symbol" w:hint="default"/>
      </w:rPr>
    </w:lvl>
  </w:abstractNum>
  <w:abstractNum w:abstractNumId="199">
    <w:nsid w:val="6D2029BF"/>
    <w:multiLevelType w:val="singleLevel"/>
    <w:tmpl w:val="45B00012"/>
    <w:lvl w:ilvl="0">
      <w:start w:val="1"/>
      <w:numFmt w:val="bullet"/>
      <w:lvlText w:val=""/>
      <w:lvlJc w:val="left"/>
      <w:pPr>
        <w:tabs>
          <w:tab w:val="num" w:pos="360"/>
        </w:tabs>
        <w:ind w:left="360" w:hanging="360"/>
      </w:pPr>
      <w:rPr>
        <w:rFonts w:ascii="Symbol" w:hAnsi="Symbol" w:hint="default"/>
      </w:rPr>
    </w:lvl>
  </w:abstractNum>
  <w:abstractNum w:abstractNumId="200">
    <w:nsid w:val="6F5D0A12"/>
    <w:multiLevelType w:val="singleLevel"/>
    <w:tmpl w:val="03A2A6EE"/>
    <w:lvl w:ilvl="0">
      <w:start w:val="1"/>
      <w:numFmt w:val="decimal"/>
      <w:lvlText w:val="%1-"/>
      <w:lvlJc w:val="left"/>
      <w:pPr>
        <w:tabs>
          <w:tab w:val="num" w:pos="360"/>
        </w:tabs>
        <w:ind w:left="360" w:hanging="360"/>
      </w:pPr>
      <w:rPr>
        <w:rFonts w:hint="default"/>
      </w:rPr>
    </w:lvl>
  </w:abstractNum>
  <w:abstractNum w:abstractNumId="201">
    <w:nsid w:val="6FF970F0"/>
    <w:multiLevelType w:val="singleLevel"/>
    <w:tmpl w:val="A5A43434"/>
    <w:lvl w:ilvl="0">
      <w:numFmt w:val="bullet"/>
      <w:lvlText w:val="-"/>
      <w:lvlJc w:val="left"/>
      <w:pPr>
        <w:tabs>
          <w:tab w:val="num" w:pos="1211"/>
        </w:tabs>
        <w:ind w:left="1211" w:hanging="360"/>
      </w:pPr>
      <w:rPr>
        <w:rFonts w:hint="default"/>
      </w:rPr>
    </w:lvl>
  </w:abstractNum>
  <w:abstractNum w:abstractNumId="202">
    <w:nsid w:val="71372A57"/>
    <w:multiLevelType w:val="singleLevel"/>
    <w:tmpl w:val="56323822"/>
    <w:lvl w:ilvl="0">
      <w:numFmt w:val="bullet"/>
      <w:lvlText w:val="-"/>
      <w:lvlJc w:val="left"/>
      <w:pPr>
        <w:tabs>
          <w:tab w:val="num" w:pos="360"/>
        </w:tabs>
        <w:ind w:left="357" w:hanging="357"/>
      </w:pPr>
      <w:rPr>
        <w:rFonts w:hint="default"/>
      </w:rPr>
    </w:lvl>
  </w:abstractNum>
  <w:abstractNum w:abstractNumId="203">
    <w:nsid w:val="72C824B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04">
    <w:nsid w:val="72CC5EF7"/>
    <w:multiLevelType w:val="singleLevel"/>
    <w:tmpl w:val="D7EE59E4"/>
    <w:lvl w:ilvl="0">
      <w:start w:val="1"/>
      <w:numFmt w:val="upperLetter"/>
      <w:lvlText w:val="%1-"/>
      <w:lvlJc w:val="left"/>
      <w:pPr>
        <w:tabs>
          <w:tab w:val="num" w:pos="360"/>
        </w:tabs>
        <w:ind w:left="360" w:hanging="360"/>
      </w:pPr>
      <w:rPr>
        <w:rFonts w:hint="default"/>
      </w:rPr>
    </w:lvl>
  </w:abstractNum>
  <w:abstractNum w:abstractNumId="205">
    <w:nsid w:val="73612393"/>
    <w:multiLevelType w:val="singleLevel"/>
    <w:tmpl w:val="1012F242"/>
    <w:lvl w:ilvl="0">
      <w:start w:val="2"/>
      <w:numFmt w:val="bullet"/>
      <w:lvlText w:val="-"/>
      <w:lvlJc w:val="left"/>
      <w:pPr>
        <w:tabs>
          <w:tab w:val="num" w:pos="615"/>
        </w:tabs>
        <w:ind w:left="615" w:hanging="360"/>
      </w:pPr>
      <w:rPr>
        <w:rFonts w:ascii="Times New Roman" w:hAnsi="Times New Roman" w:hint="default"/>
      </w:rPr>
    </w:lvl>
  </w:abstractNum>
  <w:abstractNum w:abstractNumId="206">
    <w:nsid w:val="73794B42"/>
    <w:multiLevelType w:val="singleLevel"/>
    <w:tmpl w:val="45B00012"/>
    <w:lvl w:ilvl="0">
      <w:start w:val="1"/>
      <w:numFmt w:val="bullet"/>
      <w:lvlText w:val=""/>
      <w:lvlJc w:val="left"/>
      <w:pPr>
        <w:tabs>
          <w:tab w:val="num" w:pos="360"/>
        </w:tabs>
        <w:ind w:left="360" w:hanging="360"/>
      </w:pPr>
      <w:rPr>
        <w:rFonts w:ascii="Symbol" w:hAnsi="Symbol" w:hint="default"/>
      </w:rPr>
    </w:lvl>
  </w:abstractNum>
  <w:abstractNum w:abstractNumId="207">
    <w:nsid w:val="740D7653"/>
    <w:multiLevelType w:val="singleLevel"/>
    <w:tmpl w:val="040C000F"/>
    <w:lvl w:ilvl="0">
      <w:start w:val="1"/>
      <w:numFmt w:val="decimal"/>
      <w:lvlText w:val="%1."/>
      <w:lvlJc w:val="left"/>
      <w:pPr>
        <w:tabs>
          <w:tab w:val="num" w:pos="360"/>
        </w:tabs>
        <w:ind w:left="360" w:hanging="360"/>
      </w:pPr>
    </w:lvl>
  </w:abstractNum>
  <w:abstractNum w:abstractNumId="208">
    <w:nsid w:val="74634AEB"/>
    <w:multiLevelType w:val="singleLevel"/>
    <w:tmpl w:val="040C000F"/>
    <w:lvl w:ilvl="0">
      <w:start w:val="1"/>
      <w:numFmt w:val="decimal"/>
      <w:lvlText w:val="%1."/>
      <w:lvlJc w:val="left"/>
      <w:pPr>
        <w:tabs>
          <w:tab w:val="num" w:pos="360"/>
        </w:tabs>
        <w:ind w:left="360" w:hanging="360"/>
      </w:pPr>
    </w:lvl>
  </w:abstractNum>
  <w:abstractNum w:abstractNumId="209">
    <w:nsid w:val="763944B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10">
    <w:nsid w:val="76BC4AA6"/>
    <w:multiLevelType w:val="singleLevel"/>
    <w:tmpl w:val="56323822"/>
    <w:lvl w:ilvl="0">
      <w:numFmt w:val="bullet"/>
      <w:lvlText w:val="-"/>
      <w:lvlJc w:val="left"/>
      <w:pPr>
        <w:tabs>
          <w:tab w:val="num" w:pos="360"/>
        </w:tabs>
        <w:ind w:left="357" w:hanging="357"/>
      </w:pPr>
      <w:rPr>
        <w:rFonts w:hint="default"/>
      </w:rPr>
    </w:lvl>
  </w:abstractNum>
  <w:abstractNum w:abstractNumId="211">
    <w:nsid w:val="7749086F"/>
    <w:multiLevelType w:val="singleLevel"/>
    <w:tmpl w:val="8C087F86"/>
    <w:lvl w:ilvl="0">
      <w:start w:val="1"/>
      <w:numFmt w:val="lowerLetter"/>
      <w:lvlText w:val="%1)"/>
      <w:lvlJc w:val="left"/>
      <w:pPr>
        <w:tabs>
          <w:tab w:val="num" w:pos="360"/>
        </w:tabs>
        <w:ind w:left="360" w:hanging="360"/>
      </w:pPr>
      <w:rPr>
        <w:rFonts w:hint="default"/>
      </w:rPr>
    </w:lvl>
  </w:abstractNum>
  <w:abstractNum w:abstractNumId="212">
    <w:nsid w:val="776E15D6"/>
    <w:multiLevelType w:val="singleLevel"/>
    <w:tmpl w:val="97703886"/>
    <w:lvl w:ilvl="0">
      <w:start w:val="1"/>
      <w:numFmt w:val="upperLetter"/>
      <w:lvlText w:val="%1-"/>
      <w:lvlJc w:val="left"/>
      <w:pPr>
        <w:tabs>
          <w:tab w:val="num" w:pos="360"/>
        </w:tabs>
        <w:ind w:left="360" w:hanging="360"/>
      </w:pPr>
      <w:rPr>
        <w:rFonts w:hint="default"/>
      </w:rPr>
    </w:lvl>
  </w:abstractNum>
  <w:abstractNum w:abstractNumId="213">
    <w:nsid w:val="77C212C8"/>
    <w:multiLevelType w:val="singleLevel"/>
    <w:tmpl w:val="56323822"/>
    <w:lvl w:ilvl="0">
      <w:numFmt w:val="bullet"/>
      <w:lvlText w:val="-"/>
      <w:lvlJc w:val="left"/>
      <w:pPr>
        <w:tabs>
          <w:tab w:val="num" w:pos="360"/>
        </w:tabs>
        <w:ind w:left="357" w:hanging="357"/>
      </w:pPr>
      <w:rPr>
        <w:rFonts w:hint="default"/>
      </w:rPr>
    </w:lvl>
  </w:abstractNum>
  <w:abstractNum w:abstractNumId="214">
    <w:nsid w:val="77F82592"/>
    <w:multiLevelType w:val="singleLevel"/>
    <w:tmpl w:val="56323822"/>
    <w:lvl w:ilvl="0">
      <w:numFmt w:val="bullet"/>
      <w:lvlText w:val="-"/>
      <w:lvlJc w:val="left"/>
      <w:pPr>
        <w:tabs>
          <w:tab w:val="num" w:pos="360"/>
        </w:tabs>
        <w:ind w:left="357" w:hanging="357"/>
      </w:pPr>
      <w:rPr>
        <w:rFonts w:hint="default"/>
      </w:rPr>
    </w:lvl>
  </w:abstractNum>
  <w:abstractNum w:abstractNumId="215">
    <w:nsid w:val="78970804"/>
    <w:multiLevelType w:val="singleLevel"/>
    <w:tmpl w:val="56323822"/>
    <w:lvl w:ilvl="0">
      <w:numFmt w:val="bullet"/>
      <w:lvlText w:val="-"/>
      <w:lvlJc w:val="left"/>
      <w:pPr>
        <w:tabs>
          <w:tab w:val="num" w:pos="360"/>
        </w:tabs>
        <w:ind w:left="357" w:hanging="357"/>
      </w:pPr>
      <w:rPr>
        <w:rFonts w:hint="default"/>
      </w:rPr>
    </w:lvl>
  </w:abstractNum>
  <w:abstractNum w:abstractNumId="216">
    <w:nsid w:val="798416C4"/>
    <w:multiLevelType w:val="singleLevel"/>
    <w:tmpl w:val="56323822"/>
    <w:lvl w:ilvl="0">
      <w:numFmt w:val="bullet"/>
      <w:lvlText w:val="-"/>
      <w:lvlJc w:val="left"/>
      <w:pPr>
        <w:tabs>
          <w:tab w:val="num" w:pos="360"/>
        </w:tabs>
        <w:ind w:left="357" w:hanging="357"/>
      </w:pPr>
      <w:rPr>
        <w:rFonts w:hint="default"/>
      </w:rPr>
    </w:lvl>
  </w:abstractNum>
  <w:abstractNum w:abstractNumId="217">
    <w:nsid w:val="79B90BEE"/>
    <w:multiLevelType w:val="singleLevel"/>
    <w:tmpl w:val="C98ED8DC"/>
    <w:lvl w:ilvl="0">
      <w:start w:val="1"/>
      <w:numFmt w:val="lowerLetter"/>
      <w:lvlText w:val="%1-"/>
      <w:lvlJc w:val="left"/>
      <w:pPr>
        <w:tabs>
          <w:tab w:val="num" w:pos="360"/>
        </w:tabs>
        <w:ind w:left="360" w:hanging="360"/>
      </w:pPr>
      <w:rPr>
        <w:rFonts w:hint="default"/>
      </w:rPr>
    </w:lvl>
  </w:abstractNum>
  <w:abstractNum w:abstractNumId="218">
    <w:nsid w:val="7B536FB5"/>
    <w:multiLevelType w:val="singleLevel"/>
    <w:tmpl w:val="56323822"/>
    <w:lvl w:ilvl="0">
      <w:numFmt w:val="bullet"/>
      <w:lvlText w:val="-"/>
      <w:lvlJc w:val="left"/>
      <w:pPr>
        <w:tabs>
          <w:tab w:val="num" w:pos="360"/>
        </w:tabs>
        <w:ind w:left="357" w:hanging="357"/>
      </w:pPr>
      <w:rPr>
        <w:rFonts w:hint="default"/>
      </w:rPr>
    </w:lvl>
  </w:abstractNum>
  <w:abstractNum w:abstractNumId="219">
    <w:nsid w:val="7CA51D25"/>
    <w:multiLevelType w:val="singleLevel"/>
    <w:tmpl w:val="5846E476"/>
    <w:lvl w:ilvl="0">
      <w:start w:val="1"/>
      <w:numFmt w:val="bullet"/>
      <w:lvlText w:val=""/>
      <w:lvlJc w:val="left"/>
      <w:pPr>
        <w:tabs>
          <w:tab w:val="num" w:pos="360"/>
        </w:tabs>
        <w:ind w:left="360" w:hanging="360"/>
      </w:pPr>
      <w:rPr>
        <w:rFonts w:ascii="Symbol" w:hAnsi="Symbol" w:hint="default"/>
      </w:rPr>
    </w:lvl>
  </w:abstractNum>
  <w:abstractNum w:abstractNumId="220">
    <w:nsid w:val="7CC20477"/>
    <w:multiLevelType w:val="singleLevel"/>
    <w:tmpl w:val="56323822"/>
    <w:lvl w:ilvl="0">
      <w:numFmt w:val="bullet"/>
      <w:lvlText w:val="-"/>
      <w:lvlJc w:val="left"/>
      <w:pPr>
        <w:tabs>
          <w:tab w:val="num" w:pos="360"/>
        </w:tabs>
        <w:ind w:left="357" w:hanging="357"/>
      </w:pPr>
      <w:rPr>
        <w:rFonts w:hint="default"/>
      </w:rPr>
    </w:lvl>
  </w:abstractNum>
  <w:abstractNum w:abstractNumId="221">
    <w:nsid w:val="7CD70FA4"/>
    <w:multiLevelType w:val="singleLevel"/>
    <w:tmpl w:val="56323822"/>
    <w:lvl w:ilvl="0">
      <w:numFmt w:val="bullet"/>
      <w:lvlText w:val="-"/>
      <w:lvlJc w:val="left"/>
      <w:pPr>
        <w:tabs>
          <w:tab w:val="num" w:pos="360"/>
        </w:tabs>
        <w:ind w:left="357" w:hanging="357"/>
      </w:pPr>
      <w:rPr>
        <w:rFonts w:hint="default"/>
      </w:rPr>
    </w:lvl>
  </w:abstractNum>
  <w:abstractNum w:abstractNumId="222">
    <w:nsid w:val="7D270D8F"/>
    <w:multiLevelType w:val="singleLevel"/>
    <w:tmpl w:val="415849FA"/>
    <w:lvl w:ilvl="0">
      <w:numFmt w:val="bullet"/>
      <w:lvlText w:val="-"/>
      <w:lvlJc w:val="left"/>
      <w:pPr>
        <w:tabs>
          <w:tab w:val="num" w:pos="360"/>
        </w:tabs>
        <w:ind w:left="360" w:hanging="360"/>
      </w:pPr>
      <w:rPr>
        <w:rFonts w:hint="default"/>
      </w:rPr>
    </w:lvl>
  </w:abstractNum>
  <w:abstractNum w:abstractNumId="223">
    <w:nsid w:val="7D544D34"/>
    <w:multiLevelType w:val="singleLevel"/>
    <w:tmpl w:val="A5A43434"/>
    <w:lvl w:ilvl="0">
      <w:numFmt w:val="bullet"/>
      <w:lvlText w:val="-"/>
      <w:lvlJc w:val="left"/>
      <w:pPr>
        <w:tabs>
          <w:tab w:val="num" w:pos="1211"/>
        </w:tabs>
        <w:ind w:left="1211" w:hanging="360"/>
      </w:pPr>
      <w:rPr>
        <w:rFonts w:hint="default"/>
      </w:rPr>
    </w:lvl>
  </w:abstractNum>
  <w:abstractNum w:abstractNumId="224">
    <w:nsid w:val="7D8D5462"/>
    <w:multiLevelType w:val="singleLevel"/>
    <w:tmpl w:val="56323822"/>
    <w:lvl w:ilvl="0">
      <w:numFmt w:val="bullet"/>
      <w:lvlText w:val="-"/>
      <w:lvlJc w:val="left"/>
      <w:pPr>
        <w:tabs>
          <w:tab w:val="num" w:pos="360"/>
        </w:tabs>
        <w:ind w:left="357" w:hanging="357"/>
      </w:pPr>
      <w:rPr>
        <w:rFonts w:hint="default"/>
      </w:rPr>
    </w:lvl>
  </w:abstractNum>
  <w:abstractNum w:abstractNumId="225">
    <w:nsid w:val="7E4A3C55"/>
    <w:multiLevelType w:val="hybridMultilevel"/>
    <w:tmpl w:val="6DE8E62C"/>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6">
    <w:nsid w:val="7EE73933"/>
    <w:multiLevelType w:val="multilevel"/>
    <w:tmpl w:val="5464E334"/>
    <w:lvl w:ilvl="0">
      <w:start w:val="16"/>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7">
    <w:nsid w:val="7EFB27A6"/>
    <w:multiLevelType w:val="singleLevel"/>
    <w:tmpl w:val="415849FA"/>
    <w:lvl w:ilvl="0">
      <w:numFmt w:val="bullet"/>
      <w:lvlText w:val="-"/>
      <w:lvlJc w:val="left"/>
      <w:pPr>
        <w:tabs>
          <w:tab w:val="num" w:pos="360"/>
        </w:tabs>
        <w:ind w:left="360" w:hanging="360"/>
      </w:pPr>
      <w:rPr>
        <w:rFonts w:hint="default"/>
      </w:rPr>
    </w:lvl>
  </w:abstractNum>
  <w:abstractNum w:abstractNumId="228">
    <w:nsid w:val="7F4853CD"/>
    <w:multiLevelType w:val="singleLevel"/>
    <w:tmpl w:val="A5A43434"/>
    <w:lvl w:ilvl="0">
      <w:numFmt w:val="bullet"/>
      <w:lvlText w:val="-"/>
      <w:lvlJc w:val="left"/>
      <w:pPr>
        <w:tabs>
          <w:tab w:val="num" w:pos="1211"/>
        </w:tabs>
        <w:ind w:left="1211" w:hanging="360"/>
      </w:pPr>
      <w:rPr>
        <w:rFonts w:hint="default"/>
      </w:rPr>
    </w:lvl>
  </w:abstractNum>
  <w:num w:numId="1">
    <w:abstractNumId w:val="34"/>
  </w:num>
  <w:num w:numId="2">
    <w:abstractNumId w:val="219"/>
  </w:num>
  <w:num w:numId="3">
    <w:abstractNumId w:val="135"/>
  </w:num>
  <w:num w:numId="4">
    <w:abstractNumId w:val="118"/>
  </w:num>
  <w:num w:numId="5">
    <w:abstractNumId w:val="214"/>
  </w:num>
  <w:num w:numId="6">
    <w:abstractNumId w:val="28"/>
  </w:num>
  <w:num w:numId="7">
    <w:abstractNumId w:val="171"/>
  </w:num>
  <w:num w:numId="8">
    <w:abstractNumId w:val="111"/>
  </w:num>
  <w:num w:numId="9">
    <w:abstractNumId w:val="175"/>
  </w:num>
  <w:num w:numId="10">
    <w:abstractNumId w:val="195"/>
  </w:num>
  <w:num w:numId="11">
    <w:abstractNumId w:val="22"/>
  </w:num>
  <w:num w:numId="12">
    <w:abstractNumId w:val="43"/>
  </w:num>
  <w:num w:numId="13">
    <w:abstractNumId w:val="107"/>
  </w:num>
  <w:num w:numId="14">
    <w:abstractNumId w:val="174"/>
  </w:num>
  <w:num w:numId="15">
    <w:abstractNumId w:val="155"/>
  </w:num>
  <w:num w:numId="16">
    <w:abstractNumId w:val="102"/>
  </w:num>
  <w:num w:numId="17">
    <w:abstractNumId w:val="192"/>
  </w:num>
  <w:num w:numId="18">
    <w:abstractNumId w:val="5"/>
  </w:num>
  <w:num w:numId="19">
    <w:abstractNumId w:val="40"/>
  </w:num>
  <w:num w:numId="20">
    <w:abstractNumId w:val="128"/>
  </w:num>
  <w:num w:numId="21">
    <w:abstractNumId w:val="56"/>
  </w:num>
  <w:num w:numId="22">
    <w:abstractNumId w:val="23"/>
  </w:num>
  <w:num w:numId="23">
    <w:abstractNumId w:val="36"/>
  </w:num>
  <w:num w:numId="24">
    <w:abstractNumId w:val="55"/>
  </w:num>
  <w:num w:numId="25">
    <w:abstractNumId w:val="161"/>
  </w:num>
  <w:num w:numId="26">
    <w:abstractNumId w:val="218"/>
  </w:num>
  <w:num w:numId="27">
    <w:abstractNumId w:val="151"/>
  </w:num>
  <w:num w:numId="28">
    <w:abstractNumId w:val="136"/>
  </w:num>
  <w:num w:numId="29">
    <w:abstractNumId w:val="115"/>
  </w:num>
  <w:num w:numId="30">
    <w:abstractNumId w:val="16"/>
  </w:num>
  <w:num w:numId="31">
    <w:abstractNumId w:val="60"/>
  </w:num>
  <w:num w:numId="32">
    <w:abstractNumId w:val="127"/>
  </w:num>
  <w:num w:numId="33">
    <w:abstractNumId w:val="45"/>
  </w:num>
  <w:num w:numId="34">
    <w:abstractNumId w:val="220"/>
  </w:num>
  <w:num w:numId="35">
    <w:abstractNumId w:val="221"/>
  </w:num>
  <w:num w:numId="36">
    <w:abstractNumId w:val="113"/>
  </w:num>
  <w:num w:numId="37">
    <w:abstractNumId w:val="64"/>
  </w:num>
  <w:num w:numId="38">
    <w:abstractNumId w:val="154"/>
  </w:num>
  <w:num w:numId="39">
    <w:abstractNumId w:val="76"/>
  </w:num>
  <w:num w:numId="40">
    <w:abstractNumId w:val="49"/>
  </w:num>
  <w:num w:numId="41">
    <w:abstractNumId w:val="74"/>
  </w:num>
  <w:num w:numId="42">
    <w:abstractNumId w:val="58"/>
  </w:num>
  <w:num w:numId="43">
    <w:abstractNumId w:val="106"/>
  </w:num>
  <w:num w:numId="44">
    <w:abstractNumId w:val="131"/>
  </w:num>
  <w:num w:numId="45">
    <w:abstractNumId w:val="26"/>
  </w:num>
  <w:num w:numId="46">
    <w:abstractNumId w:val="11"/>
  </w:num>
  <w:num w:numId="47">
    <w:abstractNumId w:val="38"/>
  </w:num>
  <w:num w:numId="48">
    <w:abstractNumId w:val="88"/>
  </w:num>
  <w:num w:numId="49">
    <w:abstractNumId w:val="66"/>
  </w:num>
  <w:num w:numId="50">
    <w:abstractNumId w:val="90"/>
  </w:num>
  <w:num w:numId="51">
    <w:abstractNumId w:val="98"/>
  </w:num>
  <w:num w:numId="52">
    <w:abstractNumId w:val="69"/>
  </w:num>
  <w:num w:numId="53">
    <w:abstractNumId w:val="3"/>
  </w:num>
  <w:num w:numId="54">
    <w:abstractNumId w:val="172"/>
  </w:num>
  <w:num w:numId="55">
    <w:abstractNumId w:val="173"/>
  </w:num>
  <w:num w:numId="56">
    <w:abstractNumId w:val="2"/>
  </w:num>
  <w:num w:numId="57">
    <w:abstractNumId w:val="183"/>
  </w:num>
  <w:num w:numId="58">
    <w:abstractNumId w:val="14"/>
  </w:num>
  <w:num w:numId="59">
    <w:abstractNumId w:val="186"/>
  </w:num>
  <w:num w:numId="60">
    <w:abstractNumId w:val="158"/>
  </w:num>
  <w:num w:numId="61">
    <w:abstractNumId w:val="180"/>
  </w:num>
  <w:num w:numId="62">
    <w:abstractNumId w:val="114"/>
  </w:num>
  <w:num w:numId="63">
    <w:abstractNumId w:val="134"/>
  </w:num>
  <w:num w:numId="64">
    <w:abstractNumId w:val="44"/>
  </w:num>
  <w:num w:numId="65">
    <w:abstractNumId w:val="143"/>
  </w:num>
  <w:num w:numId="66">
    <w:abstractNumId w:val="216"/>
  </w:num>
  <w:num w:numId="67">
    <w:abstractNumId w:val="30"/>
  </w:num>
  <w:num w:numId="68">
    <w:abstractNumId w:val="160"/>
  </w:num>
  <w:num w:numId="69">
    <w:abstractNumId w:val="188"/>
  </w:num>
  <w:num w:numId="70">
    <w:abstractNumId w:val="176"/>
  </w:num>
  <w:num w:numId="71">
    <w:abstractNumId w:val="148"/>
  </w:num>
  <w:num w:numId="72">
    <w:abstractNumId w:val="165"/>
  </w:num>
  <w:num w:numId="73">
    <w:abstractNumId w:val="96"/>
  </w:num>
  <w:num w:numId="74">
    <w:abstractNumId w:val="110"/>
  </w:num>
  <w:num w:numId="75">
    <w:abstractNumId w:val="204"/>
  </w:num>
  <w:num w:numId="76">
    <w:abstractNumId w:val="200"/>
  </w:num>
  <w:num w:numId="77">
    <w:abstractNumId w:val="129"/>
  </w:num>
  <w:num w:numId="78">
    <w:abstractNumId w:val="147"/>
  </w:num>
  <w:num w:numId="79">
    <w:abstractNumId w:val="84"/>
  </w:num>
  <w:num w:numId="80">
    <w:abstractNumId w:val="32"/>
  </w:num>
  <w:num w:numId="81">
    <w:abstractNumId w:val="163"/>
  </w:num>
  <w:num w:numId="82">
    <w:abstractNumId w:val="52"/>
  </w:num>
  <w:num w:numId="83">
    <w:abstractNumId w:val="227"/>
  </w:num>
  <w:num w:numId="84">
    <w:abstractNumId w:val="92"/>
  </w:num>
  <w:num w:numId="85">
    <w:abstractNumId w:val="126"/>
  </w:num>
  <w:num w:numId="86">
    <w:abstractNumId w:val="25"/>
  </w:num>
  <w:num w:numId="87">
    <w:abstractNumId w:val="222"/>
  </w:num>
  <w:num w:numId="88">
    <w:abstractNumId w:val="73"/>
  </w:num>
  <w:num w:numId="89">
    <w:abstractNumId w:val="162"/>
  </w:num>
  <w:num w:numId="90">
    <w:abstractNumId w:val="24"/>
  </w:num>
  <w:num w:numId="91">
    <w:abstractNumId w:val="153"/>
  </w:num>
  <w:num w:numId="92">
    <w:abstractNumId w:val="41"/>
  </w:num>
  <w:num w:numId="93">
    <w:abstractNumId w:val="93"/>
  </w:num>
  <w:num w:numId="94">
    <w:abstractNumId w:val="17"/>
  </w:num>
  <w:num w:numId="95">
    <w:abstractNumId w:val="100"/>
  </w:num>
  <w:num w:numId="96">
    <w:abstractNumId w:val="170"/>
  </w:num>
  <w:num w:numId="97">
    <w:abstractNumId w:val="184"/>
  </w:num>
  <w:num w:numId="98">
    <w:abstractNumId w:val="59"/>
  </w:num>
  <w:num w:numId="99">
    <w:abstractNumId w:val="33"/>
  </w:num>
  <w:num w:numId="100">
    <w:abstractNumId w:val="116"/>
  </w:num>
  <w:num w:numId="101">
    <w:abstractNumId w:val="179"/>
  </w:num>
  <w:num w:numId="102">
    <w:abstractNumId w:val="139"/>
  </w:num>
  <w:num w:numId="103">
    <w:abstractNumId w:val="101"/>
  </w:num>
  <w:num w:numId="104">
    <w:abstractNumId w:val="4"/>
  </w:num>
  <w:num w:numId="105">
    <w:abstractNumId w:val="70"/>
  </w:num>
  <w:num w:numId="106">
    <w:abstractNumId w:val="72"/>
  </w:num>
  <w:num w:numId="107">
    <w:abstractNumId w:val="166"/>
  </w:num>
  <w:num w:numId="108">
    <w:abstractNumId w:val="157"/>
  </w:num>
  <w:num w:numId="109">
    <w:abstractNumId w:val="53"/>
  </w:num>
  <w:num w:numId="110">
    <w:abstractNumId w:val="169"/>
  </w:num>
  <w:num w:numId="111">
    <w:abstractNumId w:val="7"/>
  </w:num>
  <w:num w:numId="112">
    <w:abstractNumId w:val="213"/>
  </w:num>
  <w:num w:numId="113">
    <w:abstractNumId w:val="68"/>
  </w:num>
  <w:num w:numId="114">
    <w:abstractNumId w:val="159"/>
  </w:num>
  <w:num w:numId="115">
    <w:abstractNumId w:val="89"/>
  </w:num>
  <w:num w:numId="116">
    <w:abstractNumId w:val="83"/>
  </w:num>
  <w:num w:numId="117">
    <w:abstractNumId w:val="117"/>
  </w:num>
  <w:num w:numId="118">
    <w:abstractNumId w:val="80"/>
  </w:num>
  <w:num w:numId="119">
    <w:abstractNumId w:val="112"/>
  </w:num>
  <w:num w:numId="120">
    <w:abstractNumId w:val="104"/>
  </w:num>
  <w:num w:numId="121">
    <w:abstractNumId w:val="138"/>
  </w:num>
  <w:num w:numId="122">
    <w:abstractNumId w:val="130"/>
  </w:num>
  <w:num w:numId="123">
    <w:abstractNumId w:val="205"/>
  </w:num>
  <w:num w:numId="124">
    <w:abstractNumId w:val="208"/>
  </w:num>
  <w:num w:numId="125">
    <w:abstractNumId w:val="207"/>
  </w:num>
  <w:num w:numId="126">
    <w:abstractNumId w:val="152"/>
  </w:num>
  <w:num w:numId="127">
    <w:abstractNumId w:val="178"/>
  </w:num>
  <w:num w:numId="128">
    <w:abstractNumId w:val="181"/>
  </w:num>
  <w:num w:numId="129">
    <w:abstractNumId w:val="57"/>
  </w:num>
  <w:num w:numId="130">
    <w:abstractNumId w:val="50"/>
  </w:num>
  <w:num w:numId="131">
    <w:abstractNumId w:val="164"/>
  </w:num>
  <w:num w:numId="132">
    <w:abstractNumId w:val="82"/>
  </w:num>
  <w:num w:numId="133">
    <w:abstractNumId w:val="211"/>
  </w:num>
  <w:num w:numId="134">
    <w:abstractNumId w:val="194"/>
  </w:num>
  <w:num w:numId="135">
    <w:abstractNumId w:val="212"/>
  </w:num>
  <w:num w:numId="136">
    <w:abstractNumId w:val="0"/>
  </w:num>
  <w:num w:numId="137">
    <w:abstractNumId w:val="27"/>
  </w:num>
  <w:num w:numId="138">
    <w:abstractNumId w:val="18"/>
  </w:num>
  <w:num w:numId="139">
    <w:abstractNumId w:val="108"/>
  </w:num>
  <w:num w:numId="140">
    <w:abstractNumId w:val="9"/>
  </w:num>
  <w:num w:numId="141">
    <w:abstractNumId w:val="177"/>
  </w:num>
  <w:num w:numId="142">
    <w:abstractNumId w:val="132"/>
  </w:num>
  <w:num w:numId="143">
    <w:abstractNumId w:val="119"/>
  </w:num>
  <w:num w:numId="144">
    <w:abstractNumId w:val="79"/>
  </w:num>
  <w:num w:numId="145">
    <w:abstractNumId w:val="6"/>
  </w:num>
  <w:num w:numId="146">
    <w:abstractNumId w:val="125"/>
  </w:num>
  <w:num w:numId="147">
    <w:abstractNumId w:val="197"/>
  </w:num>
  <w:num w:numId="148">
    <w:abstractNumId w:val="65"/>
  </w:num>
  <w:num w:numId="149">
    <w:abstractNumId w:val="141"/>
  </w:num>
  <w:num w:numId="150">
    <w:abstractNumId w:val="13"/>
  </w:num>
  <w:num w:numId="151">
    <w:abstractNumId w:val="182"/>
  </w:num>
  <w:num w:numId="152">
    <w:abstractNumId w:val="196"/>
  </w:num>
  <w:num w:numId="153">
    <w:abstractNumId w:val="217"/>
  </w:num>
  <w:num w:numId="154">
    <w:abstractNumId w:val="91"/>
  </w:num>
  <w:num w:numId="155">
    <w:abstractNumId w:val="10"/>
  </w:num>
  <w:num w:numId="156">
    <w:abstractNumId w:val="94"/>
  </w:num>
  <w:num w:numId="157">
    <w:abstractNumId w:val="86"/>
  </w:num>
  <w:num w:numId="158">
    <w:abstractNumId w:val="105"/>
  </w:num>
  <w:num w:numId="159">
    <w:abstractNumId w:val="226"/>
  </w:num>
  <w:num w:numId="160">
    <w:abstractNumId w:val="78"/>
  </w:num>
  <w:num w:numId="161">
    <w:abstractNumId w:val="149"/>
  </w:num>
  <w:num w:numId="162">
    <w:abstractNumId w:val="81"/>
  </w:num>
  <w:num w:numId="163">
    <w:abstractNumId w:val="199"/>
  </w:num>
  <w:num w:numId="164">
    <w:abstractNumId w:val="120"/>
  </w:num>
  <w:num w:numId="165">
    <w:abstractNumId w:val="187"/>
  </w:num>
  <w:num w:numId="166">
    <w:abstractNumId w:val="206"/>
  </w:num>
  <w:num w:numId="167">
    <w:abstractNumId w:val="202"/>
  </w:num>
  <w:num w:numId="168">
    <w:abstractNumId w:val="224"/>
  </w:num>
  <w:num w:numId="169">
    <w:abstractNumId w:val="8"/>
  </w:num>
  <w:num w:numId="170">
    <w:abstractNumId w:val="29"/>
  </w:num>
  <w:num w:numId="171">
    <w:abstractNumId w:val="46"/>
  </w:num>
  <w:num w:numId="172">
    <w:abstractNumId w:val="63"/>
  </w:num>
  <w:num w:numId="173">
    <w:abstractNumId w:val="109"/>
  </w:num>
  <w:num w:numId="174">
    <w:abstractNumId w:val="203"/>
  </w:num>
  <w:num w:numId="175">
    <w:abstractNumId w:val="140"/>
  </w:num>
  <w:num w:numId="176">
    <w:abstractNumId w:val="137"/>
  </w:num>
  <w:num w:numId="177">
    <w:abstractNumId w:val="156"/>
  </w:num>
  <w:num w:numId="178">
    <w:abstractNumId w:val="210"/>
  </w:num>
  <w:num w:numId="179">
    <w:abstractNumId w:val="215"/>
  </w:num>
  <w:num w:numId="180">
    <w:abstractNumId w:val="146"/>
  </w:num>
  <w:num w:numId="181">
    <w:abstractNumId w:val="37"/>
  </w:num>
  <w:num w:numId="182">
    <w:abstractNumId w:val="133"/>
  </w:num>
  <w:num w:numId="183">
    <w:abstractNumId w:val="99"/>
  </w:num>
  <w:num w:numId="184">
    <w:abstractNumId w:val="12"/>
  </w:num>
  <w:num w:numId="185">
    <w:abstractNumId w:val="97"/>
  </w:num>
  <w:num w:numId="186">
    <w:abstractNumId w:val="1"/>
  </w:num>
  <w:num w:numId="187">
    <w:abstractNumId w:val="190"/>
  </w:num>
  <w:num w:numId="188">
    <w:abstractNumId w:val="48"/>
  </w:num>
  <w:num w:numId="189">
    <w:abstractNumId w:val="19"/>
  </w:num>
  <w:num w:numId="190">
    <w:abstractNumId w:val="47"/>
  </w:num>
  <w:num w:numId="191">
    <w:abstractNumId w:val="209"/>
  </w:num>
  <w:num w:numId="192">
    <w:abstractNumId w:val="42"/>
  </w:num>
  <w:num w:numId="193">
    <w:abstractNumId w:val="35"/>
  </w:num>
  <w:num w:numId="194">
    <w:abstractNumId w:val="223"/>
  </w:num>
  <w:num w:numId="195">
    <w:abstractNumId w:val="20"/>
  </w:num>
  <w:num w:numId="196">
    <w:abstractNumId w:val="185"/>
  </w:num>
  <w:num w:numId="197">
    <w:abstractNumId w:val="103"/>
  </w:num>
  <w:num w:numId="198">
    <w:abstractNumId w:val="201"/>
  </w:num>
  <w:num w:numId="199">
    <w:abstractNumId w:val="124"/>
  </w:num>
  <w:num w:numId="200">
    <w:abstractNumId w:val="150"/>
  </w:num>
  <w:num w:numId="201">
    <w:abstractNumId w:val="145"/>
  </w:num>
  <w:num w:numId="202">
    <w:abstractNumId w:val="121"/>
  </w:num>
  <w:num w:numId="203">
    <w:abstractNumId w:val="39"/>
  </w:num>
  <w:num w:numId="204">
    <w:abstractNumId w:val="193"/>
  </w:num>
  <w:num w:numId="205">
    <w:abstractNumId w:val="168"/>
  </w:num>
  <w:num w:numId="206">
    <w:abstractNumId w:val="144"/>
  </w:num>
  <w:num w:numId="207">
    <w:abstractNumId w:val="123"/>
  </w:num>
  <w:num w:numId="208">
    <w:abstractNumId w:val="142"/>
  </w:num>
  <w:num w:numId="209">
    <w:abstractNumId w:val="15"/>
  </w:num>
  <w:num w:numId="210">
    <w:abstractNumId w:val="87"/>
  </w:num>
  <w:num w:numId="211">
    <w:abstractNumId w:val="167"/>
  </w:num>
  <w:num w:numId="212">
    <w:abstractNumId w:val="51"/>
  </w:num>
  <w:num w:numId="213">
    <w:abstractNumId w:val="62"/>
  </w:num>
  <w:num w:numId="214">
    <w:abstractNumId w:val="189"/>
  </w:num>
  <w:num w:numId="215">
    <w:abstractNumId w:val="75"/>
  </w:num>
  <w:num w:numId="216">
    <w:abstractNumId w:val="77"/>
  </w:num>
  <w:num w:numId="217">
    <w:abstractNumId w:val="95"/>
  </w:num>
  <w:num w:numId="218">
    <w:abstractNumId w:val="191"/>
  </w:num>
  <w:num w:numId="219">
    <w:abstractNumId w:val="54"/>
  </w:num>
  <w:num w:numId="220">
    <w:abstractNumId w:val="122"/>
  </w:num>
  <w:num w:numId="221">
    <w:abstractNumId w:val="21"/>
  </w:num>
  <w:num w:numId="222">
    <w:abstractNumId w:val="67"/>
  </w:num>
  <w:num w:numId="223">
    <w:abstractNumId w:val="85"/>
  </w:num>
  <w:num w:numId="224">
    <w:abstractNumId w:val="225"/>
  </w:num>
  <w:num w:numId="225">
    <w:abstractNumId w:val="228"/>
  </w:num>
  <w:num w:numId="226">
    <w:abstractNumId w:val="61"/>
  </w:num>
  <w:num w:numId="227">
    <w:abstractNumId w:val="198"/>
  </w:num>
  <w:num w:numId="228">
    <w:abstractNumId w:val="31"/>
  </w:num>
  <w:num w:numId="229">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colormenu v:ext="edit" fillcolor="none"/>
    </o:shapedefaults>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33196*"/>
    <w:docVar w:name="CreationDt" w:val="10/06/2002 10:09:26"/>
    <w:docVar w:name="DocCategory" w:val="Doc"/>
    <w:docVar w:name="DocType" w:val="Final"/>
    <w:docVar w:name="jobn" w:val="02-33196 (F)"/>
    <w:docVar w:name="jobnDT" w:val="02-33196 (F)   100602"/>
    <w:docVar w:name="jobnDTDT" w:val="02-33196 (F)   100602   100602"/>
    <w:docVar w:name="JobNo" w:val="0233196F"/>
    <w:docVar w:name="OandT" w:val="NL"/>
    <w:docVar w:name="sss1" w:val="CEDAW/C/COG/1-5"/>
    <w:docVar w:name="sss2" w:val="-"/>
    <w:docVar w:name="Symbol1" w:val="CEDAW/C/COG/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non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spacing w:line="240" w:lineRule="auto"/>
      <w:outlineLvl w:val="0"/>
    </w:pPr>
    <w:rPr>
      <w:b/>
      <w:spacing w:val="0"/>
      <w:w w:val="100"/>
      <w:kern w:val="0"/>
      <w:sz w:val="22"/>
      <w:lang w:val="fr-FR" w:eastAsia="fr-FR"/>
    </w:rPr>
  </w:style>
  <w:style w:type="paragraph" w:styleId="Heading2">
    <w:name w:val="heading 2"/>
    <w:basedOn w:val="Normal"/>
    <w:next w:val="Normal"/>
    <w:qFormat/>
    <w:pPr>
      <w:keepNext/>
      <w:spacing w:line="240" w:lineRule="auto"/>
      <w:jc w:val="both"/>
      <w:outlineLvl w:val="1"/>
    </w:pPr>
    <w:rPr>
      <w:i/>
      <w:spacing w:val="0"/>
      <w:w w:val="100"/>
      <w:kern w:val="0"/>
      <w:sz w:val="22"/>
      <w:lang w:val="fr-FR" w:eastAsia="fr-FR"/>
    </w:rPr>
  </w:style>
  <w:style w:type="paragraph" w:styleId="Heading3">
    <w:name w:val="heading 3"/>
    <w:basedOn w:val="Normal"/>
    <w:next w:val="Normal"/>
    <w:qFormat/>
    <w:pPr>
      <w:keepNext/>
      <w:spacing w:line="240" w:lineRule="auto"/>
      <w:outlineLvl w:val="2"/>
    </w:pPr>
    <w:rPr>
      <w:b/>
      <w:spacing w:val="0"/>
      <w:w w:val="100"/>
      <w:kern w:val="0"/>
      <w:lang w:val="fr-FR" w:eastAsia="fr-FR"/>
    </w:rPr>
  </w:style>
  <w:style w:type="paragraph" w:styleId="Heading4">
    <w:name w:val="heading 4"/>
    <w:basedOn w:val="Normal"/>
    <w:next w:val="Normal"/>
    <w:qFormat/>
    <w:pPr>
      <w:keepNext/>
      <w:spacing w:line="240" w:lineRule="auto"/>
      <w:outlineLvl w:val="3"/>
    </w:pPr>
    <w:rPr>
      <w:spacing w:val="0"/>
      <w:w w:val="100"/>
      <w:kern w:val="0"/>
      <w:sz w:val="28"/>
      <w:u w:val="single"/>
      <w:lang w:val="fr-FR" w:eastAsia="fr-FR"/>
    </w:rPr>
  </w:style>
  <w:style w:type="paragraph" w:styleId="Heading5">
    <w:name w:val="heading 5"/>
    <w:basedOn w:val="Normal"/>
    <w:next w:val="Normal"/>
    <w:qFormat/>
    <w:pPr>
      <w:keepNext/>
      <w:spacing w:line="240" w:lineRule="auto"/>
      <w:outlineLvl w:val="4"/>
    </w:pPr>
    <w:rPr>
      <w:spacing w:val="0"/>
      <w:w w:val="100"/>
      <w:kern w:val="0"/>
      <w:sz w:val="28"/>
      <w:lang w:val="fr-FR" w:eastAsia="fr-FR"/>
    </w:rPr>
  </w:style>
  <w:style w:type="paragraph" w:styleId="Heading6">
    <w:name w:val="heading 6"/>
    <w:basedOn w:val="Normal"/>
    <w:next w:val="Normal"/>
    <w:qFormat/>
    <w:pPr>
      <w:keepNext/>
      <w:spacing w:line="240" w:lineRule="auto"/>
      <w:outlineLvl w:val="5"/>
    </w:pPr>
    <w:rPr>
      <w:spacing w:val="0"/>
      <w:w w:val="100"/>
      <w:kern w:val="0"/>
      <w:sz w:val="24"/>
      <w:u w:val="single"/>
      <w:lang w:val="fr-FR" w:eastAsia="fr-FR"/>
    </w:rPr>
  </w:style>
  <w:style w:type="paragraph" w:styleId="Heading7">
    <w:name w:val="heading 7"/>
    <w:basedOn w:val="Normal"/>
    <w:next w:val="Normal"/>
    <w:qFormat/>
    <w:pPr>
      <w:keepNext/>
      <w:spacing w:line="240" w:lineRule="auto"/>
      <w:jc w:val="center"/>
      <w:outlineLvl w:val="6"/>
    </w:pPr>
    <w:rPr>
      <w:b/>
      <w:spacing w:val="0"/>
      <w:w w:val="100"/>
      <w:kern w:val="0"/>
      <w:sz w:val="24"/>
      <w:lang w:val="fr-FR" w:eastAsia="fr-FR"/>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pacing w:line="240" w:lineRule="auto"/>
      <w:jc w:val="both"/>
    </w:pPr>
    <w:rPr>
      <w:spacing w:val="0"/>
      <w:w w:val="100"/>
      <w:kern w:val="0"/>
      <w:sz w:val="24"/>
      <w:lang w:val="fr-FR" w:eastAsia="fr-FR"/>
    </w:rPr>
  </w:style>
  <w:style w:type="paragraph" w:styleId="BodyTextIndent3">
    <w:name w:val="Body Text Indent 3"/>
    <w:basedOn w:val="Normal"/>
    <w:semiHidden/>
    <w:pPr>
      <w:tabs>
        <w:tab w:val="left" w:pos="142"/>
      </w:tabs>
      <w:spacing w:line="240" w:lineRule="auto"/>
      <w:ind w:left="993" w:hanging="993"/>
      <w:jc w:val="both"/>
    </w:pPr>
    <w:rPr>
      <w:spacing w:val="0"/>
      <w:w w:val="100"/>
      <w:kern w:val="0"/>
      <w:sz w:val="24"/>
      <w:lang w:val="fr-FR" w:eastAsia="fr-FR"/>
    </w:rPr>
  </w:style>
  <w:style w:type="paragraph" w:styleId="BodyText3">
    <w:name w:val="Body Text 3"/>
    <w:basedOn w:val="Normal"/>
    <w:semiHidden/>
    <w:pPr>
      <w:spacing w:line="240" w:lineRule="auto"/>
      <w:jc w:val="both"/>
    </w:pPr>
    <w:rPr>
      <w:spacing w:val="0"/>
      <w:w w:val="100"/>
      <w:kern w:val="0"/>
      <w:sz w:val="28"/>
      <w:lang w:val="fr-FR" w:eastAsia="fr-FR"/>
    </w:rPr>
  </w:style>
  <w:style w:type="paragraph" w:styleId="BodyText2">
    <w:name w:val="Body Text 2"/>
    <w:basedOn w:val="Normal"/>
    <w:semiHidden/>
    <w:pPr>
      <w:spacing w:line="240" w:lineRule="auto"/>
    </w:pPr>
    <w:rPr>
      <w:b/>
      <w:spacing w:val="0"/>
      <w:w w:val="100"/>
      <w:kern w:val="0"/>
      <w:sz w:val="22"/>
      <w:lang w:val="fr-FR" w:eastAsia="fr-FR"/>
    </w:rPr>
  </w:style>
  <w:style w:type="paragraph" w:styleId="BodyTextIndent">
    <w:name w:val="Body Text Indent"/>
    <w:basedOn w:val="Normal"/>
    <w:semiHidden/>
    <w:pPr>
      <w:spacing w:line="240" w:lineRule="auto"/>
      <w:ind w:firstLine="1134"/>
    </w:pPr>
    <w:rPr>
      <w:spacing w:val="0"/>
      <w:w w:val="100"/>
      <w:kern w:val="0"/>
      <w:sz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oleObject" Target="embeddings/Microsoft_Excel_97-2003_Worksheet2.xls"/><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wmf"/><Relationship Id="rId2" Type="http://schemas.openxmlformats.org/officeDocument/2006/relationships/styles" Target="styles.xml"/><Relationship Id="rId16" Type="http://schemas.openxmlformats.org/officeDocument/2006/relationships/oleObject" Target="embeddings/Microsoft_Excel_97-2003_Worksheet1.xls"/><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wmf"/><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428</TotalTime>
  <Pages>133</Pages>
  <Words>52952</Words>
  <Characters>272058</Characters>
  <Application>Microsoft Office Word</Application>
  <DocSecurity>4</DocSecurity>
  <Lines>9497</Lines>
  <Paragraphs>5681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321038</CharactersWithSpaces>
  <SharedDoc>false</SharedDoc>
  <HLinks>
    <vt:vector size="12" baseType="variant">
      <vt:variant>
        <vt:i4>2424873</vt:i4>
      </vt:variant>
      <vt:variant>
        <vt:i4>17791</vt:i4>
      </vt:variant>
      <vt:variant>
        <vt:i4>1026</vt:i4>
      </vt:variant>
      <vt:variant>
        <vt:i4>1</vt:i4>
      </vt:variant>
      <vt:variant>
        <vt:lpwstr>C:\PHOTO\congo.jpg</vt:lpwstr>
      </vt:variant>
      <vt:variant>
        <vt:lpwstr/>
      </vt:variant>
      <vt:variant>
        <vt:i4>4522087</vt:i4>
      </vt:variant>
      <vt:variant>
        <vt:i4>331010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21</cp:revision>
  <cp:lastPrinted>2002-06-10T15:44:00Z</cp:lastPrinted>
  <dcterms:created xsi:type="dcterms:W3CDTF">2002-06-10T08:09:00Z</dcterms:created>
  <dcterms:modified xsi:type="dcterms:W3CDTF">2002-06-10T15:46:00Z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0233196</vt:lpwstr>
  </property>
  <property fmtid="{D5CDD505-2E9C-101B-9397-08002B2CF9AE}" pid="3" name="Symbol1">
    <vt:lpwstr>CEDAW/C/COG/1-5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NL</vt:lpwstr>
  </property>
</Properties>
</file>