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CA35DF" w14:paraId="6659097A" w14:textId="77777777" w:rsidTr="00B456A0">
        <w:trPr>
          <w:trHeight w:hRule="exact" w:val="810"/>
        </w:trPr>
        <w:tc>
          <w:tcPr>
            <w:tcW w:w="1266" w:type="dxa"/>
            <w:tcBorders>
              <w:top w:val="nil"/>
              <w:bottom w:val="single" w:sz="4" w:space="0" w:color="auto"/>
            </w:tcBorders>
            <w:shd w:val="clear" w:color="auto" w:fill="auto"/>
          </w:tcPr>
          <w:p w14:paraId="5E030A40" w14:textId="77777777" w:rsidR="00712059" w:rsidRPr="00CA35DF" w:rsidRDefault="00712059" w:rsidP="00F13DE3">
            <w:pPr>
              <w:kinsoku w:val="0"/>
              <w:overflowPunct w:val="0"/>
              <w:autoSpaceDE w:val="0"/>
              <w:autoSpaceDN w:val="0"/>
              <w:adjustRightInd w:val="0"/>
              <w:snapToGrid w:val="0"/>
              <w:spacing w:after="80" w:line="480" w:lineRule="exact"/>
              <w:rPr>
                <w:rFonts w:hint="cs"/>
                <w:szCs w:val="40"/>
                <w:rtl/>
              </w:rPr>
            </w:pPr>
          </w:p>
        </w:tc>
        <w:tc>
          <w:tcPr>
            <w:tcW w:w="4767" w:type="dxa"/>
            <w:tcBorders>
              <w:top w:val="nil"/>
              <w:bottom w:val="single" w:sz="4" w:space="0" w:color="auto"/>
            </w:tcBorders>
            <w:shd w:val="clear" w:color="auto" w:fill="auto"/>
            <w:vAlign w:val="bottom"/>
          </w:tcPr>
          <w:p w14:paraId="35AD339C" w14:textId="77777777" w:rsidR="006B3E27" w:rsidRPr="00CA35DF" w:rsidRDefault="006B3E27" w:rsidP="00E2697F">
            <w:pPr>
              <w:spacing w:after="80" w:line="480" w:lineRule="exact"/>
              <w:ind w:left="57"/>
              <w:rPr>
                <w:sz w:val="30"/>
                <w:szCs w:val="30"/>
                <w:rtl/>
              </w:rPr>
            </w:pPr>
            <w:r w:rsidRPr="00CA35DF">
              <w:rPr>
                <w:rFonts w:hint="cs"/>
                <w:sz w:val="30"/>
                <w:szCs w:val="30"/>
                <w:rtl/>
              </w:rPr>
              <w:t>الأمم المتحدة</w:t>
            </w:r>
          </w:p>
        </w:tc>
        <w:tc>
          <w:tcPr>
            <w:tcW w:w="3598" w:type="dxa"/>
            <w:tcBorders>
              <w:top w:val="nil"/>
              <w:bottom w:val="single" w:sz="4" w:space="0" w:color="auto"/>
            </w:tcBorders>
            <w:shd w:val="clear" w:color="auto" w:fill="auto"/>
            <w:vAlign w:val="bottom"/>
          </w:tcPr>
          <w:p w14:paraId="50A1B2E6" w14:textId="3D899A28" w:rsidR="006B3E27" w:rsidRPr="00846A68" w:rsidRDefault="00846A68" w:rsidP="00846A68">
            <w:pPr>
              <w:bidi w:val="0"/>
              <w:rPr>
                <w:szCs w:val="20"/>
              </w:rPr>
            </w:pPr>
            <w:r w:rsidRPr="00A1027B">
              <w:rPr>
                <w:sz w:val="40"/>
                <w:szCs w:val="20"/>
              </w:rPr>
              <w:t>CAT</w:t>
            </w:r>
            <w:r w:rsidRPr="00A1027B">
              <w:rPr>
                <w:szCs w:val="20"/>
              </w:rPr>
              <w:t>/C/COL/CO/</w:t>
            </w:r>
            <w:r w:rsidRPr="003231D2">
              <w:rPr>
                <w:szCs w:val="20"/>
              </w:rPr>
              <w:t>6</w:t>
            </w:r>
          </w:p>
        </w:tc>
      </w:tr>
      <w:tr w:rsidR="006B3E27" w:rsidRPr="00CA35DF" w14:paraId="715D63FD" w14:textId="77777777" w:rsidTr="00B456A0">
        <w:trPr>
          <w:trHeight w:hRule="exact" w:val="2835"/>
        </w:trPr>
        <w:tc>
          <w:tcPr>
            <w:tcW w:w="1266" w:type="dxa"/>
            <w:tcBorders>
              <w:top w:val="nil"/>
              <w:bottom w:val="single" w:sz="12" w:space="0" w:color="auto"/>
            </w:tcBorders>
            <w:shd w:val="clear" w:color="auto" w:fill="auto"/>
          </w:tcPr>
          <w:p w14:paraId="00CD8B0E" w14:textId="77777777" w:rsidR="006B3E27" w:rsidRPr="00CA35DF" w:rsidRDefault="00261289" w:rsidP="00CA35DF">
            <w:pPr>
              <w:jc w:val="center"/>
              <w:rPr>
                <w:rtl/>
              </w:rPr>
            </w:pPr>
            <w:r w:rsidRPr="00CA35DF">
              <w:rPr>
                <w:noProof/>
                <w:rtl/>
              </w:rPr>
              <w:drawing>
                <wp:inline distT="0" distB="0" distL="0" distR="0" wp14:anchorId="59910B7E" wp14:editId="2C72C421">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685C439E" w14:textId="77777777" w:rsidR="00A67AF5" w:rsidRPr="003231D2" w:rsidRDefault="00817373" w:rsidP="00D3653E">
            <w:pPr>
              <w:spacing w:before="120" w:after="40" w:line="580" w:lineRule="exact"/>
              <w:ind w:left="57"/>
              <w:rPr>
                <w:b/>
                <w:bCs/>
                <w:sz w:val="42"/>
                <w:szCs w:val="42"/>
              </w:rPr>
            </w:pPr>
            <w:r w:rsidRPr="003231D2">
              <w:rPr>
                <w:rFonts w:hint="cs"/>
                <w:b/>
                <w:bCs/>
                <w:sz w:val="42"/>
                <w:szCs w:val="42"/>
                <w:rtl/>
              </w:rPr>
              <w:t xml:space="preserve">اتفاقية مناهضة التعذيب وغيره من ضروب </w:t>
            </w:r>
            <w:proofErr w:type="gramStart"/>
            <w:r w:rsidRPr="003231D2">
              <w:rPr>
                <w:rFonts w:hint="cs"/>
                <w:b/>
                <w:bCs/>
                <w:sz w:val="42"/>
                <w:szCs w:val="42"/>
                <w:rtl/>
              </w:rPr>
              <w:t>المعاملة</w:t>
            </w:r>
            <w:proofErr w:type="gramEnd"/>
            <w:r w:rsidRPr="003231D2">
              <w:rPr>
                <w:rFonts w:hint="cs"/>
                <w:b/>
                <w:bCs/>
                <w:sz w:val="42"/>
                <w:szCs w:val="42"/>
                <w:rtl/>
              </w:rPr>
              <w:t xml:space="preserve"> أو العقوبة القاسية أو اللاإنسانية أو المهينة</w:t>
            </w:r>
          </w:p>
        </w:tc>
        <w:tc>
          <w:tcPr>
            <w:tcW w:w="3598" w:type="dxa"/>
            <w:tcBorders>
              <w:top w:val="nil"/>
              <w:bottom w:val="single" w:sz="12" w:space="0" w:color="auto"/>
            </w:tcBorders>
            <w:shd w:val="clear" w:color="auto" w:fill="auto"/>
          </w:tcPr>
          <w:p w14:paraId="10B894FC" w14:textId="79E432D0" w:rsidR="008E4FF5" w:rsidRPr="008E4FF5" w:rsidRDefault="008E4FF5" w:rsidP="008E4FF5">
            <w:pPr>
              <w:bidi w:val="0"/>
              <w:spacing w:before="240"/>
              <w:jc w:val="left"/>
              <w:rPr>
                <w:rFonts w:eastAsia="Times New Roman" w:cs="Times New Roman"/>
                <w:szCs w:val="20"/>
                <w:lang w:val="en-GB"/>
              </w:rPr>
            </w:pPr>
            <w:r w:rsidRPr="008E4FF5">
              <w:rPr>
                <w:rFonts w:eastAsia="Times New Roman" w:cs="Times New Roman"/>
                <w:szCs w:val="20"/>
                <w:lang w:val="en-GB"/>
              </w:rPr>
              <w:t>Dist</w:t>
            </w:r>
            <w:r w:rsidR="00A1027B" w:rsidRPr="008E4FF5">
              <w:rPr>
                <w:rFonts w:eastAsia="Times New Roman" w:cs="Times New Roman"/>
                <w:szCs w:val="20"/>
                <w:lang w:val="en-GB"/>
              </w:rPr>
              <w:t>r.:</w:t>
            </w:r>
            <w:r w:rsidRPr="008E4FF5">
              <w:rPr>
                <w:rFonts w:eastAsia="Times New Roman" w:cs="Times New Roman"/>
                <w:szCs w:val="20"/>
                <w:lang w:val="en-GB"/>
              </w:rPr>
              <w:t xml:space="preserve"> General</w:t>
            </w:r>
          </w:p>
          <w:p w14:paraId="14384404" w14:textId="77777777" w:rsidR="008E4FF5" w:rsidRPr="008E4FF5" w:rsidRDefault="008E4FF5" w:rsidP="008E4FF5">
            <w:pPr>
              <w:bidi w:val="0"/>
              <w:jc w:val="left"/>
              <w:rPr>
                <w:rFonts w:eastAsia="Times New Roman" w:cs="Times New Roman"/>
                <w:szCs w:val="20"/>
                <w:lang w:val="en-GB"/>
              </w:rPr>
            </w:pPr>
            <w:r w:rsidRPr="008E4FF5">
              <w:rPr>
                <w:rFonts w:eastAsia="Times New Roman" w:cs="Times New Roman"/>
                <w:szCs w:val="20"/>
                <w:lang w:val="en-GB"/>
              </w:rPr>
              <w:t>7 June 2023</w:t>
            </w:r>
          </w:p>
          <w:p w14:paraId="4D961755" w14:textId="12F3A14D" w:rsidR="008E4FF5" w:rsidRPr="008E4FF5" w:rsidRDefault="008E4FF5" w:rsidP="008E4FF5">
            <w:pPr>
              <w:bidi w:val="0"/>
              <w:jc w:val="left"/>
              <w:rPr>
                <w:rFonts w:eastAsia="Times New Roman" w:cs="Times New Roman"/>
                <w:szCs w:val="20"/>
                <w:lang w:val="en-GB"/>
              </w:rPr>
            </w:pPr>
            <w:r>
              <w:rPr>
                <w:rFonts w:eastAsia="Times New Roman" w:cs="Times New Roman"/>
                <w:szCs w:val="20"/>
                <w:lang w:val="en-GB"/>
              </w:rPr>
              <w:t>Arabic</w:t>
            </w:r>
          </w:p>
          <w:p w14:paraId="369AF2B2" w14:textId="00FC70AB" w:rsidR="00846A68" w:rsidRPr="008E4FF5" w:rsidRDefault="008E4FF5" w:rsidP="008E4FF5">
            <w:pPr>
              <w:bidi w:val="0"/>
              <w:spacing w:line="240" w:lineRule="exact"/>
              <w:jc w:val="left"/>
              <w:rPr>
                <w:szCs w:val="20"/>
                <w:lang w:val="en-GB"/>
              </w:rPr>
            </w:pPr>
            <w:r w:rsidRPr="008E4FF5">
              <w:rPr>
                <w:rFonts w:eastAsia="Times New Roman" w:cs="Times New Roman"/>
                <w:szCs w:val="20"/>
                <w:lang w:val="en-GB"/>
              </w:rPr>
              <w:t>Origina</w:t>
            </w:r>
            <w:r w:rsidR="00A1027B" w:rsidRPr="00A1027B">
              <w:rPr>
                <w:rFonts w:eastAsia="Times New Roman" w:cs="Times New Roman"/>
                <w:szCs w:val="20"/>
                <w:lang w:val="en-GB"/>
              </w:rPr>
              <w:t xml:space="preserve">l: </w:t>
            </w:r>
            <w:r w:rsidRPr="008E4FF5">
              <w:rPr>
                <w:rFonts w:eastAsia="Times New Roman" w:cs="Times New Roman"/>
                <w:szCs w:val="20"/>
                <w:lang w:val="en-GB"/>
              </w:rPr>
              <w:t>Spanish</w:t>
            </w:r>
          </w:p>
        </w:tc>
      </w:tr>
    </w:tbl>
    <w:p w14:paraId="5F9F25D7" w14:textId="77777777" w:rsidR="008E4FF5" w:rsidRPr="003231D2" w:rsidRDefault="008E4FF5" w:rsidP="008E4FF5">
      <w:pPr>
        <w:pStyle w:val="SingleTxtGA"/>
        <w:spacing w:before="120"/>
        <w:ind w:left="0"/>
        <w:rPr>
          <w:b/>
          <w:bCs/>
          <w:sz w:val="26"/>
          <w:szCs w:val="26"/>
          <w:lang w:val="en-US"/>
        </w:rPr>
      </w:pPr>
      <w:r w:rsidRPr="003231D2">
        <w:rPr>
          <w:b/>
          <w:bCs/>
          <w:sz w:val="26"/>
          <w:szCs w:val="26"/>
          <w:rtl/>
          <w:lang w:val="en-US"/>
        </w:rPr>
        <w:t>لجنة مناهضة التعذيب</w:t>
      </w:r>
    </w:p>
    <w:p w14:paraId="777B991F" w14:textId="37CECA68" w:rsidR="008E4FF5" w:rsidRPr="003231D2" w:rsidRDefault="008E4FF5" w:rsidP="008E4FF5">
      <w:pPr>
        <w:pStyle w:val="HChGA"/>
        <w:rPr>
          <w:rtl/>
        </w:rPr>
      </w:pPr>
      <w:r w:rsidRPr="003231D2">
        <w:rPr>
          <w:rtl/>
        </w:rPr>
        <w:tab/>
      </w:r>
      <w:r w:rsidRPr="003231D2">
        <w:rPr>
          <w:rtl/>
        </w:rPr>
        <w:tab/>
        <w:t>الملاحظات الختامية بشأن التقرير الدوري السادس لكولومبيا</w:t>
      </w:r>
      <w:r w:rsidRPr="003231D2">
        <w:rPr>
          <w:rStyle w:val="FootnoteReference"/>
          <w:sz w:val="26"/>
          <w:szCs w:val="26"/>
          <w:vertAlign w:val="baseline"/>
          <w:rtl/>
        </w:rPr>
        <w:footnoteReference w:customMarkFollows="1" w:id="1"/>
        <w:t>*</w:t>
      </w:r>
    </w:p>
    <w:p w14:paraId="5BD29927" w14:textId="3481ECD4" w:rsidR="00A1027B" w:rsidRPr="00A1027B" w:rsidRDefault="008E4FF5" w:rsidP="008E4FF5">
      <w:pPr>
        <w:pStyle w:val="SingleTxtGA"/>
        <w:rPr>
          <w:lang w:val="en-US"/>
        </w:rPr>
      </w:pPr>
      <w:r w:rsidRPr="003231D2">
        <w:rPr>
          <w:rtl/>
          <w:lang w:val="en-US"/>
        </w:rPr>
        <w:t>1</w:t>
      </w:r>
      <w:r w:rsidRPr="008E4FF5">
        <w:rPr>
          <w:rtl/>
          <w:lang w:val="en-US"/>
        </w:rPr>
        <w:t>-</w:t>
      </w:r>
      <w:r w:rsidRPr="008E4FF5">
        <w:rPr>
          <w:rtl/>
          <w:lang w:val="en-US"/>
        </w:rPr>
        <w:tab/>
        <w:t>نظرت اللجنة في التقرير الدوري السادس لكولومبيا</w:t>
      </w:r>
      <w:r w:rsidR="00A1027B">
        <w:rPr>
          <w:rStyle w:val="FootnoteReference"/>
          <w:rtl/>
        </w:rPr>
        <w:t>(</w:t>
      </w:r>
      <w:r w:rsidR="00A1027B" w:rsidRPr="003231D2">
        <w:rPr>
          <w:rStyle w:val="FootnoteReference"/>
          <w:lang w:val="en-AU"/>
        </w:rPr>
        <w:footnoteReference w:id="2"/>
      </w:r>
      <w:r w:rsidRPr="008E4FF5">
        <w:rPr>
          <w:vertAlign w:val="superscript"/>
          <w:rtl/>
          <w:lang w:val="en-US"/>
        </w:rPr>
        <w:t>)</w:t>
      </w:r>
      <w:r w:rsidRPr="008E4FF5">
        <w:rPr>
          <w:rtl/>
          <w:lang w:val="en-US"/>
        </w:rPr>
        <w:t xml:space="preserve"> في جلستيها</w:t>
      </w:r>
      <w:r w:rsidR="00A1027B">
        <w:rPr>
          <w:rStyle w:val="FootnoteReference"/>
          <w:rtl/>
        </w:rPr>
        <w:t>(</w:t>
      </w:r>
      <w:r w:rsidR="00A1027B" w:rsidRPr="003231D2">
        <w:rPr>
          <w:rStyle w:val="FootnoteReference"/>
          <w:lang w:val="en-AU"/>
        </w:rPr>
        <w:footnoteReference w:id="3"/>
      </w:r>
      <w:r w:rsidRPr="008E4FF5">
        <w:rPr>
          <w:vertAlign w:val="superscript"/>
          <w:rtl/>
          <w:lang w:val="en-US"/>
        </w:rPr>
        <w:t>)</w:t>
      </w:r>
      <w:r w:rsidRPr="008E4FF5">
        <w:rPr>
          <w:rtl/>
          <w:lang w:val="en-US"/>
        </w:rPr>
        <w:t xml:space="preserve"> </w:t>
      </w:r>
      <w:r w:rsidRPr="003231D2">
        <w:rPr>
          <w:rtl/>
          <w:lang w:val="en-US"/>
        </w:rPr>
        <w:t>1978</w:t>
      </w:r>
      <w:r w:rsidRPr="008E4FF5">
        <w:rPr>
          <w:rtl/>
          <w:lang w:val="en-US"/>
        </w:rPr>
        <w:t xml:space="preserve"> و</w:t>
      </w:r>
      <w:r w:rsidRPr="003231D2">
        <w:rPr>
          <w:rtl/>
          <w:lang w:val="en-US"/>
        </w:rPr>
        <w:t>1981</w:t>
      </w:r>
      <w:r w:rsidRPr="008E4FF5">
        <w:rPr>
          <w:rtl/>
          <w:lang w:val="en-US"/>
        </w:rPr>
        <w:t xml:space="preserve"> المعقودتين في </w:t>
      </w:r>
      <w:r w:rsidRPr="003231D2">
        <w:rPr>
          <w:rtl/>
          <w:lang w:val="en-US"/>
        </w:rPr>
        <w:t>18</w:t>
      </w:r>
      <w:r w:rsidRPr="008E4FF5">
        <w:rPr>
          <w:rtl/>
          <w:lang w:val="en-US"/>
        </w:rPr>
        <w:t xml:space="preserve"> و</w:t>
      </w:r>
      <w:r w:rsidRPr="003231D2">
        <w:rPr>
          <w:rtl/>
          <w:lang w:val="en-US"/>
        </w:rPr>
        <w:t>19</w:t>
      </w:r>
      <w:r w:rsidRPr="008E4FF5">
        <w:rPr>
          <w:rtl/>
          <w:lang w:val="en-US"/>
        </w:rPr>
        <w:t xml:space="preserve"> نيسان/أبريل </w:t>
      </w:r>
      <w:r w:rsidRPr="003231D2">
        <w:rPr>
          <w:rtl/>
          <w:lang w:val="en-US"/>
        </w:rPr>
        <w:t>2023</w:t>
      </w:r>
      <w:r w:rsidRPr="008E4FF5">
        <w:rPr>
          <w:rtl/>
          <w:lang w:val="en-US"/>
        </w:rPr>
        <w:t xml:space="preserve">، واعتمدت هذه الملاحظات الختامية في جلستها </w:t>
      </w:r>
      <w:r w:rsidRPr="003231D2">
        <w:rPr>
          <w:rtl/>
          <w:lang w:val="en-US"/>
        </w:rPr>
        <w:t>2003</w:t>
      </w:r>
      <w:r w:rsidRPr="008E4FF5">
        <w:rPr>
          <w:rtl/>
          <w:lang w:val="en-US"/>
        </w:rPr>
        <w:t xml:space="preserve"> المعقودة في </w:t>
      </w:r>
      <w:r w:rsidRPr="003231D2">
        <w:rPr>
          <w:rtl/>
          <w:lang w:val="en-US"/>
        </w:rPr>
        <w:t>8</w:t>
      </w:r>
      <w:r w:rsidRPr="008E4FF5">
        <w:rPr>
          <w:rtl/>
          <w:lang w:val="en-US"/>
        </w:rPr>
        <w:t xml:space="preserve"> أيار/مايو </w:t>
      </w:r>
      <w:r w:rsidRPr="003231D2">
        <w:rPr>
          <w:rtl/>
          <w:lang w:val="en-US"/>
        </w:rPr>
        <w:t>202</w:t>
      </w:r>
      <w:r w:rsidR="00A1027B" w:rsidRPr="003231D2">
        <w:rPr>
          <w:rtl/>
          <w:lang w:val="en-US"/>
        </w:rPr>
        <w:t>3</w:t>
      </w:r>
      <w:r w:rsidR="00A1027B" w:rsidRPr="00A1027B">
        <w:rPr>
          <w:rtl/>
          <w:lang w:val="en-US"/>
        </w:rPr>
        <w:t>.</w:t>
      </w:r>
    </w:p>
    <w:p w14:paraId="437376AB" w14:textId="394A6461" w:rsidR="008E4FF5" w:rsidRPr="003231D2" w:rsidRDefault="008E4FF5" w:rsidP="008E4FF5">
      <w:pPr>
        <w:pStyle w:val="H1GA"/>
      </w:pPr>
      <w:r w:rsidRPr="003231D2">
        <w:rPr>
          <w:rtl/>
        </w:rPr>
        <w:tab/>
        <w:t>ألف-</w:t>
      </w:r>
      <w:r w:rsidRPr="003231D2">
        <w:rPr>
          <w:rtl/>
        </w:rPr>
        <w:tab/>
        <w:t>مقدمة</w:t>
      </w:r>
    </w:p>
    <w:p w14:paraId="3F9C5616" w14:textId="0A21CB7E" w:rsidR="008E4FF5" w:rsidRPr="008E4FF5" w:rsidRDefault="008E4FF5" w:rsidP="008E4FF5">
      <w:pPr>
        <w:pStyle w:val="SingleTxtGA"/>
        <w:rPr>
          <w:lang w:val="en-US"/>
        </w:rPr>
      </w:pPr>
      <w:r w:rsidRPr="003231D2">
        <w:rPr>
          <w:rtl/>
          <w:lang w:val="en-US"/>
        </w:rPr>
        <w:t>2</w:t>
      </w:r>
      <w:r w:rsidRPr="008E4FF5">
        <w:rPr>
          <w:rtl/>
          <w:lang w:val="en-US"/>
        </w:rPr>
        <w:t>-</w:t>
      </w:r>
      <w:r w:rsidRPr="008E4FF5">
        <w:rPr>
          <w:rtl/>
          <w:lang w:val="en-US"/>
        </w:rPr>
        <w:tab/>
        <w:t>تعرب اللجنة عن تقديرها للدولة الطرف على قبولها الإجراء المبسط لتقديم التقارير وتقديمها تقريرها الدوري وفق</w:t>
      </w:r>
      <w:r w:rsidR="00182572">
        <w:rPr>
          <w:rtl/>
          <w:lang w:val="en-US"/>
        </w:rPr>
        <w:t xml:space="preserve">اً </w:t>
      </w:r>
      <w:r w:rsidRPr="008E4FF5">
        <w:rPr>
          <w:rtl/>
          <w:lang w:val="en-US"/>
        </w:rPr>
        <w:t>لهذا الإجراء، وهو ما يسمح بتيسير التعاون بين الدولة الطرف واللجنة، ويركز بشكل أفضل النظر في التقرير والحوار مع الوفد على السواء.</w:t>
      </w:r>
    </w:p>
    <w:p w14:paraId="6B9F6D45" w14:textId="02FAE294" w:rsidR="008E4FF5" w:rsidRPr="008E4FF5" w:rsidRDefault="008E4FF5" w:rsidP="008E4FF5">
      <w:pPr>
        <w:pStyle w:val="SingleTxtGA"/>
        <w:rPr>
          <w:lang w:val="en-US"/>
        </w:rPr>
      </w:pPr>
      <w:r w:rsidRPr="003231D2">
        <w:rPr>
          <w:rtl/>
          <w:lang w:val="en-US"/>
        </w:rPr>
        <w:t>3</w:t>
      </w:r>
      <w:r w:rsidRPr="008E4FF5">
        <w:rPr>
          <w:rtl/>
          <w:lang w:val="en-US"/>
        </w:rPr>
        <w:t>-</w:t>
      </w:r>
      <w:r w:rsidRPr="008E4FF5">
        <w:rPr>
          <w:rtl/>
          <w:lang w:val="en-US"/>
        </w:rPr>
        <w:tab/>
        <w:t>وترحب اللجنة بالفرصة التي أتيحت لها لإجراء حوار بناء مع وفد الدولة الطرف، وتنظر باهتمام في المعلومات التي تلقتها رد</w:t>
      </w:r>
      <w:r w:rsidR="00182572">
        <w:rPr>
          <w:rtl/>
          <w:lang w:val="en-US"/>
        </w:rPr>
        <w:t xml:space="preserve">اً </w:t>
      </w:r>
      <w:r w:rsidRPr="008E4FF5">
        <w:rPr>
          <w:rtl/>
          <w:lang w:val="en-US"/>
        </w:rPr>
        <w:t>على الأسئلة والشواغل التي أثيرت أثناء النظر في التقرير.</w:t>
      </w:r>
    </w:p>
    <w:p w14:paraId="5E2FE3C1" w14:textId="51DE4214" w:rsidR="008E4FF5" w:rsidRPr="008E4FF5" w:rsidRDefault="008E4FF5" w:rsidP="008E4FF5">
      <w:pPr>
        <w:pStyle w:val="SingleTxtGA"/>
        <w:rPr>
          <w:spacing w:val="2"/>
          <w:lang w:val="en-US"/>
        </w:rPr>
      </w:pPr>
      <w:r w:rsidRPr="003231D2">
        <w:rPr>
          <w:spacing w:val="2"/>
          <w:rtl/>
          <w:lang w:val="en-US"/>
        </w:rPr>
        <w:t>4</w:t>
      </w:r>
      <w:r w:rsidRPr="008E4FF5">
        <w:rPr>
          <w:spacing w:val="2"/>
          <w:rtl/>
          <w:lang w:val="en-US"/>
        </w:rPr>
        <w:t>-</w:t>
      </w:r>
      <w:r w:rsidRPr="008E4FF5">
        <w:rPr>
          <w:spacing w:val="2"/>
          <w:rtl/>
          <w:lang w:val="en-US"/>
        </w:rPr>
        <w:tab/>
        <w:t>وترحب اللجنة بالتزام الدولة الطرف بالتنفيذ الكامل للاتفاق النهائي لإنهاء النزاع وإحلال سلام مستقر ودائم (اتفاق السلام</w:t>
      </w:r>
      <w:r w:rsidR="00A1027B" w:rsidRPr="00A1027B">
        <w:rPr>
          <w:spacing w:val="2"/>
          <w:rtl/>
          <w:lang w:val="en-US"/>
        </w:rPr>
        <w:t xml:space="preserve">). </w:t>
      </w:r>
      <w:r w:rsidRPr="008E4FF5">
        <w:rPr>
          <w:spacing w:val="2"/>
          <w:rtl/>
          <w:lang w:val="en-US"/>
        </w:rPr>
        <w:t>وتلاحظ اللجنة إرادة الدولة الطرف السياسية التصدي للتحديات الكبيرة التي تواجهها في ميدان حقوق الإنسان، وتعرب عن تقديرها للجهود التي تبذلها لتحقيق أهداف خطة السلام الشامل.</w:t>
      </w:r>
    </w:p>
    <w:p w14:paraId="6E414E55" w14:textId="277FC670" w:rsidR="008E4FF5" w:rsidRPr="003231D2" w:rsidRDefault="008E4FF5" w:rsidP="008E4FF5">
      <w:pPr>
        <w:pStyle w:val="H1GA"/>
      </w:pPr>
      <w:r w:rsidRPr="003231D2">
        <w:rPr>
          <w:rtl/>
        </w:rPr>
        <w:tab/>
        <w:t>باء-</w:t>
      </w:r>
      <w:r w:rsidRPr="003231D2">
        <w:rPr>
          <w:rtl/>
        </w:rPr>
        <w:tab/>
        <w:t>الجوانب الإيجابية</w:t>
      </w:r>
    </w:p>
    <w:p w14:paraId="5A67104F" w14:textId="77777777" w:rsidR="008E4FF5" w:rsidRPr="008E4FF5" w:rsidRDefault="008E4FF5" w:rsidP="008E4FF5">
      <w:pPr>
        <w:pStyle w:val="SingleTxtGA"/>
        <w:rPr>
          <w:lang w:val="en-US"/>
        </w:rPr>
      </w:pPr>
      <w:r w:rsidRPr="003231D2">
        <w:rPr>
          <w:rtl/>
          <w:lang w:val="en-US"/>
        </w:rPr>
        <w:t>5</w:t>
      </w:r>
      <w:r w:rsidRPr="008E4FF5">
        <w:rPr>
          <w:rtl/>
          <w:lang w:val="en-US"/>
        </w:rPr>
        <w:t>-</w:t>
      </w:r>
      <w:r w:rsidRPr="008E4FF5">
        <w:rPr>
          <w:rtl/>
          <w:lang w:val="en-US"/>
        </w:rPr>
        <w:tab/>
        <w:t>ترحب اللجنة بتصديق الدولة الطرف على الصكين الدوليين التاليين أو بانضمامها إليهما:</w:t>
      </w:r>
    </w:p>
    <w:p w14:paraId="3EE9833C" w14:textId="77777777" w:rsidR="008E4FF5" w:rsidRPr="008E4FF5" w:rsidRDefault="008E4FF5" w:rsidP="008E4FF5">
      <w:pPr>
        <w:pStyle w:val="SingleTxtGA"/>
        <w:rPr>
          <w:lang w:val="en-US"/>
        </w:rPr>
      </w:pPr>
      <w:r w:rsidRPr="008E4FF5">
        <w:rPr>
          <w:rtl/>
          <w:lang w:val="en-US"/>
        </w:rPr>
        <w:tab/>
        <w:t>(أ)</w:t>
      </w:r>
      <w:r w:rsidRPr="008E4FF5">
        <w:rPr>
          <w:rtl/>
          <w:lang w:val="en-US"/>
        </w:rPr>
        <w:tab/>
        <w:t xml:space="preserve">اتفاقية البلدان الأمريكية بشأن حماية حقوق الإنسان لكبار السن، في عام </w:t>
      </w:r>
      <w:r w:rsidRPr="003231D2">
        <w:rPr>
          <w:rtl/>
          <w:lang w:val="en-US"/>
        </w:rPr>
        <w:t>2022</w:t>
      </w:r>
      <w:r w:rsidRPr="008E4FF5">
        <w:rPr>
          <w:rtl/>
          <w:lang w:val="en-US"/>
        </w:rPr>
        <w:t xml:space="preserve">؛ </w:t>
      </w:r>
    </w:p>
    <w:p w14:paraId="14E22432" w14:textId="654C6244" w:rsidR="00A1027B" w:rsidRPr="00A1027B" w:rsidRDefault="008E4FF5" w:rsidP="008E4FF5">
      <w:pPr>
        <w:pStyle w:val="SingleTxtGA"/>
        <w:rPr>
          <w:lang w:val="en-US"/>
        </w:rPr>
      </w:pPr>
      <w:r w:rsidRPr="008E4FF5">
        <w:rPr>
          <w:rtl/>
          <w:lang w:val="en-US"/>
        </w:rPr>
        <w:tab/>
        <w:t>(ب)</w:t>
      </w:r>
      <w:r w:rsidRPr="008E4FF5">
        <w:rPr>
          <w:rtl/>
          <w:lang w:val="en-US"/>
        </w:rPr>
        <w:tab/>
        <w:t>الاتفاق الإقليمي بشأن الوصول إلى المعلومات والمشاركة العامة والعدالة في المسائل البيئية في أمريكا اللاتينية ومنطقة البحر الكاريبي (اتفاق إسكاسو</w:t>
      </w:r>
      <w:r w:rsidR="00A1027B" w:rsidRPr="00A1027B">
        <w:rPr>
          <w:rtl/>
          <w:lang w:val="en-US"/>
        </w:rPr>
        <w:t xml:space="preserve">)، </w:t>
      </w:r>
      <w:r w:rsidRPr="008E4FF5">
        <w:rPr>
          <w:rtl/>
          <w:lang w:val="en-US"/>
        </w:rPr>
        <w:t xml:space="preserve">في عام </w:t>
      </w:r>
      <w:r w:rsidRPr="003231D2">
        <w:rPr>
          <w:rtl/>
          <w:lang w:val="en-US"/>
        </w:rPr>
        <w:t>202</w:t>
      </w:r>
      <w:r w:rsidR="00A1027B" w:rsidRPr="003231D2">
        <w:rPr>
          <w:rtl/>
          <w:lang w:val="en-US"/>
        </w:rPr>
        <w:t>2</w:t>
      </w:r>
      <w:r w:rsidR="00A1027B" w:rsidRPr="00A1027B">
        <w:rPr>
          <w:rtl/>
          <w:lang w:val="en-US"/>
        </w:rPr>
        <w:t>.</w:t>
      </w:r>
      <w:r w:rsidR="00AE2F7E">
        <w:rPr>
          <w:rFonts w:hint="cs"/>
          <w:rtl/>
          <w:lang w:val="en-US"/>
        </w:rPr>
        <w:t xml:space="preserve"> </w:t>
      </w:r>
    </w:p>
    <w:p w14:paraId="39ED3F4A" w14:textId="75102BB3" w:rsidR="008E4FF5" w:rsidRPr="008E4FF5" w:rsidRDefault="008E4FF5" w:rsidP="00A1027B">
      <w:pPr>
        <w:pStyle w:val="SingleTxtGA"/>
        <w:spacing w:line="340" w:lineRule="exact"/>
        <w:rPr>
          <w:lang w:val="en-US"/>
        </w:rPr>
      </w:pPr>
      <w:r w:rsidRPr="003231D2">
        <w:rPr>
          <w:rtl/>
          <w:lang w:val="en-US"/>
        </w:rPr>
        <w:lastRenderedPageBreak/>
        <w:t>6</w:t>
      </w:r>
      <w:r w:rsidRPr="008E4FF5">
        <w:rPr>
          <w:rtl/>
          <w:lang w:val="en-US"/>
        </w:rPr>
        <w:t>-</w:t>
      </w:r>
      <w:r w:rsidRPr="008E4FF5">
        <w:rPr>
          <w:rtl/>
          <w:lang w:val="en-US"/>
        </w:rPr>
        <w:tab/>
        <w:t xml:space="preserve">وترحب اللجنة بموافقة الدولة الطرف، في </w:t>
      </w:r>
      <w:r w:rsidRPr="003231D2">
        <w:rPr>
          <w:rtl/>
          <w:lang w:val="en-US"/>
        </w:rPr>
        <w:t>7</w:t>
      </w:r>
      <w:r w:rsidRPr="008E4FF5">
        <w:rPr>
          <w:rtl/>
          <w:lang w:val="en-US"/>
        </w:rPr>
        <w:t xml:space="preserve"> أيلول/سبتمبر </w:t>
      </w:r>
      <w:r w:rsidRPr="003231D2">
        <w:rPr>
          <w:rtl/>
          <w:lang w:val="en-US"/>
        </w:rPr>
        <w:t>2022</w:t>
      </w:r>
      <w:r w:rsidRPr="008E4FF5">
        <w:rPr>
          <w:rtl/>
          <w:lang w:val="en-US"/>
        </w:rPr>
        <w:t>، على الإعلان الوارد في</w:t>
      </w:r>
      <w:r w:rsidR="00A45792">
        <w:rPr>
          <w:lang w:val="en-US"/>
        </w:rPr>
        <w:t> </w:t>
      </w:r>
      <w:r w:rsidRPr="008E4FF5">
        <w:rPr>
          <w:rtl/>
          <w:lang w:val="en-US"/>
        </w:rPr>
        <w:t xml:space="preserve">المادة </w:t>
      </w:r>
      <w:r w:rsidRPr="003231D2">
        <w:rPr>
          <w:rtl/>
          <w:lang w:val="en-US"/>
        </w:rPr>
        <w:t>31</w:t>
      </w:r>
      <w:r w:rsidRPr="008E4FF5">
        <w:rPr>
          <w:rtl/>
          <w:lang w:val="en-US"/>
        </w:rPr>
        <w:t xml:space="preserve"> من الاتفاقية الدولية لحماية جميع الأشخاص من الاختفاء القسري، الذي تعترف بموجبه باختصاص اللجنة المعنية بحالات الاختفاء القسري تلقي البلاغات المقدمة من الأفراد والنظر فيها.</w:t>
      </w:r>
    </w:p>
    <w:p w14:paraId="5DA1D598" w14:textId="77777777" w:rsidR="008E4FF5" w:rsidRPr="008E4FF5" w:rsidRDefault="008E4FF5" w:rsidP="00A1027B">
      <w:pPr>
        <w:pStyle w:val="SingleTxtGA"/>
        <w:spacing w:line="340" w:lineRule="exact"/>
        <w:rPr>
          <w:lang w:val="en-US"/>
        </w:rPr>
      </w:pPr>
      <w:r w:rsidRPr="003231D2">
        <w:rPr>
          <w:rtl/>
          <w:lang w:val="en-US"/>
        </w:rPr>
        <w:t>7</w:t>
      </w:r>
      <w:r w:rsidRPr="008E4FF5">
        <w:rPr>
          <w:rtl/>
          <w:lang w:val="en-US"/>
        </w:rPr>
        <w:t>-</w:t>
      </w:r>
      <w:r w:rsidRPr="008E4FF5">
        <w:rPr>
          <w:rtl/>
          <w:lang w:val="en-US"/>
        </w:rPr>
        <w:tab/>
        <w:t xml:space="preserve">وترحب اللجنة باعتماد الدولة الطرف التشريعات التالية في المجالات ذات الصلة بالاتفاقية: </w:t>
      </w:r>
    </w:p>
    <w:p w14:paraId="248C0EA6" w14:textId="77777777" w:rsidR="008E4FF5" w:rsidRPr="008E4FF5" w:rsidRDefault="008E4FF5" w:rsidP="00A1027B">
      <w:pPr>
        <w:pStyle w:val="SingleTxtGA"/>
        <w:spacing w:line="340" w:lineRule="exact"/>
        <w:rPr>
          <w:lang w:val="en-US"/>
        </w:rPr>
      </w:pPr>
      <w:r w:rsidRPr="008E4FF5">
        <w:rPr>
          <w:rtl/>
          <w:lang w:val="en-US"/>
        </w:rPr>
        <w:tab/>
        <w:t>(أ)</w:t>
      </w:r>
      <w:r w:rsidRPr="008E4FF5">
        <w:rPr>
          <w:rtl/>
          <w:lang w:val="en-US"/>
        </w:rPr>
        <w:tab/>
        <w:t xml:space="preserve">القانون رقم </w:t>
      </w:r>
      <w:r w:rsidRPr="003231D2">
        <w:rPr>
          <w:rtl/>
          <w:lang w:val="en-US"/>
        </w:rPr>
        <w:t>2292</w:t>
      </w:r>
      <w:r w:rsidRPr="008E4FF5">
        <w:rPr>
          <w:rtl/>
          <w:lang w:val="en-US"/>
        </w:rPr>
        <w:t xml:space="preserve"> لعام </w:t>
      </w:r>
      <w:r w:rsidRPr="003231D2">
        <w:rPr>
          <w:rtl/>
          <w:lang w:val="en-US"/>
        </w:rPr>
        <w:t>2023</w:t>
      </w:r>
      <w:r w:rsidRPr="008E4FF5">
        <w:rPr>
          <w:rtl/>
          <w:lang w:val="en-US"/>
        </w:rPr>
        <w:t>، الذي ينص على تدابير العمل الإيجابي للنساء ربات الأسر في مجال السياسات الجزائية والسجنية؛</w:t>
      </w:r>
    </w:p>
    <w:p w14:paraId="2C1AB565" w14:textId="4BBC40E9" w:rsidR="008E4FF5" w:rsidRPr="008E4FF5" w:rsidRDefault="008E4FF5" w:rsidP="00A1027B">
      <w:pPr>
        <w:pStyle w:val="SingleTxtGA"/>
        <w:spacing w:line="340" w:lineRule="exact"/>
        <w:rPr>
          <w:rFonts w:hint="cs"/>
          <w:rtl/>
          <w:lang w:val="en-US"/>
        </w:rPr>
      </w:pPr>
      <w:r w:rsidRPr="00A45792">
        <w:rPr>
          <w:spacing w:val="-2"/>
          <w:rtl/>
          <w:lang w:val="en-US"/>
        </w:rPr>
        <w:tab/>
        <w:t>(ب)</w:t>
      </w:r>
      <w:r w:rsidRPr="00A45792">
        <w:rPr>
          <w:spacing w:val="-2"/>
          <w:rtl/>
          <w:lang w:val="en-US"/>
        </w:rPr>
        <w:tab/>
        <w:t xml:space="preserve">القانون رقم </w:t>
      </w:r>
      <w:r w:rsidRPr="003231D2">
        <w:rPr>
          <w:spacing w:val="-2"/>
          <w:rtl/>
          <w:lang w:val="en-US"/>
        </w:rPr>
        <w:t>2272</w:t>
      </w:r>
      <w:r w:rsidRPr="00A45792">
        <w:rPr>
          <w:spacing w:val="-2"/>
          <w:rtl/>
          <w:lang w:val="en-US"/>
        </w:rPr>
        <w:t xml:space="preserve"> لعام </w:t>
      </w:r>
      <w:r w:rsidRPr="003231D2">
        <w:rPr>
          <w:spacing w:val="-2"/>
          <w:rtl/>
          <w:lang w:val="en-US"/>
        </w:rPr>
        <w:t>2022</w:t>
      </w:r>
      <w:r w:rsidRPr="00A45792">
        <w:rPr>
          <w:spacing w:val="-2"/>
          <w:rtl/>
          <w:lang w:val="en-US"/>
        </w:rPr>
        <w:t>، الذي يحدد سياسة الدولة الطرف للسلام ويعدل ويكمل</w:t>
      </w:r>
      <w:r w:rsidRPr="008E4FF5">
        <w:rPr>
          <w:rtl/>
          <w:lang w:val="en-US"/>
        </w:rPr>
        <w:t xml:space="preserve"> ويمدد القانون رقم </w:t>
      </w:r>
      <w:r w:rsidRPr="003231D2">
        <w:rPr>
          <w:rtl/>
          <w:lang w:val="en-US"/>
        </w:rPr>
        <w:t>418</w:t>
      </w:r>
      <w:r w:rsidRPr="008E4FF5">
        <w:rPr>
          <w:rtl/>
          <w:lang w:val="en-US"/>
        </w:rPr>
        <w:t xml:space="preserve"> لعام </w:t>
      </w:r>
      <w:r w:rsidRPr="003231D2">
        <w:rPr>
          <w:rtl/>
          <w:lang w:val="en-US"/>
        </w:rPr>
        <w:t>1997</w:t>
      </w:r>
      <w:r w:rsidRPr="008E4FF5">
        <w:rPr>
          <w:rtl/>
          <w:lang w:val="en-US"/>
        </w:rPr>
        <w:t>؛</w:t>
      </w:r>
    </w:p>
    <w:p w14:paraId="17ADBB49" w14:textId="46C7C1E3" w:rsidR="008E4FF5" w:rsidRPr="008E4FF5" w:rsidRDefault="008E4FF5" w:rsidP="00A1027B">
      <w:pPr>
        <w:pStyle w:val="SingleTxtGA"/>
        <w:spacing w:line="340" w:lineRule="exact"/>
        <w:rPr>
          <w:lang w:val="en-US"/>
        </w:rPr>
      </w:pPr>
      <w:r w:rsidRPr="008E4FF5">
        <w:rPr>
          <w:rtl/>
          <w:lang w:val="en-US"/>
        </w:rPr>
        <w:tab/>
        <w:t>(ج)</w:t>
      </w:r>
      <w:r w:rsidRPr="008E4FF5">
        <w:rPr>
          <w:rtl/>
          <w:lang w:val="en-US"/>
        </w:rPr>
        <w:tab/>
        <w:t xml:space="preserve">القانون رقم </w:t>
      </w:r>
      <w:r w:rsidRPr="003231D2">
        <w:rPr>
          <w:rtl/>
          <w:lang w:val="en-US"/>
        </w:rPr>
        <w:t>2261</w:t>
      </w:r>
      <w:r w:rsidRPr="008E4FF5">
        <w:rPr>
          <w:rtl/>
          <w:lang w:val="en-US"/>
        </w:rPr>
        <w:t xml:space="preserve"> لعام </w:t>
      </w:r>
      <w:r w:rsidRPr="003231D2">
        <w:rPr>
          <w:rtl/>
          <w:lang w:val="en-US"/>
        </w:rPr>
        <w:t>2022</w:t>
      </w:r>
      <w:r w:rsidRPr="008E4FF5">
        <w:rPr>
          <w:rtl/>
          <w:lang w:val="en-US"/>
        </w:rPr>
        <w:t>، الذي يضمن، في جملة أحكام، إتاحة لوازم النظافة الصحية ولوازم الدورة الشهرية مجان</w:t>
      </w:r>
      <w:r w:rsidR="00182572">
        <w:rPr>
          <w:rtl/>
          <w:lang w:val="en-US"/>
        </w:rPr>
        <w:t xml:space="preserve">اً </w:t>
      </w:r>
      <w:r w:rsidRPr="008E4FF5">
        <w:rPr>
          <w:rtl/>
          <w:lang w:val="en-US"/>
        </w:rPr>
        <w:t>للنساء وغيرهن من اللائي سُلبن حريتهن؛</w:t>
      </w:r>
    </w:p>
    <w:p w14:paraId="7EF69FF4" w14:textId="7866093D" w:rsidR="008E4FF5" w:rsidRPr="008E4FF5" w:rsidRDefault="008E4FF5" w:rsidP="00A1027B">
      <w:pPr>
        <w:pStyle w:val="SingleTxtGA"/>
        <w:spacing w:line="340" w:lineRule="exact"/>
        <w:rPr>
          <w:lang w:val="en-US"/>
        </w:rPr>
      </w:pPr>
      <w:r w:rsidRPr="008E4FF5">
        <w:rPr>
          <w:rtl/>
          <w:lang w:val="en-US"/>
        </w:rPr>
        <w:tab/>
        <w:t>(د)</w:t>
      </w:r>
      <w:r w:rsidRPr="008E4FF5">
        <w:rPr>
          <w:rtl/>
          <w:lang w:val="en-US"/>
        </w:rPr>
        <w:tab/>
        <w:t xml:space="preserve">القانون رقم </w:t>
      </w:r>
      <w:r w:rsidRPr="003231D2">
        <w:rPr>
          <w:rtl/>
          <w:lang w:val="en-US"/>
        </w:rPr>
        <w:t>2196</w:t>
      </w:r>
      <w:r w:rsidRPr="008E4FF5">
        <w:rPr>
          <w:rtl/>
          <w:lang w:val="en-US"/>
        </w:rPr>
        <w:t xml:space="preserve"> لعام </w:t>
      </w:r>
      <w:r w:rsidRPr="003231D2">
        <w:rPr>
          <w:rtl/>
          <w:lang w:val="en-US"/>
        </w:rPr>
        <w:t>2022</w:t>
      </w:r>
      <w:r w:rsidRPr="008E4FF5">
        <w:rPr>
          <w:rtl/>
          <w:lang w:val="en-US"/>
        </w:rPr>
        <w:t>، الذي يحدد قانون الشرطة التأديبي؛</w:t>
      </w:r>
    </w:p>
    <w:p w14:paraId="56635BEF" w14:textId="7D7D58F3" w:rsidR="008E4FF5" w:rsidRPr="008E4FF5" w:rsidRDefault="008E4FF5" w:rsidP="00A1027B">
      <w:pPr>
        <w:pStyle w:val="SingleTxtGA"/>
        <w:spacing w:line="340" w:lineRule="exact"/>
        <w:rPr>
          <w:lang w:val="en-US"/>
        </w:rPr>
      </w:pPr>
      <w:r w:rsidRPr="008E4FF5">
        <w:rPr>
          <w:rtl/>
          <w:lang w:val="en-US"/>
        </w:rPr>
        <w:tab/>
        <w:t>(هـ)</w:t>
      </w:r>
      <w:r w:rsidRPr="008E4FF5">
        <w:rPr>
          <w:rtl/>
          <w:lang w:val="en-US"/>
        </w:rPr>
        <w:tab/>
        <w:t xml:space="preserve">القانون رقم </w:t>
      </w:r>
      <w:r w:rsidRPr="003231D2">
        <w:rPr>
          <w:rtl/>
          <w:lang w:val="en-US"/>
        </w:rPr>
        <w:t>2179</w:t>
      </w:r>
      <w:r w:rsidRPr="008E4FF5">
        <w:rPr>
          <w:rtl/>
          <w:lang w:val="en-US"/>
        </w:rPr>
        <w:t xml:space="preserve"> لعام </w:t>
      </w:r>
      <w:r w:rsidRPr="003231D2">
        <w:rPr>
          <w:rtl/>
          <w:lang w:val="en-US"/>
        </w:rPr>
        <w:t>2021</w:t>
      </w:r>
      <w:r w:rsidRPr="008E4FF5">
        <w:rPr>
          <w:rtl/>
          <w:lang w:val="en-US"/>
        </w:rPr>
        <w:t>، الذي يرمي إلى تعزيز مهنية الشرطة؛</w:t>
      </w:r>
    </w:p>
    <w:p w14:paraId="3CCAC940" w14:textId="695B34EF" w:rsidR="008E4FF5" w:rsidRPr="008E4FF5" w:rsidRDefault="008E4FF5" w:rsidP="00A1027B">
      <w:pPr>
        <w:pStyle w:val="SingleTxtGA"/>
        <w:spacing w:line="340" w:lineRule="exact"/>
        <w:rPr>
          <w:lang w:val="en-US"/>
        </w:rPr>
      </w:pPr>
      <w:r w:rsidRPr="008E4FF5">
        <w:rPr>
          <w:rtl/>
          <w:lang w:val="en-US"/>
        </w:rPr>
        <w:tab/>
        <w:t>(و)</w:t>
      </w:r>
      <w:r w:rsidRPr="008E4FF5">
        <w:rPr>
          <w:rtl/>
          <w:lang w:val="en-US"/>
        </w:rPr>
        <w:tab/>
        <w:t xml:space="preserve">القانون رقم </w:t>
      </w:r>
      <w:r w:rsidRPr="003231D2">
        <w:rPr>
          <w:rtl/>
          <w:lang w:val="en-US"/>
        </w:rPr>
        <w:t>2136</w:t>
      </w:r>
      <w:r w:rsidRPr="008E4FF5">
        <w:rPr>
          <w:rtl/>
          <w:lang w:val="en-US"/>
        </w:rPr>
        <w:t xml:space="preserve"> لعام </w:t>
      </w:r>
      <w:r w:rsidRPr="003231D2">
        <w:rPr>
          <w:rtl/>
          <w:lang w:val="en-US"/>
        </w:rPr>
        <w:t>2021</w:t>
      </w:r>
      <w:r w:rsidRPr="008E4FF5">
        <w:rPr>
          <w:rtl/>
          <w:lang w:val="en-US"/>
        </w:rPr>
        <w:t xml:space="preserve"> بشأن سياسة الهجرة العالمية، الذي يؤكد مجدد</w:t>
      </w:r>
      <w:r w:rsidR="00182572">
        <w:rPr>
          <w:rtl/>
          <w:lang w:val="en-US"/>
        </w:rPr>
        <w:t xml:space="preserve">اً </w:t>
      </w:r>
      <w:r w:rsidRPr="008E4FF5">
        <w:rPr>
          <w:rtl/>
          <w:lang w:val="en-US"/>
        </w:rPr>
        <w:t>احترام مبدأ عدم الإعادة القسرية؛</w:t>
      </w:r>
    </w:p>
    <w:p w14:paraId="4A976588" w14:textId="77777777" w:rsidR="008E4FF5" w:rsidRPr="008E4FF5" w:rsidRDefault="008E4FF5" w:rsidP="00A1027B">
      <w:pPr>
        <w:pStyle w:val="SingleTxtGA"/>
        <w:spacing w:line="340" w:lineRule="exact"/>
        <w:rPr>
          <w:lang w:val="en-US"/>
        </w:rPr>
      </w:pPr>
      <w:r w:rsidRPr="008E4FF5">
        <w:rPr>
          <w:rtl/>
          <w:lang w:val="en-US"/>
        </w:rPr>
        <w:tab/>
        <w:t>(ز)</w:t>
      </w:r>
      <w:r w:rsidRPr="008E4FF5">
        <w:rPr>
          <w:rtl/>
          <w:lang w:val="en-US"/>
        </w:rPr>
        <w:tab/>
        <w:t xml:space="preserve">القانون رقم </w:t>
      </w:r>
      <w:r w:rsidRPr="003231D2">
        <w:rPr>
          <w:rtl/>
          <w:lang w:val="en-US"/>
        </w:rPr>
        <w:t>1957</w:t>
      </w:r>
      <w:r w:rsidRPr="008E4FF5">
        <w:rPr>
          <w:rtl/>
          <w:lang w:val="en-US"/>
        </w:rPr>
        <w:t xml:space="preserve"> لعام </w:t>
      </w:r>
      <w:r w:rsidRPr="003231D2">
        <w:rPr>
          <w:rtl/>
          <w:lang w:val="en-US"/>
        </w:rPr>
        <w:t>2019</w:t>
      </w:r>
      <w:r w:rsidRPr="008E4FF5">
        <w:rPr>
          <w:rtl/>
          <w:lang w:val="en-US"/>
        </w:rPr>
        <w:t xml:space="preserve"> بشأن إقامة العدل في إطار محكمة السلام الخاصة؛</w:t>
      </w:r>
    </w:p>
    <w:p w14:paraId="2D1EDE9C" w14:textId="101312DF" w:rsidR="008E4FF5" w:rsidRPr="008E4FF5" w:rsidRDefault="008E4FF5" w:rsidP="00A1027B">
      <w:pPr>
        <w:pStyle w:val="SingleTxtGA"/>
        <w:spacing w:line="340" w:lineRule="exact"/>
        <w:rPr>
          <w:lang w:val="en-US"/>
        </w:rPr>
      </w:pPr>
      <w:r w:rsidRPr="008E4FF5">
        <w:rPr>
          <w:rtl/>
          <w:lang w:val="en-US"/>
        </w:rPr>
        <w:tab/>
        <w:t>(ح)</w:t>
      </w:r>
      <w:r w:rsidRPr="008E4FF5">
        <w:rPr>
          <w:rtl/>
          <w:lang w:val="en-US"/>
        </w:rPr>
        <w:tab/>
        <w:t xml:space="preserve">المرسوم رقم </w:t>
      </w:r>
      <w:r w:rsidRPr="003231D2">
        <w:rPr>
          <w:rtl/>
          <w:lang w:val="en-US"/>
        </w:rPr>
        <w:t>154</w:t>
      </w:r>
      <w:r w:rsidRPr="008E4FF5">
        <w:rPr>
          <w:rtl/>
          <w:lang w:val="en-US"/>
        </w:rPr>
        <w:t xml:space="preserve"> لعام </w:t>
      </w:r>
      <w:r w:rsidRPr="003231D2">
        <w:rPr>
          <w:rtl/>
          <w:lang w:val="en-US"/>
        </w:rPr>
        <w:t>2017</w:t>
      </w:r>
      <w:r w:rsidRPr="008E4FF5">
        <w:rPr>
          <w:rtl/>
          <w:lang w:val="en-US"/>
        </w:rPr>
        <w:t xml:space="preserve"> الذي ينص على إنشاء اللجنة الوطنية للضمانات الأمنية في إطار اتفاق السلام الموقع بين الحكومة الوطنية والقوات المسلحة الثورية الكولومبية - الجيش الشعبي في </w:t>
      </w:r>
      <w:r w:rsidRPr="003231D2">
        <w:rPr>
          <w:rtl/>
          <w:lang w:val="en-US"/>
        </w:rPr>
        <w:t>24</w:t>
      </w:r>
      <w:r w:rsidRPr="008E4FF5">
        <w:rPr>
          <w:rtl/>
          <w:lang w:val="en-US"/>
        </w:rPr>
        <w:t xml:space="preserve"> تشرين الثاني/نوفمبر </w:t>
      </w:r>
      <w:r w:rsidRPr="003231D2">
        <w:rPr>
          <w:rtl/>
          <w:lang w:val="en-US"/>
        </w:rPr>
        <w:t>2016</w:t>
      </w:r>
      <w:r w:rsidRPr="008E4FF5">
        <w:rPr>
          <w:rtl/>
          <w:lang w:val="en-US"/>
        </w:rPr>
        <w:t>؛</w:t>
      </w:r>
    </w:p>
    <w:p w14:paraId="144ED619" w14:textId="14D56A6C" w:rsidR="008E4FF5" w:rsidRPr="008E4FF5" w:rsidRDefault="008E4FF5" w:rsidP="00A1027B">
      <w:pPr>
        <w:pStyle w:val="SingleTxtGA"/>
        <w:spacing w:line="340" w:lineRule="exact"/>
        <w:rPr>
          <w:lang w:val="en-US"/>
        </w:rPr>
      </w:pPr>
      <w:r w:rsidRPr="00A45792">
        <w:rPr>
          <w:spacing w:val="-2"/>
          <w:rtl/>
          <w:lang w:val="en-US"/>
        </w:rPr>
        <w:tab/>
        <w:t>(ط)</w:t>
      </w:r>
      <w:r w:rsidRPr="00A45792">
        <w:rPr>
          <w:spacing w:val="-2"/>
          <w:rtl/>
          <w:lang w:val="en-US"/>
        </w:rPr>
        <w:tab/>
        <w:t xml:space="preserve">القانون رقم </w:t>
      </w:r>
      <w:r w:rsidRPr="003231D2">
        <w:rPr>
          <w:spacing w:val="-2"/>
          <w:rtl/>
          <w:lang w:val="en-US"/>
        </w:rPr>
        <w:t>1820</w:t>
      </w:r>
      <w:r w:rsidRPr="00A45792">
        <w:rPr>
          <w:spacing w:val="-2"/>
          <w:rtl/>
          <w:lang w:val="en-US"/>
        </w:rPr>
        <w:t xml:space="preserve"> لعام </w:t>
      </w:r>
      <w:r w:rsidRPr="003231D2">
        <w:rPr>
          <w:spacing w:val="-2"/>
          <w:rtl/>
          <w:lang w:val="en-US"/>
        </w:rPr>
        <w:t>2016</w:t>
      </w:r>
      <w:r w:rsidRPr="00A45792">
        <w:rPr>
          <w:spacing w:val="-2"/>
          <w:rtl/>
          <w:lang w:val="en-US"/>
        </w:rPr>
        <w:t>، الذي يتضمن أحكام</w:t>
      </w:r>
      <w:r w:rsidR="00182572" w:rsidRPr="00A45792">
        <w:rPr>
          <w:spacing w:val="-2"/>
          <w:rtl/>
          <w:lang w:val="en-US"/>
        </w:rPr>
        <w:t xml:space="preserve">اً </w:t>
      </w:r>
      <w:r w:rsidRPr="00A45792">
        <w:rPr>
          <w:spacing w:val="-2"/>
          <w:rtl/>
          <w:lang w:val="en-US"/>
        </w:rPr>
        <w:t>بشأن العفو العام، والعفو الخاص،</w:t>
      </w:r>
      <w:r w:rsidRPr="00A45792">
        <w:rPr>
          <w:spacing w:val="-2"/>
          <w:rtl/>
          <w:lang w:val="en-US"/>
        </w:rPr>
        <w:t xml:space="preserve"> </w:t>
      </w:r>
      <w:r w:rsidRPr="008E4FF5">
        <w:rPr>
          <w:rtl/>
          <w:lang w:val="en-US"/>
        </w:rPr>
        <w:t>والإجراءات الخاصة بموجب القانون الجنائي في قضايا الجرائم السياسية والجرائم ذات الصلة.</w:t>
      </w:r>
    </w:p>
    <w:p w14:paraId="2F78453D" w14:textId="42460649" w:rsidR="008E4FF5" w:rsidRPr="008E4FF5" w:rsidRDefault="008E4FF5" w:rsidP="00A1027B">
      <w:pPr>
        <w:pStyle w:val="SingleTxtGA"/>
        <w:spacing w:line="340" w:lineRule="exact"/>
        <w:rPr>
          <w:lang w:val="en-US"/>
        </w:rPr>
      </w:pPr>
      <w:r w:rsidRPr="003231D2">
        <w:rPr>
          <w:rtl/>
          <w:lang w:val="en-US"/>
        </w:rPr>
        <w:t>8</w:t>
      </w:r>
      <w:r w:rsidRPr="008E4FF5">
        <w:rPr>
          <w:rtl/>
          <w:lang w:val="en-US"/>
        </w:rPr>
        <w:t>-</w:t>
      </w:r>
      <w:r w:rsidRPr="008E4FF5">
        <w:rPr>
          <w:rtl/>
          <w:lang w:val="en-US"/>
        </w:rPr>
        <w:tab/>
        <w:t>وترحب اللجنة أيض</w:t>
      </w:r>
      <w:r w:rsidR="00182572">
        <w:rPr>
          <w:rtl/>
          <w:lang w:val="en-US"/>
        </w:rPr>
        <w:t xml:space="preserve">اً </w:t>
      </w:r>
      <w:r w:rsidRPr="008E4FF5">
        <w:rPr>
          <w:rtl/>
          <w:lang w:val="en-US"/>
        </w:rPr>
        <w:t>بالخطوات التي اتخذتها الدولة الطرف لتعديل سياساتها وإجراءاتها من أجل تعزيز حماية حقوق الإنسان وتنفيذ أحكام الاتفاقية، لا سيما:</w:t>
      </w:r>
    </w:p>
    <w:p w14:paraId="34050BEE" w14:textId="34E265F5" w:rsidR="008E4FF5" w:rsidRPr="008E4FF5" w:rsidRDefault="008E4FF5" w:rsidP="00A1027B">
      <w:pPr>
        <w:pStyle w:val="SingleTxtGA"/>
        <w:spacing w:line="340" w:lineRule="exact"/>
        <w:rPr>
          <w:lang w:val="en-US"/>
        </w:rPr>
      </w:pPr>
      <w:r w:rsidRPr="008E4FF5">
        <w:rPr>
          <w:rtl/>
          <w:lang w:val="en-US"/>
        </w:rPr>
        <w:tab/>
        <w:t>(أ)</w:t>
      </w:r>
      <w:r w:rsidRPr="008E4FF5">
        <w:rPr>
          <w:rtl/>
          <w:lang w:val="en-US"/>
        </w:rPr>
        <w:tab/>
        <w:t xml:space="preserve">اعتماد القرار رقم </w:t>
      </w:r>
      <w:r w:rsidRPr="003231D2">
        <w:rPr>
          <w:rtl/>
          <w:lang w:val="en-US"/>
        </w:rPr>
        <w:t>051</w:t>
      </w:r>
      <w:r w:rsidRPr="008E4FF5">
        <w:rPr>
          <w:rtl/>
          <w:lang w:val="en-US"/>
        </w:rPr>
        <w:t xml:space="preserve"> المؤرخ </w:t>
      </w:r>
      <w:r w:rsidRPr="003231D2">
        <w:rPr>
          <w:rtl/>
          <w:lang w:val="en-US"/>
        </w:rPr>
        <w:t>12</w:t>
      </w:r>
      <w:r w:rsidRPr="008E4FF5">
        <w:rPr>
          <w:rtl/>
          <w:lang w:val="en-US"/>
        </w:rPr>
        <w:t xml:space="preserve"> كانون الثاني/يناير </w:t>
      </w:r>
      <w:r w:rsidRPr="003231D2">
        <w:rPr>
          <w:rtl/>
          <w:lang w:val="en-US"/>
        </w:rPr>
        <w:t>2023</w:t>
      </w:r>
      <w:r w:rsidRPr="008E4FF5">
        <w:rPr>
          <w:rtl/>
          <w:lang w:val="en-US"/>
        </w:rPr>
        <w:t xml:space="preserve">، الذي يحدد لائحة واحدة للتغطية الكاملة للإجهاض المستحث، ومن ثم إنفاذ الحكمين </w:t>
      </w:r>
      <w:r w:rsidRPr="008E4FF5">
        <w:rPr>
          <w:lang w:val="en-US"/>
        </w:rPr>
        <w:t>C-</w:t>
      </w:r>
      <w:r w:rsidRPr="003231D2">
        <w:rPr>
          <w:lang w:val="en-US"/>
        </w:rPr>
        <w:t>355</w:t>
      </w:r>
      <w:r w:rsidR="00A1027B">
        <w:rPr>
          <w:rtl/>
          <w:lang w:val="en-US"/>
        </w:rPr>
        <w:t xml:space="preserve"> و</w:t>
      </w:r>
      <w:r w:rsidR="00A1027B" w:rsidRPr="008E4FF5">
        <w:rPr>
          <w:lang w:val="en-US"/>
        </w:rPr>
        <w:t>S</w:t>
      </w:r>
      <w:r w:rsidRPr="008E4FF5">
        <w:rPr>
          <w:lang w:val="en-US"/>
        </w:rPr>
        <w:t>U-</w:t>
      </w:r>
      <w:r w:rsidRPr="003231D2">
        <w:rPr>
          <w:lang w:val="en-US"/>
        </w:rPr>
        <w:t>096</w:t>
      </w:r>
      <w:r w:rsidRPr="008E4FF5">
        <w:rPr>
          <w:rtl/>
          <w:lang w:val="en-US"/>
        </w:rPr>
        <w:t xml:space="preserve"> الصادرين عن المحكمة الدستورية في عامي </w:t>
      </w:r>
      <w:r w:rsidRPr="003231D2">
        <w:rPr>
          <w:rtl/>
          <w:lang w:val="en-US"/>
        </w:rPr>
        <w:t>2006</w:t>
      </w:r>
      <w:r>
        <w:rPr>
          <w:rtl/>
          <w:lang w:val="en-US"/>
        </w:rPr>
        <w:t xml:space="preserve"> و</w:t>
      </w:r>
      <w:r w:rsidRPr="003231D2">
        <w:rPr>
          <w:rtl/>
          <w:lang w:val="en-US"/>
        </w:rPr>
        <w:t>2018</w:t>
      </w:r>
      <w:r w:rsidRPr="008E4FF5">
        <w:rPr>
          <w:rtl/>
          <w:lang w:val="en-US"/>
        </w:rPr>
        <w:t xml:space="preserve"> على التوالي، والفقرة الثانية من منطوق الحكم</w:t>
      </w:r>
      <w:r>
        <w:rPr>
          <w:rtl/>
          <w:lang w:val="en-US"/>
        </w:rPr>
        <w:t xml:space="preserve"> </w:t>
      </w:r>
      <w:r w:rsidRPr="008E4FF5">
        <w:rPr>
          <w:lang w:val="en-US"/>
        </w:rPr>
        <w:t>C-</w:t>
      </w:r>
      <w:r w:rsidRPr="003231D2">
        <w:rPr>
          <w:lang w:val="en-US"/>
        </w:rPr>
        <w:t>055</w:t>
      </w:r>
      <w:r>
        <w:rPr>
          <w:rtl/>
          <w:lang w:val="en-US"/>
        </w:rPr>
        <w:t>،</w:t>
      </w:r>
      <w:r w:rsidRPr="008E4FF5">
        <w:rPr>
          <w:rtl/>
          <w:lang w:val="en-US"/>
        </w:rPr>
        <w:t xml:space="preserve"> الصادر عن المحكمة نفسها في عام </w:t>
      </w:r>
      <w:r w:rsidRPr="003231D2">
        <w:rPr>
          <w:rtl/>
          <w:lang w:val="en-US"/>
        </w:rPr>
        <w:t>2022</w:t>
      </w:r>
      <w:r w:rsidRPr="008E4FF5">
        <w:rPr>
          <w:rtl/>
          <w:lang w:val="en-US"/>
        </w:rPr>
        <w:t>؛</w:t>
      </w:r>
    </w:p>
    <w:p w14:paraId="40A769F9" w14:textId="77777777" w:rsidR="008E4FF5" w:rsidRPr="008E4FF5" w:rsidRDefault="008E4FF5" w:rsidP="00A1027B">
      <w:pPr>
        <w:pStyle w:val="SingleTxtGA"/>
        <w:spacing w:line="340" w:lineRule="exact"/>
        <w:rPr>
          <w:lang w:val="en-US"/>
        </w:rPr>
      </w:pPr>
      <w:r w:rsidRPr="008E4FF5">
        <w:rPr>
          <w:rtl/>
          <w:lang w:val="en-US"/>
        </w:rPr>
        <w:tab/>
        <w:t>(ب)</w:t>
      </w:r>
      <w:r w:rsidRPr="008E4FF5">
        <w:rPr>
          <w:rtl/>
          <w:lang w:val="en-US"/>
        </w:rPr>
        <w:tab/>
        <w:t xml:space="preserve">إبرام اتفاق التعاون بين محكمة السلام الخاصة ومكتب المدعي العام في عام </w:t>
      </w:r>
      <w:r w:rsidRPr="003231D2">
        <w:rPr>
          <w:rtl/>
          <w:lang w:val="en-US"/>
        </w:rPr>
        <w:t>2022</w:t>
      </w:r>
      <w:r w:rsidRPr="008E4FF5">
        <w:rPr>
          <w:rtl/>
          <w:lang w:val="en-US"/>
        </w:rPr>
        <w:t>، الذي يرمي إلى ضمان عدم إفلات أي جريمة ارتُكبت في سياق النزاع المسلح من العقاب؛</w:t>
      </w:r>
    </w:p>
    <w:p w14:paraId="71995E5B" w14:textId="77777777" w:rsidR="008E4FF5" w:rsidRPr="008E4FF5" w:rsidRDefault="008E4FF5" w:rsidP="00A1027B">
      <w:pPr>
        <w:pStyle w:val="SingleTxtGA"/>
        <w:spacing w:line="340" w:lineRule="exact"/>
        <w:rPr>
          <w:lang w:val="en-US"/>
        </w:rPr>
      </w:pPr>
      <w:r w:rsidRPr="008E4FF5">
        <w:rPr>
          <w:rtl/>
          <w:lang w:val="en-US"/>
        </w:rPr>
        <w:tab/>
        <w:t>(ج)</w:t>
      </w:r>
      <w:r w:rsidRPr="008E4FF5">
        <w:rPr>
          <w:rtl/>
          <w:lang w:val="en-US"/>
        </w:rPr>
        <w:tab/>
        <w:t xml:space="preserve">إنشاء لجنة المتابعة والرصد في عام </w:t>
      </w:r>
      <w:r w:rsidRPr="003231D2">
        <w:rPr>
          <w:rtl/>
          <w:lang w:val="en-US"/>
        </w:rPr>
        <w:t>2022</w:t>
      </w:r>
      <w:r w:rsidRPr="008E4FF5">
        <w:rPr>
          <w:rtl/>
          <w:lang w:val="en-US"/>
        </w:rPr>
        <w:t>، المُكلفة بالتحقق من تنفيذ توصيات لجنة الحقيقة والتعايش وعدم التكرار؛</w:t>
      </w:r>
    </w:p>
    <w:p w14:paraId="23C5AE4A" w14:textId="77777777" w:rsidR="008E4FF5" w:rsidRPr="008E4FF5" w:rsidRDefault="008E4FF5" w:rsidP="00A1027B">
      <w:pPr>
        <w:pStyle w:val="SingleTxtGA"/>
        <w:spacing w:line="340" w:lineRule="exact"/>
        <w:rPr>
          <w:lang w:val="en-US"/>
        </w:rPr>
      </w:pPr>
      <w:r w:rsidRPr="008E4FF5">
        <w:rPr>
          <w:rtl/>
          <w:lang w:val="en-US"/>
        </w:rPr>
        <w:tab/>
        <w:t>(د)</w:t>
      </w:r>
      <w:r w:rsidRPr="008E4FF5">
        <w:rPr>
          <w:rtl/>
          <w:lang w:val="en-US"/>
        </w:rPr>
        <w:tab/>
        <w:t xml:space="preserve">إنشاء قاعدة بيانات في عام </w:t>
      </w:r>
      <w:r w:rsidRPr="003231D2">
        <w:rPr>
          <w:rtl/>
          <w:lang w:val="en-US"/>
        </w:rPr>
        <w:t>2022</w:t>
      </w:r>
      <w:r w:rsidRPr="008E4FF5">
        <w:rPr>
          <w:rtl/>
          <w:lang w:val="en-US"/>
        </w:rPr>
        <w:t xml:space="preserve"> بشأن الأشخاص ضحايا انتهاكات حقوق الإنسان في إطار حركات الاحتجاج الاجتماعي؛</w:t>
      </w:r>
    </w:p>
    <w:p w14:paraId="71BC0FA4" w14:textId="2C74A3DF" w:rsidR="008E4FF5" w:rsidRPr="008E4FF5" w:rsidRDefault="008E4FF5" w:rsidP="00A1027B">
      <w:pPr>
        <w:pStyle w:val="SingleTxtGA"/>
        <w:spacing w:line="340" w:lineRule="exact"/>
        <w:rPr>
          <w:lang w:val="en-US"/>
        </w:rPr>
      </w:pPr>
      <w:r w:rsidRPr="008E4FF5">
        <w:rPr>
          <w:rtl/>
          <w:lang w:val="en-US"/>
        </w:rPr>
        <w:tab/>
        <w:t>(هـ)</w:t>
      </w:r>
      <w:r w:rsidRPr="008E4FF5">
        <w:rPr>
          <w:rtl/>
          <w:lang w:val="en-US"/>
        </w:rPr>
        <w:tab/>
        <w:t>اعتماد خطة لتسريع الحد من وفيات الأمومة ووفيات الفترة المحيطة بالولادة</w:t>
      </w:r>
      <w:r w:rsidR="00A1027B">
        <w:rPr>
          <w:rFonts w:hint="cs"/>
          <w:rtl/>
          <w:lang w:val="en-US"/>
        </w:rPr>
        <w:t xml:space="preserve">       </w:t>
      </w:r>
      <w:proofErr w:type="gramStart"/>
      <w:r w:rsidR="00A1027B">
        <w:rPr>
          <w:rFonts w:hint="cs"/>
          <w:rtl/>
          <w:lang w:val="en-US"/>
        </w:rPr>
        <w:t xml:space="preserve">  </w:t>
      </w:r>
      <w:r w:rsidRPr="008E4FF5">
        <w:rPr>
          <w:rtl/>
          <w:lang w:val="en-US"/>
        </w:rPr>
        <w:t xml:space="preserve"> (</w:t>
      </w:r>
      <w:proofErr w:type="gramEnd"/>
      <w:r w:rsidRPr="003231D2">
        <w:rPr>
          <w:rtl/>
          <w:lang w:val="en-US"/>
        </w:rPr>
        <w:t>2022</w:t>
      </w:r>
      <w:r w:rsidRPr="008E4FF5">
        <w:rPr>
          <w:rtl/>
          <w:lang w:val="en-US"/>
        </w:rPr>
        <w:t>-</w:t>
      </w:r>
      <w:r w:rsidRPr="003231D2">
        <w:rPr>
          <w:rtl/>
          <w:lang w:val="en-US"/>
        </w:rPr>
        <w:t>202</w:t>
      </w:r>
      <w:r w:rsidR="00A1027B" w:rsidRPr="003231D2">
        <w:rPr>
          <w:rtl/>
          <w:lang w:val="en-US"/>
        </w:rPr>
        <w:t>6</w:t>
      </w:r>
      <w:r w:rsidR="00A1027B" w:rsidRPr="00A1027B">
        <w:rPr>
          <w:rtl/>
          <w:lang w:val="en-US"/>
        </w:rPr>
        <w:t xml:space="preserve">) </w:t>
      </w:r>
      <w:r w:rsidRPr="008E4FF5">
        <w:rPr>
          <w:rtl/>
          <w:lang w:val="en-US"/>
        </w:rPr>
        <w:t>في المناطق ذات الأولوية؛</w:t>
      </w:r>
    </w:p>
    <w:p w14:paraId="56B100B6" w14:textId="4CCA62C7" w:rsidR="008E4FF5" w:rsidRPr="008E4FF5" w:rsidRDefault="008E4FF5" w:rsidP="00A1027B">
      <w:pPr>
        <w:pStyle w:val="SingleTxtGA"/>
        <w:spacing w:line="340" w:lineRule="exact"/>
        <w:rPr>
          <w:lang w:val="en-US"/>
        </w:rPr>
      </w:pPr>
      <w:r w:rsidRPr="008E4FF5">
        <w:rPr>
          <w:rtl/>
          <w:lang w:val="en-US"/>
        </w:rPr>
        <w:tab/>
        <w:t>(و)</w:t>
      </w:r>
      <w:r w:rsidRPr="008E4FF5">
        <w:rPr>
          <w:rtl/>
          <w:lang w:val="en-US"/>
        </w:rPr>
        <w:tab/>
      </w:r>
      <w:r w:rsidRPr="008E4FF5">
        <w:rPr>
          <w:spacing w:val="-4"/>
          <w:rtl/>
          <w:lang w:val="en-US"/>
        </w:rPr>
        <w:t xml:space="preserve">إنشاء لجنة دائمة مشتركة بين المؤسسات معنية بقضايا الاحتجاجات </w:t>
      </w:r>
      <w:r>
        <w:rPr>
          <w:rFonts w:hint="cs"/>
          <w:spacing w:val="-4"/>
          <w:rtl/>
          <w:lang w:val="en-US"/>
        </w:rPr>
        <w:t xml:space="preserve">                      </w:t>
      </w:r>
      <w:r w:rsidRPr="008E4FF5">
        <w:rPr>
          <w:spacing w:val="-4"/>
          <w:rtl/>
          <w:lang w:val="en-US"/>
        </w:rPr>
        <w:t>العامة (</w:t>
      </w:r>
      <w:r w:rsidRPr="003231D2">
        <w:rPr>
          <w:spacing w:val="-4"/>
          <w:rtl/>
          <w:lang w:val="en-US"/>
        </w:rPr>
        <w:t>2020</w:t>
      </w:r>
      <w:r w:rsidRPr="008E4FF5">
        <w:rPr>
          <w:spacing w:val="-4"/>
          <w:rtl/>
          <w:lang w:val="en-US"/>
        </w:rPr>
        <w:t>-</w:t>
      </w:r>
      <w:r w:rsidRPr="003231D2">
        <w:rPr>
          <w:spacing w:val="-4"/>
          <w:rtl/>
          <w:lang w:val="en-US"/>
        </w:rPr>
        <w:t>2021</w:t>
      </w:r>
      <w:r w:rsidR="00A1027B" w:rsidRPr="00A1027B">
        <w:rPr>
          <w:spacing w:val="-4"/>
          <w:rtl/>
          <w:lang w:val="en-US"/>
        </w:rPr>
        <w:t>)؛</w:t>
      </w:r>
    </w:p>
    <w:p w14:paraId="5F7522F4" w14:textId="6B7CA6B2" w:rsidR="008E4FF5" w:rsidRPr="008E4FF5" w:rsidRDefault="008E4FF5" w:rsidP="00A1027B">
      <w:pPr>
        <w:pStyle w:val="SingleTxtGA"/>
        <w:spacing w:line="342" w:lineRule="exact"/>
        <w:rPr>
          <w:lang w:val="en-US"/>
        </w:rPr>
      </w:pPr>
      <w:r w:rsidRPr="008E4FF5">
        <w:rPr>
          <w:rtl/>
          <w:lang w:val="en-US"/>
        </w:rPr>
        <w:lastRenderedPageBreak/>
        <w:tab/>
        <w:t>(ز)</w:t>
      </w:r>
      <w:r w:rsidRPr="008E4FF5">
        <w:rPr>
          <w:rtl/>
          <w:lang w:val="en-US"/>
        </w:rPr>
        <w:tab/>
        <w:t xml:space="preserve">الاستنتاجات الواردة ضمن أمر المحكمة الدستورية رقم </w:t>
      </w:r>
      <w:r w:rsidRPr="003231D2">
        <w:rPr>
          <w:rtl/>
          <w:lang w:val="en-US"/>
        </w:rPr>
        <w:t>576</w:t>
      </w:r>
      <w:r w:rsidRPr="008E4FF5">
        <w:rPr>
          <w:rtl/>
          <w:lang w:val="en-US"/>
        </w:rPr>
        <w:t xml:space="preserve"> المؤرخ </w:t>
      </w:r>
      <w:r w:rsidRPr="003231D2">
        <w:rPr>
          <w:rtl/>
          <w:lang w:val="en-US"/>
        </w:rPr>
        <w:t>25</w:t>
      </w:r>
      <w:r w:rsidRPr="008E4FF5">
        <w:rPr>
          <w:rtl/>
          <w:lang w:val="en-US"/>
        </w:rPr>
        <w:t xml:space="preserve"> آب/</w:t>
      </w:r>
      <w:r>
        <w:rPr>
          <w:rFonts w:hint="cs"/>
          <w:rtl/>
          <w:lang w:val="en-US"/>
        </w:rPr>
        <w:t xml:space="preserve"> </w:t>
      </w:r>
      <w:r w:rsidRPr="008E4FF5">
        <w:rPr>
          <w:rtl/>
          <w:lang w:val="en-US"/>
        </w:rPr>
        <w:t xml:space="preserve">أغسطس </w:t>
      </w:r>
      <w:r w:rsidRPr="003231D2">
        <w:rPr>
          <w:rtl/>
          <w:lang w:val="en-US"/>
        </w:rPr>
        <w:t>2021</w:t>
      </w:r>
      <w:r w:rsidRPr="008E4FF5">
        <w:rPr>
          <w:rtl/>
          <w:lang w:val="en-US"/>
        </w:rPr>
        <w:t xml:space="preserve">، وقرار مكتب المدعي العام المؤرخ </w:t>
      </w:r>
      <w:r w:rsidRPr="003231D2">
        <w:rPr>
          <w:rtl/>
          <w:lang w:val="en-US"/>
        </w:rPr>
        <w:t>31</w:t>
      </w:r>
      <w:r w:rsidRPr="008E4FF5">
        <w:rPr>
          <w:rtl/>
          <w:lang w:val="en-US"/>
        </w:rPr>
        <w:t xml:space="preserve"> أيار/مايو </w:t>
      </w:r>
      <w:r w:rsidRPr="003231D2">
        <w:rPr>
          <w:rtl/>
          <w:lang w:val="en-US"/>
        </w:rPr>
        <w:t>2021</w:t>
      </w:r>
      <w:r w:rsidRPr="008E4FF5">
        <w:rPr>
          <w:rtl/>
          <w:lang w:val="en-US"/>
        </w:rPr>
        <w:t>، اللذين يمنحان المحاكم العادية اختصاص التحقيق في الانتهاكات المزعومة</w:t>
      </w:r>
      <w:r>
        <w:rPr>
          <w:rtl/>
          <w:lang w:val="en-US"/>
        </w:rPr>
        <w:t xml:space="preserve"> </w:t>
      </w:r>
      <w:r w:rsidRPr="008E4FF5">
        <w:rPr>
          <w:rtl/>
          <w:lang w:val="en-US"/>
        </w:rPr>
        <w:t xml:space="preserve">لأفراد قوات الأمن في سياق الإضراب الوطني، وإصدار مكتب المدعي العام التوجيه رقم </w:t>
      </w:r>
      <w:r w:rsidRPr="003231D2">
        <w:rPr>
          <w:rtl/>
          <w:lang w:val="en-US"/>
        </w:rPr>
        <w:t>0002</w:t>
      </w:r>
      <w:r w:rsidRPr="008E4FF5">
        <w:rPr>
          <w:rtl/>
          <w:lang w:val="en-US"/>
        </w:rPr>
        <w:t xml:space="preserve"> المؤرخ </w:t>
      </w:r>
      <w:r w:rsidRPr="003231D2">
        <w:rPr>
          <w:rtl/>
          <w:lang w:val="en-US"/>
        </w:rPr>
        <w:t>4</w:t>
      </w:r>
      <w:r w:rsidRPr="008E4FF5">
        <w:rPr>
          <w:rtl/>
          <w:lang w:val="en-US"/>
        </w:rPr>
        <w:t xml:space="preserve"> حزيران/</w:t>
      </w:r>
      <w:proofErr w:type="gramStart"/>
      <w:r w:rsidRPr="008E4FF5">
        <w:rPr>
          <w:rtl/>
          <w:lang w:val="en-US"/>
        </w:rPr>
        <w:t>يونيه</w:t>
      </w:r>
      <w:proofErr w:type="gramEnd"/>
      <w:r w:rsidRPr="008E4FF5">
        <w:rPr>
          <w:rtl/>
          <w:lang w:val="en-US"/>
        </w:rPr>
        <w:t xml:space="preserve"> </w:t>
      </w:r>
      <w:r w:rsidRPr="003231D2">
        <w:rPr>
          <w:rtl/>
          <w:lang w:val="en-US"/>
        </w:rPr>
        <w:t>2021</w:t>
      </w:r>
      <w:r w:rsidRPr="008E4FF5">
        <w:rPr>
          <w:rtl/>
          <w:lang w:val="en-US"/>
        </w:rPr>
        <w:t>؛</w:t>
      </w:r>
    </w:p>
    <w:p w14:paraId="2BCAC681" w14:textId="77777777" w:rsidR="008E4FF5" w:rsidRPr="008E4FF5" w:rsidRDefault="008E4FF5" w:rsidP="00A1027B">
      <w:pPr>
        <w:pStyle w:val="SingleTxtGA"/>
        <w:spacing w:line="342" w:lineRule="exact"/>
        <w:rPr>
          <w:lang w:val="en-US"/>
        </w:rPr>
      </w:pPr>
      <w:r w:rsidRPr="008E4FF5">
        <w:rPr>
          <w:rtl/>
          <w:lang w:val="en-US"/>
        </w:rPr>
        <w:tab/>
        <w:t>(ح)</w:t>
      </w:r>
      <w:r w:rsidRPr="008E4FF5">
        <w:rPr>
          <w:rtl/>
          <w:lang w:val="en-US"/>
        </w:rPr>
        <w:tab/>
      </w:r>
      <w:r w:rsidRPr="00A1027B">
        <w:rPr>
          <w:spacing w:val="-4"/>
          <w:rtl/>
          <w:lang w:val="en-US"/>
        </w:rPr>
        <w:t xml:space="preserve">اعتماد المرسوم رقم </w:t>
      </w:r>
      <w:r w:rsidRPr="003231D2">
        <w:rPr>
          <w:spacing w:val="-4"/>
          <w:rtl/>
          <w:lang w:val="en-US"/>
        </w:rPr>
        <w:t>003</w:t>
      </w:r>
      <w:r w:rsidRPr="00A1027B">
        <w:rPr>
          <w:spacing w:val="-4"/>
          <w:rtl/>
          <w:lang w:val="en-US"/>
        </w:rPr>
        <w:t xml:space="preserve"> لعام </w:t>
      </w:r>
      <w:r w:rsidRPr="003231D2">
        <w:rPr>
          <w:spacing w:val="-4"/>
          <w:rtl/>
          <w:lang w:val="en-US"/>
        </w:rPr>
        <w:t>2021</w:t>
      </w:r>
      <w:r w:rsidRPr="00A1027B">
        <w:rPr>
          <w:spacing w:val="-4"/>
          <w:rtl/>
          <w:lang w:val="en-US"/>
        </w:rPr>
        <w:t xml:space="preserve">، الذي ينظم طريقة التدخلات، والاستخدام المشروع </w:t>
      </w:r>
      <w:r w:rsidRPr="008E4FF5">
        <w:rPr>
          <w:rtl/>
          <w:lang w:val="en-US"/>
        </w:rPr>
        <w:t xml:space="preserve">للقوة من طرف الدولة، والتحقق من ذلك، وحماية حق المواطنين في الاحتجاج السلمي؛ </w:t>
      </w:r>
    </w:p>
    <w:p w14:paraId="1D2E10DE" w14:textId="77777777" w:rsidR="008E4FF5" w:rsidRPr="008E4FF5" w:rsidRDefault="008E4FF5" w:rsidP="00A1027B">
      <w:pPr>
        <w:pStyle w:val="SingleTxtGA"/>
        <w:spacing w:line="342" w:lineRule="exact"/>
        <w:rPr>
          <w:lang w:val="en-US"/>
        </w:rPr>
      </w:pPr>
      <w:r w:rsidRPr="008E4FF5">
        <w:rPr>
          <w:rtl/>
          <w:lang w:val="en-US"/>
        </w:rPr>
        <w:tab/>
        <w:t>(ط)</w:t>
      </w:r>
      <w:r w:rsidRPr="008E4FF5">
        <w:rPr>
          <w:rtl/>
          <w:lang w:val="en-US"/>
        </w:rPr>
        <w:tab/>
        <w:t xml:space="preserve">اعتماد مكتب المدعي العام القرار رقم </w:t>
      </w:r>
      <w:r w:rsidRPr="003231D2">
        <w:rPr>
          <w:rtl/>
          <w:lang w:val="en-US"/>
        </w:rPr>
        <w:t>0</w:t>
      </w:r>
      <w:r w:rsidRPr="008E4FF5">
        <w:rPr>
          <w:rtl/>
          <w:lang w:val="en-US"/>
        </w:rPr>
        <w:t>-</w:t>
      </w:r>
      <w:r w:rsidRPr="003231D2">
        <w:rPr>
          <w:rtl/>
          <w:lang w:val="en-US"/>
        </w:rPr>
        <w:t>0775</w:t>
      </w:r>
      <w:r w:rsidRPr="008E4FF5">
        <w:rPr>
          <w:rtl/>
          <w:lang w:val="en-US"/>
        </w:rPr>
        <w:t xml:space="preserve"> لعام </w:t>
      </w:r>
      <w:r w:rsidRPr="003231D2">
        <w:rPr>
          <w:rtl/>
          <w:lang w:val="en-US"/>
        </w:rPr>
        <w:t>2021</w:t>
      </w:r>
      <w:r w:rsidRPr="008E4FF5">
        <w:rPr>
          <w:rtl/>
          <w:lang w:val="en-US"/>
        </w:rPr>
        <w:t xml:space="preserve">، الذي أُنشئ بموجبه </w:t>
      </w:r>
      <w:r w:rsidRPr="00A1027B">
        <w:rPr>
          <w:spacing w:val="-4"/>
          <w:rtl/>
          <w:lang w:val="en-US"/>
        </w:rPr>
        <w:t>داخل المكتب فريقٌ عامل وطني مكلفٌ من باب الأولوية بفتح تحقيقات بشأن التهديدات الموجهة إلى المدافعين</w:t>
      </w:r>
      <w:r w:rsidRPr="008E4FF5">
        <w:rPr>
          <w:rtl/>
          <w:lang w:val="en-US"/>
        </w:rPr>
        <w:t xml:space="preserve"> عن حقوق الإنسان أو إلى فئات محددة أخرى، لتيسير هذه التحقيقات ومتابعتها دون إبطاء؛ </w:t>
      </w:r>
    </w:p>
    <w:p w14:paraId="0B49CB80" w14:textId="77777777" w:rsidR="008E4FF5" w:rsidRPr="008E4FF5" w:rsidRDefault="008E4FF5" w:rsidP="00A1027B">
      <w:pPr>
        <w:pStyle w:val="SingleTxtGA"/>
        <w:spacing w:line="342" w:lineRule="exact"/>
        <w:rPr>
          <w:lang w:val="en-US"/>
        </w:rPr>
      </w:pPr>
      <w:r w:rsidRPr="008E4FF5">
        <w:rPr>
          <w:rtl/>
          <w:lang w:val="en-US"/>
        </w:rPr>
        <w:tab/>
        <w:t>(ي)</w:t>
      </w:r>
      <w:r w:rsidRPr="008E4FF5">
        <w:rPr>
          <w:rtl/>
          <w:lang w:val="en-US"/>
        </w:rPr>
        <w:tab/>
      </w:r>
      <w:r w:rsidRPr="00A1027B">
        <w:rPr>
          <w:spacing w:val="-2"/>
          <w:rtl/>
          <w:lang w:val="en-US"/>
        </w:rPr>
        <w:t>إنشاء فريق العمل الوطني المعني بالعنف الجنساني داخل مكتب المدعي العام، بموجب</w:t>
      </w:r>
      <w:r w:rsidRPr="008E4FF5">
        <w:rPr>
          <w:rtl/>
          <w:lang w:val="en-US"/>
        </w:rPr>
        <w:t xml:space="preserve"> القرار رقم </w:t>
      </w:r>
      <w:r w:rsidRPr="003231D2">
        <w:rPr>
          <w:rtl/>
          <w:lang w:val="en-US"/>
        </w:rPr>
        <w:t>0</w:t>
      </w:r>
      <w:r w:rsidRPr="008E4FF5">
        <w:rPr>
          <w:rtl/>
          <w:lang w:val="en-US"/>
        </w:rPr>
        <w:t>-</w:t>
      </w:r>
      <w:r w:rsidRPr="003231D2">
        <w:rPr>
          <w:rtl/>
          <w:lang w:val="en-US"/>
        </w:rPr>
        <w:t>0858</w:t>
      </w:r>
      <w:r w:rsidRPr="008E4FF5">
        <w:rPr>
          <w:rtl/>
          <w:lang w:val="en-US"/>
        </w:rPr>
        <w:t xml:space="preserve"> الذي اعتمده المكتب نفسه في عام </w:t>
      </w:r>
      <w:r w:rsidRPr="003231D2">
        <w:rPr>
          <w:rtl/>
          <w:lang w:val="en-US"/>
        </w:rPr>
        <w:t>2021</w:t>
      </w:r>
      <w:r w:rsidRPr="008E4FF5">
        <w:rPr>
          <w:rtl/>
          <w:lang w:val="en-US"/>
        </w:rPr>
        <w:t>؛</w:t>
      </w:r>
    </w:p>
    <w:p w14:paraId="29109F7B" w14:textId="77777777" w:rsidR="008E4FF5" w:rsidRPr="008E4FF5" w:rsidRDefault="008E4FF5" w:rsidP="00A1027B">
      <w:pPr>
        <w:pStyle w:val="SingleTxtGA"/>
        <w:spacing w:line="342" w:lineRule="exact"/>
        <w:rPr>
          <w:lang w:val="en-US"/>
        </w:rPr>
      </w:pPr>
      <w:r w:rsidRPr="008E4FF5">
        <w:rPr>
          <w:rtl/>
          <w:lang w:val="en-US"/>
        </w:rPr>
        <w:tab/>
        <w:t>(ك)</w:t>
      </w:r>
      <w:r w:rsidRPr="008E4FF5">
        <w:rPr>
          <w:rtl/>
          <w:lang w:val="en-US"/>
        </w:rPr>
        <w:tab/>
        <w:t xml:space="preserve">زيادة سعة السجون بين عامي </w:t>
      </w:r>
      <w:r w:rsidRPr="003231D2">
        <w:rPr>
          <w:rtl/>
          <w:lang w:val="en-US"/>
        </w:rPr>
        <w:t>2015</w:t>
      </w:r>
      <w:r w:rsidRPr="008E4FF5">
        <w:rPr>
          <w:rtl/>
          <w:lang w:val="en-US"/>
        </w:rPr>
        <w:t xml:space="preserve"> و</w:t>
      </w:r>
      <w:r w:rsidRPr="003231D2">
        <w:rPr>
          <w:rtl/>
          <w:lang w:val="en-US"/>
        </w:rPr>
        <w:t>2019</w:t>
      </w:r>
      <w:r w:rsidRPr="008E4FF5">
        <w:rPr>
          <w:rtl/>
          <w:lang w:val="en-US"/>
        </w:rPr>
        <w:t>؛</w:t>
      </w:r>
    </w:p>
    <w:p w14:paraId="1D57B5C0" w14:textId="723EA4BD" w:rsidR="00A1027B" w:rsidRPr="00A1027B" w:rsidRDefault="008E4FF5" w:rsidP="00A1027B">
      <w:pPr>
        <w:pStyle w:val="SingleTxtGA"/>
        <w:spacing w:line="342" w:lineRule="exact"/>
        <w:rPr>
          <w:lang w:val="en-US"/>
        </w:rPr>
      </w:pPr>
      <w:r w:rsidRPr="008E4FF5">
        <w:rPr>
          <w:rtl/>
          <w:lang w:val="en-US"/>
        </w:rPr>
        <w:tab/>
        <w:t>(ل)</w:t>
      </w:r>
      <w:r w:rsidRPr="008E4FF5">
        <w:rPr>
          <w:rtl/>
          <w:lang w:val="en-US"/>
        </w:rPr>
        <w:tab/>
      </w:r>
      <w:r w:rsidRPr="00A1027B">
        <w:rPr>
          <w:spacing w:val="-4"/>
          <w:rtl/>
          <w:lang w:val="en-US"/>
        </w:rPr>
        <w:t>إنشاء النظام الشامل للحقيقة والعدالة والتعويضات وعدم التكرار، بموجب القانون التشريعي</w:t>
      </w:r>
      <w:r w:rsidRPr="008E4FF5">
        <w:rPr>
          <w:rtl/>
          <w:lang w:val="en-US"/>
        </w:rPr>
        <w:t xml:space="preserve"> رقم </w:t>
      </w:r>
      <w:r w:rsidRPr="003231D2">
        <w:rPr>
          <w:rtl/>
          <w:lang w:val="en-US"/>
        </w:rPr>
        <w:t>001</w:t>
      </w:r>
      <w:r w:rsidRPr="008E4FF5">
        <w:rPr>
          <w:rtl/>
          <w:lang w:val="en-US"/>
        </w:rPr>
        <w:t xml:space="preserve"> المؤرخ </w:t>
      </w:r>
      <w:r w:rsidRPr="003231D2">
        <w:rPr>
          <w:rtl/>
          <w:lang w:val="en-US"/>
        </w:rPr>
        <w:t>4</w:t>
      </w:r>
      <w:r w:rsidRPr="008E4FF5">
        <w:rPr>
          <w:rtl/>
          <w:lang w:val="en-US"/>
        </w:rPr>
        <w:t xml:space="preserve"> نيسان/أبريل </w:t>
      </w:r>
      <w:r w:rsidRPr="003231D2">
        <w:rPr>
          <w:rtl/>
          <w:lang w:val="en-US"/>
        </w:rPr>
        <w:t>201</w:t>
      </w:r>
      <w:r w:rsidR="00A1027B" w:rsidRPr="003231D2">
        <w:rPr>
          <w:rtl/>
          <w:lang w:val="en-US"/>
        </w:rPr>
        <w:t>7</w:t>
      </w:r>
      <w:r w:rsidR="00A1027B" w:rsidRPr="00A1027B">
        <w:rPr>
          <w:rtl/>
          <w:lang w:val="en-US"/>
        </w:rPr>
        <w:t>.</w:t>
      </w:r>
    </w:p>
    <w:p w14:paraId="39C13D5A" w14:textId="48E43BE0" w:rsidR="008E4FF5" w:rsidRPr="003231D2" w:rsidRDefault="008E4FF5" w:rsidP="008E4FF5">
      <w:pPr>
        <w:pStyle w:val="H1GA"/>
      </w:pPr>
      <w:r w:rsidRPr="003231D2">
        <w:rPr>
          <w:rtl/>
        </w:rPr>
        <w:tab/>
        <w:t>جيم-</w:t>
      </w:r>
      <w:r w:rsidRPr="003231D2">
        <w:rPr>
          <w:rtl/>
        </w:rPr>
        <w:tab/>
        <w:t>دواعي القلق الرئيسية والتوصيات</w:t>
      </w:r>
    </w:p>
    <w:p w14:paraId="455B6C81" w14:textId="77777777" w:rsidR="008E4FF5" w:rsidRPr="003231D2" w:rsidRDefault="008E4FF5" w:rsidP="008E4FF5">
      <w:pPr>
        <w:pStyle w:val="H23GA"/>
      </w:pPr>
      <w:r w:rsidRPr="003231D2">
        <w:rPr>
          <w:rtl/>
        </w:rPr>
        <w:tab/>
      </w:r>
      <w:r w:rsidRPr="003231D2">
        <w:rPr>
          <w:rtl/>
        </w:rPr>
        <w:tab/>
        <w:t>مسائل المتابعة المُعلّقة منذ جولة الإبلاغ السابقة</w:t>
      </w:r>
    </w:p>
    <w:p w14:paraId="5F5E5D4A" w14:textId="0B3C59EB" w:rsidR="008E4FF5" w:rsidRPr="008E4FF5" w:rsidRDefault="008E4FF5" w:rsidP="00A1027B">
      <w:pPr>
        <w:pStyle w:val="SingleTxtGA"/>
        <w:spacing w:line="342" w:lineRule="exact"/>
        <w:rPr>
          <w:lang w:val="en-US"/>
        </w:rPr>
      </w:pPr>
      <w:r w:rsidRPr="003231D2">
        <w:rPr>
          <w:rtl/>
          <w:lang w:val="en-US"/>
        </w:rPr>
        <w:t>9</w:t>
      </w:r>
      <w:r w:rsidRPr="008E4FF5">
        <w:rPr>
          <w:rtl/>
          <w:lang w:val="en-US"/>
        </w:rPr>
        <w:t>-</w:t>
      </w:r>
      <w:r w:rsidRPr="008E4FF5">
        <w:rPr>
          <w:rtl/>
          <w:lang w:val="en-US"/>
        </w:rPr>
        <w:tab/>
        <w:t>طلبت اللجنة إلى الدولة الطرف، في ملاحظاتها الختامية السابقة</w:t>
      </w:r>
      <w:r w:rsidR="00A1027B">
        <w:rPr>
          <w:rStyle w:val="FootnoteReference"/>
          <w:rtl/>
        </w:rPr>
        <w:t>(</w:t>
      </w:r>
      <w:r w:rsidR="00A1027B" w:rsidRPr="003231D2">
        <w:rPr>
          <w:rStyle w:val="FootnoteReference"/>
          <w:lang w:val="en-AU"/>
        </w:rPr>
        <w:footnoteReference w:id="4"/>
      </w:r>
      <w:r w:rsidR="00A1027B" w:rsidRPr="00A1027B">
        <w:rPr>
          <w:vertAlign w:val="superscript"/>
          <w:rtl/>
          <w:lang w:val="en-US"/>
        </w:rPr>
        <w:t>)</w:t>
      </w:r>
      <w:r w:rsidR="00A1027B" w:rsidRPr="00A1027B">
        <w:rPr>
          <w:rtl/>
          <w:lang w:val="en-US"/>
        </w:rPr>
        <w:t>،</w:t>
      </w:r>
      <w:r w:rsidR="00A1027B" w:rsidRPr="00A1027B">
        <w:rPr>
          <w:rtl/>
          <w:lang w:val="en-US"/>
        </w:rPr>
        <w:t xml:space="preserve"> </w:t>
      </w:r>
      <w:r w:rsidRPr="008E4FF5">
        <w:rPr>
          <w:rtl/>
          <w:lang w:val="en-US"/>
        </w:rPr>
        <w:t>أن تقدم معلومات عن متابعة التوصيات المتعلقة باستخدام الموظفين المكلفين بإنفاذ القانون والأفراد العسكريين القوةَ المفرطة، وظروف الاحتجاز في السجون، والتعويضات الممنوحة لضحايا التعذيب وسوء المعاملة</w:t>
      </w:r>
      <w:r w:rsidR="00A1027B">
        <w:rPr>
          <w:rStyle w:val="FootnoteReference"/>
          <w:rtl/>
        </w:rPr>
        <w:t>(</w:t>
      </w:r>
      <w:r w:rsidR="00A1027B" w:rsidRPr="003231D2">
        <w:rPr>
          <w:rStyle w:val="FootnoteReference"/>
          <w:lang w:val="en-AU"/>
        </w:rPr>
        <w:footnoteReference w:id="5"/>
      </w:r>
      <w:r w:rsidR="00A1027B" w:rsidRPr="00A1027B">
        <w:rPr>
          <w:vertAlign w:val="superscript"/>
          <w:rtl/>
          <w:lang w:val="en-US"/>
        </w:rPr>
        <w:t>)</w:t>
      </w:r>
      <w:r w:rsidR="00A1027B" w:rsidRPr="00A1027B">
        <w:rPr>
          <w:rtl/>
          <w:lang w:val="en-US"/>
        </w:rPr>
        <w:t>.</w:t>
      </w:r>
      <w:r w:rsidR="00A1027B" w:rsidRPr="00A1027B">
        <w:rPr>
          <w:rtl/>
          <w:lang w:val="en-US"/>
        </w:rPr>
        <w:t xml:space="preserve"> </w:t>
      </w:r>
      <w:r w:rsidRPr="008E4FF5">
        <w:rPr>
          <w:rtl/>
          <w:lang w:val="en-US"/>
        </w:rPr>
        <w:t xml:space="preserve">وفي ضوء المعلومات المقدمة في هذا الصدد في تقرير المتابعة الذي قدمته الدولة الطرف في </w:t>
      </w:r>
      <w:r w:rsidRPr="003231D2">
        <w:rPr>
          <w:rtl/>
          <w:lang w:val="en-US"/>
        </w:rPr>
        <w:t>14</w:t>
      </w:r>
      <w:r w:rsidRPr="008E4FF5">
        <w:rPr>
          <w:rtl/>
          <w:lang w:val="en-US"/>
        </w:rPr>
        <w:t xml:space="preserve"> تشرين الأول/</w:t>
      </w:r>
      <w:r w:rsidR="00A45792">
        <w:rPr>
          <w:rFonts w:hint="cs"/>
          <w:rtl/>
          <w:lang w:val="en-US"/>
        </w:rPr>
        <w:t xml:space="preserve"> </w:t>
      </w:r>
      <w:r w:rsidRPr="008E4FF5">
        <w:rPr>
          <w:rtl/>
          <w:lang w:val="en-US"/>
        </w:rPr>
        <w:t xml:space="preserve">أكتوبر </w:t>
      </w:r>
      <w:r w:rsidRPr="003231D2">
        <w:rPr>
          <w:rtl/>
          <w:lang w:val="en-US"/>
        </w:rPr>
        <w:t>2016</w:t>
      </w:r>
      <w:r w:rsidR="00A1027B">
        <w:rPr>
          <w:rStyle w:val="FootnoteReference"/>
          <w:rtl/>
        </w:rPr>
        <w:t>(</w:t>
      </w:r>
      <w:r w:rsidR="00A1027B" w:rsidRPr="003231D2">
        <w:rPr>
          <w:rStyle w:val="FootnoteReference"/>
          <w:lang w:val="en-AU"/>
        </w:rPr>
        <w:footnoteReference w:id="6"/>
      </w:r>
      <w:r w:rsidR="00A1027B" w:rsidRPr="00A1027B">
        <w:rPr>
          <w:vertAlign w:val="superscript"/>
          <w:rtl/>
          <w:lang w:val="en-US"/>
        </w:rPr>
        <w:t>)</w:t>
      </w:r>
      <w:r w:rsidR="00A1027B" w:rsidRPr="00A1027B">
        <w:rPr>
          <w:rtl/>
          <w:lang w:val="en-US"/>
        </w:rPr>
        <w:t>،</w:t>
      </w:r>
      <w:r w:rsidR="00A1027B" w:rsidRPr="00A1027B">
        <w:rPr>
          <w:rtl/>
          <w:lang w:val="en-US"/>
        </w:rPr>
        <w:t xml:space="preserve"> </w:t>
      </w:r>
      <w:r w:rsidRPr="008E4FF5">
        <w:rPr>
          <w:rtl/>
          <w:lang w:val="en-US"/>
        </w:rPr>
        <w:t xml:space="preserve">والمعلومات الواردة في التقرير الدوري السادس للدولة الطرف، ترى اللجنة أن هذه التوصيات لم تنفذ بالكامل بعدُ. وتتناول الفقرات </w:t>
      </w:r>
      <w:r w:rsidRPr="003231D2">
        <w:rPr>
          <w:rtl/>
          <w:lang w:val="en-US"/>
        </w:rPr>
        <w:t>16</w:t>
      </w:r>
      <w:r w:rsidRPr="008E4FF5">
        <w:rPr>
          <w:rtl/>
          <w:lang w:val="en-US"/>
        </w:rPr>
        <w:t xml:space="preserve"> و</w:t>
      </w:r>
      <w:r w:rsidRPr="003231D2">
        <w:rPr>
          <w:rtl/>
          <w:lang w:val="en-US"/>
        </w:rPr>
        <w:t>17</w:t>
      </w:r>
      <w:r w:rsidRPr="008E4FF5">
        <w:rPr>
          <w:rtl/>
          <w:lang w:val="en-US"/>
        </w:rPr>
        <w:t xml:space="preserve"> و</w:t>
      </w:r>
      <w:r w:rsidRPr="003231D2">
        <w:rPr>
          <w:rtl/>
          <w:lang w:val="en-US"/>
        </w:rPr>
        <w:t>24</w:t>
      </w:r>
      <w:r w:rsidRPr="008E4FF5">
        <w:rPr>
          <w:rtl/>
          <w:lang w:val="en-US"/>
        </w:rPr>
        <w:t xml:space="preserve"> و</w:t>
      </w:r>
      <w:r w:rsidRPr="003231D2">
        <w:rPr>
          <w:rtl/>
          <w:lang w:val="en-US"/>
        </w:rPr>
        <w:t>25</w:t>
      </w:r>
      <w:r w:rsidRPr="008E4FF5">
        <w:rPr>
          <w:rtl/>
          <w:lang w:val="en-US"/>
        </w:rPr>
        <w:t xml:space="preserve"> و</w:t>
      </w:r>
      <w:r w:rsidRPr="003231D2">
        <w:rPr>
          <w:rtl/>
          <w:lang w:val="en-US"/>
        </w:rPr>
        <w:t>22</w:t>
      </w:r>
      <w:r w:rsidRPr="008E4FF5">
        <w:rPr>
          <w:rtl/>
          <w:lang w:val="en-US"/>
        </w:rPr>
        <w:t xml:space="preserve"> و</w:t>
      </w:r>
      <w:r w:rsidRPr="003231D2">
        <w:rPr>
          <w:rtl/>
          <w:lang w:val="en-US"/>
        </w:rPr>
        <w:t>23</w:t>
      </w:r>
      <w:r w:rsidRPr="008E4FF5">
        <w:rPr>
          <w:rtl/>
          <w:lang w:val="en-US"/>
        </w:rPr>
        <w:t xml:space="preserve"> من هذه الوثيقة المسائل المعلقة ذات الصلة. </w:t>
      </w:r>
    </w:p>
    <w:p w14:paraId="422DC436" w14:textId="2813F181" w:rsidR="008E4FF5" w:rsidRPr="003231D2" w:rsidRDefault="008E4FF5" w:rsidP="008E4FF5">
      <w:pPr>
        <w:pStyle w:val="H23GA"/>
      </w:pPr>
      <w:r w:rsidRPr="003231D2">
        <w:rPr>
          <w:rtl/>
        </w:rPr>
        <w:tab/>
      </w:r>
      <w:r w:rsidRPr="003231D2">
        <w:rPr>
          <w:rtl/>
        </w:rPr>
        <w:tab/>
        <w:t>تعريف جريمة التعذيب</w:t>
      </w:r>
    </w:p>
    <w:p w14:paraId="04E6C946" w14:textId="67DF57DE" w:rsidR="00A1027B" w:rsidRPr="00A1027B" w:rsidRDefault="008E4FF5" w:rsidP="00A1027B">
      <w:pPr>
        <w:pStyle w:val="SingleTxtGA"/>
        <w:spacing w:line="342" w:lineRule="exact"/>
        <w:rPr>
          <w:lang w:val="en-US"/>
        </w:rPr>
      </w:pPr>
      <w:r w:rsidRPr="003231D2">
        <w:rPr>
          <w:rtl/>
          <w:lang w:val="en-US"/>
        </w:rPr>
        <w:t>10</w:t>
      </w:r>
      <w:r w:rsidRPr="008E4FF5">
        <w:rPr>
          <w:rtl/>
          <w:lang w:val="en-US"/>
        </w:rPr>
        <w:t>-</w:t>
      </w:r>
      <w:r w:rsidRPr="008E4FF5">
        <w:rPr>
          <w:rtl/>
          <w:lang w:val="en-US"/>
        </w:rPr>
        <w:tab/>
        <w:t>تحيط اللجنة علم</w:t>
      </w:r>
      <w:r w:rsidR="00182572">
        <w:rPr>
          <w:rtl/>
          <w:lang w:val="en-US"/>
        </w:rPr>
        <w:t xml:space="preserve">اً </w:t>
      </w:r>
      <w:r w:rsidRPr="008E4FF5">
        <w:rPr>
          <w:rtl/>
          <w:lang w:val="en-US"/>
        </w:rPr>
        <w:t xml:space="preserve">بالتوضيح الذي قدمته الدولة الطرف ومفاده أن تعريف جريمة التعذيب الوارد في المادة </w:t>
      </w:r>
      <w:r w:rsidRPr="003231D2">
        <w:rPr>
          <w:rtl/>
          <w:lang w:val="en-US"/>
        </w:rPr>
        <w:t>178</w:t>
      </w:r>
      <w:r w:rsidR="00A1027B" w:rsidRPr="00A1027B">
        <w:rPr>
          <w:rtl/>
          <w:lang w:val="en-US"/>
        </w:rPr>
        <w:t xml:space="preserve"> </w:t>
      </w:r>
      <w:r w:rsidRPr="008E4FF5">
        <w:rPr>
          <w:rtl/>
          <w:lang w:val="en-US"/>
        </w:rPr>
        <w:t xml:space="preserve">من القانون الجنائي يشمل أعمال التعذيب المرتكبة بهدف التخويف أو الضغط على الغير. ومع ذلك، لا تزال اللجنة تشعر بالقلق لأن هذا الحكم لا يذكر صراحةً هذا الهدف. وتلاحظ كذلك أن المادة </w:t>
      </w:r>
      <w:r w:rsidRPr="003231D2">
        <w:rPr>
          <w:rtl/>
          <w:lang w:val="en-US"/>
        </w:rPr>
        <w:t>137</w:t>
      </w:r>
      <w:r w:rsidRPr="008E4FF5">
        <w:rPr>
          <w:rtl/>
          <w:lang w:val="en-US"/>
        </w:rPr>
        <w:t xml:space="preserve"> من القانون الجنائي، التي تُعرّف جريمة تعذيب الأشخاص</w:t>
      </w:r>
      <w:r>
        <w:rPr>
          <w:rtl/>
          <w:lang w:val="en-US"/>
        </w:rPr>
        <w:t xml:space="preserve"> </w:t>
      </w:r>
      <w:r w:rsidRPr="008E4FF5">
        <w:rPr>
          <w:rtl/>
          <w:lang w:val="en-US"/>
        </w:rPr>
        <w:t>المشمولين بالحماية، لا تشير صراحةً إلى</w:t>
      </w:r>
      <w:r>
        <w:rPr>
          <w:rtl/>
          <w:lang w:val="en-US"/>
        </w:rPr>
        <w:t xml:space="preserve"> </w:t>
      </w:r>
      <w:r w:rsidRPr="008E4FF5">
        <w:rPr>
          <w:rtl/>
          <w:lang w:val="en-US"/>
        </w:rPr>
        <w:t>هذا الهدف أيض</w:t>
      </w:r>
      <w:r w:rsidR="00182572">
        <w:rPr>
          <w:rtl/>
          <w:lang w:val="en-US"/>
        </w:rPr>
        <w:t xml:space="preserve">اً </w:t>
      </w:r>
      <w:r w:rsidRPr="008E4FF5">
        <w:rPr>
          <w:rtl/>
          <w:lang w:val="en-US"/>
        </w:rPr>
        <w:t xml:space="preserve">(المادتان </w:t>
      </w:r>
      <w:r w:rsidRPr="003231D2">
        <w:rPr>
          <w:rtl/>
          <w:lang w:val="en-US"/>
        </w:rPr>
        <w:t>1</w:t>
      </w:r>
      <w:r w:rsidRPr="008E4FF5">
        <w:rPr>
          <w:rtl/>
          <w:lang w:val="en-US"/>
        </w:rPr>
        <w:t xml:space="preserve"> و</w:t>
      </w:r>
      <w:r w:rsidR="00A1027B" w:rsidRPr="003231D2">
        <w:rPr>
          <w:rtl/>
          <w:lang w:val="en-US"/>
        </w:rPr>
        <w:t>4</w:t>
      </w:r>
      <w:r w:rsidR="00A1027B" w:rsidRPr="00A1027B">
        <w:rPr>
          <w:rtl/>
          <w:lang w:val="en-US"/>
        </w:rPr>
        <w:t>).</w:t>
      </w:r>
    </w:p>
    <w:p w14:paraId="0A61DCD3" w14:textId="0BAE7E0A" w:rsidR="008E4FF5" w:rsidRPr="003231D2" w:rsidRDefault="008E4FF5" w:rsidP="00A1027B">
      <w:pPr>
        <w:pStyle w:val="SingleTxtGA"/>
        <w:spacing w:line="342" w:lineRule="exact"/>
        <w:rPr>
          <w:b/>
          <w:bCs/>
          <w:lang w:val="en-US"/>
        </w:rPr>
      </w:pPr>
      <w:r w:rsidRPr="003231D2">
        <w:rPr>
          <w:rtl/>
          <w:lang w:val="en-US"/>
        </w:rPr>
        <w:t>11</w:t>
      </w:r>
      <w:r w:rsidRPr="008E4FF5">
        <w:rPr>
          <w:rtl/>
          <w:lang w:val="en-US"/>
        </w:rPr>
        <w:t>-</w:t>
      </w:r>
      <w:r w:rsidRPr="008E4FF5">
        <w:rPr>
          <w:rtl/>
          <w:lang w:val="en-US"/>
        </w:rPr>
        <w:tab/>
      </w:r>
      <w:r w:rsidRPr="003231D2">
        <w:rPr>
          <w:rFonts w:ascii="Times New Roman Bold" w:hAnsi="Times New Roman Bold"/>
          <w:b/>
          <w:bCs/>
          <w:spacing w:val="-4"/>
          <w:rtl/>
          <w:lang w:val="en-US"/>
        </w:rPr>
        <w:t>تؤكد اللجنة مجدد</w:t>
      </w:r>
      <w:r w:rsidR="00182572" w:rsidRPr="003231D2">
        <w:rPr>
          <w:rFonts w:ascii="Times New Roman Bold" w:hAnsi="Times New Roman Bold"/>
          <w:b/>
          <w:bCs/>
          <w:spacing w:val="-4"/>
          <w:rtl/>
          <w:lang w:val="en-US"/>
        </w:rPr>
        <w:t xml:space="preserve">اً </w:t>
      </w:r>
      <w:r w:rsidRPr="003231D2">
        <w:rPr>
          <w:rFonts w:ascii="Times New Roman Bold" w:hAnsi="Times New Roman Bold"/>
          <w:b/>
          <w:bCs/>
          <w:spacing w:val="-4"/>
          <w:rtl/>
          <w:lang w:val="en-US"/>
        </w:rPr>
        <w:t>توصيتها السابقة التي تدعو الدولة الطرف إلى مواءمة مضمون المادتين</w:t>
      </w:r>
      <w:r w:rsidRPr="003231D2">
        <w:rPr>
          <w:rFonts w:ascii="Times New Roman Bold" w:hAnsi="Times New Roman Bold" w:hint="cs"/>
          <w:b/>
          <w:bCs/>
          <w:spacing w:val="-4"/>
          <w:rtl/>
          <w:lang w:val="en-US"/>
        </w:rPr>
        <w:t> </w:t>
      </w:r>
      <w:r w:rsidRPr="003231D2">
        <w:rPr>
          <w:rFonts w:ascii="Times New Roman Bold" w:hAnsi="Times New Roman Bold"/>
          <w:b/>
          <w:bCs/>
          <w:spacing w:val="-4"/>
          <w:rtl/>
          <w:lang w:val="en-US"/>
        </w:rPr>
        <w:t>137</w:t>
      </w:r>
      <w:r w:rsidRPr="003231D2">
        <w:rPr>
          <w:b/>
          <w:bCs/>
          <w:rtl/>
          <w:lang w:val="en-US"/>
        </w:rPr>
        <w:t xml:space="preserve"> و178 </w:t>
      </w:r>
      <w:r w:rsidRPr="003231D2">
        <w:rPr>
          <w:rFonts w:ascii="Times New Roman Bold" w:hAnsi="Times New Roman Bold"/>
          <w:b/>
          <w:bCs/>
          <w:spacing w:val="-4"/>
          <w:rtl/>
          <w:lang w:val="en-US"/>
        </w:rPr>
        <w:t xml:space="preserve">من القانون الجنائي مع أحكام المادة 1 من الاتفاقية، وضمان الإشارة صراحة إلى أعمال التعذيب </w:t>
      </w:r>
      <w:r w:rsidRPr="003231D2">
        <w:rPr>
          <w:b/>
          <w:bCs/>
          <w:rtl/>
          <w:lang w:val="en-US"/>
        </w:rPr>
        <w:t>المرتكبة بهدف تخويف الغير أو الضغط عليه.</w:t>
      </w:r>
    </w:p>
    <w:p w14:paraId="676140AC" w14:textId="77777777" w:rsidR="008E4FF5" w:rsidRPr="003231D2" w:rsidRDefault="008E4FF5" w:rsidP="008E4FF5">
      <w:pPr>
        <w:pStyle w:val="H23GA"/>
      </w:pPr>
      <w:r w:rsidRPr="003231D2">
        <w:rPr>
          <w:rtl/>
        </w:rPr>
        <w:lastRenderedPageBreak/>
        <w:tab/>
      </w:r>
      <w:r w:rsidRPr="003231D2">
        <w:rPr>
          <w:rtl/>
        </w:rPr>
        <w:tab/>
        <w:t>الضمانات القانونية الأساسية</w:t>
      </w:r>
    </w:p>
    <w:p w14:paraId="18FB0544" w14:textId="4E0E74F1" w:rsidR="008E4FF5" w:rsidRPr="008E4FF5" w:rsidRDefault="008E4FF5" w:rsidP="008E4FF5">
      <w:pPr>
        <w:pStyle w:val="SingleTxtGA"/>
        <w:rPr>
          <w:lang w:val="en-US"/>
        </w:rPr>
      </w:pPr>
      <w:r w:rsidRPr="003231D2">
        <w:rPr>
          <w:rtl/>
          <w:lang w:val="en-US"/>
        </w:rPr>
        <w:t>12</w:t>
      </w:r>
      <w:r w:rsidRPr="008E4FF5">
        <w:rPr>
          <w:rtl/>
          <w:lang w:val="en-US"/>
        </w:rPr>
        <w:t>-</w:t>
      </w:r>
      <w:r w:rsidRPr="008E4FF5">
        <w:rPr>
          <w:rtl/>
          <w:lang w:val="en-US"/>
        </w:rPr>
        <w:tab/>
        <w:t>تشعر اللجنة بقلق بالغ إزاء الشكاوى التي تلقتها خلال الفترة المشمولة بالاستعراض بشأن أعمال التعذيب وسوء المعاملة والعنف الجنسي المرتكبة ضد الأشخاص رهن الحبس الاحتياطي</w:t>
      </w:r>
      <w:r w:rsidR="00A1027B">
        <w:rPr>
          <w:rStyle w:val="FootnoteReference"/>
          <w:rtl/>
        </w:rPr>
        <w:t>(</w:t>
      </w:r>
      <w:r w:rsidR="00A1027B" w:rsidRPr="003231D2">
        <w:rPr>
          <w:rStyle w:val="FootnoteReference"/>
          <w:lang w:val="en-AU"/>
        </w:rPr>
        <w:footnoteReference w:id="7"/>
      </w:r>
      <w:r w:rsidR="00A1027B" w:rsidRPr="00A1027B">
        <w:rPr>
          <w:vertAlign w:val="superscript"/>
          <w:rtl/>
          <w:lang w:val="en-US"/>
        </w:rPr>
        <w:t>)</w:t>
      </w:r>
      <w:r w:rsidR="00A1027B" w:rsidRPr="00A1027B">
        <w:rPr>
          <w:rtl/>
          <w:lang w:val="en-US"/>
        </w:rPr>
        <w:t>.</w:t>
      </w:r>
      <w:r w:rsidR="00A1027B" w:rsidRPr="00A1027B">
        <w:rPr>
          <w:rtl/>
          <w:lang w:val="en-US"/>
        </w:rPr>
        <w:t xml:space="preserve"> </w:t>
      </w:r>
      <w:r w:rsidRPr="008E4FF5">
        <w:rPr>
          <w:rtl/>
          <w:lang w:val="en-US"/>
        </w:rPr>
        <w:t>وفي حين تحيط اللجنة علم</w:t>
      </w:r>
      <w:r w:rsidR="00182572">
        <w:rPr>
          <w:rtl/>
          <w:lang w:val="en-US"/>
        </w:rPr>
        <w:t xml:space="preserve">اً </w:t>
      </w:r>
      <w:r w:rsidRPr="008E4FF5">
        <w:rPr>
          <w:rtl/>
          <w:lang w:val="en-US"/>
        </w:rPr>
        <w:t>بالمعلومات المتصلة بالضمانات الأساسية التي قدمتها الدولة الطرف في تقريرها</w:t>
      </w:r>
      <w:r w:rsidR="00A1027B">
        <w:rPr>
          <w:rStyle w:val="FootnoteReference"/>
          <w:rtl/>
        </w:rPr>
        <w:t>(</w:t>
      </w:r>
      <w:r w:rsidR="00A1027B" w:rsidRPr="003231D2">
        <w:rPr>
          <w:rStyle w:val="FootnoteReference"/>
          <w:lang w:val="en-AU"/>
        </w:rPr>
        <w:footnoteReference w:id="8"/>
      </w:r>
      <w:r w:rsidR="00A1027B" w:rsidRPr="00A1027B">
        <w:rPr>
          <w:vertAlign w:val="superscript"/>
          <w:rtl/>
          <w:lang w:val="en-US"/>
        </w:rPr>
        <w:t>)</w:t>
      </w:r>
      <w:r w:rsidR="00A1027B" w:rsidRPr="00A1027B">
        <w:rPr>
          <w:rtl/>
          <w:lang w:val="en-US"/>
        </w:rPr>
        <w:t>،</w:t>
      </w:r>
      <w:r w:rsidR="00A1027B" w:rsidRPr="00A1027B">
        <w:rPr>
          <w:rtl/>
          <w:lang w:val="en-US"/>
        </w:rPr>
        <w:t xml:space="preserve"> </w:t>
      </w:r>
      <w:r w:rsidRPr="008E4FF5">
        <w:rPr>
          <w:rtl/>
          <w:lang w:val="en-US"/>
        </w:rPr>
        <w:t xml:space="preserve">فإنها لا تزال تشعر بالقلق إزاء تواتر معلومات تلقتها وتفيد بأن الضمانات الأساسية ضد التعذيب وسوء المعاملة التي ينص عليها القانون لا تُطبق بشكل صارم في الممارسة العملية، بل بدرجة أقل من ذلك في حال الأشخاص الذين اعتُقلوا في سياق الاحتجاجات الاجتماعية في البلد في عامي </w:t>
      </w:r>
      <w:r w:rsidRPr="003231D2">
        <w:rPr>
          <w:rtl/>
          <w:lang w:val="en-US"/>
        </w:rPr>
        <w:t>2019</w:t>
      </w:r>
      <w:r w:rsidRPr="008E4FF5">
        <w:rPr>
          <w:rtl/>
          <w:lang w:val="en-US"/>
        </w:rPr>
        <w:t xml:space="preserve"> و</w:t>
      </w:r>
      <w:r w:rsidRPr="003231D2">
        <w:rPr>
          <w:rtl/>
          <w:lang w:val="en-US"/>
        </w:rPr>
        <w:t>202</w:t>
      </w:r>
      <w:r w:rsidR="00A1027B" w:rsidRPr="003231D2">
        <w:rPr>
          <w:rtl/>
          <w:lang w:val="en-US"/>
        </w:rPr>
        <w:t>1</w:t>
      </w:r>
      <w:r w:rsidR="00A1027B" w:rsidRPr="00A1027B">
        <w:rPr>
          <w:rtl/>
          <w:lang w:val="en-US"/>
        </w:rPr>
        <w:t xml:space="preserve">. </w:t>
      </w:r>
      <w:r w:rsidRPr="008E4FF5">
        <w:rPr>
          <w:rtl/>
          <w:lang w:val="en-US"/>
        </w:rPr>
        <w:t>ويساور اللجنة القلق بوجه خاص إزاء معلومات تفيد بأن أفراداً من الشرطة، لم يكشفوا عن هويتهم، بادروا</w:t>
      </w:r>
      <w:r w:rsidR="00182572">
        <w:rPr>
          <w:rFonts w:hint="cs"/>
          <w:rtl/>
          <w:lang w:val="en-US"/>
        </w:rPr>
        <w:t> </w:t>
      </w:r>
      <w:r w:rsidRPr="008E4FF5">
        <w:rPr>
          <w:rtl/>
          <w:lang w:val="en-US"/>
        </w:rPr>
        <w:t>إلى اعتقالات جماعية وتعسفية، أو اعتقلوا أشخاص</w:t>
      </w:r>
      <w:r w:rsidR="00182572">
        <w:rPr>
          <w:rtl/>
          <w:lang w:val="en-US"/>
        </w:rPr>
        <w:t xml:space="preserve">اً </w:t>
      </w:r>
      <w:r w:rsidRPr="008E4FF5">
        <w:rPr>
          <w:rtl/>
          <w:lang w:val="en-US"/>
        </w:rPr>
        <w:t>وأودعوهم رهن أماكن احتجاز غير رسمية، وإزاء المشاكل المتصلة بالإبلاغ عن الاحتجاز، وعمليات نقل الأشخاص إلى أماكن احتجاز أخرى، وعدم تيسير الفحوص الطبية، والتأخر في مثول المحتجزين أمام السلطات القضائية. ويساور اللجنة القلق أيض</w:t>
      </w:r>
      <w:r w:rsidR="00182572">
        <w:rPr>
          <w:rtl/>
          <w:lang w:val="en-US"/>
        </w:rPr>
        <w:t xml:space="preserve">اً </w:t>
      </w:r>
      <w:r w:rsidRPr="008E4FF5">
        <w:rPr>
          <w:rtl/>
          <w:lang w:val="en-US"/>
        </w:rPr>
        <w:t>إزاء معلومات تتعلق بسوء استخدام أحكام "نقل الأشخاص لأغراض الحماية"، المنصوص عليها في المادة</w:t>
      </w:r>
      <w:r w:rsidR="0008344B">
        <w:rPr>
          <w:rFonts w:hint="cs"/>
          <w:rtl/>
          <w:lang w:val="en-US"/>
        </w:rPr>
        <w:t> </w:t>
      </w:r>
      <w:r w:rsidRPr="003231D2">
        <w:rPr>
          <w:rtl/>
          <w:lang w:val="en-US"/>
        </w:rPr>
        <w:t>155</w:t>
      </w:r>
      <w:r w:rsidRPr="008E4FF5">
        <w:rPr>
          <w:rtl/>
          <w:lang w:val="en-US"/>
        </w:rPr>
        <w:t xml:space="preserve"> من القانون الوطني للأمن والتعايش بين المواطنين (القانون رقم </w:t>
      </w:r>
      <w:r w:rsidRPr="003231D2">
        <w:rPr>
          <w:rtl/>
          <w:lang w:val="en-US"/>
        </w:rPr>
        <w:t>1801</w:t>
      </w:r>
      <w:r w:rsidRPr="008E4FF5">
        <w:rPr>
          <w:rtl/>
          <w:lang w:val="en-US"/>
        </w:rPr>
        <w:t xml:space="preserve"> لعام </w:t>
      </w:r>
      <w:r w:rsidRPr="003231D2">
        <w:rPr>
          <w:rtl/>
          <w:lang w:val="en-US"/>
        </w:rPr>
        <w:t>2016</w:t>
      </w:r>
      <w:r w:rsidR="00A1027B" w:rsidRPr="00A1027B">
        <w:rPr>
          <w:rtl/>
          <w:lang w:val="en-US"/>
        </w:rPr>
        <w:t xml:space="preserve">)، </w:t>
      </w:r>
      <w:r w:rsidRPr="008E4FF5">
        <w:rPr>
          <w:rtl/>
          <w:lang w:val="en-US"/>
        </w:rPr>
        <w:t>التي ترمي إلى حماية حياة وسلامة الأشخاص المعرضين للخطر أو الذين يوجدون في حالة خطر. ووفق</w:t>
      </w:r>
      <w:r w:rsidR="00182572">
        <w:rPr>
          <w:rtl/>
          <w:lang w:val="en-US"/>
        </w:rPr>
        <w:t xml:space="preserve">اً </w:t>
      </w:r>
      <w:r w:rsidRPr="008E4FF5">
        <w:rPr>
          <w:rtl/>
          <w:lang w:val="en-US"/>
        </w:rPr>
        <w:t>لهذه المعلومات، أفضى سوء استخدام هذا التدبير إلى إيداع أشخاص سلبوا حريتهم رهن العزل التام أحيان</w:t>
      </w:r>
      <w:r w:rsidR="00182572">
        <w:rPr>
          <w:rtl/>
          <w:lang w:val="en-US"/>
        </w:rPr>
        <w:t xml:space="preserve">اً </w:t>
      </w:r>
      <w:r w:rsidRPr="008E4FF5">
        <w:rPr>
          <w:rtl/>
          <w:lang w:val="en-US"/>
        </w:rPr>
        <w:t>لمدة أربع وعشرين ساعة، في سياق المظاهرات أو الاحتجاجات تحديد</w:t>
      </w:r>
      <w:r w:rsidR="0008344B">
        <w:rPr>
          <w:rtl/>
          <w:lang w:val="en-US"/>
        </w:rPr>
        <w:t>اً.</w:t>
      </w:r>
      <w:r w:rsidRPr="008E4FF5">
        <w:rPr>
          <w:rtl/>
          <w:lang w:val="en-US"/>
        </w:rPr>
        <w:t xml:space="preserve"> وتحيط اللجنة علم</w:t>
      </w:r>
      <w:r w:rsidR="00182572">
        <w:rPr>
          <w:rtl/>
          <w:lang w:val="en-US"/>
        </w:rPr>
        <w:t xml:space="preserve">اً </w:t>
      </w:r>
      <w:r w:rsidRPr="008E4FF5">
        <w:rPr>
          <w:rtl/>
          <w:lang w:val="en-US"/>
        </w:rPr>
        <w:t xml:space="preserve">بالتغييرات التي أدخلها القانون رقم </w:t>
      </w:r>
      <w:r w:rsidRPr="003231D2">
        <w:rPr>
          <w:rtl/>
          <w:lang w:val="en-US"/>
        </w:rPr>
        <w:t>2197</w:t>
      </w:r>
      <w:r w:rsidRPr="008E4FF5">
        <w:rPr>
          <w:rtl/>
          <w:lang w:val="en-US"/>
        </w:rPr>
        <w:t xml:space="preserve"> لعام </w:t>
      </w:r>
      <w:r w:rsidRPr="003231D2">
        <w:rPr>
          <w:rtl/>
          <w:lang w:val="en-US"/>
        </w:rPr>
        <w:t>2022</w:t>
      </w:r>
      <w:r w:rsidRPr="008E4FF5">
        <w:rPr>
          <w:rtl/>
          <w:lang w:val="en-US"/>
        </w:rPr>
        <w:t>، المعدل للوائح التي تحكم عمليات النقل، لكنها تشعر بالقلق لأن السلطات التي يحق لها استخدام عمليات النقل لأغراض الحماية لا تزال تتمتع بهامش تقدير واسع في هذا الصدد</w:t>
      </w:r>
      <w:r w:rsidR="00A1027B">
        <w:rPr>
          <w:rStyle w:val="FootnoteReference"/>
          <w:rtl/>
        </w:rPr>
        <w:t>(</w:t>
      </w:r>
      <w:r w:rsidR="00A1027B" w:rsidRPr="003231D2">
        <w:rPr>
          <w:rStyle w:val="FootnoteReference"/>
          <w:lang w:val="en-AU"/>
        </w:rPr>
        <w:footnoteReference w:id="9"/>
      </w:r>
      <w:r w:rsidR="00A1027B" w:rsidRPr="00A1027B">
        <w:rPr>
          <w:vertAlign w:val="superscript"/>
          <w:rtl/>
          <w:lang w:val="en-US"/>
        </w:rPr>
        <w:t>)</w:t>
      </w:r>
      <w:r w:rsidR="00A1027B" w:rsidRPr="00A1027B">
        <w:rPr>
          <w:rtl/>
          <w:lang w:val="en-US"/>
        </w:rPr>
        <w:t>.</w:t>
      </w:r>
      <w:r w:rsidR="00A1027B" w:rsidRPr="00A1027B">
        <w:rPr>
          <w:rtl/>
          <w:lang w:val="en-US"/>
        </w:rPr>
        <w:t xml:space="preserve"> </w:t>
      </w:r>
      <w:r w:rsidRPr="008E4FF5">
        <w:rPr>
          <w:rtl/>
          <w:lang w:val="en-US"/>
        </w:rPr>
        <w:t>وختام</w:t>
      </w:r>
      <w:r w:rsidR="0008344B">
        <w:rPr>
          <w:rtl/>
          <w:lang w:val="en-US"/>
        </w:rPr>
        <w:t>اً،</w:t>
      </w:r>
      <w:r w:rsidRPr="008E4FF5">
        <w:rPr>
          <w:rtl/>
          <w:lang w:val="en-US"/>
        </w:rPr>
        <w:t xml:space="preserve"> تحيط اللجنة علم</w:t>
      </w:r>
      <w:r w:rsidR="00182572">
        <w:rPr>
          <w:rtl/>
          <w:lang w:val="en-US"/>
        </w:rPr>
        <w:t xml:space="preserve">اً </w:t>
      </w:r>
      <w:r w:rsidRPr="008E4FF5">
        <w:rPr>
          <w:rtl/>
          <w:lang w:val="en-US"/>
        </w:rPr>
        <w:t>بالمعلومات التي قدمها الوفد بشأن الشكاوى المتعلقة بالاحتجاز التعسفي المعروضة حالي</w:t>
      </w:r>
      <w:r w:rsidR="00182572">
        <w:rPr>
          <w:rtl/>
          <w:lang w:val="en-US"/>
        </w:rPr>
        <w:t xml:space="preserve">اً </w:t>
      </w:r>
      <w:r w:rsidRPr="008E4FF5">
        <w:rPr>
          <w:rtl/>
          <w:lang w:val="en-US"/>
        </w:rPr>
        <w:t xml:space="preserve">على المفوض الوطني لحقوق الإنسان التابع للشرطة الوطنية، أو تلك التي تنتظر البت فيها، لكنها تأسف لمحدودية المعلومات المتاحة عن التحقيقات بشأن ادعاءات عدم امتثال الموظفين المكلفين بإنفاذ القانون للضمانات الإجرائية التي ترمي إلى منع الاحتجاز التعسفي والتعذيب وسوء المعاملة (المادة </w:t>
      </w:r>
      <w:r w:rsidRPr="003231D2">
        <w:rPr>
          <w:rtl/>
          <w:lang w:val="en-US"/>
        </w:rPr>
        <w:t>2</w:t>
      </w:r>
      <w:r w:rsidR="00A1027B" w:rsidRPr="00A1027B">
        <w:rPr>
          <w:rtl/>
          <w:lang w:val="en-US"/>
        </w:rPr>
        <w:t xml:space="preserve">)، </w:t>
      </w:r>
      <w:r w:rsidRPr="008E4FF5">
        <w:rPr>
          <w:rtl/>
          <w:lang w:val="en-US"/>
        </w:rPr>
        <w:t>والعقوبات التأديبية أو الجنائية في حق الجناة.</w:t>
      </w:r>
    </w:p>
    <w:p w14:paraId="7105C210" w14:textId="77777777" w:rsidR="008E4FF5" w:rsidRPr="003231D2" w:rsidRDefault="008E4FF5" w:rsidP="008E4FF5">
      <w:pPr>
        <w:pStyle w:val="SingleTxtGA"/>
        <w:rPr>
          <w:b/>
          <w:bCs/>
          <w:lang w:val="en-US"/>
        </w:rPr>
      </w:pPr>
      <w:r w:rsidRPr="003231D2">
        <w:rPr>
          <w:rtl/>
          <w:lang w:val="en-US"/>
        </w:rPr>
        <w:t>13</w:t>
      </w:r>
      <w:r w:rsidRPr="008E4FF5">
        <w:rPr>
          <w:rtl/>
          <w:lang w:val="en-US"/>
        </w:rPr>
        <w:t>-</w:t>
      </w:r>
      <w:r w:rsidRPr="008E4FF5">
        <w:rPr>
          <w:rtl/>
          <w:lang w:val="en-US"/>
        </w:rPr>
        <w:tab/>
      </w:r>
      <w:r w:rsidRPr="003231D2">
        <w:rPr>
          <w:b/>
          <w:bCs/>
          <w:rtl/>
          <w:lang w:val="en-US"/>
        </w:rPr>
        <w:t>ينبغي للدولة الطرف:</w:t>
      </w:r>
    </w:p>
    <w:p w14:paraId="04F2E125" w14:textId="22E84098" w:rsidR="008E4FF5" w:rsidRPr="003231D2" w:rsidRDefault="008E4FF5" w:rsidP="008E4FF5">
      <w:pPr>
        <w:pStyle w:val="SingleTxtGA"/>
        <w:rPr>
          <w:b/>
          <w:bCs/>
          <w:lang w:val="en-US"/>
        </w:rPr>
      </w:pPr>
      <w:r w:rsidRPr="008E4FF5">
        <w:rPr>
          <w:rtl/>
          <w:lang w:val="en-US"/>
        </w:rPr>
        <w:tab/>
        <w:t>(أ)</w:t>
      </w:r>
      <w:r w:rsidRPr="008E4FF5">
        <w:rPr>
          <w:rtl/>
          <w:lang w:val="en-US"/>
        </w:rPr>
        <w:tab/>
      </w:r>
      <w:r w:rsidRPr="003231D2">
        <w:rPr>
          <w:b/>
          <w:bCs/>
          <w:rtl/>
          <w:lang w:val="en-US"/>
        </w:rPr>
        <w:t>ضمان إجراء هيئة مستقلة تحقيق</w:t>
      </w:r>
      <w:r w:rsidR="00182572" w:rsidRPr="003231D2">
        <w:rPr>
          <w:b/>
          <w:bCs/>
          <w:rtl/>
          <w:lang w:val="en-US"/>
        </w:rPr>
        <w:t xml:space="preserve">اً </w:t>
      </w:r>
      <w:r w:rsidRPr="003231D2">
        <w:rPr>
          <w:b/>
          <w:bCs/>
          <w:rtl/>
          <w:lang w:val="en-US"/>
        </w:rPr>
        <w:t>فوري</w:t>
      </w:r>
      <w:r w:rsidR="00182572" w:rsidRPr="003231D2">
        <w:rPr>
          <w:b/>
          <w:bCs/>
          <w:rtl/>
          <w:lang w:val="en-US"/>
        </w:rPr>
        <w:t xml:space="preserve">اً </w:t>
      </w:r>
      <w:r w:rsidRPr="003231D2">
        <w:rPr>
          <w:b/>
          <w:bCs/>
          <w:rtl/>
          <w:lang w:val="en-US"/>
        </w:rPr>
        <w:t>ومحايد</w:t>
      </w:r>
      <w:r w:rsidR="00182572" w:rsidRPr="003231D2">
        <w:rPr>
          <w:b/>
          <w:bCs/>
          <w:rtl/>
          <w:lang w:val="en-US"/>
        </w:rPr>
        <w:t xml:space="preserve">اً </w:t>
      </w:r>
      <w:r w:rsidRPr="003231D2">
        <w:rPr>
          <w:b/>
          <w:bCs/>
          <w:rtl/>
          <w:lang w:val="en-US"/>
        </w:rPr>
        <w:t>في جميع شكاوى التعذيب وسوء المعاملة، بما في ذلك العنف الجنسي؛</w:t>
      </w:r>
    </w:p>
    <w:p w14:paraId="74B3E955" w14:textId="32C48A37" w:rsidR="008E4FF5" w:rsidRPr="003231D2" w:rsidRDefault="008E4FF5" w:rsidP="008E4FF5">
      <w:pPr>
        <w:pStyle w:val="SingleTxtGA"/>
        <w:rPr>
          <w:b/>
          <w:bCs/>
          <w:lang w:val="en-US"/>
        </w:rPr>
      </w:pPr>
      <w:r w:rsidRPr="008E4FF5">
        <w:rPr>
          <w:rtl/>
          <w:lang w:val="en-US"/>
        </w:rPr>
        <w:tab/>
        <w:t>(ب)</w:t>
      </w:r>
      <w:r w:rsidRPr="00A45792">
        <w:rPr>
          <w:rFonts w:ascii="Times New Roman Bold" w:hAnsi="Times New Roman Bold"/>
          <w:spacing w:val="-2"/>
          <w:rtl/>
          <w:lang w:val="en-US"/>
        </w:rPr>
        <w:tab/>
      </w:r>
      <w:r w:rsidRPr="003231D2">
        <w:rPr>
          <w:rFonts w:ascii="Times New Roman Bold" w:hAnsi="Times New Roman Bold"/>
          <w:b/>
          <w:bCs/>
          <w:spacing w:val="-2"/>
          <w:rtl/>
          <w:lang w:val="en-US"/>
        </w:rPr>
        <w:t xml:space="preserve">ضمان تمتع الأشخاص الذين سلبوا حريتهم، في الممارسة العملية، بجميع الضمانات </w:t>
      </w:r>
      <w:r w:rsidRPr="003231D2">
        <w:rPr>
          <w:b/>
          <w:bCs/>
          <w:rtl/>
          <w:lang w:val="en-US"/>
        </w:rPr>
        <w:t>الأساسية من بداية سلبهم حريتهم، وفق</w:t>
      </w:r>
      <w:r w:rsidR="00182572" w:rsidRPr="003231D2">
        <w:rPr>
          <w:b/>
          <w:bCs/>
          <w:rtl/>
          <w:lang w:val="en-US"/>
        </w:rPr>
        <w:t xml:space="preserve">اً </w:t>
      </w:r>
      <w:r w:rsidRPr="003231D2">
        <w:rPr>
          <w:b/>
          <w:bCs/>
          <w:rtl/>
          <w:lang w:val="en-US"/>
        </w:rPr>
        <w:t>للمعايير الدولية، لا سيما الحق في إبلاغ أحد أفراد أسرتهم أو</w:t>
      </w:r>
      <w:r w:rsidR="00A45792" w:rsidRPr="003231D2">
        <w:rPr>
          <w:rFonts w:hint="cs"/>
          <w:b/>
          <w:bCs/>
          <w:rtl/>
          <w:lang w:val="en-US"/>
        </w:rPr>
        <w:t> </w:t>
      </w:r>
      <w:r w:rsidRPr="003231D2">
        <w:rPr>
          <w:b/>
          <w:bCs/>
          <w:rtl/>
          <w:lang w:val="en-US"/>
        </w:rPr>
        <w:t>غيره باحتجازهم دون إبطاء، وطلب مراجعة طبيب مستقل ليفحصهم على الفور، بغض النظر عن أي فحص طبي يمكن إجراؤه بناء على طلب السلطات، والاستفادة دون إبطاء من مساعدة محام، والمثول أمام قاض في غضون المهل الزمنية التي يحددها القانون؛</w:t>
      </w:r>
    </w:p>
    <w:p w14:paraId="350B581E" w14:textId="7C7FA0DF" w:rsidR="008E4FF5" w:rsidRPr="003231D2" w:rsidRDefault="008E4FF5" w:rsidP="008E4FF5">
      <w:pPr>
        <w:pStyle w:val="SingleTxtGA"/>
        <w:rPr>
          <w:b/>
          <w:bCs/>
          <w:lang w:val="en-US"/>
        </w:rPr>
      </w:pPr>
      <w:r w:rsidRPr="008E4FF5">
        <w:rPr>
          <w:rtl/>
          <w:lang w:val="en-US"/>
        </w:rPr>
        <w:tab/>
        <w:t>(ج)</w:t>
      </w:r>
      <w:r w:rsidRPr="008E4FF5">
        <w:rPr>
          <w:rtl/>
          <w:lang w:val="en-US"/>
        </w:rPr>
        <w:tab/>
      </w:r>
      <w:r w:rsidRPr="003231D2">
        <w:rPr>
          <w:b/>
          <w:bCs/>
          <w:rtl/>
          <w:lang w:val="en-US"/>
        </w:rPr>
        <w:t>اتخاذ التدابير المناسبة لمنع الاحتجاز التعسفي، لا سيما الحالات التي يبادر فيها أفراد الشرطة إلى اعتقالات دون أن يُعرفوا بهويتهم، و/أو يودِعون أشخاص</w:t>
      </w:r>
      <w:r w:rsidR="00182572" w:rsidRPr="003231D2">
        <w:rPr>
          <w:b/>
          <w:bCs/>
          <w:rtl/>
          <w:lang w:val="en-US"/>
        </w:rPr>
        <w:t xml:space="preserve">اً </w:t>
      </w:r>
      <w:r w:rsidRPr="003231D2">
        <w:rPr>
          <w:b/>
          <w:bCs/>
          <w:rtl/>
          <w:lang w:val="en-US"/>
        </w:rPr>
        <w:t>معتقلين رهن أماكن احتجاز غير رسمية؛</w:t>
      </w:r>
    </w:p>
    <w:p w14:paraId="0F4042A7" w14:textId="38F729EF" w:rsidR="008E4FF5" w:rsidRPr="003231D2" w:rsidRDefault="008E4FF5" w:rsidP="008E4FF5">
      <w:pPr>
        <w:pStyle w:val="SingleTxtGA"/>
        <w:rPr>
          <w:b/>
          <w:bCs/>
          <w:lang w:val="en-US"/>
        </w:rPr>
      </w:pPr>
      <w:r w:rsidRPr="008E4FF5">
        <w:rPr>
          <w:rtl/>
          <w:lang w:val="en-US"/>
        </w:rPr>
        <w:lastRenderedPageBreak/>
        <w:tab/>
        <w:t>(د)</w:t>
      </w:r>
      <w:r w:rsidRPr="008E4FF5">
        <w:rPr>
          <w:rtl/>
          <w:lang w:val="en-US"/>
        </w:rPr>
        <w:tab/>
      </w:r>
      <w:r w:rsidRPr="003231D2">
        <w:rPr>
          <w:b/>
          <w:bCs/>
          <w:rtl/>
          <w:lang w:val="en-US"/>
        </w:rPr>
        <w:t>تعديل المادة 155 من القانون الوطني للأمن والتعايش بين المواطنين لمنع الاستخدام التعسفي لتدبير "النقل لأغراض الحماية"؛</w:t>
      </w:r>
    </w:p>
    <w:p w14:paraId="2F49CCA6" w14:textId="77777777" w:rsidR="008E4FF5" w:rsidRPr="003231D2" w:rsidRDefault="008E4FF5" w:rsidP="008E4FF5">
      <w:pPr>
        <w:pStyle w:val="SingleTxtGA"/>
        <w:rPr>
          <w:b/>
          <w:bCs/>
          <w:lang w:val="en-US"/>
        </w:rPr>
      </w:pPr>
      <w:r w:rsidRPr="00A1027B">
        <w:rPr>
          <w:rtl/>
          <w:lang w:val="en-US"/>
        </w:rPr>
        <w:tab/>
        <w:t>(هـ)</w:t>
      </w:r>
      <w:r w:rsidRPr="00A1027B">
        <w:rPr>
          <w:rtl/>
          <w:lang w:val="en-US"/>
        </w:rPr>
        <w:tab/>
      </w:r>
      <w:r w:rsidRPr="003231D2">
        <w:rPr>
          <w:b/>
          <w:bCs/>
          <w:rtl/>
          <w:lang w:val="en-US"/>
        </w:rPr>
        <w:t xml:space="preserve">التحقيق في ادعاءات عدم امتثال الموظفين المكلفين بإنفاذ القانون للضمانات </w:t>
      </w:r>
      <w:r w:rsidRPr="003231D2">
        <w:rPr>
          <w:rFonts w:ascii="Times New Roman Bold" w:hAnsi="Times New Roman Bold"/>
          <w:b/>
          <w:bCs/>
          <w:spacing w:val="-4"/>
          <w:rtl/>
          <w:lang w:val="en-US"/>
        </w:rPr>
        <w:t>القانونية الأساسية التي يتمتع بها الأشخاص الذي سلبوا حريتهم، ومعاقبة الجناة، وإبلاغ اللجنة بالتدابير</w:t>
      </w:r>
      <w:r w:rsidRPr="003231D2">
        <w:rPr>
          <w:b/>
          <w:bCs/>
          <w:rtl/>
          <w:lang w:val="en-US"/>
        </w:rPr>
        <w:t xml:space="preserve"> المتخذة لتحقيق هذه الغاية.</w:t>
      </w:r>
    </w:p>
    <w:p w14:paraId="3D3CB6D3" w14:textId="77777777" w:rsidR="008E4FF5" w:rsidRPr="003231D2" w:rsidRDefault="008E4FF5" w:rsidP="008E4FF5">
      <w:pPr>
        <w:pStyle w:val="H23GA"/>
      </w:pPr>
      <w:r w:rsidRPr="003231D2">
        <w:rPr>
          <w:rtl/>
        </w:rPr>
        <w:tab/>
      </w:r>
      <w:r w:rsidRPr="003231D2">
        <w:rPr>
          <w:rtl/>
        </w:rPr>
        <w:tab/>
        <w:t>المحكمة الجنائية العسكرية</w:t>
      </w:r>
    </w:p>
    <w:p w14:paraId="0EE91951" w14:textId="3693410A" w:rsidR="00A1027B" w:rsidRPr="00A1027B" w:rsidRDefault="008E4FF5" w:rsidP="008E4FF5">
      <w:pPr>
        <w:pStyle w:val="SingleTxtGA"/>
        <w:rPr>
          <w:lang w:val="en-US"/>
        </w:rPr>
      </w:pPr>
      <w:r w:rsidRPr="003231D2">
        <w:rPr>
          <w:rtl/>
          <w:lang w:val="en-US"/>
        </w:rPr>
        <w:t>14</w:t>
      </w:r>
      <w:r w:rsidRPr="008E4FF5">
        <w:rPr>
          <w:rtl/>
          <w:lang w:val="en-US"/>
        </w:rPr>
        <w:t>-</w:t>
      </w:r>
      <w:r w:rsidRPr="008E4FF5">
        <w:rPr>
          <w:rtl/>
          <w:lang w:val="en-US"/>
        </w:rPr>
        <w:tab/>
        <w:t xml:space="preserve">ترحب اللجنة بقرار المحكمة الدستورية ومكتب المدعي العام منح المحاكم العادية اختصاص النظر في الانتهاكات المزعومة لحقوق الإنسان التي ارتكبها أفراد قوات الأمن في سياق الإضراب الوطني وفيما يتصل بمذبحة </w:t>
      </w:r>
      <w:proofErr w:type="spellStart"/>
      <w:r w:rsidRPr="008E4FF5">
        <w:rPr>
          <w:rtl/>
          <w:lang w:val="en-US"/>
        </w:rPr>
        <w:t>التنديل</w:t>
      </w:r>
      <w:proofErr w:type="spellEnd"/>
      <w:r w:rsidRPr="008E4FF5">
        <w:rPr>
          <w:rtl/>
          <w:lang w:val="en-US"/>
        </w:rPr>
        <w:t xml:space="preserve"> (</w:t>
      </w:r>
      <w:proofErr w:type="spellStart"/>
      <w:r w:rsidRPr="008E4FF5">
        <w:rPr>
          <w:rtl/>
          <w:lang w:val="en-US"/>
        </w:rPr>
        <w:t>توماكو</w:t>
      </w:r>
      <w:proofErr w:type="spellEnd"/>
      <w:r w:rsidRPr="008E4FF5">
        <w:rPr>
          <w:rtl/>
          <w:lang w:val="en-US"/>
        </w:rPr>
        <w:t>)</w:t>
      </w:r>
      <w:r w:rsidR="00A1027B">
        <w:rPr>
          <w:rStyle w:val="FootnoteReference"/>
          <w:rtl/>
        </w:rPr>
        <w:t>(</w:t>
      </w:r>
      <w:r w:rsidR="00A1027B" w:rsidRPr="003231D2">
        <w:rPr>
          <w:rStyle w:val="FootnoteReference"/>
          <w:lang w:val="en-AU"/>
        </w:rPr>
        <w:footnoteReference w:id="10"/>
      </w:r>
      <w:r w:rsidR="00A1027B" w:rsidRPr="00A1027B">
        <w:rPr>
          <w:vertAlign w:val="superscript"/>
          <w:rtl/>
          <w:lang w:val="en-US"/>
        </w:rPr>
        <w:t>)</w:t>
      </w:r>
      <w:r w:rsidR="00A1027B" w:rsidRPr="00A1027B">
        <w:rPr>
          <w:rtl/>
          <w:lang w:val="en-US"/>
        </w:rPr>
        <w:t>.</w:t>
      </w:r>
      <w:r w:rsidR="00A1027B" w:rsidRPr="00A1027B">
        <w:rPr>
          <w:rtl/>
          <w:lang w:val="en-US"/>
        </w:rPr>
        <w:t xml:space="preserve"> </w:t>
      </w:r>
      <w:r w:rsidRPr="008E4FF5">
        <w:rPr>
          <w:rtl/>
          <w:lang w:val="en-US"/>
        </w:rPr>
        <w:t>بيد أن اللجنة تحيط علم</w:t>
      </w:r>
      <w:r w:rsidR="00182572">
        <w:rPr>
          <w:rtl/>
          <w:lang w:val="en-US"/>
        </w:rPr>
        <w:t xml:space="preserve">اً </w:t>
      </w:r>
      <w:r w:rsidRPr="008E4FF5">
        <w:rPr>
          <w:rtl/>
          <w:lang w:val="en-US"/>
        </w:rPr>
        <w:t>مع القلق بمعلومات تفيد بأن المعايير الدولية المتصلة بالولاية القضائية على الانتهاكات المزعومة لحقوق الإنسان التي يرتكبها أفراد قوات الأمن لا تطبقها جميع كيانات نظام العدالة</w:t>
      </w:r>
      <w:r w:rsidR="00A1027B">
        <w:rPr>
          <w:rStyle w:val="FootnoteReference"/>
          <w:rtl/>
        </w:rPr>
        <w:t>(</w:t>
      </w:r>
      <w:r w:rsidR="00A1027B" w:rsidRPr="003231D2">
        <w:rPr>
          <w:rStyle w:val="FootnoteReference"/>
          <w:lang w:val="en-AU"/>
        </w:rPr>
        <w:footnoteReference w:id="11"/>
      </w:r>
      <w:r w:rsidRPr="008E4FF5">
        <w:rPr>
          <w:vertAlign w:val="superscript"/>
          <w:rtl/>
          <w:lang w:val="en-US"/>
        </w:rPr>
        <w:t>)</w:t>
      </w:r>
      <w:r w:rsidRPr="008E4FF5">
        <w:rPr>
          <w:rtl/>
          <w:lang w:val="en-US"/>
        </w:rPr>
        <w:t xml:space="preserve"> بشكل منهجي (المواد </w:t>
      </w:r>
      <w:r w:rsidRPr="003231D2">
        <w:rPr>
          <w:rtl/>
          <w:lang w:val="en-US"/>
        </w:rPr>
        <w:t>2</w:t>
      </w:r>
      <w:r w:rsidRPr="008E4FF5">
        <w:rPr>
          <w:rtl/>
          <w:lang w:val="en-US"/>
        </w:rPr>
        <w:t xml:space="preserve"> و</w:t>
      </w:r>
      <w:r w:rsidRPr="003231D2">
        <w:rPr>
          <w:rtl/>
          <w:lang w:val="en-US"/>
        </w:rPr>
        <w:t>12</w:t>
      </w:r>
      <w:r w:rsidRPr="008E4FF5">
        <w:rPr>
          <w:rtl/>
          <w:lang w:val="en-US"/>
        </w:rPr>
        <w:t xml:space="preserve"> و</w:t>
      </w:r>
      <w:r w:rsidRPr="003231D2">
        <w:rPr>
          <w:rtl/>
          <w:lang w:val="en-US"/>
        </w:rPr>
        <w:t>1</w:t>
      </w:r>
      <w:r w:rsidR="00A1027B" w:rsidRPr="003231D2">
        <w:rPr>
          <w:rtl/>
          <w:lang w:val="en-US"/>
        </w:rPr>
        <w:t>3</w:t>
      </w:r>
      <w:r w:rsidR="00A1027B" w:rsidRPr="00A1027B">
        <w:rPr>
          <w:rtl/>
          <w:lang w:val="en-US"/>
        </w:rPr>
        <w:t>).</w:t>
      </w:r>
    </w:p>
    <w:p w14:paraId="02B1035D" w14:textId="1D4392DE" w:rsidR="00A1027B" w:rsidRPr="003231D2" w:rsidRDefault="008E4FF5" w:rsidP="008E4FF5">
      <w:pPr>
        <w:pStyle w:val="SingleTxtGA"/>
        <w:rPr>
          <w:b/>
          <w:bCs/>
          <w:lang w:val="en-US"/>
        </w:rPr>
      </w:pPr>
      <w:r w:rsidRPr="003231D2">
        <w:rPr>
          <w:rtl/>
          <w:lang w:val="en-US"/>
        </w:rPr>
        <w:t>15</w:t>
      </w:r>
      <w:r w:rsidRPr="008E4FF5">
        <w:rPr>
          <w:rtl/>
          <w:lang w:val="en-US"/>
        </w:rPr>
        <w:t>-</w:t>
      </w:r>
      <w:r w:rsidRPr="008E4FF5">
        <w:rPr>
          <w:rtl/>
          <w:lang w:val="en-US"/>
        </w:rPr>
        <w:tab/>
      </w:r>
      <w:r w:rsidRPr="003231D2">
        <w:rPr>
          <w:b/>
          <w:bCs/>
          <w:rtl/>
          <w:lang w:val="en-US"/>
        </w:rPr>
        <w:t>تؤكد اللجنة مجدد</w:t>
      </w:r>
      <w:r w:rsidR="00182572" w:rsidRPr="003231D2">
        <w:rPr>
          <w:b/>
          <w:bCs/>
          <w:rtl/>
          <w:lang w:val="en-US"/>
        </w:rPr>
        <w:t xml:space="preserve">اً </w:t>
      </w:r>
      <w:r w:rsidRPr="003231D2">
        <w:rPr>
          <w:b/>
          <w:bCs/>
          <w:rtl/>
          <w:lang w:val="en-US"/>
        </w:rPr>
        <w:t>توصيتها السابقة بأن تكفل الدولة الطرف أن الانتهاكات الجسيمة لحقوق الإنسان وغيرها من التجاوزات التي يرتكبها الأفراد العسكريون ضد المدنيين، بما في ذلك أعمال التعذيب وسوء المعاملة، لا تقع ضمن اختصاص المحاكم العسكرية، وتضمن أن يكون للمحاكم العادية ولاية قضائية حصرية على هذه الأفعال</w:t>
      </w:r>
      <w:r w:rsidR="00A1027B" w:rsidRPr="003231D2">
        <w:rPr>
          <w:rStyle w:val="FootnoteReference"/>
          <w:b/>
          <w:bCs/>
          <w:rtl/>
        </w:rPr>
        <w:t>(</w:t>
      </w:r>
      <w:r w:rsidR="00A1027B" w:rsidRPr="003231D2">
        <w:rPr>
          <w:rStyle w:val="FootnoteReference"/>
          <w:b/>
          <w:bCs/>
          <w:lang w:val="en-AU"/>
        </w:rPr>
        <w:footnoteReference w:id="12"/>
      </w:r>
      <w:r w:rsidR="00A1027B" w:rsidRPr="003231D2">
        <w:rPr>
          <w:b/>
          <w:bCs/>
          <w:vertAlign w:val="superscript"/>
          <w:rtl/>
          <w:lang w:val="en-US"/>
        </w:rPr>
        <w:t>)</w:t>
      </w:r>
      <w:r w:rsidR="00A1027B" w:rsidRPr="003231D2">
        <w:rPr>
          <w:b/>
          <w:bCs/>
          <w:rtl/>
          <w:lang w:val="en-US"/>
        </w:rPr>
        <w:t>.</w:t>
      </w:r>
    </w:p>
    <w:p w14:paraId="698E5D90" w14:textId="5BDABBD5" w:rsidR="008E4FF5" w:rsidRPr="003231D2" w:rsidRDefault="008E4FF5" w:rsidP="008E4FF5">
      <w:pPr>
        <w:pStyle w:val="H23GA"/>
      </w:pPr>
      <w:r w:rsidRPr="003231D2">
        <w:rPr>
          <w:rtl/>
        </w:rPr>
        <w:tab/>
      </w:r>
      <w:r w:rsidRPr="003231D2">
        <w:rPr>
          <w:rtl/>
        </w:rPr>
        <w:tab/>
        <w:t>استخدام القوة المفرطة</w:t>
      </w:r>
    </w:p>
    <w:p w14:paraId="4CE6AC89" w14:textId="0A527789" w:rsidR="00A1027B" w:rsidRPr="00A1027B" w:rsidRDefault="008E4FF5" w:rsidP="008E4FF5">
      <w:pPr>
        <w:pStyle w:val="SingleTxtGA"/>
        <w:rPr>
          <w:spacing w:val="-2"/>
          <w:lang w:val="en-US"/>
        </w:rPr>
      </w:pPr>
      <w:r w:rsidRPr="003231D2">
        <w:rPr>
          <w:spacing w:val="-2"/>
          <w:rtl/>
          <w:lang w:val="en-US"/>
        </w:rPr>
        <w:t>16</w:t>
      </w:r>
      <w:r w:rsidRPr="00A1027B">
        <w:rPr>
          <w:spacing w:val="-2"/>
          <w:rtl/>
          <w:lang w:val="en-US"/>
        </w:rPr>
        <w:t>-</w:t>
      </w:r>
      <w:r w:rsidRPr="00A1027B">
        <w:rPr>
          <w:spacing w:val="-2"/>
          <w:rtl/>
          <w:lang w:val="en-US"/>
        </w:rPr>
        <w:tab/>
        <w:t>تحيط اللجنة علم</w:t>
      </w:r>
      <w:r w:rsidR="00182572">
        <w:rPr>
          <w:spacing w:val="-2"/>
          <w:rtl/>
          <w:lang w:val="en-US"/>
        </w:rPr>
        <w:t xml:space="preserve">اً </w:t>
      </w:r>
      <w:r w:rsidRPr="00A1027B">
        <w:rPr>
          <w:spacing w:val="-2"/>
          <w:rtl/>
          <w:lang w:val="en-US"/>
        </w:rPr>
        <w:t>بالبيانات التي قدمتها الدولة الطرف بشأن الشكاوى المتعلقة بسوء استخدام السلطة، والاستخدام المفرط للقوة خلال الفترة المشمولة بالتقرير</w:t>
      </w:r>
      <w:r w:rsidR="00A1027B" w:rsidRPr="00A1027B">
        <w:rPr>
          <w:rStyle w:val="FootnoteReference"/>
          <w:spacing w:val="-2"/>
          <w:rtl/>
        </w:rPr>
        <w:t>(</w:t>
      </w:r>
      <w:r w:rsidR="00A1027B" w:rsidRPr="003231D2">
        <w:rPr>
          <w:rStyle w:val="FootnoteReference"/>
          <w:spacing w:val="-2"/>
          <w:lang w:val="en-AU"/>
        </w:rPr>
        <w:footnoteReference w:id="13"/>
      </w:r>
      <w:r w:rsidR="00A1027B" w:rsidRPr="00A1027B">
        <w:rPr>
          <w:spacing w:val="-2"/>
          <w:vertAlign w:val="superscript"/>
          <w:rtl/>
          <w:lang w:val="en-US"/>
        </w:rPr>
        <w:t>)</w:t>
      </w:r>
      <w:r w:rsidR="00A1027B" w:rsidRPr="00A1027B">
        <w:rPr>
          <w:spacing w:val="-2"/>
          <w:rtl/>
          <w:lang w:val="en-US"/>
        </w:rPr>
        <w:t>،</w:t>
      </w:r>
      <w:r w:rsidR="00A1027B" w:rsidRPr="00A1027B">
        <w:rPr>
          <w:spacing w:val="-2"/>
          <w:rtl/>
          <w:lang w:val="en-US"/>
        </w:rPr>
        <w:t xml:space="preserve"> </w:t>
      </w:r>
      <w:r w:rsidRPr="00A1027B">
        <w:rPr>
          <w:spacing w:val="-2"/>
          <w:rtl/>
          <w:lang w:val="en-US"/>
        </w:rPr>
        <w:t>لكنها لا تزال تشعر بالقلق إزاء التقدم المحدود المحرز في التحقيق في الادعاءات المتعلقة باستخدام القوة دون مبرر وبشكل غير متناسب، بما في ذلك القوة المميتة، والأسلحة الأقل فتك</w:t>
      </w:r>
      <w:r w:rsidR="0008344B">
        <w:rPr>
          <w:spacing w:val="-2"/>
          <w:rtl/>
          <w:lang w:val="en-US"/>
        </w:rPr>
        <w:t>اً،</w:t>
      </w:r>
      <w:r w:rsidRPr="00A1027B">
        <w:rPr>
          <w:spacing w:val="-2"/>
          <w:rtl/>
          <w:lang w:val="en-US"/>
        </w:rPr>
        <w:t xml:space="preserve"> والغاز المسيل للدموع، في سياق الاحتجاجات، لا سيما حركات </w:t>
      </w:r>
      <w:r w:rsidRPr="00A1027B">
        <w:rPr>
          <w:spacing w:val="-4"/>
          <w:rtl/>
          <w:lang w:val="en-US"/>
        </w:rPr>
        <w:t xml:space="preserve">الاحتجاج الاجتماعي التي وقعت بين عامي </w:t>
      </w:r>
      <w:r w:rsidRPr="003231D2">
        <w:rPr>
          <w:spacing w:val="-4"/>
          <w:rtl/>
          <w:lang w:val="en-US"/>
        </w:rPr>
        <w:t>2019</w:t>
      </w:r>
      <w:r w:rsidRPr="00A1027B">
        <w:rPr>
          <w:spacing w:val="-4"/>
          <w:rtl/>
          <w:lang w:val="en-US"/>
        </w:rPr>
        <w:t xml:space="preserve"> و</w:t>
      </w:r>
      <w:r w:rsidRPr="003231D2">
        <w:rPr>
          <w:spacing w:val="-4"/>
          <w:rtl/>
          <w:lang w:val="en-US"/>
        </w:rPr>
        <w:t>2021</w:t>
      </w:r>
      <w:r w:rsidRPr="00A1027B">
        <w:rPr>
          <w:spacing w:val="-4"/>
          <w:rtl/>
          <w:lang w:val="en-US"/>
        </w:rPr>
        <w:t>، ومقاضاة المسؤولين عنها. وبالمثل، تعرب اللجنة عن بالغ قلقها إزاء معلومات تفيد بأن متظاهرين مسالمين ومدافعين عن حقوق الإنسان وصحفيين تعرضوا للتعذيب البدني والنفسي على حد سواء، ولسوء المعاملة، وإزاء ادعاءات تفيد بأن أفراد الشرطة وفرق مكافحة الشغب المتنقلة ارتكبوا أعمال احتجاز تعسفي، واختفاء قسري، وعنف جنسي، وعنف جنساني. وفي هذا الصدد، تأسف اللجنة لأن الدولة الطرف لم تتخذ تدابير كافية لضمان جبر</w:t>
      </w:r>
      <w:r w:rsidRPr="00A1027B">
        <w:rPr>
          <w:spacing w:val="-2"/>
          <w:rtl/>
          <w:lang w:val="en-US"/>
        </w:rPr>
        <w:t xml:space="preserve"> كامل للضحايا وأسرهم</w:t>
      </w:r>
      <w:r w:rsidR="00A1027B" w:rsidRPr="00A1027B">
        <w:rPr>
          <w:rStyle w:val="FootnoteReference"/>
          <w:spacing w:val="-2"/>
          <w:rtl/>
        </w:rPr>
        <w:t>(</w:t>
      </w:r>
      <w:r w:rsidR="00A1027B" w:rsidRPr="003231D2">
        <w:rPr>
          <w:rStyle w:val="FootnoteReference"/>
          <w:spacing w:val="-2"/>
          <w:lang w:val="en-AU"/>
        </w:rPr>
        <w:footnoteReference w:id="14"/>
      </w:r>
      <w:r w:rsidR="00A1027B" w:rsidRPr="00A1027B">
        <w:rPr>
          <w:spacing w:val="-2"/>
          <w:vertAlign w:val="superscript"/>
          <w:rtl/>
          <w:lang w:val="en-US"/>
        </w:rPr>
        <w:t>)</w:t>
      </w:r>
      <w:r w:rsidR="00A1027B" w:rsidRPr="00A1027B">
        <w:rPr>
          <w:spacing w:val="-2"/>
          <w:rtl/>
          <w:lang w:val="en-US"/>
        </w:rPr>
        <w:t>.</w:t>
      </w:r>
      <w:r w:rsidR="00A1027B" w:rsidRPr="00A1027B">
        <w:rPr>
          <w:spacing w:val="-2"/>
          <w:rtl/>
          <w:lang w:val="en-US"/>
        </w:rPr>
        <w:t xml:space="preserve"> </w:t>
      </w:r>
      <w:r w:rsidRPr="00A1027B">
        <w:rPr>
          <w:spacing w:val="-2"/>
          <w:rtl/>
          <w:lang w:val="en-US"/>
        </w:rPr>
        <w:t xml:space="preserve">وتأسف اللجنة </w:t>
      </w:r>
      <w:r w:rsidRPr="00A1027B">
        <w:rPr>
          <w:spacing w:val="-4"/>
          <w:rtl/>
          <w:lang w:val="en-US"/>
        </w:rPr>
        <w:t>أيض</w:t>
      </w:r>
      <w:r w:rsidR="00182572">
        <w:rPr>
          <w:spacing w:val="-4"/>
          <w:rtl/>
          <w:lang w:val="en-US"/>
        </w:rPr>
        <w:t xml:space="preserve">اً </w:t>
      </w:r>
      <w:r w:rsidRPr="00A1027B">
        <w:rPr>
          <w:spacing w:val="-4"/>
          <w:rtl/>
          <w:lang w:val="en-US"/>
        </w:rPr>
        <w:t>لعدم توافر معلومات كاملة لها عن مشاركة الجيش في إدارة النظام العام، بما في ذلك بروتوكولات التدخل في هذا المجال، أو عن أداء وحدة الحوار وحفظ النظام. وعلاوة على ذلك، يساور اللجنة القلق إزاء معلومات</w:t>
      </w:r>
      <w:r w:rsidRPr="00A1027B">
        <w:rPr>
          <w:spacing w:val="-2"/>
          <w:rtl/>
          <w:lang w:val="en-US"/>
        </w:rPr>
        <w:t xml:space="preserve"> تفيد بسوء استخدام تشريعات مكافحة الإرهاب وغيرها من الجرائم الخطيرة لتقديم المتظاهرين</w:t>
      </w:r>
      <w:r w:rsidR="00A1027B" w:rsidRPr="00A1027B">
        <w:rPr>
          <w:rStyle w:val="FootnoteReference"/>
          <w:spacing w:val="-2"/>
          <w:rtl/>
        </w:rPr>
        <w:t>(</w:t>
      </w:r>
      <w:r w:rsidR="00A1027B" w:rsidRPr="003231D2">
        <w:rPr>
          <w:rStyle w:val="FootnoteReference"/>
          <w:spacing w:val="-2"/>
          <w:lang w:val="en-AU"/>
        </w:rPr>
        <w:footnoteReference w:id="15"/>
      </w:r>
      <w:r w:rsidRPr="00A1027B">
        <w:rPr>
          <w:spacing w:val="-2"/>
          <w:vertAlign w:val="superscript"/>
          <w:rtl/>
          <w:lang w:val="en-US"/>
        </w:rPr>
        <w:t>)</w:t>
      </w:r>
      <w:r w:rsidRPr="00A1027B">
        <w:rPr>
          <w:spacing w:val="-2"/>
          <w:rtl/>
          <w:lang w:val="en-US"/>
        </w:rPr>
        <w:t xml:space="preserve"> إلى العدالة، </w:t>
      </w:r>
      <w:r w:rsidRPr="00A1027B">
        <w:rPr>
          <w:spacing w:val="-2"/>
          <w:rtl/>
          <w:lang w:val="en-US"/>
        </w:rPr>
        <w:lastRenderedPageBreak/>
        <w:t>وتشكر الوفد على توضيحاته بشأن اعتزام الدولة الطرف إصلاح الإطار المعياري المطبق. وبالمثل، تلاحظ اللجنة باهتمام الإعلان عن عملية إصلاح الشرطة</w:t>
      </w:r>
      <w:r w:rsidR="00A1027B" w:rsidRPr="00A1027B">
        <w:rPr>
          <w:rStyle w:val="FootnoteReference"/>
          <w:spacing w:val="-2"/>
          <w:rtl/>
        </w:rPr>
        <w:t>(</w:t>
      </w:r>
      <w:r w:rsidR="00A1027B" w:rsidRPr="003231D2">
        <w:rPr>
          <w:rStyle w:val="FootnoteReference"/>
          <w:spacing w:val="-2"/>
          <w:lang w:val="en-AU"/>
        </w:rPr>
        <w:footnoteReference w:id="16"/>
      </w:r>
      <w:r w:rsidRPr="00A1027B">
        <w:rPr>
          <w:spacing w:val="-2"/>
          <w:vertAlign w:val="superscript"/>
          <w:rtl/>
          <w:lang w:val="en-US"/>
        </w:rPr>
        <w:t>)</w:t>
      </w:r>
      <w:r w:rsidRPr="00A1027B">
        <w:rPr>
          <w:spacing w:val="-2"/>
          <w:rtl/>
          <w:lang w:val="en-US"/>
        </w:rPr>
        <w:t xml:space="preserve"> وإعداد مشروع قانون لضمان الحق في الاحتجاج الاجتماعي (المواد </w:t>
      </w:r>
      <w:r w:rsidRPr="003231D2">
        <w:rPr>
          <w:spacing w:val="-2"/>
          <w:rtl/>
          <w:lang w:val="en-US"/>
        </w:rPr>
        <w:t>2</w:t>
      </w:r>
      <w:r w:rsidRPr="00A1027B">
        <w:rPr>
          <w:spacing w:val="-2"/>
          <w:rtl/>
          <w:lang w:val="en-US"/>
        </w:rPr>
        <w:t xml:space="preserve"> و</w:t>
      </w:r>
      <w:r w:rsidRPr="003231D2">
        <w:rPr>
          <w:spacing w:val="-2"/>
          <w:rtl/>
          <w:lang w:val="en-US"/>
        </w:rPr>
        <w:t>12</w:t>
      </w:r>
      <w:r w:rsidRPr="00A1027B">
        <w:rPr>
          <w:spacing w:val="-2"/>
          <w:rtl/>
          <w:lang w:val="en-US"/>
        </w:rPr>
        <w:t>-</w:t>
      </w:r>
      <w:r w:rsidRPr="003231D2">
        <w:rPr>
          <w:spacing w:val="-2"/>
          <w:rtl/>
          <w:lang w:val="en-US"/>
        </w:rPr>
        <w:t>14</w:t>
      </w:r>
      <w:r w:rsidRPr="00A1027B">
        <w:rPr>
          <w:spacing w:val="-2"/>
          <w:rtl/>
          <w:lang w:val="en-US"/>
        </w:rPr>
        <w:t xml:space="preserve"> و</w:t>
      </w:r>
      <w:r w:rsidRPr="003231D2">
        <w:rPr>
          <w:spacing w:val="-2"/>
          <w:rtl/>
          <w:lang w:val="en-US"/>
        </w:rPr>
        <w:t>1</w:t>
      </w:r>
      <w:r w:rsidR="00A1027B" w:rsidRPr="003231D2">
        <w:rPr>
          <w:spacing w:val="-2"/>
          <w:rtl/>
          <w:lang w:val="en-US"/>
        </w:rPr>
        <w:t>6</w:t>
      </w:r>
      <w:r w:rsidR="00A1027B" w:rsidRPr="00A1027B">
        <w:rPr>
          <w:spacing w:val="-2"/>
          <w:rtl/>
          <w:lang w:val="en-US"/>
        </w:rPr>
        <w:t>).</w:t>
      </w:r>
    </w:p>
    <w:p w14:paraId="771E225D" w14:textId="4875D7B0" w:rsidR="008E4FF5" w:rsidRPr="003231D2" w:rsidRDefault="008E4FF5" w:rsidP="008E4FF5">
      <w:pPr>
        <w:pStyle w:val="SingleTxtGA"/>
        <w:rPr>
          <w:b/>
          <w:bCs/>
          <w:lang w:val="en-US"/>
        </w:rPr>
      </w:pPr>
      <w:r w:rsidRPr="003231D2">
        <w:rPr>
          <w:rtl/>
          <w:lang w:val="en-US"/>
        </w:rPr>
        <w:t>17</w:t>
      </w:r>
      <w:r w:rsidRPr="008E4FF5">
        <w:rPr>
          <w:rtl/>
          <w:lang w:val="en-US"/>
        </w:rPr>
        <w:t>-</w:t>
      </w:r>
      <w:r w:rsidRPr="008E4FF5">
        <w:rPr>
          <w:rtl/>
          <w:lang w:val="en-US"/>
        </w:rPr>
        <w:tab/>
      </w:r>
      <w:r w:rsidRPr="003231D2">
        <w:rPr>
          <w:b/>
          <w:bCs/>
          <w:rtl/>
          <w:lang w:val="en-US"/>
        </w:rPr>
        <w:t>ينبغي للدولة الطرف:</w:t>
      </w:r>
    </w:p>
    <w:p w14:paraId="5A19414B" w14:textId="707E86C9" w:rsidR="008E4FF5" w:rsidRPr="003231D2" w:rsidRDefault="008E4FF5" w:rsidP="008E4FF5">
      <w:pPr>
        <w:pStyle w:val="SingleTxtGA"/>
        <w:rPr>
          <w:b/>
          <w:bCs/>
          <w:lang w:val="en-US"/>
        </w:rPr>
      </w:pPr>
      <w:r w:rsidRPr="008E4FF5">
        <w:rPr>
          <w:rtl/>
          <w:lang w:val="en-US"/>
        </w:rPr>
        <w:tab/>
        <w:t>(أ)</w:t>
      </w:r>
      <w:r w:rsidRPr="008E4FF5">
        <w:rPr>
          <w:rtl/>
          <w:lang w:val="en-US"/>
        </w:rPr>
        <w:tab/>
      </w:r>
      <w:r w:rsidRPr="003231D2">
        <w:rPr>
          <w:b/>
          <w:bCs/>
          <w:rtl/>
          <w:lang w:val="en-US"/>
        </w:rPr>
        <w:t xml:space="preserve">ضمان إجراء تحقيق فوري ونزيه في جميع ادعاءات </w:t>
      </w:r>
      <w:proofErr w:type="gramStart"/>
      <w:r w:rsidRPr="003231D2">
        <w:rPr>
          <w:b/>
          <w:bCs/>
          <w:rtl/>
          <w:lang w:val="en-US"/>
        </w:rPr>
        <w:t>التعذيب</w:t>
      </w:r>
      <w:proofErr w:type="gramEnd"/>
      <w:r w:rsidRPr="003231D2">
        <w:rPr>
          <w:b/>
          <w:bCs/>
          <w:rtl/>
          <w:lang w:val="en-US"/>
        </w:rPr>
        <w:t xml:space="preserve"> أو سوء المعاملة أو</w:t>
      </w:r>
      <w:r w:rsidR="00A45792" w:rsidRPr="003231D2">
        <w:rPr>
          <w:rFonts w:hint="cs"/>
          <w:b/>
          <w:bCs/>
          <w:rtl/>
          <w:lang w:val="en-US"/>
        </w:rPr>
        <w:t> </w:t>
      </w:r>
      <w:r w:rsidRPr="003231D2">
        <w:rPr>
          <w:b/>
          <w:bCs/>
          <w:rtl/>
          <w:lang w:val="en-US"/>
        </w:rPr>
        <w:t>الاستخدام المفرط للقوة أو غيرها من انتهاكات حقوق الإنسان التي يرتكبها أفراد قوات الشرطة أو</w:t>
      </w:r>
      <w:r w:rsidR="00A45792" w:rsidRPr="003231D2">
        <w:rPr>
          <w:rFonts w:hint="cs"/>
          <w:b/>
          <w:bCs/>
          <w:rtl/>
          <w:lang w:val="en-US"/>
        </w:rPr>
        <w:t> </w:t>
      </w:r>
      <w:r w:rsidRPr="003231D2">
        <w:rPr>
          <w:b/>
          <w:bCs/>
          <w:rtl/>
          <w:lang w:val="en-US"/>
        </w:rPr>
        <w:t>فرق مكافحة الشغب المتنقلة في إطار مراقبة التجمعات العامة، خلال الفترة قيد الاستعراض، وفق</w:t>
      </w:r>
      <w:r w:rsidR="00182572" w:rsidRPr="003231D2">
        <w:rPr>
          <w:b/>
          <w:bCs/>
          <w:rtl/>
          <w:lang w:val="en-US"/>
        </w:rPr>
        <w:t xml:space="preserve">اً </w:t>
      </w:r>
      <w:r w:rsidRPr="003231D2">
        <w:rPr>
          <w:b/>
          <w:bCs/>
          <w:rtl/>
          <w:lang w:val="en-US"/>
        </w:rPr>
        <w:t>لأحكام بروتوكول مينيسوتا المتعلق بالتحقيق في حالات الوفاة التي يُحتمل أن تكون غير مشروعة، ودليل</w:t>
      </w:r>
      <w:r w:rsidR="00182572" w:rsidRPr="003231D2">
        <w:rPr>
          <w:rFonts w:hint="cs"/>
          <w:b/>
          <w:bCs/>
          <w:rtl/>
          <w:lang w:val="en-US"/>
        </w:rPr>
        <w:t> </w:t>
      </w:r>
      <w:r w:rsidRPr="003231D2">
        <w:rPr>
          <w:b/>
          <w:bCs/>
          <w:rtl/>
          <w:lang w:val="en-US"/>
        </w:rPr>
        <w:t>التقصي والتوثيق الفعالين للتعذيب وغيره من ضروب المعاملة أو العقوبة القاسية أو اللاإنسانية أو المهينة (بروتوكول اسطنبول) بصيغته المنقحة؛</w:t>
      </w:r>
    </w:p>
    <w:p w14:paraId="15EACFA9" w14:textId="442A2809" w:rsidR="008E4FF5" w:rsidRPr="003231D2" w:rsidRDefault="008E4FF5" w:rsidP="008E4FF5">
      <w:pPr>
        <w:pStyle w:val="SingleTxtGA"/>
        <w:rPr>
          <w:b/>
          <w:bCs/>
          <w:lang w:val="en-US"/>
        </w:rPr>
      </w:pPr>
      <w:r w:rsidRPr="008E4FF5">
        <w:rPr>
          <w:rtl/>
          <w:lang w:val="en-US"/>
        </w:rPr>
        <w:tab/>
        <w:t>(ب)</w:t>
      </w:r>
      <w:r w:rsidRPr="008E4FF5">
        <w:rPr>
          <w:rtl/>
          <w:lang w:val="en-US"/>
        </w:rPr>
        <w:tab/>
      </w:r>
      <w:r w:rsidRPr="003231D2">
        <w:rPr>
          <w:b/>
          <w:bCs/>
          <w:rtl/>
          <w:lang w:val="en-US"/>
        </w:rPr>
        <w:t>ضمان مثول مرتكبي هذه الانتهاكات المزعومين أمام المحاكم العادية، وضمان عدم تدخل المحكمة العسكرية في إجراءات التحقيق في هذه الانتهاكات، وفي حال إدانتهم، الحكم عليهم بعقوبات تتناسب وخطورة أفعالهم، وتعويض الضحايا بالكامل. وينبغي للدولة الطرف أيض</w:t>
      </w:r>
      <w:r w:rsidR="00182572" w:rsidRPr="003231D2">
        <w:rPr>
          <w:b/>
          <w:bCs/>
          <w:rtl/>
          <w:lang w:val="en-US"/>
        </w:rPr>
        <w:t xml:space="preserve">اً </w:t>
      </w:r>
      <w:r w:rsidRPr="003231D2">
        <w:rPr>
          <w:b/>
          <w:bCs/>
          <w:rtl/>
          <w:lang w:val="en-US"/>
        </w:rPr>
        <w:t>أن تعزز برامج الرعاية النفسية الاجتماعية للضحايا وأقاربهم، فضل</w:t>
      </w:r>
      <w:r w:rsidR="00182572" w:rsidRPr="003231D2">
        <w:rPr>
          <w:b/>
          <w:bCs/>
          <w:rtl/>
          <w:lang w:val="en-US"/>
        </w:rPr>
        <w:t xml:space="preserve">اً </w:t>
      </w:r>
      <w:r w:rsidRPr="003231D2">
        <w:rPr>
          <w:b/>
          <w:bCs/>
          <w:rtl/>
          <w:lang w:val="en-US"/>
        </w:rPr>
        <w:t>عن برامج الرعاية الخاصة للأشخاص الذين أصيبوا بجروح في أعينهم أثناء الاحتجاجات؛</w:t>
      </w:r>
    </w:p>
    <w:p w14:paraId="6C2D5212" w14:textId="1E672529" w:rsidR="008E4FF5" w:rsidRPr="003231D2" w:rsidRDefault="008E4FF5" w:rsidP="008E4FF5">
      <w:pPr>
        <w:pStyle w:val="SingleTxtGA"/>
        <w:rPr>
          <w:b/>
          <w:bCs/>
          <w:lang w:val="en-US"/>
        </w:rPr>
      </w:pPr>
      <w:r w:rsidRPr="008E4FF5">
        <w:rPr>
          <w:rtl/>
          <w:lang w:val="en-US"/>
        </w:rPr>
        <w:tab/>
        <w:t>(ج)</w:t>
      </w:r>
      <w:r w:rsidRPr="008E4FF5">
        <w:rPr>
          <w:rtl/>
          <w:lang w:val="en-US"/>
        </w:rPr>
        <w:tab/>
      </w:r>
      <w:r w:rsidRPr="003231D2">
        <w:rPr>
          <w:b/>
          <w:bCs/>
          <w:rtl/>
          <w:lang w:val="en-US"/>
        </w:rPr>
        <w:t>تعزيز التدابير الرامية إلى منع أفراد قوات الأمن من ارتكاب العنف الجنسي والعنف الجنساني، فضل</w:t>
      </w:r>
      <w:r w:rsidR="00182572" w:rsidRPr="003231D2">
        <w:rPr>
          <w:b/>
          <w:bCs/>
          <w:rtl/>
          <w:lang w:val="en-US"/>
        </w:rPr>
        <w:t xml:space="preserve">اً </w:t>
      </w:r>
      <w:r w:rsidRPr="003231D2">
        <w:rPr>
          <w:b/>
          <w:bCs/>
          <w:rtl/>
          <w:lang w:val="en-US"/>
        </w:rPr>
        <w:t>عن البروتوكولات المنطبقة في إطار السياسة المؤسساتية المتمثلة في عدم التسامح إطلاق</w:t>
      </w:r>
      <w:r w:rsidR="00182572" w:rsidRPr="003231D2">
        <w:rPr>
          <w:b/>
          <w:bCs/>
          <w:rtl/>
          <w:lang w:val="en-US"/>
        </w:rPr>
        <w:t xml:space="preserve">اً </w:t>
      </w:r>
      <w:r w:rsidRPr="003231D2">
        <w:rPr>
          <w:b/>
          <w:bCs/>
          <w:rtl/>
          <w:lang w:val="en-US"/>
        </w:rPr>
        <w:t>مع أعمال العنف الجنسي التي اعتمدتها وزارة الدفاع الوطني، والعمل كذلك على تعزيز برامج التدريب الإلزامية لأفراد الشرطة والمدعين العامين والقضاة من أجل تحديد القوالب النمطية الجنسانية ومحاكمة مرتكبي أعمال العنف الجنسي والعنف الجنساني؛</w:t>
      </w:r>
    </w:p>
    <w:p w14:paraId="21B267EA" w14:textId="44C0E727" w:rsidR="008E4FF5" w:rsidRPr="003231D2" w:rsidRDefault="008E4FF5" w:rsidP="008E4FF5">
      <w:pPr>
        <w:pStyle w:val="SingleTxtGA"/>
        <w:rPr>
          <w:b/>
          <w:bCs/>
          <w:lang w:val="en-US"/>
        </w:rPr>
      </w:pPr>
      <w:r w:rsidRPr="008E4FF5">
        <w:rPr>
          <w:rtl/>
          <w:lang w:val="en-US"/>
        </w:rPr>
        <w:tab/>
        <w:t>(د)</w:t>
      </w:r>
      <w:r w:rsidRPr="008E4FF5">
        <w:rPr>
          <w:rtl/>
          <w:lang w:val="en-US"/>
        </w:rPr>
        <w:tab/>
      </w:r>
      <w:r w:rsidRPr="003231D2">
        <w:rPr>
          <w:b/>
          <w:bCs/>
          <w:rtl/>
          <w:lang w:val="en-US"/>
        </w:rPr>
        <w:t>مواصلة تنقيح البروتوكولات والأدلة المتعلقة باستخدام الأسلحة الأقل فتك</w:t>
      </w:r>
      <w:r w:rsidR="0008344B" w:rsidRPr="003231D2">
        <w:rPr>
          <w:b/>
          <w:bCs/>
          <w:rtl/>
          <w:lang w:val="en-US"/>
        </w:rPr>
        <w:t>اً،</w:t>
      </w:r>
      <w:r w:rsidRPr="003231D2">
        <w:rPr>
          <w:b/>
          <w:bCs/>
          <w:rtl/>
          <w:lang w:val="en-US"/>
        </w:rPr>
        <w:t xml:space="preserve"> وذلك</w:t>
      </w:r>
      <w:r w:rsidR="00A45792" w:rsidRPr="003231D2">
        <w:rPr>
          <w:rFonts w:hint="cs"/>
          <w:b/>
          <w:bCs/>
          <w:rtl/>
          <w:lang w:val="en-US"/>
        </w:rPr>
        <w:t> </w:t>
      </w:r>
      <w:r w:rsidRPr="003231D2">
        <w:rPr>
          <w:b/>
          <w:bCs/>
          <w:rtl/>
          <w:lang w:val="en-US"/>
        </w:rPr>
        <w:t>بضمان حصول جميع موظفي إنفاذ القانون والقوات المسلحة على تدريب إلزامي متواصل على الاستخدام المتناسب للقوة، مع مراعاة المبادئ الأساسية بشأن استخدام القوة والأسلحة النارية من جانب الموظفين المكلفين بإنفاذ القوانين، وعلى تقنيات التحقيق غير القسرية؛</w:t>
      </w:r>
    </w:p>
    <w:p w14:paraId="54493AB9" w14:textId="59689650" w:rsidR="008E4FF5" w:rsidRPr="003231D2" w:rsidRDefault="008E4FF5" w:rsidP="008E4FF5">
      <w:pPr>
        <w:pStyle w:val="SingleTxtGA"/>
        <w:rPr>
          <w:b/>
          <w:bCs/>
          <w:lang w:val="en-US"/>
        </w:rPr>
      </w:pPr>
      <w:r w:rsidRPr="00A1027B">
        <w:rPr>
          <w:rtl/>
          <w:lang w:val="en-US"/>
        </w:rPr>
        <w:tab/>
        <w:t>(هـ)</w:t>
      </w:r>
      <w:r w:rsidRPr="00A1027B">
        <w:rPr>
          <w:rtl/>
          <w:lang w:val="en-US"/>
        </w:rPr>
        <w:tab/>
      </w:r>
      <w:r w:rsidRPr="003231D2">
        <w:rPr>
          <w:b/>
          <w:bCs/>
          <w:rtl/>
          <w:lang w:val="en-US"/>
        </w:rPr>
        <w:t>الحرص على أن تكفل قوات الشرطة المدنية حفظ النظام العام، قدر الإمكان، وضمان أن يكون نشر الأفراد العسكريين لغرض إدارة النظام العام تدبير</w:t>
      </w:r>
      <w:r w:rsidR="00182572" w:rsidRPr="003231D2">
        <w:rPr>
          <w:b/>
          <w:bCs/>
          <w:rtl/>
          <w:lang w:val="en-US"/>
        </w:rPr>
        <w:t xml:space="preserve">اً </w:t>
      </w:r>
      <w:r w:rsidRPr="003231D2">
        <w:rPr>
          <w:b/>
          <w:bCs/>
          <w:rtl/>
          <w:lang w:val="en-US"/>
        </w:rPr>
        <w:t>استثنائي</w:t>
      </w:r>
      <w:r w:rsidR="00182572" w:rsidRPr="003231D2">
        <w:rPr>
          <w:b/>
          <w:bCs/>
          <w:rtl/>
          <w:lang w:val="en-US"/>
        </w:rPr>
        <w:t xml:space="preserve">اً </w:t>
      </w:r>
      <w:r w:rsidRPr="003231D2">
        <w:rPr>
          <w:b/>
          <w:bCs/>
          <w:rtl/>
          <w:lang w:val="en-US"/>
        </w:rPr>
        <w:t>ومؤقت</w:t>
      </w:r>
      <w:r w:rsidR="0008344B" w:rsidRPr="003231D2">
        <w:rPr>
          <w:b/>
          <w:bCs/>
          <w:rtl/>
          <w:lang w:val="en-US"/>
        </w:rPr>
        <w:t>اً،</w:t>
      </w:r>
      <w:r w:rsidRPr="003231D2">
        <w:rPr>
          <w:b/>
          <w:bCs/>
          <w:rtl/>
          <w:lang w:val="en-US"/>
        </w:rPr>
        <w:t xml:space="preserve"> وأن يكون لذلك ما يبرره على النحو الواجب، وأن تُنفذ في مثل هذه الظروف البروتوكولات المتعلقة باستخدام القوة والأسلحة النارية بشكل صارم، وفق</w:t>
      </w:r>
      <w:r w:rsidR="00182572" w:rsidRPr="003231D2">
        <w:rPr>
          <w:b/>
          <w:bCs/>
          <w:rtl/>
          <w:lang w:val="en-US"/>
        </w:rPr>
        <w:t xml:space="preserve">اً </w:t>
      </w:r>
      <w:r w:rsidRPr="003231D2">
        <w:rPr>
          <w:b/>
          <w:bCs/>
          <w:rtl/>
          <w:lang w:val="en-US"/>
        </w:rPr>
        <w:t>للمعايير الدولية لحقوق الإنسان؛</w:t>
      </w:r>
    </w:p>
    <w:p w14:paraId="185EA653" w14:textId="77777777" w:rsidR="008E4FF5" w:rsidRPr="003231D2" w:rsidRDefault="008E4FF5" w:rsidP="008E4FF5">
      <w:pPr>
        <w:pStyle w:val="SingleTxtGA"/>
        <w:rPr>
          <w:b/>
          <w:bCs/>
          <w:lang w:val="en-US"/>
        </w:rPr>
      </w:pPr>
      <w:r w:rsidRPr="008E4FF5">
        <w:rPr>
          <w:rtl/>
          <w:lang w:val="en-US"/>
        </w:rPr>
        <w:tab/>
        <w:t>(و)</w:t>
      </w:r>
      <w:r w:rsidRPr="008E4FF5">
        <w:rPr>
          <w:rtl/>
          <w:lang w:val="en-US"/>
        </w:rPr>
        <w:tab/>
      </w:r>
      <w:r w:rsidRPr="003231D2">
        <w:rPr>
          <w:rFonts w:ascii="Times New Roman Bold" w:hAnsi="Times New Roman Bold"/>
          <w:b/>
          <w:bCs/>
          <w:spacing w:val="-2"/>
          <w:rtl/>
          <w:lang w:val="en-US"/>
        </w:rPr>
        <w:t>ضمان عدم انطباق تشريعات مكافحة الإرهاب على الأشخاص المتهمين فقط بارتكاب</w:t>
      </w:r>
      <w:r w:rsidRPr="003231D2">
        <w:rPr>
          <w:b/>
          <w:bCs/>
          <w:rtl/>
          <w:lang w:val="en-US"/>
        </w:rPr>
        <w:t xml:space="preserve"> جرائم ضد الممتلكات في سياق حركات الاحتجاج الاجتماعي؛</w:t>
      </w:r>
    </w:p>
    <w:p w14:paraId="021F6CD6" w14:textId="19390A28" w:rsidR="008E4FF5" w:rsidRPr="003231D2" w:rsidRDefault="008E4FF5" w:rsidP="008E4FF5">
      <w:pPr>
        <w:pStyle w:val="SingleTxtGA"/>
        <w:rPr>
          <w:b/>
          <w:bCs/>
          <w:lang w:val="en-US"/>
        </w:rPr>
      </w:pPr>
      <w:r w:rsidRPr="008E4FF5">
        <w:rPr>
          <w:rtl/>
          <w:lang w:val="en-US"/>
        </w:rPr>
        <w:tab/>
        <w:t>(ز)</w:t>
      </w:r>
      <w:r w:rsidRPr="008E4FF5">
        <w:rPr>
          <w:rtl/>
          <w:lang w:val="en-US"/>
        </w:rPr>
        <w:tab/>
      </w:r>
      <w:r w:rsidRPr="003231D2">
        <w:rPr>
          <w:b/>
          <w:bCs/>
          <w:rtl/>
          <w:lang w:val="en-US"/>
        </w:rPr>
        <w:t>المضي قدم</w:t>
      </w:r>
      <w:r w:rsidR="00182572" w:rsidRPr="003231D2">
        <w:rPr>
          <w:b/>
          <w:bCs/>
          <w:rtl/>
          <w:lang w:val="en-US"/>
        </w:rPr>
        <w:t xml:space="preserve">اً </w:t>
      </w:r>
      <w:r w:rsidRPr="003231D2">
        <w:rPr>
          <w:b/>
          <w:bCs/>
          <w:rtl/>
          <w:lang w:val="en-US"/>
        </w:rPr>
        <w:t>في إصلاح الشرطة الوطنية والنظر في فصل هذه المؤسسة عن ولاية وزارة الدفاع.</w:t>
      </w:r>
    </w:p>
    <w:p w14:paraId="0A9F0771" w14:textId="77777777" w:rsidR="008E4FF5" w:rsidRPr="003231D2" w:rsidRDefault="008E4FF5" w:rsidP="008E4FF5">
      <w:pPr>
        <w:pStyle w:val="H23GA"/>
      </w:pPr>
      <w:r w:rsidRPr="003231D2">
        <w:rPr>
          <w:rtl/>
        </w:rPr>
        <w:lastRenderedPageBreak/>
        <w:tab/>
      </w:r>
      <w:r w:rsidRPr="003231D2">
        <w:rPr>
          <w:rtl/>
        </w:rPr>
        <w:tab/>
        <w:t>إجراءات الدولة للتصدي لأعمال العنف المرتكبة في سياق النزاع المسلح والجريمة</w:t>
      </w:r>
    </w:p>
    <w:p w14:paraId="11ED2849" w14:textId="16BD6C85" w:rsidR="008E4FF5" w:rsidRPr="008E4FF5" w:rsidRDefault="008E4FF5" w:rsidP="00182572">
      <w:pPr>
        <w:pStyle w:val="SingleTxtGA"/>
        <w:spacing w:line="346" w:lineRule="exact"/>
        <w:rPr>
          <w:lang w:val="en-US"/>
        </w:rPr>
      </w:pPr>
      <w:r w:rsidRPr="003231D2">
        <w:rPr>
          <w:rtl/>
          <w:lang w:val="en-US"/>
        </w:rPr>
        <w:t>18</w:t>
      </w:r>
      <w:r w:rsidRPr="008E4FF5">
        <w:rPr>
          <w:rtl/>
          <w:lang w:val="en-US"/>
        </w:rPr>
        <w:t>-</w:t>
      </w:r>
      <w:r w:rsidRPr="008E4FF5">
        <w:rPr>
          <w:rtl/>
          <w:lang w:val="en-US"/>
        </w:rPr>
        <w:tab/>
      </w:r>
      <w:r w:rsidRPr="00A45792">
        <w:rPr>
          <w:spacing w:val="-4"/>
          <w:rtl/>
          <w:lang w:val="en-US"/>
        </w:rPr>
        <w:t>تحيط اللجنة علم</w:t>
      </w:r>
      <w:r w:rsidR="00182572" w:rsidRPr="00A45792">
        <w:rPr>
          <w:spacing w:val="-4"/>
          <w:rtl/>
          <w:lang w:val="en-US"/>
        </w:rPr>
        <w:t xml:space="preserve">اً </w:t>
      </w:r>
      <w:r w:rsidRPr="00A45792">
        <w:rPr>
          <w:spacing w:val="-4"/>
          <w:rtl/>
          <w:lang w:val="en-US"/>
        </w:rPr>
        <w:t>بالجهود التي بذلتها الدولة الطرف، لا سيما العمل الذي اضطلعت به وحدة التحقيق</w:t>
      </w:r>
      <w:r w:rsidRPr="008E4FF5">
        <w:rPr>
          <w:rtl/>
          <w:lang w:val="en-US"/>
        </w:rPr>
        <w:t xml:space="preserve"> الخاصة التابعة لمكتب المدعي العام، وإعادة تنشيط اللجنة الوطنية للضمانات الأمنية في عام</w:t>
      </w:r>
      <w:r w:rsidR="00182572">
        <w:rPr>
          <w:rFonts w:hint="cs"/>
          <w:rtl/>
          <w:lang w:val="en-US"/>
        </w:rPr>
        <w:t> </w:t>
      </w:r>
      <w:r w:rsidRPr="003231D2">
        <w:rPr>
          <w:rtl/>
          <w:lang w:val="en-US"/>
        </w:rPr>
        <w:t>2022</w:t>
      </w:r>
      <w:r w:rsidRPr="008E4FF5">
        <w:rPr>
          <w:rtl/>
          <w:lang w:val="en-US"/>
        </w:rPr>
        <w:t>، وهي الهيئة المسؤولة عن وضع وتنفيذ سياسة تفكيك المنظمات الإجرامية، فضل</w:t>
      </w:r>
      <w:r w:rsidR="00182572">
        <w:rPr>
          <w:rtl/>
          <w:lang w:val="en-US"/>
        </w:rPr>
        <w:t xml:space="preserve">اً </w:t>
      </w:r>
      <w:r w:rsidRPr="008E4FF5">
        <w:rPr>
          <w:rtl/>
          <w:lang w:val="en-US"/>
        </w:rPr>
        <w:t>عن المحادثات التي أُجريت مع بعض هذه المنظمات. غير أنها تشعر بالقلق إزاء ما يلي:</w:t>
      </w:r>
    </w:p>
    <w:p w14:paraId="32222084" w14:textId="48183B41" w:rsidR="00A1027B" w:rsidRPr="00A1027B" w:rsidRDefault="008E4FF5" w:rsidP="00182572">
      <w:pPr>
        <w:pStyle w:val="SingleTxtGA"/>
        <w:spacing w:line="346" w:lineRule="exact"/>
        <w:rPr>
          <w:lang w:val="en-US"/>
        </w:rPr>
      </w:pPr>
      <w:r w:rsidRPr="008E4FF5">
        <w:rPr>
          <w:rtl/>
          <w:lang w:val="en-US"/>
        </w:rPr>
        <w:tab/>
        <w:t>(أ)</w:t>
      </w:r>
      <w:r w:rsidRPr="008E4FF5">
        <w:rPr>
          <w:rtl/>
          <w:lang w:val="en-US"/>
        </w:rPr>
        <w:tab/>
        <w:t>معلومات تتعلق بوقوع أعمال قتل، واختفاء، وتهديدات، واعتداءات، وعنف جنسي وجنساني</w:t>
      </w:r>
      <w:r w:rsidR="00A1027B">
        <w:rPr>
          <w:rStyle w:val="FootnoteReference"/>
          <w:rtl/>
        </w:rPr>
        <w:t>(</w:t>
      </w:r>
      <w:r w:rsidR="00A1027B" w:rsidRPr="003231D2">
        <w:rPr>
          <w:rStyle w:val="FootnoteReference"/>
          <w:lang w:val="en-AU"/>
        </w:rPr>
        <w:footnoteReference w:id="17"/>
      </w:r>
      <w:r w:rsidR="00A1027B" w:rsidRPr="00A1027B">
        <w:rPr>
          <w:vertAlign w:val="superscript"/>
          <w:rtl/>
          <w:lang w:val="en-US"/>
        </w:rPr>
        <w:t>)</w:t>
      </w:r>
      <w:r w:rsidR="00A1027B" w:rsidRPr="00A1027B">
        <w:rPr>
          <w:rtl/>
          <w:lang w:val="en-US"/>
        </w:rPr>
        <w:t>،</w:t>
      </w:r>
      <w:r w:rsidR="00A1027B" w:rsidRPr="00A1027B">
        <w:rPr>
          <w:rtl/>
          <w:lang w:val="en-US"/>
        </w:rPr>
        <w:t xml:space="preserve"> </w:t>
      </w:r>
      <w:r w:rsidRPr="008E4FF5">
        <w:rPr>
          <w:rtl/>
          <w:lang w:val="en-US"/>
        </w:rPr>
        <w:t>وغير ذلك من الاعتداءات التي ارتكبتها جهات مسلحة غير حكومية، ومنظمات إجرامية في أنحاء مختلفة من البلد</w:t>
      </w:r>
      <w:r w:rsidR="00A1027B">
        <w:rPr>
          <w:rStyle w:val="FootnoteReference"/>
          <w:rtl/>
        </w:rPr>
        <w:t>(</w:t>
      </w:r>
      <w:r w:rsidR="00A1027B" w:rsidRPr="003231D2">
        <w:rPr>
          <w:rStyle w:val="FootnoteReference"/>
          <w:lang w:val="en-AU"/>
        </w:rPr>
        <w:footnoteReference w:id="18"/>
      </w:r>
      <w:r w:rsidR="00A1027B" w:rsidRPr="00A1027B">
        <w:rPr>
          <w:vertAlign w:val="superscript"/>
          <w:rtl/>
          <w:lang w:val="en-US"/>
        </w:rPr>
        <w:t>)</w:t>
      </w:r>
      <w:r w:rsidR="00A1027B" w:rsidRPr="00A1027B">
        <w:rPr>
          <w:rtl/>
          <w:lang w:val="en-US"/>
        </w:rPr>
        <w:t>؛</w:t>
      </w:r>
    </w:p>
    <w:p w14:paraId="746373E5" w14:textId="56352A44" w:rsidR="00A1027B" w:rsidRPr="00182572" w:rsidRDefault="008E4FF5" w:rsidP="00182572">
      <w:pPr>
        <w:pStyle w:val="SingleTxtGA"/>
        <w:spacing w:line="346" w:lineRule="exact"/>
        <w:rPr>
          <w:spacing w:val="2"/>
          <w:lang w:val="en-US"/>
        </w:rPr>
      </w:pPr>
      <w:r w:rsidRPr="008E4FF5">
        <w:rPr>
          <w:rtl/>
          <w:lang w:val="en-US"/>
        </w:rPr>
        <w:tab/>
        <w:t>(ب)</w:t>
      </w:r>
      <w:r w:rsidRPr="008E4FF5">
        <w:rPr>
          <w:rtl/>
          <w:lang w:val="en-US"/>
        </w:rPr>
        <w:tab/>
        <w:t>شكاوى تتعلق بحالات إعدام مدنيين خارج نطاق القانون أو بإجراءات موجزة أو</w:t>
      </w:r>
      <w:r w:rsidR="00182572">
        <w:rPr>
          <w:rFonts w:hint="cs"/>
          <w:rtl/>
          <w:lang w:val="en-US"/>
        </w:rPr>
        <w:t> </w:t>
      </w:r>
      <w:r w:rsidRPr="008E4FF5">
        <w:rPr>
          <w:rtl/>
          <w:lang w:val="en-US"/>
        </w:rPr>
        <w:t xml:space="preserve">تعسفية </w:t>
      </w:r>
      <w:r w:rsidRPr="00A45792">
        <w:rPr>
          <w:rtl/>
          <w:lang w:val="en-US"/>
        </w:rPr>
        <w:t>ارتكبها حسب المزاعم أفراد قوات الأمن في الأراضي التي تنشط فيها جهات مسلحة غير حكومية</w:t>
      </w:r>
      <w:r w:rsidRPr="00182572">
        <w:rPr>
          <w:spacing w:val="2"/>
          <w:rtl/>
          <w:lang w:val="en-US"/>
        </w:rPr>
        <w:t xml:space="preserve"> ومنظمات إجرامية</w:t>
      </w:r>
      <w:r w:rsidR="00A1027B" w:rsidRPr="00182572">
        <w:rPr>
          <w:rStyle w:val="FootnoteReference"/>
          <w:spacing w:val="2"/>
          <w:rtl/>
        </w:rPr>
        <w:t>(</w:t>
      </w:r>
      <w:r w:rsidR="00A1027B" w:rsidRPr="003231D2">
        <w:rPr>
          <w:rStyle w:val="FootnoteReference"/>
          <w:spacing w:val="2"/>
          <w:lang w:val="en-AU"/>
        </w:rPr>
        <w:footnoteReference w:id="19"/>
      </w:r>
      <w:r w:rsidR="00A1027B" w:rsidRPr="00182572">
        <w:rPr>
          <w:spacing w:val="2"/>
          <w:vertAlign w:val="superscript"/>
          <w:rtl/>
          <w:lang w:val="en-US"/>
        </w:rPr>
        <w:t>)</w:t>
      </w:r>
      <w:r w:rsidR="00A1027B" w:rsidRPr="00182572">
        <w:rPr>
          <w:spacing w:val="2"/>
          <w:rtl/>
          <w:lang w:val="en-US"/>
        </w:rPr>
        <w:t>؛</w:t>
      </w:r>
    </w:p>
    <w:p w14:paraId="1F703444" w14:textId="58E2D67A" w:rsidR="008E4FF5" w:rsidRPr="00182572" w:rsidRDefault="008E4FF5" w:rsidP="00182572">
      <w:pPr>
        <w:pStyle w:val="SingleTxtGA"/>
        <w:spacing w:line="346" w:lineRule="exact"/>
        <w:rPr>
          <w:spacing w:val="-4"/>
          <w:lang w:val="en-US"/>
        </w:rPr>
      </w:pPr>
      <w:r w:rsidRPr="00182572">
        <w:rPr>
          <w:spacing w:val="-4"/>
          <w:rtl/>
          <w:lang w:val="en-US"/>
        </w:rPr>
        <w:tab/>
        <w:t>(ج)</w:t>
      </w:r>
      <w:r w:rsidRPr="00182572">
        <w:rPr>
          <w:spacing w:val="-4"/>
          <w:rtl/>
          <w:lang w:val="en-US"/>
        </w:rPr>
        <w:tab/>
      </w:r>
      <w:r w:rsidRPr="00A45792">
        <w:rPr>
          <w:rtl/>
          <w:lang w:val="en-US"/>
        </w:rPr>
        <w:t>معلومات عن تجنيد الجماعات المسلحة غير الحكومية لقاصرين قسرا</w:t>
      </w:r>
      <w:r w:rsidR="00182572" w:rsidRPr="00A45792">
        <w:rPr>
          <w:rFonts w:hint="cs"/>
          <w:rtl/>
          <w:lang w:val="en-US"/>
        </w:rPr>
        <w:t>ً</w:t>
      </w:r>
      <w:r w:rsidR="00A1027B" w:rsidRPr="00182572">
        <w:rPr>
          <w:rStyle w:val="FootnoteReference"/>
          <w:spacing w:val="-4"/>
          <w:rtl/>
        </w:rPr>
        <w:t>(</w:t>
      </w:r>
      <w:r w:rsidR="00A1027B" w:rsidRPr="003231D2">
        <w:rPr>
          <w:rStyle w:val="FootnoteReference"/>
          <w:spacing w:val="-4"/>
          <w:lang w:val="en-AU"/>
        </w:rPr>
        <w:footnoteReference w:id="20"/>
      </w:r>
      <w:r w:rsidR="00A1027B" w:rsidRPr="00182572">
        <w:rPr>
          <w:spacing w:val="-4"/>
          <w:vertAlign w:val="superscript"/>
          <w:rtl/>
          <w:lang w:val="en-US"/>
        </w:rPr>
        <w:t>)</w:t>
      </w:r>
      <w:r w:rsidR="00A1027B" w:rsidRPr="00182572">
        <w:rPr>
          <w:spacing w:val="-4"/>
          <w:rtl/>
          <w:lang w:val="en-US"/>
        </w:rPr>
        <w:t>؛</w:t>
      </w:r>
      <w:r w:rsidR="00A1027B" w:rsidRPr="00182572">
        <w:rPr>
          <w:spacing w:val="-4"/>
          <w:rtl/>
          <w:lang w:val="en-US"/>
        </w:rPr>
        <w:t xml:space="preserve"> </w:t>
      </w:r>
      <w:r w:rsidRPr="00182572">
        <w:rPr>
          <w:spacing w:val="-4"/>
          <w:rtl/>
          <w:lang w:val="en-US"/>
        </w:rPr>
        <w:t>غير أنها تلاحظ أن الدولة الطرف تعتزم تحديث سياسة الوقاية الحالية، فضل</w:t>
      </w:r>
      <w:r w:rsidR="00182572">
        <w:rPr>
          <w:spacing w:val="-4"/>
          <w:rtl/>
          <w:lang w:val="en-US"/>
        </w:rPr>
        <w:t xml:space="preserve">اً </w:t>
      </w:r>
      <w:r w:rsidRPr="00182572">
        <w:rPr>
          <w:spacing w:val="-4"/>
          <w:rtl/>
          <w:lang w:val="en-US"/>
        </w:rPr>
        <w:t>عن البرامج المتخصصة لرعاية الضحايا؛</w:t>
      </w:r>
    </w:p>
    <w:p w14:paraId="2A627B09" w14:textId="0246C265" w:rsidR="00A1027B" w:rsidRPr="00A1027B" w:rsidRDefault="008E4FF5" w:rsidP="00182572">
      <w:pPr>
        <w:pStyle w:val="SingleTxtGA"/>
        <w:spacing w:line="346" w:lineRule="exact"/>
        <w:rPr>
          <w:lang w:val="en-US"/>
        </w:rPr>
      </w:pPr>
      <w:r w:rsidRPr="008E4FF5">
        <w:rPr>
          <w:rtl/>
          <w:lang w:val="en-US"/>
        </w:rPr>
        <w:tab/>
      </w:r>
      <w:r w:rsidRPr="008E4FF5">
        <w:rPr>
          <w:rtl/>
          <w:lang w:val="en-US"/>
        </w:rPr>
        <w:t>(د)</w:t>
      </w:r>
      <w:r w:rsidRPr="008E4FF5">
        <w:rPr>
          <w:rtl/>
          <w:lang w:val="en-US"/>
        </w:rPr>
        <w:tab/>
        <w:t>معلومات تفيد بأن الأنشطة غير القانونية في المناطق المتأثرة بالنزاع لا تزال تشكل أحد الأسباب الرئيسية للعنف، لا سيما العنف الجنسي ضد النساء والفتيات وضد من يشاركون في برامج بديلة عن المحاصيل غير المشروعة</w:t>
      </w:r>
      <w:r w:rsidR="00A1027B">
        <w:rPr>
          <w:rStyle w:val="FootnoteReference"/>
          <w:rtl/>
        </w:rPr>
        <w:t>(</w:t>
      </w:r>
      <w:r w:rsidR="00A1027B" w:rsidRPr="003231D2">
        <w:rPr>
          <w:rStyle w:val="FootnoteReference"/>
          <w:lang w:val="en-AU"/>
        </w:rPr>
        <w:footnoteReference w:id="21"/>
      </w:r>
      <w:r w:rsidR="00A1027B" w:rsidRPr="00A1027B">
        <w:rPr>
          <w:vertAlign w:val="superscript"/>
          <w:rtl/>
          <w:lang w:val="en-US"/>
        </w:rPr>
        <w:t>)</w:t>
      </w:r>
      <w:r w:rsidR="00A1027B" w:rsidRPr="00A1027B">
        <w:rPr>
          <w:rtl/>
          <w:lang w:val="en-US"/>
        </w:rPr>
        <w:t>،</w:t>
      </w:r>
      <w:r w:rsidR="00A1027B" w:rsidRPr="00A1027B">
        <w:rPr>
          <w:rtl/>
          <w:lang w:val="en-US"/>
        </w:rPr>
        <w:t xml:space="preserve"> </w:t>
      </w:r>
      <w:r w:rsidRPr="008E4FF5">
        <w:rPr>
          <w:rtl/>
          <w:lang w:val="en-US"/>
        </w:rPr>
        <w:t>فضل</w:t>
      </w:r>
      <w:r w:rsidR="00182572">
        <w:rPr>
          <w:rtl/>
          <w:lang w:val="en-US"/>
        </w:rPr>
        <w:t xml:space="preserve">اً </w:t>
      </w:r>
      <w:r w:rsidRPr="008E4FF5">
        <w:rPr>
          <w:rtl/>
          <w:lang w:val="en-US"/>
        </w:rPr>
        <w:t>عن النزوح القسري، الذي يؤثر في المقام الأول على الشعوب الأصلية والكولومبيين المنحدرين من أصل أفريقي</w:t>
      </w:r>
      <w:r w:rsidR="00A1027B">
        <w:rPr>
          <w:rStyle w:val="FootnoteReference"/>
          <w:rtl/>
        </w:rPr>
        <w:t>(</w:t>
      </w:r>
      <w:r w:rsidR="00A1027B" w:rsidRPr="003231D2">
        <w:rPr>
          <w:rStyle w:val="FootnoteReference"/>
          <w:lang w:val="en-AU"/>
        </w:rPr>
        <w:footnoteReference w:id="22"/>
      </w:r>
      <w:r w:rsidR="00A1027B" w:rsidRPr="00A1027B">
        <w:rPr>
          <w:vertAlign w:val="superscript"/>
          <w:rtl/>
          <w:lang w:val="en-US"/>
        </w:rPr>
        <w:t>)</w:t>
      </w:r>
      <w:r w:rsidR="00A1027B" w:rsidRPr="00A1027B">
        <w:rPr>
          <w:rtl/>
          <w:lang w:val="en-US"/>
        </w:rPr>
        <w:t>؛</w:t>
      </w:r>
    </w:p>
    <w:p w14:paraId="3C74D3B7" w14:textId="2203864A" w:rsidR="00A1027B" w:rsidRPr="00A1027B" w:rsidRDefault="008E4FF5" w:rsidP="00182572">
      <w:pPr>
        <w:pStyle w:val="SingleTxtGA"/>
        <w:spacing w:line="346" w:lineRule="exact"/>
        <w:rPr>
          <w:lang w:val="en-US"/>
        </w:rPr>
      </w:pPr>
      <w:r w:rsidRPr="008E4FF5">
        <w:rPr>
          <w:rtl/>
          <w:lang w:val="en-US"/>
        </w:rPr>
        <w:tab/>
        <w:t>(هـ)</w:t>
      </w:r>
      <w:r w:rsidRPr="008E4FF5">
        <w:rPr>
          <w:rtl/>
          <w:lang w:val="en-US"/>
        </w:rPr>
        <w:tab/>
        <w:t xml:space="preserve">عدم إحراز غير تقدم ضئيل في التحقيق في الجرائم المذكورة أعلاه، لا سيما تلك المرتكبة في المناطق الريفية؛ والعدد المحدود من المدعين العامين وانعدام الأمن في المناطق المتضررة؛ </w:t>
      </w:r>
      <w:r w:rsidRPr="00182572">
        <w:rPr>
          <w:spacing w:val="-2"/>
          <w:rtl/>
          <w:lang w:val="en-US"/>
        </w:rPr>
        <w:t>وعدم كفاية التدابير المتخذة لضمان حماية المدنيين والأشخاص الذين يبلغون عن هذه الجرائم و</w:t>
      </w:r>
      <w:r w:rsidRPr="00182572">
        <w:rPr>
          <w:spacing w:val="-2"/>
          <w:rtl/>
          <w:lang w:val="en-US"/>
        </w:rPr>
        <w:t>/</w:t>
      </w:r>
      <w:r w:rsidRPr="00182572">
        <w:rPr>
          <w:spacing w:val="-2"/>
          <w:rtl/>
          <w:lang w:val="en-US"/>
        </w:rPr>
        <w:t>أو يشاركون</w:t>
      </w:r>
      <w:r w:rsidRPr="008E4FF5">
        <w:rPr>
          <w:rtl/>
          <w:lang w:val="en-US"/>
        </w:rPr>
        <w:t xml:space="preserve"> في التحقيق فيها</w:t>
      </w:r>
      <w:r w:rsidR="00A1027B">
        <w:rPr>
          <w:rStyle w:val="FootnoteReference"/>
          <w:rtl/>
        </w:rPr>
        <w:t>(</w:t>
      </w:r>
      <w:r w:rsidR="00A1027B" w:rsidRPr="003231D2">
        <w:rPr>
          <w:rStyle w:val="FootnoteReference"/>
          <w:lang w:val="en-AU"/>
        </w:rPr>
        <w:footnoteReference w:id="23"/>
      </w:r>
      <w:r w:rsidR="00A1027B" w:rsidRPr="00A1027B">
        <w:rPr>
          <w:vertAlign w:val="superscript"/>
          <w:rtl/>
          <w:lang w:val="en-US"/>
        </w:rPr>
        <w:t>)</w:t>
      </w:r>
      <w:r w:rsidR="00A1027B" w:rsidRPr="00A1027B">
        <w:rPr>
          <w:rtl/>
          <w:lang w:val="en-US"/>
        </w:rPr>
        <w:t>؛</w:t>
      </w:r>
    </w:p>
    <w:p w14:paraId="554E65D6" w14:textId="104763D6" w:rsidR="00A1027B" w:rsidRPr="00A1027B" w:rsidRDefault="008E4FF5" w:rsidP="00182572">
      <w:pPr>
        <w:pStyle w:val="SingleTxtGA"/>
        <w:spacing w:line="346" w:lineRule="exact"/>
        <w:rPr>
          <w:lang w:val="en-US"/>
        </w:rPr>
      </w:pPr>
      <w:r w:rsidRPr="008E4FF5">
        <w:rPr>
          <w:rtl/>
          <w:lang w:val="en-US"/>
        </w:rPr>
        <w:tab/>
        <w:t>(و)</w:t>
      </w:r>
      <w:r>
        <w:rPr>
          <w:rtl/>
          <w:lang w:val="en-US"/>
        </w:rPr>
        <w:tab/>
      </w:r>
      <w:r w:rsidRPr="008E4FF5">
        <w:rPr>
          <w:rtl/>
          <w:lang w:val="en-US"/>
        </w:rPr>
        <w:t xml:space="preserve">أوجه القصور التي لوحظت في متابعة وتنفيذ التوصيات المقدمة في سياق نظام الإنذار المبكر التابع لمكتب أمين المظالم من جانب اللجنة المشتركة بين القطاعات للرد السريع على الإنذارات المبكرة (المواد </w:t>
      </w:r>
      <w:r w:rsidRPr="003231D2">
        <w:rPr>
          <w:rtl/>
          <w:lang w:val="en-US"/>
        </w:rPr>
        <w:t>2</w:t>
      </w:r>
      <w:r w:rsidRPr="008E4FF5">
        <w:rPr>
          <w:rtl/>
          <w:lang w:val="en-US"/>
        </w:rPr>
        <w:t xml:space="preserve"> و</w:t>
      </w:r>
      <w:r w:rsidRPr="003231D2">
        <w:rPr>
          <w:rtl/>
          <w:lang w:val="en-US"/>
        </w:rPr>
        <w:t>12</w:t>
      </w:r>
      <w:r w:rsidRPr="008E4FF5">
        <w:rPr>
          <w:rtl/>
          <w:lang w:val="en-US"/>
        </w:rPr>
        <w:t>-</w:t>
      </w:r>
      <w:r w:rsidRPr="003231D2">
        <w:rPr>
          <w:rtl/>
          <w:lang w:val="en-US"/>
        </w:rPr>
        <w:t>14</w:t>
      </w:r>
      <w:r w:rsidRPr="008E4FF5">
        <w:rPr>
          <w:rtl/>
          <w:lang w:val="en-US"/>
        </w:rPr>
        <w:t xml:space="preserve"> و</w:t>
      </w:r>
      <w:r w:rsidRPr="003231D2">
        <w:rPr>
          <w:rtl/>
          <w:lang w:val="en-US"/>
        </w:rPr>
        <w:t>16</w:t>
      </w:r>
      <w:r w:rsidRPr="008E4FF5">
        <w:rPr>
          <w:rtl/>
          <w:lang w:val="en-US"/>
        </w:rPr>
        <w:t>)</w:t>
      </w:r>
      <w:r w:rsidR="00A1027B">
        <w:rPr>
          <w:rStyle w:val="FootnoteReference"/>
          <w:rtl/>
        </w:rPr>
        <w:t>(</w:t>
      </w:r>
      <w:r w:rsidR="00A1027B" w:rsidRPr="003231D2">
        <w:rPr>
          <w:rStyle w:val="FootnoteReference"/>
          <w:lang w:val="en-AU"/>
        </w:rPr>
        <w:footnoteReference w:id="24"/>
      </w:r>
      <w:r w:rsidR="00A1027B" w:rsidRPr="00A1027B">
        <w:rPr>
          <w:vertAlign w:val="superscript"/>
          <w:rtl/>
          <w:lang w:val="en-US"/>
        </w:rPr>
        <w:t>)</w:t>
      </w:r>
      <w:r w:rsidR="00A1027B" w:rsidRPr="00A1027B">
        <w:rPr>
          <w:rtl/>
          <w:lang w:val="en-US"/>
        </w:rPr>
        <w:t>.</w:t>
      </w:r>
    </w:p>
    <w:p w14:paraId="5685554F" w14:textId="3BA593BE" w:rsidR="008E4FF5" w:rsidRPr="003231D2" w:rsidRDefault="008E4FF5" w:rsidP="008E4FF5">
      <w:pPr>
        <w:pStyle w:val="SingleTxtGA"/>
        <w:rPr>
          <w:b/>
          <w:bCs/>
          <w:lang w:val="en-US"/>
        </w:rPr>
      </w:pPr>
      <w:r w:rsidRPr="003231D2">
        <w:rPr>
          <w:rtl/>
          <w:lang w:val="en-US"/>
        </w:rPr>
        <w:lastRenderedPageBreak/>
        <w:t>19</w:t>
      </w:r>
      <w:r w:rsidRPr="008E4FF5">
        <w:rPr>
          <w:rtl/>
          <w:lang w:val="en-US"/>
        </w:rPr>
        <w:t>-</w:t>
      </w:r>
      <w:r w:rsidRPr="008E4FF5">
        <w:rPr>
          <w:rtl/>
          <w:lang w:val="en-US"/>
        </w:rPr>
        <w:tab/>
      </w:r>
      <w:r w:rsidRPr="003231D2">
        <w:rPr>
          <w:b/>
          <w:bCs/>
          <w:rtl/>
          <w:lang w:val="en-US"/>
        </w:rPr>
        <w:t>ينبغي للدولة الطرف:</w:t>
      </w:r>
    </w:p>
    <w:p w14:paraId="54269BBB" w14:textId="4CDF2128" w:rsidR="008E4FF5" w:rsidRPr="003231D2" w:rsidRDefault="008E4FF5" w:rsidP="008E4FF5">
      <w:pPr>
        <w:pStyle w:val="SingleTxtGA"/>
        <w:rPr>
          <w:rFonts w:ascii="Times New Roman Bold" w:hAnsi="Times New Roman Bold"/>
          <w:b/>
          <w:bCs/>
          <w:spacing w:val="-2"/>
          <w:lang w:val="en-US"/>
        </w:rPr>
      </w:pPr>
      <w:r w:rsidRPr="00E13EFD">
        <w:rPr>
          <w:spacing w:val="-4"/>
          <w:rtl/>
          <w:lang w:val="en-US"/>
        </w:rPr>
        <w:tab/>
        <w:t>(أ)</w:t>
      </w:r>
      <w:r w:rsidRPr="00E13EFD">
        <w:rPr>
          <w:spacing w:val="-4"/>
          <w:rtl/>
          <w:lang w:val="en-US"/>
        </w:rPr>
        <w:tab/>
      </w:r>
      <w:r w:rsidRPr="003231D2">
        <w:rPr>
          <w:rFonts w:ascii="Times New Roman Bold" w:hAnsi="Times New Roman Bold"/>
          <w:b/>
          <w:bCs/>
          <w:spacing w:val="-2"/>
          <w:rtl/>
          <w:lang w:val="en-US"/>
        </w:rPr>
        <w:t>مضاعفة الجهود لإنهاء العنف الذي ترتكبه الجماعات المسلحة غير الحكومية والمنظمات الإجرامية، والتعجيل باعتماد خطة عمل لتفكيك المنظمات المسلحة غير المشروعة، مع مراعاة توصيات لجنة الحقيقة، وكفالة إشراك المجتمع المدني في هذا الجهد. وينبغي</w:t>
      </w:r>
      <w:r w:rsidRPr="003231D2">
        <w:rPr>
          <w:rFonts w:ascii="Times New Roman Bold" w:hAnsi="Times New Roman Bold"/>
          <w:b/>
          <w:bCs/>
          <w:spacing w:val="-2"/>
          <w:rtl/>
          <w:lang w:val="en-US"/>
        </w:rPr>
        <w:t xml:space="preserve"> </w:t>
      </w:r>
      <w:r w:rsidRPr="003231D2">
        <w:rPr>
          <w:rFonts w:ascii="Times New Roman Bold" w:hAnsi="Times New Roman Bold"/>
          <w:b/>
          <w:bCs/>
          <w:spacing w:val="-2"/>
          <w:rtl/>
          <w:lang w:val="en-US"/>
        </w:rPr>
        <w:t>أن تضمن عملياتُ التفاوض والحوار مع الجماعات المسلحة غير الحكومية والمنظمات الإجرامية حقوقَ الضحايا بشكل كامل؛</w:t>
      </w:r>
    </w:p>
    <w:p w14:paraId="683126AE" w14:textId="5C0F8409" w:rsidR="008E4FF5" w:rsidRPr="003231D2" w:rsidRDefault="008E4FF5" w:rsidP="008E4FF5">
      <w:pPr>
        <w:pStyle w:val="SingleTxtGA"/>
        <w:rPr>
          <w:b/>
          <w:bCs/>
          <w:lang w:val="en-US"/>
        </w:rPr>
      </w:pPr>
      <w:r w:rsidRPr="008E4FF5">
        <w:rPr>
          <w:rtl/>
          <w:lang w:val="en-US"/>
        </w:rPr>
        <w:tab/>
        <w:t>(ب)</w:t>
      </w:r>
      <w:r w:rsidRPr="008E4FF5">
        <w:rPr>
          <w:rtl/>
          <w:lang w:val="en-US"/>
        </w:rPr>
        <w:tab/>
      </w:r>
      <w:r w:rsidRPr="003231D2">
        <w:rPr>
          <w:b/>
          <w:bCs/>
          <w:rtl/>
          <w:lang w:val="en-US"/>
        </w:rPr>
        <w:t>زيادة قدرات وحدة التحقيق الخاصة التابعة لمكتب المدعي العام على التحقيق الفوري والنزيه في أعمال العنف التي ترتكبها الجماعات المسلحة غير الحكومية والمنظمات الإجرامية، والتجاوزات التي يرتكبها أفراد قوات الأمن، مع مواصلة التركيز على المنظور الجنساني. وينبغي للدولة الطرف أيض</w:t>
      </w:r>
      <w:r w:rsidR="00182572" w:rsidRPr="003231D2">
        <w:rPr>
          <w:b/>
          <w:bCs/>
          <w:rtl/>
          <w:lang w:val="en-US"/>
        </w:rPr>
        <w:t xml:space="preserve">اً </w:t>
      </w:r>
      <w:r w:rsidRPr="003231D2">
        <w:rPr>
          <w:b/>
          <w:bCs/>
          <w:rtl/>
          <w:lang w:val="en-US"/>
        </w:rPr>
        <w:t>أن تكفل التحقيق مع الجناة ومقاضاتهم ومعاقبتهم على النحو الواجب وحصول الضحايا على جبر كامل؛</w:t>
      </w:r>
    </w:p>
    <w:p w14:paraId="40A5C192" w14:textId="42EFB489" w:rsidR="008E4FF5" w:rsidRPr="003231D2" w:rsidRDefault="008E4FF5" w:rsidP="008E4FF5">
      <w:pPr>
        <w:pStyle w:val="SingleTxtGA"/>
        <w:rPr>
          <w:b/>
          <w:bCs/>
          <w:lang w:val="en-US"/>
        </w:rPr>
      </w:pPr>
      <w:r w:rsidRPr="008E4FF5">
        <w:rPr>
          <w:rtl/>
          <w:lang w:val="en-US"/>
        </w:rPr>
        <w:tab/>
        <w:t>(ج)</w:t>
      </w:r>
      <w:r w:rsidRPr="008E4FF5">
        <w:rPr>
          <w:rtl/>
          <w:lang w:val="en-US"/>
        </w:rPr>
        <w:tab/>
      </w:r>
      <w:r w:rsidRPr="003231D2">
        <w:rPr>
          <w:b/>
          <w:bCs/>
          <w:rtl/>
          <w:lang w:val="en-US"/>
        </w:rPr>
        <w:t>تعزيز التدابير التي اتُخذت لمنع الجماعات المسلحة غير الحكومية من تجنيد القاصرين</w:t>
      </w:r>
      <w:r w:rsidRPr="003231D2">
        <w:rPr>
          <w:b/>
          <w:bCs/>
          <w:rtl/>
          <w:lang w:val="en-US"/>
        </w:rPr>
        <w:t xml:space="preserve"> </w:t>
      </w:r>
      <w:r w:rsidRPr="003231D2">
        <w:rPr>
          <w:b/>
          <w:bCs/>
          <w:rtl/>
          <w:lang w:val="en-US"/>
        </w:rPr>
        <w:t>قسر</w:t>
      </w:r>
      <w:r w:rsidR="00182572" w:rsidRPr="003231D2">
        <w:rPr>
          <w:b/>
          <w:bCs/>
          <w:rtl/>
          <w:lang w:val="en-US"/>
        </w:rPr>
        <w:t xml:space="preserve">اً </w:t>
      </w:r>
      <w:r w:rsidRPr="003231D2">
        <w:rPr>
          <w:b/>
          <w:bCs/>
          <w:rtl/>
          <w:lang w:val="en-US"/>
        </w:rPr>
        <w:t>والمعاقبة عليه، واعتماد سياسة شاملة في هذا الصدد، وضمان الجبر الكامل للضحايا، مع مراعاة الضرر الذي طالهم نتيجة التعذيب وسوء المعاملة؛</w:t>
      </w:r>
    </w:p>
    <w:p w14:paraId="6810D091" w14:textId="3B1F163A" w:rsidR="00A1027B" w:rsidRPr="003231D2" w:rsidRDefault="008E4FF5" w:rsidP="008E4FF5">
      <w:pPr>
        <w:pStyle w:val="SingleTxtGA"/>
        <w:rPr>
          <w:b/>
          <w:bCs/>
          <w:lang w:val="en-US"/>
        </w:rPr>
      </w:pPr>
      <w:r w:rsidRPr="008E4FF5">
        <w:rPr>
          <w:rtl/>
          <w:lang w:val="en-US"/>
        </w:rPr>
        <w:tab/>
        <w:t>(د)</w:t>
      </w:r>
      <w:r w:rsidRPr="008E4FF5">
        <w:rPr>
          <w:rtl/>
          <w:lang w:val="en-US"/>
        </w:rPr>
        <w:tab/>
      </w:r>
      <w:r w:rsidRPr="003231D2">
        <w:rPr>
          <w:b/>
          <w:bCs/>
          <w:rtl/>
          <w:lang w:val="en-US"/>
        </w:rPr>
        <w:t xml:space="preserve">مواصلة العمل لمنع النزوح القسري وإتاحة الحماية والمساعدة للنازحين. وينبغي </w:t>
      </w:r>
      <w:r w:rsidRPr="003231D2">
        <w:rPr>
          <w:rFonts w:ascii="Times New Roman Bold" w:hAnsi="Times New Roman Bold"/>
          <w:b/>
          <w:bCs/>
          <w:spacing w:val="-2"/>
          <w:rtl/>
          <w:lang w:val="en-US"/>
        </w:rPr>
        <w:t>للدولة الطرف أيض</w:t>
      </w:r>
      <w:r w:rsidR="00182572" w:rsidRPr="003231D2">
        <w:rPr>
          <w:rFonts w:ascii="Times New Roman Bold" w:hAnsi="Times New Roman Bold"/>
          <w:b/>
          <w:bCs/>
          <w:spacing w:val="-2"/>
          <w:rtl/>
          <w:lang w:val="en-US"/>
        </w:rPr>
        <w:t xml:space="preserve">اً </w:t>
      </w:r>
      <w:r w:rsidRPr="003231D2">
        <w:rPr>
          <w:rFonts w:ascii="Times New Roman Bold" w:hAnsi="Times New Roman Bold"/>
          <w:b/>
          <w:bCs/>
          <w:spacing w:val="-2"/>
          <w:rtl/>
          <w:lang w:val="en-US"/>
        </w:rPr>
        <w:t>أن تكفل حماية الأشخاص المتضررين من العنف المتصل بالأنشطة غير المشروعة،</w:t>
      </w:r>
      <w:r w:rsidRPr="003231D2">
        <w:rPr>
          <w:b/>
          <w:bCs/>
          <w:rtl/>
          <w:lang w:val="en-US"/>
        </w:rPr>
        <w:t xml:space="preserve"> وذلك بوضع استراتيجية على أساس حقوق الإنسان وتنفيذها، على النحو المنصوص عليه في أحكام اتفاق السلام بشأن استبدال المحاصيل غير المشروعة. وفي هذا الصدد، توجه اللجنة انتباه الدولة الطرف إلى المبادئ التوجيهية الدولية المتعلقة بحقوق الإنسان وسياسة مكافحة المخدرات</w:t>
      </w:r>
      <w:r w:rsidR="00A1027B" w:rsidRPr="003231D2">
        <w:rPr>
          <w:rStyle w:val="FootnoteReference"/>
          <w:b/>
          <w:bCs/>
          <w:rtl/>
        </w:rPr>
        <w:t>(</w:t>
      </w:r>
      <w:r w:rsidR="00A1027B" w:rsidRPr="003231D2">
        <w:rPr>
          <w:rStyle w:val="FootnoteReference"/>
          <w:b/>
          <w:bCs/>
          <w:lang w:val="en-AU"/>
        </w:rPr>
        <w:footnoteReference w:id="25"/>
      </w:r>
      <w:r w:rsidR="00A1027B" w:rsidRPr="003231D2">
        <w:rPr>
          <w:b/>
          <w:bCs/>
          <w:vertAlign w:val="superscript"/>
          <w:rtl/>
          <w:lang w:val="en-US"/>
        </w:rPr>
        <w:t>)</w:t>
      </w:r>
      <w:r w:rsidR="00A1027B" w:rsidRPr="003231D2">
        <w:rPr>
          <w:b/>
          <w:bCs/>
          <w:rtl/>
          <w:lang w:val="en-US"/>
        </w:rPr>
        <w:t>؛</w:t>
      </w:r>
    </w:p>
    <w:p w14:paraId="3CADFF92" w14:textId="681E4BB3" w:rsidR="008E4FF5" w:rsidRPr="003231D2" w:rsidRDefault="008E4FF5" w:rsidP="008E4FF5">
      <w:pPr>
        <w:pStyle w:val="SingleTxtGA"/>
        <w:rPr>
          <w:b/>
          <w:bCs/>
          <w:lang w:val="en-US"/>
        </w:rPr>
      </w:pPr>
      <w:r w:rsidRPr="00A1027B">
        <w:rPr>
          <w:rtl/>
          <w:lang w:val="en-US"/>
        </w:rPr>
        <w:tab/>
        <w:t>(هـ)</w:t>
      </w:r>
      <w:r w:rsidRPr="00A1027B">
        <w:rPr>
          <w:rtl/>
          <w:lang w:val="en-US"/>
        </w:rPr>
        <w:tab/>
      </w:r>
      <w:r w:rsidRPr="003231D2">
        <w:rPr>
          <w:b/>
          <w:bCs/>
          <w:rtl/>
          <w:lang w:val="en-US"/>
        </w:rPr>
        <w:t>تعزيز حضور السلطات المدنية في المناطق المتأثرة بعنف الجماعات المسلحة، وتوسيع وسائل انتشار دائرة المدعي العام ومكتب المدعي العام وسلطتهما الإقليمية في المناطق المتأثرة، ودراسة قدرات وأساليب عمل اللجنة المشتركة بين القطاعات للرد السريع على الإنذارات المبكرة بغية كفالة اتخاذ تدابير ملموسة</w:t>
      </w:r>
      <w:r w:rsidRPr="003231D2">
        <w:rPr>
          <w:b/>
          <w:bCs/>
          <w:rtl/>
          <w:lang w:val="en-US"/>
        </w:rPr>
        <w:t xml:space="preserve"> </w:t>
      </w:r>
      <w:r w:rsidRPr="003231D2">
        <w:rPr>
          <w:b/>
          <w:bCs/>
          <w:rtl/>
          <w:lang w:val="en-US"/>
        </w:rPr>
        <w:t>لمنع العنف والرد السريع على الإنذارات المبكرة.</w:t>
      </w:r>
    </w:p>
    <w:p w14:paraId="7A324C7E" w14:textId="77777777" w:rsidR="008E4FF5" w:rsidRPr="003231D2" w:rsidRDefault="008E4FF5" w:rsidP="008E4FF5">
      <w:pPr>
        <w:pStyle w:val="H23GA"/>
      </w:pPr>
      <w:r w:rsidRPr="003231D2">
        <w:rPr>
          <w:rtl/>
        </w:rPr>
        <w:tab/>
      </w:r>
      <w:r w:rsidRPr="003231D2">
        <w:rPr>
          <w:rtl/>
        </w:rPr>
        <w:tab/>
        <w:t>العدالة الانتقالية</w:t>
      </w:r>
    </w:p>
    <w:p w14:paraId="66E64E00" w14:textId="1B619565" w:rsidR="00A1027B" w:rsidRPr="00E13EFD" w:rsidRDefault="008E4FF5" w:rsidP="00E13EFD">
      <w:pPr>
        <w:pStyle w:val="SingleTxtGA"/>
        <w:spacing w:line="350" w:lineRule="exact"/>
        <w:rPr>
          <w:spacing w:val="-2"/>
          <w:lang w:val="en-US"/>
        </w:rPr>
      </w:pPr>
      <w:r w:rsidRPr="003231D2">
        <w:rPr>
          <w:rtl/>
          <w:lang w:val="en-US"/>
        </w:rPr>
        <w:t>20</w:t>
      </w:r>
      <w:r w:rsidRPr="008E4FF5">
        <w:rPr>
          <w:rtl/>
          <w:lang w:val="en-US"/>
        </w:rPr>
        <w:t>-</w:t>
      </w:r>
      <w:r w:rsidRPr="008E4FF5">
        <w:rPr>
          <w:rtl/>
          <w:lang w:val="en-US"/>
        </w:rPr>
        <w:tab/>
        <w:t>ترحب اللجنة بالتقدم المحرز في مجال العدالة الانتقالية، لا سيما القرارات الأولى</w:t>
      </w:r>
      <w:r>
        <w:rPr>
          <w:rtl/>
          <w:lang w:val="en-US"/>
        </w:rPr>
        <w:t xml:space="preserve"> </w:t>
      </w:r>
      <w:r w:rsidRPr="008E4FF5">
        <w:rPr>
          <w:rtl/>
          <w:lang w:val="en-US"/>
        </w:rPr>
        <w:t>للاستنتاجات الصادرة عن محكمة السلام الخاصة</w:t>
      </w:r>
      <w:r w:rsidR="00A1027B">
        <w:rPr>
          <w:rStyle w:val="FootnoteReference"/>
          <w:rtl/>
        </w:rPr>
        <w:t>(</w:t>
      </w:r>
      <w:r w:rsidR="00A1027B" w:rsidRPr="003231D2">
        <w:rPr>
          <w:rStyle w:val="FootnoteReference"/>
          <w:lang w:val="en-AU"/>
        </w:rPr>
        <w:footnoteReference w:id="26"/>
      </w:r>
      <w:r w:rsidR="00A1027B" w:rsidRPr="00A1027B">
        <w:rPr>
          <w:vertAlign w:val="superscript"/>
          <w:rtl/>
          <w:lang w:val="en-US"/>
        </w:rPr>
        <w:t>)</w:t>
      </w:r>
      <w:r w:rsidR="00A1027B" w:rsidRPr="00A1027B">
        <w:rPr>
          <w:rtl/>
          <w:lang w:val="en-US"/>
        </w:rPr>
        <w:t>.</w:t>
      </w:r>
      <w:r w:rsidR="00A1027B" w:rsidRPr="00A1027B">
        <w:rPr>
          <w:rtl/>
          <w:lang w:val="en-US"/>
        </w:rPr>
        <w:t xml:space="preserve"> </w:t>
      </w:r>
      <w:r w:rsidRPr="008E4FF5">
        <w:rPr>
          <w:rtl/>
          <w:lang w:val="en-US"/>
        </w:rPr>
        <w:t>وترحب اللجنة أيض</w:t>
      </w:r>
      <w:r w:rsidR="00182572">
        <w:rPr>
          <w:rtl/>
          <w:lang w:val="en-US"/>
        </w:rPr>
        <w:t xml:space="preserve">اً </w:t>
      </w:r>
      <w:r w:rsidRPr="008E4FF5">
        <w:rPr>
          <w:rtl/>
          <w:lang w:val="en-US"/>
        </w:rPr>
        <w:t xml:space="preserve">بالتقرير النهائي للجنة الحقيقة والتعايش وعدم التكرار الصادر في عام </w:t>
      </w:r>
      <w:r w:rsidRPr="003231D2">
        <w:rPr>
          <w:rtl/>
          <w:lang w:val="en-US"/>
        </w:rPr>
        <w:t>2022</w:t>
      </w:r>
      <w:r w:rsidRPr="008E4FF5">
        <w:rPr>
          <w:rtl/>
          <w:lang w:val="en-US"/>
        </w:rPr>
        <w:t xml:space="preserve">، وبالالتزام الذي قطعته الدولة الطرف على نفسها بتنفيذ التوصيات الواردة فيه. وعلاوة على ذلك، تلاحظ اللجنة باهتمام التزام الدولة الطرف باتخاذ تدابير لتنفيذ حكم محكمة البلدان الأمريكية لحقوق الإنسان في قضية </w:t>
      </w:r>
      <w:proofErr w:type="spellStart"/>
      <w:r w:rsidRPr="003231D2">
        <w:rPr>
          <w:i/>
          <w:iCs/>
          <w:rtl/>
          <w:lang w:val="en-US"/>
        </w:rPr>
        <w:t>بيدويا</w:t>
      </w:r>
      <w:proofErr w:type="spellEnd"/>
      <w:r w:rsidRPr="003231D2">
        <w:rPr>
          <w:i/>
          <w:iCs/>
          <w:rtl/>
          <w:lang w:val="en-US"/>
        </w:rPr>
        <w:t xml:space="preserve"> ليما وآخرون ضد كولومبيا</w:t>
      </w:r>
      <w:r w:rsidR="00A1027B">
        <w:rPr>
          <w:rStyle w:val="FootnoteReference"/>
          <w:rtl/>
        </w:rPr>
        <w:t>(</w:t>
      </w:r>
      <w:r w:rsidR="00A1027B" w:rsidRPr="003231D2">
        <w:rPr>
          <w:rStyle w:val="FootnoteReference"/>
          <w:lang w:val="en-AU"/>
        </w:rPr>
        <w:footnoteReference w:id="27"/>
      </w:r>
      <w:r w:rsidR="00A1027B" w:rsidRPr="00A1027B">
        <w:rPr>
          <w:vertAlign w:val="superscript"/>
          <w:rtl/>
          <w:lang w:val="en-US"/>
        </w:rPr>
        <w:t>)</w:t>
      </w:r>
      <w:r w:rsidR="00A1027B" w:rsidRPr="00A1027B">
        <w:rPr>
          <w:rtl/>
          <w:lang w:val="en-US"/>
        </w:rPr>
        <w:t>،</w:t>
      </w:r>
      <w:r w:rsidR="00A1027B" w:rsidRPr="00A1027B">
        <w:rPr>
          <w:rtl/>
          <w:lang w:val="en-US"/>
        </w:rPr>
        <w:t xml:space="preserve"> </w:t>
      </w:r>
      <w:r w:rsidRPr="008E4FF5">
        <w:rPr>
          <w:rtl/>
          <w:lang w:val="en-US"/>
        </w:rPr>
        <w:t>وبالدراسة قيد النظر في</w:t>
      </w:r>
      <w:r w:rsidR="00E13EFD">
        <w:rPr>
          <w:rFonts w:hint="cs"/>
          <w:rtl/>
          <w:lang w:val="en-US"/>
        </w:rPr>
        <w:t> </w:t>
      </w:r>
      <w:r w:rsidRPr="008E4FF5">
        <w:rPr>
          <w:rtl/>
          <w:lang w:val="en-US"/>
        </w:rPr>
        <w:t>سياق قضية أعضاء و</w:t>
      </w:r>
      <w:r w:rsidRPr="003231D2">
        <w:rPr>
          <w:i/>
          <w:iCs/>
          <w:rtl/>
          <w:lang w:val="en-US"/>
        </w:rPr>
        <w:t>نشطاء الاتحاد الوطني ضد كولومبيا</w:t>
      </w:r>
      <w:r w:rsidR="00A1027B">
        <w:rPr>
          <w:rStyle w:val="FootnoteReference"/>
          <w:rtl/>
        </w:rPr>
        <w:t>(</w:t>
      </w:r>
      <w:r w:rsidR="00A1027B" w:rsidRPr="003231D2">
        <w:rPr>
          <w:rStyle w:val="FootnoteReference"/>
          <w:lang w:val="en-AU"/>
        </w:rPr>
        <w:footnoteReference w:id="28"/>
      </w:r>
      <w:r w:rsidR="00A1027B" w:rsidRPr="00A1027B">
        <w:rPr>
          <w:vertAlign w:val="superscript"/>
          <w:rtl/>
          <w:lang w:val="en-US"/>
        </w:rPr>
        <w:t>)</w:t>
      </w:r>
      <w:r w:rsidR="00A1027B" w:rsidRPr="00A1027B">
        <w:rPr>
          <w:rtl/>
          <w:lang w:val="en-US"/>
        </w:rPr>
        <w:t>.</w:t>
      </w:r>
      <w:r w:rsidR="00A1027B" w:rsidRPr="00A1027B">
        <w:rPr>
          <w:rtl/>
          <w:lang w:val="en-US"/>
        </w:rPr>
        <w:t xml:space="preserve"> </w:t>
      </w:r>
      <w:r w:rsidRPr="008E4FF5">
        <w:rPr>
          <w:rtl/>
          <w:lang w:val="en-US"/>
        </w:rPr>
        <w:t>ومع ذلك، يساور اللجنة القلق إزاء</w:t>
      </w:r>
      <w:r w:rsidR="00E13EFD">
        <w:rPr>
          <w:rFonts w:hint="cs"/>
          <w:rtl/>
          <w:lang w:val="en-US"/>
        </w:rPr>
        <w:t> </w:t>
      </w:r>
      <w:r w:rsidRPr="008E4FF5">
        <w:rPr>
          <w:rtl/>
          <w:lang w:val="en-US"/>
        </w:rPr>
        <w:t>معلومات تفيد بعدم التحقيق في أعمال التعذيب وسوء المعاملة في حد ذاتها لأنها تعتبر جزء</w:t>
      </w:r>
      <w:r w:rsidR="00182572">
        <w:rPr>
          <w:rtl/>
          <w:lang w:val="en-US"/>
        </w:rPr>
        <w:t xml:space="preserve">اً </w:t>
      </w:r>
      <w:r w:rsidRPr="008E4FF5">
        <w:rPr>
          <w:rtl/>
          <w:lang w:val="en-US"/>
        </w:rPr>
        <w:t xml:space="preserve">من جرائم أخرى أشد خطورة، مثل عمليات الاختطاف والقتل والمذابح التي تعزى إلى جهات مسلحة غير حكومية، أو أعمال التعذيب في حالات الإعدام خارج نطاق القضاء المنسوبة إلى أفراد قوات الأمن. </w:t>
      </w:r>
      <w:r w:rsidRPr="008E4FF5">
        <w:rPr>
          <w:rtl/>
          <w:lang w:val="en-US"/>
        </w:rPr>
        <w:lastRenderedPageBreak/>
        <w:t xml:space="preserve">ويساور </w:t>
      </w:r>
      <w:r w:rsidRPr="00E13EFD">
        <w:rPr>
          <w:spacing w:val="-2"/>
          <w:rtl/>
          <w:lang w:val="en-US"/>
        </w:rPr>
        <w:t>اللجنة القلق أيض</w:t>
      </w:r>
      <w:r w:rsidR="00182572" w:rsidRPr="00E13EFD">
        <w:rPr>
          <w:spacing w:val="-2"/>
          <w:rtl/>
          <w:lang w:val="en-US"/>
        </w:rPr>
        <w:t xml:space="preserve">اً </w:t>
      </w:r>
      <w:r w:rsidRPr="00E13EFD">
        <w:rPr>
          <w:spacing w:val="-2"/>
          <w:rtl/>
          <w:lang w:val="en-US"/>
        </w:rPr>
        <w:t xml:space="preserve">إزاء تقارير تفيد بعدم إحراز أي تقدم يُذكر في التحقيقات والملاحقات المتصلة بادعاءات العنف الجنسي والجنساني المتصلة بالنزاع المسلح، وإزاء عدم حصول الضحايا على جبر كامل، وهو ما يسهم في وجود مناخ عام من الإفلات من العقاب. وعلاوة على ذلك، يساور اللجنة القلق إزاء حالة </w:t>
      </w:r>
      <w:r w:rsidRPr="00E13EFD">
        <w:rPr>
          <w:spacing w:val="-4"/>
          <w:rtl/>
          <w:lang w:val="en-US"/>
        </w:rPr>
        <w:t>انعدام الأمن السائدة في بعض المقاطعات، والتي تجعل من الصعب البحث عن الأشخاص المختفين</w:t>
      </w:r>
      <w:r w:rsidRPr="00E13EFD">
        <w:rPr>
          <w:spacing w:val="-4"/>
          <w:rtl/>
          <w:lang w:val="en-US"/>
        </w:rPr>
        <w:t xml:space="preserve"> </w:t>
      </w:r>
      <w:r w:rsidRPr="00E13EFD">
        <w:rPr>
          <w:spacing w:val="-4"/>
          <w:rtl/>
          <w:lang w:val="en-US"/>
        </w:rPr>
        <w:t>والتعرف عليهم، والاطلاع على المعلومات الموجودة في حوزة بعض مؤسسات الدولة</w:t>
      </w:r>
      <w:r w:rsidR="00A1027B" w:rsidRPr="00E13EFD">
        <w:rPr>
          <w:rStyle w:val="FootnoteReference"/>
          <w:spacing w:val="-4"/>
          <w:rtl/>
        </w:rPr>
        <w:t>(</w:t>
      </w:r>
      <w:r w:rsidR="00A1027B" w:rsidRPr="003231D2">
        <w:rPr>
          <w:rStyle w:val="FootnoteReference"/>
          <w:spacing w:val="-4"/>
          <w:lang w:val="en-AU"/>
        </w:rPr>
        <w:footnoteReference w:id="29"/>
      </w:r>
      <w:r w:rsidRPr="00E13EFD">
        <w:rPr>
          <w:spacing w:val="-4"/>
          <w:vertAlign w:val="superscript"/>
          <w:rtl/>
          <w:lang w:val="en-US"/>
        </w:rPr>
        <w:t>)</w:t>
      </w:r>
      <w:r w:rsidRPr="00E13EFD">
        <w:rPr>
          <w:spacing w:val="-4"/>
          <w:rtl/>
          <w:lang w:val="en-US"/>
        </w:rPr>
        <w:t xml:space="preserve"> (المواد </w:t>
      </w:r>
      <w:r w:rsidRPr="003231D2">
        <w:rPr>
          <w:spacing w:val="-4"/>
          <w:rtl/>
          <w:lang w:val="en-US"/>
        </w:rPr>
        <w:t>2</w:t>
      </w:r>
      <w:r w:rsidRPr="00E13EFD">
        <w:rPr>
          <w:spacing w:val="-4"/>
          <w:rtl/>
          <w:lang w:val="en-US"/>
        </w:rPr>
        <w:t xml:space="preserve"> و</w:t>
      </w:r>
      <w:r w:rsidRPr="003231D2">
        <w:rPr>
          <w:spacing w:val="-4"/>
          <w:rtl/>
          <w:lang w:val="en-US"/>
        </w:rPr>
        <w:t>12</w:t>
      </w:r>
      <w:r w:rsidRPr="00E13EFD">
        <w:rPr>
          <w:spacing w:val="-4"/>
          <w:rtl/>
          <w:lang w:val="en-US"/>
        </w:rPr>
        <w:t xml:space="preserve"> و</w:t>
      </w:r>
      <w:r w:rsidRPr="003231D2">
        <w:rPr>
          <w:spacing w:val="-4"/>
          <w:rtl/>
          <w:lang w:val="en-US"/>
        </w:rPr>
        <w:t>13</w:t>
      </w:r>
      <w:r w:rsidRPr="00E13EFD">
        <w:rPr>
          <w:spacing w:val="-4"/>
          <w:rtl/>
          <w:lang w:val="en-US"/>
        </w:rPr>
        <w:t xml:space="preserve"> و</w:t>
      </w:r>
      <w:r w:rsidRPr="003231D2">
        <w:rPr>
          <w:spacing w:val="-4"/>
          <w:rtl/>
          <w:lang w:val="en-US"/>
        </w:rPr>
        <w:t>1</w:t>
      </w:r>
      <w:r w:rsidR="00A1027B" w:rsidRPr="003231D2">
        <w:rPr>
          <w:spacing w:val="-4"/>
          <w:rtl/>
          <w:lang w:val="en-US"/>
        </w:rPr>
        <w:t>6</w:t>
      </w:r>
      <w:r w:rsidR="00A1027B" w:rsidRPr="00E13EFD">
        <w:rPr>
          <w:spacing w:val="-4"/>
          <w:rtl/>
          <w:lang w:val="en-US"/>
        </w:rPr>
        <w:t>).</w:t>
      </w:r>
    </w:p>
    <w:p w14:paraId="76BE690C" w14:textId="2C4B4798" w:rsidR="008E4FF5" w:rsidRPr="003231D2" w:rsidRDefault="008E4FF5" w:rsidP="00E13EFD">
      <w:pPr>
        <w:pStyle w:val="SingleTxtGA"/>
        <w:spacing w:line="350" w:lineRule="exact"/>
        <w:rPr>
          <w:b/>
          <w:bCs/>
          <w:lang w:val="en-US"/>
        </w:rPr>
      </w:pPr>
      <w:r w:rsidRPr="003231D2">
        <w:rPr>
          <w:rtl/>
          <w:lang w:val="en-US"/>
        </w:rPr>
        <w:t>21</w:t>
      </w:r>
      <w:r w:rsidRPr="008E4FF5">
        <w:rPr>
          <w:rtl/>
          <w:lang w:val="en-US"/>
        </w:rPr>
        <w:t>-</w:t>
      </w:r>
      <w:r w:rsidRPr="008E4FF5">
        <w:rPr>
          <w:rtl/>
          <w:lang w:val="en-US"/>
        </w:rPr>
        <w:tab/>
      </w:r>
      <w:r w:rsidRPr="003231D2">
        <w:rPr>
          <w:b/>
          <w:bCs/>
          <w:rtl/>
          <w:lang w:val="en-US"/>
        </w:rPr>
        <w:t>تحث اللجنة الدولة الطرف على مواصلة تنفيذ أحكام اتفاق السلام. وينبغي للدولة الطرف على وجه الخصوص، القيام بما يلي:</w:t>
      </w:r>
    </w:p>
    <w:p w14:paraId="01D0E9C6" w14:textId="7E73C94A" w:rsidR="008E4FF5" w:rsidRPr="003231D2" w:rsidRDefault="008E4FF5" w:rsidP="00E13EFD">
      <w:pPr>
        <w:pStyle w:val="SingleTxtGA"/>
        <w:spacing w:line="350" w:lineRule="exact"/>
        <w:rPr>
          <w:rFonts w:ascii="Times New Roman Bold" w:hAnsi="Times New Roman Bold"/>
          <w:b/>
          <w:bCs/>
          <w:spacing w:val="-2"/>
          <w:lang w:val="en-US"/>
        </w:rPr>
      </w:pPr>
      <w:r w:rsidRPr="008E4FF5">
        <w:rPr>
          <w:rtl/>
          <w:lang w:val="en-US"/>
        </w:rPr>
        <w:tab/>
        <w:t>(أ)</w:t>
      </w:r>
      <w:r w:rsidRPr="008E4FF5">
        <w:rPr>
          <w:rtl/>
          <w:lang w:val="en-US"/>
        </w:rPr>
        <w:tab/>
      </w:r>
      <w:r w:rsidRPr="003231D2">
        <w:rPr>
          <w:b/>
          <w:bCs/>
          <w:rtl/>
          <w:lang w:val="en-US"/>
        </w:rPr>
        <w:t>مواصلة تعزيز الآليات المكلفة بجمع المعلومات والتحقيق في أعمال التعذيب وسوء المعاملة،</w:t>
      </w:r>
      <w:r w:rsidRPr="003231D2">
        <w:rPr>
          <w:b/>
          <w:bCs/>
          <w:rtl/>
          <w:lang w:val="en-US"/>
        </w:rPr>
        <w:t xml:space="preserve"> </w:t>
      </w:r>
      <w:r w:rsidRPr="003231D2">
        <w:rPr>
          <w:b/>
          <w:bCs/>
          <w:rtl/>
          <w:lang w:val="en-US"/>
        </w:rPr>
        <w:t>وضمان مقاضاة الجناة - ورؤساءهم الذين كانوا على علم بالوقائع أو كان ينبغي أن يعلموا بها، لكنهم لم يتخذوا التدابير اللازمة لمنعها أو المعاقبة عليها - عندما تُرتكب هذه الأعمال بالتزامن مع جرائم أخرى، وعدم اعتبار أعمال التعذيب وسوء المعاملة مجرد أعمال تندرج ضمن جرائم تستوجب عقوبة أشد، وتوفير بيانات تحليلية عن ارتكاب هذه الجرائم وسياقها. وينبغي أيض</w:t>
      </w:r>
      <w:r w:rsidR="00E13EFD" w:rsidRPr="003231D2">
        <w:rPr>
          <w:b/>
          <w:bCs/>
          <w:rtl/>
          <w:lang w:val="en-US"/>
        </w:rPr>
        <w:t xml:space="preserve">اً </w:t>
      </w:r>
      <w:r w:rsidRPr="003231D2">
        <w:rPr>
          <w:b/>
          <w:bCs/>
          <w:rtl/>
          <w:lang w:val="en-US"/>
        </w:rPr>
        <w:t xml:space="preserve">للدولة الطرف تعزيز </w:t>
      </w:r>
      <w:r w:rsidRPr="003231D2">
        <w:rPr>
          <w:rFonts w:ascii="Times New Roman Bold" w:hAnsi="Times New Roman Bold"/>
          <w:b/>
          <w:bCs/>
          <w:spacing w:val="-4"/>
          <w:rtl/>
          <w:lang w:val="en-US"/>
        </w:rPr>
        <w:t xml:space="preserve">البروتوكولات وتدريب المدعين العامين والقضاة في هذا المجال. وفي هذا الصدد، تحث اللجنة الدولة الطرف </w:t>
      </w:r>
      <w:r w:rsidRPr="003231D2">
        <w:rPr>
          <w:rFonts w:ascii="Times New Roman Bold" w:hAnsi="Times New Roman Bold"/>
          <w:b/>
          <w:bCs/>
          <w:spacing w:val="-2"/>
          <w:rtl/>
          <w:lang w:val="en-US"/>
        </w:rPr>
        <w:t>على تنفيذ التوصيات التي قدمتها لجنة الحقيقة والتعايش وعدم التكرار بشأن عدم تكرار جريمة التعذيب؛</w:t>
      </w:r>
    </w:p>
    <w:p w14:paraId="46A50082" w14:textId="1D503883" w:rsidR="008E4FF5" w:rsidRPr="003231D2" w:rsidRDefault="008E4FF5" w:rsidP="00E13EFD">
      <w:pPr>
        <w:pStyle w:val="SingleTxtGA"/>
        <w:spacing w:line="350" w:lineRule="exact"/>
        <w:rPr>
          <w:b/>
          <w:bCs/>
          <w:lang w:val="en-US"/>
        </w:rPr>
      </w:pPr>
      <w:r w:rsidRPr="008E4FF5">
        <w:rPr>
          <w:rtl/>
          <w:lang w:val="en-US"/>
        </w:rPr>
        <w:tab/>
        <w:t>(ب)</w:t>
      </w:r>
      <w:r w:rsidRPr="008E4FF5">
        <w:rPr>
          <w:rtl/>
          <w:lang w:val="en-US"/>
        </w:rPr>
        <w:tab/>
      </w:r>
      <w:r w:rsidRPr="003231D2">
        <w:rPr>
          <w:b/>
          <w:bCs/>
          <w:rtl/>
          <w:lang w:val="en-US"/>
        </w:rPr>
        <w:t>مواصلة جهودها للتحقيق، بالتركيز على المنظور الجنساني، في ادعاءات العنف الجنسي المرتكبة في سياق النزاع المسلح، لا سيما تلك التي تمثل شكل</w:t>
      </w:r>
      <w:r w:rsidR="00E13EFD" w:rsidRPr="003231D2">
        <w:rPr>
          <w:b/>
          <w:bCs/>
          <w:rtl/>
          <w:lang w:val="en-US"/>
        </w:rPr>
        <w:t xml:space="preserve">اً </w:t>
      </w:r>
      <w:r w:rsidRPr="003231D2">
        <w:rPr>
          <w:b/>
          <w:bCs/>
          <w:rtl/>
          <w:lang w:val="en-US"/>
        </w:rPr>
        <w:t xml:space="preserve">من أشكال التعذيب، وتحديد </w:t>
      </w:r>
      <w:r w:rsidRPr="003231D2">
        <w:rPr>
          <w:rFonts w:ascii="Times New Roman Bold" w:hAnsi="Times New Roman Bold"/>
          <w:b/>
          <w:bCs/>
          <w:spacing w:val="-2"/>
          <w:rtl/>
          <w:lang w:val="en-US"/>
        </w:rPr>
        <w:t>المنهجية الواجب اتباعها في هذا الصدد. وينبغي للدولة الطرف أيض</w:t>
      </w:r>
      <w:r w:rsidR="00E13EFD" w:rsidRPr="003231D2">
        <w:rPr>
          <w:rFonts w:ascii="Times New Roman Bold" w:hAnsi="Times New Roman Bold"/>
          <w:b/>
          <w:bCs/>
          <w:spacing w:val="-2"/>
          <w:rtl/>
          <w:lang w:val="en-US"/>
        </w:rPr>
        <w:t xml:space="preserve">اً </w:t>
      </w:r>
      <w:r w:rsidRPr="003231D2">
        <w:rPr>
          <w:rFonts w:ascii="Times New Roman Bold" w:hAnsi="Times New Roman Bold"/>
          <w:b/>
          <w:bCs/>
          <w:spacing w:val="-2"/>
          <w:rtl/>
          <w:lang w:val="en-US"/>
        </w:rPr>
        <w:t>أن تكفل مقاضاة الجناة المزعومين،</w:t>
      </w:r>
      <w:r w:rsidRPr="003231D2">
        <w:rPr>
          <w:b/>
          <w:bCs/>
          <w:rtl/>
          <w:lang w:val="en-US"/>
        </w:rPr>
        <w:t xml:space="preserve"> ورعاية الضحايا، واتخاذ تدابير وقائية بشأن هذه الجرائم؛</w:t>
      </w:r>
    </w:p>
    <w:p w14:paraId="2D6E5535" w14:textId="60A30DA8" w:rsidR="00A1027B" w:rsidRPr="003231D2" w:rsidRDefault="008E4FF5" w:rsidP="00E13EFD">
      <w:pPr>
        <w:pStyle w:val="SingleTxtGA"/>
        <w:spacing w:line="350" w:lineRule="exact"/>
        <w:rPr>
          <w:b/>
          <w:bCs/>
          <w:lang w:val="en-US"/>
        </w:rPr>
      </w:pPr>
      <w:r w:rsidRPr="008E4FF5">
        <w:rPr>
          <w:rtl/>
          <w:lang w:val="en-US"/>
        </w:rPr>
        <w:tab/>
        <w:t>(ج)</w:t>
      </w:r>
      <w:r w:rsidRPr="008E4FF5">
        <w:rPr>
          <w:rtl/>
          <w:lang w:val="en-US"/>
        </w:rPr>
        <w:tab/>
      </w:r>
      <w:r w:rsidRPr="003231D2">
        <w:rPr>
          <w:b/>
          <w:bCs/>
          <w:rtl/>
          <w:lang w:val="en-US"/>
        </w:rPr>
        <w:t>اتخاذ خطوات لضمان الأمن في المقاطعات المتضررة من العنف وتنفيذ التوصيات التي قدمتها اللجنة المعنية بحالات الاختفاء القسري فيما يتعلق بالبحث عن الأشخاص المختفين</w:t>
      </w:r>
      <w:r w:rsidR="00A1027B" w:rsidRPr="003231D2">
        <w:rPr>
          <w:rStyle w:val="FootnoteReference"/>
          <w:b/>
          <w:bCs/>
          <w:rtl/>
        </w:rPr>
        <w:t>(</w:t>
      </w:r>
      <w:r w:rsidR="00A1027B" w:rsidRPr="003231D2">
        <w:rPr>
          <w:rStyle w:val="FootnoteReference"/>
          <w:b/>
          <w:bCs/>
          <w:lang w:val="en-AU"/>
        </w:rPr>
        <w:footnoteReference w:id="30"/>
      </w:r>
      <w:r w:rsidR="00A1027B" w:rsidRPr="003231D2">
        <w:rPr>
          <w:b/>
          <w:bCs/>
          <w:vertAlign w:val="superscript"/>
          <w:rtl/>
          <w:lang w:val="en-US"/>
        </w:rPr>
        <w:t>)</w:t>
      </w:r>
      <w:r w:rsidR="00A1027B" w:rsidRPr="003231D2">
        <w:rPr>
          <w:b/>
          <w:bCs/>
          <w:rtl/>
          <w:lang w:val="en-US"/>
        </w:rPr>
        <w:t>؛</w:t>
      </w:r>
    </w:p>
    <w:p w14:paraId="6331A43C" w14:textId="5B45F091" w:rsidR="00A1027B" w:rsidRPr="003231D2" w:rsidRDefault="008E4FF5" w:rsidP="00E13EFD">
      <w:pPr>
        <w:pStyle w:val="SingleTxtGA"/>
        <w:spacing w:line="350" w:lineRule="exact"/>
        <w:rPr>
          <w:b/>
          <w:bCs/>
          <w:lang w:val="en-US"/>
        </w:rPr>
      </w:pPr>
      <w:r w:rsidRPr="008E4FF5">
        <w:rPr>
          <w:rtl/>
          <w:lang w:val="en-US"/>
        </w:rPr>
        <w:tab/>
        <w:t>(د)</w:t>
      </w:r>
      <w:r w:rsidRPr="008E4FF5">
        <w:rPr>
          <w:rtl/>
          <w:lang w:val="en-US"/>
        </w:rPr>
        <w:tab/>
      </w:r>
      <w:r w:rsidRPr="003231D2">
        <w:rPr>
          <w:b/>
          <w:bCs/>
          <w:rtl/>
          <w:lang w:val="en-US"/>
        </w:rPr>
        <w:t>النظر في توجيه دعوة إلى اللجنة المعنية بحالات الاختفاء القسري لزيارة البلد، وفقا</w:t>
      </w:r>
      <w:r w:rsidR="00E13EFD" w:rsidRPr="003231D2">
        <w:rPr>
          <w:rFonts w:hint="cs"/>
          <w:b/>
          <w:bCs/>
          <w:rtl/>
          <w:lang w:val="en-US"/>
        </w:rPr>
        <w:t>ً </w:t>
      </w:r>
      <w:r w:rsidRPr="003231D2">
        <w:rPr>
          <w:b/>
          <w:bCs/>
          <w:rtl/>
          <w:lang w:val="en-US"/>
        </w:rPr>
        <w:t>للمادة 33 من الاتفاقية الدولية لحماية جميع الأشخاص من الاختفاء القسري</w:t>
      </w:r>
      <w:r w:rsidR="00A1027B" w:rsidRPr="003231D2">
        <w:rPr>
          <w:rStyle w:val="FootnoteReference"/>
          <w:b/>
          <w:bCs/>
          <w:rtl/>
        </w:rPr>
        <w:t>(</w:t>
      </w:r>
      <w:r w:rsidR="00A1027B" w:rsidRPr="003231D2">
        <w:rPr>
          <w:rStyle w:val="FootnoteReference"/>
          <w:b/>
          <w:bCs/>
          <w:lang w:val="en-AU"/>
        </w:rPr>
        <w:footnoteReference w:id="31"/>
      </w:r>
      <w:r w:rsidR="00A1027B" w:rsidRPr="003231D2">
        <w:rPr>
          <w:b/>
          <w:bCs/>
          <w:vertAlign w:val="superscript"/>
          <w:rtl/>
          <w:lang w:val="en-US"/>
        </w:rPr>
        <w:t>)</w:t>
      </w:r>
      <w:r w:rsidR="00A1027B" w:rsidRPr="003231D2">
        <w:rPr>
          <w:b/>
          <w:bCs/>
          <w:rtl/>
          <w:lang w:val="en-US"/>
        </w:rPr>
        <w:t>.</w:t>
      </w:r>
    </w:p>
    <w:p w14:paraId="7C81BF62" w14:textId="02767E72" w:rsidR="008E4FF5" w:rsidRPr="003231D2" w:rsidRDefault="008E4FF5" w:rsidP="008E4FF5">
      <w:pPr>
        <w:pStyle w:val="H23GA"/>
      </w:pPr>
      <w:r w:rsidRPr="003231D2">
        <w:rPr>
          <w:rtl/>
        </w:rPr>
        <w:tab/>
      </w:r>
      <w:r w:rsidRPr="003231D2">
        <w:rPr>
          <w:rtl/>
        </w:rPr>
        <w:tab/>
        <w:t>جبر الضرر واللجوء إلى العدالة</w:t>
      </w:r>
    </w:p>
    <w:p w14:paraId="6CC2DDF4" w14:textId="7A196DF4" w:rsidR="00A1027B" w:rsidRPr="00E13EFD" w:rsidRDefault="008E4FF5" w:rsidP="00E13EFD">
      <w:pPr>
        <w:pStyle w:val="SingleTxtGA"/>
        <w:spacing w:line="350" w:lineRule="exact"/>
        <w:rPr>
          <w:spacing w:val="-2"/>
          <w:lang w:val="en-US"/>
        </w:rPr>
      </w:pPr>
      <w:r w:rsidRPr="003231D2">
        <w:rPr>
          <w:spacing w:val="-2"/>
          <w:rtl/>
          <w:lang w:val="en-US"/>
        </w:rPr>
        <w:t>22</w:t>
      </w:r>
      <w:r w:rsidRPr="00E13EFD">
        <w:rPr>
          <w:spacing w:val="-2"/>
          <w:rtl/>
          <w:lang w:val="en-US"/>
        </w:rPr>
        <w:t>-</w:t>
      </w:r>
      <w:r w:rsidRPr="00E13EFD">
        <w:rPr>
          <w:spacing w:val="-2"/>
          <w:rtl/>
          <w:lang w:val="en-US"/>
        </w:rPr>
        <w:tab/>
        <w:t>وفق</w:t>
      </w:r>
      <w:r w:rsidR="00E13EFD">
        <w:rPr>
          <w:spacing w:val="-2"/>
          <w:rtl/>
          <w:lang w:val="en-US"/>
        </w:rPr>
        <w:t xml:space="preserve">اً </w:t>
      </w:r>
      <w:r w:rsidRPr="00E13EFD">
        <w:rPr>
          <w:spacing w:val="-2"/>
          <w:rtl/>
          <w:lang w:val="en-US"/>
        </w:rPr>
        <w:t xml:space="preserve">للبيانات التي قدمتها الدولة الطرف، سُجل بين عامي </w:t>
      </w:r>
      <w:r w:rsidRPr="003231D2">
        <w:rPr>
          <w:spacing w:val="-2"/>
          <w:rtl/>
          <w:lang w:val="en-US"/>
        </w:rPr>
        <w:t>2019</w:t>
      </w:r>
      <w:r w:rsidRPr="00E13EFD">
        <w:rPr>
          <w:spacing w:val="-2"/>
          <w:rtl/>
          <w:lang w:val="en-US"/>
        </w:rPr>
        <w:t xml:space="preserve"> و</w:t>
      </w:r>
      <w:r w:rsidRPr="003231D2">
        <w:rPr>
          <w:spacing w:val="-2"/>
          <w:rtl/>
          <w:lang w:val="en-US"/>
        </w:rPr>
        <w:t>2023</w:t>
      </w:r>
      <w:r w:rsidRPr="00E13EFD">
        <w:rPr>
          <w:spacing w:val="-2"/>
          <w:rtl/>
          <w:lang w:val="en-US"/>
        </w:rPr>
        <w:t xml:space="preserve"> ما قدره </w:t>
      </w:r>
      <w:r w:rsidRPr="003231D2">
        <w:rPr>
          <w:spacing w:val="-2"/>
          <w:rtl/>
          <w:lang w:val="en-US"/>
        </w:rPr>
        <w:t>766</w:t>
      </w:r>
      <w:r w:rsidRPr="00E13EFD">
        <w:rPr>
          <w:spacing w:val="-2"/>
          <w:rtl/>
          <w:lang w:val="en-US"/>
        </w:rPr>
        <w:t xml:space="preserve"> </w:t>
      </w:r>
      <w:r w:rsidRPr="003231D2">
        <w:rPr>
          <w:spacing w:val="-2"/>
          <w:rtl/>
          <w:lang w:val="en-US"/>
        </w:rPr>
        <w:t>8</w:t>
      </w:r>
      <w:r w:rsidRPr="00E13EFD">
        <w:rPr>
          <w:spacing w:val="-2"/>
          <w:rtl/>
          <w:lang w:val="en-US"/>
        </w:rPr>
        <w:t xml:space="preserve"> ضحية من ضحايا الجرائم المرتكبة ضد الحرية الجنسية والسلامة الجنسية، و</w:t>
      </w:r>
      <w:r w:rsidRPr="003231D2">
        <w:rPr>
          <w:spacing w:val="-2"/>
          <w:rtl/>
          <w:lang w:val="en-US"/>
        </w:rPr>
        <w:t>472</w:t>
      </w:r>
      <w:r w:rsidRPr="00E13EFD">
        <w:rPr>
          <w:spacing w:val="-2"/>
          <w:rtl/>
          <w:lang w:val="en-US"/>
        </w:rPr>
        <w:t xml:space="preserve"> ضحية من ضحايا التعذيب، عملت الوحدة الإدارية الخاصة لمساعدة الضحايا والتعويض الشامل عن الأضرار على منح بعضهم تعويضات وإعادة تأهيلهم. ومع ذلك، يساور اللجنة القلق إزاء معلومات تفيد بأن الضحايا لا يستفيدون في كثير من الحالات على جبر كامل. وعلاوة على ذلك، لا تزال اللجنة تشعر بالقلق إزاء ما يترتب من آثار على حقوق الضحايا نتيجةً لتسليم قادة الجماعات المسلحة غير الحكومية و/أو المنظمات الإجرامية إلى بلدان أخرى، ممن يحاكَمون على انتهاكات خطيرة لحقوق الإنسان</w:t>
      </w:r>
      <w:r w:rsidR="00A1027B" w:rsidRPr="00E13EFD">
        <w:rPr>
          <w:rStyle w:val="FootnoteReference"/>
          <w:spacing w:val="-2"/>
          <w:rtl/>
        </w:rPr>
        <w:t>(</w:t>
      </w:r>
      <w:r w:rsidR="00A1027B" w:rsidRPr="003231D2">
        <w:rPr>
          <w:rStyle w:val="FootnoteReference"/>
          <w:spacing w:val="-2"/>
          <w:lang w:val="en-AU"/>
        </w:rPr>
        <w:footnoteReference w:id="32"/>
      </w:r>
      <w:r w:rsidR="00A1027B" w:rsidRPr="00E13EFD">
        <w:rPr>
          <w:spacing w:val="-2"/>
          <w:vertAlign w:val="superscript"/>
          <w:rtl/>
          <w:lang w:val="en-US"/>
        </w:rPr>
        <w:t>)</w:t>
      </w:r>
      <w:r w:rsidR="00A1027B" w:rsidRPr="00E13EFD">
        <w:rPr>
          <w:spacing w:val="-2"/>
          <w:rtl/>
          <w:lang w:val="en-US"/>
        </w:rPr>
        <w:t>.</w:t>
      </w:r>
      <w:r w:rsidR="00A1027B" w:rsidRPr="00E13EFD">
        <w:rPr>
          <w:spacing w:val="-2"/>
          <w:rtl/>
          <w:lang w:val="en-US"/>
        </w:rPr>
        <w:t xml:space="preserve"> </w:t>
      </w:r>
      <w:r w:rsidRPr="00E13EFD">
        <w:rPr>
          <w:spacing w:val="-2"/>
          <w:rtl/>
          <w:lang w:val="en-US"/>
        </w:rPr>
        <w:t>وختام</w:t>
      </w:r>
      <w:r w:rsidR="0008344B">
        <w:rPr>
          <w:spacing w:val="-2"/>
          <w:rtl/>
          <w:lang w:val="en-US"/>
        </w:rPr>
        <w:t>اً،</w:t>
      </w:r>
      <w:r w:rsidRPr="00E13EFD">
        <w:rPr>
          <w:spacing w:val="-2"/>
          <w:rtl/>
          <w:lang w:val="en-US"/>
        </w:rPr>
        <w:t xml:space="preserve"> تأسف اللجنة لأن الدولة الطرف لم تقدم معلومات شاملة عن تدابير جبر الضرر، بما في ذلك التعويضات، التي منحتها المحاكم أو</w:t>
      </w:r>
      <w:r w:rsidR="00E13EFD">
        <w:rPr>
          <w:rFonts w:hint="cs"/>
          <w:spacing w:val="-2"/>
          <w:rtl/>
          <w:lang w:val="en-US"/>
        </w:rPr>
        <w:t> </w:t>
      </w:r>
      <w:r w:rsidRPr="00E13EFD">
        <w:rPr>
          <w:spacing w:val="-2"/>
          <w:rtl/>
          <w:lang w:val="en-US"/>
        </w:rPr>
        <w:t>غيرها من السلطات لضحايا أعمال التعذيب وسوء المعاملة المرتكبة في سياق آخر غير النزاع المسلح، أو</w:t>
      </w:r>
      <w:r w:rsidR="00E13EFD">
        <w:rPr>
          <w:rFonts w:hint="cs"/>
          <w:spacing w:val="-2"/>
          <w:rtl/>
          <w:lang w:val="en-US"/>
        </w:rPr>
        <w:t> </w:t>
      </w:r>
      <w:r w:rsidRPr="00E13EFD">
        <w:rPr>
          <w:spacing w:val="-2"/>
          <w:rtl/>
          <w:lang w:val="en-US"/>
        </w:rPr>
        <w:t xml:space="preserve">لأفراد أسرهم، وعن استفادتهم بالفعل من تدابير مماثلة خلال الفترة قيد الاستعراض (المادة </w:t>
      </w:r>
      <w:r w:rsidRPr="003231D2">
        <w:rPr>
          <w:spacing w:val="-2"/>
          <w:rtl/>
          <w:lang w:val="en-US"/>
        </w:rPr>
        <w:t>1</w:t>
      </w:r>
      <w:r w:rsidR="00A1027B" w:rsidRPr="003231D2">
        <w:rPr>
          <w:spacing w:val="-2"/>
          <w:rtl/>
          <w:lang w:val="en-US"/>
        </w:rPr>
        <w:t>4</w:t>
      </w:r>
      <w:r w:rsidR="00A1027B" w:rsidRPr="00E13EFD">
        <w:rPr>
          <w:spacing w:val="-2"/>
          <w:rtl/>
          <w:lang w:val="en-US"/>
        </w:rPr>
        <w:t>).</w:t>
      </w:r>
    </w:p>
    <w:p w14:paraId="19CC008E" w14:textId="4C6E871E" w:rsidR="008E4FF5" w:rsidRPr="003231D2" w:rsidRDefault="008E4FF5" w:rsidP="008E4FF5">
      <w:pPr>
        <w:pStyle w:val="SingleTxtGA"/>
        <w:rPr>
          <w:b/>
          <w:bCs/>
          <w:lang w:val="en-US"/>
        </w:rPr>
      </w:pPr>
      <w:r w:rsidRPr="003231D2">
        <w:rPr>
          <w:rtl/>
          <w:lang w:val="en-US"/>
        </w:rPr>
        <w:lastRenderedPageBreak/>
        <w:t>23</w:t>
      </w:r>
      <w:r w:rsidRPr="008E4FF5">
        <w:rPr>
          <w:rtl/>
          <w:lang w:val="en-US"/>
        </w:rPr>
        <w:t>-</w:t>
      </w:r>
      <w:r w:rsidRPr="008E4FF5">
        <w:rPr>
          <w:rtl/>
          <w:lang w:val="en-US"/>
        </w:rPr>
        <w:tab/>
      </w:r>
      <w:r w:rsidRPr="003231D2">
        <w:rPr>
          <w:b/>
          <w:bCs/>
          <w:rtl/>
          <w:lang w:val="en-US"/>
        </w:rPr>
        <w:t>ينبغي للدولة الطرف أن تضاعف جهودها لضمان لجوء ضحايا انتهاكات حقوق الإنسان المرتكبة أثناء النزاع المسلح إلى العدالة، بما في ذلك تدابير التعويضات الشاملة التي تراعي الفوارق الجنسانية، فضل</w:t>
      </w:r>
      <w:r w:rsidR="00E13EFD" w:rsidRPr="003231D2">
        <w:rPr>
          <w:b/>
          <w:bCs/>
          <w:rtl/>
          <w:lang w:val="en-US"/>
        </w:rPr>
        <w:t xml:space="preserve">اً </w:t>
      </w:r>
      <w:r w:rsidRPr="003231D2">
        <w:rPr>
          <w:b/>
          <w:bCs/>
          <w:rtl/>
          <w:lang w:val="en-US"/>
        </w:rPr>
        <w:t>عن الرعاية الصحية والخدمات النفسية والاجتماعية والملاجئ المتخصصة المصممة خصيص</w:t>
      </w:r>
      <w:r w:rsidR="00E13EFD" w:rsidRPr="003231D2">
        <w:rPr>
          <w:b/>
          <w:bCs/>
          <w:rtl/>
          <w:lang w:val="en-US"/>
        </w:rPr>
        <w:t xml:space="preserve">اً </w:t>
      </w:r>
      <w:r w:rsidRPr="003231D2">
        <w:rPr>
          <w:b/>
          <w:bCs/>
          <w:rtl/>
          <w:lang w:val="en-US"/>
        </w:rPr>
        <w:t>لاحتياجاتهم. وينبغي لها أيض</w:t>
      </w:r>
      <w:r w:rsidR="00E13EFD" w:rsidRPr="003231D2">
        <w:rPr>
          <w:b/>
          <w:bCs/>
          <w:rtl/>
          <w:lang w:val="en-US"/>
        </w:rPr>
        <w:t xml:space="preserve">اً </w:t>
      </w:r>
      <w:r w:rsidRPr="003231D2">
        <w:rPr>
          <w:b/>
          <w:bCs/>
          <w:rtl/>
          <w:lang w:val="en-US"/>
        </w:rPr>
        <w:t>أن تضمن ألا تعوق آليات التعاون القضائي مع البلدان الأخرى إجراء تحقيقات في الانتهاكات التي ترتكبها الجماعات المسلحة والمنظمات الإجرامية في كولومبيا، أو</w:t>
      </w:r>
      <w:r w:rsidR="00E13EFD" w:rsidRPr="003231D2">
        <w:rPr>
          <w:rFonts w:hint="cs"/>
          <w:b/>
          <w:bCs/>
          <w:rtl/>
          <w:lang w:val="en-US"/>
        </w:rPr>
        <w:t> </w:t>
      </w:r>
      <w:r w:rsidRPr="003231D2">
        <w:rPr>
          <w:b/>
          <w:bCs/>
          <w:rtl/>
          <w:lang w:val="en-US"/>
        </w:rPr>
        <w:t>لجوء الضحايا إلى العدالة. وختام</w:t>
      </w:r>
      <w:r w:rsidR="0008344B" w:rsidRPr="003231D2">
        <w:rPr>
          <w:b/>
          <w:bCs/>
          <w:rtl/>
          <w:lang w:val="en-US"/>
        </w:rPr>
        <w:t>اً،</w:t>
      </w:r>
      <w:r w:rsidRPr="003231D2">
        <w:rPr>
          <w:b/>
          <w:bCs/>
          <w:rtl/>
          <w:lang w:val="en-US"/>
        </w:rPr>
        <w:t xml:space="preserve"> ينبغي للدولة الطرف أن تجمع المعلومات عن أي تدابير لجبر الضرر أمرت بها المحاكم أو غيرها من السلطات واستفاد منها فعلي</w:t>
      </w:r>
      <w:r w:rsidR="00E13EFD" w:rsidRPr="003231D2">
        <w:rPr>
          <w:b/>
          <w:bCs/>
          <w:rtl/>
          <w:lang w:val="en-US"/>
        </w:rPr>
        <w:t xml:space="preserve">اً </w:t>
      </w:r>
      <w:r w:rsidRPr="003231D2">
        <w:rPr>
          <w:b/>
          <w:bCs/>
          <w:rtl/>
          <w:lang w:val="en-US"/>
        </w:rPr>
        <w:t>ضحايا التعذيب أو سوء المعاملة، وتزوّد اللجنة بهذه المعلومات.</w:t>
      </w:r>
    </w:p>
    <w:p w14:paraId="423DF465" w14:textId="37007696" w:rsidR="008E4FF5" w:rsidRPr="003231D2" w:rsidRDefault="008E4FF5" w:rsidP="008E4FF5">
      <w:pPr>
        <w:pStyle w:val="H23GA"/>
      </w:pPr>
      <w:r w:rsidRPr="003231D2">
        <w:rPr>
          <w:rtl/>
        </w:rPr>
        <w:tab/>
      </w:r>
      <w:r w:rsidRPr="003231D2">
        <w:rPr>
          <w:rtl/>
        </w:rPr>
        <w:tab/>
        <w:t>ظروف الاحتجاز</w:t>
      </w:r>
    </w:p>
    <w:p w14:paraId="55758189" w14:textId="588340A2" w:rsidR="00A1027B" w:rsidRPr="00A1027B" w:rsidRDefault="008E4FF5" w:rsidP="008E4FF5">
      <w:pPr>
        <w:pStyle w:val="SingleTxtGA"/>
        <w:rPr>
          <w:lang w:val="en-US"/>
        </w:rPr>
      </w:pPr>
      <w:r w:rsidRPr="003231D2">
        <w:rPr>
          <w:rtl/>
          <w:lang w:val="en-US"/>
        </w:rPr>
        <w:t>24</w:t>
      </w:r>
      <w:r w:rsidRPr="008E4FF5">
        <w:rPr>
          <w:rtl/>
          <w:lang w:val="en-US"/>
        </w:rPr>
        <w:t>-</w:t>
      </w:r>
      <w:r w:rsidRPr="008E4FF5">
        <w:rPr>
          <w:rtl/>
          <w:lang w:val="en-US"/>
        </w:rPr>
        <w:tab/>
        <w:t>لا تزال اللجنة تشعر بالقلق إزاء الاكتظاظ في السجون، لا سيما في مراكز الاحتجاز المؤقت، وسوء استخدام الحبس الاحتياطي. ويساور اللجنة القلق أيض</w:t>
      </w:r>
      <w:r w:rsidR="00E13EFD">
        <w:rPr>
          <w:rtl/>
          <w:lang w:val="en-US"/>
        </w:rPr>
        <w:t xml:space="preserve">اً </w:t>
      </w:r>
      <w:r w:rsidRPr="008E4FF5">
        <w:rPr>
          <w:rtl/>
          <w:lang w:val="en-US"/>
        </w:rPr>
        <w:t>لأن الأشخاص يظلون رهن الحبس الاحتياطي لفترات طويلة، تصل أحيان</w:t>
      </w:r>
      <w:r w:rsidR="00E13EFD">
        <w:rPr>
          <w:rtl/>
          <w:lang w:val="en-US"/>
        </w:rPr>
        <w:t xml:space="preserve">اً </w:t>
      </w:r>
      <w:r w:rsidRPr="008E4FF5">
        <w:rPr>
          <w:rtl/>
          <w:lang w:val="en-US"/>
        </w:rPr>
        <w:t>إلى سنتين، في مراكز احتجاز مؤقتة في ظروف غير إنسانية. ويساور اللجنة القلق إزاء عدم الفصل الفعلي بين مختلف فئات السجناء، وإزاء الظروف المؤسفة التي تُحتجز فيها نسبة كبيرة منهم. ووفق</w:t>
      </w:r>
      <w:r w:rsidR="00E13EFD">
        <w:rPr>
          <w:rtl/>
          <w:lang w:val="en-US"/>
        </w:rPr>
        <w:t xml:space="preserve">اً </w:t>
      </w:r>
      <w:r w:rsidRPr="008E4FF5">
        <w:rPr>
          <w:rtl/>
          <w:lang w:val="en-US"/>
        </w:rPr>
        <w:t>للمعلومات المتاحة للجنة، تظل إمدادات مياه الشرب في عدة سجون غير كافية، وظروف الصرف الصحي والنظافة الصحية غير ملائمة، والحصول على الرعاية الطبية والنفسية محدود</w:t>
      </w:r>
      <w:r w:rsidR="0008344B">
        <w:rPr>
          <w:rtl/>
          <w:lang w:val="en-US"/>
        </w:rPr>
        <w:t>اً،</w:t>
      </w:r>
      <w:r w:rsidRPr="008E4FF5">
        <w:rPr>
          <w:rtl/>
          <w:lang w:val="en-US"/>
        </w:rPr>
        <w:t xml:space="preserve"> في ظل انقطاع إمدادات الأدوية في عدد من السجون. ويساور اللجنة القلق كذلك إزاء حالة النساء رهن الاحتجاز، ومعظمهن أودعن السجن بسبب جرائم تتعلق بالمخدرات، وإزاء عدم تلبية احتياجات السجينات في مجالي النظافة الصحية والصحة الإنجابية على نحو كاف في كثير من الأحيان، فضل</w:t>
      </w:r>
      <w:r w:rsidR="00E13EFD">
        <w:rPr>
          <w:rtl/>
          <w:lang w:val="en-US"/>
        </w:rPr>
        <w:t xml:space="preserve">اً </w:t>
      </w:r>
      <w:r w:rsidRPr="008E4FF5">
        <w:rPr>
          <w:rtl/>
          <w:lang w:val="en-US"/>
        </w:rPr>
        <w:t>عن الظروف غير الملائمة التي يُحتجز فيها الأشخاص ذوو الإعاقة. وتحيط اللجنة علم</w:t>
      </w:r>
      <w:r w:rsidR="00E13EFD">
        <w:rPr>
          <w:rtl/>
          <w:lang w:val="en-US"/>
        </w:rPr>
        <w:t xml:space="preserve">اً </w:t>
      </w:r>
      <w:r w:rsidRPr="008E4FF5">
        <w:rPr>
          <w:rtl/>
          <w:lang w:val="en-US"/>
        </w:rPr>
        <w:t xml:space="preserve">مع الاهتمام بالمعلومات التي قدمها وفد الدولة الطرف بشأن وجود مشروع لإصلاح نظام السجون الوطني، وتأمل أن يولى اهتمامٌ كاف، في إطار هذا الإصلاح، لجملة أمور منها وضع سياسات وبرامج لإعادة الإدماج الاجتماعي، لا سيما للأحداث المخالفين القانون (المواد </w:t>
      </w:r>
      <w:r w:rsidRPr="003231D2">
        <w:rPr>
          <w:rtl/>
          <w:lang w:val="en-US"/>
        </w:rPr>
        <w:t>2</w:t>
      </w:r>
      <w:r w:rsidRPr="008E4FF5">
        <w:rPr>
          <w:rtl/>
          <w:lang w:val="en-US"/>
        </w:rPr>
        <w:t xml:space="preserve"> و</w:t>
      </w:r>
      <w:r w:rsidRPr="003231D2">
        <w:rPr>
          <w:rtl/>
          <w:lang w:val="en-US"/>
        </w:rPr>
        <w:t>11</w:t>
      </w:r>
      <w:r w:rsidRPr="008E4FF5">
        <w:rPr>
          <w:rtl/>
          <w:lang w:val="en-US"/>
        </w:rPr>
        <w:t xml:space="preserve"> و</w:t>
      </w:r>
      <w:r w:rsidRPr="003231D2">
        <w:rPr>
          <w:rtl/>
          <w:lang w:val="en-US"/>
        </w:rPr>
        <w:t>1</w:t>
      </w:r>
      <w:r w:rsidR="00A1027B" w:rsidRPr="003231D2">
        <w:rPr>
          <w:rtl/>
          <w:lang w:val="en-US"/>
        </w:rPr>
        <w:t>6</w:t>
      </w:r>
      <w:r w:rsidR="00A1027B" w:rsidRPr="00A1027B">
        <w:rPr>
          <w:rtl/>
          <w:lang w:val="en-US"/>
        </w:rPr>
        <w:t>).</w:t>
      </w:r>
    </w:p>
    <w:p w14:paraId="654EAC2A" w14:textId="17F742E2" w:rsidR="008E4FF5" w:rsidRPr="003231D2" w:rsidRDefault="008E4FF5" w:rsidP="008E4FF5">
      <w:pPr>
        <w:pStyle w:val="SingleTxtGA"/>
        <w:rPr>
          <w:b/>
          <w:bCs/>
          <w:lang w:val="en-US"/>
        </w:rPr>
      </w:pPr>
      <w:r w:rsidRPr="003231D2">
        <w:rPr>
          <w:rtl/>
          <w:lang w:val="en-US"/>
        </w:rPr>
        <w:t>25</w:t>
      </w:r>
      <w:r w:rsidRPr="008E4FF5">
        <w:rPr>
          <w:rtl/>
          <w:lang w:val="en-US"/>
        </w:rPr>
        <w:t>-</w:t>
      </w:r>
      <w:r w:rsidRPr="008E4FF5">
        <w:rPr>
          <w:rtl/>
          <w:lang w:val="en-US"/>
        </w:rPr>
        <w:tab/>
      </w:r>
      <w:r w:rsidRPr="003231D2">
        <w:rPr>
          <w:b/>
          <w:bCs/>
          <w:rtl/>
          <w:lang w:val="en-US"/>
        </w:rPr>
        <w:t>ينبغي للدولة الطرف:</w:t>
      </w:r>
    </w:p>
    <w:p w14:paraId="0DA99DF3" w14:textId="13BD1343" w:rsidR="00A1027B" w:rsidRPr="003231D2" w:rsidRDefault="008E4FF5" w:rsidP="008E4FF5">
      <w:pPr>
        <w:pStyle w:val="SingleTxtGA"/>
        <w:rPr>
          <w:b/>
          <w:bCs/>
          <w:lang w:val="en-US"/>
        </w:rPr>
      </w:pPr>
      <w:r w:rsidRPr="008E4FF5">
        <w:rPr>
          <w:rtl/>
          <w:lang w:val="en-US"/>
        </w:rPr>
        <w:tab/>
        <w:t>(أ)</w:t>
      </w:r>
      <w:r w:rsidRPr="008E4FF5">
        <w:rPr>
          <w:rtl/>
          <w:lang w:val="en-US"/>
        </w:rPr>
        <w:tab/>
      </w:r>
      <w:r w:rsidRPr="003231D2">
        <w:rPr>
          <w:b/>
          <w:bCs/>
          <w:rtl/>
          <w:lang w:val="en-US"/>
        </w:rPr>
        <w:t xml:space="preserve">اعتماد تدابير عاجلة لمعالجة الاكتظاظ في السجون وغيرها من أماكن الاحتجاز، بما في ذلك مراكز الاحتجاز المؤقت، وذلك باستخدام بدائل للعقوبات السالبة للحرية، في المقام الأول. وفي هذا الصدد، توجه اللجنة انتباه الدولة الطرف إلى قواعد الأمم المتحدة الدنيا النموذجية للتدابير غير </w:t>
      </w:r>
      <w:proofErr w:type="spellStart"/>
      <w:r w:rsidRPr="003231D2">
        <w:rPr>
          <w:b/>
          <w:bCs/>
          <w:rtl/>
          <w:lang w:val="en-US"/>
        </w:rPr>
        <w:t>الاحتجازية</w:t>
      </w:r>
      <w:proofErr w:type="spellEnd"/>
      <w:r w:rsidRPr="003231D2">
        <w:rPr>
          <w:b/>
          <w:bCs/>
          <w:rtl/>
          <w:lang w:val="en-US"/>
        </w:rPr>
        <w:t xml:space="preserve"> (قواعد طوكيو</w:t>
      </w:r>
      <w:r w:rsidR="00A1027B" w:rsidRPr="003231D2">
        <w:rPr>
          <w:b/>
          <w:bCs/>
          <w:rtl/>
          <w:lang w:val="en-US"/>
        </w:rPr>
        <w:t xml:space="preserve">)، </w:t>
      </w:r>
      <w:r w:rsidRPr="003231D2">
        <w:rPr>
          <w:b/>
          <w:bCs/>
          <w:rtl/>
          <w:lang w:val="en-US"/>
        </w:rPr>
        <w:t xml:space="preserve">وقواعد الأمم المتحدة لمعاملة السجينات والتدابير غير </w:t>
      </w:r>
      <w:proofErr w:type="spellStart"/>
      <w:r w:rsidRPr="003231D2">
        <w:rPr>
          <w:b/>
          <w:bCs/>
          <w:rtl/>
          <w:lang w:val="en-US"/>
        </w:rPr>
        <w:t>الاحتجازية</w:t>
      </w:r>
      <w:proofErr w:type="spellEnd"/>
      <w:r w:rsidRPr="003231D2">
        <w:rPr>
          <w:b/>
          <w:bCs/>
          <w:rtl/>
          <w:lang w:val="en-US"/>
        </w:rPr>
        <w:t xml:space="preserve"> </w:t>
      </w:r>
      <w:r w:rsidRPr="003231D2">
        <w:rPr>
          <w:rFonts w:ascii="Times New Roman Bold" w:hAnsi="Times New Roman Bold"/>
          <w:b/>
          <w:bCs/>
          <w:spacing w:val="-2"/>
          <w:rtl/>
          <w:lang w:val="en-US"/>
        </w:rPr>
        <w:t>للمجرمات (قواعد بانكوك</w:t>
      </w:r>
      <w:r w:rsidR="00A1027B" w:rsidRPr="003231D2">
        <w:rPr>
          <w:rFonts w:ascii="Times New Roman Bold" w:hAnsi="Times New Roman Bold"/>
          <w:b/>
          <w:bCs/>
          <w:spacing w:val="-2"/>
          <w:rtl/>
          <w:lang w:val="en-US"/>
        </w:rPr>
        <w:t xml:space="preserve">). </w:t>
      </w:r>
      <w:r w:rsidRPr="003231D2">
        <w:rPr>
          <w:rFonts w:ascii="Times New Roman Bold" w:hAnsi="Times New Roman Bold"/>
          <w:b/>
          <w:bCs/>
          <w:spacing w:val="-2"/>
          <w:rtl/>
          <w:lang w:val="en-US"/>
        </w:rPr>
        <w:t>وينبغي للدولة الطرف أيض</w:t>
      </w:r>
      <w:r w:rsidR="00E13EFD" w:rsidRPr="003231D2">
        <w:rPr>
          <w:rFonts w:ascii="Times New Roman Bold" w:hAnsi="Times New Roman Bold"/>
          <w:b/>
          <w:bCs/>
          <w:spacing w:val="-2"/>
          <w:rtl/>
          <w:lang w:val="en-US"/>
        </w:rPr>
        <w:t xml:space="preserve">اً </w:t>
      </w:r>
      <w:r w:rsidRPr="003231D2">
        <w:rPr>
          <w:rFonts w:ascii="Times New Roman Bold" w:hAnsi="Times New Roman Bold"/>
          <w:b/>
          <w:bCs/>
          <w:spacing w:val="-2"/>
          <w:rtl/>
          <w:lang w:val="en-US"/>
        </w:rPr>
        <w:t>أن تتخذ تدابير عاجلة لمعالجة أي ثغرات أو أوجه</w:t>
      </w:r>
      <w:r w:rsidRPr="003231D2">
        <w:rPr>
          <w:b/>
          <w:bCs/>
          <w:rtl/>
          <w:lang w:val="en-US"/>
        </w:rPr>
        <w:t xml:space="preserve"> قصور في الظروف العامة للحياة في جميع أماكن سلب الحرية، وفق</w:t>
      </w:r>
      <w:r w:rsidR="00E13EFD" w:rsidRPr="003231D2">
        <w:rPr>
          <w:b/>
          <w:bCs/>
          <w:rtl/>
          <w:lang w:val="en-US"/>
        </w:rPr>
        <w:t xml:space="preserve">اً </w:t>
      </w:r>
      <w:r w:rsidRPr="003231D2">
        <w:rPr>
          <w:b/>
          <w:bCs/>
          <w:rtl/>
          <w:lang w:val="en-US"/>
        </w:rPr>
        <w:t>لقواعد الأمم المتحدة النموذجية الدنيا لمعاملة السجناء (قواعد نيلسون مانديلا</w:t>
      </w:r>
      <w:r w:rsidR="00A1027B" w:rsidRPr="003231D2">
        <w:rPr>
          <w:b/>
          <w:bCs/>
          <w:rtl/>
          <w:lang w:val="en-US"/>
        </w:rPr>
        <w:t>)؛</w:t>
      </w:r>
    </w:p>
    <w:p w14:paraId="4106D6EC" w14:textId="3F1D191E" w:rsidR="008E4FF5" w:rsidRPr="003231D2" w:rsidRDefault="008E4FF5" w:rsidP="008E4FF5">
      <w:pPr>
        <w:pStyle w:val="SingleTxtGA"/>
        <w:rPr>
          <w:b/>
          <w:bCs/>
          <w:lang w:val="en-US"/>
        </w:rPr>
      </w:pPr>
      <w:r w:rsidRPr="008E4FF5">
        <w:rPr>
          <w:rtl/>
          <w:lang w:val="en-US"/>
        </w:rPr>
        <w:tab/>
        <w:t>(ب)</w:t>
      </w:r>
      <w:r w:rsidRPr="008E4FF5">
        <w:rPr>
          <w:rtl/>
          <w:lang w:val="en-US"/>
        </w:rPr>
        <w:tab/>
      </w:r>
      <w:r w:rsidRPr="003231D2">
        <w:rPr>
          <w:b/>
          <w:bCs/>
          <w:rtl/>
          <w:lang w:val="en-US"/>
        </w:rPr>
        <w:t>ضمان عدم الإفراط في استخدام الحبس الاحتياطي أو إطالة أمده في القانون وفي الممارسة العملية؛</w:t>
      </w:r>
    </w:p>
    <w:p w14:paraId="3E6FE025" w14:textId="77777777" w:rsidR="008E4FF5" w:rsidRPr="003231D2" w:rsidRDefault="008E4FF5" w:rsidP="008E4FF5">
      <w:pPr>
        <w:pStyle w:val="SingleTxtGA"/>
        <w:rPr>
          <w:b/>
          <w:bCs/>
          <w:lang w:val="en-US"/>
        </w:rPr>
      </w:pPr>
      <w:r w:rsidRPr="008E4FF5">
        <w:rPr>
          <w:rtl/>
          <w:lang w:val="en-US"/>
        </w:rPr>
        <w:tab/>
        <w:t>(ج)</w:t>
      </w:r>
      <w:r w:rsidRPr="008E4FF5">
        <w:rPr>
          <w:rtl/>
          <w:lang w:val="en-US"/>
        </w:rPr>
        <w:tab/>
      </w:r>
      <w:r w:rsidRPr="003231D2">
        <w:rPr>
          <w:b/>
          <w:bCs/>
          <w:rtl/>
          <w:lang w:val="en-US"/>
        </w:rPr>
        <w:t>مواصلة تحسين الرعاية الطبية والنفسية والصحية في جميع مراكز الاحتجاز؛</w:t>
      </w:r>
    </w:p>
    <w:p w14:paraId="64F6BF0F" w14:textId="77777777" w:rsidR="008E4FF5" w:rsidRPr="003231D2" w:rsidRDefault="008E4FF5" w:rsidP="008E4FF5">
      <w:pPr>
        <w:pStyle w:val="SingleTxtGA"/>
        <w:rPr>
          <w:b/>
          <w:bCs/>
          <w:lang w:val="en-US"/>
        </w:rPr>
      </w:pPr>
      <w:r w:rsidRPr="008E4FF5">
        <w:rPr>
          <w:rtl/>
          <w:lang w:val="en-US"/>
        </w:rPr>
        <w:tab/>
        <w:t>(د)</w:t>
      </w:r>
      <w:r w:rsidRPr="008E4FF5">
        <w:rPr>
          <w:rtl/>
          <w:lang w:val="en-US"/>
        </w:rPr>
        <w:tab/>
      </w:r>
      <w:r w:rsidRPr="003231D2">
        <w:rPr>
          <w:b/>
          <w:bCs/>
          <w:rtl/>
          <w:lang w:val="en-US"/>
        </w:rPr>
        <w:t xml:space="preserve">ضمان تلبية الاحتياجات الخاصة للنساء والأشخاص ذوي الإعاقة رهن الاحتجاز، مع مراعاة ظروفهم الخاصة؛ </w:t>
      </w:r>
    </w:p>
    <w:p w14:paraId="690C978F" w14:textId="7A4D5199" w:rsidR="008E4FF5" w:rsidRPr="003231D2" w:rsidRDefault="008E4FF5" w:rsidP="00E13EFD">
      <w:pPr>
        <w:pStyle w:val="SingleTxtGA"/>
        <w:spacing w:line="350" w:lineRule="exact"/>
        <w:rPr>
          <w:b/>
          <w:bCs/>
          <w:lang w:val="en-US"/>
        </w:rPr>
      </w:pPr>
      <w:r w:rsidRPr="003231D2">
        <w:rPr>
          <w:rtl/>
          <w:lang w:val="en-US"/>
        </w:rPr>
        <w:lastRenderedPageBreak/>
        <w:tab/>
        <w:t>(هـ)</w:t>
      </w:r>
      <w:r w:rsidRPr="003231D2">
        <w:rPr>
          <w:rtl/>
          <w:lang w:val="en-US"/>
        </w:rPr>
        <w:tab/>
      </w:r>
      <w:r w:rsidRPr="003231D2">
        <w:rPr>
          <w:b/>
          <w:bCs/>
          <w:rtl/>
          <w:lang w:val="en-US"/>
        </w:rPr>
        <w:t xml:space="preserve">مواصلة إصلاح نظام السجون ووضع سياسات شاملة لإعادة الإدماج الاجتماعي تضمن حصول السجناء على التعليم، والتدريب المهني، </w:t>
      </w:r>
      <w:proofErr w:type="gramStart"/>
      <w:r w:rsidRPr="003231D2">
        <w:rPr>
          <w:b/>
          <w:bCs/>
          <w:rtl/>
          <w:lang w:val="en-US"/>
        </w:rPr>
        <w:t xml:space="preserve">والأنشطة الترفيهية </w:t>
      </w:r>
      <w:proofErr w:type="gramEnd"/>
      <w:r w:rsidRPr="003231D2">
        <w:rPr>
          <w:b/>
          <w:bCs/>
          <w:rtl/>
          <w:lang w:val="en-US"/>
        </w:rPr>
        <w:t>والثقافية. وينبغي أن ينص إصلاح نظام السجون أيض</w:t>
      </w:r>
      <w:r w:rsidR="00E13EFD" w:rsidRPr="003231D2">
        <w:rPr>
          <w:b/>
          <w:bCs/>
          <w:rtl/>
          <w:lang w:val="en-US"/>
        </w:rPr>
        <w:t xml:space="preserve">اً </w:t>
      </w:r>
      <w:r w:rsidRPr="003231D2">
        <w:rPr>
          <w:b/>
          <w:bCs/>
          <w:rtl/>
          <w:lang w:val="en-US"/>
        </w:rPr>
        <w:t>على توفير عدد كاف من موظفي السجون المدرَّبين تدريب</w:t>
      </w:r>
      <w:r w:rsidR="00E13EFD" w:rsidRPr="003231D2">
        <w:rPr>
          <w:b/>
          <w:bCs/>
          <w:rtl/>
          <w:lang w:val="en-US"/>
        </w:rPr>
        <w:t xml:space="preserve">اً </w:t>
      </w:r>
      <w:r w:rsidRPr="003231D2">
        <w:rPr>
          <w:b/>
          <w:bCs/>
          <w:rtl/>
          <w:lang w:val="en-US"/>
        </w:rPr>
        <w:t>مناسباً لمنع</w:t>
      </w:r>
      <w:r w:rsidR="00E13EFD" w:rsidRPr="003231D2">
        <w:rPr>
          <w:rFonts w:hint="cs"/>
          <w:b/>
          <w:bCs/>
          <w:rtl/>
          <w:lang w:val="en-US"/>
        </w:rPr>
        <w:t> </w:t>
      </w:r>
      <w:r w:rsidRPr="003231D2">
        <w:rPr>
          <w:b/>
          <w:bCs/>
          <w:rtl/>
          <w:lang w:val="en-US"/>
        </w:rPr>
        <w:t>الأفعال غير القانونية. وعلاوة على ذلك، ينبغي للدولة الطرف أن تراعي المبادئ التوجيهية الدولية</w:t>
      </w:r>
      <w:r w:rsidR="00E13EFD" w:rsidRPr="003231D2">
        <w:rPr>
          <w:rFonts w:hint="cs"/>
          <w:b/>
          <w:bCs/>
          <w:rtl/>
          <w:lang w:val="en-US"/>
        </w:rPr>
        <w:t> </w:t>
      </w:r>
      <w:r w:rsidRPr="003231D2">
        <w:rPr>
          <w:b/>
          <w:bCs/>
          <w:rtl/>
          <w:lang w:val="en-US"/>
        </w:rPr>
        <w:t>المتعلقة بحقوق الإنسان وسياسة مكافحة المخدرات عند تنفيذ سياستها المتعلقة بالسجون وبالعقوبات الجنائية.</w:t>
      </w:r>
    </w:p>
    <w:p w14:paraId="231F457B" w14:textId="77777777" w:rsidR="008E4FF5" w:rsidRPr="003231D2" w:rsidRDefault="008E4FF5" w:rsidP="008E4FF5">
      <w:pPr>
        <w:pStyle w:val="H23GA"/>
      </w:pPr>
      <w:r w:rsidRPr="003231D2">
        <w:rPr>
          <w:rtl/>
        </w:rPr>
        <w:tab/>
      </w:r>
      <w:r w:rsidRPr="003231D2">
        <w:rPr>
          <w:rtl/>
        </w:rPr>
        <w:tab/>
        <w:t>الحبس الانفرادي</w:t>
      </w:r>
    </w:p>
    <w:p w14:paraId="3BE1CDE8" w14:textId="4B2AB105" w:rsidR="00A1027B" w:rsidRPr="00A1027B" w:rsidRDefault="008E4FF5" w:rsidP="00E13EFD">
      <w:pPr>
        <w:pStyle w:val="SingleTxtGA"/>
        <w:spacing w:line="350" w:lineRule="exact"/>
        <w:rPr>
          <w:lang w:val="en-US"/>
        </w:rPr>
      </w:pPr>
      <w:r w:rsidRPr="003231D2">
        <w:rPr>
          <w:rtl/>
          <w:lang w:val="en-US"/>
        </w:rPr>
        <w:t>26</w:t>
      </w:r>
      <w:r w:rsidRPr="008E4FF5">
        <w:rPr>
          <w:rtl/>
          <w:lang w:val="en-US"/>
        </w:rPr>
        <w:t>-</w:t>
      </w:r>
      <w:r w:rsidRPr="008E4FF5">
        <w:rPr>
          <w:rtl/>
          <w:lang w:val="en-US"/>
        </w:rPr>
        <w:tab/>
      </w:r>
      <w:r w:rsidRPr="00E13EFD">
        <w:rPr>
          <w:spacing w:val="-2"/>
          <w:rtl/>
          <w:lang w:val="en-US"/>
        </w:rPr>
        <w:t>تحيط اللجنة علم</w:t>
      </w:r>
      <w:r w:rsidR="00E13EFD" w:rsidRPr="00E13EFD">
        <w:rPr>
          <w:spacing w:val="-2"/>
          <w:rtl/>
          <w:lang w:val="en-US"/>
        </w:rPr>
        <w:t xml:space="preserve">اً </w:t>
      </w:r>
      <w:r w:rsidRPr="00E13EFD">
        <w:rPr>
          <w:spacing w:val="-2"/>
          <w:rtl/>
          <w:lang w:val="en-US"/>
        </w:rPr>
        <w:t>بالإطار التنظيمي الذي يحكم الحبس الانفرادي</w:t>
      </w:r>
      <w:r w:rsidR="00A1027B" w:rsidRPr="00E13EFD">
        <w:rPr>
          <w:rStyle w:val="FootnoteReference"/>
          <w:spacing w:val="-2"/>
          <w:rtl/>
        </w:rPr>
        <w:t>(</w:t>
      </w:r>
      <w:r w:rsidR="00A1027B" w:rsidRPr="003231D2">
        <w:rPr>
          <w:rStyle w:val="FootnoteReference"/>
          <w:spacing w:val="-2"/>
          <w:lang w:val="en-AU"/>
        </w:rPr>
        <w:footnoteReference w:id="33"/>
      </w:r>
      <w:r w:rsidR="00A1027B" w:rsidRPr="00E13EFD">
        <w:rPr>
          <w:spacing w:val="-2"/>
          <w:vertAlign w:val="superscript"/>
          <w:rtl/>
          <w:lang w:val="en-US"/>
        </w:rPr>
        <w:t>)</w:t>
      </w:r>
      <w:r w:rsidR="00A1027B" w:rsidRPr="00E13EFD">
        <w:rPr>
          <w:spacing w:val="-2"/>
          <w:rtl/>
          <w:lang w:val="en-US"/>
        </w:rPr>
        <w:t>،</w:t>
      </w:r>
      <w:r w:rsidR="00A1027B" w:rsidRPr="00E13EFD">
        <w:rPr>
          <w:spacing w:val="-2"/>
          <w:rtl/>
          <w:lang w:val="en-US"/>
        </w:rPr>
        <w:t xml:space="preserve"> </w:t>
      </w:r>
      <w:r w:rsidRPr="00E13EFD">
        <w:rPr>
          <w:spacing w:val="-2"/>
          <w:rtl/>
          <w:lang w:val="en-US"/>
        </w:rPr>
        <w:t>فضل</w:t>
      </w:r>
      <w:r w:rsidR="00E13EFD" w:rsidRPr="00E13EFD">
        <w:rPr>
          <w:spacing w:val="-2"/>
          <w:rtl/>
          <w:lang w:val="en-US"/>
        </w:rPr>
        <w:t xml:space="preserve">اً </w:t>
      </w:r>
      <w:r w:rsidRPr="00E13EFD">
        <w:rPr>
          <w:spacing w:val="-2"/>
          <w:rtl/>
          <w:lang w:val="en-US"/>
        </w:rPr>
        <w:t xml:space="preserve">عن استعراض دليل </w:t>
      </w:r>
      <w:r w:rsidRPr="008E4FF5">
        <w:rPr>
          <w:rtl/>
          <w:lang w:val="en-US"/>
        </w:rPr>
        <w:t xml:space="preserve">الممارسات المناظر والتدابير الأخرى التي يتم اتخاذها لتحسين تطبيقه الصحيح، لكنها تعرب عن قلقها إزاء معلومات تفيد بأن المحتجزين، بمن فيهم الأشخاص ذوو الإعاقات النفسية - الاجتماعية أو الذهنية، يودعون رهن العزل لفترات طويلة في وحدات المعاملة الخاصة لأغراض تأديبية. ويساور اللجنة القلق </w:t>
      </w:r>
      <w:r w:rsidRPr="00E13EFD">
        <w:rPr>
          <w:spacing w:val="-2"/>
          <w:rtl/>
          <w:lang w:val="en-US"/>
        </w:rPr>
        <w:t>أيض</w:t>
      </w:r>
      <w:r w:rsidR="00E13EFD" w:rsidRPr="00E13EFD">
        <w:rPr>
          <w:spacing w:val="-2"/>
          <w:rtl/>
          <w:lang w:val="en-US"/>
        </w:rPr>
        <w:t xml:space="preserve">اً </w:t>
      </w:r>
      <w:r w:rsidRPr="00E13EFD">
        <w:rPr>
          <w:spacing w:val="-2"/>
          <w:rtl/>
          <w:lang w:val="en-US"/>
        </w:rPr>
        <w:t>إزاء الادعاءات القائلة بأن هذه العقوبة التأديبية تطبق تعسف</w:t>
      </w:r>
      <w:r w:rsidR="00E13EFD" w:rsidRPr="00E13EFD">
        <w:rPr>
          <w:spacing w:val="-2"/>
          <w:rtl/>
          <w:lang w:val="en-US"/>
        </w:rPr>
        <w:t xml:space="preserve">اً </w:t>
      </w:r>
      <w:r w:rsidRPr="00E13EFD">
        <w:rPr>
          <w:spacing w:val="-2"/>
          <w:rtl/>
          <w:lang w:val="en-US"/>
        </w:rPr>
        <w:t>ودون ضمانات المحاكمة وفق الأصول</w:t>
      </w:r>
      <w:r w:rsidRPr="008E4FF5">
        <w:rPr>
          <w:rtl/>
          <w:lang w:val="en-US"/>
        </w:rPr>
        <w:t xml:space="preserve">، وإزاء الظروف اللاإنسانية والمهينة السائدة في الزنزانات التأديبية (المواد </w:t>
      </w:r>
      <w:r w:rsidRPr="003231D2">
        <w:rPr>
          <w:rtl/>
          <w:lang w:val="en-US"/>
        </w:rPr>
        <w:t>2</w:t>
      </w:r>
      <w:r w:rsidRPr="008E4FF5">
        <w:rPr>
          <w:rtl/>
          <w:lang w:val="en-US"/>
        </w:rPr>
        <w:t xml:space="preserve"> و</w:t>
      </w:r>
      <w:r w:rsidRPr="003231D2">
        <w:rPr>
          <w:rtl/>
          <w:lang w:val="en-US"/>
        </w:rPr>
        <w:t>11</w:t>
      </w:r>
      <w:r w:rsidRPr="008E4FF5">
        <w:rPr>
          <w:rtl/>
          <w:lang w:val="en-US"/>
        </w:rPr>
        <w:t xml:space="preserve"> و</w:t>
      </w:r>
      <w:r w:rsidRPr="003231D2">
        <w:rPr>
          <w:rtl/>
          <w:lang w:val="en-US"/>
        </w:rPr>
        <w:t>1</w:t>
      </w:r>
      <w:r w:rsidR="00A1027B" w:rsidRPr="003231D2">
        <w:rPr>
          <w:rtl/>
          <w:lang w:val="en-US"/>
        </w:rPr>
        <w:t>6</w:t>
      </w:r>
      <w:r w:rsidR="00A1027B" w:rsidRPr="00A1027B">
        <w:rPr>
          <w:rtl/>
          <w:lang w:val="en-US"/>
        </w:rPr>
        <w:t>).</w:t>
      </w:r>
    </w:p>
    <w:p w14:paraId="3E0582DA" w14:textId="020648E0" w:rsidR="008E4FF5" w:rsidRPr="003231D2" w:rsidRDefault="008E4FF5" w:rsidP="00E13EFD">
      <w:pPr>
        <w:pStyle w:val="SingleTxtGA"/>
        <w:spacing w:line="350" w:lineRule="exact"/>
        <w:rPr>
          <w:b/>
          <w:bCs/>
          <w:lang w:val="en-US"/>
        </w:rPr>
      </w:pPr>
      <w:r w:rsidRPr="003231D2">
        <w:rPr>
          <w:rtl/>
          <w:lang w:val="en-US"/>
        </w:rPr>
        <w:t>27</w:t>
      </w:r>
      <w:r w:rsidRPr="008E4FF5">
        <w:rPr>
          <w:rtl/>
          <w:lang w:val="en-US"/>
        </w:rPr>
        <w:t>-</w:t>
      </w:r>
      <w:r w:rsidRPr="008E4FF5">
        <w:rPr>
          <w:rtl/>
          <w:lang w:val="en-US"/>
        </w:rPr>
        <w:tab/>
      </w:r>
      <w:r w:rsidRPr="003231D2">
        <w:rPr>
          <w:b/>
          <w:bCs/>
          <w:rtl/>
          <w:lang w:val="en-US"/>
        </w:rPr>
        <w:t>ينبغي للدولة الطرف أن تكفل عدم اللجوء إلى الحبس الانفرادي إلا في حالات استثنائية، واعتباره ملاذ</w:t>
      </w:r>
      <w:r w:rsidR="00E13EFD" w:rsidRPr="003231D2">
        <w:rPr>
          <w:b/>
          <w:bCs/>
          <w:rtl/>
          <w:lang w:val="en-US"/>
        </w:rPr>
        <w:t xml:space="preserve">اً </w:t>
      </w:r>
      <w:r w:rsidRPr="003231D2">
        <w:rPr>
          <w:b/>
          <w:bCs/>
          <w:rtl/>
          <w:lang w:val="en-US"/>
        </w:rPr>
        <w:t>أخير</w:t>
      </w:r>
      <w:r w:rsidR="00E13EFD" w:rsidRPr="003231D2">
        <w:rPr>
          <w:b/>
          <w:bCs/>
          <w:rtl/>
          <w:lang w:val="en-US"/>
        </w:rPr>
        <w:t xml:space="preserve">اً </w:t>
      </w:r>
      <w:r w:rsidRPr="003231D2">
        <w:rPr>
          <w:b/>
          <w:bCs/>
          <w:rtl/>
          <w:lang w:val="en-US"/>
        </w:rPr>
        <w:t>وتطبيقه لأقصر فترة ممكنة (لا تتجاوز خمسة عشر يوم</w:t>
      </w:r>
      <w:r w:rsidR="00E13EFD" w:rsidRPr="003231D2">
        <w:rPr>
          <w:b/>
          <w:bCs/>
          <w:rtl/>
          <w:lang w:val="en-US"/>
        </w:rPr>
        <w:t xml:space="preserve">اً </w:t>
      </w:r>
      <w:r w:rsidRPr="003231D2">
        <w:rPr>
          <w:b/>
          <w:bCs/>
          <w:rtl/>
          <w:lang w:val="en-US"/>
        </w:rPr>
        <w:t>متتاليا</w:t>
      </w:r>
      <w:r w:rsidR="00E13EFD" w:rsidRPr="003231D2">
        <w:rPr>
          <w:rFonts w:hint="cs"/>
          <w:b/>
          <w:bCs/>
          <w:rtl/>
          <w:lang w:val="en-US"/>
        </w:rPr>
        <w:t>ً</w:t>
      </w:r>
      <w:r w:rsidR="00A1027B" w:rsidRPr="003231D2">
        <w:rPr>
          <w:b/>
          <w:bCs/>
          <w:rtl/>
          <w:lang w:val="en-US"/>
        </w:rPr>
        <w:t xml:space="preserve">)، </w:t>
      </w:r>
      <w:r w:rsidRPr="003231D2">
        <w:rPr>
          <w:b/>
          <w:bCs/>
          <w:rtl/>
          <w:lang w:val="en-US"/>
        </w:rPr>
        <w:t>وتحت مراقبة مستقلة وبإذن من سلطة مختصة فقط، وفق</w:t>
      </w:r>
      <w:r w:rsidR="00E13EFD" w:rsidRPr="003231D2">
        <w:rPr>
          <w:b/>
          <w:bCs/>
          <w:rtl/>
          <w:lang w:val="en-US"/>
        </w:rPr>
        <w:t xml:space="preserve">اً </w:t>
      </w:r>
      <w:r w:rsidRPr="003231D2">
        <w:rPr>
          <w:b/>
          <w:bCs/>
          <w:rtl/>
          <w:lang w:val="en-US"/>
        </w:rPr>
        <w:t>للقواعد من 43 إلى 46 من قواعد نيلسون مانديلا، التي</w:t>
      </w:r>
      <w:r w:rsidR="0008344B" w:rsidRPr="003231D2">
        <w:rPr>
          <w:rFonts w:hint="cs"/>
          <w:b/>
          <w:bCs/>
          <w:rtl/>
          <w:lang w:val="en-US"/>
        </w:rPr>
        <w:t> </w:t>
      </w:r>
      <w:r w:rsidRPr="003231D2">
        <w:rPr>
          <w:b/>
          <w:bCs/>
          <w:rtl/>
          <w:lang w:val="en-US"/>
        </w:rPr>
        <w:t>تحظر الحبس الانفرادي للأشخاص ذوي الإعاقة البدنية أو الفكرية أو النفسية -</w:t>
      </w:r>
      <w:r w:rsidR="0008344B" w:rsidRPr="003231D2">
        <w:rPr>
          <w:rFonts w:hint="cs"/>
          <w:b/>
          <w:bCs/>
          <w:rtl/>
          <w:lang w:val="en-US"/>
        </w:rPr>
        <w:t xml:space="preserve"> </w:t>
      </w:r>
      <w:r w:rsidRPr="003231D2">
        <w:rPr>
          <w:b/>
          <w:bCs/>
          <w:rtl/>
          <w:lang w:val="en-US"/>
        </w:rPr>
        <w:t>الاجتماعية، باعتبار أن من المحتمل أن تتفاقم حالتهم جراء الحبس الانفرادي. وبالمثل، ينبغي للدولة الطرف أن تكفل انطباق الظروف المعيشية المنصوص عليها في قواعد نيلسون مانديلا على جميع السجناء دون استثناء، وفق</w:t>
      </w:r>
      <w:r w:rsidR="00E13EFD" w:rsidRPr="003231D2">
        <w:rPr>
          <w:b/>
          <w:bCs/>
          <w:rtl/>
          <w:lang w:val="en-US"/>
        </w:rPr>
        <w:t xml:space="preserve">اً </w:t>
      </w:r>
      <w:r w:rsidRPr="003231D2">
        <w:rPr>
          <w:b/>
          <w:bCs/>
          <w:rtl/>
          <w:lang w:val="en-US"/>
        </w:rPr>
        <w:t>للقاعدة 42 من هذه القواعد</w:t>
      </w:r>
      <w:r w:rsidRPr="003231D2">
        <w:rPr>
          <w:rFonts w:hint="cs"/>
          <w:b/>
          <w:bCs/>
          <w:rtl/>
          <w:lang w:val="en-US"/>
        </w:rPr>
        <w:t>.</w:t>
      </w:r>
    </w:p>
    <w:p w14:paraId="7479C76D" w14:textId="77777777" w:rsidR="008E4FF5" w:rsidRPr="003231D2" w:rsidRDefault="008E4FF5" w:rsidP="008E4FF5">
      <w:pPr>
        <w:pStyle w:val="H23GA"/>
      </w:pPr>
      <w:r w:rsidRPr="003231D2">
        <w:rPr>
          <w:rtl/>
        </w:rPr>
        <w:tab/>
      </w:r>
      <w:r w:rsidRPr="003231D2">
        <w:rPr>
          <w:rtl/>
        </w:rPr>
        <w:tab/>
        <w:t>العنف والوفيات في أماكن سلب الحرية</w:t>
      </w:r>
    </w:p>
    <w:p w14:paraId="7EE49675" w14:textId="7CBD8EA3" w:rsidR="008E4FF5" w:rsidRPr="008E4FF5" w:rsidRDefault="008E4FF5" w:rsidP="00E13EFD">
      <w:pPr>
        <w:pStyle w:val="SingleTxtGA"/>
        <w:spacing w:line="350" w:lineRule="exact"/>
        <w:rPr>
          <w:lang w:val="en-US"/>
        </w:rPr>
      </w:pPr>
      <w:r w:rsidRPr="003231D2">
        <w:rPr>
          <w:rtl/>
          <w:lang w:val="en-US"/>
        </w:rPr>
        <w:t>28</w:t>
      </w:r>
      <w:r w:rsidRPr="008E4FF5">
        <w:rPr>
          <w:rtl/>
          <w:lang w:val="en-US"/>
        </w:rPr>
        <w:t>-</w:t>
      </w:r>
      <w:r w:rsidRPr="008E4FF5">
        <w:rPr>
          <w:rtl/>
          <w:lang w:val="en-US"/>
        </w:rPr>
        <w:tab/>
        <w:t>يساور اللجنة القلق إزاء معلومات تفيد بأن سجناء توفوا نتيجة أفعال سلطات السجون أو</w:t>
      </w:r>
      <w:r w:rsidR="00E13EFD">
        <w:rPr>
          <w:rFonts w:hint="cs"/>
          <w:rtl/>
          <w:lang w:val="en-US"/>
        </w:rPr>
        <w:t> </w:t>
      </w:r>
      <w:r w:rsidRPr="008E4FF5">
        <w:rPr>
          <w:rtl/>
          <w:lang w:val="en-US"/>
        </w:rPr>
        <w:t>تقصيرها</w:t>
      </w:r>
      <w:r w:rsidR="00A1027B">
        <w:rPr>
          <w:rStyle w:val="FootnoteReference"/>
          <w:rtl/>
        </w:rPr>
        <w:t>(</w:t>
      </w:r>
      <w:r w:rsidR="00A1027B" w:rsidRPr="003231D2">
        <w:rPr>
          <w:rStyle w:val="FootnoteReference"/>
          <w:lang w:val="en-AU"/>
        </w:rPr>
        <w:footnoteReference w:id="34"/>
      </w:r>
      <w:r w:rsidR="00A1027B" w:rsidRPr="00A1027B">
        <w:rPr>
          <w:vertAlign w:val="superscript"/>
          <w:rtl/>
          <w:lang w:val="en-US"/>
        </w:rPr>
        <w:t>)</w:t>
      </w:r>
      <w:r w:rsidR="00A1027B" w:rsidRPr="00A1027B">
        <w:rPr>
          <w:rtl/>
          <w:lang w:val="en-US"/>
        </w:rPr>
        <w:t>.</w:t>
      </w:r>
      <w:r w:rsidR="00A1027B" w:rsidRPr="00A1027B">
        <w:rPr>
          <w:rtl/>
          <w:lang w:val="en-US"/>
        </w:rPr>
        <w:t xml:space="preserve"> </w:t>
      </w:r>
      <w:r w:rsidRPr="008E4FF5">
        <w:rPr>
          <w:rtl/>
          <w:lang w:val="en-US"/>
        </w:rPr>
        <w:t>ويساور اللجنة القلق أيض</w:t>
      </w:r>
      <w:r w:rsidR="00E13EFD">
        <w:rPr>
          <w:rtl/>
          <w:lang w:val="en-US"/>
        </w:rPr>
        <w:t xml:space="preserve">اً </w:t>
      </w:r>
      <w:r w:rsidRPr="008E4FF5">
        <w:rPr>
          <w:rtl/>
          <w:lang w:val="en-US"/>
        </w:rPr>
        <w:t xml:space="preserve">إزاء معلومات تفيد باستخدام موظفي السجون، المسؤولين عن حفظ النظام والأمن في السجون، القوة بشكل مفرط وتعسفي، بما في ذلك الاستخدام غير السليم للأسلحة النارية وأسلحة الصدمات الكهربائية. وفي هذا الصدد، تعرب اللجنة عن أسفها العميق لوفاة </w:t>
      </w:r>
      <w:r w:rsidRPr="003231D2">
        <w:rPr>
          <w:rtl/>
          <w:lang w:val="en-US"/>
        </w:rPr>
        <w:t>23</w:t>
      </w:r>
      <w:r w:rsidRPr="008E4FF5">
        <w:rPr>
          <w:rtl/>
          <w:lang w:val="en-US"/>
        </w:rPr>
        <w:t xml:space="preserve"> سجين</w:t>
      </w:r>
      <w:r w:rsidR="00E13EFD">
        <w:rPr>
          <w:rtl/>
          <w:lang w:val="en-US"/>
        </w:rPr>
        <w:t xml:space="preserve">اً </w:t>
      </w:r>
      <w:r w:rsidRPr="008E4FF5">
        <w:rPr>
          <w:rtl/>
          <w:lang w:val="en-US"/>
        </w:rPr>
        <w:t xml:space="preserve">في سجن لا </w:t>
      </w:r>
      <w:proofErr w:type="spellStart"/>
      <w:r w:rsidRPr="008E4FF5">
        <w:rPr>
          <w:rtl/>
          <w:lang w:val="en-US"/>
        </w:rPr>
        <w:t>موديلو</w:t>
      </w:r>
      <w:proofErr w:type="spellEnd"/>
      <w:r w:rsidRPr="008E4FF5">
        <w:rPr>
          <w:rtl/>
          <w:lang w:val="en-US"/>
        </w:rPr>
        <w:t xml:space="preserve"> في بوغوتا في </w:t>
      </w:r>
      <w:r w:rsidRPr="003231D2">
        <w:rPr>
          <w:rtl/>
          <w:lang w:val="en-US"/>
        </w:rPr>
        <w:t>21</w:t>
      </w:r>
      <w:r w:rsidRPr="008E4FF5">
        <w:rPr>
          <w:rtl/>
          <w:lang w:val="en-US"/>
        </w:rPr>
        <w:t xml:space="preserve"> آذار/مارس </w:t>
      </w:r>
      <w:r w:rsidRPr="003231D2">
        <w:rPr>
          <w:rtl/>
          <w:lang w:val="en-US"/>
        </w:rPr>
        <w:t>2020</w:t>
      </w:r>
      <w:r w:rsidRPr="008E4FF5">
        <w:rPr>
          <w:rtl/>
          <w:lang w:val="en-US"/>
        </w:rPr>
        <w:t>، التي يُدَّعى أنها ترتبت على استخدام موظفي السجن للقوة بشكل غير متناسب لقمع أعمال شغب، سببها عدم وضع تدابير وقائية ضد مرض فيروس كورونا (كوفيد-</w:t>
      </w:r>
      <w:r w:rsidRPr="003231D2">
        <w:rPr>
          <w:rtl/>
          <w:lang w:val="en-US"/>
        </w:rPr>
        <w:t>1</w:t>
      </w:r>
      <w:r w:rsidR="00A1027B" w:rsidRPr="003231D2">
        <w:rPr>
          <w:rtl/>
          <w:lang w:val="en-US"/>
        </w:rPr>
        <w:t>9</w:t>
      </w:r>
      <w:r w:rsidR="00A1027B" w:rsidRPr="00A1027B">
        <w:rPr>
          <w:rtl/>
          <w:lang w:val="en-US"/>
        </w:rPr>
        <w:t xml:space="preserve">). </w:t>
      </w:r>
      <w:r w:rsidRPr="008E4FF5">
        <w:rPr>
          <w:rtl/>
          <w:lang w:val="en-US"/>
        </w:rPr>
        <w:t>ووفق</w:t>
      </w:r>
      <w:r w:rsidR="00E13EFD">
        <w:rPr>
          <w:rtl/>
          <w:lang w:val="en-US"/>
        </w:rPr>
        <w:t xml:space="preserve">اً </w:t>
      </w:r>
      <w:r w:rsidRPr="008E4FF5">
        <w:rPr>
          <w:rtl/>
          <w:lang w:val="en-US"/>
        </w:rPr>
        <w:t xml:space="preserve">للمعلومات التي قدمتها الدولة الطرف، سُجل بين عامي </w:t>
      </w:r>
      <w:r w:rsidRPr="003231D2">
        <w:rPr>
          <w:rtl/>
          <w:lang w:val="en-US"/>
        </w:rPr>
        <w:t>2019</w:t>
      </w:r>
      <w:r w:rsidRPr="008E4FF5">
        <w:rPr>
          <w:rtl/>
          <w:lang w:val="en-US"/>
        </w:rPr>
        <w:t xml:space="preserve"> و</w:t>
      </w:r>
      <w:r w:rsidRPr="003231D2">
        <w:rPr>
          <w:rtl/>
          <w:lang w:val="en-US"/>
        </w:rPr>
        <w:t>2023</w:t>
      </w:r>
      <w:r w:rsidRPr="008E4FF5">
        <w:rPr>
          <w:rtl/>
          <w:lang w:val="en-US"/>
        </w:rPr>
        <w:t xml:space="preserve"> ما</w:t>
      </w:r>
      <w:r w:rsidR="00E13EFD">
        <w:rPr>
          <w:rFonts w:hint="cs"/>
          <w:rtl/>
          <w:lang w:val="en-US"/>
        </w:rPr>
        <w:t> </w:t>
      </w:r>
      <w:r w:rsidRPr="008E4FF5">
        <w:rPr>
          <w:rtl/>
          <w:lang w:val="en-US"/>
        </w:rPr>
        <w:t xml:space="preserve">قدره </w:t>
      </w:r>
      <w:r w:rsidRPr="003231D2">
        <w:rPr>
          <w:rtl/>
          <w:lang w:val="en-US"/>
        </w:rPr>
        <w:t>374</w:t>
      </w:r>
      <w:r w:rsidRPr="008E4FF5">
        <w:rPr>
          <w:rtl/>
          <w:lang w:val="en-US"/>
        </w:rPr>
        <w:t xml:space="preserve"> شكوى بشأن الاستخدام المفرط للقوة،</w:t>
      </w:r>
      <w:r>
        <w:rPr>
          <w:rtl/>
          <w:lang w:val="en-US"/>
        </w:rPr>
        <w:t xml:space="preserve"> و</w:t>
      </w:r>
      <w:r w:rsidRPr="003231D2">
        <w:rPr>
          <w:rtl/>
          <w:lang w:val="en-US"/>
        </w:rPr>
        <w:t>11</w:t>
      </w:r>
      <w:r w:rsidRPr="008E4FF5">
        <w:rPr>
          <w:rtl/>
          <w:lang w:val="en-US"/>
        </w:rPr>
        <w:t xml:space="preserve"> شكوى بشأن العنف الجنسي،</w:t>
      </w:r>
      <w:r>
        <w:rPr>
          <w:rtl/>
          <w:lang w:val="en-US"/>
        </w:rPr>
        <w:t xml:space="preserve"> و</w:t>
      </w:r>
      <w:r w:rsidRPr="003231D2">
        <w:rPr>
          <w:rtl/>
          <w:lang w:val="en-US"/>
        </w:rPr>
        <w:t>453</w:t>
      </w:r>
      <w:r w:rsidRPr="008E4FF5">
        <w:rPr>
          <w:rtl/>
          <w:lang w:val="en-US"/>
        </w:rPr>
        <w:t xml:space="preserve"> </w:t>
      </w:r>
      <w:r w:rsidRPr="003231D2">
        <w:rPr>
          <w:rtl/>
          <w:lang w:val="en-US"/>
        </w:rPr>
        <w:t>4</w:t>
      </w:r>
      <w:r w:rsidRPr="008E4FF5">
        <w:rPr>
          <w:rtl/>
          <w:lang w:val="en-US"/>
        </w:rPr>
        <w:t xml:space="preserve"> شكوى بشأن العنف بين السجناء، انطوت على إهمال محتمل من طرف الموظفين العموميين. وبالرغم من أن اللجنة أحاطت علم</w:t>
      </w:r>
      <w:r w:rsidR="00E13EFD">
        <w:rPr>
          <w:rtl/>
          <w:lang w:val="en-US"/>
        </w:rPr>
        <w:t xml:space="preserve">اً </w:t>
      </w:r>
      <w:r w:rsidRPr="008E4FF5">
        <w:rPr>
          <w:rtl/>
          <w:lang w:val="en-US"/>
        </w:rPr>
        <w:t xml:space="preserve">بالمعلومات التي قدمها وفد الدولة الطرف بشأن التحقيقات في الوفيات التي حدثت في سجني لا </w:t>
      </w:r>
      <w:proofErr w:type="spellStart"/>
      <w:r w:rsidRPr="008E4FF5">
        <w:rPr>
          <w:rtl/>
          <w:lang w:val="en-US"/>
        </w:rPr>
        <w:t>موديلو</w:t>
      </w:r>
      <w:proofErr w:type="spellEnd"/>
      <w:r w:rsidRPr="008E4FF5">
        <w:rPr>
          <w:rtl/>
          <w:lang w:val="en-US"/>
        </w:rPr>
        <w:t xml:space="preserve"> وتولوا، فهي لا تملك إحصاءات كاملة عن عدد مسلوبي الحرية الذين توفوا خلال الفترة قيد الاستعراض، ولا عن نتائج التحقيقات التي أجريت. وعلاوة على ذلك، تأسف اللجنة لعدم وجود معلومات عن التدابير الملموسة المتخذة لمنع وقوع حوادث مماثلة في المستقبل، لكنها تلاحظ باهتمام إنشاء أفرقة عاملة لوضع بروتوكول بشأن إدارة الأزمات في السجون (المواد </w:t>
      </w:r>
      <w:r w:rsidRPr="003231D2">
        <w:rPr>
          <w:rtl/>
          <w:lang w:val="en-US"/>
        </w:rPr>
        <w:t>2</w:t>
      </w:r>
      <w:r w:rsidRPr="008E4FF5">
        <w:rPr>
          <w:rtl/>
          <w:lang w:val="en-US"/>
        </w:rPr>
        <w:t xml:space="preserve"> و</w:t>
      </w:r>
      <w:r w:rsidRPr="003231D2">
        <w:rPr>
          <w:rtl/>
          <w:lang w:val="en-US"/>
        </w:rPr>
        <w:t>10</w:t>
      </w:r>
      <w:r w:rsidRPr="008E4FF5">
        <w:rPr>
          <w:rtl/>
          <w:lang w:val="en-US"/>
        </w:rPr>
        <w:t xml:space="preserve"> و</w:t>
      </w:r>
      <w:r w:rsidRPr="003231D2">
        <w:rPr>
          <w:rtl/>
          <w:lang w:val="en-US"/>
        </w:rPr>
        <w:t>11</w:t>
      </w:r>
      <w:r w:rsidRPr="008E4FF5">
        <w:rPr>
          <w:rtl/>
          <w:lang w:val="en-US"/>
        </w:rPr>
        <w:t xml:space="preserve"> و</w:t>
      </w:r>
      <w:r w:rsidRPr="003231D2">
        <w:rPr>
          <w:rtl/>
          <w:lang w:val="en-US"/>
        </w:rPr>
        <w:t>1</w:t>
      </w:r>
      <w:r w:rsidR="00A1027B" w:rsidRPr="003231D2">
        <w:rPr>
          <w:rtl/>
          <w:lang w:val="en-US"/>
        </w:rPr>
        <w:t>6</w:t>
      </w:r>
      <w:r w:rsidR="00A1027B" w:rsidRPr="00A1027B">
        <w:rPr>
          <w:rtl/>
          <w:lang w:val="en-US"/>
        </w:rPr>
        <w:t xml:space="preserve">). </w:t>
      </w:r>
    </w:p>
    <w:p w14:paraId="226CFC12" w14:textId="77777777" w:rsidR="008E4FF5" w:rsidRPr="003231D2" w:rsidRDefault="008E4FF5" w:rsidP="008E4FF5">
      <w:pPr>
        <w:pStyle w:val="SingleTxtGA"/>
        <w:rPr>
          <w:b/>
          <w:bCs/>
          <w:lang w:val="en-US"/>
        </w:rPr>
      </w:pPr>
      <w:r w:rsidRPr="003231D2">
        <w:rPr>
          <w:rtl/>
          <w:lang w:val="en-US"/>
        </w:rPr>
        <w:lastRenderedPageBreak/>
        <w:t>29</w:t>
      </w:r>
      <w:r w:rsidRPr="008E4FF5">
        <w:rPr>
          <w:rtl/>
          <w:lang w:val="en-US"/>
        </w:rPr>
        <w:t>-</w:t>
      </w:r>
      <w:r w:rsidRPr="008E4FF5">
        <w:rPr>
          <w:rtl/>
          <w:lang w:val="en-US"/>
        </w:rPr>
        <w:tab/>
      </w:r>
      <w:r w:rsidRPr="003231D2">
        <w:rPr>
          <w:b/>
          <w:bCs/>
          <w:rtl/>
          <w:lang w:val="en-US"/>
        </w:rPr>
        <w:t>تحث اللجنة الدولة الطرف على:</w:t>
      </w:r>
    </w:p>
    <w:p w14:paraId="26D9CAB8" w14:textId="2516FFE2" w:rsidR="00A1027B" w:rsidRPr="003231D2" w:rsidRDefault="008E4FF5" w:rsidP="008E4FF5">
      <w:pPr>
        <w:pStyle w:val="SingleTxtGA"/>
        <w:rPr>
          <w:b/>
          <w:bCs/>
          <w:lang w:val="en-US"/>
        </w:rPr>
      </w:pPr>
      <w:r w:rsidRPr="003231D2">
        <w:rPr>
          <w:b/>
          <w:bCs/>
          <w:rtl/>
          <w:lang w:val="en-US"/>
        </w:rPr>
        <w:tab/>
        <w:t>(أ)</w:t>
      </w:r>
      <w:r w:rsidRPr="003231D2">
        <w:rPr>
          <w:b/>
          <w:bCs/>
          <w:rtl/>
          <w:lang w:val="en-US"/>
        </w:rPr>
        <w:tab/>
        <w:t>ضمان إجراء هيئة مستقلة تحقيقات فورية ونزيهة في جميع حالات العنف في مراكز الاحتجاز وحالات وفاة مسلوبي الحرية، مع إيلاء الاعتبار الواجب لبروتوكول مينيسوتا المتعلق بالتحقيق في حالات الوفاة التي يُحتمل أن تكون غير مشروعة (2016</w:t>
      </w:r>
      <w:r w:rsidR="00A1027B" w:rsidRPr="003231D2">
        <w:rPr>
          <w:b/>
          <w:bCs/>
          <w:rtl/>
          <w:lang w:val="en-US"/>
        </w:rPr>
        <w:t>)؛</w:t>
      </w:r>
    </w:p>
    <w:p w14:paraId="3A619562" w14:textId="0C42B091" w:rsidR="008E4FF5" w:rsidRPr="003231D2" w:rsidRDefault="008E4FF5" w:rsidP="008E4FF5">
      <w:pPr>
        <w:pStyle w:val="SingleTxtGA"/>
        <w:rPr>
          <w:b/>
          <w:bCs/>
          <w:lang w:val="en-US"/>
        </w:rPr>
      </w:pPr>
      <w:r w:rsidRPr="003231D2">
        <w:rPr>
          <w:b/>
          <w:bCs/>
          <w:rtl/>
          <w:lang w:val="en-US"/>
        </w:rPr>
        <w:tab/>
        <w:t>(ب)</w:t>
      </w:r>
      <w:r w:rsidRPr="003231D2">
        <w:rPr>
          <w:b/>
          <w:bCs/>
          <w:rtl/>
          <w:lang w:val="en-US"/>
        </w:rPr>
        <w:tab/>
        <w:t xml:space="preserve">التحقيق في أي مسؤولية محتملة للموظفين العامين عن حالات الوفاة أثناء الاحتجاز، وعند الاقتضاء، معاقبة المسؤولين عنها على النحو الواجب، وتقديم تعويض عادل وكافٍ لأفراد الأسرة؛ </w:t>
      </w:r>
    </w:p>
    <w:p w14:paraId="4CACB23C" w14:textId="13FCFF23" w:rsidR="008E4FF5" w:rsidRPr="003231D2" w:rsidRDefault="008E4FF5" w:rsidP="008E4FF5">
      <w:pPr>
        <w:pStyle w:val="SingleTxtGA"/>
        <w:rPr>
          <w:b/>
          <w:bCs/>
          <w:lang w:val="en-US"/>
        </w:rPr>
      </w:pPr>
      <w:r w:rsidRPr="003231D2">
        <w:rPr>
          <w:b/>
          <w:bCs/>
          <w:rtl/>
          <w:lang w:val="en-US"/>
        </w:rPr>
        <w:tab/>
        <w:t>(ج)</w:t>
      </w:r>
      <w:r w:rsidRPr="003231D2">
        <w:rPr>
          <w:b/>
          <w:bCs/>
          <w:rtl/>
          <w:lang w:val="en-US"/>
        </w:rPr>
        <w:tab/>
        <w:t>ضمان الأمن في السجون من خلال مراجعة اللوائح المتعلقة باستخدام القوة، بما</w:t>
      </w:r>
      <w:r w:rsidR="00E13EFD" w:rsidRPr="003231D2">
        <w:rPr>
          <w:rFonts w:hint="cs"/>
          <w:b/>
          <w:bCs/>
          <w:rtl/>
          <w:lang w:val="en-US"/>
        </w:rPr>
        <w:t> </w:t>
      </w:r>
      <w:r w:rsidRPr="003231D2">
        <w:rPr>
          <w:b/>
          <w:bCs/>
          <w:rtl/>
          <w:lang w:val="en-US"/>
        </w:rPr>
        <w:t>في ذلك استخدام الأسلحة النارية ومسدسات الصعق الكهربائي، في مراكز الاحتجاز، في ضوء المعايير الدولية السارية، وتوفير التدريب الكافي للشرطة وموظفي السجون. وينبغي للدولة الطرف أيض</w:t>
      </w:r>
      <w:r w:rsidR="00E13EFD" w:rsidRPr="003231D2">
        <w:rPr>
          <w:b/>
          <w:bCs/>
          <w:rtl/>
          <w:lang w:val="en-US"/>
        </w:rPr>
        <w:t xml:space="preserve">اً </w:t>
      </w:r>
      <w:r w:rsidRPr="003231D2">
        <w:rPr>
          <w:b/>
          <w:bCs/>
          <w:rtl/>
          <w:lang w:val="en-US"/>
        </w:rPr>
        <w:t>أن</w:t>
      </w:r>
      <w:r w:rsidRPr="003231D2">
        <w:rPr>
          <w:b/>
          <w:bCs/>
          <w:rtl/>
          <w:lang w:val="en-US"/>
        </w:rPr>
        <w:t xml:space="preserve"> </w:t>
      </w:r>
      <w:r w:rsidRPr="003231D2">
        <w:rPr>
          <w:b/>
          <w:bCs/>
          <w:rtl/>
          <w:lang w:val="en-US"/>
        </w:rPr>
        <w:t>تعزز اعتماد تدابير وبروتوكولات لمنع العنف في أماكن سلب الحرية والحد منه، بما في ذلك العنف الجنسي والجنساني؛</w:t>
      </w:r>
    </w:p>
    <w:p w14:paraId="183E7547" w14:textId="77777777" w:rsidR="008E4FF5" w:rsidRPr="003231D2" w:rsidRDefault="008E4FF5" w:rsidP="008E4FF5">
      <w:pPr>
        <w:pStyle w:val="SingleTxtGA"/>
        <w:rPr>
          <w:b/>
          <w:bCs/>
          <w:lang w:val="en-US"/>
        </w:rPr>
      </w:pPr>
      <w:r w:rsidRPr="003231D2">
        <w:rPr>
          <w:b/>
          <w:bCs/>
          <w:rtl/>
          <w:lang w:val="en-US"/>
        </w:rPr>
        <w:tab/>
        <w:t>(د)</w:t>
      </w:r>
      <w:r w:rsidRPr="003231D2">
        <w:rPr>
          <w:b/>
          <w:bCs/>
          <w:rtl/>
          <w:lang w:val="en-US"/>
        </w:rPr>
        <w:tab/>
        <w:t>ضمان تخصيص الموارد اللازمة للرعاية الطبية والصحية للمحتجزين؛</w:t>
      </w:r>
    </w:p>
    <w:p w14:paraId="3B054591" w14:textId="6ED98FDF" w:rsidR="00A1027B" w:rsidRPr="003231D2" w:rsidRDefault="008E4FF5" w:rsidP="008E4FF5">
      <w:pPr>
        <w:pStyle w:val="SingleTxtGA"/>
        <w:rPr>
          <w:b/>
          <w:bCs/>
          <w:lang w:val="en-US"/>
        </w:rPr>
      </w:pPr>
      <w:r w:rsidRPr="003231D2">
        <w:rPr>
          <w:rtl/>
          <w:lang w:val="en-US"/>
        </w:rPr>
        <w:tab/>
        <w:t>(هـ)</w:t>
      </w:r>
      <w:r w:rsidRPr="003231D2">
        <w:rPr>
          <w:rtl/>
          <w:lang w:val="en-US"/>
        </w:rPr>
        <w:tab/>
      </w:r>
      <w:r w:rsidRPr="003231D2">
        <w:rPr>
          <w:b/>
          <w:bCs/>
          <w:rtl/>
          <w:lang w:val="en-US"/>
        </w:rPr>
        <w:t xml:space="preserve">جمع ونشر بيانات إحصائية مفصلة عن أعمال العنف، بما في ذلك العنف الجنسي والاستخدام المفرط للقوة، والوفيات في أماكن الاحتجاز، ونتائج التحقيقات ذات الصلة كذلك. وفي هذا </w:t>
      </w:r>
      <w:r w:rsidRPr="003231D2">
        <w:rPr>
          <w:rFonts w:ascii="Times New Roman Bold" w:hAnsi="Times New Roman Bold"/>
          <w:b/>
          <w:bCs/>
          <w:spacing w:val="-2"/>
          <w:rtl/>
          <w:lang w:val="en-US"/>
        </w:rPr>
        <w:t xml:space="preserve">الصدد، تود اللجنة تلقي معلومات مفصلة عن نتائج التحقيق في الأحداث التي وقعت في سجن لا </w:t>
      </w:r>
      <w:proofErr w:type="spellStart"/>
      <w:r w:rsidRPr="003231D2">
        <w:rPr>
          <w:rFonts w:ascii="Times New Roman Bold" w:hAnsi="Times New Roman Bold"/>
          <w:b/>
          <w:bCs/>
          <w:spacing w:val="-2"/>
          <w:rtl/>
          <w:lang w:val="en-US"/>
        </w:rPr>
        <w:t>موديلو</w:t>
      </w:r>
      <w:proofErr w:type="spellEnd"/>
      <w:r w:rsidRPr="003231D2">
        <w:rPr>
          <w:b/>
          <w:bCs/>
          <w:rtl/>
          <w:lang w:val="en-US"/>
        </w:rPr>
        <w:t xml:space="preserve"> في آذار/مارس 202</w:t>
      </w:r>
      <w:r w:rsidR="00A1027B" w:rsidRPr="003231D2">
        <w:rPr>
          <w:b/>
          <w:bCs/>
          <w:rtl/>
          <w:lang w:val="en-US"/>
        </w:rPr>
        <w:t>0.</w:t>
      </w:r>
    </w:p>
    <w:p w14:paraId="58D86CE5" w14:textId="544AA43D" w:rsidR="008E4FF5" w:rsidRPr="003231D2" w:rsidRDefault="008E4FF5" w:rsidP="008E4FF5">
      <w:pPr>
        <w:pStyle w:val="H23GA"/>
      </w:pPr>
      <w:r w:rsidRPr="003231D2">
        <w:rPr>
          <w:rtl/>
        </w:rPr>
        <w:tab/>
      </w:r>
      <w:r w:rsidRPr="003231D2">
        <w:rPr>
          <w:rtl/>
        </w:rPr>
        <w:tab/>
        <w:t>تقديم الشكاوى والتحقيقات في أعمال التعذيب وسوء المعاملة</w:t>
      </w:r>
    </w:p>
    <w:p w14:paraId="00CA6794" w14:textId="56216253" w:rsidR="00A1027B" w:rsidRPr="00A1027B" w:rsidRDefault="008E4FF5" w:rsidP="008E4FF5">
      <w:pPr>
        <w:pStyle w:val="SingleTxtGA"/>
        <w:rPr>
          <w:spacing w:val="-2"/>
          <w:lang w:val="en-US"/>
        </w:rPr>
      </w:pPr>
      <w:r w:rsidRPr="003231D2">
        <w:rPr>
          <w:rtl/>
          <w:lang w:val="en-US"/>
        </w:rPr>
        <w:t>30</w:t>
      </w:r>
      <w:r w:rsidRPr="008E4FF5">
        <w:rPr>
          <w:rtl/>
          <w:lang w:val="en-US"/>
        </w:rPr>
        <w:t>-</w:t>
      </w:r>
      <w:r w:rsidRPr="008E4FF5">
        <w:rPr>
          <w:rtl/>
          <w:lang w:val="en-US"/>
        </w:rPr>
        <w:tab/>
        <w:t>تلاحظ اللجنة إنشاء الآلية الوطنية لتلقي الشكاوى من الأشخاص الذين سلبت حريتهم</w:t>
      </w:r>
      <w:r w:rsidR="00A1027B">
        <w:rPr>
          <w:rStyle w:val="FootnoteReference"/>
          <w:rtl/>
        </w:rPr>
        <w:t>(</w:t>
      </w:r>
      <w:r w:rsidR="00A1027B" w:rsidRPr="003231D2">
        <w:rPr>
          <w:rStyle w:val="FootnoteReference"/>
          <w:lang w:val="en-AU"/>
        </w:rPr>
        <w:footnoteReference w:id="35"/>
      </w:r>
      <w:r w:rsidR="00A1027B" w:rsidRPr="00A1027B">
        <w:rPr>
          <w:vertAlign w:val="superscript"/>
          <w:rtl/>
          <w:lang w:val="en-US"/>
        </w:rPr>
        <w:t>)</w:t>
      </w:r>
      <w:r w:rsidR="00A1027B" w:rsidRPr="00A1027B">
        <w:rPr>
          <w:rtl/>
          <w:lang w:val="en-US"/>
        </w:rPr>
        <w:t>،</w:t>
      </w:r>
      <w:r w:rsidR="00A1027B" w:rsidRPr="00A1027B">
        <w:rPr>
          <w:rtl/>
          <w:lang w:val="en-US"/>
        </w:rPr>
        <w:t xml:space="preserve"> </w:t>
      </w:r>
      <w:r w:rsidRPr="008E4FF5">
        <w:rPr>
          <w:rtl/>
          <w:lang w:val="en-US"/>
        </w:rPr>
        <w:t>فضل</w:t>
      </w:r>
      <w:r w:rsidR="00E13EFD">
        <w:rPr>
          <w:rtl/>
          <w:lang w:val="en-US"/>
        </w:rPr>
        <w:t xml:space="preserve">اً </w:t>
      </w:r>
      <w:r w:rsidRPr="008E4FF5">
        <w:rPr>
          <w:rtl/>
          <w:lang w:val="en-US"/>
        </w:rPr>
        <w:t>عن الوسائل الأخرى التي أنشئت لهذا الغرض. ومع ذلك، يساور اللجنة القلق إزاء معلومات تفيد بأن أوجه القصور الخطيرة في التحقيقات أفضت إلى إغلاق عدد كبير من القضايا، وأن مخالفات إجرائية في بعض الأحيان قد أفضت إلى القول بأن الضحايا كانوا عرضة لمضايقة موظفي السجون، وهو ما أثار الخوف من أعمال الانتقام. وعلاوة على ذلك، تأسف اللجنة لأنها لم تتلق معلومات عن تدريب الموظفين الطبيين الذين يتعاملون مع مسلوبي الحرية، ولا عن برامج التدريب الإلزامية للقضاة والمدعين العامين لأغراض</w:t>
      </w:r>
      <w:r>
        <w:rPr>
          <w:rtl/>
          <w:lang w:val="en-US"/>
        </w:rPr>
        <w:t xml:space="preserve"> </w:t>
      </w:r>
      <w:r w:rsidRPr="008E4FF5">
        <w:rPr>
          <w:spacing w:val="-2"/>
          <w:rtl/>
          <w:lang w:val="en-US"/>
        </w:rPr>
        <w:t xml:space="preserve">كشف حالات التعذيب، البدني والنفسي على السواء، وسوء المعاملة (المواد </w:t>
      </w:r>
      <w:r w:rsidRPr="003231D2">
        <w:rPr>
          <w:spacing w:val="-2"/>
          <w:rtl/>
          <w:lang w:val="en-US"/>
        </w:rPr>
        <w:t>2</w:t>
      </w:r>
      <w:r w:rsidRPr="008E4FF5">
        <w:rPr>
          <w:spacing w:val="-2"/>
          <w:rtl/>
          <w:lang w:val="en-US"/>
        </w:rPr>
        <w:t xml:space="preserve"> و</w:t>
      </w:r>
      <w:r w:rsidRPr="003231D2">
        <w:rPr>
          <w:spacing w:val="-2"/>
          <w:rtl/>
          <w:lang w:val="en-US"/>
        </w:rPr>
        <w:t>11</w:t>
      </w:r>
      <w:r w:rsidRPr="008E4FF5">
        <w:rPr>
          <w:spacing w:val="-2"/>
          <w:rtl/>
          <w:lang w:val="en-US"/>
        </w:rPr>
        <w:t xml:space="preserve"> و</w:t>
      </w:r>
      <w:r w:rsidRPr="003231D2">
        <w:rPr>
          <w:spacing w:val="-2"/>
          <w:rtl/>
          <w:lang w:val="en-US"/>
        </w:rPr>
        <w:t>12</w:t>
      </w:r>
      <w:r w:rsidRPr="008E4FF5">
        <w:rPr>
          <w:spacing w:val="-2"/>
          <w:rtl/>
          <w:lang w:val="en-US"/>
        </w:rPr>
        <w:t xml:space="preserve"> و</w:t>
      </w:r>
      <w:r w:rsidRPr="003231D2">
        <w:rPr>
          <w:spacing w:val="-2"/>
          <w:rtl/>
          <w:lang w:val="en-US"/>
        </w:rPr>
        <w:t>13</w:t>
      </w:r>
      <w:r w:rsidRPr="008E4FF5">
        <w:rPr>
          <w:spacing w:val="-2"/>
          <w:rtl/>
          <w:lang w:val="en-US"/>
        </w:rPr>
        <w:t xml:space="preserve"> و</w:t>
      </w:r>
      <w:r w:rsidRPr="003231D2">
        <w:rPr>
          <w:spacing w:val="-2"/>
          <w:rtl/>
          <w:lang w:val="en-US"/>
        </w:rPr>
        <w:t>14</w:t>
      </w:r>
      <w:r w:rsidRPr="008E4FF5">
        <w:rPr>
          <w:spacing w:val="-2"/>
          <w:rtl/>
          <w:lang w:val="en-US"/>
        </w:rPr>
        <w:t xml:space="preserve"> و</w:t>
      </w:r>
      <w:r w:rsidRPr="003231D2">
        <w:rPr>
          <w:spacing w:val="-2"/>
          <w:rtl/>
          <w:lang w:val="en-US"/>
        </w:rPr>
        <w:t>1</w:t>
      </w:r>
      <w:r w:rsidR="00A1027B" w:rsidRPr="003231D2">
        <w:rPr>
          <w:spacing w:val="-2"/>
          <w:rtl/>
          <w:lang w:val="en-US"/>
        </w:rPr>
        <w:t>6</w:t>
      </w:r>
      <w:r w:rsidR="00A1027B" w:rsidRPr="00A1027B">
        <w:rPr>
          <w:spacing w:val="-2"/>
          <w:rtl/>
          <w:lang w:val="en-US"/>
        </w:rPr>
        <w:t>).</w:t>
      </w:r>
    </w:p>
    <w:p w14:paraId="19B9E9E4" w14:textId="49368F5F" w:rsidR="008E4FF5" w:rsidRPr="003231D2" w:rsidRDefault="008E4FF5" w:rsidP="008E4FF5">
      <w:pPr>
        <w:pStyle w:val="SingleTxtGA"/>
        <w:rPr>
          <w:b/>
          <w:bCs/>
          <w:spacing w:val="-2"/>
          <w:lang w:val="en-US"/>
        </w:rPr>
      </w:pPr>
      <w:r w:rsidRPr="003231D2">
        <w:rPr>
          <w:spacing w:val="-2"/>
          <w:rtl/>
          <w:lang w:val="en-US"/>
        </w:rPr>
        <w:t>31</w:t>
      </w:r>
      <w:r w:rsidRPr="00E13EFD">
        <w:rPr>
          <w:spacing w:val="-2"/>
          <w:rtl/>
          <w:lang w:val="en-US"/>
        </w:rPr>
        <w:t>-</w:t>
      </w:r>
      <w:r w:rsidRPr="00E13EFD">
        <w:rPr>
          <w:spacing w:val="-2"/>
          <w:rtl/>
          <w:lang w:val="en-US"/>
        </w:rPr>
        <w:tab/>
      </w:r>
      <w:r w:rsidRPr="003231D2">
        <w:rPr>
          <w:b/>
          <w:bCs/>
          <w:spacing w:val="-2"/>
          <w:rtl/>
          <w:lang w:val="en-US"/>
        </w:rPr>
        <w:t>ينبغي للدولة الطرف أن تتخذ خطوات لضمان أن تكون نظم الشكاوى المتاحة في مراكز الاحتجاز فعالة ومستقلة ومتاحة وآمنة تماماً لضحايا التعذيب وسوء المعاملة المزعومين. وينبغي لها أيض</w:t>
      </w:r>
      <w:r w:rsidR="00E13EFD" w:rsidRPr="003231D2">
        <w:rPr>
          <w:b/>
          <w:bCs/>
          <w:spacing w:val="-2"/>
          <w:rtl/>
          <w:lang w:val="en-US"/>
        </w:rPr>
        <w:t xml:space="preserve">اً </w:t>
      </w:r>
      <w:r w:rsidRPr="003231D2">
        <w:rPr>
          <w:b/>
          <w:bCs/>
          <w:spacing w:val="-2"/>
          <w:rtl/>
          <w:lang w:val="en-US"/>
        </w:rPr>
        <w:t>أن تكفل خضوع جميع الموظفين الطبيين الذين يتعاملون مع مسلوبي الحرية لتدريب إلزامي خاص على كيفية كشف حالات التعذيب وسوء المعاملة، وفق</w:t>
      </w:r>
      <w:r w:rsidR="00E13EFD" w:rsidRPr="003231D2">
        <w:rPr>
          <w:b/>
          <w:bCs/>
          <w:spacing w:val="-2"/>
          <w:rtl/>
          <w:lang w:val="en-US"/>
        </w:rPr>
        <w:t xml:space="preserve">اً </w:t>
      </w:r>
      <w:r w:rsidRPr="003231D2">
        <w:rPr>
          <w:b/>
          <w:bCs/>
          <w:spacing w:val="-2"/>
          <w:rtl/>
          <w:lang w:val="en-US"/>
        </w:rPr>
        <w:t>لبروتوكول اسطنبول، وذلك بغية توجيه انتباه السلطات القضائية المختصة إلى جميع حالات التعذيب وسوء المعاملة المشتبه فيها. وختام</w:t>
      </w:r>
      <w:r w:rsidR="0008344B" w:rsidRPr="003231D2">
        <w:rPr>
          <w:b/>
          <w:bCs/>
          <w:spacing w:val="-2"/>
          <w:rtl/>
          <w:lang w:val="en-US"/>
        </w:rPr>
        <w:t>اً،</w:t>
      </w:r>
      <w:r w:rsidRPr="003231D2">
        <w:rPr>
          <w:b/>
          <w:bCs/>
          <w:spacing w:val="-2"/>
          <w:rtl/>
          <w:lang w:val="en-US"/>
        </w:rPr>
        <w:t xml:space="preserve"> ينبغي للدولة الطرف أن تواصل وضع وتنفيذ برامج التدريب المتواصل الإلزامي، وإتاحة التثقيف اللازم لضمان أن يكون جميع الموظفين العموميين، لا سيما الموظفون المكلفون بإنفاذ القانون والقضاة والمدعون العامون وموظفو السجون وغيرهم من الأشخاص الذين قد يشاركون في مهام حراسة الأشخاص رهن الاعتقال أو الاحتجاز، أو المسجونين بأي شكل من الأشكال أو استجوابهم أو معاملتهم، على دراية تامة بأحكام الاتفاقية.</w:t>
      </w:r>
    </w:p>
    <w:p w14:paraId="0C4E8D5A" w14:textId="77777777" w:rsidR="008E4FF5" w:rsidRPr="003231D2" w:rsidRDefault="008E4FF5" w:rsidP="008E4FF5">
      <w:pPr>
        <w:pStyle w:val="H23GA"/>
      </w:pPr>
      <w:r w:rsidRPr="003231D2">
        <w:rPr>
          <w:rtl/>
        </w:rPr>
        <w:lastRenderedPageBreak/>
        <w:tab/>
      </w:r>
      <w:r w:rsidRPr="003231D2">
        <w:rPr>
          <w:rtl/>
        </w:rPr>
        <w:tab/>
        <w:t>مراقبة أماكن الاحتجاز</w:t>
      </w:r>
    </w:p>
    <w:p w14:paraId="758024CF" w14:textId="40ECC33F" w:rsidR="00A1027B" w:rsidRPr="00A1027B" w:rsidRDefault="008E4FF5" w:rsidP="008E4FF5">
      <w:pPr>
        <w:pStyle w:val="SingleTxtGA"/>
        <w:rPr>
          <w:lang w:val="en-US"/>
        </w:rPr>
      </w:pPr>
      <w:r w:rsidRPr="003231D2">
        <w:rPr>
          <w:rtl/>
          <w:lang w:val="en-US"/>
        </w:rPr>
        <w:t>32</w:t>
      </w:r>
      <w:r w:rsidRPr="008E4FF5">
        <w:rPr>
          <w:rtl/>
          <w:lang w:val="en-US"/>
        </w:rPr>
        <w:t>-</w:t>
      </w:r>
      <w:r w:rsidRPr="008E4FF5">
        <w:rPr>
          <w:rtl/>
          <w:lang w:val="en-US"/>
        </w:rPr>
        <w:tab/>
        <w:t xml:space="preserve">تأسف اللجنة لضعف تمثيل ديوان أمين المظالم في السجون بسبب افتقاره إلى الهيكل والموارد المالية والبشرية اللازمة للاضطلاع بأنشطة المراقبة الدورية للسجون ومراكز الاحتجاز المؤقت وغيرها من أماكن سلب الحرية. وفي هذا الصدد، تلاحظ اللجنة مع التقدير أنه يجري إعداد مشروع قانون بشأن التصديق على البروتوكول الاختياري لاتفاقية مناهضة التعذيب وغيره من ضروب </w:t>
      </w:r>
      <w:proofErr w:type="gramStart"/>
      <w:r w:rsidRPr="008E4FF5">
        <w:rPr>
          <w:rtl/>
          <w:lang w:val="en-US"/>
        </w:rPr>
        <w:t>المعاملة</w:t>
      </w:r>
      <w:proofErr w:type="gramEnd"/>
      <w:r w:rsidRPr="008E4FF5">
        <w:rPr>
          <w:rtl/>
          <w:lang w:val="en-US"/>
        </w:rPr>
        <w:t xml:space="preserve"> أو العقوبة القاسية أو اللاإنسانية أو المهينة (المادة </w:t>
      </w:r>
      <w:r w:rsidR="00A1027B" w:rsidRPr="003231D2">
        <w:rPr>
          <w:rtl/>
          <w:lang w:val="en-US"/>
        </w:rPr>
        <w:t>2</w:t>
      </w:r>
      <w:r w:rsidR="00A1027B" w:rsidRPr="00A1027B">
        <w:rPr>
          <w:rtl/>
          <w:lang w:val="en-US"/>
        </w:rPr>
        <w:t>).</w:t>
      </w:r>
    </w:p>
    <w:p w14:paraId="2FEA20C3" w14:textId="5011107C" w:rsidR="008E4FF5" w:rsidRPr="003231D2" w:rsidRDefault="008E4FF5" w:rsidP="008E4FF5">
      <w:pPr>
        <w:pStyle w:val="SingleTxtGA"/>
        <w:rPr>
          <w:b/>
          <w:bCs/>
          <w:lang w:val="en-US"/>
        </w:rPr>
      </w:pPr>
      <w:r w:rsidRPr="003231D2">
        <w:rPr>
          <w:rtl/>
          <w:lang w:val="en-US"/>
        </w:rPr>
        <w:t>33</w:t>
      </w:r>
      <w:r w:rsidRPr="008E4FF5">
        <w:rPr>
          <w:rtl/>
          <w:lang w:val="en-US"/>
        </w:rPr>
        <w:t>-</w:t>
      </w:r>
      <w:r w:rsidRPr="008E4FF5">
        <w:rPr>
          <w:rtl/>
          <w:lang w:val="en-US"/>
        </w:rPr>
        <w:tab/>
      </w:r>
      <w:r w:rsidRPr="003231D2">
        <w:rPr>
          <w:b/>
          <w:bCs/>
          <w:rtl/>
          <w:lang w:val="en-US"/>
        </w:rPr>
        <w:t xml:space="preserve">تشجع اللجنة الدولة الطرف على إتمام عملية التصديق على البروتوكول الاختياري للاتفاقية بغية إنشاء آلية وقائية وطنية. وتدعو اللجنة الدولة الطرف إلى النظر في التماس المساعدة التقنية من الأمم المتحدة، لا سيما التماس المشورة من اللجنة الفرعية لمنع التعذيب وغيره من ضروب </w:t>
      </w:r>
      <w:proofErr w:type="gramStart"/>
      <w:r w:rsidRPr="003231D2">
        <w:rPr>
          <w:b/>
          <w:bCs/>
          <w:rtl/>
          <w:lang w:val="en-US"/>
        </w:rPr>
        <w:t>المعاملة</w:t>
      </w:r>
      <w:proofErr w:type="gramEnd"/>
      <w:r w:rsidRPr="003231D2">
        <w:rPr>
          <w:b/>
          <w:bCs/>
          <w:rtl/>
          <w:lang w:val="en-US"/>
        </w:rPr>
        <w:t xml:space="preserve"> أو العقوبة القاسية أو اللاإنسانية أو المهينة بشأن تسمية أو إنشاء هذه الآلية. وفي الوقت نفسه، تشجع اللجنة الدولة الطرف على تعزيز ديوان أمين المظالم حتى يتمكن من الاضطلاع بأنشطة المراقبة الدورية لجميع أماكن سلب الحرية.</w:t>
      </w:r>
    </w:p>
    <w:p w14:paraId="43F7B3BA" w14:textId="77777777" w:rsidR="008E4FF5" w:rsidRPr="003231D2" w:rsidRDefault="008E4FF5" w:rsidP="008E4FF5">
      <w:pPr>
        <w:pStyle w:val="H23GA"/>
      </w:pPr>
      <w:r w:rsidRPr="003231D2">
        <w:rPr>
          <w:rtl/>
        </w:rPr>
        <w:tab/>
      </w:r>
      <w:r w:rsidRPr="003231D2">
        <w:rPr>
          <w:rtl/>
        </w:rPr>
        <w:tab/>
        <w:t xml:space="preserve">الهجرة واللجوء </w:t>
      </w:r>
    </w:p>
    <w:p w14:paraId="71FFE0EC" w14:textId="12EB549F" w:rsidR="00A1027B" w:rsidRPr="006B049C" w:rsidRDefault="008E4FF5" w:rsidP="008E4FF5">
      <w:pPr>
        <w:pStyle w:val="SingleTxtGA"/>
        <w:rPr>
          <w:spacing w:val="4"/>
          <w:lang w:val="en-US"/>
        </w:rPr>
      </w:pPr>
      <w:r w:rsidRPr="006B049C">
        <w:rPr>
          <w:spacing w:val="4"/>
          <w:rtl/>
          <w:lang w:val="en-US"/>
        </w:rPr>
        <w:t>34-</w:t>
      </w:r>
      <w:r w:rsidRPr="006B049C">
        <w:rPr>
          <w:spacing w:val="4"/>
          <w:rtl/>
          <w:lang w:val="en-US"/>
        </w:rPr>
        <w:tab/>
        <w:t>ترحب اللجنة بالجهود التي تبذلها الدولة الطرف لاستقبال عدد كبير من مواطني جمهورية فنزويلا البوليفارية منذ عام 201</w:t>
      </w:r>
      <w:r w:rsidR="00A1027B" w:rsidRPr="006B049C">
        <w:rPr>
          <w:spacing w:val="4"/>
          <w:rtl/>
          <w:lang w:val="en-US"/>
        </w:rPr>
        <w:t xml:space="preserve">5. </w:t>
      </w:r>
      <w:r w:rsidRPr="006B049C">
        <w:rPr>
          <w:spacing w:val="4"/>
          <w:rtl/>
          <w:lang w:val="en-US"/>
        </w:rPr>
        <w:t>ومع ذلك، تلاحظ اللجنة بقلق الشكاوى المتعلقة بحالات الاختفاء والقتل والعنف الجنسي ضد المهاجرين العابرين إلى بنما، فضل</w:t>
      </w:r>
      <w:r w:rsidR="0008344B" w:rsidRPr="006B049C">
        <w:rPr>
          <w:spacing w:val="4"/>
          <w:rtl/>
          <w:lang w:val="en-US"/>
        </w:rPr>
        <w:t xml:space="preserve">اً </w:t>
      </w:r>
      <w:r w:rsidRPr="006B049C">
        <w:rPr>
          <w:spacing w:val="4"/>
          <w:rtl/>
          <w:lang w:val="en-US"/>
        </w:rPr>
        <w:t>عن ادعاءات تفيد بأن الدولة الطرف لم</w:t>
      </w:r>
      <w:r w:rsidR="0008344B" w:rsidRPr="006B049C">
        <w:rPr>
          <w:rFonts w:hint="cs"/>
          <w:spacing w:val="4"/>
          <w:rtl/>
          <w:lang w:val="en-US"/>
        </w:rPr>
        <w:t> </w:t>
      </w:r>
      <w:r w:rsidRPr="006B049C">
        <w:rPr>
          <w:spacing w:val="4"/>
          <w:rtl/>
          <w:lang w:val="en-US"/>
        </w:rPr>
        <w:t>تجر تحقيقات فورية وفعالة في هذا الموضوع. وفي هذا الصدد، تحيط اللجنة علم</w:t>
      </w:r>
      <w:r w:rsidR="0008344B" w:rsidRPr="006B049C">
        <w:rPr>
          <w:spacing w:val="4"/>
          <w:rtl/>
          <w:lang w:val="en-US"/>
        </w:rPr>
        <w:t xml:space="preserve">اً </w:t>
      </w:r>
      <w:r w:rsidRPr="006B049C">
        <w:rPr>
          <w:spacing w:val="4"/>
          <w:rtl/>
          <w:lang w:val="en-US"/>
        </w:rPr>
        <w:t>بالمعلومات التي قدمتها الدولة الطرف بشأن التدابير المتخذة في إطار تنفيذ خريطة الطريق لضمان الأمن البشري للمهاجرين العابرين. ومن ناحية أخرى، لا تزال اللجنة تشعر بالقلق إزاء أحكام المادة 2-2-3-1-3-2 من المرسوم رقم 1067 لعام 2015، المتعلقة بإجراءات تحديد وصع اللاجئ، التي تستبعد إمكانية تلقي سلطات الهجرة طلبات اللجوء في مناطق العبور في المطارات الدولية (المواد 2 و3 و12 و13 و1</w:t>
      </w:r>
      <w:r w:rsidR="00A1027B" w:rsidRPr="006B049C">
        <w:rPr>
          <w:spacing w:val="4"/>
          <w:rtl/>
          <w:lang w:val="en-US"/>
        </w:rPr>
        <w:t>6).</w:t>
      </w:r>
    </w:p>
    <w:p w14:paraId="4FE617F6" w14:textId="13D6CDB8" w:rsidR="008E4FF5" w:rsidRPr="003231D2" w:rsidRDefault="008E4FF5" w:rsidP="008E4FF5">
      <w:pPr>
        <w:pStyle w:val="SingleTxtGA"/>
        <w:rPr>
          <w:b/>
          <w:bCs/>
          <w:lang w:val="en-US"/>
        </w:rPr>
      </w:pPr>
      <w:r w:rsidRPr="003231D2">
        <w:rPr>
          <w:rtl/>
          <w:lang w:val="en-US"/>
        </w:rPr>
        <w:t>35</w:t>
      </w:r>
      <w:r w:rsidRPr="008E4FF5">
        <w:rPr>
          <w:rtl/>
          <w:lang w:val="en-US"/>
        </w:rPr>
        <w:t>-</w:t>
      </w:r>
      <w:r w:rsidRPr="008E4FF5">
        <w:rPr>
          <w:rtl/>
          <w:lang w:val="en-US"/>
        </w:rPr>
        <w:tab/>
      </w:r>
      <w:r w:rsidRPr="003231D2">
        <w:rPr>
          <w:b/>
          <w:bCs/>
          <w:rtl/>
          <w:lang w:val="en-US"/>
        </w:rPr>
        <w:t>ينبغي للدولة الطرف أن تحقق في التجاوزات وأعمال العنف التي يُدعى ارتكابُها ضد المهاجرين في إقليمها، وأن تعزز متابعة حالات الوفاة والاختفاء والعنف الجنسي المسجلة. وينبغي لها أيض</w:t>
      </w:r>
      <w:r w:rsidR="0008344B" w:rsidRPr="003231D2">
        <w:rPr>
          <w:b/>
          <w:bCs/>
          <w:rtl/>
          <w:lang w:val="en-US"/>
        </w:rPr>
        <w:t xml:space="preserve">اً </w:t>
      </w:r>
      <w:r w:rsidRPr="003231D2">
        <w:rPr>
          <w:b/>
          <w:bCs/>
          <w:rtl/>
          <w:lang w:val="en-US"/>
        </w:rPr>
        <w:t>أن تعدل تشريعاتها للسماح لملتمسي اللجوء بالاستفادة من إجراءات تحديد وضع اللاجئ في منطقة العبور في المطارات، ومن ثم منع طرد ملتمسي اللجوء إلى دول أخرى حيث توجد أسباب وجيهة تدعو إلى الاعتقاد بأنهم سيواجهون خطر</w:t>
      </w:r>
      <w:r w:rsidR="0008344B" w:rsidRPr="003231D2">
        <w:rPr>
          <w:b/>
          <w:bCs/>
          <w:rtl/>
          <w:lang w:val="en-US"/>
        </w:rPr>
        <w:t xml:space="preserve">اً </w:t>
      </w:r>
      <w:r w:rsidRPr="003231D2">
        <w:rPr>
          <w:b/>
          <w:bCs/>
          <w:rtl/>
          <w:lang w:val="en-US"/>
        </w:rPr>
        <w:t>شخصي</w:t>
      </w:r>
      <w:r w:rsidR="0008344B" w:rsidRPr="003231D2">
        <w:rPr>
          <w:b/>
          <w:bCs/>
          <w:rtl/>
          <w:lang w:val="en-US"/>
        </w:rPr>
        <w:t xml:space="preserve">اً </w:t>
      </w:r>
      <w:r w:rsidRPr="003231D2">
        <w:rPr>
          <w:b/>
          <w:bCs/>
          <w:rtl/>
          <w:lang w:val="en-US"/>
        </w:rPr>
        <w:t>ومتوقع</w:t>
      </w:r>
      <w:r w:rsidR="0008344B" w:rsidRPr="003231D2">
        <w:rPr>
          <w:b/>
          <w:bCs/>
          <w:rtl/>
          <w:lang w:val="en-US"/>
        </w:rPr>
        <w:t xml:space="preserve">اً </w:t>
      </w:r>
      <w:r w:rsidRPr="003231D2">
        <w:rPr>
          <w:b/>
          <w:bCs/>
          <w:rtl/>
          <w:lang w:val="en-US"/>
        </w:rPr>
        <w:t>بأن يتعرضوا للتعذيب.</w:t>
      </w:r>
    </w:p>
    <w:p w14:paraId="49320BD6" w14:textId="77777777" w:rsidR="008E4FF5" w:rsidRPr="003231D2" w:rsidRDefault="008E4FF5" w:rsidP="008E4FF5">
      <w:pPr>
        <w:pStyle w:val="H23GA"/>
      </w:pPr>
      <w:r w:rsidRPr="003231D2">
        <w:rPr>
          <w:rtl/>
        </w:rPr>
        <w:tab/>
      </w:r>
      <w:r w:rsidRPr="003231D2">
        <w:rPr>
          <w:rtl/>
        </w:rPr>
        <w:tab/>
        <w:t xml:space="preserve">المدافعات والمدافعون عن حقوق الإنسان وقادة الحركات الاجتماعية والصحفيون </w:t>
      </w:r>
    </w:p>
    <w:p w14:paraId="1FFCF7EC" w14:textId="1262F8D5" w:rsidR="008E4FF5" w:rsidRPr="006B049C" w:rsidRDefault="008E4FF5" w:rsidP="008E4FF5">
      <w:pPr>
        <w:pStyle w:val="SingleTxtGA"/>
        <w:rPr>
          <w:spacing w:val="2"/>
          <w:lang w:val="en-US"/>
        </w:rPr>
      </w:pPr>
      <w:r w:rsidRPr="006B049C">
        <w:rPr>
          <w:spacing w:val="2"/>
          <w:rtl/>
          <w:lang w:val="en-US"/>
        </w:rPr>
        <w:t>36-</w:t>
      </w:r>
      <w:r w:rsidRPr="006B049C">
        <w:rPr>
          <w:spacing w:val="2"/>
          <w:rtl/>
          <w:lang w:val="en-US"/>
        </w:rPr>
        <w:tab/>
        <w:t xml:space="preserve">تلاحظ اللجنة الجهود المبذولة لوضع سياسة شاملة للحماية من المخاطر التي </w:t>
      </w:r>
      <w:proofErr w:type="spellStart"/>
      <w:r w:rsidRPr="006B049C">
        <w:rPr>
          <w:spacing w:val="2"/>
          <w:rtl/>
          <w:lang w:val="en-US"/>
        </w:rPr>
        <w:t>يواجهها</w:t>
      </w:r>
      <w:proofErr w:type="spellEnd"/>
      <w:r w:rsidRPr="006B049C">
        <w:rPr>
          <w:spacing w:val="2"/>
          <w:rtl/>
          <w:lang w:val="en-US"/>
        </w:rPr>
        <w:t xml:space="preserve"> هؤلاء الأشخاص والوقاية منها، فضل</w:t>
      </w:r>
      <w:r w:rsidR="0008344B" w:rsidRPr="006B049C">
        <w:rPr>
          <w:spacing w:val="2"/>
          <w:rtl/>
          <w:lang w:val="en-US"/>
        </w:rPr>
        <w:t xml:space="preserve">اً </w:t>
      </w:r>
      <w:r w:rsidRPr="006B049C">
        <w:rPr>
          <w:spacing w:val="2"/>
          <w:rtl/>
          <w:lang w:val="en-US"/>
        </w:rPr>
        <w:t>عن الخطط الرامية إلى إعادة هيكلة وحدة الحماية الوطنية التابعة لوزارة الداخلية، لكنها تشعر بقلق بالغ إزاء ارتفاع عدد حالات القتل والاعتداءات والتهديدات والمراقبة وغيرها من أعمال الترهيب المرتكبة ضد المدافعات والمدافعين عن حقوق الإنسان، وقادة الحركات الاجتماعية والشعوب الأصلية والكولومبيين المنحدرين من أصل أفريقي والصحفيين، وعدم إحراز تقدم يُذكر في إجراء تحقيقات فعالة</w:t>
      </w:r>
      <w:r w:rsidR="00A1027B" w:rsidRPr="006B049C">
        <w:rPr>
          <w:rStyle w:val="FootnoteReference"/>
          <w:spacing w:val="2"/>
          <w:rtl/>
        </w:rPr>
        <w:t>(</w:t>
      </w:r>
      <w:r w:rsidR="00A1027B" w:rsidRPr="006B049C">
        <w:rPr>
          <w:rStyle w:val="FootnoteReference"/>
          <w:spacing w:val="2"/>
          <w:lang w:val="en-AU"/>
        </w:rPr>
        <w:footnoteReference w:id="36"/>
      </w:r>
      <w:r w:rsidRPr="006B049C">
        <w:rPr>
          <w:spacing w:val="2"/>
          <w:vertAlign w:val="superscript"/>
          <w:rtl/>
          <w:lang w:val="en-US"/>
        </w:rPr>
        <w:t>)</w:t>
      </w:r>
      <w:r w:rsidRPr="006B049C">
        <w:rPr>
          <w:spacing w:val="2"/>
          <w:rtl/>
          <w:lang w:val="en-US"/>
        </w:rPr>
        <w:t xml:space="preserve"> (المواد 2 و12 و13 و1</w:t>
      </w:r>
      <w:r w:rsidR="00A1027B" w:rsidRPr="006B049C">
        <w:rPr>
          <w:spacing w:val="2"/>
          <w:rtl/>
          <w:lang w:val="en-US"/>
        </w:rPr>
        <w:t xml:space="preserve">6). </w:t>
      </w:r>
    </w:p>
    <w:p w14:paraId="46BFD0C8" w14:textId="76D03990" w:rsidR="008E4FF5" w:rsidRPr="003231D2" w:rsidRDefault="008E4FF5" w:rsidP="008E4FF5">
      <w:pPr>
        <w:pStyle w:val="SingleTxtGA"/>
        <w:rPr>
          <w:b/>
          <w:bCs/>
          <w:lang w:val="en-US"/>
        </w:rPr>
      </w:pPr>
      <w:r w:rsidRPr="003231D2">
        <w:rPr>
          <w:rtl/>
          <w:lang w:val="en-US"/>
        </w:rPr>
        <w:lastRenderedPageBreak/>
        <w:t>37</w:t>
      </w:r>
      <w:r w:rsidRPr="008E4FF5">
        <w:rPr>
          <w:rtl/>
          <w:lang w:val="en-US"/>
        </w:rPr>
        <w:t>-</w:t>
      </w:r>
      <w:r w:rsidRPr="003231D2">
        <w:rPr>
          <w:b/>
          <w:bCs/>
          <w:rtl/>
          <w:lang w:val="en-US"/>
        </w:rPr>
        <w:tab/>
        <w:t>تحث اللجنة الدولة الطرف على ضمان تمكين المدافعات والمدافعين عن حقوق الإنسان وقائدات وقادة الحركات الاجتماعية والصحفيين من الاضطلاع بعملهم وأنشطتهم بحرية، دون خوف من الانتقام أو الاعتداء عليهم. وينبغي للدولة الطرف، بوجه خاص، أن تكفل تزويد آليات الحماية المختصة بالموارد البشرية والمادية اللازمة لتعمل على نحو سليم، وتنفذ تدابير الحماية بفعالية. وينبغي لها أيض</w:t>
      </w:r>
      <w:r w:rsidR="0008344B" w:rsidRPr="003231D2">
        <w:rPr>
          <w:b/>
          <w:bCs/>
          <w:rtl/>
          <w:lang w:val="en-US"/>
        </w:rPr>
        <w:t xml:space="preserve">اً </w:t>
      </w:r>
      <w:r w:rsidRPr="003231D2">
        <w:rPr>
          <w:b/>
          <w:bCs/>
          <w:rtl/>
          <w:lang w:val="en-US"/>
        </w:rPr>
        <w:t>أن تمضي قدم</w:t>
      </w:r>
      <w:r w:rsidR="0008344B" w:rsidRPr="003231D2">
        <w:rPr>
          <w:b/>
          <w:bCs/>
          <w:rtl/>
          <w:lang w:val="en-US"/>
        </w:rPr>
        <w:t xml:space="preserve">اً </w:t>
      </w:r>
      <w:r w:rsidRPr="003231D2">
        <w:rPr>
          <w:b/>
          <w:bCs/>
          <w:rtl/>
          <w:lang w:val="en-US"/>
        </w:rPr>
        <w:t>في تحقيقاتها بشأن عمليات القتل والاعتداءات والمضايقات التي يتعرض لها المدافعون عن حقوق الإنسان وقادة الحركات الاجتماعية والصحفيون، وأن تضمن مقاضاة الجناة المزعومين ومعاقبتهم حسب الأصول في حال إدانتهم، ومنح تعويضات للضحايا أو لأُسَرهم.</w:t>
      </w:r>
    </w:p>
    <w:p w14:paraId="47B95D66" w14:textId="77777777" w:rsidR="008E4FF5" w:rsidRPr="003231D2" w:rsidRDefault="008E4FF5" w:rsidP="008E4FF5">
      <w:pPr>
        <w:pStyle w:val="H23GA"/>
      </w:pPr>
      <w:r w:rsidRPr="003231D2">
        <w:rPr>
          <w:rtl/>
        </w:rPr>
        <w:tab/>
      </w:r>
      <w:r w:rsidRPr="003231D2">
        <w:rPr>
          <w:rtl/>
        </w:rPr>
        <w:tab/>
        <w:t>إجراءات المتابعة</w:t>
      </w:r>
    </w:p>
    <w:p w14:paraId="2D40FC9B" w14:textId="041DB729" w:rsidR="008E4FF5" w:rsidRPr="003231D2" w:rsidRDefault="008E4FF5" w:rsidP="008E4FF5">
      <w:pPr>
        <w:pStyle w:val="SingleTxtGA"/>
        <w:rPr>
          <w:b/>
          <w:bCs/>
          <w:lang w:val="en-US"/>
        </w:rPr>
      </w:pPr>
      <w:r w:rsidRPr="003231D2">
        <w:rPr>
          <w:rtl/>
          <w:lang w:val="en-US"/>
        </w:rPr>
        <w:t>38</w:t>
      </w:r>
      <w:r w:rsidRPr="008E4FF5">
        <w:rPr>
          <w:rtl/>
          <w:lang w:val="en-US"/>
        </w:rPr>
        <w:t>-</w:t>
      </w:r>
      <w:r w:rsidRPr="008E4FF5">
        <w:rPr>
          <w:rtl/>
          <w:lang w:val="en-US"/>
        </w:rPr>
        <w:tab/>
      </w:r>
      <w:r w:rsidRPr="003231D2">
        <w:rPr>
          <w:b/>
          <w:bCs/>
          <w:rtl/>
          <w:lang w:val="en-US"/>
        </w:rPr>
        <w:t>تطلب اللجنة إلى الدولة الطرف أن تزودها بحلول 12 أيار/مايو 2024 بمعلومات عن استجابتها</w:t>
      </w:r>
      <w:r w:rsidRPr="003231D2">
        <w:rPr>
          <w:b/>
          <w:bCs/>
          <w:rtl/>
          <w:lang w:val="en-US"/>
        </w:rPr>
        <w:t xml:space="preserve"> </w:t>
      </w:r>
      <w:r w:rsidRPr="003231D2">
        <w:rPr>
          <w:b/>
          <w:bCs/>
          <w:rtl/>
          <w:lang w:val="en-US"/>
        </w:rPr>
        <w:t>لتوصيات اللجنة المقدمة بشأن رد الدولة الطرف على أعمال العنف المرتكبة في سياق النزاع المسلح والجريمة، وظروف الاحتجاز، ورصد أماكن الاحتجاز، والاعتداءات التي يتعرض لها المدافعات والمدافعون عن حقوق الإنسان، وقادة الحركات الاجتماعية والصحفيون (انظر الفقرات 19(أ)</w:t>
      </w:r>
      <w:r w:rsidRPr="003231D2">
        <w:rPr>
          <w:b/>
          <w:bCs/>
          <w:rtl/>
          <w:lang w:val="en-US"/>
        </w:rPr>
        <w:t xml:space="preserve"> و</w:t>
      </w:r>
      <w:r w:rsidRPr="003231D2">
        <w:rPr>
          <w:b/>
          <w:bCs/>
          <w:rtl/>
          <w:lang w:val="en-US"/>
        </w:rPr>
        <w:t>25(أ)</w:t>
      </w:r>
      <w:r w:rsidRPr="003231D2">
        <w:rPr>
          <w:b/>
          <w:bCs/>
          <w:rtl/>
          <w:lang w:val="en-US"/>
        </w:rPr>
        <w:t xml:space="preserve"> و</w:t>
      </w:r>
      <w:r w:rsidRPr="003231D2">
        <w:rPr>
          <w:b/>
          <w:bCs/>
          <w:rtl/>
          <w:lang w:val="en-US"/>
        </w:rPr>
        <w:t>33</w:t>
      </w:r>
      <w:r w:rsidRPr="003231D2">
        <w:rPr>
          <w:b/>
          <w:bCs/>
          <w:rtl/>
          <w:lang w:val="en-US"/>
        </w:rPr>
        <w:t xml:space="preserve"> و</w:t>
      </w:r>
      <w:r w:rsidRPr="003231D2">
        <w:rPr>
          <w:b/>
          <w:bCs/>
          <w:rtl/>
          <w:lang w:val="en-US"/>
        </w:rPr>
        <w:t>3</w:t>
      </w:r>
      <w:r w:rsidR="00A1027B" w:rsidRPr="003231D2">
        <w:rPr>
          <w:b/>
          <w:bCs/>
          <w:rtl/>
          <w:lang w:val="en-US"/>
        </w:rPr>
        <w:t xml:space="preserve">7). </w:t>
      </w:r>
      <w:r w:rsidRPr="003231D2">
        <w:rPr>
          <w:b/>
          <w:bCs/>
          <w:rtl/>
          <w:lang w:val="en-US"/>
        </w:rPr>
        <w:t>والدولة الطرف مدعوة إلى إبلاغ اللجنة بالخطوات التي تعتزم اتخاذها، من الآن وحتى تقديم تقريرها المقبل، لتنفيذ بعض أو كل التوصيات الأخرى الواردة في هذه الملاحظات الختامية.</w:t>
      </w:r>
    </w:p>
    <w:p w14:paraId="31278506" w14:textId="77777777" w:rsidR="008E4FF5" w:rsidRPr="003231D2" w:rsidRDefault="008E4FF5" w:rsidP="008E4FF5">
      <w:pPr>
        <w:pStyle w:val="H23GA"/>
      </w:pPr>
      <w:r w:rsidRPr="003231D2">
        <w:rPr>
          <w:rtl/>
        </w:rPr>
        <w:tab/>
      </w:r>
      <w:r w:rsidRPr="003231D2">
        <w:rPr>
          <w:rtl/>
        </w:rPr>
        <w:tab/>
        <w:t>مسائل أخرى</w:t>
      </w:r>
    </w:p>
    <w:p w14:paraId="5427124B" w14:textId="77777777" w:rsidR="008E4FF5" w:rsidRPr="003231D2" w:rsidRDefault="008E4FF5" w:rsidP="008E4FF5">
      <w:pPr>
        <w:pStyle w:val="SingleTxtGA"/>
        <w:rPr>
          <w:b/>
          <w:bCs/>
          <w:lang w:val="en-US"/>
        </w:rPr>
      </w:pPr>
      <w:r w:rsidRPr="003231D2">
        <w:rPr>
          <w:rtl/>
          <w:lang w:val="en-US"/>
        </w:rPr>
        <w:t>39</w:t>
      </w:r>
      <w:r w:rsidRPr="008E4FF5">
        <w:rPr>
          <w:rtl/>
          <w:lang w:val="en-US"/>
        </w:rPr>
        <w:t>-</w:t>
      </w:r>
      <w:r w:rsidRPr="008E4FF5">
        <w:rPr>
          <w:rtl/>
          <w:lang w:val="en-US"/>
        </w:rPr>
        <w:tab/>
      </w:r>
      <w:r w:rsidRPr="003231D2">
        <w:rPr>
          <w:b/>
          <w:bCs/>
          <w:rtl/>
          <w:lang w:val="en-US"/>
        </w:rPr>
        <w:t>تشجّع اللجنة الدولة الطرف على النظر في إصدار الإعلان المنصوص عليه في المادة 22 من الاتفاقية، ومن ثم الاعتراف باختصاص اللجنة في تلقي البلاغات الواردة من الأفراد الخاضعين لولايتها القضائية والنظر فيها.</w:t>
      </w:r>
    </w:p>
    <w:p w14:paraId="79F59C49" w14:textId="77777777" w:rsidR="008E4FF5" w:rsidRPr="003231D2" w:rsidRDefault="008E4FF5" w:rsidP="008E4FF5">
      <w:pPr>
        <w:pStyle w:val="SingleTxtGA"/>
        <w:rPr>
          <w:b/>
          <w:bCs/>
          <w:lang w:val="en-US"/>
        </w:rPr>
      </w:pPr>
      <w:r w:rsidRPr="003231D2">
        <w:rPr>
          <w:rtl/>
          <w:lang w:val="en-US"/>
        </w:rPr>
        <w:t>40</w:t>
      </w:r>
      <w:r w:rsidRPr="008E4FF5">
        <w:rPr>
          <w:rtl/>
          <w:lang w:val="en-US"/>
        </w:rPr>
        <w:t>-</w:t>
      </w:r>
      <w:r w:rsidRPr="008E4FF5">
        <w:rPr>
          <w:rtl/>
          <w:lang w:val="en-US"/>
        </w:rPr>
        <w:tab/>
      </w:r>
      <w:r w:rsidRPr="003231D2">
        <w:rPr>
          <w:b/>
          <w:bCs/>
          <w:rtl/>
          <w:lang w:val="en-US"/>
        </w:rPr>
        <w:t>وتطلب اللجنة إلى الدولة الطرف أن تنشر على نطاق واسع تقريرها الذي قدَّمته إليها وهذه الملاحظات الختامية، باللغات المناسبة، وذلك من طريق المواقع الرسمية على الإنترنت، ووسائط الإعلام والمنظمات غير الحكومية، وأن تُبلغ اللجنةَ بأنشطتها في هذا الصدد.</w:t>
      </w:r>
    </w:p>
    <w:p w14:paraId="5E79A2F0" w14:textId="18C68ADC" w:rsidR="008E4FF5" w:rsidRPr="003231D2" w:rsidRDefault="008E4FF5" w:rsidP="008E4FF5">
      <w:pPr>
        <w:pStyle w:val="SingleTxtGA"/>
        <w:rPr>
          <w:b/>
          <w:bCs/>
          <w:lang w:val="en-US"/>
        </w:rPr>
      </w:pPr>
      <w:r w:rsidRPr="003231D2">
        <w:rPr>
          <w:rtl/>
          <w:lang w:val="en-US"/>
        </w:rPr>
        <w:t>41</w:t>
      </w:r>
      <w:r w:rsidRPr="008E4FF5">
        <w:rPr>
          <w:rtl/>
          <w:lang w:val="en-US"/>
        </w:rPr>
        <w:t>-</w:t>
      </w:r>
      <w:r w:rsidRPr="008E4FF5">
        <w:rPr>
          <w:rtl/>
          <w:lang w:val="en-US"/>
        </w:rPr>
        <w:tab/>
      </w:r>
      <w:r w:rsidRPr="003231D2">
        <w:rPr>
          <w:b/>
          <w:bCs/>
          <w:rtl/>
          <w:lang w:val="en-US"/>
        </w:rPr>
        <w:t>وتطلب اللجنة إلى الدولة الطرف أن تقدّم تقريرها الدوري المقبل، الذي سيكون تقريرها السابع، بحلول 12 أيار/مايو 202</w:t>
      </w:r>
      <w:r w:rsidR="00A1027B" w:rsidRPr="003231D2">
        <w:rPr>
          <w:b/>
          <w:bCs/>
          <w:rtl/>
          <w:lang w:val="en-US"/>
        </w:rPr>
        <w:t xml:space="preserve">7. </w:t>
      </w:r>
      <w:r w:rsidRPr="003231D2">
        <w:rPr>
          <w:b/>
          <w:bCs/>
          <w:rtl/>
          <w:lang w:val="en-US"/>
        </w:rPr>
        <w:t>وتحقيق</w:t>
      </w:r>
      <w:r w:rsidR="0008344B" w:rsidRPr="003231D2">
        <w:rPr>
          <w:b/>
          <w:bCs/>
          <w:rtl/>
          <w:lang w:val="en-US"/>
        </w:rPr>
        <w:t xml:space="preserve">اً </w:t>
      </w:r>
      <w:r w:rsidRPr="003231D2">
        <w:rPr>
          <w:b/>
          <w:bCs/>
          <w:rtl/>
          <w:lang w:val="en-US"/>
        </w:rPr>
        <w:t>لهذه الغاية، وبالنظر إلى أن الدولة الطرف وافقت على إعداد تقريرها المقدم إلى اللجنة عمل</w:t>
      </w:r>
      <w:r w:rsidR="0008344B" w:rsidRPr="003231D2">
        <w:rPr>
          <w:b/>
          <w:bCs/>
          <w:rtl/>
          <w:lang w:val="en-US"/>
        </w:rPr>
        <w:t xml:space="preserve">اً </w:t>
      </w:r>
      <w:r w:rsidRPr="003231D2">
        <w:rPr>
          <w:b/>
          <w:bCs/>
          <w:rtl/>
          <w:lang w:val="en-US"/>
        </w:rPr>
        <w:t>بالإجراء المبسط، ستحيل اللجنة إليها قائمة المسائل المحالة قبل تقديم التقرير في الوقت المناسب. وستشكل ردود الدولة الطرف على قائمة المسائل هذه تقريرها الدوري السابع بموجب المادة 19 من الاتفاقية.</w:t>
      </w:r>
    </w:p>
    <w:p w14:paraId="3104050E" w14:textId="0242AD9A" w:rsidR="008E4FF5" w:rsidRPr="008E4FF5" w:rsidRDefault="008E4FF5" w:rsidP="008E4FF5">
      <w:pPr>
        <w:pStyle w:val="SingleTxtGA"/>
        <w:jc w:val="center"/>
        <w:rPr>
          <w:u w:val="single"/>
          <w:rtl/>
        </w:rPr>
      </w:pPr>
      <w:r>
        <w:rPr>
          <w:u w:val="single"/>
          <w:rtl/>
        </w:rPr>
        <w:tab/>
      </w:r>
      <w:r>
        <w:rPr>
          <w:u w:val="single"/>
          <w:rtl/>
        </w:rPr>
        <w:tab/>
      </w:r>
      <w:r>
        <w:rPr>
          <w:u w:val="single"/>
          <w:rtl/>
        </w:rPr>
        <w:tab/>
      </w:r>
    </w:p>
    <w:sectPr w:rsidR="008E4FF5" w:rsidRPr="008E4FF5" w:rsidSect="00846A68">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C98F16" w14:textId="77777777" w:rsidR="00465BB7" w:rsidRPr="002901D9" w:rsidRDefault="00465BB7" w:rsidP="00874514">
      <w:pPr>
        <w:spacing w:after="60" w:line="240" w:lineRule="auto"/>
        <w:ind w:left="57"/>
        <w:rPr>
          <w:i/>
          <w:iCs/>
        </w:rPr>
      </w:pPr>
      <w:r>
        <w:rPr>
          <w:rFonts w:hint="cs"/>
          <w:i/>
          <w:iCs/>
          <w:rtl/>
        </w:rPr>
        <w:t>الحواشي</w:t>
      </w:r>
    </w:p>
  </w:endnote>
  <w:endnote w:type="continuationSeparator" w:id="0">
    <w:p w14:paraId="2FF270DB" w14:textId="77777777" w:rsidR="00465BB7" w:rsidRDefault="00465BB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6499C" w14:textId="266C2E87" w:rsidR="00F13DE3" w:rsidRPr="00F13DE3" w:rsidRDefault="00F13DE3" w:rsidP="00F13DE3">
    <w:pPr>
      <w:pStyle w:val="Footer"/>
      <w:tabs>
        <w:tab w:val="right" w:pos="9638"/>
      </w:tabs>
      <w:rPr>
        <w:b/>
        <w:sz w:val="18"/>
        <w:lang w:val="en-US"/>
      </w:rPr>
    </w:pPr>
    <w:r>
      <w:rPr>
        <w:lang w:val="en-US"/>
      </w:rPr>
      <w:t>GE.23-09415</w:t>
    </w:r>
    <w:r>
      <w:rPr>
        <w:lang w:val="en-US"/>
      </w:rPr>
      <w:tab/>
    </w:r>
    <w:r w:rsidRPr="00F13DE3">
      <w:rPr>
        <w:b/>
        <w:sz w:val="18"/>
        <w:lang w:val="en-US"/>
      </w:rPr>
      <w:fldChar w:fldCharType="begin"/>
    </w:r>
    <w:r w:rsidRPr="00F13DE3">
      <w:rPr>
        <w:b/>
        <w:sz w:val="18"/>
        <w:lang w:val="en-US"/>
      </w:rPr>
      <w:instrText xml:space="preserve"> PAGE  \* MERGEFORMAT </w:instrText>
    </w:r>
    <w:r w:rsidRPr="00F13DE3">
      <w:rPr>
        <w:b/>
        <w:sz w:val="18"/>
        <w:lang w:val="en-US"/>
      </w:rPr>
      <w:fldChar w:fldCharType="separate"/>
    </w:r>
    <w:r w:rsidRPr="00F13DE3">
      <w:rPr>
        <w:b/>
        <w:noProof/>
        <w:sz w:val="18"/>
        <w:lang w:val="en-US"/>
      </w:rPr>
      <w:t>2</w:t>
    </w:r>
    <w:r w:rsidRPr="00F13DE3">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AC42A" w14:textId="5A546AFB" w:rsidR="006959B0" w:rsidRPr="00F13DE3" w:rsidRDefault="00F13DE3" w:rsidP="00F13DE3">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GE.23-09415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6AFD9C" w14:textId="732179E0" w:rsidR="00261289" w:rsidRPr="00F13DE3" w:rsidRDefault="00F13DE3" w:rsidP="00F13DE3">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63FC3F6E" wp14:editId="579571A9">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23-09415 (A)</w:t>
    </w:r>
    <w:r>
      <w:rPr>
        <w:noProof/>
        <w:sz w:val="20"/>
        <w:lang w:val="en-US"/>
      </w:rPr>
      <w:drawing>
        <wp:anchor distT="0" distB="0" distL="114300" distR="114300" simplePos="0" relativeHeight="251659264" behindDoc="0" locked="0" layoutInCell="1" allowOverlap="1" wp14:anchorId="6F857779" wp14:editId="025E2523">
          <wp:simplePos x="0" y="0"/>
          <wp:positionH relativeFrom="margin">
            <wp:posOffset>0</wp:posOffset>
          </wp:positionH>
          <wp:positionV relativeFrom="margin">
            <wp:posOffset>8891905</wp:posOffset>
          </wp:positionV>
          <wp:extent cx="561975" cy="561975"/>
          <wp:effectExtent l="0" t="0" r="9525" b="9525"/>
          <wp:wrapNone/>
          <wp:docPr id="30294470"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94470"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08341" w14:textId="77777777" w:rsidR="00465BB7" w:rsidRPr="00C111C6" w:rsidRDefault="00465BB7"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6FEABD0" w14:textId="77777777" w:rsidR="00465BB7" w:rsidRDefault="00465BB7" w:rsidP="00656392">
      <w:pPr>
        <w:spacing w:line="240" w:lineRule="auto"/>
      </w:pPr>
      <w:r>
        <w:continuationSeparator/>
      </w:r>
    </w:p>
  </w:footnote>
  <w:footnote w:id="1">
    <w:p w14:paraId="1337D346" w14:textId="27B72A33" w:rsidR="008E4FF5" w:rsidRPr="008E4FF5" w:rsidRDefault="008E4FF5" w:rsidP="008E4FF5">
      <w:pPr>
        <w:pStyle w:val="FootnoteText1"/>
        <w:rPr>
          <w:rFonts w:hint="cs"/>
        </w:rPr>
      </w:pPr>
      <w:r>
        <w:rPr>
          <w:rtl/>
        </w:rPr>
        <w:t>*</w:t>
      </w:r>
      <w:r>
        <w:rPr>
          <w:rtl/>
        </w:rPr>
        <w:tab/>
      </w:r>
      <w:r w:rsidRPr="008E4FF5">
        <w:rPr>
          <w:rtl/>
        </w:rPr>
        <w:t>اعتمدتها اللجنة في دورتها السادسة والسبعين (</w:t>
      </w:r>
      <w:r w:rsidRPr="003231D2">
        <w:rPr>
          <w:rtl/>
        </w:rPr>
        <w:t>17</w:t>
      </w:r>
      <w:r w:rsidRPr="008E4FF5">
        <w:rPr>
          <w:rtl/>
        </w:rPr>
        <w:t xml:space="preserve"> نيسان/أبريل - </w:t>
      </w:r>
      <w:r w:rsidRPr="003231D2">
        <w:rPr>
          <w:rtl/>
        </w:rPr>
        <w:t>12</w:t>
      </w:r>
      <w:r w:rsidRPr="008E4FF5">
        <w:rPr>
          <w:rtl/>
        </w:rPr>
        <w:t xml:space="preserve"> أيار/مايو </w:t>
      </w:r>
      <w:r w:rsidRPr="003231D2">
        <w:rPr>
          <w:rtl/>
        </w:rPr>
        <w:t>2023</w:t>
      </w:r>
      <w:r w:rsidRPr="008E4FF5">
        <w:rPr>
          <w:rtl/>
        </w:rPr>
        <w:t>).</w:t>
      </w:r>
    </w:p>
  </w:footnote>
  <w:footnote w:id="2">
    <w:p w14:paraId="7FF26718" w14:textId="77777777" w:rsidR="00A1027B" w:rsidRPr="008E4FF5" w:rsidRDefault="00A1027B" w:rsidP="00A1027B">
      <w:pPr>
        <w:pStyle w:val="FootnoteText1"/>
        <w:textDirection w:val="tbRlV"/>
      </w:pPr>
      <w:r>
        <w:rPr>
          <w:rtl/>
        </w:rPr>
        <w:t>(</w:t>
      </w:r>
      <w:r w:rsidRPr="003231D2">
        <w:rPr>
          <w:lang w:val="en-AU"/>
        </w:rPr>
        <w:footnoteRef/>
      </w:r>
      <w:r>
        <w:rPr>
          <w:rtl/>
        </w:rPr>
        <w:t>)</w:t>
      </w:r>
      <w:r w:rsidRPr="008E4FF5">
        <w:rPr>
          <w:rtl/>
        </w:rPr>
        <w:tab/>
      </w:r>
      <w:hyperlink r:id="rId1" w:history="1">
        <w:r w:rsidRPr="00A1027B">
          <w:rPr>
            <w:rStyle w:val="Hyperlink"/>
          </w:rPr>
          <w:t>CAT/C/COL/</w:t>
        </w:r>
        <w:r w:rsidRPr="003231D2">
          <w:rPr>
            <w:rStyle w:val="Hyperlink"/>
          </w:rPr>
          <w:t>6</w:t>
        </w:r>
        <w:r w:rsidRPr="00A1027B">
          <w:rPr>
            <w:rStyle w:val="Hyperlink"/>
            <w:rtl/>
          </w:rPr>
          <w:t>.</w:t>
        </w:r>
      </w:hyperlink>
    </w:p>
  </w:footnote>
  <w:footnote w:id="3">
    <w:p w14:paraId="7767548F" w14:textId="77777777" w:rsidR="00A1027B" w:rsidRPr="008E4FF5" w:rsidRDefault="00A1027B" w:rsidP="00A1027B">
      <w:pPr>
        <w:pStyle w:val="FootnoteText1"/>
        <w:textDirection w:val="tbRlV"/>
      </w:pPr>
      <w:r>
        <w:rPr>
          <w:rtl/>
        </w:rPr>
        <w:t>(</w:t>
      </w:r>
      <w:r w:rsidRPr="003231D2">
        <w:rPr>
          <w:lang w:val="en-AU"/>
        </w:rPr>
        <w:footnoteRef/>
      </w:r>
      <w:r>
        <w:rPr>
          <w:rtl/>
        </w:rPr>
        <w:t>)</w:t>
      </w:r>
      <w:r w:rsidRPr="008E4FF5">
        <w:rPr>
          <w:rtl/>
        </w:rPr>
        <w:tab/>
        <w:t xml:space="preserve">انظر </w:t>
      </w:r>
      <w:hyperlink r:id="rId2" w:history="1">
        <w:r w:rsidRPr="00A1027B">
          <w:rPr>
            <w:rStyle w:val="Hyperlink"/>
          </w:rPr>
          <w:t>CAT/C/SR.</w:t>
        </w:r>
        <w:r w:rsidRPr="003231D2">
          <w:rPr>
            <w:rStyle w:val="Hyperlink"/>
          </w:rPr>
          <w:t>1978</w:t>
        </w:r>
      </w:hyperlink>
      <w:r w:rsidRPr="008E4FF5">
        <w:rPr>
          <w:rtl/>
        </w:rPr>
        <w:t xml:space="preserve"> و</w:t>
      </w:r>
      <w:hyperlink r:id="rId3" w:history="1">
        <w:r w:rsidRPr="00A1027B">
          <w:rPr>
            <w:rStyle w:val="Hyperlink"/>
          </w:rPr>
          <w:t>CAT/C/SR.</w:t>
        </w:r>
        <w:r w:rsidRPr="003231D2">
          <w:rPr>
            <w:rStyle w:val="Hyperlink"/>
          </w:rPr>
          <w:t>1981</w:t>
        </w:r>
        <w:r w:rsidRPr="00A1027B">
          <w:rPr>
            <w:rStyle w:val="Hyperlink"/>
            <w:rtl/>
          </w:rPr>
          <w:t>.</w:t>
        </w:r>
      </w:hyperlink>
    </w:p>
  </w:footnote>
  <w:footnote w:id="4">
    <w:p w14:paraId="68E26888" w14:textId="77777777" w:rsidR="00A1027B" w:rsidRPr="008E4FF5" w:rsidRDefault="00A1027B" w:rsidP="00A1027B">
      <w:pPr>
        <w:pStyle w:val="FootnoteText1"/>
        <w:textDirection w:val="tbRlV"/>
      </w:pPr>
      <w:r>
        <w:rPr>
          <w:rtl/>
        </w:rPr>
        <w:t>(</w:t>
      </w:r>
      <w:r w:rsidRPr="003231D2">
        <w:rPr>
          <w:lang w:val="en-AU"/>
        </w:rPr>
        <w:footnoteRef/>
      </w:r>
      <w:r>
        <w:rPr>
          <w:rtl/>
        </w:rPr>
        <w:t>)</w:t>
      </w:r>
      <w:r w:rsidRPr="008E4FF5">
        <w:rPr>
          <w:rtl/>
        </w:rPr>
        <w:tab/>
      </w:r>
      <w:hyperlink r:id="rId4" w:history="1">
        <w:r w:rsidRPr="00A1027B">
          <w:rPr>
            <w:rStyle w:val="Hyperlink"/>
          </w:rPr>
          <w:t>CAT/C/COL/CO/</w:t>
        </w:r>
        <w:r w:rsidRPr="003231D2">
          <w:rPr>
            <w:rStyle w:val="Hyperlink"/>
          </w:rPr>
          <w:t>5</w:t>
        </w:r>
      </w:hyperlink>
      <w:r w:rsidRPr="008E4FF5">
        <w:rPr>
          <w:rtl/>
        </w:rPr>
        <w:t xml:space="preserve">، الفقرة </w:t>
      </w:r>
      <w:r w:rsidRPr="003231D2">
        <w:rPr>
          <w:rtl/>
        </w:rPr>
        <w:t>28</w:t>
      </w:r>
      <w:r w:rsidRPr="008E4FF5">
        <w:rPr>
          <w:rtl/>
        </w:rPr>
        <w:t>.</w:t>
      </w:r>
    </w:p>
  </w:footnote>
  <w:footnote w:id="5">
    <w:p w14:paraId="270F75D6" w14:textId="77777777" w:rsidR="00A1027B" w:rsidRPr="008E4FF5" w:rsidRDefault="00A1027B" w:rsidP="008E4FF5">
      <w:pPr>
        <w:pStyle w:val="FootnoteText1"/>
        <w:textDirection w:val="tbRlV"/>
      </w:pPr>
      <w:r>
        <w:rPr>
          <w:rtl/>
        </w:rPr>
        <w:t>(</w:t>
      </w:r>
      <w:r w:rsidRPr="003231D2">
        <w:rPr>
          <w:lang w:val="en-AU"/>
        </w:rPr>
        <w:footnoteRef/>
      </w:r>
      <w:r>
        <w:rPr>
          <w:rtl/>
        </w:rPr>
        <w:t>)</w:t>
      </w:r>
      <w:r>
        <w:rPr>
          <w:rtl/>
        </w:rPr>
        <w:tab/>
      </w:r>
      <w:r w:rsidRPr="008E4FF5">
        <w:rPr>
          <w:rtl/>
        </w:rPr>
        <w:t xml:space="preserve">المرجع نفسه، الفقرات </w:t>
      </w:r>
      <w:r w:rsidRPr="003231D2">
        <w:rPr>
          <w:rtl/>
        </w:rPr>
        <w:t>16</w:t>
      </w:r>
      <w:r w:rsidRPr="008E4FF5">
        <w:rPr>
          <w:rtl/>
        </w:rPr>
        <w:t xml:space="preserve"> و</w:t>
      </w:r>
      <w:r w:rsidRPr="003231D2">
        <w:rPr>
          <w:rtl/>
        </w:rPr>
        <w:t>17</w:t>
      </w:r>
      <w:r w:rsidRPr="008E4FF5">
        <w:rPr>
          <w:rtl/>
        </w:rPr>
        <w:t xml:space="preserve"> و</w:t>
      </w:r>
      <w:r w:rsidRPr="003231D2">
        <w:rPr>
          <w:rtl/>
        </w:rPr>
        <w:t>22</w:t>
      </w:r>
      <w:r w:rsidRPr="008E4FF5">
        <w:rPr>
          <w:rtl/>
        </w:rPr>
        <w:t>.</w:t>
      </w:r>
    </w:p>
  </w:footnote>
  <w:footnote w:id="6">
    <w:p w14:paraId="6F3258BA" w14:textId="77777777" w:rsidR="00A1027B" w:rsidRPr="008E4FF5" w:rsidRDefault="00A1027B" w:rsidP="00A1027B">
      <w:pPr>
        <w:pStyle w:val="FootnoteText1"/>
        <w:textDirection w:val="tbRlV"/>
      </w:pPr>
      <w:r>
        <w:rPr>
          <w:rtl/>
        </w:rPr>
        <w:t>(</w:t>
      </w:r>
      <w:r w:rsidRPr="003231D2">
        <w:rPr>
          <w:lang w:val="en-AU"/>
        </w:rPr>
        <w:footnoteRef/>
      </w:r>
      <w:r>
        <w:rPr>
          <w:rtl/>
        </w:rPr>
        <w:t>)</w:t>
      </w:r>
      <w:r>
        <w:rPr>
          <w:rtl/>
        </w:rPr>
        <w:tab/>
      </w:r>
      <w:hyperlink r:id="rId5" w:history="1">
        <w:r w:rsidRPr="00A1027B">
          <w:rPr>
            <w:rStyle w:val="Hyperlink"/>
          </w:rPr>
          <w:t>CAT/C/COL/CO/</w:t>
        </w:r>
        <w:r w:rsidRPr="003231D2">
          <w:rPr>
            <w:rStyle w:val="Hyperlink"/>
          </w:rPr>
          <w:t>5</w:t>
        </w:r>
        <w:r w:rsidRPr="00A1027B">
          <w:rPr>
            <w:rStyle w:val="Hyperlink"/>
          </w:rPr>
          <w:t>/Add.</w:t>
        </w:r>
        <w:r w:rsidRPr="003231D2">
          <w:rPr>
            <w:rStyle w:val="Hyperlink"/>
          </w:rPr>
          <w:t>1</w:t>
        </w:r>
      </w:hyperlink>
      <w:r w:rsidRPr="008E4FF5">
        <w:rPr>
          <w:rtl/>
        </w:rPr>
        <w:t xml:space="preserve">. </w:t>
      </w:r>
    </w:p>
  </w:footnote>
  <w:footnote w:id="7">
    <w:p w14:paraId="1CF3802A" w14:textId="77777777" w:rsidR="00A1027B" w:rsidRPr="008E4FF5" w:rsidRDefault="00A1027B" w:rsidP="00A1027B">
      <w:pPr>
        <w:pStyle w:val="FootnoteText1"/>
        <w:textDirection w:val="tbRlV"/>
      </w:pPr>
      <w:r>
        <w:rPr>
          <w:rtl/>
        </w:rPr>
        <w:t>(</w:t>
      </w:r>
      <w:r w:rsidRPr="003231D2">
        <w:rPr>
          <w:lang w:val="en-AU"/>
        </w:rPr>
        <w:footnoteRef/>
      </w:r>
      <w:r>
        <w:rPr>
          <w:rtl/>
        </w:rPr>
        <w:t>)</w:t>
      </w:r>
      <w:r w:rsidRPr="008E4FF5">
        <w:rPr>
          <w:rtl/>
        </w:rPr>
        <w:tab/>
      </w:r>
      <w:hyperlink r:id="rId6" w:history="1">
        <w:r w:rsidRPr="00A1027B">
          <w:rPr>
            <w:rStyle w:val="Hyperlink"/>
          </w:rPr>
          <w:t>A/HRC/</w:t>
        </w:r>
        <w:r w:rsidRPr="003231D2">
          <w:rPr>
            <w:rStyle w:val="Hyperlink"/>
          </w:rPr>
          <w:t>52</w:t>
        </w:r>
        <w:r w:rsidRPr="00A1027B">
          <w:rPr>
            <w:rStyle w:val="Hyperlink"/>
          </w:rPr>
          <w:t>/</w:t>
        </w:r>
        <w:r w:rsidRPr="003231D2">
          <w:rPr>
            <w:rStyle w:val="Hyperlink"/>
          </w:rPr>
          <w:t>25</w:t>
        </w:r>
        <w:r w:rsidRPr="00A1027B">
          <w:rPr>
            <w:rStyle w:val="Hyperlink"/>
            <w:rtl/>
          </w:rPr>
          <w:t>.</w:t>
        </w:r>
      </w:hyperlink>
    </w:p>
  </w:footnote>
  <w:footnote w:id="8">
    <w:p w14:paraId="2368AB17" w14:textId="77777777" w:rsidR="00A1027B" w:rsidRPr="008E4FF5" w:rsidRDefault="00A1027B" w:rsidP="00A1027B">
      <w:pPr>
        <w:pStyle w:val="FootnoteText1"/>
        <w:textDirection w:val="tbRlV"/>
      </w:pPr>
      <w:r>
        <w:rPr>
          <w:rtl/>
        </w:rPr>
        <w:t>(</w:t>
      </w:r>
      <w:r w:rsidRPr="003231D2">
        <w:rPr>
          <w:lang w:val="en-AU"/>
        </w:rPr>
        <w:footnoteRef/>
      </w:r>
      <w:r>
        <w:rPr>
          <w:rtl/>
        </w:rPr>
        <w:t>)</w:t>
      </w:r>
      <w:r w:rsidRPr="008E4FF5">
        <w:rPr>
          <w:rtl/>
        </w:rPr>
        <w:tab/>
      </w:r>
      <w:hyperlink r:id="rId7" w:history="1">
        <w:r w:rsidRPr="00A1027B">
          <w:rPr>
            <w:rStyle w:val="Hyperlink"/>
          </w:rPr>
          <w:t>CAT/C/COL/</w:t>
        </w:r>
        <w:r w:rsidRPr="003231D2">
          <w:rPr>
            <w:rStyle w:val="Hyperlink"/>
          </w:rPr>
          <w:t>6</w:t>
        </w:r>
      </w:hyperlink>
      <w:r w:rsidRPr="008E4FF5">
        <w:rPr>
          <w:rtl/>
        </w:rPr>
        <w:t xml:space="preserve">، الفقرات </w:t>
      </w:r>
      <w:r w:rsidRPr="003231D2">
        <w:rPr>
          <w:rtl/>
        </w:rPr>
        <w:t>8</w:t>
      </w:r>
      <w:r w:rsidRPr="008E4FF5">
        <w:rPr>
          <w:rtl/>
        </w:rPr>
        <w:t>-</w:t>
      </w:r>
      <w:r w:rsidRPr="003231D2">
        <w:rPr>
          <w:rtl/>
        </w:rPr>
        <w:t>20</w:t>
      </w:r>
      <w:r w:rsidRPr="008E4FF5">
        <w:rPr>
          <w:rtl/>
        </w:rPr>
        <w:t>.</w:t>
      </w:r>
    </w:p>
  </w:footnote>
  <w:footnote w:id="9">
    <w:p w14:paraId="263F6B4E" w14:textId="77777777" w:rsidR="00A1027B" w:rsidRPr="008E4FF5" w:rsidRDefault="00A1027B" w:rsidP="00A1027B">
      <w:pPr>
        <w:pStyle w:val="FootnoteText1"/>
        <w:textDirection w:val="tbRlV"/>
      </w:pPr>
      <w:r>
        <w:rPr>
          <w:rtl/>
        </w:rPr>
        <w:t>(</w:t>
      </w:r>
      <w:r w:rsidRPr="003231D2">
        <w:rPr>
          <w:lang w:val="en-AU"/>
        </w:rPr>
        <w:footnoteRef/>
      </w:r>
      <w:r>
        <w:rPr>
          <w:rtl/>
        </w:rPr>
        <w:t>)</w:t>
      </w:r>
      <w:r w:rsidRPr="008E4FF5">
        <w:rPr>
          <w:rtl/>
        </w:rPr>
        <w:tab/>
      </w:r>
      <w:hyperlink r:id="rId8" w:history="1">
        <w:r w:rsidRPr="00A1027B">
          <w:rPr>
            <w:rStyle w:val="Hyperlink"/>
          </w:rPr>
          <w:t>A/HRC/</w:t>
        </w:r>
        <w:r w:rsidRPr="003231D2">
          <w:rPr>
            <w:rStyle w:val="Hyperlink"/>
          </w:rPr>
          <w:t>49</w:t>
        </w:r>
        <w:r w:rsidRPr="00A1027B">
          <w:rPr>
            <w:rStyle w:val="Hyperlink"/>
          </w:rPr>
          <w:t>/</w:t>
        </w:r>
        <w:r w:rsidRPr="003231D2">
          <w:rPr>
            <w:rStyle w:val="Hyperlink"/>
          </w:rPr>
          <w:t>19</w:t>
        </w:r>
      </w:hyperlink>
      <w:r w:rsidRPr="008E4FF5">
        <w:rPr>
          <w:rtl/>
        </w:rPr>
        <w:t xml:space="preserve">، الفقرة </w:t>
      </w:r>
      <w:r w:rsidRPr="003231D2">
        <w:rPr>
          <w:rtl/>
        </w:rPr>
        <w:t>54</w:t>
      </w:r>
      <w:r w:rsidRPr="008E4FF5">
        <w:rPr>
          <w:rtl/>
        </w:rPr>
        <w:t>.</w:t>
      </w:r>
    </w:p>
  </w:footnote>
  <w:footnote w:id="10">
    <w:p w14:paraId="7D492E5F" w14:textId="77777777" w:rsidR="00A1027B" w:rsidRPr="008E4FF5" w:rsidRDefault="00A1027B" w:rsidP="00A1027B">
      <w:pPr>
        <w:pStyle w:val="FootnoteText1"/>
        <w:textDirection w:val="tbRlV"/>
      </w:pPr>
      <w:r>
        <w:rPr>
          <w:rtl/>
        </w:rPr>
        <w:t>(</w:t>
      </w:r>
      <w:r w:rsidRPr="003231D2">
        <w:rPr>
          <w:lang w:val="en-AU"/>
        </w:rPr>
        <w:footnoteRef/>
      </w:r>
      <w:r>
        <w:rPr>
          <w:rtl/>
        </w:rPr>
        <w:t>)</w:t>
      </w:r>
      <w:r w:rsidRPr="008E4FF5">
        <w:rPr>
          <w:rtl/>
        </w:rPr>
        <w:tab/>
      </w:r>
      <w:hyperlink r:id="rId9" w:history="1">
        <w:r w:rsidRPr="00A1027B">
          <w:rPr>
            <w:rStyle w:val="Hyperlink"/>
          </w:rPr>
          <w:t>A/HRC/</w:t>
        </w:r>
        <w:r w:rsidRPr="003231D2">
          <w:rPr>
            <w:rStyle w:val="Hyperlink"/>
          </w:rPr>
          <w:t>49</w:t>
        </w:r>
        <w:r w:rsidRPr="00A1027B">
          <w:rPr>
            <w:rStyle w:val="Hyperlink"/>
          </w:rPr>
          <w:t>/</w:t>
        </w:r>
        <w:r w:rsidRPr="003231D2">
          <w:rPr>
            <w:rStyle w:val="Hyperlink"/>
          </w:rPr>
          <w:t>19</w:t>
        </w:r>
      </w:hyperlink>
      <w:r w:rsidRPr="008E4FF5">
        <w:rPr>
          <w:rtl/>
        </w:rPr>
        <w:t xml:space="preserve">، الفقرة </w:t>
      </w:r>
      <w:r w:rsidRPr="003231D2">
        <w:rPr>
          <w:rtl/>
        </w:rPr>
        <w:t>37</w:t>
      </w:r>
      <w:r w:rsidRPr="008E4FF5">
        <w:rPr>
          <w:rtl/>
        </w:rPr>
        <w:t>؛</w:t>
      </w:r>
      <w:r>
        <w:rPr>
          <w:rtl/>
        </w:rPr>
        <w:t xml:space="preserve"> و</w:t>
      </w:r>
      <w:hyperlink r:id="rId10" w:history="1">
        <w:r w:rsidRPr="00A1027B">
          <w:rPr>
            <w:rStyle w:val="Hyperlink"/>
          </w:rPr>
          <w:t>A/HRC/</w:t>
        </w:r>
        <w:r w:rsidRPr="003231D2">
          <w:rPr>
            <w:rStyle w:val="Hyperlink"/>
          </w:rPr>
          <w:t>52</w:t>
        </w:r>
        <w:r w:rsidRPr="00A1027B">
          <w:rPr>
            <w:rStyle w:val="Hyperlink"/>
          </w:rPr>
          <w:t>/</w:t>
        </w:r>
        <w:r w:rsidRPr="003231D2">
          <w:rPr>
            <w:rStyle w:val="Hyperlink"/>
          </w:rPr>
          <w:t>25</w:t>
        </w:r>
      </w:hyperlink>
      <w:r w:rsidRPr="00A1027B">
        <w:rPr>
          <w:rtl/>
        </w:rPr>
        <w:t xml:space="preserve">. </w:t>
      </w:r>
    </w:p>
  </w:footnote>
  <w:footnote w:id="11">
    <w:p w14:paraId="376721DC" w14:textId="77777777" w:rsidR="00A1027B" w:rsidRPr="008E4FF5" w:rsidRDefault="00A1027B" w:rsidP="00A1027B">
      <w:pPr>
        <w:pStyle w:val="FootnoteText1"/>
        <w:textDirection w:val="tbRlV"/>
      </w:pPr>
      <w:r>
        <w:rPr>
          <w:rtl/>
        </w:rPr>
        <w:t>(</w:t>
      </w:r>
      <w:r w:rsidRPr="003231D2">
        <w:rPr>
          <w:lang w:val="en-AU"/>
        </w:rPr>
        <w:footnoteRef/>
      </w:r>
      <w:r>
        <w:rPr>
          <w:rtl/>
        </w:rPr>
        <w:t>)</w:t>
      </w:r>
      <w:r w:rsidRPr="008E4FF5">
        <w:rPr>
          <w:rtl/>
        </w:rPr>
        <w:tab/>
      </w:r>
      <w:bookmarkStart w:id="0" w:name="_Hlk153126153"/>
      <w:r w:rsidRPr="00A1027B">
        <w:rPr>
          <w:rStyle w:val="Hyperlink"/>
        </w:rPr>
        <w:fldChar w:fldCharType="begin"/>
      </w:r>
      <w:r w:rsidRPr="00A1027B">
        <w:rPr>
          <w:rStyle w:val="Hyperlink"/>
        </w:rPr>
        <w:instrText>HYPERLINK</w:instrText>
      </w:r>
      <w:r w:rsidRPr="00A1027B">
        <w:rPr>
          <w:rStyle w:val="Hyperlink"/>
          <w:rtl/>
        </w:rPr>
        <w:instrText xml:space="preserve"> "</w:instrText>
      </w:r>
      <w:r w:rsidRPr="00A1027B">
        <w:rPr>
          <w:rStyle w:val="Hyperlink"/>
        </w:rPr>
        <w:instrText>https://undocs.org/ar/A/HRC/52/25</w:instrText>
      </w:r>
      <w:r w:rsidRPr="00A1027B">
        <w:rPr>
          <w:rStyle w:val="Hyperlink"/>
          <w:rtl/>
        </w:rPr>
        <w:instrText>."</w:instrText>
      </w:r>
      <w:r w:rsidRPr="00A1027B">
        <w:rPr>
          <w:rStyle w:val="Hyperlink"/>
        </w:rPr>
      </w:r>
      <w:r w:rsidRPr="00A1027B">
        <w:rPr>
          <w:rStyle w:val="Hyperlink"/>
        </w:rPr>
        <w:fldChar w:fldCharType="separate"/>
      </w:r>
      <w:r w:rsidRPr="00A1027B">
        <w:rPr>
          <w:rStyle w:val="Hyperlink"/>
        </w:rPr>
        <w:t>A/HRC/</w:t>
      </w:r>
      <w:r w:rsidRPr="003231D2">
        <w:rPr>
          <w:rStyle w:val="Hyperlink"/>
        </w:rPr>
        <w:t>52</w:t>
      </w:r>
      <w:r w:rsidRPr="00A1027B">
        <w:rPr>
          <w:rStyle w:val="Hyperlink"/>
        </w:rPr>
        <w:t>/</w:t>
      </w:r>
      <w:r w:rsidRPr="003231D2">
        <w:rPr>
          <w:rStyle w:val="Hyperlink"/>
        </w:rPr>
        <w:t>25</w:t>
      </w:r>
      <w:bookmarkEnd w:id="0"/>
      <w:r w:rsidRPr="00A1027B">
        <w:rPr>
          <w:rStyle w:val="Hyperlink"/>
          <w:rtl/>
        </w:rPr>
        <w:t>.</w:t>
      </w:r>
      <w:r w:rsidRPr="00A1027B">
        <w:rPr>
          <w:rStyle w:val="Hyperlink"/>
        </w:rPr>
        <w:fldChar w:fldCharType="end"/>
      </w:r>
    </w:p>
  </w:footnote>
  <w:footnote w:id="12">
    <w:p w14:paraId="4494BD45" w14:textId="77777777" w:rsidR="00A1027B" w:rsidRPr="008E4FF5" w:rsidRDefault="00A1027B" w:rsidP="00A1027B">
      <w:pPr>
        <w:pStyle w:val="FootnoteText1"/>
        <w:textDirection w:val="tbRlV"/>
      </w:pPr>
      <w:r>
        <w:rPr>
          <w:rtl/>
        </w:rPr>
        <w:t>(</w:t>
      </w:r>
      <w:r w:rsidRPr="003231D2">
        <w:rPr>
          <w:lang w:val="en-AU"/>
        </w:rPr>
        <w:footnoteRef/>
      </w:r>
      <w:r>
        <w:rPr>
          <w:rtl/>
        </w:rPr>
        <w:t>)</w:t>
      </w:r>
      <w:r w:rsidRPr="008E4FF5">
        <w:rPr>
          <w:rtl/>
        </w:rPr>
        <w:tab/>
      </w:r>
      <w:hyperlink r:id="rId11" w:history="1">
        <w:r w:rsidRPr="00A1027B">
          <w:rPr>
            <w:rStyle w:val="Hyperlink"/>
          </w:rPr>
          <w:t>CAT/C/COL/CO/</w:t>
        </w:r>
        <w:r w:rsidRPr="003231D2">
          <w:rPr>
            <w:rStyle w:val="Hyperlink"/>
          </w:rPr>
          <w:t>5</w:t>
        </w:r>
      </w:hyperlink>
      <w:r w:rsidRPr="008E4FF5">
        <w:rPr>
          <w:rtl/>
        </w:rPr>
        <w:t xml:space="preserve">، الفقرة </w:t>
      </w:r>
      <w:r w:rsidRPr="003231D2">
        <w:rPr>
          <w:rtl/>
        </w:rPr>
        <w:t>11</w:t>
      </w:r>
      <w:r w:rsidRPr="00A1027B">
        <w:rPr>
          <w:rtl/>
        </w:rPr>
        <w:t xml:space="preserve">. </w:t>
      </w:r>
    </w:p>
  </w:footnote>
  <w:footnote w:id="13">
    <w:p w14:paraId="7761B2A3" w14:textId="77777777" w:rsidR="00A1027B" w:rsidRPr="008E4FF5" w:rsidRDefault="00A1027B" w:rsidP="00A1027B">
      <w:pPr>
        <w:pStyle w:val="FootnoteText1"/>
        <w:textDirection w:val="tbRlV"/>
      </w:pPr>
      <w:r>
        <w:rPr>
          <w:rtl/>
        </w:rPr>
        <w:t>(</w:t>
      </w:r>
      <w:r w:rsidRPr="003231D2">
        <w:rPr>
          <w:lang w:val="en-AU"/>
        </w:rPr>
        <w:footnoteRef/>
      </w:r>
      <w:r>
        <w:rPr>
          <w:rtl/>
        </w:rPr>
        <w:t>)</w:t>
      </w:r>
      <w:r w:rsidRPr="008E4FF5">
        <w:rPr>
          <w:rtl/>
        </w:rPr>
        <w:tab/>
      </w:r>
      <w:hyperlink r:id="rId12" w:history="1">
        <w:r w:rsidRPr="00A1027B">
          <w:rPr>
            <w:rStyle w:val="Hyperlink"/>
          </w:rPr>
          <w:t>CAT/C/COL/</w:t>
        </w:r>
        <w:r w:rsidRPr="003231D2">
          <w:rPr>
            <w:rStyle w:val="Hyperlink"/>
          </w:rPr>
          <w:t>6</w:t>
        </w:r>
      </w:hyperlink>
      <w:r w:rsidRPr="008E4FF5">
        <w:rPr>
          <w:rtl/>
        </w:rPr>
        <w:t xml:space="preserve">، الفقرات </w:t>
      </w:r>
      <w:r w:rsidRPr="003231D2">
        <w:rPr>
          <w:rtl/>
        </w:rPr>
        <w:t>167</w:t>
      </w:r>
      <w:r w:rsidRPr="008E4FF5">
        <w:rPr>
          <w:rtl/>
        </w:rPr>
        <w:t>-</w:t>
      </w:r>
      <w:r w:rsidRPr="003231D2">
        <w:rPr>
          <w:rtl/>
        </w:rPr>
        <w:t>174</w:t>
      </w:r>
      <w:r w:rsidRPr="008E4FF5">
        <w:rPr>
          <w:rtl/>
        </w:rPr>
        <w:t>؛ و</w:t>
      </w:r>
      <w:hyperlink r:id="rId13" w:history="1">
        <w:r w:rsidRPr="00A1027B">
          <w:rPr>
            <w:rStyle w:val="Hyperlink"/>
          </w:rPr>
          <w:t>CAT/C/COL/CO/</w:t>
        </w:r>
        <w:r w:rsidRPr="003231D2">
          <w:rPr>
            <w:rStyle w:val="Hyperlink"/>
          </w:rPr>
          <w:t>5</w:t>
        </w:r>
        <w:r w:rsidRPr="00A1027B">
          <w:rPr>
            <w:rStyle w:val="Hyperlink"/>
          </w:rPr>
          <w:t>/Add.</w:t>
        </w:r>
        <w:r w:rsidRPr="003231D2">
          <w:rPr>
            <w:rStyle w:val="Hyperlink"/>
          </w:rPr>
          <w:t>1</w:t>
        </w:r>
      </w:hyperlink>
      <w:r w:rsidRPr="008E4FF5">
        <w:rPr>
          <w:rtl/>
        </w:rPr>
        <w:t xml:space="preserve">، الفقرات </w:t>
      </w:r>
      <w:r w:rsidRPr="003231D2">
        <w:rPr>
          <w:rtl/>
        </w:rPr>
        <w:t>16</w:t>
      </w:r>
      <w:r w:rsidRPr="008E4FF5">
        <w:rPr>
          <w:rtl/>
        </w:rPr>
        <w:t>-</w:t>
      </w:r>
      <w:r w:rsidRPr="003231D2">
        <w:rPr>
          <w:rtl/>
        </w:rPr>
        <w:t>42</w:t>
      </w:r>
      <w:r w:rsidRPr="008E4FF5">
        <w:rPr>
          <w:rtl/>
        </w:rPr>
        <w:t>.</w:t>
      </w:r>
    </w:p>
  </w:footnote>
  <w:footnote w:id="14">
    <w:p w14:paraId="16C2AFCC" w14:textId="77777777" w:rsidR="00A1027B" w:rsidRPr="008E4FF5" w:rsidRDefault="00A1027B" w:rsidP="00A1027B">
      <w:pPr>
        <w:pStyle w:val="FootnoteText1"/>
        <w:textDirection w:val="tbRlV"/>
      </w:pPr>
      <w:r>
        <w:rPr>
          <w:rtl/>
        </w:rPr>
        <w:t>(</w:t>
      </w:r>
      <w:r w:rsidRPr="003231D2">
        <w:rPr>
          <w:lang w:val="en-AU"/>
        </w:rPr>
        <w:footnoteRef/>
      </w:r>
      <w:r>
        <w:rPr>
          <w:rtl/>
        </w:rPr>
        <w:t>)</w:t>
      </w:r>
      <w:r w:rsidRPr="008E4FF5">
        <w:rPr>
          <w:rtl/>
        </w:rPr>
        <w:tab/>
      </w:r>
      <w:hyperlink r:id="rId14" w:history="1">
        <w:r w:rsidRPr="00A1027B">
          <w:rPr>
            <w:rStyle w:val="Hyperlink"/>
          </w:rPr>
          <w:t>A/HRC/</w:t>
        </w:r>
        <w:r w:rsidRPr="003231D2">
          <w:rPr>
            <w:rStyle w:val="Hyperlink"/>
          </w:rPr>
          <w:t>52</w:t>
        </w:r>
        <w:r w:rsidRPr="00A1027B">
          <w:rPr>
            <w:rStyle w:val="Hyperlink"/>
          </w:rPr>
          <w:t>/</w:t>
        </w:r>
        <w:r w:rsidRPr="003231D2">
          <w:rPr>
            <w:rStyle w:val="Hyperlink"/>
          </w:rPr>
          <w:t>25</w:t>
        </w:r>
        <w:r w:rsidRPr="00A1027B">
          <w:rPr>
            <w:rStyle w:val="Hyperlink"/>
            <w:rtl/>
          </w:rPr>
          <w:t>.</w:t>
        </w:r>
      </w:hyperlink>
    </w:p>
  </w:footnote>
  <w:footnote w:id="15">
    <w:p w14:paraId="386F6B9A" w14:textId="77777777" w:rsidR="00A1027B" w:rsidRPr="00A45792" w:rsidRDefault="00A1027B" w:rsidP="00A1027B">
      <w:pPr>
        <w:pStyle w:val="FootnoteText1"/>
        <w:textDirection w:val="tbRlV"/>
        <w:rPr>
          <w:spacing w:val="-4"/>
        </w:rPr>
      </w:pPr>
      <w:r>
        <w:rPr>
          <w:rtl/>
        </w:rPr>
        <w:t>(</w:t>
      </w:r>
      <w:r w:rsidRPr="003231D2">
        <w:rPr>
          <w:lang w:val="en-AU"/>
        </w:rPr>
        <w:footnoteRef/>
      </w:r>
      <w:r>
        <w:rPr>
          <w:rtl/>
        </w:rPr>
        <w:t>)</w:t>
      </w:r>
      <w:r w:rsidRPr="008E4FF5">
        <w:rPr>
          <w:rtl/>
        </w:rPr>
        <w:tab/>
      </w:r>
      <w:r w:rsidRPr="008E4FF5">
        <w:rPr>
          <w:spacing w:val="-2"/>
          <w:rtl/>
        </w:rPr>
        <w:t>المرجع نفسه، و</w:t>
      </w:r>
      <w:hyperlink r:id="rId15" w:history="1">
        <w:r w:rsidRPr="00A1027B">
          <w:rPr>
            <w:rStyle w:val="Hyperlink"/>
          </w:rPr>
          <w:t>A/HRC/</w:t>
        </w:r>
        <w:r w:rsidRPr="003231D2">
          <w:rPr>
            <w:rStyle w:val="Hyperlink"/>
          </w:rPr>
          <w:t>49</w:t>
        </w:r>
        <w:r w:rsidRPr="00A1027B">
          <w:rPr>
            <w:rStyle w:val="Hyperlink"/>
          </w:rPr>
          <w:t>/</w:t>
        </w:r>
        <w:r w:rsidRPr="003231D2">
          <w:rPr>
            <w:rStyle w:val="Hyperlink"/>
          </w:rPr>
          <w:t>19</w:t>
        </w:r>
      </w:hyperlink>
      <w:r w:rsidRPr="008E4FF5">
        <w:rPr>
          <w:spacing w:val="-2"/>
          <w:rtl/>
        </w:rPr>
        <w:t xml:space="preserve">، الفقرتان </w:t>
      </w:r>
      <w:r w:rsidRPr="003231D2">
        <w:rPr>
          <w:spacing w:val="-2"/>
          <w:rtl/>
        </w:rPr>
        <w:t>52</w:t>
      </w:r>
      <w:r w:rsidRPr="008E4FF5">
        <w:rPr>
          <w:spacing w:val="-2"/>
          <w:rtl/>
        </w:rPr>
        <w:t xml:space="preserve"> و</w:t>
      </w:r>
      <w:r w:rsidRPr="003231D2">
        <w:rPr>
          <w:spacing w:val="-2"/>
          <w:rtl/>
        </w:rPr>
        <w:t>54</w:t>
      </w:r>
      <w:r w:rsidRPr="00A1027B">
        <w:rPr>
          <w:spacing w:val="-2"/>
          <w:rtl/>
        </w:rPr>
        <w:t xml:space="preserve">. </w:t>
      </w:r>
      <w:r w:rsidRPr="008E4FF5">
        <w:rPr>
          <w:spacing w:val="-2"/>
          <w:rtl/>
        </w:rPr>
        <w:t>انظر أيضا</w:t>
      </w:r>
      <w:r w:rsidRPr="008E4FF5">
        <w:rPr>
          <w:rFonts w:hint="cs"/>
          <w:spacing w:val="-2"/>
          <w:rtl/>
        </w:rPr>
        <w:t xml:space="preserve">ً: </w:t>
      </w:r>
      <w:r w:rsidRPr="008E4FF5">
        <w:rPr>
          <w:spacing w:val="-2"/>
        </w:rPr>
        <w:t xml:space="preserve">Office of the United Nations High Commissioner </w:t>
      </w:r>
      <w:r w:rsidRPr="00A45792">
        <w:rPr>
          <w:spacing w:val="-4"/>
        </w:rPr>
        <w:t>for Human Rights (OHCHR</w:t>
      </w:r>
      <w:proofErr w:type="gramStart"/>
      <w:r w:rsidRPr="00A45792">
        <w:rPr>
          <w:spacing w:val="-4"/>
        </w:rPr>
        <w:t>),</w:t>
      </w:r>
      <w:proofErr w:type="gramEnd"/>
      <w:r w:rsidRPr="00A45792">
        <w:rPr>
          <w:spacing w:val="-4"/>
        </w:rPr>
        <w:t xml:space="preserve"> “Colombia: Misuse of counter-terrorism measures to prosecute protesters threatens human rights, say UN experts,” press release, </w:t>
      </w:r>
      <w:r w:rsidRPr="003231D2">
        <w:rPr>
          <w:spacing w:val="-4"/>
        </w:rPr>
        <w:t>29</w:t>
      </w:r>
      <w:r w:rsidRPr="00A45792">
        <w:rPr>
          <w:spacing w:val="-4"/>
        </w:rPr>
        <w:t xml:space="preserve"> March </w:t>
      </w:r>
      <w:r w:rsidRPr="003231D2">
        <w:rPr>
          <w:spacing w:val="-4"/>
        </w:rPr>
        <w:t>2023</w:t>
      </w:r>
      <w:r w:rsidRPr="00A45792">
        <w:rPr>
          <w:spacing w:val="-4"/>
          <w:rtl/>
        </w:rPr>
        <w:t>.</w:t>
      </w:r>
    </w:p>
  </w:footnote>
  <w:footnote w:id="16">
    <w:p w14:paraId="0F868D38" w14:textId="77777777" w:rsidR="00A1027B" w:rsidRPr="008E4FF5" w:rsidRDefault="00A1027B" w:rsidP="00A1027B">
      <w:pPr>
        <w:pStyle w:val="FootnoteText1"/>
        <w:textDirection w:val="tbRlV"/>
      </w:pPr>
      <w:r>
        <w:rPr>
          <w:rtl/>
        </w:rPr>
        <w:t>(</w:t>
      </w:r>
      <w:r w:rsidRPr="003231D2">
        <w:rPr>
          <w:lang w:val="en-AU"/>
        </w:rPr>
        <w:footnoteRef/>
      </w:r>
      <w:r>
        <w:rPr>
          <w:rtl/>
        </w:rPr>
        <w:t>)</w:t>
      </w:r>
      <w:r w:rsidRPr="008E4FF5">
        <w:rPr>
          <w:rtl/>
        </w:rPr>
        <w:tab/>
      </w:r>
      <w:hyperlink r:id="rId16" w:history="1">
        <w:r w:rsidRPr="00A1027B">
          <w:rPr>
            <w:rStyle w:val="Hyperlink"/>
          </w:rPr>
          <w:t>A/HRC/</w:t>
        </w:r>
        <w:r w:rsidRPr="003231D2">
          <w:rPr>
            <w:rStyle w:val="Hyperlink"/>
          </w:rPr>
          <w:t>49</w:t>
        </w:r>
        <w:r w:rsidRPr="00A1027B">
          <w:rPr>
            <w:rStyle w:val="Hyperlink"/>
          </w:rPr>
          <w:t>/</w:t>
        </w:r>
        <w:r w:rsidRPr="003231D2">
          <w:rPr>
            <w:rStyle w:val="Hyperlink"/>
          </w:rPr>
          <w:t>19</w:t>
        </w:r>
      </w:hyperlink>
      <w:r w:rsidRPr="008E4FF5">
        <w:rPr>
          <w:rtl/>
        </w:rPr>
        <w:t xml:space="preserve">، الفقرة </w:t>
      </w:r>
      <w:r w:rsidRPr="003231D2">
        <w:rPr>
          <w:rtl/>
        </w:rPr>
        <w:t>53</w:t>
      </w:r>
      <w:r w:rsidRPr="008E4FF5">
        <w:rPr>
          <w:rtl/>
        </w:rPr>
        <w:t>.</w:t>
      </w:r>
    </w:p>
  </w:footnote>
  <w:footnote w:id="17">
    <w:p w14:paraId="3DEFB6C4" w14:textId="77777777" w:rsidR="00A1027B" w:rsidRPr="008E4FF5" w:rsidRDefault="00A1027B" w:rsidP="00A1027B">
      <w:pPr>
        <w:pStyle w:val="FootnoteText1"/>
        <w:textDirection w:val="tbRlV"/>
        <w:rPr>
          <w:rFonts w:hint="cs"/>
          <w:rtl/>
        </w:rPr>
      </w:pPr>
      <w:r>
        <w:rPr>
          <w:rtl/>
        </w:rPr>
        <w:t>(</w:t>
      </w:r>
      <w:r w:rsidRPr="003231D2">
        <w:rPr>
          <w:lang w:val="en-AU"/>
        </w:rPr>
        <w:footnoteRef/>
      </w:r>
      <w:r>
        <w:rPr>
          <w:rtl/>
        </w:rPr>
        <w:t>)</w:t>
      </w:r>
      <w:r w:rsidRPr="008E4FF5">
        <w:rPr>
          <w:rtl/>
        </w:rPr>
        <w:tab/>
      </w:r>
      <w:hyperlink r:id="rId17" w:history="1">
        <w:r w:rsidRPr="00A1027B">
          <w:rPr>
            <w:rStyle w:val="Hyperlink"/>
          </w:rPr>
          <w:t>CEDAW/C/COL/CO/</w:t>
        </w:r>
        <w:r w:rsidRPr="003231D2">
          <w:rPr>
            <w:rStyle w:val="Hyperlink"/>
          </w:rPr>
          <w:t>9</w:t>
        </w:r>
      </w:hyperlink>
      <w:r w:rsidRPr="008E4FF5">
        <w:rPr>
          <w:rtl/>
        </w:rPr>
        <w:t xml:space="preserve">، الفقرتان </w:t>
      </w:r>
      <w:r w:rsidRPr="003231D2">
        <w:rPr>
          <w:rtl/>
        </w:rPr>
        <w:t>15</w:t>
      </w:r>
      <w:r>
        <w:rPr>
          <w:rtl/>
        </w:rPr>
        <w:t xml:space="preserve"> و</w:t>
      </w:r>
      <w:r w:rsidRPr="003231D2">
        <w:rPr>
          <w:rtl/>
        </w:rPr>
        <w:t>16</w:t>
      </w:r>
      <w:r w:rsidRPr="00A1027B">
        <w:rPr>
          <w:rtl/>
        </w:rPr>
        <w:t xml:space="preserve">. </w:t>
      </w:r>
      <w:r w:rsidRPr="008E4FF5">
        <w:rPr>
          <w:rtl/>
        </w:rPr>
        <w:t>انظر أيضا</w:t>
      </w:r>
      <w:r>
        <w:rPr>
          <w:rFonts w:hint="cs"/>
          <w:rtl/>
        </w:rPr>
        <w:t xml:space="preserve">ً </w:t>
      </w:r>
      <w:r w:rsidRPr="00601552">
        <w:t>Committee on the Elimination of Discrimination against Wome</w:t>
      </w:r>
      <w:r w:rsidRPr="00A1027B">
        <w:t xml:space="preserve">n, </w:t>
      </w:r>
      <w:r w:rsidRPr="00601552">
        <w:t>follow-up letter from the Rapporteur on follow-up to concluding observation</w:t>
      </w:r>
      <w:r w:rsidRPr="00A1027B">
        <w:t xml:space="preserve">s, </w:t>
      </w:r>
      <w:r w:rsidRPr="003231D2">
        <w:t>19</w:t>
      </w:r>
      <w:r>
        <w:t> </w:t>
      </w:r>
      <w:r w:rsidRPr="00601552">
        <w:t xml:space="preserve">July </w:t>
      </w:r>
      <w:r w:rsidRPr="003231D2">
        <w:t>2021</w:t>
      </w:r>
      <w:r w:rsidRPr="00A1027B">
        <w:rPr>
          <w:rtl/>
        </w:rPr>
        <w:t xml:space="preserve">. </w:t>
      </w:r>
      <w:r w:rsidRPr="008E4FF5">
        <w:rPr>
          <w:rtl/>
        </w:rPr>
        <w:t>متاحة على الموقع الشبكي للجنة المعنية بالقضاء على التمييز ضد المرأة</w:t>
      </w:r>
      <w:r w:rsidRPr="008E4FF5">
        <w:t>:</w:t>
      </w:r>
      <w:r w:rsidRPr="008E4FF5">
        <w:rPr>
          <w:rtl/>
        </w:rPr>
        <w:t xml:space="preserve"> </w:t>
      </w:r>
      <w:hyperlink r:id="rId18" w:history="1">
        <w:r w:rsidRPr="00A1027B">
          <w:rPr>
            <w:rStyle w:val="Hyperlink"/>
          </w:rPr>
          <w:t>https://tbinternet.ohchr.org/_layouts/</w:t>
        </w:r>
        <w:r w:rsidRPr="003231D2">
          <w:rPr>
            <w:rStyle w:val="Hyperlink"/>
          </w:rPr>
          <w:t>15</w:t>
        </w:r>
        <w:r w:rsidRPr="00A1027B">
          <w:rPr>
            <w:rStyle w:val="Hyperlink"/>
          </w:rPr>
          <w:t>/treatybodyexternal/Download.aspx?symbolno=INT%</w:t>
        </w:r>
        <w:r w:rsidRPr="003231D2">
          <w:rPr>
            <w:rStyle w:val="Hyperlink"/>
          </w:rPr>
          <w:t>2</w:t>
        </w:r>
        <w:r w:rsidRPr="00A1027B">
          <w:rPr>
            <w:rStyle w:val="Hyperlink"/>
          </w:rPr>
          <w:t>FCEDAW%</w:t>
        </w:r>
        <w:r w:rsidRPr="003231D2">
          <w:rPr>
            <w:rStyle w:val="Hyperlink"/>
          </w:rPr>
          <w:t>2</w:t>
        </w:r>
        <w:r w:rsidRPr="00A1027B">
          <w:rPr>
            <w:rStyle w:val="Hyperlink"/>
          </w:rPr>
          <w:t>FUCS%</w:t>
        </w:r>
        <w:r w:rsidRPr="003231D2">
          <w:rPr>
            <w:rStyle w:val="Hyperlink"/>
          </w:rPr>
          <w:t>2</w:t>
        </w:r>
        <w:r w:rsidRPr="00A1027B">
          <w:rPr>
            <w:rStyle w:val="Hyperlink"/>
          </w:rPr>
          <w:t>FCOL%</w:t>
        </w:r>
        <w:r w:rsidRPr="003231D2">
          <w:rPr>
            <w:rStyle w:val="Hyperlink"/>
          </w:rPr>
          <w:t>2</w:t>
        </w:r>
        <w:r w:rsidRPr="00A1027B">
          <w:rPr>
            <w:rStyle w:val="Hyperlink"/>
          </w:rPr>
          <w:t>F</w:t>
        </w:r>
        <w:r w:rsidRPr="003231D2">
          <w:rPr>
            <w:rStyle w:val="Hyperlink"/>
          </w:rPr>
          <w:t>45298</w:t>
        </w:r>
        <w:r w:rsidRPr="00A1027B">
          <w:rPr>
            <w:rStyle w:val="Hyperlink"/>
          </w:rPr>
          <w:t>&amp;Lang=en</w:t>
        </w:r>
      </w:hyperlink>
      <w:r w:rsidRPr="008E4FF5">
        <w:rPr>
          <w:rtl/>
        </w:rPr>
        <w:t xml:space="preserve"> (باللغة الإنكليزية فقط).</w:t>
      </w:r>
    </w:p>
  </w:footnote>
  <w:footnote w:id="18">
    <w:p w14:paraId="64A5F9DD" w14:textId="77777777" w:rsidR="00A1027B" w:rsidRPr="008E4FF5" w:rsidRDefault="00A1027B" w:rsidP="00A1027B">
      <w:pPr>
        <w:pStyle w:val="FootnoteText1"/>
        <w:textDirection w:val="tbRlV"/>
      </w:pPr>
      <w:r>
        <w:rPr>
          <w:rtl/>
        </w:rPr>
        <w:t>(</w:t>
      </w:r>
      <w:r w:rsidRPr="003231D2">
        <w:rPr>
          <w:lang w:val="en-AU"/>
        </w:rPr>
        <w:footnoteRef/>
      </w:r>
      <w:r>
        <w:rPr>
          <w:rtl/>
        </w:rPr>
        <w:t>)</w:t>
      </w:r>
      <w:r w:rsidRPr="008E4FF5">
        <w:rPr>
          <w:rtl/>
        </w:rPr>
        <w:tab/>
      </w:r>
      <w:hyperlink r:id="rId19" w:history="1">
        <w:r w:rsidRPr="00A1027B">
          <w:rPr>
            <w:rStyle w:val="Hyperlink"/>
          </w:rPr>
          <w:t>A/HRC/</w:t>
        </w:r>
        <w:r w:rsidRPr="003231D2">
          <w:rPr>
            <w:rStyle w:val="Hyperlink"/>
          </w:rPr>
          <w:t>52</w:t>
        </w:r>
        <w:r w:rsidRPr="00A1027B">
          <w:rPr>
            <w:rStyle w:val="Hyperlink"/>
          </w:rPr>
          <w:t>/</w:t>
        </w:r>
        <w:r w:rsidRPr="003231D2">
          <w:rPr>
            <w:rStyle w:val="Hyperlink"/>
          </w:rPr>
          <w:t>25</w:t>
        </w:r>
      </w:hyperlink>
      <w:r>
        <w:rPr>
          <w:rtl/>
        </w:rPr>
        <w:t>؛ و</w:t>
      </w:r>
      <w:hyperlink r:id="rId20" w:history="1">
        <w:r w:rsidRPr="00A1027B">
          <w:rPr>
            <w:rStyle w:val="Hyperlink"/>
          </w:rPr>
          <w:t>A/HRC/</w:t>
        </w:r>
        <w:r w:rsidRPr="003231D2">
          <w:rPr>
            <w:rStyle w:val="Hyperlink"/>
          </w:rPr>
          <w:t>49</w:t>
        </w:r>
        <w:r w:rsidRPr="00A1027B">
          <w:rPr>
            <w:rStyle w:val="Hyperlink"/>
          </w:rPr>
          <w:t>/</w:t>
        </w:r>
        <w:r w:rsidRPr="003231D2">
          <w:rPr>
            <w:rStyle w:val="Hyperlink"/>
          </w:rPr>
          <w:t>19</w:t>
        </w:r>
      </w:hyperlink>
      <w:r w:rsidRPr="008E4FF5">
        <w:rPr>
          <w:rtl/>
        </w:rPr>
        <w:t xml:space="preserve">، الفقرات </w:t>
      </w:r>
      <w:r w:rsidRPr="003231D2">
        <w:rPr>
          <w:rtl/>
        </w:rPr>
        <w:t>26</w:t>
      </w:r>
      <w:r w:rsidRPr="008E4FF5">
        <w:rPr>
          <w:rtl/>
        </w:rPr>
        <w:t>-</w:t>
      </w:r>
      <w:r w:rsidRPr="003231D2">
        <w:rPr>
          <w:rtl/>
        </w:rPr>
        <w:t>29</w:t>
      </w:r>
      <w:r w:rsidRPr="008E4FF5">
        <w:rPr>
          <w:rtl/>
        </w:rPr>
        <w:t>؛</w:t>
      </w:r>
      <w:r>
        <w:rPr>
          <w:rtl/>
        </w:rPr>
        <w:t xml:space="preserve"> و</w:t>
      </w:r>
      <w:hyperlink r:id="rId21" w:history="1">
        <w:r w:rsidRPr="00A1027B">
          <w:rPr>
            <w:rStyle w:val="Hyperlink"/>
          </w:rPr>
          <w:t>A/HRC/</w:t>
        </w:r>
        <w:r w:rsidRPr="003231D2">
          <w:rPr>
            <w:rStyle w:val="Hyperlink"/>
          </w:rPr>
          <w:t>46</w:t>
        </w:r>
        <w:r w:rsidRPr="00A1027B">
          <w:rPr>
            <w:rStyle w:val="Hyperlink"/>
          </w:rPr>
          <w:t>/</w:t>
        </w:r>
        <w:r w:rsidRPr="003231D2">
          <w:rPr>
            <w:rStyle w:val="Hyperlink"/>
          </w:rPr>
          <w:t>76</w:t>
        </w:r>
      </w:hyperlink>
      <w:r w:rsidRPr="008E4FF5">
        <w:rPr>
          <w:rtl/>
        </w:rPr>
        <w:t xml:space="preserve">، الفقرات </w:t>
      </w:r>
      <w:r w:rsidRPr="003231D2">
        <w:rPr>
          <w:rtl/>
        </w:rPr>
        <w:t>9</w:t>
      </w:r>
      <w:r w:rsidRPr="008E4FF5">
        <w:rPr>
          <w:rtl/>
        </w:rPr>
        <w:t>-</w:t>
      </w:r>
      <w:r w:rsidRPr="003231D2">
        <w:rPr>
          <w:rtl/>
        </w:rPr>
        <w:t>13</w:t>
      </w:r>
      <w:r w:rsidRPr="00A1027B">
        <w:rPr>
          <w:rtl/>
        </w:rPr>
        <w:t xml:space="preserve">. </w:t>
      </w:r>
      <w:r w:rsidRPr="008E4FF5">
        <w:rPr>
          <w:rtl/>
        </w:rPr>
        <w:t>انظر أيضا</w:t>
      </w:r>
      <w:r>
        <w:rPr>
          <w:rFonts w:hint="cs"/>
          <w:rtl/>
        </w:rPr>
        <w:t xml:space="preserve">ً </w:t>
      </w:r>
      <w:hyperlink w:history="1"/>
      <w:r w:rsidRPr="002F367C">
        <w:t xml:space="preserve"> </w:t>
      </w:r>
      <w:r w:rsidRPr="00601552">
        <w:t>OHCH</w:t>
      </w:r>
      <w:r w:rsidRPr="00A1027B">
        <w:t xml:space="preserve">R: </w:t>
      </w:r>
      <w:r w:rsidRPr="003231D2">
        <w:rPr>
          <w:i/>
          <w:iCs/>
        </w:rPr>
        <w:t>Territorial Violence in Colombia: Recommendations for the New Government</w:t>
      </w:r>
      <w:r w:rsidRPr="00601552">
        <w:t xml:space="preserve"> (</w:t>
      </w:r>
      <w:r w:rsidRPr="003231D2">
        <w:t>2022</w:t>
      </w:r>
      <w:r w:rsidRPr="00A1027B">
        <w:rPr>
          <w:rtl/>
        </w:rPr>
        <w:t xml:space="preserve">). </w:t>
      </w:r>
      <w:r w:rsidRPr="008E4FF5">
        <w:rPr>
          <w:rtl/>
        </w:rPr>
        <w:t xml:space="preserve">متاح في </w:t>
      </w:r>
      <w:hyperlink r:id="rId22" w:history="1">
        <w:r w:rsidRPr="00A1027B">
          <w:rPr>
            <w:rStyle w:val="Hyperlink"/>
          </w:rPr>
          <w:t>https://www.hchr.org.co/wp/wp-content/uploads/</w:t>
        </w:r>
        <w:r w:rsidRPr="003231D2">
          <w:rPr>
            <w:rStyle w:val="Hyperlink"/>
          </w:rPr>
          <w:t>2022</w:t>
        </w:r>
        <w:r w:rsidRPr="00A1027B">
          <w:rPr>
            <w:rStyle w:val="Hyperlink"/>
          </w:rPr>
          <w:t>/</w:t>
        </w:r>
        <w:r w:rsidRPr="003231D2">
          <w:rPr>
            <w:rStyle w:val="Hyperlink"/>
          </w:rPr>
          <w:t>07</w:t>
        </w:r>
        <w:r w:rsidRPr="00A1027B">
          <w:rPr>
            <w:rStyle w:val="Hyperlink"/>
          </w:rPr>
          <w:t>/Territorial-Violence-in-Colombia.pdf</w:t>
        </w:r>
      </w:hyperlink>
      <w:r w:rsidRPr="008E4FF5">
        <w:rPr>
          <w:rtl/>
        </w:rPr>
        <w:t>.</w:t>
      </w:r>
    </w:p>
  </w:footnote>
  <w:footnote w:id="19">
    <w:p w14:paraId="634305D7" w14:textId="77777777" w:rsidR="00A1027B" w:rsidRPr="008E4FF5" w:rsidRDefault="00A1027B" w:rsidP="00A1027B">
      <w:pPr>
        <w:pStyle w:val="FootnoteText1"/>
        <w:textDirection w:val="tbRlV"/>
      </w:pPr>
      <w:r>
        <w:rPr>
          <w:rtl/>
        </w:rPr>
        <w:t>(</w:t>
      </w:r>
      <w:r w:rsidRPr="003231D2">
        <w:rPr>
          <w:lang w:val="en-AU"/>
        </w:rPr>
        <w:footnoteRef/>
      </w:r>
      <w:r>
        <w:rPr>
          <w:rtl/>
        </w:rPr>
        <w:t>)</w:t>
      </w:r>
      <w:r w:rsidRPr="008E4FF5">
        <w:rPr>
          <w:rtl/>
        </w:rPr>
        <w:tab/>
      </w:r>
      <w:hyperlink r:id="rId23" w:history="1">
        <w:r w:rsidRPr="00A1027B">
          <w:rPr>
            <w:rStyle w:val="Hyperlink"/>
          </w:rPr>
          <w:t>A/HRC/</w:t>
        </w:r>
        <w:r w:rsidRPr="003231D2">
          <w:rPr>
            <w:rStyle w:val="Hyperlink"/>
          </w:rPr>
          <w:t>52</w:t>
        </w:r>
        <w:r w:rsidRPr="00A1027B">
          <w:rPr>
            <w:rStyle w:val="Hyperlink"/>
          </w:rPr>
          <w:t>/</w:t>
        </w:r>
        <w:r w:rsidRPr="003231D2">
          <w:rPr>
            <w:rStyle w:val="Hyperlink"/>
          </w:rPr>
          <w:t>25</w:t>
        </w:r>
      </w:hyperlink>
      <w:r w:rsidRPr="008E4FF5">
        <w:rPr>
          <w:rtl/>
        </w:rPr>
        <w:t>؛ و</w:t>
      </w:r>
      <w:hyperlink r:id="rId24" w:history="1">
        <w:r w:rsidRPr="00A1027B">
          <w:rPr>
            <w:rStyle w:val="Hyperlink"/>
          </w:rPr>
          <w:t>A/HRC/</w:t>
        </w:r>
        <w:r w:rsidRPr="003231D2">
          <w:rPr>
            <w:rStyle w:val="Hyperlink"/>
          </w:rPr>
          <w:t>49</w:t>
        </w:r>
        <w:r w:rsidRPr="00A1027B">
          <w:rPr>
            <w:rStyle w:val="Hyperlink"/>
          </w:rPr>
          <w:t>/</w:t>
        </w:r>
        <w:r w:rsidRPr="003231D2">
          <w:rPr>
            <w:rStyle w:val="Hyperlink"/>
          </w:rPr>
          <w:t>19</w:t>
        </w:r>
      </w:hyperlink>
      <w:r w:rsidRPr="008E4FF5">
        <w:rPr>
          <w:rtl/>
        </w:rPr>
        <w:t xml:space="preserve">، الفقرات </w:t>
      </w:r>
      <w:r w:rsidRPr="003231D2">
        <w:rPr>
          <w:rtl/>
        </w:rPr>
        <w:t>34</w:t>
      </w:r>
      <w:r w:rsidRPr="008E4FF5">
        <w:rPr>
          <w:rtl/>
        </w:rPr>
        <w:t>-</w:t>
      </w:r>
      <w:r w:rsidRPr="003231D2">
        <w:rPr>
          <w:rtl/>
        </w:rPr>
        <w:t>38</w:t>
      </w:r>
      <w:r>
        <w:rPr>
          <w:rtl/>
        </w:rPr>
        <w:t xml:space="preserve"> و</w:t>
      </w:r>
      <w:hyperlink r:id="rId25" w:history="1">
        <w:r w:rsidRPr="00A1027B">
          <w:rPr>
            <w:rStyle w:val="Hyperlink"/>
          </w:rPr>
          <w:t>A/HRC/</w:t>
        </w:r>
        <w:r w:rsidRPr="003231D2">
          <w:rPr>
            <w:rStyle w:val="Hyperlink"/>
          </w:rPr>
          <w:t>46</w:t>
        </w:r>
        <w:r w:rsidRPr="00A1027B">
          <w:rPr>
            <w:rStyle w:val="Hyperlink"/>
          </w:rPr>
          <w:t>/</w:t>
        </w:r>
        <w:r w:rsidRPr="003231D2">
          <w:rPr>
            <w:rStyle w:val="Hyperlink"/>
          </w:rPr>
          <w:t>76</w:t>
        </w:r>
      </w:hyperlink>
      <w:r w:rsidRPr="008E4FF5">
        <w:rPr>
          <w:rtl/>
        </w:rPr>
        <w:t xml:space="preserve">، الفقرات </w:t>
      </w:r>
      <w:r w:rsidRPr="003231D2">
        <w:rPr>
          <w:rtl/>
        </w:rPr>
        <w:t>14</w:t>
      </w:r>
      <w:r w:rsidRPr="008E4FF5">
        <w:rPr>
          <w:rtl/>
        </w:rPr>
        <w:t>-</w:t>
      </w:r>
      <w:r w:rsidRPr="003231D2">
        <w:rPr>
          <w:rtl/>
        </w:rPr>
        <w:t>20</w:t>
      </w:r>
      <w:r w:rsidRPr="008E4FF5">
        <w:rPr>
          <w:rtl/>
        </w:rPr>
        <w:t>.</w:t>
      </w:r>
    </w:p>
  </w:footnote>
  <w:footnote w:id="20">
    <w:p w14:paraId="522AD6D2" w14:textId="77777777" w:rsidR="00A1027B" w:rsidRPr="008E4FF5" w:rsidRDefault="00A1027B" w:rsidP="00A1027B">
      <w:pPr>
        <w:pStyle w:val="FootnoteText1"/>
        <w:textDirection w:val="tbRlV"/>
      </w:pPr>
      <w:r>
        <w:rPr>
          <w:rtl/>
        </w:rPr>
        <w:t>(</w:t>
      </w:r>
      <w:r w:rsidRPr="003231D2">
        <w:rPr>
          <w:lang w:val="en-AU"/>
        </w:rPr>
        <w:footnoteRef/>
      </w:r>
      <w:r>
        <w:rPr>
          <w:rtl/>
        </w:rPr>
        <w:t>)</w:t>
      </w:r>
      <w:r w:rsidRPr="008E4FF5">
        <w:rPr>
          <w:rtl/>
        </w:rPr>
        <w:tab/>
      </w:r>
      <w:hyperlink r:id="rId26" w:history="1">
        <w:r w:rsidRPr="00A1027B">
          <w:rPr>
            <w:rStyle w:val="Hyperlink"/>
          </w:rPr>
          <w:t>A/HRC/</w:t>
        </w:r>
        <w:r w:rsidRPr="003231D2">
          <w:rPr>
            <w:rStyle w:val="Hyperlink"/>
          </w:rPr>
          <w:t>52</w:t>
        </w:r>
        <w:r w:rsidRPr="00A1027B">
          <w:rPr>
            <w:rStyle w:val="Hyperlink"/>
          </w:rPr>
          <w:t>/</w:t>
        </w:r>
        <w:r w:rsidRPr="003231D2">
          <w:rPr>
            <w:rStyle w:val="Hyperlink"/>
          </w:rPr>
          <w:t>25</w:t>
        </w:r>
      </w:hyperlink>
      <w:r w:rsidRPr="008E4FF5">
        <w:rPr>
          <w:rtl/>
        </w:rPr>
        <w:t>؛</w:t>
      </w:r>
      <w:r>
        <w:rPr>
          <w:rtl/>
        </w:rPr>
        <w:t xml:space="preserve"> و</w:t>
      </w:r>
      <w:hyperlink r:id="rId27" w:history="1">
        <w:r w:rsidRPr="00A1027B">
          <w:rPr>
            <w:rStyle w:val="Hyperlink"/>
          </w:rPr>
          <w:t>A/HRC/</w:t>
        </w:r>
        <w:r w:rsidRPr="003231D2">
          <w:rPr>
            <w:rStyle w:val="Hyperlink"/>
          </w:rPr>
          <w:t>49</w:t>
        </w:r>
        <w:r w:rsidRPr="00A1027B">
          <w:rPr>
            <w:rStyle w:val="Hyperlink"/>
          </w:rPr>
          <w:t>/</w:t>
        </w:r>
        <w:r w:rsidRPr="003231D2">
          <w:rPr>
            <w:rStyle w:val="Hyperlink"/>
          </w:rPr>
          <w:t>19</w:t>
        </w:r>
      </w:hyperlink>
      <w:r w:rsidRPr="008E4FF5">
        <w:rPr>
          <w:rtl/>
        </w:rPr>
        <w:t xml:space="preserve">، الفقرتان </w:t>
      </w:r>
      <w:r w:rsidRPr="003231D2">
        <w:rPr>
          <w:rtl/>
        </w:rPr>
        <w:t>30</w:t>
      </w:r>
      <w:r w:rsidRPr="008E4FF5">
        <w:rPr>
          <w:rtl/>
        </w:rPr>
        <w:t xml:space="preserve"> و</w:t>
      </w:r>
      <w:r w:rsidRPr="003231D2">
        <w:rPr>
          <w:rtl/>
        </w:rPr>
        <w:t>31</w:t>
      </w:r>
      <w:r w:rsidRPr="008E4FF5">
        <w:rPr>
          <w:rtl/>
        </w:rPr>
        <w:t>.</w:t>
      </w:r>
    </w:p>
  </w:footnote>
  <w:footnote w:id="21">
    <w:p w14:paraId="0CCB3938" w14:textId="77777777" w:rsidR="00A1027B" w:rsidRPr="008E4FF5" w:rsidRDefault="00A1027B" w:rsidP="00A1027B">
      <w:pPr>
        <w:pStyle w:val="FootnoteText1"/>
        <w:textDirection w:val="tbRlV"/>
      </w:pPr>
      <w:r>
        <w:rPr>
          <w:rtl/>
        </w:rPr>
        <w:t>(</w:t>
      </w:r>
      <w:r w:rsidRPr="003231D2">
        <w:rPr>
          <w:lang w:val="en-AU"/>
        </w:rPr>
        <w:footnoteRef/>
      </w:r>
      <w:r>
        <w:rPr>
          <w:rtl/>
        </w:rPr>
        <w:t>)</w:t>
      </w:r>
      <w:r w:rsidRPr="008E4FF5">
        <w:rPr>
          <w:rtl/>
        </w:rPr>
        <w:tab/>
      </w:r>
      <w:hyperlink r:id="rId28" w:history="1">
        <w:r w:rsidRPr="00A1027B">
          <w:rPr>
            <w:rStyle w:val="Hyperlink"/>
          </w:rPr>
          <w:t>A/HRC/</w:t>
        </w:r>
        <w:r w:rsidRPr="003231D2">
          <w:rPr>
            <w:rStyle w:val="Hyperlink"/>
          </w:rPr>
          <w:t>49</w:t>
        </w:r>
        <w:r w:rsidRPr="00A1027B">
          <w:rPr>
            <w:rStyle w:val="Hyperlink"/>
          </w:rPr>
          <w:t>/</w:t>
        </w:r>
        <w:r w:rsidRPr="003231D2">
          <w:rPr>
            <w:rStyle w:val="Hyperlink"/>
          </w:rPr>
          <w:t>19</w:t>
        </w:r>
      </w:hyperlink>
      <w:r w:rsidRPr="008E4FF5">
        <w:rPr>
          <w:rtl/>
        </w:rPr>
        <w:t xml:space="preserve">، الفقرات </w:t>
      </w:r>
      <w:r w:rsidRPr="003231D2">
        <w:rPr>
          <w:rtl/>
        </w:rPr>
        <w:t>18</w:t>
      </w:r>
      <w:r w:rsidRPr="008E4FF5">
        <w:rPr>
          <w:rtl/>
        </w:rPr>
        <w:t>، و</w:t>
      </w:r>
      <w:r w:rsidRPr="003231D2">
        <w:rPr>
          <w:rtl/>
        </w:rPr>
        <w:t>28</w:t>
      </w:r>
      <w:r w:rsidRPr="008E4FF5">
        <w:rPr>
          <w:rtl/>
        </w:rPr>
        <w:t>، و</w:t>
      </w:r>
      <w:r w:rsidRPr="003231D2">
        <w:rPr>
          <w:rtl/>
        </w:rPr>
        <w:t>41</w:t>
      </w:r>
      <w:r w:rsidRPr="008E4FF5">
        <w:rPr>
          <w:rtl/>
        </w:rPr>
        <w:t>؛</w:t>
      </w:r>
      <w:r>
        <w:rPr>
          <w:rtl/>
        </w:rPr>
        <w:t xml:space="preserve"> و</w:t>
      </w:r>
      <w:hyperlink r:id="rId29" w:history="1">
        <w:r w:rsidRPr="00A1027B">
          <w:rPr>
            <w:rStyle w:val="Hyperlink"/>
          </w:rPr>
          <w:t>A/HRC/</w:t>
        </w:r>
        <w:r w:rsidRPr="003231D2">
          <w:rPr>
            <w:rStyle w:val="Hyperlink"/>
          </w:rPr>
          <w:t>46</w:t>
        </w:r>
        <w:r w:rsidRPr="00A1027B">
          <w:rPr>
            <w:rStyle w:val="Hyperlink"/>
          </w:rPr>
          <w:t>/</w:t>
        </w:r>
        <w:r w:rsidRPr="003231D2">
          <w:rPr>
            <w:rStyle w:val="Hyperlink"/>
          </w:rPr>
          <w:t>76</w:t>
        </w:r>
      </w:hyperlink>
      <w:r w:rsidRPr="008E4FF5">
        <w:rPr>
          <w:rtl/>
        </w:rPr>
        <w:t xml:space="preserve">، الفقرات </w:t>
      </w:r>
      <w:r w:rsidRPr="003231D2">
        <w:rPr>
          <w:rtl/>
        </w:rPr>
        <w:t>6</w:t>
      </w:r>
      <w:r w:rsidRPr="008E4FF5">
        <w:rPr>
          <w:rtl/>
        </w:rPr>
        <w:t xml:space="preserve"> و</w:t>
      </w:r>
      <w:r w:rsidRPr="003231D2">
        <w:rPr>
          <w:rtl/>
        </w:rPr>
        <w:t>16</w:t>
      </w:r>
      <w:r w:rsidRPr="008E4FF5">
        <w:rPr>
          <w:rtl/>
        </w:rPr>
        <w:t xml:space="preserve"> و</w:t>
      </w:r>
      <w:r w:rsidRPr="003231D2">
        <w:rPr>
          <w:rtl/>
        </w:rPr>
        <w:t>22</w:t>
      </w:r>
      <w:r w:rsidRPr="008E4FF5">
        <w:rPr>
          <w:rtl/>
        </w:rPr>
        <w:t>.</w:t>
      </w:r>
    </w:p>
  </w:footnote>
  <w:footnote w:id="22">
    <w:p w14:paraId="320E2C82" w14:textId="77777777" w:rsidR="00A1027B" w:rsidRPr="008E4FF5" w:rsidRDefault="00A1027B" w:rsidP="00A1027B">
      <w:pPr>
        <w:pStyle w:val="FootnoteText1"/>
        <w:textDirection w:val="tbRlV"/>
      </w:pPr>
      <w:r>
        <w:rPr>
          <w:rtl/>
        </w:rPr>
        <w:t>(</w:t>
      </w:r>
      <w:r w:rsidRPr="003231D2">
        <w:rPr>
          <w:lang w:val="en-AU"/>
        </w:rPr>
        <w:footnoteRef/>
      </w:r>
      <w:r>
        <w:rPr>
          <w:rtl/>
        </w:rPr>
        <w:t>)</w:t>
      </w:r>
      <w:r w:rsidRPr="008E4FF5">
        <w:rPr>
          <w:rtl/>
        </w:rPr>
        <w:tab/>
      </w:r>
      <w:hyperlink r:id="rId30" w:history="1">
        <w:r w:rsidRPr="00A1027B">
          <w:rPr>
            <w:rStyle w:val="Hyperlink"/>
          </w:rPr>
          <w:t>CERD/C/COL/CO/</w:t>
        </w:r>
        <w:r w:rsidRPr="003231D2">
          <w:rPr>
            <w:rStyle w:val="Hyperlink"/>
          </w:rPr>
          <w:t>17</w:t>
        </w:r>
        <w:r w:rsidRPr="00A1027B">
          <w:rPr>
            <w:rStyle w:val="Hyperlink"/>
          </w:rPr>
          <w:t>-</w:t>
        </w:r>
        <w:r w:rsidRPr="003231D2">
          <w:rPr>
            <w:rStyle w:val="Hyperlink"/>
          </w:rPr>
          <w:t>19</w:t>
        </w:r>
      </w:hyperlink>
      <w:r w:rsidRPr="008E4FF5">
        <w:rPr>
          <w:rtl/>
        </w:rPr>
        <w:t xml:space="preserve">، الفقرتان </w:t>
      </w:r>
      <w:r w:rsidRPr="003231D2">
        <w:rPr>
          <w:rtl/>
        </w:rPr>
        <w:t>12</w:t>
      </w:r>
      <w:r w:rsidRPr="008E4FF5">
        <w:rPr>
          <w:rtl/>
        </w:rPr>
        <w:t xml:space="preserve"> و</w:t>
      </w:r>
      <w:r w:rsidRPr="003231D2">
        <w:rPr>
          <w:rtl/>
        </w:rPr>
        <w:t>13</w:t>
      </w:r>
      <w:r w:rsidRPr="008E4FF5">
        <w:rPr>
          <w:rtl/>
        </w:rPr>
        <w:t>؛</w:t>
      </w:r>
      <w:r>
        <w:rPr>
          <w:rtl/>
        </w:rPr>
        <w:t xml:space="preserve"> و</w:t>
      </w:r>
      <w:hyperlink r:id="rId31" w:history="1">
        <w:r w:rsidRPr="00A1027B">
          <w:rPr>
            <w:rStyle w:val="Hyperlink"/>
          </w:rPr>
          <w:t>A/HRC/</w:t>
        </w:r>
        <w:r w:rsidRPr="003231D2">
          <w:rPr>
            <w:rStyle w:val="Hyperlink"/>
          </w:rPr>
          <w:t>52</w:t>
        </w:r>
        <w:r w:rsidRPr="00A1027B">
          <w:rPr>
            <w:rStyle w:val="Hyperlink"/>
          </w:rPr>
          <w:t>/</w:t>
        </w:r>
        <w:r w:rsidRPr="003231D2">
          <w:rPr>
            <w:rStyle w:val="Hyperlink"/>
          </w:rPr>
          <w:t>25</w:t>
        </w:r>
        <w:r w:rsidRPr="00A1027B">
          <w:rPr>
            <w:rStyle w:val="Hyperlink"/>
            <w:rtl/>
          </w:rPr>
          <w:t>.</w:t>
        </w:r>
      </w:hyperlink>
    </w:p>
  </w:footnote>
  <w:footnote w:id="23">
    <w:p w14:paraId="7C438DA3" w14:textId="77777777" w:rsidR="00A1027B" w:rsidRPr="008E4FF5" w:rsidRDefault="00A1027B" w:rsidP="00A1027B">
      <w:pPr>
        <w:pStyle w:val="FootnoteText1"/>
        <w:textDirection w:val="tbRlV"/>
      </w:pPr>
      <w:r>
        <w:rPr>
          <w:rtl/>
        </w:rPr>
        <w:t>(</w:t>
      </w:r>
      <w:r w:rsidRPr="003231D2">
        <w:rPr>
          <w:lang w:val="en-AU"/>
        </w:rPr>
        <w:footnoteRef/>
      </w:r>
      <w:r>
        <w:rPr>
          <w:rtl/>
        </w:rPr>
        <w:t>)</w:t>
      </w:r>
      <w:r w:rsidRPr="008E4FF5">
        <w:rPr>
          <w:rtl/>
        </w:rPr>
        <w:tab/>
      </w:r>
      <w:hyperlink r:id="rId32" w:history="1">
        <w:r w:rsidRPr="00A1027B">
          <w:rPr>
            <w:rStyle w:val="Hyperlink"/>
          </w:rPr>
          <w:t>A/HRC/</w:t>
        </w:r>
        <w:r w:rsidRPr="003231D2">
          <w:rPr>
            <w:rStyle w:val="Hyperlink"/>
          </w:rPr>
          <w:t>49</w:t>
        </w:r>
        <w:r w:rsidRPr="00A1027B">
          <w:rPr>
            <w:rStyle w:val="Hyperlink"/>
          </w:rPr>
          <w:t>/</w:t>
        </w:r>
        <w:r w:rsidRPr="003231D2">
          <w:rPr>
            <w:rStyle w:val="Hyperlink"/>
          </w:rPr>
          <w:t>19</w:t>
        </w:r>
      </w:hyperlink>
      <w:r w:rsidRPr="008E4FF5">
        <w:rPr>
          <w:rtl/>
        </w:rPr>
        <w:t xml:space="preserve">، الفقرة </w:t>
      </w:r>
      <w:r w:rsidRPr="003231D2">
        <w:rPr>
          <w:rtl/>
        </w:rPr>
        <w:t>45</w:t>
      </w:r>
      <w:r w:rsidRPr="008E4FF5">
        <w:rPr>
          <w:rtl/>
        </w:rPr>
        <w:t>؛</w:t>
      </w:r>
      <w:r>
        <w:rPr>
          <w:rtl/>
        </w:rPr>
        <w:t xml:space="preserve"> و</w:t>
      </w:r>
      <w:hyperlink r:id="rId33" w:history="1">
        <w:r w:rsidRPr="00A1027B">
          <w:rPr>
            <w:rStyle w:val="Hyperlink"/>
          </w:rPr>
          <w:t>CED/C/COL/OAI/</w:t>
        </w:r>
        <w:r w:rsidRPr="003231D2">
          <w:rPr>
            <w:rStyle w:val="Hyperlink"/>
          </w:rPr>
          <w:t>1</w:t>
        </w:r>
      </w:hyperlink>
      <w:r w:rsidRPr="008E4FF5">
        <w:rPr>
          <w:rtl/>
        </w:rPr>
        <w:t xml:space="preserve">، الفقرات </w:t>
      </w:r>
      <w:r w:rsidRPr="003231D2">
        <w:rPr>
          <w:rtl/>
        </w:rPr>
        <w:t>22</w:t>
      </w:r>
      <w:r w:rsidRPr="008E4FF5">
        <w:rPr>
          <w:rtl/>
        </w:rPr>
        <w:t>-</w:t>
      </w:r>
      <w:r w:rsidRPr="003231D2">
        <w:rPr>
          <w:rtl/>
        </w:rPr>
        <w:t>25</w:t>
      </w:r>
      <w:r w:rsidRPr="008E4FF5">
        <w:rPr>
          <w:rtl/>
        </w:rPr>
        <w:t>.</w:t>
      </w:r>
    </w:p>
  </w:footnote>
  <w:footnote w:id="24">
    <w:p w14:paraId="1DCDCD01" w14:textId="77777777" w:rsidR="00A1027B" w:rsidRPr="008E4FF5" w:rsidRDefault="00A1027B" w:rsidP="008E4FF5">
      <w:pPr>
        <w:pStyle w:val="FootnoteText1"/>
        <w:textDirection w:val="tbRlV"/>
      </w:pPr>
      <w:r>
        <w:rPr>
          <w:rtl/>
        </w:rPr>
        <w:t>(</w:t>
      </w:r>
      <w:r w:rsidRPr="003231D2">
        <w:rPr>
          <w:lang w:val="en-AU"/>
        </w:rPr>
        <w:footnoteRef/>
      </w:r>
      <w:r>
        <w:rPr>
          <w:rtl/>
        </w:rPr>
        <w:t>)</w:t>
      </w:r>
      <w:r w:rsidRPr="008E4FF5">
        <w:rPr>
          <w:rtl/>
        </w:rPr>
        <w:tab/>
      </w:r>
      <w:r>
        <w:t>OHCH</w:t>
      </w:r>
      <w:r w:rsidRPr="00A1027B">
        <w:t xml:space="preserve">R: </w:t>
      </w:r>
      <w:r w:rsidRPr="003231D2">
        <w:rPr>
          <w:i/>
          <w:iCs/>
        </w:rPr>
        <w:t>Territorial Violence in Colombia: Recommendations for the New Government</w:t>
      </w:r>
      <w:r>
        <w:t xml:space="preserve"> (</w:t>
      </w:r>
      <w:proofErr w:type="gramStart"/>
      <w:r w:rsidRPr="003231D2">
        <w:t>2022</w:t>
      </w:r>
      <w:r w:rsidRPr="00A1027B">
        <w:t>),</w:t>
      </w:r>
      <w:proofErr w:type="gramEnd"/>
      <w:r w:rsidRPr="00A1027B">
        <w:t xml:space="preserve"> </w:t>
      </w:r>
      <w:r>
        <w:t>para</w:t>
      </w:r>
      <w:r w:rsidRPr="00A1027B">
        <w:t xml:space="preserve">s. </w:t>
      </w:r>
      <w:r w:rsidRPr="003231D2">
        <w:t>90</w:t>
      </w:r>
      <w:r>
        <w:t>–</w:t>
      </w:r>
      <w:r w:rsidRPr="003231D2">
        <w:t>92</w:t>
      </w:r>
      <w:r w:rsidRPr="008E4FF5">
        <w:rPr>
          <w:rtl/>
        </w:rPr>
        <w:t>.</w:t>
      </w:r>
    </w:p>
  </w:footnote>
  <w:footnote w:id="25">
    <w:p w14:paraId="1140EC18" w14:textId="3A13E648" w:rsidR="00A1027B" w:rsidRPr="008E4FF5" w:rsidRDefault="00A1027B" w:rsidP="008E4FF5">
      <w:pPr>
        <w:pStyle w:val="FootnoteText1"/>
        <w:textDirection w:val="tbRlV"/>
      </w:pPr>
      <w:r>
        <w:rPr>
          <w:rtl/>
        </w:rPr>
        <w:t>(</w:t>
      </w:r>
      <w:r w:rsidRPr="003231D2">
        <w:rPr>
          <w:lang w:val="en-AU"/>
        </w:rPr>
        <w:footnoteRef/>
      </w:r>
      <w:r>
        <w:rPr>
          <w:rtl/>
        </w:rPr>
        <w:t>)</w:t>
      </w:r>
      <w:r w:rsidRPr="008E4FF5">
        <w:rPr>
          <w:rtl/>
        </w:rPr>
        <w:tab/>
        <w:t xml:space="preserve">قرار مجلس حقوق الإنسان </w:t>
      </w:r>
      <w:hyperlink r:id="rId34" w:history="1">
        <w:r w:rsidRPr="00854508">
          <w:rPr>
            <w:rStyle w:val="Hyperlink"/>
            <w:rtl/>
          </w:rPr>
          <w:t>52/24</w:t>
        </w:r>
      </w:hyperlink>
      <w:r w:rsidRPr="00A1027B">
        <w:rPr>
          <w:rtl/>
        </w:rPr>
        <w:t>.</w:t>
      </w:r>
      <w:r w:rsidRPr="00A1027B">
        <w:rPr>
          <w:rtl/>
        </w:rPr>
        <w:t xml:space="preserve"> </w:t>
      </w:r>
    </w:p>
  </w:footnote>
  <w:footnote w:id="26">
    <w:p w14:paraId="3760D8B9" w14:textId="77777777" w:rsidR="00A1027B" w:rsidRPr="008E4FF5" w:rsidRDefault="00A1027B" w:rsidP="00A1027B">
      <w:pPr>
        <w:pStyle w:val="FootnoteText1"/>
        <w:textDirection w:val="tbRlV"/>
      </w:pPr>
      <w:r>
        <w:rPr>
          <w:rtl/>
        </w:rPr>
        <w:t>(</w:t>
      </w:r>
      <w:r w:rsidRPr="003231D2">
        <w:rPr>
          <w:lang w:val="en-AU"/>
        </w:rPr>
        <w:footnoteRef/>
      </w:r>
      <w:r>
        <w:rPr>
          <w:rtl/>
        </w:rPr>
        <w:t>)</w:t>
      </w:r>
      <w:r w:rsidRPr="008E4FF5">
        <w:rPr>
          <w:rtl/>
        </w:rPr>
        <w:tab/>
      </w:r>
      <w:hyperlink r:id="rId35" w:history="1">
        <w:r w:rsidRPr="00A1027B">
          <w:rPr>
            <w:rStyle w:val="Hyperlink"/>
          </w:rPr>
          <w:t>A/HRC/</w:t>
        </w:r>
        <w:r w:rsidRPr="003231D2">
          <w:rPr>
            <w:rStyle w:val="Hyperlink"/>
          </w:rPr>
          <w:t>52</w:t>
        </w:r>
        <w:r w:rsidRPr="00A1027B">
          <w:rPr>
            <w:rStyle w:val="Hyperlink"/>
          </w:rPr>
          <w:t>/</w:t>
        </w:r>
        <w:r w:rsidRPr="003231D2">
          <w:rPr>
            <w:rStyle w:val="Hyperlink"/>
          </w:rPr>
          <w:t>25</w:t>
        </w:r>
      </w:hyperlink>
      <w:r>
        <w:rPr>
          <w:rtl/>
        </w:rPr>
        <w:t>؛</w:t>
      </w:r>
      <w:r w:rsidRPr="008E4FF5">
        <w:rPr>
          <w:rtl/>
        </w:rPr>
        <w:t xml:space="preserve"> و</w:t>
      </w:r>
      <w:hyperlink r:id="rId36" w:history="1">
        <w:r w:rsidRPr="00A1027B">
          <w:rPr>
            <w:rStyle w:val="Hyperlink"/>
          </w:rPr>
          <w:t>A/HRC/</w:t>
        </w:r>
        <w:r w:rsidRPr="003231D2">
          <w:rPr>
            <w:rStyle w:val="Hyperlink"/>
          </w:rPr>
          <w:t>49</w:t>
        </w:r>
        <w:r w:rsidRPr="00A1027B">
          <w:rPr>
            <w:rStyle w:val="Hyperlink"/>
          </w:rPr>
          <w:t>/</w:t>
        </w:r>
        <w:r w:rsidRPr="003231D2">
          <w:rPr>
            <w:rStyle w:val="Hyperlink"/>
          </w:rPr>
          <w:t>19</w:t>
        </w:r>
      </w:hyperlink>
      <w:r w:rsidRPr="008E4FF5">
        <w:rPr>
          <w:rtl/>
        </w:rPr>
        <w:t xml:space="preserve">، الفقرتان </w:t>
      </w:r>
      <w:r w:rsidRPr="003231D2">
        <w:rPr>
          <w:rtl/>
        </w:rPr>
        <w:t>59</w:t>
      </w:r>
      <w:r>
        <w:rPr>
          <w:rtl/>
        </w:rPr>
        <w:t xml:space="preserve"> و</w:t>
      </w:r>
      <w:r w:rsidRPr="003231D2">
        <w:rPr>
          <w:rtl/>
        </w:rPr>
        <w:t>60</w:t>
      </w:r>
      <w:r w:rsidRPr="008E4FF5">
        <w:rPr>
          <w:rtl/>
        </w:rPr>
        <w:t>.</w:t>
      </w:r>
    </w:p>
  </w:footnote>
  <w:footnote w:id="27">
    <w:p w14:paraId="131AE8FC" w14:textId="77777777" w:rsidR="00A1027B" w:rsidRPr="008E4FF5" w:rsidRDefault="00A1027B" w:rsidP="008E4FF5">
      <w:pPr>
        <w:pStyle w:val="FootnoteText1"/>
        <w:textDirection w:val="tbRlV"/>
      </w:pPr>
      <w:r>
        <w:rPr>
          <w:rtl/>
        </w:rPr>
        <w:t>(</w:t>
      </w:r>
      <w:r w:rsidRPr="003231D2">
        <w:rPr>
          <w:lang w:val="en-AU"/>
        </w:rPr>
        <w:footnoteRef/>
      </w:r>
      <w:r>
        <w:rPr>
          <w:rtl/>
        </w:rPr>
        <w:t>)</w:t>
      </w:r>
      <w:r w:rsidRPr="008E4FF5">
        <w:rPr>
          <w:rtl/>
        </w:rPr>
        <w:tab/>
        <w:t xml:space="preserve">الحكم المؤرخ </w:t>
      </w:r>
      <w:r w:rsidRPr="003231D2">
        <w:rPr>
          <w:rtl/>
        </w:rPr>
        <w:t>26</w:t>
      </w:r>
      <w:r w:rsidRPr="008E4FF5">
        <w:rPr>
          <w:rtl/>
        </w:rPr>
        <w:t xml:space="preserve"> آب/أغسطس </w:t>
      </w:r>
      <w:r w:rsidRPr="003231D2">
        <w:rPr>
          <w:rtl/>
        </w:rPr>
        <w:t>2021</w:t>
      </w:r>
      <w:r w:rsidRPr="008E4FF5">
        <w:rPr>
          <w:rtl/>
        </w:rPr>
        <w:t>.</w:t>
      </w:r>
    </w:p>
  </w:footnote>
  <w:footnote w:id="28">
    <w:p w14:paraId="69DB17A3" w14:textId="77777777" w:rsidR="00A1027B" w:rsidRPr="008E4FF5" w:rsidRDefault="00A1027B" w:rsidP="008E4FF5">
      <w:pPr>
        <w:pStyle w:val="FootnoteText1"/>
        <w:textDirection w:val="tbRlV"/>
      </w:pPr>
      <w:r>
        <w:rPr>
          <w:rtl/>
        </w:rPr>
        <w:t>(</w:t>
      </w:r>
      <w:r w:rsidRPr="003231D2">
        <w:rPr>
          <w:lang w:val="en-AU"/>
        </w:rPr>
        <w:footnoteRef/>
      </w:r>
      <w:r>
        <w:rPr>
          <w:rtl/>
        </w:rPr>
        <w:t>)</w:t>
      </w:r>
      <w:r w:rsidRPr="008E4FF5">
        <w:rPr>
          <w:rtl/>
        </w:rPr>
        <w:tab/>
        <w:t xml:space="preserve">الحكم المؤرخ </w:t>
      </w:r>
      <w:r w:rsidRPr="003231D2">
        <w:rPr>
          <w:rtl/>
        </w:rPr>
        <w:t>27</w:t>
      </w:r>
      <w:r w:rsidRPr="008E4FF5">
        <w:rPr>
          <w:rtl/>
        </w:rPr>
        <w:t xml:space="preserve"> تموز/يوليه </w:t>
      </w:r>
      <w:r w:rsidRPr="003231D2">
        <w:rPr>
          <w:rtl/>
        </w:rPr>
        <w:t>2022</w:t>
      </w:r>
      <w:r w:rsidRPr="008E4FF5">
        <w:rPr>
          <w:rtl/>
        </w:rPr>
        <w:t>.</w:t>
      </w:r>
    </w:p>
  </w:footnote>
  <w:footnote w:id="29">
    <w:p w14:paraId="35BFE5EF" w14:textId="77777777" w:rsidR="00A1027B" w:rsidRPr="008E4FF5" w:rsidRDefault="00A1027B" w:rsidP="00A1027B">
      <w:pPr>
        <w:pStyle w:val="FootnoteText1"/>
        <w:textDirection w:val="tbRlV"/>
      </w:pPr>
      <w:r>
        <w:rPr>
          <w:rtl/>
        </w:rPr>
        <w:t>(</w:t>
      </w:r>
      <w:r w:rsidRPr="003231D2">
        <w:rPr>
          <w:lang w:val="en-AU"/>
        </w:rPr>
        <w:footnoteRef/>
      </w:r>
      <w:r>
        <w:rPr>
          <w:rtl/>
        </w:rPr>
        <w:t>)</w:t>
      </w:r>
      <w:r w:rsidRPr="008E4FF5">
        <w:rPr>
          <w:rtl/>
        </w:rPr>
        <w:tab/>
      </w:r>
      <w:hyperlink r:id="rId37" w:history="1">
        <w:r w:rsidRPr="00A1027B">
          <w:rPr>
            <w:rStyle w:val="Hyperlink"/>
          </w:rPr>
          <w:t>A/HRC/</w:t>
        </w:r>
        <w:r w:rsidRPr="003231D2">
          <w:rPr>
            <w:rStyle w:val="Hyperlink"/>
          </w:rPr>
          <w:t>49</w:t>
        </w:r>
        <w:r w:rsidRPr="00A1027B">
          <w:rPr>
            <w:rStyle w:val="Hyperlink"/>
          </w:rPr>
          <w:t>/</w:t>
        </w:r>
        <w:r w:rsidRPr="003231D2">
          <w:rPr>
            <w:rStyle w:val="Hyperlink"/>
          </w:rPr>
          <w:t>19</w:t>
        </w:r>
      </w:hyperlink>
      <w:r w:rsidRPr="008E4FF5">
        <w:rPr>
          <w:rtl/>
        </w:rPr>
        <w:t xml:space="preserve">، الفقرة </w:t>
      </w:r>
      <w:r w:rsidRPr="003231D2">
        <w:rPr>
          <w:rtl/>
        </w:rPr>
        <w:t>57</w:t>
      </w:r>
      <w:r w:rsidRPr="008E4FF5">
        <w:rPr>
          <w:rtl/>
        </w:rPr>
        <w:t>؛</w:t>
      </w:r>
      <w:r>
        <w:rPr>
          <w:rtl/>
        </w:rPr>
        <w:t xml:space="preserve"> و</w:t>
      </w:r>
      <w:hyperlink r:id="rId38" w:history="1">
        <w:r w:rsidRPr="00A1027B">
          <w:rPr>
            <w:rStyle w:val="Hyperlink"/>
          </w:rPr>
          <w:t>CED/C/COL/OAI/</w:t>
        </w:r>
        <w:r w:rsidRPr="003231D2">
          <w:rPr>
            <w:rStyle w:val="Hyperlink"/>
          </w:rPr>
          <w:t>1</w:t>
        </w:r>
      </w:hyperlink>
      <w:r w:rsidRPr="008E4FF5">
        <w:rPr>
          <w:rtl/>
        </w:rPr>
        <w:t xml:space="preserve">، الفقرتان </w:t>
      </w:r>
      <w:r w:rsidRPr="003231D2">
        <w:rPr>
          <w:rtl/>
        </w:rPr>
        <w:t>26</w:t>
      </w:r>
      <w:r w:rsidRPr="008E4FF5">
        <w:rPr>
          <w:rtl/>
        </w:rPr>
        <w:t xml:space="preserve"> و</w:t>
      </w:r>
      <w:r w:rsidRPr="003231D2">
        <w:rPr>
          <w:rtl/>
        </w:rPr>
        <w:t>27</w:t>
      </w:r>
      <w:r>
        <w:rPr>
          <w:rtl/>
        </w:rPr>
        <w:t>؛ و</w:t>
      </w:r>
      <w:hyperlink r:id="rId39" w:history="1">
        <w:r w:rsidRPr="00A1027B">
          <w:rPr>
            <w:rStyle w:val="Hyperlink"/>
          </w:rPr>
          <w:t>A/HRC/</w:t>
        </w:r>
        <w:r w:rsidRPr="003231D2">
          <w:rPr>
            <w:rStyle w:val="Hyperlink"/>
          </w:rPr>
          <w:t>52</w:t>
        </w:r>
        <w:r w:rsidRPr="00A1027B">
          <w:rPr>
            <w:rStyle w:val="Hyperlink"/>
          </w:rPr>
          <w:t>/</w:t>
        </w:r>
        <w:r w:rsidRPr="003231D2">
          <w:rPr>
            <w:rStyle w:val="Hyperlink"/>
          </w:rPr>
          <w:t>25</w:t>
        </w:r>
        <w:r w:rsidRPr="00A1027B">
          <w:rPr>
            <w:rStyle w:val="Hyperlink"/>
            <w:rtl/>
          </w:rPr>
          <w:t>.</w:t>
        </w:r>
      </w:hyperlink>
    </w:p>
  </w:footnote>
  <w:footnote w:id="30">
    <w:p w14:paraId="6A4FDA18" w14:textId="77777777" w:rsidR="00A1027B" w:rsidRPr="008E4FF5" w:rsidRDefault="00A1027B" w:rsidP="00A1027B">
      <w:pPr>
        <w:pStyle w:val="FootnoteText1"/>
        <w:textDirection w:val="tbRlV"/>
      </w:pPr>
      <w:r>
        <w:rPr>
          <w:rtl/>
        </w:rPr>
        <w:t>(</w:t>
      </w:r>
      <w:r w:rsidRPr="003231D2">
        <w:rPr>
          <w:lang w:val="en-AU"/>
        </w:rPr>
        <w:footnoteRef/>
      </w:r>
      <w:r>
        <w:rPr>
          <w:rtl/>
        </w:rPr>
        <w:t>)</w:t>
      </w:r>
      <w:r w:rsidRPr="008E4FF5">
        <w:rPr>
          <w:rtl/>
        </w:rPr>
        <w:tab/>
      </w:r>
      <w:hyperlink r:id="rId40" w:history="1">
        <w:r w:rsidRPr="00A1027B">
          <w:rPr>
            <w:rStyle w:val="Hyperlink"/>
          </w:rPr>
          <w:t>CED/C/COL/OAI/</w:t>
        </w:r>
        <w:r w:rsidRPr="003231D2">
          <w:rPr>
            <w:rStyle w:val="Hyperlink"/>
          </w:rPr>
          <w:t>1</w:t>
        </w:r>
      </w:hyperlink>
      <w:r w:rsidRPr="008E4FF5">
        <w:rPr>
          <w:rtl/>
        </w:rPr>
        <w:t xml:space="preserve">، الفقرة </w:t>
      </w:r>
      <w:r w:rsidRPr="003231D2">
        <w:rPr>
          <w:rtl/>
        </w:rPr>
        <w:t>27</w:t>
      </w:r>
      <w:r w:rsidRPr="008E4FF5">
        <w:rPr>
          <w:rtl/>
        </w:rPr>
        <w:t>.</w:t>
      </w:r>
    </w:p>
  </w:footnote>
  <w:footnote w:id="31">
    <w:p w14:paraId="7B37C730" w14:textId="77777777" w:rsidR="00A1027B" w:rsidRPr="008E4FF5" w:rsidRDefault="00A1027B" w:rsidP="00A1027B">
      <w:pPr>
        <w:pStyle w:val="FootnoteText1"/>
        <w:textDirection w:val="tbRlV"/>
      </w:pPr>
      <w:r>
        <w:rPr>
          <w:rtl/>
        </w:rPr>
        <w:t>(</w:t>
      </w:r>
      <w:r w:rsidRPr="003231D2">
        <w:rPr>
          <w:lang w:val="en-AU"/>
        </w:rPr>
        <w:footnoteRef/>
      </w:r>
      <w:r>
        <w:rPr>
          <w:rtl/>
        </w:rPr>
        <w:t>)</w:t>
      </w:r>
      <w:r w:rsidRPr="008E4FF5">
        <w:rPr>
          <w:rtl/>
        </w:rPr>
        <w:tab/>
      </w:r>
      <w:hyperlink r:id="rId41" w:history="1">
        <w:r w:rsidRPr="00A1027B">
          <w:rPr>
            <w:rStyle w:val="Hyperlink"/>
          </w:rPr>
          <w:t>A/</w:t>
        </w:r>
        <w:r w:rsidRPr="003231D2">
          <w:rPr>
            <w:rStyle w:val="Hyperlink"/>
          </w:rPr>
          <w:t>77</w:t>
        </w:r>
        <w:r w:rsidRPr="00A1027B">
          <w:rPr>
            <w:rStyle w:val="Hyperlink"/>
          </w:rPr>
          <w:t>/</w:t>
        </w:r>
        <w:r w:rsidRPr="003231D2">
          <w:rPr>
            <w:rStyle w:val="Hyperlink"/>
          </w:rPr>
          <w:t>56</w:t>
        </w:r>
      </w:hyperlink>
      <w:r w:rsidRPr="008E4FF5">
        <w:rPr>
          <w:rtl/>
        </w:rPr>
        <w:t xml:space="preserve">، الفقرة </w:t>
      </w:r>
      <w:r w:rsidRPr="003231D2">
        <w:rPr>
          <w:rtl/>
        </w:rPr>
        <w:t>83</w:t>
      </w:r>
      <w:r w:rsidRPr="008E4FF5">
        <w:rPr>
          <w:rtl/>
        </w:rPr>
        <w:t>.</w:t>
      </w:r>
    </w:p>
  </w:footnote>
  <w:footnote w:id="32">
    <w:p w14:paraId="1BFDA4B6" w14:textId="77777777" w:rsidR="00A1027B" w:rsidRPr="008E4FF5" w:rsidRDefault="00A1027B" w:rsidP="00A1027B">
      <w:pPr>
        <w:pStyle w:val="FootnoteText1"/>
        <w:textDirection w:val="tbRlV"/>
      </w:pPr>
      <w:r>
        <w:rPr>
          <w:rtl/>
        </w:rPr>
        <w:t>(</w:t>
      </w:r>
      <w:r w:rsidRPr="003231D2">
        <w:rPr>
          <w:lang w:val="en-AU"/>
        </w:rPr>
        <w:footnoteRef/>
      </w:r>
      <w:r>
        <w:rPr>
          <w:rtl/>
        </w:rPr>
        <w:t>)</w:t>
      </w:r>
      <w:r w:rsidRPr="008E4FF5">
        <w:rPr>
          <w:rtl/>
        </w:rPr>
        <w:tab/>
      </w:r>
      <w:hyperlink r:id="rId42" w:history="1">
        <w:r w:rsidRPr="00A1027B">
          <w:rPr>
            <w:rStyle w:val="Hyperlink"/>
          </w:rPr>
          <w:t>A/HRC/</w:t>
        </w:r>
        <w:r w:rsidRPr="003231D2">
          <w:rPr>
            <w:rStyle w:val="Hyperlink"/>
          </w:rPr>
          <w:t>49</w:t>
        </w:r>
        <w:r w:rsidRPr="00A1027B">
          <w:rPr>
            <w:rStyle w:val="Hyperlink"/>
          </w:rPr>
          <w:t>/</w:t>
        </w:r>
        <w:r w:rsidRPr="003231D2">
          <w:rPr>
            <w:rStyle w:val="Hyperlink"/>
          </w:rPr>
          <w:t>19</w:t>
        </w:r>
      </w:hyperlink>
      <w:r w:rsidRPr="008E4FF5">
        <w:rPr>
          <w:rtl/>
        </w:rPr>
        <w:t xml:space="preserve">، الفقرة </w:t>
      </w:r>
      <w:r w:rsidRPr="003231D2">
        <w:rPr>
          <w:rtl/>
        </w:rPr>
        <w:t>70</w:t>
      </w:r>
      <w:r w:rsidRPr="008E4FF5">
        <w:rPr>
          <w:rtl/>
        </w:rPr>
        <w:t>.</w:t>
      </w:r>
    </w:p>
  </w:footnote>
  <w:footnote w:id="33">
    <w:p w14:paraId="2688E672" w14:textId="77777777" w:rsidR="00A1027B" w:rsidRPr="008E4FF5" w:rsidRDefault="00A1027B" w:rsidP="00A1027B">
      <w:pPr>
        <w:pStyle w:val="FootnoteText1"/>
        <w:textDirection w:val="tbRlV"/>
      </w:pPr>
      <w:r>
        <w:rPr>
          <w:rtl/>
        </w:rPr>
        <w:t>(</w:t>
      </w:r>
      <w:r w:rsidRPr="003231D2">
        <w:rPr>
          <w:lang w:val="en-AU"/>
        </w:rPr>
        <w:footnoteRef/>
      </w:r>
      <w:r>
        <w:rPr>
          <w:rtl/>
        </w:rPr>
        <w:t>)</w:t>
      </w:r>
      <w:r>
        <w:rPr>
          <w:rtl/>
        </w:rPr>
        <w:tab/>
      </w:r>
      <w:hyperlink r:id="rId43" w:history="1">
        <w:r w:rsidRPr="00A1027B">
          <w:rPr>
            <w:rStyle w:val="Hyperlink"/>
          </w:rPr>
          <w:t>CAT/C/COL/</w:t>
        </w:r>
        <w:r w:rsidRPr="003231D2">
          <w:rPr>
            <w:rStyle w:val="Hyperlink"/>
          </w:rPr>
          <w:t>6</w:t>
        </w:r>
      </w:hyperlink>
      <w:r w:rsidRPr="008E4FF5">
        <w:rPr>
          <w:rtl/>
        </w:rPr>
        <w:t xml:space="preserve">، الفقرات </w:t>
      </w:r>
      <w:r w:rsidRPr="003231D2">
        <w:rPr>
          <w:rtl/>
        </w:rPr>
        <w:t>132</w:t>
      </w:r>
      <w:r w:rsidRPr="008E4FF5">
        <w:rPr>
          <w:rtl/>
        </w:rPr>
        <w:t>-</w:t>
      </w:r>
      <w:r w:rsidRPr="003231D2">
        <w:rPr>
          <w:rtl/>
        </w:rPr>
        <w:t>139</w:t>
      </w:r>
      <w:r w:rsidRPr="008E4FF5">
        <w:rPr>
          <w:rtl/>
        </w:rPr>
        <w:t>.</w:t>
      </w:r>
    </w:p>
  </w:footnote>
  <w:footnote w:id="34">
    <w:p w14:paraId="17265991" w14:textId="77777777" w:rsidR="00A1027B" w:rsidRPr="008E4FF5" w:rsidRDefault="00A1027B" w:rsidP="00A1027B">
      <w:pPr>
        <w:pStyle w:val="FootnoteText1"/>
        <w:textDirection w:val="tbRlV"/>
      </w:pPr>
      <w:r>
        <w:rPr>
          <w:rtl/>
        </w:rPr>
        <w:t>(</w:t>
      </w:r>
      <w:r w:rsidRPr="003231D2">
        <w:rPr>
          <w:lang w:val="en-AU"/>
        </w:rPr>
        <w:footnoteRef/>
      </w:r>
      <w:r>
        <w:rPr>
          <w:rtl/>
        </w:rPr>
        <w:t>)</w:t>
      </w:r>
      <w:r>
        <w:rPr>
          <w:rtl/>
        </w:rPr>
        <w:tab/>
      </w:r>
      <w:hyperlink r:id="rId44" w:history="1">
        <w:r w:rsidRPr="00A1027B">
          <w:rPr>
            <w:rStyle w:val="Hyperlink"/>
          </w:rPr>
          <w:t>A/HRC/</w:t>
        </w:r>
        <w:r w:rsidRPr="003231D2">
          <w:rPr>
            <w:rStyle w:val="Hyperlink"/>
          </w:rPr>
          <w:t>46</w:t>
        </w:r>
        <w:r w:rsidRPr="00A1027B">
          <w:rPr>
            <w:rStyle w:val="Hyperlink"/>
          </w:rPr>
          <w:t>/</w:t>
        </w:r>
        <w:r w:rsidRPr="003231D2">
          <w:rPr>
            <w:rStyle w:val="Hyperlink"/>
          </w:rPr>
          <w:t>76</w:t>
        </w:r>
      </w:hyperlink>
      <w:r w:rsidRPr="008E4FF5">
        <w:rPr>
          <w:rtl/>
        </w:rPr>
        <w:t xml:space="preserve">، الفقرتان </w:t>
      </w:r>
      <w:r w:rsidRPr="003231D2">
        <w:rPr>
          <w:rtl/>
        </w:rPr>
        <w:t>15</w:t>
      </w:r>
      <w:r>
        <w:rPr>
          <w:rtl/>
        </w:rPr>
        <w:t xml:space="preserve"> و</w:t>
      </w:r>
      <w:r w:rsidRPr="003231D2">
        <w:rPr>
          <w:rtl/>
        </w:rPr>
        <w:t>17</w:t>
      </w:r>
      <w:r w:rsidRPr="008E4FF5">
        <w:rPr>
          <w:rtl/>
        </w:rPr>
        <w:t>.</w:t>
      </w:r>
    </w:p>
  </w:footnote>
  <w:footnote w:id="35">
    <w:p w14:paraId="1FA9CAF7" w14:textId="77777777" w:rsidR="00A1027B" w:rsidRPr="008E4FF5" w:rsidRDefault="00A1027B" w:rsidP="00A1027B">
      <w:pPr>
        <w:pStyle w:val="FootnoteText1"/>
        <w:textDirection w:val="tbRlV"/>
      </w:pPr>
      <w:r>
        <w:rPr>
          <w:rtl/>
        </w:rPr>
        <w:t>(</w:t>
      </w:r>
      <w:r w:rsidRPr="003231D2">
        <w:rPr>
          <w:lang w:val="en-AU"/>
        </w:rPr>
        <w:footnoteRef/>
      </w:r>
      <w:r>
        <w:rPr>
          <w:rtl/>
        </w:rPr>
        <w:t>)</w:t>
      </w:r>
      <w:r>
        <w:rPr>
          <w:rtl/>
        </w:rPr>
        <w:tab/>
      </w:r>
      <w:hyperlink r:id="rId45" w:history="1">
        <w:r w:rsidRPr="00A1027B">
          <w:rPr>
            <w:rStyle w:val="Hyperlink"/>
          </w:rPr>
          <w:t>CAT/C/COL/</w:t>
        </w:r>
        <w:r w:rsidRPr="003231D2">
          <w:rPr>
            <w:rStyle w:val="Hyperlink"/>
          </w:rPr>
          <w:t>6</w:t>
        </w:r>
      </w:hyperlink>
      <w:r w:rsidRPr="008E4FF5">
        <w:rPr>
          <w:rtl/>
        </w:rPr>
        <w:t xml:space="preserve">، الفقرات </w:t>
      </w:r>
      <w:r w:rsidRPr="003231D2">
        <w:rPr>
          <w:rtl/>
        </w:rPr>
        <w:t>159</w:t>
      </w:r>
      <w:r w:rsidRPr="008E4FF5">
        <w:rPr>
          <w:rtl/>
        </w:rPr>
        <w:t>-</w:t>
      </w:r>
      <w:r w:rsidRPr="003231D2">
        <w:rPr>
          <w:rtl/>
        </w:rPr>
        <w:t>166</w:t>
      </w:r>
      <w:r w:rsidRPr="008E4FF5">
        <w:rPr>
          <w:rtl/>
        </w:rPr>
        <w:t>.</w:t>
      </w:r>
    </w:p>
  </w:footnote>
  <w:footnote w:id="36">
    <w:p w14:paraId="588474E1" w14:textId="77777777" w:rsidR="00A1027B" w:rsidRPr="008E4FF5" w:rsidRDefault="00A1027B" w:rsidP="00A1027B">
      <w:pPr>
        <w:pStyle w:val="FootnoteText1"/>
        <w:textDirection w:val="tbRlV"/>
      </w:pPr>
      <w:r>
        <w:rPr>
          <w:rtl/>
        </w:rPr>
        <w:t>(</w:t>
      </w:r>
      <w:r w:rsidRPr="003231D2">
        <w:rPr>
          <w:lang w:val="en-AU"/>
        </w:rPr>
        <w:footnoteRef/>
      </w:r>
      <w:r>
        <w:rPr>
          <w:rtl/>
        </w:rPr>
        <w:t>)</w:t>
      </w:r>
      <w:r>
        <w:rPr>
          <w:rtl/>
        </w:rPr>
        <w:tab/>
      </w:r>
      <w:hyperlink r:id="rId46" w:history="1">
        <w:r w:rsidRPr="00A1027B">
          <w:rPr>
            <w:rStyle w:val="Hyperlink"/>
          </w:rPr>
          <w:t>CEDAW/C/COL/CO/</w:t>
        </w:r>
        <w:r w:rsidRPr="003231D2">
          <w:rPr>
            <w:rStyle w:val="Hyperlink"/>
          </w:rPr>
          <w:t>9</w:t>
        </w:r>
      </w:hyperlink>
      <w:r w:rsidRPr="008E4FF5">
        <w:rPr>
          <w:rtl/>
        </w:rPr>
        <w:t xml:space="preserve">، الفقرتان </w:t>
      </w:r>
      <w:r w:rsidRPr="003231D2">
        <w:rPr>
          <w:rtl/>
        </w:rPr>
        <w:t>17</w:t>
      </w:r>
      <w:r>
        <w:rPr>
          <w:rtl/>
        </w:rPr>
        <w:t xml:space="preserve"> و</w:t>
      </w:r>
      <w:r w:rsidRPr="003231D2">
        <w:rPr>
          <w:rtl/>
        </w:rPr>
        <w:t>18</w:t>
      </w:r>
      <w:r w:rsidRPr="008E4FF5">
        <w:rPr>
          <w:rtl/>
        </w:rPr>
        <w:t>؛</w:t>
      </w:r>
      <w:r>
        <w:rPr>
          <w:rtl/>
        </w:rPr>
        <w:t xml:space="preserve"> و</w:t>
      </w:r>
      <w:hyperlink r:id="rId47" w:history="1">
        <w:r w:rsidRPr="00A1027B">
          <w:rPr>
            <w:rStyle w:val="Hyperlink"/>
          </w:rPr>
          <w:t>CERD/C/COL/CO/</w:t>
        </w:r>
        <w:r w:rsidRPr="003231D2">
          <w:rPr>
            <w:rStyle w:val="Hyperlink"/>
          </w:rPr>
          <w:t>17</w:t>
        </w:r>
        <w:r w:rsidRPr="00A1027B">
          <w:rPr>
            <w:rStyle w:val="Hyperlink"/>
          </w:rPr>
          <w:t>-</w:t>
        </w:r>
        <w:r w:rsidRPr="003231D2">
          <w:rPr>
            <w:rStyle w:val="Hyperlink"/>
          </w:rPr>
          <w:t>19</w:t>
        </w:r>
      </w:hyperlink>
      <w:r w:rsidRPr="008E4FF5">
        <w:rPr>
          <w:rtl/>
        </w:rPr>
        <w:t xml:space="preserve">، الفقرتان </w:t>
      </w:r>
      <w:r w:rsidRPr="003231D2">
        <w:rPr>
          <w:rtl/>
        </w:rPr>
        <w:t>28</w:t>
      </w:r>
      <w:r w:rsidRPr="008E4FF5">
        <w:rPr>
          <w:rtl/>
        </w:rPr>
        <w:t xml:space="preserve"> و</w:t>
      </w:r>
      <w:r w:rsidRPr="003231D2">
        <w:rPr>
          <w:rtl/>
        </w:rPr>
        <w:t>29</w:t>
      </w:r>
      <w:r w:rsidRPr="008E4FF5">
        <w:rPr>
          <w:rtl/>
        </w:rPr>
        <w:t>؛</w:t>
      </w:r>
      <w:r>
        <w:rPr>
          <w:rtl/>
        </w:rPr>
        <w:t xml:space="preserve"> و</w:t>
      </w:r>
      <w:hyperlink r:id="rId48" w:history="1">
        <w:r w:rsidRPr="00A1027B">
          <w:rPr>
            <w:rStyle w:val="Hyperlink"/>
          </w:rPr>
          <w:t>A/HRC/</w:t>
        </w:r>
        <w:r w:rsidRPr="003231D2">
          <w:rPr>
            <w:rStyle w:val="Hyperlink"/>
          </w:rPr>
          <w:t>52</w:t>
        </w:r>
        <w:r w:rsidRPr="00A1027B">
          <w:rPr>
            <w:rStyle w:val="Hyperlink"/>
          </w:rPr>
          <w:t>/</w:t>
        </w:r>
        <w:r w:rsidRPr="003231D2">
          <w:rPr>
            <w:rStyle w:val="Hyperlink"/>
          </w:rPr>
          <w:t>25</w:t>
        </w:r>
      </w:hyperlink>
      <w:r w:rsidRPr="008E4FF5">
        <w:rPr>
          <w:rtl/>
        </w:rPr>
        <w:t>؛</w:t>
      </w:r>
      <w:r>
        <w:rPr>
          <w:rtl/>
        </w:rPr>
        <w:t xml:space="preserve"> و</w:t>
      </w:r>
      <w:hyperlink r:id="rId49" w:history="1">
        <w:r w:rsidRPr="00A1027B">
          <w:rPr>
            <w:rStyle w:val="Hyperlink"/>
          </w:rPr>
          <w:t>A/HRC/</w:t>
        </w:r>
        <w:r w:rsidRPr="003231D2">
          <w:rPr>
            <w:rStyle w:val="Hyperlink"/>
          </w:rPr>
          <w:t>49</w:t>
        </w:r>
        <w:r w:rsidRPr="00A1027B">
          <w:rPr>
            <w:rStyle w:val="Hyperlink"/>
          </w:rPr>
          <w:t>/</w:t>
        </w:r>
        <w:r w:rsidRPr="003231D2">
          <w:rPr>
            <w:rStyle w:val="Hyperlink"/>
          </w:rPr>
          <w:t>19</w:t>
        </w:r>
      </w:hyperlink>
      <w:r w:rsidRPr="008E4FF5">
        <w:rPr>
          <w:rtl/>
        </w:rPr>
        <w:t xml:space="preserve">، الفقرات </w:t>
      </w:r>
      <w:r w:rsidRPr="003231D2">
        <w:rPr>
          <w:rtl/>
        </w:rPr>
        <w:t>41</w:t>
      </w:r>
      <w:r w:rsidRPr="008E4FF5">
        <w:rPr>
          <w:rtl/>
        </w:rPr>
        <w:t>-</w:t>
      </w:r>
      <w:r w:rsidRPr="003231D2">
        <w:rPr>
          <w:rtl/>
        </w:rPr>
        <w:t>49</w:t>
      </w:r>
      <w:r w:rsidRPr="008E4FF5">
        <w:rPr>
          <w:rtl/>
        </w:rPr>
        <w:t>؛</w:t>
      </w:r>
      <w:r>
        <w:rPr>
          <w:rtl/>
        </w:rPr>
        <w:t xml:space="preserve"> و</w:t>
      </w:r>
      <w:hyperlink r:id="rId50" w:history="1">
        <w:r w:rsidRPr="00A1027B">
          <w:rPr>
            <w:rStyle w:val="Hyperlink"/>
          </w:rPr>
          <w:t>A/HRC/</w:t>
        </w:r>
        <w:r w:rsidRPr="003231D2">
          <w:rPr>
            <w:rStyle w:val="Hyperlink"/>
          </w:rPr>
          <w:t>46</w:t>
        </w:r>
        <w:r w:rsidRPr="00A1027B">
          <w:rPr>
            <w:rStyle w:val="Hyperlink"/>
          </w:rPr>
          <w:t>/</w:t>
        </w:r>
        <w:r w:rsidRPr="003231D2">
          <w:rPr>
            <w:rStyle w:val="Hyperlink"/>
          </w:rPr>
          <w:t>76</w:t>
        </w:r>
      </w:hyperlink>
      <w:r w:rsidRPr="008E4FF5">
        <w:rPr>
          <w:rtl/>
        </w:rPr>
        <w:t xml:space="preserve">، الفقرات </w:t>
      </w:r>
      <w:r w:rsidRPr="003231D2">
        <w:rPr>
          <w:rtl/>
        </w:rPr>
        <w:t>21</w:t>
      </w:r>
      <w:r w:rsidRPr="008E4FF5">
        <w:rPr>
          <w:rtl/>
        </w:rPr>
        <w:t>-</w:t>
      </w:r>
      <w:r w:rsidRPr="003231D2">
        <w:rPr>
          <w:rtl/>
        </w:rPr>
        <w:t>30</w:t>
      </w:r>
      <w:r w:rsidRPr="008E4FF5">
        <w:rPr>
          <w:rtl/>
        </w:rPr>
        <w:t>؛</w:t>
      </w:r>
      <w:r>
        <w:rPr>
          <w:rtl/>
        </w:rPr>
        <w:t xml:space="preserve"> و</w:t>
      </w:r>
      <w:hyperlink r:id="rId51" w:history="1">
        <w:r w:rsidRPr="00A1027B">
          <w:rPr>
            <w:rStyle w:val="Hyperlink"/>
          </w:rPr>
          <w:t>A/HRC/</w:t>
        </w:r>
        <w:r w:rsidRPr="003231D2">
          <w:rPr>
            <w:rStyle w:val="Hyperlink"/>
          </w:rPr>
          <w:t>51</w:t>
        </w:r>
        <w:r w:rsidRPr="00A1027B">
          <w:rPr>
            <w:rStyle w:val="Hyperlink"/>
          </w:rPr>
          <w:t>/</w:t>
        </w:r>
        <w:r w:rsidRPr="003231D2">
          <w:rPr>
            <w:rStyle w:val="Hyperlink"/>
          </w:rPr>
          <w:t>53</w:t>
        </w:r>
      </w:hyperlink>
      <w:r w:rsidRPr="008E4FF5">
        <w:rPr>
          <w:rtl/>
        </w:rPr>
        <w:t xml:space="preserve">، الفقرة </w:t>
      </w:r>
      <w:r w:rsidRPr="003231D2">
        <w:rPr>
          <w:rtl/>
        </w:rPr>
        <w:t>44</w:t>
      </w:r>
      <w:r w:rsidRPr="00A1027B">
        <w:rPr>
          <w:rtl/>
        </w:rPr>
        <w:t xml:space="preserve">. </w:t>
      </w:r>
      <w:r w:rsidRPr="008E4FF5">
        <w:rPr>
          <w:rtl/>
        </w:rPr>
        <w:t>انظر أيضا</w:t>
      </w:r>
      <w:r>
        <w:rPr>
          <w:rFonts w:hint="cs"/>
          <w:rtl/>
        </w:rPr>
        <w:t>ً</w:t>
      </w:r>
      <w:r w:rsidRPr="008E4FF5">
        <w:rPr>
          <w:rtl/>
        </w:rPr>
        <w:t xml:space="preserve"> النشرات الصحفية للمفوضية السامية لحقوق الإنسان المتاحة على </w:t>
      </w:r>
      <w:hyperlink r:id="rId52" w:history="1">
        <w:r w:rsidRPr="00A1027B">
          <w:rPr>
            <w:rStyle w:val="Hyperlink"/>
          </w:rPr>
          <w:t>https://www.ohchr.org/en/press-releases/</w:t>
        </w:r>
        <w:r w:rsidRPr="003231D2">
          <w:rPr>
            <w:rStyle w:val="Hyperlink"/>
          </w:rPr>
          <w:t>2022</w:t>
        </w:r>
        <w:r w:rsidRPr="00A1027B">
          <w:rPr>
            <w:rStyle w:val="Hyperlink"/>
          </w:rPr>
          <w:t>/</w:t>
        </w:r>
        <w:r w:rsidRPr="003231D2">
          <w:rPr>
            <w:rStyle w:val="Hyperlink"/>
          </w:rPr>
          <w:t>08</w:t>
        </w:r>
        <w:r w:rsidRPr="00A1027B">
          <w:rPr>
            <w:rStyle w:val="Hyperlink"/>
          </w:rPr>
          <w:t>/colombia-extreme-risks-rights-defenders-who-challenge-corporate-activity</w:t>
        </w:r>
      </w:hyperlink>
      <w:r w:rsidRPr="00712C00">
        <w:rPr>
          <w:rStyle w:val="Hyperlink"/>
          <w:color w:val="auto"/>
        </w:rPr>
        <w:t>,</w:t>
      </w:r>
      <w:r w:rsidRPr="005D4BE3">
        <w:rPr>
          <w:rStyle w:val="Hyperlink"/>
        </w:rPr>
        <w:t xml:space="preserve"> </w:t>
      </w:r>
      <w:hyperlink r:id="rId53" w:history="1">
        <w:r w:rsidRPr="00A1027B">
          <w:rPr>
            <w:rStyle w:val="Hyperlink"/>
          </w:rPr>
          <w:t>https://www.ohchr.org/en/press-releases/</w:t>
        </w:r>
        <w:r w:rsidRPr="003231D2">
          <w:rPr>
            <w:rStyle w:val="Hyperlink"/>
          </w:rPr>
          <w:t>2022</w:t>
        </w:r>
        <w:r w:rsidRPr="00A1027B">
          <w:rPr>
            <w:rStyle w:val="Hyperlink"/>
          </w:rPr>
          <w:t>/</w:t>
        </w:r>
        <w:r w:rsidRPr="003231D2">
          <w:rPr>
            <w:rStyle w:val="Hyperlink"/>
          </w:rPr>
          <w:t>03</w:t>
        </w:r>
        <w:r w:rsidRPr="00A1027B">
          <w:rPr>
            <w:rStyle w:val="Hyperlink"/>
          </w:rPr>
          <w:t>/colombia-un-expert-says-killings-nasa-indigenous-human-rights-defenders</w:t>
        </w:r>
      </w:hyperlink>
      <w:r w:rsidRPr="008E4FF5">
        <w:rPr>
          <w:rtl/>
        </w:rPr>
        <w:t>،</w:t>
      </w:r>
      <w:r>
        <w:rPr>
          <w:rtl/>
        </w:rPr>
        <w:t xml:space="preserve"> و</w:t>
      </w:r>
      <w:hyperlink r:id="rId54" w:history="1">
        <w:r w:rsidRPr="00A1027B">
          <w:rPr>
            <w:rStyle w:val="Hyperlink"/>
          </w:rPr>
          <w:t>https://www.ohchr.org/en/press-releases/</w:t>
        </w:r>
        <w:r w:rsidRPr="003231D2">
          <w:rPr>
            <w:rStyle w:val="Hyperlink"/>
          </w:rPr>
          <w:t>2019</w:t>
        </w:r>
        <w:r w:rsidRPr="00A1027B">
          <w:rPr>
            <w:rStyle w:val="Hyperlink"/>
          </w:rPr>
          <w:t>/</w:t>
        </w:r>
        <w:r w:rsidRPr="003231D2">
          <w:rPr>
            <w:rStyle w:val="Hyperlink"/>
          </w:rPr>
          <w:t>10</w:t>
        </w:r>
        <w:r w:rsidRPr="00A1027B">
          <w:rPr>
            <w:rStyle w:val="Hyperlink"/>
          </w:rPr>
          <w:t>/colombia-un-experts-are-outraged-killing-indigenous-leader-and-community</w:t>
        </w:r>
      </w:hyperlink>
      <w:r w:rsidRPr="008E4FF5">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3DB30" w14:textId="5670EFF5" w:rsidR="00F13DE3" w:rsidRPr="00F13DE3" w:rsidRDefault="00F13DE3" w:rsidP="00F13DE3">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B049C">
      <w:t>CAT/C/COL/CO/6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2E4CC" w14:textId="682318D7" w:rsidR="00F13DE3" w:rsidRPr="00F13DE3" w:rsidRDefault="00F13DE3" w:rsidP="00F13DE3">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B049C">
      <w:t>CAT/C/COL/CO/6</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A4463"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341391781">
    <w:abstractNumId w:val="15"/>
  </w:num>
  <w:num w:numId="2" w16cid:durableId="2108647337">
    <w:abstractNumId w:val="12"/>
  </w:num>
  <w:num w:numId="3" w16cid:durableId="1591086931">
    <w:abstractNumId w:val="2"/>
  </w:num>
  <w:num w:numId="4" w16cid:durableId="164637943">
    <w:abstractNumId w:val="11"/>
  </w:num>
  <w:num w:numId="5" w16cid:durableId="845484240">
    <w:abstractNumId w:val="8"/>
  </w:num>
  <w:num w:numId="6" w16cid:durableId="704526055">
    <w:abstractNumId w:val="5"/>
  </w:num>
  <w:num w:numId="7" w16cid:durableId="1542203344">
    <w:abstractNumId w:val="17"/>
  </w:num>
  <w:num w:numId="8" w16cid:durableId="1290815636">
    <w:abstractNumId w:val="2"/>
  </w:num>
  <w:num w:numId="9" w16cid:durableId="1813250437">
    <w:abstractNumId w:val="11"/>
  </w:num>
  <w:num w:numId="10" w16cid:durableId="1678072651">
    <w:abstractNumId w:val="5"/>
  </w:num>
  <w:num w:numId="11" w16cid:durableId="580143458">
    <w:abstractNumId w:val="17"/>
  </w:num>
  <w:num w:numId="12" w16cid:durableId="1995601383">
    <w:abstractNumId w:val="2"/>
  </w:num>
  <w:num w:numId="13" w16cid:durableId="2011591715">
    <w:abstractNumId w:val="11"/>
  </w:num>
  <w:num w:numId="14" w16cid:durableId="702438130">
    <w:abstractNumId w:val="8"/>
  </w:num>
  <w:num w:numId="15" w16cid:durableId="1005941347">
    <w:abstractNumId w:val="5"/>
  </w:num>
  <w:num w:numId="16" w16cid:durableId="1141462962">
    <w:abstractNumId w:val="17"/>
  </w:num>
  <w:num w:numId="17" w16cid:durableId="2076511909">
    <w:abstractNumId w:val="4"/>
  </w:num>
  <w:num w:numId="18" w16cid:durableId="341124245">
    <w:abstractNumId w:val="3"/>
  </w:num>
  <w:num w:numId="19" w16cid:durableId="1326281211">
    <w:abstractNumId w:val="16"/>
  </w:num>
  <w:num w:numId="20" w16cid:durableId="1506167744">
    <w:abstractNumId w:val="13"/>
  </w:num>
  <w:num w:numId="21" w16cid:durableId="898512477">
    <w:abstractNumId w:val="1"/>
  </w:num>
  <w:num w:numId="22" w16cid:durableId="1714039630">
    <w:abstractNumId w:val="14"/>
  </w:num>
  <w:num w:numId="23" w16cid:durableId="575474536">
    <w:abstractNumId w:val="0"/>
  </w:num>
  <w:num w:numId="24" w16cid:durableId="522285458">
    <w:abstractNumId w:val="9"/>
  </w:num>
  <w:num w:numId="25" w16cid:durableId="23894566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550514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52131247">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8073582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55373403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84763149">
    <w:abstractNumId w:val="7"/>
  </w:num>
  <w:num w:numId="31" w16cid:durableId="14732572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9217172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BB7"/>
    <w:rsid w:val="000076D5"/>
    <w:rsid w:val="00043663"/>
    <w:rsid w:val="000456F3"/>
    <w:rsid w:val="000505CF"/>
    <w:rsid w:val="0008344B"/>
    <w:rsid w:val="000A2113"/>
    <w:rsid w:val="000D701C"/>
    <w:rsid w:val="000E11D4"/>
    <w:rsid w:val="000E2A71"/>
    <w:rsid w:val="000F71D2"/>
    <w:rsid w:val="00143C39"/>
    <w:rsid w:val="00160263"/>
    <w:rsid w:val="00166BD2"/>
    <w:rsid w:val="00167825"/>
    <w:rsid w:val="00170EB3"/>
    <w:rsid w:val="00181F96"/>
    <w:rsid w:val="00182572"/>
    <w:rsid w:val="001A1371"/>
    <w:rsid w:val="001B346A"/>
    <w:rsid w:val="001D6F7B"/>
    <w:rsid w:val="001E1CAD"/>
    <w:rsid w:val="001E290D"/>
    <w:rsid w:val="00210DD4"/>
    <w:rsid w:val="002144FA"/>
    <w:rsid w:val="0023469A"/>
    <w:rsid w:val="00243C8A"/>
    <w:rsid w:val="00261289"/>
    <w:rsid w:val="00266034"/>
    <w:rsid w:val="0026755E"/>
    <w:rsid w:val="00267A0E"/>
    <w:rsid w:val="002901D9"/>
    <w:rsid w:val="002976C2"/>
    <w:rsid w:val="002F367C"/>
    <w:rsid w:val="003231D2"/>
    <w:rsid w:val="00323EC8"/>
    <w:rsid w:val="003260FF"/>
    <w:rsid w:val="00343D95"/>
    <w:rsid w:val="00362E33"/>
    <w:rsid w:val="00374341"/>
    <w:rsid w:val="00384DA7"/>
    <w:rsid w:val="003D1062"/>
    <w:rsid w:val="00420D7B"/>
    <w:rsid w:val="00450B21"/>
    <w:rsid w:val="00453B63"/>
    <w:rsid w:val="00455780"/>
    <w:rsid w:val="00462F28"/>
    <w:rsid w:val="00465BB7"/>
    <w:rsid w:val="00472BE8"/>
    <w:rsid w:val="004811D5"/>
    <w:rsid w:val="004956DC"/>
    <w:rsid w:val="004B0A1C"/>
    <w:rsid w:val="004D2177"/>
    <w:rsid w:val="004D298E"/>
    <w:rsid w:val="00531DEA"/>
    <w:rsid w:val="0054472E"/>
    <w:rsid w:val="005662A9"/>
    <w:rsid w:val="00575E9A"/>
    <w:rsid w:val="005827D4"/>
    <w:rsid w:val="00593BE6"/>
    <w:rsid w:val="0059622A"/>
    <w:rsid w:val="005A3015"/>
    <w:rsid w:val="005C5878"/>
    <w:rsid w:val="005C7CEA"/>
    <w:rsid w:val="005D3C0B"/>
    <w:rsid w:val="005E23DF"/>
    <w:rsid w:val="005E5217"/>
    <w:rsid w:val="005F0FA4"/>
    <w:rsid w:val="005F30EE"/>
    <w:rsid w:val="005F7CD2"/>
    <w:rsid w:val="0060473A"/>
    <w:rsid w:val="00656392"/>
    <w:rsid w:val="006646E9"/>
    <w:rsid w:val="0068781D"/>
    <w:rsid w:val="006959B0"/>
    <w:rsid w:val="006B049C"/>
    <w:rsid w:val="006B2A7F"/>
    <w:rsid w:val="006B3E27"/>
    <w:rsid w:val="006B6507"/>
    <w:rsid w:val="006C104C"/>
    <w:rsid w:val="006D05CB"/>
    <w:rsid w:val="00706DFD"/>
    <w:rsid w:val="00712059"/>
    <w:rsid w:val="007175B2"/>
    <w:rsid w:val="00733704"/>
    <w:rsid w:val="0074737D"/>
    <w:rsid w:val="00761849"/>
    <w:rsid w:val="0078071A"/>
    <w:rsid w:val="007A3847"/>
    <w:rsid w:val="007D56C1"/>
    <w:rsid w:val="00817373"/>
    <w:rsid w:val="00846A68"/>
    <w:rsid w:val="00852A9A"/>
    <w:rsid w:val="00854508"/>
    <w:rsid w:val="00860491"/>
    <w:rsid w:val="00874514"/>
    <w:rsid w:val="00893A8A"/>
    <w:rsid w:val="00897AA1"/>
    <w:rsid w:val="008C0B37"/>
    <w:rsid w:val="008E4FF5"/>
    <w:rsid w:val="008F49E1"/>
    <w:rsid w:val="0090370F"/>
    <w:rsid w:val="00906A57"/>
    <w:rsid w:val="009269D2"/>
    <w:rsid w:val="00942135"/>
    <w:rsid w:val="009521B0"/>
    <w:rsid w:val="00972676"/>
    <w:rsid w:val="00981C12"/>
    <w:rsid w:val="009A7E9F"/>
    <w:rsid w:val="009E4397"/>
    <w:rsid w:val="009E5018"/>
    <w:rsid w:val="009F09F5"/>
    <w:rsid w:val="00A1027B"/>
    <w:rsid w:val="00A12B37"/>
    <w:rsid w:val="00A34EA8"/>
    <w:rsid w:val="00A44D86"/>
    <w:rsid w:val="00A45792"/>
    <w:rsid w:val="00A67AF5"/>
    <w:rsid w:val="00A903E0"/>
    <w:rsid w:val="00A94CA3"/>
    <w:rsid w:val="00AB2C0B"/>
    <w:rsid w:val="00AB6758"/>
    <w:rsid w:val="00AE2F7E"/>
    <w:rsid w:val="00B07715"/>
    <w:rsid w:val="00B13763"/>
    <w:rsid w:val="00B456A0"/>
    <w:rsid w:val="00B477A4"/>
    <w:rsid w:val="00B54045"/>
    <w:rsid w:val="00B82677"/>
    <w:rsid w:val="00BA39D4"/>
    <w:rsid w:val="00BD0805"/>
    <w:rsid w:val="00BE3F88"/>
    <w:rsid w:val="00C111C6"/>
    <w:rsid w:val="00C438D7"/>
    <w:rsid w:val="00C62476"/>
    <w:rsid w:val="00C64C7B"/>
    <w:rsid w:val="00C81B50"/>
    <w:rsid w:val="00C87F1F"/>
    <w:rsid w:val="00C96AFF"/>
    <w:rsid w:val="00CA2103"/>
    <w:rsid w:val="00CA35DF"/>
    <w:rsid w:val="00CD1801"/>
    <w:rsid w:val="00CF25FC"/>
    <w:rsid w:val="00D10EF1"/>
    <w:rsid w:val="00D27684"/>
    <w:rsid w:val="00D317F1"/>
    <w:rsid w:val="00D3653E"/>
    <w:rsid w:val="00D42810"/>
    <w:rsid w:val="00D914A7"/>
    <w:rsid w:val="00DB712F"/>
    <w:rsid w:val="00DC1D29"/>
    <w:rsid w:val="00DD13C3"/>
    <w:rsid w:val="00DD596E"/>
    <w:rsid w:val="00DD621E"/>
    <w:rsid w:val="00DF0575"/>
    <w:rsid w:val="00E13EFD"/>
    <w:rsid w:val="00E2697F"/>
    <w:rsid w:val="00E64B72"/>
    <w:rsid w:val="00E70E04"/>
    <w:rsid w:val="00E76499"/>
    <w:rsid w:val="00EC05A7"/>
    <w:rsid w:val="00EC4B6B"/>
    <w:rsid w:val="00EE56C3"/>
    <w:rsid w:val="00EF1EE5"/>
    <w:rsid w:val="00F13DE3"/>
    <w:rsid w:val="00F158EB"/>
    <w:rsid w:val="00F1695F"/>
    <w:rsid w:val="00F62057"/>
    <w:rsid w:val="00F763B4"/>
    <w:rsid w:val="00F81AF1"/>
    <w:rsid w:val="00F900C3"/>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E383447"/>
  <w15:docId w15:val="{073EB4F4-D63D-40D1-85B3-C2AFB576F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BE6"/>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593BE6"/>
    <w:pPr>
      <w:bidi w:val="0"/>
      <w:outlineLvl w:val="0"/>
    </w:pPr>
  </w:style>
  <w:style w:type="paragraph" w:styleId="Heading2">
    <w:name w:val="heading 2"/>
    <w:basedOn w:val="Normal"/>
    <w:next w:val="Normal"/>
    <w:link w:val="Heading2Char"/>
    <w:uiPriority w:val="9"/>
    <w:unhideWhenUsed/>
    <w:rsid w:val="00593BE6"/>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593BE6"/>
    <w:pPr>
      <w:keepNext/>
      <w:keepLines/>
      <w:spacing w:before="200"/>
      <w:outlineLvl w:val="2"/>
    </w:pPr>
    <w:rPr>
      <w:b/>
      <w:bCs/>
      <w:color w:val="4F81BD"/>
    </w:rPr>
  </w:style>
  <w:style w:type="paragraph" w:styleId="Heading4">
    <w:name w:val="heading 4"/>
    <w:basedOn w:val="Normal"/>
    <w:next w:val="Normal"/>
    <w:link w:val="Heading4Char"/>
    <w:uiPriority w:val="9"/>
    <w:unhideWhenUsed/>
    <w:rsid w:val="00593BE6"/>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593BE6"/>
    <w:pPr>
      <w:keepNext/>
      <w:keepLines/>
      <w:spacing w:before="200"/>
      <w:outlineLvl w:val="4"/>
    </w:pPr>
    <w:rPr>
      <w:color w:val="243F60"/>
    </w:rPr>
  </w:style>
  <w:style w:type="paragraph" w:styleId="Heading6">
    <w:name w:val="heading 6"/>
    <w:basedOn w:val="Normal"/>
    <w:next w:val="Normal"/>
    <w:link w:val="Heading6Char"/>
    <w:uiPriority w:val="9"/>
    <w:unhideWhenUsed/>
    <w:rsid w:val="00593BE6"/>
    <w:pPr>
      <w:keepNext/>
      <w:keepLines/>
      <w:spacing w:before="200"/>
      <w:outlineLvl w:val="5"/>
    </w:pPr>
    <w:rPr>
      <w:i/>
      <w:iCs/>
      <w:color w:val="243F60"/>
    </w:rPr>
  </w:style>
  <w:style w:type="paragraph" w:styleId="Heading7">
    <w:name w:val="heading 7"/>
    <w:basedOn w:val="Normal"/>
    <w:next w:val="Normal"/>
    <w:link w:val="Heading7Char"/>
    <w:uiPriority w:val="9"/>
    <w:unhideWhenUsed/>
    <w:rsid w:val="00593BE6"/>
    <w:pPr>
      <w:keepNext/>
      <w:keepLines/>
      <w:spacing w:before="200"/>
      <w:outlineLvl w:val="6"/>
    </w:pPr>
    <w:rPr>
      <w:i/>
      <w:iCs/>
      <w:color w:val="404040"/>
    </w:rPr>
  </w:style>
  <w:style w:type="paragraph" w:styleId="Heading8">
    <w:name w:val="heading 8"/>
    <w:basedOn w:val="Normal"/>
    <w:next w:val="Normal"/>
    <w:link w:val="Heading8Char"/>
    <w:uiPriority w:val="9"/>
    <w:unhideWhenUsed/>
    <w:rsid w:val="00593BE6"/>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593BE6"/>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593BE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93BE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93BE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93BE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93BE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93BE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593BE6"/>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593BE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93BE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93BE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93BE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93BE6"/>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93BE6"/>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93BE6"/>
    <w:pPr>
      <w:numPr>
        <w:numId w:val="5"/>
      </w:numPr>
      <w:bidi w:val="0"/>
    </w:pPr>
    <w:rPr>
      <w:lang w:val="en-US"/>
    </w:rPr>
  </w:style>
  <w:style w:type="paragraph" w:customStyle="1" w:styleId="Roman1GA">
    <w:name w:val="_Roman 1_GA"/>
    <w:basedOn w:val="Bullet1GA"/>
    <w:qFormat/>
    <w:rsid w:val="00593BE6"/>
    <w:pPr>
      <w:numPr>
        <w:numId w:val="6"/>
      </w:numPr>
      <w:tabs>
        <w:tab w:val="clear" w:pos="2310"/>
        <w:tab w:val="left" w:pos="2486"/>
      </w:tabs>
      <w:ind w:left="2486" w:hanging="378"/>
    </w:pPr>
  </w:style>
  <w:style w:type="paragraph" w:customStyle="1" w:styleId="Roman2GA">
    <w:name w:val="_Roman 2_GA"/>
    <w:basedOn w:val="Bullet2GA"/>
    <w:qFormat/>
    <w:rsid w:val="00593BE6"/>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593BE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593BE6"/>
    <w:rPr>
      <w:rFonts w:ascii="Times New Roman" w:eastAsia="PMingLiU" w:hAnsi="Times New Roman" w:cs="Simplified Arabic"/>
      <w:sz w:val="18"/>
      <w:lang w:val="en-GB" w:eastAsia="en-US"/>
    </w:rPr>
  </w:style>
  <w:style w:type="character" w:customStyle="1" w:styleId="EndtnoteReference">
    <w:name w:val="Endtnote Reference"/>
    <w:aliases w:val="1_GA"/>
    <w:qFormat/>
    <w:rsid w:val="00593BE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93BE6"/>
    <w:pPr>
      <w:suppressAutoHyphens/>
      <w:bidi w:val="0"/>
      <w:spacing w:line="240" w:lineRule="auto"/>
    </w:pPr>
    <w:rPr>
      <w:sz w:val="16"/>
      <w:lang w:val="en-GB"/>
    </w:rPr>
  </w:style>
  <w:style w:type="character" w:customStyle="1" w:styleId="FooterChar">
    <w:name w:val="Footer Char"/>
    <w:aliases w:val="3_GA Char,3_G Char"/>
    <w:link w:val="Footer"/>
    <w:rsid w:val="00593BE6"/>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593BE6"/>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593BE6"/>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593BE6"/>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593BE6"/>
    <w:rPr>
      <w:rFonts w:ascii="Times New Roman" w:eastAsia="PMingLiU" w:hAnsi="Times New Roman" w:cs="Simplified Arabic"/>
      <w:sz w:val="22"/>
      <w:szCs w:val="22"/>
      <w:lang w:val="en-GB" w:eastAsia="en-US"/>
    </w:rPr>
  </w:style>
  <w:style w:type="character" w:styleId="PageNumber">
    <w:name w:val="page number"/>
    <w:aliases w:val="7_GA,7_G"/>
    <w:qFormat/>
    <w:rsid w:val="00593BE6"/>
    <w:rPr>
      <w:rFonts w:ascii="Times New Roman Bold" w:hAnsi="Times New Roman Bold"/>
      <w:b/>
      <w:i w:val="0"/>
      <w:sz w:val="18"/>
      <w:szCs w:val="18"/>
    </w:rPr>
  </w:style>
  <w:style w:type="paragraph" w:customStyle="1" w:styleId="XXLargeGA">
    <w:name w:val="XXLarge_GA"/>
    <w:basedOn w:val="Normal"/>
    <w:next w:val="SingleTxtGA"/>
    <w:qFormat/>
    <w:rsid w:val="00593BE6"/>
    <w:pPr>
      <w:suppressAutoHyphens/>
      <w:spacing w:line="820" w:lineRule="exact"/>
    </w:pPr>
    <w:rPr>
      <w:spacing w:val="-8"/>
      <w:w w:val="96"/>
      <w:sz w:val="57"/>
      <w:szCs w:val="86"/>
      <w:lang w:val="en-GB"/>
    </w:rPr>
  </w:style>
  <w:style w:type="character" w:customStyle="1" w:styleId="Heading2Char">
    <w:name w:val="Heading 2 Char"/>
    <w:link w:val="Heading2"/>
    <w:uiPriority w:val="9"/>
    <w:rsid w:val="00593BE6"/>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593BE6"/>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593BE6"/>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593BE6"/>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593BE6"/>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593BE6"/>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593BE6"/>
    <w:rPr>
      <w:rFonts w:ascii="Times New Roman" w:eastAsia="PMingLiU" w:hAnsi="Times New Roman" w:cs="Simplified Arabic"/>
      <w:color w:val="404040"/>
      <w:lang w:eastAsia="en-US"/>
    </w:rPr>
  </w:style>
  <w:style w:type="character" w:customStyle="1" w:styleId="Heading9Char">
    <w:name w:val="Heading 9 Char"/>
    <w:link w:val="Heading9"/>
    <w:uiPriority w:val="9"/>
    <w:rsid w:val="00593BE6"/>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593BE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93BE6"/>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93BE6"/>
    <w:pPr>
      <w:numPr>
        <w:ilvl w:val="1"/>
      </w:numPr>
    </w:pPr>
    <w:rPr>
      <w:i/>
      <w:iCs/>
      <w:color w:val="4F81BD"/>
      <w:spacing w:val="15"/>
      <w:sz w:val="24"/>
      <w:szCs w:val="24"/>
    </w:rPr>
  </w:style>
  <w:style w:type="character" w:customStyle="1" w:styleId="SubtitleChar">
    <w:name w:val="Subtitle Char"/>
    <w:link w:val="Subtitle"/>
    <w:uiPriority w:val="11"/>
    <w:rsid w:val="00593BE6"/>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593BE6"/>
    <w:rPr>
      <w:b/>
      <w:bCs/>
    </w:rPr>
  </w:style>
  <w:style w:type="table" w:styleId="TableGrid">
    <w:name w:val="Table Grid"/>
    <w:basedOn w:val="TableNormal"/>
    <w:rsid w:val="00593BE6"/>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593BE6"/>
    <w:rPr>
      <w:color w:val="0000FF"/>
      <w:u w:val="none"/>
    </w:rPr>
  </w:style>
  <w:style w:type="paragraph" w:styleId="TOC1">
    <w:name w:val="toc 1"/>
    <w:basedOn w:val="Normal"/>
    <w:link w:val="TOC1Char"/>
    <w:autoRedefine/>
    <w:uiPriority w:val="39"/>
    <w:unhideWhenUsed/>
    <w:rsid w:val="00593BE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93BE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93BE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93BE6"/>
    <w:rPr>
      <w:rFonts w:eastAsia="DengXian"/>
      <w:color w:val="auto"/>
      <w:sz w:val="20"/>
      <w:szCs w:val="20"/>
      <w:u w:val="none"/>
      <w:lang w:eastAsia="zh-CN" w:bidi="ar-EG"/>
    </w:rPr>
  </w:style>
  <w:style w:type="paragraph" w:styleId="TOC4">
    <w:name w:val="toc 4"/>
    <w:basedOn w:val="Normal"/>
    <w:link w:val="TOC4Char"/>
    <w:autoRedefine/>
    <w:uiPriority w:val="39"/>
    <w:unhideWhenUsed/>
    <w:rsid w:val="00593BE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93BE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93BE6"/>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93BE6"/>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593BE6"/>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593BE6"/>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593BE6"/>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593BE6"/>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593BE6"/>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593BE6"/>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593BE6"/>
    <w:rPr>
      <w:rFonts w:ascii="Times New Roman" w:eastAsia="PMingLiU" w:hAnsi="Times New Roman" w:cs="Simplified Arabic"/>
      <w:lang w:val="en-GB" w:eastAsia="en-US"/>
    </w:rPr>
  </w:style>
  <w:style w:type="paragraph" w:customStyle="1" w:styleId="NormalA">
    <w:name w:val="Normal_A"/>
    <w:basedOn w:val="Normal"/>
    <w:qFormat/>
    <w:rsid w:val="00593BE6"/>
  </w:style>
  <w:style w:type="paragraph" w:customStyle="1" w:styleId="FootnoteGA">
    <w:name w:val="_Footnote_GA"/>
    <w:basedOn w:val="Normal"/>
    <w:qFormat/>
    <w:rsid w:val="00593BE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593BE6"/>
    <w:rPr>
      <w:sz w:val="44"/>
      <w:szCs w:val="44"/>
      <w:lang w:val="en-US" w:bidi="ar-DZ"/>
    </w:rPr>
  </w:style>
  <w:style w:type="paragraph" w:customStyle="1" w:styleId="FootnoteGA0">
    <w:name w:val="Footnote_GA"/>
    <w:basedOn w:val="Normal"/>
    <w:qFormat/>
    <w:rsid w:val="00593BE6"/>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593BE6"/>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593BE6"/>
    <w:pPr>
      <w:spacing w:line="240" w:lineRule="exact"/>
    </w:pPr>
    <w:rPr>
      <w:spacing w:val="6"/>
      <w:w w:val="106"/>
      <w:sz w:val="14"/>
      <w:szCs w:val="21"/>
    </w:rPr>
  </w:style>
  <w:style w:type="paragraph" w:customStyle="1" w:styleId="Original">
    <w:name w:val="Original"/>
    <w:basedOn w:val="Normal"/>
    <w:next w:val="Normal"/>
    <w:qFormat/>
    <w:rsid w:val="00593BE6"/>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593BE6"/>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593BE6"/>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593BE6"/>
    <w:rPr>
      <w:lang w:val="en-US" w:eastAsia="zh-TW"/>
    </w:rPr>
  </w:style>
  <w:style w:type="paragraph" w:customStyle="1" w:styleId="STitleMGA">
    <w:name w:val="S_Title_M_GA"/>
    <w:basedOn w:val="SMGA"/>
    <w:qFormat/>
    <w:rsid w:val="00593BE6"/>
    <w:rPr>
      <w:lang w:eastAsia="zh-TW"/>
    </w:rPr>
  </w:style>
  <w:style w:type="paragraph" w:customStyle="1" w:styleId="STitleSGA">
    <w:name w:val="S_Title_S_GA"/>
    <w:basedOn w:val="SSGA"/>
    <w:qFormat/>
    <w:rsid w:val="00593BE6"/>
    <w:rPr>
      <w:lang w:eastAsia="zh-TW"/>
    </w:rPr>
  </w:style>
  <w:style w:type="character" w:styleId="EndnoteReference">
    <w:name w:val="endnote reference"/>
    <w:aliases w:val="1_G"/>
    <w:basedOn w:val="DefaultParagraphFont"/>
    <w:unhideWhenUsed/>
    <w:qFormat/>
    <w:rsid w:val="008E4FF5"/>
    <w:rPr>
      <w:vertAlign w:val="superscript"/>
    </w:rPr>
  </w:style>
  <w:style w:type="paragraph" w:styleId="FootnoteText">
    <w:name w:val="footnote text"/>
    <w:basedOn w:val="Normal"/>
    <w:link w:val="FootnoteTextChar"/>
    <w:uiPriority w:val="99"/>
    <w:semiHidden/>
    <w:unhideWhenUsed/>
    <w:qFormat/>
    <w:rsid w:val="008E4FF5"/>
    <w:pPr>
      <w:spacing w:line="240" w:lineRule="auto"/>
    </w:pPr>
    <w:rPr>
      <w:szCs w:val="20"/>
    </w:rPr>
  </w:style>
  <w:style w:type="character" w:customStyle="1" w:styleId="FootnoteTextChar">
    <w:name w:val="Footnote Text Char"/>
    <w:basedOn w:val="DefaultParagraphFont"/>
    <w:link w:val="FootnoteText"/>
    <w:uiPriority w:val="99"/>
    <w:semiHidden/>
    <w:rsid w:val="008E4FF5"/>
    <w:rPr>
      <w:rFonts w:ascii="Times New Roman" w:eastAsia="PMingLiU" w:hAnsi="Times New Roman" w:cs="Simplified Arabic"/>
      <w:lang w:eastAsia="en-US"/>
    </w:rPr>
  </w:style>
  <w:style w:type="character" w:styleId="FootnoteReference">
    <w:name w:val="footnote reference"/>
    <w:basedOn w:val="DefaultParagraphFont"/>
    <w:uiPriority w:val="99"/>
    <w:semiHidden/>
    <w:unhideWhenUsed/>
    <w:qFormat/>
    <w:rsid w:val="008E4FF5"/>
    <w:rPr>
      <w:vertAlign w:val="superscript"/>
    </w:rPr>
  </w:style>
  <w:style w:type="character" w:styleId="UnresolvedMention">
    <w:name w:val="Unresolved Mention"/>
    <w:basedOn w:val="DefaultParagraphFont"/>
    <w:uiPriority w:val="99"/>
    <w:semiHidden/>
    <w:unhideWhenUsed/>
    <w:rsid w:val="002F36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undocs.org/ar/CAT/C/COL/CO/5/Add.1" TargetMode="External"/><Relationship Id="rId18" Type="http://schemas.openxmlformats.org/officeDocument/2006/relationships/hyperlink" Target="https://tbinternet.ohchr.org/_layouts/15/treatybodyexternal/Download.aspx?symbolno=INT%2FCEDAW%2FUCS%2FCOL%2F45298&amp;Lang=en" TargetMode="External"/><Relationship Id="rId26" Type="http://schemas.openxmlformats.org/officeDocument/2006/relationships/hyperlink" Target="http://undocs.org/en/A/HRC/52/25" TargetMode="External"/><Relationship Id="rId39" Type="http://schemas.openxmlformats.org/officeDocument/2006/relationships/hyperlink" Target="https://undocs.org/ar/A/HRC/52/25." TargetMode="External"/><Relationship Id="rId3" Type="http://schemas.openxmlformats.org/officeDocument/2006/relationships/hyperlink" Target="https://undocs.org/ar/CAT/C/SR.1981." TargetMode="External"/><Relationship Id="rId21" Type="http://schemas.openxmlformats.org/officeDocument/2006/relationships/hyperlink" Target="https://undocs.org/ar/A/HRC/46/76" TargetMode="External"/><Relationship Id="rId34" Type="http://schemas.openxmlformats.org/officeDocument/2006/relationships/hyperlink" Target="https://undocs.org/ar/A/HRC/RES/52/24" TargetMode="External"/><Relationship Id="rId42" Type="http://schemas.openxmlformats.org/officeDocument/2006/relationships/hyperlink" Target="https://undocs.org/ar/A/HRC/49/19" TargetMode="External"/><Relationship Id="rId47" Type="http://schemas.openxmlformats.org/officeDocument/2006/relationships/hyperlink" Target="https://undocs.org/ar/CERD/C/COL/CO/17-19" TargetMode="External"/><Relationship Id="rId50" Type="http://schemas.openxmlformats.org/officeDocument/2006/relationships/hyperlink" Target="https://undocs.org/ar/A/HRC/46/76" TargetMode="External"/><Relationship Id="rId7" Type="http://schemas.openxmlformats.org/officeDocument/2006/relationships/hyperlink" Target="https://undocs.org/ar/CAT/C/COL/6" TargetMode="External"/><Relationship Id="rId12" Type="http://schemas.openxmlformats.org/officeDocument/2006/relationships/hyperlink" Target="https://undocs.org/ar/CAT/C/COL/6" TargetMode="External"/><Relationship Id="rId17" Type="http://schemas.openxmlformats.org/officeDocument/2006/relationships/hyperlink" Target="https://undocs.org/ar/CEDAW/C/COL/CO/9" TargetMode="External"/><Relationship Id="rId25" Type="http://schemas.openxmlformats.org/officeDocument/2006/relationships/hyperlink" Target="https://undocs.org/ar/A/HRC/46/76" TargetMode="External"/><Relationship Id="rId33" Type="http://schemas.openxmlformats.org/officeDocument/2006/relationships/hyperlink" Target="https://undocs.org/ar/CED/C/COL/OAI/1" TargetMode="External"/><Relationship Id="rId38" Type="http://schemas.openxmlformats.org/officeDocument/2006/relationships/hyperlink" Target="https://undocs.org/ar/CED/C/COL/OAI/1" TargetMode="External"/><Relationship Id="rId46" Type="http://schemas.openxmlformats.org/officeDocument/2006/relationships/hyperlink" Target="https://undocs.org/ar/CEDAW/C/COL/CO/9" TargetMode="External"/><Relationship Id="rId2" Type="http://schemas.openxmlformats.org/officeDocument/2006/relationships/hyperlink" Target="https://undocs.org/ar/CAT/C/SR.1978" TargetMode="External"/><Relationship Id="rId16" Type="http://schemas.openxmlformats.org/officeDocument/2006/relationships/hyperlink" Target="https://undocs.org/ar/A/HRC/49/19" TargetMode="External"/><Relationship Id="rId20" Type="http://schemas.openxmlformats.org/officeDocument/2006/relationships/hyperlink" Target="https://undocs.org/ar/A/HRC/49/19" TargetMode="External"/><Relationship Id="rId29" Type="http://schemas.openxmlformats.org/officeDocument/2006/relationships/hyperlink" Target="https://undocs.org/ar/A/HRC/46/76" TargetMode="External"/><Relationship Id="rId41" Type="http://schemas.openxmlformats.org/officeDocument/2006/relationships/hyperlink" Target="https://undocs.org/ar/A/77/56" TargetMode="External"/><Relationship Id="rId54" Type="http://schemas.openxmlformats.org/officeDocument/2006/relationships/hyperlink" Target="https://www.ohchr.org/en/press-releases/2019/10/colombia-un-experts-are-outraged-killing-indigenous-leader-and-community" TargetMode="External"/><Relationship Id="rId1" Type="http://schemas.openxmlformats.org/officeDocument/2006/relationships/hyperlink" Target="https://undocs.org/ar/CAT/C/COL/6." TargetMode="External"/><Relationship Id="rId6" Type="http://schemas.openxmlformats.org/officeDocument/2006/relationships/hyperlink" Target="https://undocs.org/ar/A/HRC/52/25." TargetMode="External"/><Relationship Id="rId11" Type="http://schemas.openxmlformats.org/officeDocument/2006/relationships/hyperlink" Target="https://undocs.org/ar/CAT/C/COL/CO/5" TargetMode="External"/><Relationship Id="rId24" Type="http://schemas.openxmlformats.org/officeDocument/2006/relationships/hyperlink" Target="https://undocs.org/ar/A/HRC/49/19" TargetMode="External"/><Relationship Id="rId32" Type="http://schemas.openxmlformats.org/officeDocument/2006/relationships/hyperlink" Target="https://undocs.org/ar/A/HRC/49/19" TargetMode="External"/><Relationship Id="rId37" Type="http://schemas.openxmlformats.org/officeDocument/2006/relationships/hyperlink" Target="https://undocs.org/ar/A/HRC/49/19" TargetMode="External"/><Relationship Id="rId40" Type="http://schemas.openxmlformats.org/officeDocument/2006/relationships/hyperlink" Target="https://undocs.org/ar/CED/C/COL/OAI/1" TargetMode="External"/><Relationship Id="rId45" Type="http://schemas.openxmlformats.org/officeDocument/2006/relationships/hyperlink" Target="https://undocs.org/ar/CAT/C/COL/6" TargetMode="External"/><Relationship Id="rId53" Type="http://schemas.openxmlformats.org/officeDocument/2006/relationships/hyperlink" Target="https://www.ohchr.org/en/press-releases/2022/03/colombia-un-expert-says-killings-nasa-indigenous-human-rights-defenders" TargetMode="External"/><Relationship Id="rId5" Type="http://schemas.openxmlformats.org/officeDocument/2006/relationships/hyperlink" Target="http://undocs.org/en/CAT/C/COL/CO/5/Add.1" TargetMode="External"/><Relationship Id="rId15" Type="http://schemas.openxmlformats.org/officeDocument/2006/relationships/hyperlink" Target="https://undocs.org/ar/A/HRC/49/19" TargetMode="External"/><Relationship Id="rId23" Type="http://schemas.openxmlformats.org/officeDocument/2006/relationships/hyperlink" Target="http://undocs.org/en/A/HRC/52/25" TargetMode="External"/><Relationship Id="rId28" Type="http://schemas.openxmlformats.org/officeDocument/2006/relationships/hyperlink" Target="https://undocs.org/ar/A/HRC/49/19" TargetMode="External"/><Relationship Id="rId36" Type="http://schemas.openxmlformats.org/officeDocument/2006/relationships/hyperlink" Target="https://undocs.org/ar/A/HRC/49/19" TargetMode="External"/><Relationship Id="rId49" Type="http://schemas.openxmlformats.org/officeDocument/2006/relationships/hyperlink" Target="https://undocs.org/ar/A/HRC/49/19" TargetMode="External"/><Relationship Id="rId10" Type="http://schemas.openxmlformats.org/officeDocument/2006/relationships/hyperlink" Target="https://undocs.org/ar/A/HRC/52/25" TargetMode="External"/><Relationship Id="rId19" Type="http://schemas.openxmlformats.org/officeDocument/2006/relationships/hyperlink" Target="http://undocs.org/en/A/HRC/52/25" TargetMode="External"/><Relationship Id="rId31" Type="http://schemas.openxmlformats.org/officeDocument/2006/relationships/hyperlink" Target="https://undocs.org/ar/A/HRC/52/25." TargetMode="External"/><Relationship Id="rId44" Type="http://schemas.openxmlformats.org/officeDocument/2006/relationships/hyperlink" Target="https://undocs.org/ar/A/HRC/46/76" TargetMode="External"/><Relationship Id="rId52" Type="http://schemas.openxmlformats.org/officeDocument/2006/relationships/hyperlink" Target="https://www.ohchr.org/en/press-releases/2022/08/colombia-extreme-risks-rights-defenders-who-challenge-corporate-activity" TargetMode="External"/><Relationship Id="rId4" Type="http://schemas.openxmlformats.org/officeDocument/2006/relationships/hyperlink" Target="https://undocs.org/ar/CAT/C/COL/CO/5" TargetMode="External"/><Relationship Id="rId9" Type="http://schemas.openxmlformats.org/officeDocument/2006/relationships/hyperlink" Target="https://undocs.org/ar/A/HRC/49/19" TargetMode="External"/><Relationship Id="rId14" Type="http://schemas.openxmlformats.org/officeDocument/2006/relationships/hyperlink" Target="https://undocs.org/ar/A/HRC/52/25." TargetMode="External"/><Relationship Id="rId22" Type="http://schemas.openxmlformats.org/officeDocument/2006/relationships/hyperlink" Target="https://www.hchr.org.co/wp/wp-content/uploads/2022/07/Territorial-Violence-in-Colombia.pdf" TargetMode="External"/><Relationship Id="rId27" Type="http://schemas.openxmlformats.org/officeDocument/2006/relationships/hyperlink" Target="https://undocs.org/ar/A/HRC/49/19" TargetMode="External"/><Relationship Id="rId30" Type="http://schemas.openxmlformats.org/officeDocument/2006/relationships/hyperlink" Target="https://undocs.org/ar/CERD/C/COL/CO/17-19" TargetMode="External"/><Relationship Id="rId35" Type="http://schemas.openxmlformats.org/officeDocument/2006/relationships/hyperlink" Target="http://undocs.org/en/A/HRC/52/25" TargetMode="External"/><Relationship Id="rId43" Type="http://schemas.openxmlformats.org/officeDocument/2006/relationships/hyperlink" Target="https://undocs.org/ar/CAT/C/COL/6" TargetMode="External"/><Relationship Id="rId48" Type="http://schemas.openxmlformats.org/officeDocument/2006/relationships/hyperlink" Target="https://undocs.org/ar/A/HRC/52/25" TargetMode="External"/><Relationship Id="rId8" Type="http://schemas.openxmlformats.org/officeDocument/2006/relationships/hyperlink" Target="https://undocs.org/ar/A/HRC/49/19" TargetMode="External"/><Relationship Id="rId51" Type="http://schemas.openxmlformats.org/officeDocument/2006/relationships/hyperlink" Target="https://undocs.org/ar/A/HRC/51/5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14</Pages>
  <Words>3884</Words>
  <Characters>30340</Characters>
  <Application>Microsoft Office Word</Application>
  <DocSecurity>0</DocSecurity>
  <Lines>4334</Lines>
  <Paragraphs>2281</Paragraphs>
  <ScaleCrop>false</ScaleCrop>
  <HeadingPairs>
    <vt:vector size="2" baseType="variant">
      <vt:variant>
        <vt:lpstr>Title</vt:lpstr>
      </vt:variant>
      <vt:variant>
        <vt:i4>1</vt:i4>
      </vt:variant>
    </vt:vector>
  </HeadingPairs>
  <TitlesOfParts>
    <vt:vector size="1" baseType="lpstr">
      <vt:lpstr>CAT/C/COL/CO/6</vt:lpstr>
    </vt:vector>
  </TitlesOfParts>
  <Company>DCM</Company>
  <LinksUpToDate>false</LinksUpToDate>
  <CharactersWithSpaces>31943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CAT/C/COL/CO/6</dc:title>
  <dc:subject>GE.2309415(A)</dc:subject>
  <dc:creator>Gamal MAHMOUD - </dc:creator>
  <cp:keywords>GE.(A)</cp:keywords>
  <dc:description>_x000d_
_x000d_
Arabic_x000d_
</dc:description>
  <cp:lastModifiedBy>Gamal Mohamed Abdelhamid Mahmoud</cp:lastModifiedBy>
  <cp:revision>3</cp:revision>
  <cp:lastPrinted>2023-12-12T17:27:00Z</cp:lastPrinted>
  <dcterms:created xsi:type="dcterms:W3CDTF">2023-12-12T17:27:00Z</dcterms:created>
  <dcterms:modified xsi:type="dcterms:W3CDTF">2023-12-12T17:28:00Z</dcterms:modified>
  <cp:category>Final</cp:category>
</cp:coreProperties>
</file>