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96E53F1" w14:textId="77777777" w:rsidTr="008F3CA0">
        <w:trPr>
          <w:trHeight w:hRule="exact" w:val="851"/>
        </w:trPr>
        <w:tc>
          <w:tcPr>
            <w:tcW w:w="1276" w:type="dxa"/>
            <w:tcBorders>
              <w:bottom w:val="single" w:sz="4" w:space="0" w:color="auto"/>
            </w:tcBorders>
          </w:tcPr>
          <w:p w14:paraId="78AC58F5" w14:textId="77777777" w:rsidR="000354E9" w:rsidRPr="00DB58B5" w:rsidRDefault="000354E9" w:rsidP="00380339">
            <w:bookmarkStart w:id="0" w:name="_GoBack"/>
            <w:bookmarkEnd w:id="0"/>
          </w:p>
        </w:tc>
        <w:tc>
          <w:tcPr>
            <w:tcW w:w="2268" w:type="dxa"/>
            <w:tcBorders>
              <w:bottom w:val="single" w:sz="4" w:space="0" w:color="auto"/>
            </w:tcBorders>
            <w:vAlign w:val="bottom"/>
          </w:tcPr>
          <w:p w14:paraId="06DD9DAD"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EF6B442" w14:textId="77777777" w:rsidR="000354E9" w:rsidRPr="00DB58B5" w:rsidRDefault="00380339" w:rsidP="00380339">
            <w:pPr>
              <w:jc w:val="right"/>
            </w:pPr>
            <w:r w:rsidRPr="00380339">
              <w:rPr>
                <w:sz w:val="40"/>
              </w:rPr>
              <w:t>CRC</w:t>
            </w:r>
            <w:r>
              <w:t>/C/85/D/87/2019</w:t>
            </w:r>
          </w:p>
        </w:tc>
      </w:tr>
      <w:tr w:rsidR="000354E9" w:rsidRPr="00DB58B5" w14:paraId="4323E6B7" w14:textId="77777777" w:rsidTr="008F3CA0">
        <w:trPr>
          <w:trHeight w:hRule="exact" w:val="2835"/>
        </w:trPr>
        <w:tc>
          <w:tcPr>
            <w:tcW w:w="1276" w:type="dxa"/>
            <w:tcBorders>
              <w:top w:val="single" w:sz="4" w:space="0" w:color="auto"/>
              <w:bottom w:val="single" w:sz="12" w:space="0" w:color="auto"/>
            </w:tcBorders>
          </w:tcPr>
          <w:p w14:paraId="78972A13" w14:textId="77777777" w:rsidR="000354E9" w:rsidRPr="00DB58B5" w:rsidRDefault="000354E9" w:rsidP="008F3CA0">
            <w:pPr>
              <w:spacing w:before="120"/>
              <w:jc w:val="center"/>
            </w:pPr>
            <w:r>
              <w:rPr>
                <w:noProof/>
                <w:lang w:eastAsia="fr-CH"/>
              </w:rPr>
              <w:drawing>
                <wp:inline distT="0" distB="0" distL="0" distR="0" wp14:anchorId="7C469C52" wp14:editId="3BE7EC5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361FD3"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696FC47B" w14:textId="77777777" w:rsidR="000354E9" w:rsidRDefault="00380339" w:rsidP="008F3CA0">
            <w:pPr>
              <w:spacing w:before="240"/>
            </w:pPr>
            <w:r>
              <w:t>Distr. générale</w:t>
            </w:r>
          </w:p>
          <w:p w14:paraId="7FD192EC" w14:textId="77777777" w:rsidR="00380339" w:rsidRDefault="00380339" w:rsidP="00380339">
            <w:pPr>
              <w:spacing w:line="240" w:lineRule="exact"/>
            </w:pPr>
            <w:r>
              <w:t>11 novembre 2020</w:t>
            </w:r>
          </w:p>
          <w:p w14:paraId="25FE6BAF" w14:textId="77777777" w:rsidR="00380339" w:rsidRDefault="00380339" w:rsidP="00380339">
            <w:pPr>
              <w:spacing w:line="240" w:lineRule="exact"/>
            </w:pPr>
            <w:r>
              <w:t>Français</w:t>
            </w:r>
          </w:p>
          <w:p w14:paraId="2C75ED78" w14:textId="77777777" w:rsidR="00380339" w:rsidRPr="00DB58B5" w:rsidRDefault="00380339" w:rsidP="00380339">
            <w:pPr>
              <w:spacing w:line="240" w:lineRule="exact"/>
            </w:pPr>
            <w:r>
              <w:t>Original : anglais</w:t>
            </w:r>
          </w:p>
        </w:tc>
      </w:tr>
    </w:tbl>
    <w:p w14:paraId="5356D751" w14:textId="77777777" w:rsidR="002D14A3" w:rsidRDefault="002D14A3" w:rsidP="002D14A3">
      <w:pPr>
        <w:spacing w:before="120"/>
        <w:rPr>
          <w:b/>
          <w:sz w:val="24"/>
          <w:szCs w:val="24"/>
        </w:rPr>
      </w:pPr>
      <w:r w:rsidRPr="00DA3BE9">
        <w:rPr>
          <w:b/>
          <w:sz w:val="24"/>
          <w:szCs w:val="24"/>
        </w:rPr>
        <w:t>Comité des droits de l’enfant</w:t>
      </w:r>
    </w:p>
    <w:p w14:paraId="458F1A4A" w14:textId="77777777" w:rsidR="00380339" w:rsidRPr="00380339" w:rsidRDefault="00380339" w:rsidP="00380339">
      <w:pPr>
        <w:pStyle w:val="HChG"/>
        <w:rPr>
          <w:spacing w:val="-2"/>
        </w:rPr>
      </w:pPr>
      <w:r>
        <w:tab/>
      </w:r>
      <w:r>
        <w:tab/>
      </w:r>
      <w:r w:rsidRPr="00380339">
        <w:rPr>
          <w:spacing w:val="-2"/>
        </w:rPr>
        <w:t xml:space="preserve">Décision adoptée par le Comité au titre du Protocole facultatif à la Convention relative aux droits de l’enfant établissant </w:t>
      </w:r>
      <w:r>
        <w:rPr>
          <w:spacing w:val="-2"/>
        </w:rPr>
        <w:br/>
      </w:r>
      <w:r w:rsidRPr="00380339">
        <w:rPr>
          <w:spacing w:val="-2"/>
        </w:rPr>
        <w:t>une procédure de présentation de communications, concernant la</w:t>
      </w:r>
      <w:r w:rsidRPr="00380339">
        <w:rPr>
          <w:spacing w:val="-2"/>
        </w:rPr>
        <w:t xml:space="preserve"> </w:t>
      </w:r>
      <w:r w:rsidRPr="00380339">
        <w:rPr>
          <w:rFonts w:eastAsia="Times New Roman"/>
          <w:bCs/>
          <w:spacing w:val="-2"/>
        </w:rPr>
        <w:t>c</w:t>
      </w:r>
      <w:r w:rsidRPr="00380339">
        <w:rPr>
          <w:bCs/>
          <w:spacing w:val="-2"/>
        </w:rPr>
        <w:t xml:space="preserve">ommunication </w:t>
      </w:r>
      <w:r w:rsidRPr="00380339">
        <w:rPr>
          <w:rFonts w:eastAsia="MS Mincho"/>
          <w:bCs/>
          <w:spacing w:val="-2"/>
          <w:szCs w:val="22"/>
        </w:rPr>
        <w:t>n</w:t>
      </w:r>
      <w:r w:rsidRPr="00380339">
        <w:rPr>
          <w:rFonts w:eastAsia="MS Mincho"/>
          <w:bCs/>
          <w:spacing w:val="-2"/>
          <w:szCs w:val="22"/>
          <w:vertAlign w:val="superscript"/>
        </w:rPr>
        <w:t>o</w:t>
      </w:r>
      <w:r w:rsidRPr="00380339">
        <w:rPr>
          <w:bCs/>
          <w:spacing w:val="-2"/>
        </w:rPr>
        <w:t> 87/2019</w:t>
      </w:r>
      <w:r w:rsidRPr="00380339">
        <w:rPr>
          <w:rStyle w:val="Appelnotedebasdep"/>
          <w:b w:val="0"/>
          <w:spacing w:val="-2"/>
          <w:sz w:val="20"/>
          <w:vertAlign w:val="baseline"/>
        </w:rPr>
        <w:footnoteReference w:customMarkFollows="1" w:id="2"/>
        <w:t>*</w:t>
      </w:r>
      <w:r w:rsidRPr="00380339">
        <w:rPr>
          <w:b w:val="0"/>
          <w:spacing w:val="-2"/>
          <w:position w:val="8"/>
        </w:rPr>
        <w:t>,</w:t>
      </w:r>
      <w:r w:rsidRPr="00380339">
        <w:rPr>
          <w:bCs/>
          <w:spacing w:val="-2"/>
        </w:rPr>
        <w:t xml:space="preserve"> </w:t>
      </w:r>
      <w:r w:rsidRPr="00380339">
        <w:rPr>
          <w:rStyle w:val="Appelnotedebasdep"/>
          <w:b w:val="0"/>
          <w:spacing w:val="-2"/>
          <w:sz w:val="20"/>
          <w:vertAlign w:val="baseline"/>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552"/>
        <w:gridCol w:w="4253"/>
      </w:tblGrid>
      <w:tr w:rsidR="00380339" w14:paraId="06064A68" w14:textId="77777777">
        <w:tc>
          <w:tcPr>
            <w:tcW w:w="2552" w:type="dxa"/>
          </w:tcPr>
          <w:p w14:paraId="1DF056E3" w14:textId="77777777" w:rsidR="00380339" w:rsidRDefault="00380339">
            <w:pPr>
              <w:pStyle w:val="SingleTxtG"/>
              <w:ind w:left="0" w:right="0"/>
              <w:jc w:val="left"/>
              <w:rPr>
                <w:i/>
              </w:rPr>
            </w:pPr>
            <w:r>
              <w:rPr>
                <w:i/>
              </w:rPr>
              <w:t>Communication présentée par</w:t>
            </w:r>
            <w:r>
              <w:t> :</w:t>
            </w:r>
          </w:p>
        </w:tc>
        <w:tc>
          <w:tcPr>
            <w:tcW w:w="4253" w:type="dxa"/>
          </w:tcPr>
          <w:p w14:paraId="2841F950" w14:textId="77777777" w:rsidR="00380339" w:rsidRDefault="00380339">
            <w:pPr>
              <w:pStyle w:val="SingleTxtG"/>
              <w:ind w:left="0" w:right="0"/>
              <w:jc w:val="left"/>
            </w:pPr>
            <w:r w:rsidRPr="00D54D03">
              <w:t>J.J.</w:t>
            </w:r>
            <w:r>
              <w:t>,</w:t>
            </w:r>
            <w:r w:rsidRPr="00D54D03">
              <w:t xml:space="preserve"> </w:t>
            </w:r>
            <w:r>
              <w:t>O.L., A.J. et A.S.</w:t>
            </w:r>
            <w:r w:rsidRPr="00D54D03">
              <w:t xml:space="preserve"> (repr</w:t>
            </w:r>
            <w:r>
              <w:t>é</w:t>
            </w:r>
            <w:r w:rsidRPr="00D54D03">
              <w:t>sent</w:t>
            </w:r>
            <w:r w:rsidRPr="00E006AD">
              <w:t>és</w:t>
            </w:r>
            <w:r>
              <w:t xml:space="preserve"> par</w:t>
            </w:r>
            <w:r>
              <w:t xml:space="preserve"> </w:t>
            </w:r>
            <w:r>
              <w:t>un conseil</w:t>
            </w:r>
            <w:r w:rsidRPr="00D54D03">
              <w:t>, Kirsi Hytinantti)</w:t>
            </w:r>
          </w:p>
        </w:tc>
      </w:tr>
      <w:tr w:rsidR="00380339" w14:paraId="0107EB10" w14:textId="77777777">
        <w:tc>
          <w:tcPr>
            <w:tcW w:w="2552" w:type="dxa"/>
          </w:tcPr>
          <w:p w14:paraId="3A61312D" w14:textId="77777777" w:rsidR="00380339" w:rsidRDefault="00380339" w:rsidP="00380339">
            <w:pPr>
              <w:rPr>
                <w:i/>
              </w:rPr>
            </w:pPr>
            <w:r>
              <w:rPr>
                <w:i/>
              </w:rPr>
              <w:t>Victime(s) présumée(s) </w:t>
            </w:r>
            <w:r>
              <w:t>:</w:t>
            </w:r>
          </w:p>
        </w:tc>
        <w:tc>
          <w:tcPr>
            <w:tcW w:w="4253" w:type="dxa"/>
          </w:tcPr>
          <w:p w14:paraId="3DA86A6F" w14:textId="77777777" w:rsidR="00380339" w:rsidRDefault="00380339" w:rsidP="00380339">
            <w:pPr>
              <w:pStyle w:val="SingleTxtG"/>
              <w:ind w:left="0" w:right="0"/>
              <w:jc w:val="left"/>
            </w:pPr>
            <w:r>
              <w:rPr>
                <w:rFonts w:eastAsia="Times New Roman"/>
              </w:rPr>
              <w:t>Les auteu</w:t>
            </w:r>
            <w:r w:rsidRPr="00E006AD">
              <w:rPr>
                <w:rFonts w:eastAsia="Times New Roman"/>
              </w:rPr>
              <w:t>rs</w:t>
            </w:r>
          </w:p>
        </w:tc>
      </w:tr>
      <w:tr w:rsidR="00380339" w14:paraId="45802A37" w14:textId="77777777">
        <w:tc>
          <w:tcPr>
            <w:tcW w:w="2552" w:type="dxa"/>
          </w:tcPr>
          <w:p w14:paraId="27D163E9" w14:textId="77777777" w:rsidR="00380339" w:rsidRDefault="00380339" w:rsidP="00380339">
            <w:pPr>
              <w:pStyle w:val="SingleTxtG"/>
              <w:ind w:left="0" w:right="0"/>
              <w:jc w:val="left"/>
              <w:rPr>
                <w:i/>
              </w:rPr>
            </w:pPr>
            <w:r>
              <w:rPr>
                <w:i/>
              </w:rPr>
              <w:t>État partie</w:t>
            </w:r>
            <w:r>
              <w:t> :</w:t>
            </w:r>
          </w:p>
        </w:tc>
        <w:tc>
          <w:tcPr>
            <w:tcW w:w="4253" w:type="dxa"/>
          </w:tcPr>
          <w:p w14:paraId="26F2A3BC" w14:textId="77777777" w:rsidR="00380339" w:rsidRDefault="00380339" w:rsidP="00380339">
            <w:pPr>
              <w:pStyle w:val="SingleTxtG"/>
              <w:ind w:left="0" w:right="0"/>
              <w:jc w:val="left"/>
            </w:pPr>
            <w:r>
              <w:t>Finlande</w:t>
            </w:r>
          </w:p>
        </w:tc>
      </w:tr>
      <w:tr w:rsidR="00380339" w14:paraId="68843A26" w14:textId="77777777">
        <w:tc>
          <w:tcPr>
            <w:tcW w:w="2552" w:type="dxa"/>
          </w:tcPr>
          <w:p w14:paraId="60E06A0A" w14:textId="77777777" w:rsidR="00380339" w:rsidRDefault="00380339" w:rsidP="00380339">
            <w:pPr>
              <w:pStyle w:val="SingleTxtG"/>
              <w:ind w:left="0" w:right="0"/>
              <w:jc w:val="left"/>
              <w:rPr>
                <w:i/>
              </w:rPr>
            </w:pPr>
            <w:r>
              <w:rPr>
                <w:i/>
              </w:rPr>
              <w:t>Date de la communication</w:t>
            </w:r>
            <w:r>
              <w:t> :</w:t>
            </w:r>
          </w:p>
        </w:tc>
        <w:tc>
          <w:tcPr>
            <w:tcW w:w="4253" w:type="dxa"/>
          </w:tcPr>
          <w:p w14:paraId="1C50F2ED" w14:textId="77777777" w:rsidR="00380339" w:rsidRDefault="00380339" w:rsidP="00380339">
            <w:pPr>
              <w:pStyle w:val="SingleTxtG"/>
              <w:ind w:left="0" w:right="0"/>
              <w:jc w:val="left"/>
            </w:pPr>
            <w:r>
              <w:rPr>
                <w:rFonts w:eastAsia="Times New Roman"/>
              </w:rPr>
              <w:t>28 mai</w:t>
            </w:r>
            <w:r w:rsidRPr="008460A9">
              <w:rPr>
                <w:rFonts w:eastAsia="Times New Roman"/>
              </w:rPr>
              <w:t xml:space="preserve"> 2019</w:t>
            </w:r>
            <w:r>
              <w:rPr>
                <w:rFonts w:eastAsia="Times New Roman"/>
              </w:rPr>
              <w:t xml:space="preserve"> (date de la lettre initiale)</w:t>
            </w:r>
          </w:p>
        </w:tc>
      </w:tr>
      <w:tr w:rsidR="00380339" w14:paraId="64EC7DFA" w14:textId="77777777">
        <w:tc>
          <w:tcPr>
            <w:tcW w:w="2552" w:type="dxa"/>
          </w:tcPr>
          <w:p w14:paraId="33B7ABA8" w14:textId="77777777" w:rsidR="00380339" w:rsidRDefault="00380339">
            <w:pPr>
              <w:pStyle w:val="SingleTxtG"/>
              <w:ind w:left="0" w:right="0"/>
              <w:jc w:val="left"/>
            </w:pPr>
            <w:r>
              <w:rPr>
                <w:i/>
              </w:rPr>
              <w:t>Objet</w:t>
            </w:r>
            <w:r>
              <w:t> :</w:t>
            </w:r>
          </w:p>
        </w:tc>
        <w:tc>
          <w:tcPr>
            <w:tcW w:w="4253" w:type="dxa"/>
            <w:vAlign w:val="bottom"/>
          </w:tcPr>
          <w:p w14:paraId="28411C6E" w14:textId="77777777" w:rsidR="00380339" w:rsidRDefault="00380339">
            <w:pPr>
              <w:pStyle w:val="SingleTxtG"/>
              <w:ind w:left="0" w:right="0"/>
              <w:jc w:val="left"/>
            </w:pPr>
            <w:r>
              <w:rPr>
                <w:rFonts w:eastAsia="Times New Roman"/>
              </w:rPr>
              <w:t>Expulsion du père des victimes présumées vers la Gambie</w:t>
            </w:r>
          </w:p>
        </w:tc>
      </w:tr>
      <w:tr w:rsidR="00380339" w14:paraId="03F6F244" w14:textId="77777777">
        <w:tc>
          <w:tcPr>
            <w:tcW w:w="2552" w:type="dxa"/>
          </w:tcPr>
          <w:p w14:paraId="5FA9CDBD" w14:textId="77777777" w:rsidR="00380339" w:rsidRDefault="00380339">
            <w:pPr>
              <w:pStyle w:val="SingleTxtG"/>
              <w:ind w:left="0" w:right="0"/>
              <w:jc w:val="left"/>
            </w:pPr>
            <w:r>
              <w:rPr>
                <w:i/>
              </w:rPr>
              <w:t>Questions de procédure</w:t>
            </w:r>
            <w:r>
              <w:t> :</w:t>
            </w:r>
          </w:p>
        </w:tc>
        <w:tc>
          <w:tcPr>
            <w:tcW w:w="4253" w:type="dxa"/>
            <w:vAlign w:val="bottom"/>
          </w:tcPr>
          <w:p w14:paraId="1046B769" w14:textId="77777777" w:rsidR="00380339" w:rsidRDefault="00380339">
            <w:pPr>
              <w:pStyle w:val="SingleTxtG"/>
              <w:ind w:left="0" w:right="0"/>
              <w:jc w:val="left"/>
            </w:pPr>
            <w:r>
              <w:rPr>
                <w:rFonts w:eastAsia="Times New Roman"/>
              </w:rPr>
              <w:t>Non-refoulement </w:t>
            </w:r>
            <w:r w:rsidRPr="008460A9">
              <w:rPr>
                <w:rFonts w:eastAsia="Times New Roman"/>
              </w:rPr>
              <w:t xml:space="preserve">; </w:t>
            </w:r>
            <w:r>
              <w:rPr>
                <w:rFonts w:eastAsia="Times New Roman"/>
              </w:rPr>
              <w:t>discrimination</w:t>
            </w:r>
            <w:r w:rsidRPr="008460A9">
              <w:rPr>
                <w:rFonts w:eastAsia="Times New Roman"/>
              </w:rPr>
              <w:t xml:space="preserve"> ; </w:t>
            </w:r>
            <w:r>
              <w:rPr>
                <w:rFonts w:eastAsia="Times New Roman"/>
              </w:rPr>
              <w:t>intérêt supérieur de l’enfant </w:t>
            </w:r>
            <w:r w:rsidRPr="008460A9">
              <w:rPr>
                <w:rFonts w:eastAsia="Times New Roman"/>
              </w:rPr>
              <w:t xml:space="preserve">; </w:t>
            </w:r>
            <w:r>
              <w:rPr>
                <w:rFonts w:eastAsia="Times New Roman"/>
              </w:rPr>
              <w:t>droit à la vie; enregistrement des naissances</w:t>
            </w:r>
            <w:r>
              <w:rPr>
                <w:rFonts w:eastAsia="Times New Roman"/>
              </w:rPr>
              <w:t> </w:t>
            </w:r>
            <w:r>
              <w:rPr>
                <w:rFonts w:eastAsia="Times New Roman"/>
              </w:rPr>
              <w:t>; droit à l’identité</w:t>
            </w:r>
            <w:r>
              <w:rPr>
                <w:rFonts w:eastAsia="Times New Roman"/>
              </w:rPr>
              <w:t> </w:t>
            </w:r>
            <w:r>
              <w:rPr>
                <w:rFonts w:eastAsia="Times New Roman"/>
              </w:rPr>
              <w:t>; réunification familiale</w:t>
            </w:r>
            <w:r>
              <w:rPr>
                <w:rFonts w:eastAsia="Times New Roman"/>
              </w:rPr>
              <w:t> </w:t>
            </w:r>
            <w:r>
              <w:rPr>
                <w:rFonts w:eastAsia="Times New Roman"/>
              </w:rPr>
              <w:t>; droit d’être entendu</w:t>
            </w:r>
            <w:r>
              <w:rPr>
                <w:rFonts w:eastAsia="Times New Roman"/>
              </w:rPr>
              <w:t> </w:t>
            </w:r>
            <w:r>
              <w:rPr>
                <w:rFonts w:eastAsia="Times New Roman"/>
              </w:rPr>
              <w:t>; liberté de pensée, de conscience et de religion</w:t>
            </w:r>
            <w:r>
              <w:rPr>
                <w:rFonts w:eastAsia="Times New Roman"/>
              </w:rPr>
              <w:t> </w:t>
            </w:r>
            <w:r>
              <w:rPr>
                <w:rFonts w:eastAsia="Times New Roman"/>
              </w:rPr>
              <w:t>; droit au respect de la vie privée</w:t>
            </w:r>
            <w:r>
              <w:rPr>
                <w:rFonts w:eastAsia="Times New Roman"/>
              </w:rPr>
              <w:t> </w:t>
            </w:r>
            <w:r>
              <w:rPr>
                <w:rFonts w:eastAsia="Times New Roman"/>
              </w:rPr>
              <w:t>; enfants privés de milieu familial</w:t>
            </w:r>
          </w:p>
        </w:tc>
      </w:tr>
      <w:tr w:rsidR="00380339" w:rsidRPr="00380339" w14:paraId="76C0FD62" w14:textId="77777777">
        <w:tc>
          <w:tcPr>
            <w:tcW w:w="2552" w:type="dxa"/>
          </w:tcPr>
          <w:p w14:paraId="33B8DA3E" w14:textId="77777777" w:rsidR="00380339" w:rsidRPr="00380339" w:rsidRDefault="00380339">
            <w:pPr>
              <w:pStyle w:val="SingleTxtG"/>
              <w:ind w:left="0" w:right="0"/>
              <w:jc w:val="left"/>
              <w:rPr>
                <w:i/>
              </w:rPr>
            </w:pPr>
            <w:r>
              <w:rPr>
                <w:i/>
              </w:rPr>
              <w:t>Article(s) de la Convention</w:t>
            </w:r>
            <w:r w:rsidRPr="00380339">
              <w:rPr>
                <w:i/>
              </w:rPr>
              <w:t> :</w:t>
            </w:r>
          </w:p>
        </w:tc>
        <w:tc>
          <w:tcPr>
            <w:tcW w:w="4253" w:type="dxa"/>
            <w:vAlign w:val="bottom"/>
          </w:tcPr>
          <w:p w14:paraId="5599578F" w14:textId="77777777" w:rsidR="00380339" w:rsidRPr="00380339" w:rsidRDefault="00380339" w:rsidP="00380339">
            <w:pPr>
              <w:pStyle w:val="SingleTxtG"/>
              <w:ind w:left="0" w:right="0"/>
              <w:jc w:val="left"/>
              <w:rPr>
                <w:iCs/>
              </w:rPr>
            </w:pPr>
            <w:r w:rsidRPr="00380339">
              <w:rPr>
                <w:iCs/>
              </w:rPr>
              <w:t>2, 3, 5, 6, 7, 8, 9, 10, 12, 14, 16, 18, 27 et 30</w:t>
            </w:r>
          </w:p>
        </w:tc>
      </w:tr>
    </w:tbl>
    <w:p w14:paraId="64C5A324" w14:textId="77777777" w:rsidR="00380339" w:rsidRDefault="00380339" w:rsidP="00380339">
      <w:pPr>
        <w:pStyle w:val="SingleTxtG"/>
        <w:spacing w:before="240"/>
      </w:pPr>
      <w:r>
        <w:t>1.</w:t>
      </w:r>
      <w:r>
        <w:tab/>
        <w:t xml:space="preserve">Les auteurs de la communication sont quatre enfants, </w:t>
      </w:r>
      <w:r w:rsidRPr="00D54D03">
        <w:t xml:space="preserve">J.J., O.L., A.J. </w:t>
      </w:r>
      <w:r>
        <w:t>et</w:t>
      </w:r>
      <w:r w:rsidRPr="00D54D03">
        <w:t xml:space="preserve"> A.S.,</w:t>
      </w:r>
      <w:r>
        <w:t xml:space="preserve"> tous de nationalité finlandaise, nés en 2017, 2012, 2009 et 2005, respectivement. Le père de J.J., qui est le beau-père des autres auteurs, a déposé une demande de permis de séjour dans l’</w:t>
      </w:r>
      <w:r w:rsidRPr="00380339">
        <w:rPr>
          <w:caps/>
        </w:rPr>
        <w:t>é</w:t>
      </w:r>
      <w:r>
        <w:t>tat partie en 2017, fondée sur son mariage avec la mère des auteurs. La demande a été rejetée par le Service de l’immigration le 2 novembre 2017. La décision a été confirmée en appel par le tribunal administratif et la Cour suprême administrative le 5 décembre 2018 et le 9 mai 2019, respectivement. Le Protocole facultatif est entré en vigueur pour l’</w:t>
      </w:r>
      <w:r w:rsidRPr="00380339">
        <w:rPr>
          <w:caps/>
        </w:rPr>
        <w:t>é</w:t>
      </w:r>
      <w:r>
        <w:t xml:space="preserve">tat partie le 12 février 2016. </w:t>
      </w:r>
    </w:p>
    <w:p w14:paraId="0D1096BD" w14:textId="77777777" w:rsidR="00380339" w:rsidRDefault="00380339" w:rsidP="00380339">
      <w:pPr>
        <w:pStyle w:val="SingleTxtG"/>
      </w:pPr>
      <w:r>
        <w:t>2.</w:t>
      </w:r>
      <w:r>
        <w:tab/>
        <w:t>Le 13 août 2019, l’</w:t>
      </w:r>
      <w:r w:rsidRPr="00380339">
        <w:rPr>
          <w:caps/>
        </w:rPr>
        <w:t>é</w:t>
      </w:r>
      <w:r>
        <w:t xml:space="preserve">tat partie a soumis ses observations concernant la recevabilité de la plainte, informant le Comité que, le 14 mai 2019, le père des auteurs avait déposé une nouvelle demande de permis de séjour fondée sur ses </w:t>
      </w:r>
      <w:r w:rsidRPr="00A62F12">
        <w:t>liens familiaux avec sa</w:t>
      </w:r>
      <w:r>
        <w:t xml:space="preserve"> fille. Le 13</w:t>
      </w:r>
      <w:r>
        <w:t> </w:t>
      </w:r>
      <w:r>
        <w:t>décembre 2019, l’</w:t>
      </w:r>
      <w:r w:rsidRPr="00380339">
        <w:rPr>
          <w:caps/>
        </w:rPr>
        <w:t>é</w:t>
      </w:r>
      <w:r>
        <w:t xml:space="preserve">tat partie a informé le Comité que, le 15 novembre 2019, le Service de l’immigration avait accordé au père un permis de séjour </w:t>
      </w:r>
      <w:r w:rsidRPr="005B2B87">
        <w:t>continu</w:t>
      </w:r>
      <w:r>
        <w:t xml:space="preserve"> pour la période allant du </w:t>
      </w:r>
      <w:r>
        <w:lastRenderedPageBreak/>
        <w:t>15 novembre 2019 au 15 novembre 2020, fondé sur ses liens familiaux. Le permis de séjour était renouvelable. L’</w:t>
      </w:r>
      <w:r w:rsidRPr="00380339">
        <w:rPr>
          <w:caps/>
        </w:rPr>
        <w:t>é</w:t>
      </w:r>
      <w:r>
        <w:t>tat partie soulignait que, dans sa décision, le Service de l’immigration avait pris en considération le développement de sa vie familiale, ainsi que l’intérêt supérieur de l’enfant. L’</w:t>
      </w:r>
      <w:r w:rsidRPr="00380339">
        <w:rPr>
          <w:caps/>
        </w:rPr>
        <w:t>é</w:t>
      </w:r>
      <w:r>
        <w:t>tat partie demandait par conséquent qu’il soit mis un terme à l’examen de la communication.</w:t>
      </w:r>
    </w:p>
    <w:p w14:paraId="50739166" w14:textId="77777777" w:rsidR="00380339" w:rsidRDefault="00380339" w:rsidP="00380339">
      <w:pPr>
        <w:pStyle w:val="SingleTxtG"/>
      </w:pPr>
      <w:r>
        <w:t>3.</w:t>
      </w:r>
      <w:r>
        <w:tab/>
        <w:t xml:space="preserve">Le 7 janvier 2020, le conseil a soumis les observations des auteurs concernant la </w:t>
      </w:r>
      <w:r w:rsidRPr="00295876">
        <w:t>demande de cessation de l</w:t>
      </w:r>
      <w:r>
        <w:t>’</w:t>
      </w:r>
      <w:r w:rsidRPr="00295876">
        <w:t>examen de la communication</w:t>
      </w:r>
      <w:r>
        <w:t>, affirmant qu’il ne devait pas être mis fin à l’examen de la communication puisque les autorités de l’</w:t>
      </w:r>
      <w:r w:rsidRPr="00380339">
        <w:rPr>
          <w:caps/>
        </w:rPr>
        <w:t>é</w:t>
      </w:r>
      <w:r>
        <w:t xml:space="preserve">tat partie auraient dû accorder au père des auteurs un permis de séjour fondé sur la </w:t>
      </w:r>
      <w:r w:rsidRPr="005B2B87">
        <w:t>demande</w:t>
      </w:r>
      <w:r>
        <w:t xml:space="preserve"> qu’il avait soumise en 2017.</w:t>
      </w:r>
    </w:p>
    <w:p w14:paraId="7C9DCD7E" w14:textId="77777777" w:rsidR="007341B7" w:rsidRDefault="00380339" w:rsidP="00380339">
      <w:pPr>
        <w:pStyle w:val="SingleTxtG"/>
      </w:pPr>
      <w:r>
        <w:t>4.</w:t>
      </w:r>
      <w:r>
        <w:tab/>
        <w:t>Lors d’une séance tenue le 28 septembre 2020, le Comité, ayant examiné la demande de l’</w:t>
      </w:r>
      <w:r w:rsidRPr="00380339">
        <w:rPr>
          <w:caps/>
        </w:rPr>
        <w:t>é</w:t>
      </w:r>
      <w:r>
        <w:t xml:space="preserve">tat partie et au vu du fait que le père avait obtenu un permis de séjour continu suite à l’évaluation de sa vie familiale et de l’intérêt supérieur de l’enfant, a estimé que l’affaire était devenue sans objet et a décidé de mettre un terme à l’examen de la communication </w:t>
      </w:r>
      <w:r w:rsidRPr="002D76F4">
        <w:rPr>
          <w:rFonts w:eastAsia="MS Mincho"/>
          <w:szCs w:val="22"/>
        </w:rPr>
        <w:t>n</w:t>
      </w:r>
      <w:r w:rsidRPr="002D76F4">
        <w:rPr>
          <w:rFonts w:eastAsia="MS Mincho"/>
          <w:szCs w:val="22"/>
          <w:vertAlign w:val="superscript"/>
        </w:rPr>
        <w:t>o</w:t>
      </w:r>
      <w:r>
        <w:t> </w:t>
      </w:r>
      <w:r>
        <w:t>87/2019, conformément à l’article 26 de son règlement intérieur au titre du Protocole facultatif à la Convention relative aux droits de l’enfant établissant une procédure de présentation de communications.</w:t>
      </w:r>
    </w:p>
    <w:p w14:paraId="4CE15A00" w14:textId="77777777" w:rsidR="00380339" w:rsidRPr="00380339" w:rsidRDefault="00380339" w:rsidP="00380339">
      <w:pPr>
        <w:pStyle w:val="SingleTxtG"/>
        <w:spacing w:before="240" w:after="0"/>
        <w:jc w:val="center"/>
        <w:rPr>
          <w:u w:val="single"/>
        </w:rPr>
      </w:pPr>
      <w:r>
        <w:rPr>
          <w:u w:val="single"/>
        </w:rPr>
        <w:tab/>
      </w:r>
      <w:r>
        <w:rPr>
          <w:u w:val="single"/>
        </w:rPr>
        <w:tab/>
      </w:r>
      <w:r>
        <w:rPr>
          <w:u w:val="single"/>
        </w:rPr>
        <w:tab/>
      </w:r>
    </w:p>
    <w:sectPr w:rsidR="00380339" w:rsidRPr="00380339" w:rsidSect="0038033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C45364" w14:textId="77777777" w:rsidR="00EF6CBB" w:rsidRDefault="00EF6CBB" w:rsidP="00F95C08">
      <w:pPr>
        <w:spacing w:line="240" w:lineRule="auto"/>
      </w:pPr>
    </w:p>
  </w:endnote>
  <w:endnote w:type="continuationSeparator" w:id="0">
    <w:p w14:paraId="3D3FA050" w14:textId="77777777" w:rsidR="00EF6CBB" w:rsidRPr="00AC3823" w:rsidRDefault="00EF6CBB" w:rsidP="00AC3823">
      <w:pPr>
        <w:pStyle w:val="Pieddepage"/>
      </w:pPr>
    </w:p>
  </w:endnote>
  <w:endnote w:type="continuationNotice" w:id="1">
    <w:p w14:paraId="0FA1150A" w14:textId="77777777" w:rsidR="00EF6CBB" w:rsidRDefault="00EF6CB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2491C2" w14:textId="77777777" w:rsidR="00380339" w:rsidRPr="00380339" w:rsidRDefault="00380339" w:rsidP="00380339">
    <w:pPr>
      <w:pStyle w:val="Pieddepage"/>
      <w:tabs>
        <w:tab w:val="right" w:pos="9638"/>
      </w:tabs>
    </w:pPr>
    <w:r w:rsidRPr="00380339">
      <w:rPr>
        <w:b/>
        <w:sz w:val="18"/>
      </w:rPr>
      <w:fldChar w:fldCharType="begin"/>
    </w:r>
    <w:r w:rsidRPr="00380339">
      <w:rPr>
        <w:b/>
        <w:sz w:val="18"/>
      </w:rPr>
      <w:instrText xml:space="preserve"> PAGE  \* MERGEFORMAT </w:instrText>
    </w:r>
    <w:r w:rsidRPr="00380339">
      <w:rPr>
        <w:b/>
        <w:sz w:val="18"/>
      </w:rPr>
      <w:fldChar w:fldCharType="separate"/>
    </w:r>
    <w:r w:rsidRPr="00380339">
      <w:rPr>
        <w:b/>
        <w:noProof/>
        <w:sz w:val="18"/>
      </w:rPr>
      <w:t>2</w:t>
    </w:r>
    <w:r w:rsidRPr="00380339">
      <w:rPr>
        <w:b/>
        <w:sz w:val="18"/>
      </w:rPr>
      <w:fldChar w:fldCharType="end"/>
    </w:r>
    <w:r>
      <w:rPr>
        <w:b/>
        <w:sz w:val="18"/>
      </w:rPr>
      <w:tab/>
    </w:r>
    <w:r>
      <w:t>GE.20-14970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B22890" w14:textId="77777777" w:rsidR="00380339" w:rsidRPr="00380339" w:rsidRDefault="00380339" w:rsidP="00380339">
    <w:pPr>
      <w:pStyle w:val="Pieddepage"/>
      <w:tabs>
        <w:tab w:val="right" w:pos="9638"/>
      </w:tabs>
      <w:rPr>
        <w:b/>
        <w:sz w:val="18"/>
      </w:rPr>
    </w:pPr>
    <w:r>
      <w:t>GE.20-14970</w:t>
    </w:r>
    <w:r>
      <w:tab/>
    </w:r>
    <w:r w:rsidRPr="00380339">
      <w:rPr>
        <w:b/>
        <w:sz w:val="18"/>
      </w:rPr>
      <w:fldChar w:fldCharType="begin"/>
    </w:r>
    <w:r w:rsidRPr="00380339">
      <w:rPr>
        <w:b/>
        <w:sz w:val="18"/>
      </w:rPr>
      <w:instrText xml:space="preserve"> PAGE  \* MERGEFORMAT </w:instrText>
    </w:r>
    <w:r w:rsidRPr="00380339">
      <w:rPr>
        <w:b/>
        <w:sz w:val="18"/>
      </w:rPr>
      <w:fldChar w:fldCharType="separate"/>
    </w:r>
    <w:r w:rsidRPr="00380339">
      <w:rPr>
        <w:b/>
        <w:noProof/>
        <w:sz w:val="18"/>
      </w:rPr>
      <w:t>3</w:t>
    </w:r>
    <w:r w:rsidRPr="0038033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97303F" w14:textId="77777777" w:rsidR="002D14A3" w:rsidRPr="00380339" w:rsidRDefault="00380339" w:rsidP="00380339">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189F63AA" wp14:editId="35BF1D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20-14970  (F)    191120    191120</w:t>
    </w:r>
    <w:r>
      <w:rPr>
        <w:sz w:val="20"/>
      </w:rPr>
      <w:br/>
    </w:r>
    <w:r w:rsidRPr="00380339">
      <w:rPr>
        <w:rFonts w:ascii="C39T30Lfz" w:hAnsi="C39T30Lfz"/>
        <w:sz w:val="56"/>
      </w:rPr>
      <w:t>*2014970*</w:t>
    </w:r>
    <w:r>
      <w:rPr>
        <w:noProof/>
        <w:sz w:val="20"/>
      </w:rPr>
      <w:drawing>
        <wp:anchor distT="0" distB="0" distL="114300" distR="114300" simplePos="0" relativeHeight="251660288" behindDoc="0" locked="0" layoutInCell="1" allowOverlap="1" wp14:anchorId="6A43CF62" wp14:editId="4677C282">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8FC91A" w14:textId="77777777" w:rsidR="00EF6CBB" w:rsidRPr="00AC3823" w:rsidRDefault="00EF6CBB" w:rsidP="00AC3823">
      <w:pPr>
        <w:pStyle w:val="Pieddepage"/>
        <w:tabs>
          <w:tab w:val="right" w:pos="2155"/>
        </w:tabs>
        <w:spacing w:after="80" w:line="240" w:lineRule="atLeast"/>
        <w:ind w:left="680"/>
        <w:rPr>
          <w:u w:val="single"/>
        </w:rPr>
      </w:pPr>
      <w:r>
        <w:rPr>
          <w:u w:val="single"/>
        </w:rPr>
        <w:tab/>
      </w:r>
    </w:p>
  </w:footnote>
  <w:footnote w:type="continuationSeparator" w:id="0">
    <w:p w14:paraId="04C7D40E" w14:textId="77777777" w:rsidR="00EF6CBB" w:rsidRPr="00AC3823" w:rsidRDefault="00EF6CBB" w:rsidP="00AC3823">
      <w:pPr>
        <w:pStyle w:val="Pieddepage"/>
        <w:tabs>
          <w:tab w:val="right" w:pos="2155"/>
        </w:tabs>
        <w:spacing w:after="80" w:line="240" w:lineRule="atLeast"/>
        <w:ind w:left="680"/>
        <w:rPr>
          <w:u w:val="single"/>
        </w:rPr>
      </w:pPr>
      <w:r>
        <w:rPr>
          <w:u w:val="single"/>
        </w:rPr>
        <w:tab/>
      </w:r>
    </w:p>
  </w:footnote>
  <w:footnote w:type="continuationNotice" w:id="1">
    <w:p w14:paraId="1411CE8F" w14:textId="77777777" w:rsidR="00EF6CBB" w:rsidRPr="00AC3823" w:rsidRDefault="00EF6CBB">
      <w:pPr>
        <w:spacing w:line="240" w:lineRule="auto"/>
        <w:rPr>
          <w:sz w:val="2"/>
          <w:szCs w:val="2"/>
        </w:rPr>
      </w:pPr>
    </w:p>
  </w:footnote>
  <w:footnote w:id="2">
    <w:p w14:paraId="7B6DE23E" w14:textId="77777777" w:rsidR="00380339" w:rsidRPr="00380339" w:rsidRDefault="00380339">
      <w:pPr>
        <w:pStyle w:val="Notedebasdepage"/>
      </w:pPr>
      <w:r>
        <w:rPr>
          <w:rStyle w:val="Appelnotedebasdep"/>
        </w:rPr>
        <w:tab/>
      </w:r>
      <w:r w:rsidRPr="00380339">
        <w:rPr>
          <w:rStyle w:val="Appelnotedebasdep"/>
          <w:sz w:val="20"/>
          <w:vertAlign w:val="baseline"/>
        </w:rPr>
        <w:t>*</w:t>
      </w:r>
      <w:r>
        <w:rPr>
          <w:rStyle w:val="Appelnotedebasdep"/>
          <w:sz w:val="20"/>
          <w:vertAlign w:val="baseline"/>
        </w:rPr>
        <w:tab/>
      </w:r>
      <w:r w:rsidRPr="00FD3236">
        <w:t>Adoptée par le Comité à sa quatre-vingt-cinquième session (14 septembr</w:t>
      </w:r>
      <w:r>
        <w:t xml:space="preserve">e </w:t>
      </w:r>
      <w:r>
        <w:noBreakHyphen/>
      </w:r>
      <w:r w:rsidRPr="00FD3236">
        <w:t>1</w:t>
      </w:r>
      <w:r w:rsidRPr="00380339">
        <w:rPr>
          <w:vertAlign w:val="superscript"/>
        </w:rPr>
        <w:t>er</w:t>
      </w:r>
      <w:r w:rsidRPr="00FD3236">
        <w:t xml:space="preserve"> </w:t>
      </w:r>
      <w:r>
        <w:t>o</w:t>
      </w:r>
      <w:r w:rsidRPr="00FD3236">
        <w:t>ctobr</w:t>
      </w:r>
      <w:r>
        <w:t>e</w:t>
      </w:r>
      <w:r w:rsidRPr="00FD3236">
        <w:t xml:space="preserve"> 2020).</w:t>
      </w:r>
    </w:p>
  </w:footnote>
  <w:footnote w:id="3">
    <w:p w14:paraId="418D6FBE" w14:textId="77777777" w:rsidR="00380339" w:rsidRPr="00380339" w:rsidRDefault="00380339">
      <w:pPr>
        <w:pStyle w:val="Notedebasdepage"/>
      </w:pPr>
      <w:r>
        <w:rPr>
          <w:rStyle w:val="Appelnotedebasdep"/>
        </w:rPr>
        <w:tab/>
      </w:r>
      <w:r w:rsidRPr="00380339">
        <w:rPr>
          <w:rStyle w:val="Appelnotedebasdep"/>
          <w:sz w:val="20"/>
          <w:vertAlign w:val="baseline"/>
        </w:rPr>
        <w:t>**</w:t>
      </w:r>
      <w:r>
        <w:rPr>
          <w:rStyle w:val="Appelnotedebasdep"/>
          <w:sz w:val="20"/>
          <w:vertAlign w:val="baseline"/>
        </w:rPr>
        <w:tab/>
      </w:r>
      <w:r>
        <w:rPr>
          <w:sz w:val="20"/>
        </w:rPr>
        <w:t>Les membres du Comité dont le nom suit ont participé à l’examen de la communication</w:t>
      </w:r>
      <w:r w:rsidRPr="00FD3236">
        <w:rPr>
          <w:szCs w:val="18"/>
        </w:rPr>
        <w:t xml:space="preserve">: </w:t>
      </w:r>
      <w:r w:rsidRPr="00A33FC1">
        <w:t>Suzanne Aho Assouma, Hynd Ayoubi Idrissi, Bragi Gudbrandsson, Philip Jaffé, Olga A. Khazova, Gehad Madi, Benyam Dawit Mezmur, Otani</w:t>
      </w:r>
      <w:r w:rsidRPr="005617AA">
        <w:t xml:space="preserve"> </w:t>
      </w:r>
      <w:r w:rsidRPr="00A33FC1">
        <w:t xml:space="preserve">Mikiko, Luis Ernesto Pedernera Reyna, José Ángel Rodríguez Reyes, Ann Marie Skelton, Velina Todorova </w:t>
      </w:r>
      <w:r>
        <w:t>et</w:t>
      </w:r>
      <w:r w:rsidRPr="00A33FC1">
        <w:t xml:space="preserve"> Renate Winter</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58F844" w14:textId="24A27275" w:rsidR="00380339" w:rsidRPr="00380339" w:rsidRDefault="00380339">
    <w:pPr>
      <w:pStyle w:val="En-tte"/>
    </w:pPr>
    <w:fldSimple w:instr=" TITLE  \* MERGEFORMAT ">
      <w:r w:rsidR="00703E75">
        <w:t>CRC/C/85/D/87/2019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8F7665" w14:textId="337CCAA6" w:rsidR="00380339" w:rsidRPr="00380339" w:rsidRDefault="00380339" w:rsidP="00380339">
    <w:pPr>
      <w:pStyle w:val="En-tte"/>
      <w:jc w:val="right"/>
    </w:pPr>
    <w:fldSimple w:instr=" TITLE  \* MERGEFORMAT ">
      <w:r w:rsidR="00703E75">
        <w:t>CRC/C/85/D/87/2019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F6CBB"/>
    <w:rsid w:val="00017F94"/>
    <w:rsid w:val="00023842"/>
    <w:rsid w:val="000334F9"/>
    <w:rsid w:val="000354E9"/>
    <w:rsid w:val="0007796D"/>
    <w:rsid w:val="000B7790"/>
    <w:rsid w:val="00111F2F"/>
    <w:rsid w:val="0014365E"/>
    <w:rsid w:val="00176178"/>
    <w:rsid w:val="001F525A"/>
    <w:rsid w:val="00223272"/>
    <w:rsid w:val="0024779E"/>
    <w:rsid w:val="002D14A3"/>
    <w:rsid w:val="00311E81"/>
    <w:rsid w:val="00340ED0"/>
    <w:rsid w:val="00380339"/>
    <w:rsid w:val="00446FE5"/>
    <w:rsid w:val="00452396"/>
    <w:rsid w:val="00485B35"/>
    <w:rsid w:val="004D7A2C"/>
    <w:rsid w:val="005505B7"/>
    <w:rsid w:val="00573BE5"/>
    <w:rsid w:val="00586ED3"/>
    <w:rsid w:val="00596AA9"/>
    <w:rsid w:val="00703E75"/>
    <w:rsid w:val="0071601D"/>
    <w:rsid w:val="007341B7"/>
    <w:rsid w:val="00760CBC"/>
    <w:rsid w:val="007A62E6"/>
    <w:rsid w:val="0080684C"/>
    <w:rsid w:val="00840413"/>
    <w:rsid w:val="00871C75"/>
    <w:rsid w:val="008776DC"/>
    <w:rsid w:val="008C54BD"/>
    <w:rsid w:val="008F3CA0"/>
    <w:rsid w:val="009705C8"/>
    <w:rsid w:val="00A30353"/>
    <w:rsid w:val="00AC3823"/>
    <w:rsid w:val="00AE323C"/>
    <w:rsid w:val="00B00181"/>
    <w:rsid w:val="00B24A9B"/>
    <w:rsid w:val="00B765F7"/>
    <w:rsid w:val="00BA0CA9"/>
    <w:rsid w:val="00C02897"/>
    <w:rsid w:val="00D3439C"/>
    <w:rsid w:val="00DB1831"/>
    <w:rsid w:val="00DD3BFD"/>
    <w:rsid w:val="00DF6678"/>
    <w:rsid w:val="00EF6CB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4C19B58"/>
  <w15:docId w15:val="{1687783A-E692-4DB3-919E-D82CFA0C0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380339"/>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Pages>
  <Words>528</Words>
  <Characters>3006</Characters>
  <Application>Microsoft Office Word</Application>
  <DocSecurity>0</DocSecurity>
  <Lines>334</Lines>
  <Paragraphs>141</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CRC/C/85/D/87/2019</dc:title>
  <dc:subject/>
  <dc:creator>Valerie BERTIN</dc:creator>
  <cp:keywords/>
  <cp:lastModifiedBy>Valerie BERTIN</cp:lastModifiedBy>
  <cp:revision>3</cp:revision>
  <cp:lastPrinted>2020-11-19T15:23:00Z</cp:lastPrinted>
  <dcterms:created xsi:type="dcterms:W3CDTF">2020-11-19T15:23:00Z</dcterms:created>
  <dcterms:modified xsi:type="dcterms:W3CDTF">2020-11-19T15:23:00Z</dcterms:modified>
</cp:coreProperties>
</file>