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3B9" w:rsidRDefault="00AB43B9" w:rsidP="00AB43B9">
      <w:pPr>
        <w:spacing w:line="60" w:lineRule="exact"/>
        <w:rPr>
          <w:sz w:val="6"/>
        </w:rPr>
        <w:sectPr w:rsidR="00AB43B9" w:rsidSect="00DD2F32">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DD2F32" w:rsidRDefault="00DD2F32" w:rsidP="00DD2F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rPr>
          <w:rFonts w:hint="eastAsia"/>
        </w:rPr>
      </w:pPr>
      <w:r>
        <w:rPr>
          <w:rFonts w:hint="eastAsia"/>
        </w:rPr>
        <w:lastRenderedPageBreak/>
        <w:t>消除对妇女歧视委员会</w:t>
      </w:r>
    </w:p>
    <w:p w:rsidR="00DD2F32" w:rsidRPr="00DD2F32" w:rsidRDefault="00DD2F32" w:rsidP="00DD2F32">
      <w:pPr>
        <w:framePr w:w="9792" w:h="432" w:hSpace="180" w:wrap="around" w:hAnchor="page" w:x="1210" w:yAlign="bottom"/>
        <w:spacing w:line="100" w:lineRule="exact"/>
        <w:rPr>
          <w:sz w:val="10"/>
        </w:rPr>
      </w:pPr>
    </w:p>
    <w:p w:rsidR="00DD2F32" w:rsidRPr="00DD2F32" w:rsidRDefault="00DD2F32" w:rsidP="00DD2F32">
      <w:pPr>
        <w:framePr w:w="9792" w:h="432" w:hSpace="180" w:wrap="around" w:hAnchor="page" w:x="1210" w:yAlign="bottom"/>
        <w:spacing w:line="60" w:lineRule="exact"/>
        <w:rPr>
          <w:sz w:val="6"/>
        </w:rPr>
      </w:pPr>
      <w:r w:rsidRPr="00DD2F32">
        <w:rPr>
          <w:noProof/>
          <w:sz w:val="6"/>
        </w:rPr>
        <mc:AlternateContent>
          <mc:Choice Requires="wps">
            <w:drawing>
              <wp:anchor distT="0" distB="0" distL="114300" distR="114300" simplePos="0" relativeHeight="251659264" behindDoc="0" locked="0" layoutInCell="1" allowOverlap="1" wp14:anchorId="41C08C6B" wp14:editId="12D7B679">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" strokecolor="black [3213]" strokeweight=".25pt">
                <w10:wrap anchorx="page"/>
              </v:line>
            </w:pict>
          </mc:Fallback>
        </mc:AlternateContent>
      </w:r>
    </w:p>
    <w:p w:rsidR="00DD2F32" w:rsidRPr="00DD2F32" w:rsidRDefault="00DD2F32" w:rsidP="00DD2F3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DD2F32">
        <w:rPr>
          <w:rFonts w:hint="eastAsia"/>
          <w:sz w:val="18"/>
          <w:vertAlign w:val="superscript"/>
        </w:rPr>
        <w:t>*</w:t>
      </w:r>
      <w:r w:rsidRPr="00DD2F32">
        <w:rPr>
          <w:rFonts w:hint="eastAsia"/>
          <w:sz w:val="18"/>
        </w:rPr>
        <w:tab/>
      </w:r>
      <w:r w:rsidRPr="00DD2F32">
        <w:rPr>
          <w:rFonts w:hint="eastAsia"/>
          <w:sz w:val="18"/>
        </w:rPr>
        <w:t>经委员会第六十六届会议</w:t>
      </w:r>
      <w:r>
        <w:rPr>
          <w:sz w:val="18"/>
        </w:rPr>
        <w:t>(</w:t>
      </w:r>
      <w:r w:rsidRPr="00DD2F32">
        <w:rPr>
          <w:rFonts w:hint="eastAsia"/>
          <w:sz w:val="18"/>
        </w:rPr>
        <w:t>2017</w:t>
      </w:r>
      <w:r w:rsidRPr="00DD2F32">
        <w:rPr>
          <w:rFonts w:hint="eastAsia"/>
          <w:sz w:val="18"/>
        </w:rPr>
        <w:t>年</w:t>
      </w:r>
      <w:r w:rsidRPr="00DD2F32">
        <w:rPr>
          <w:rFonts w:hint="eastAsia"/>
          <w:sz w:val="18"/>
        </w:rPr>
        <w:t>2</w:t>
      </w:r>
      <w:r w:rsidRPr="00DD2F32">
        <w:rPr>
          <w:rFonts w:hint="eastAsia"/>
          <w:sz w:val="18"/>
        </w:rPr>
        <w:t>月</w:t>
      </w:r>
      <w:r w:rsidRPr="00DD2F32">
        <w:rPr>
          <w:rFonts w:hint="eastAsia"/>
          <w:sz w:val="18"/>
        </w:rPr>
        <w:t>13</w:t>
      </w:r>
      <w:r w:rsidRPr="00DD2F32">
        <w:rPr>
          <w:rFonts w:hint="eastAsia"/>
          <w:sz w:val="18"/>
        </w:rPr>
        <w:t>日至</w:t>
      </w:r>
      <w:r w:rsidRPr="00DD2F32">
        <w:rPr>
          <w:rFonts w:hint="eastAsia"/>
          <w:sz w:val="18"/>
        </w:rPr>
        <w:t>3</w:t>
      </w:r>
      <w:r w:rsidRPr="00DD2F32">
        <w:rPr>
          <w:rFonts w:hint="eastAsia"/>
          <w:sz w:val="18"/>
        </w:rPr>
        <w:t>月</w:t>
      </w:r>
      <w:r w:rsidRPr="00DD2F32">
        <w:rPr>
          <w:rFonts w:hint="eastAsia"/>
          <w:sz w:val="18"/>
        </w:rPr>
        <w:t>3</w:t>
      </w:r>
      <w:r w:rsidRPr="00DD2F32">
        <w:rPr>
          <w:rFonts w:hint="eastAsia"/>
          <w:sz w:val="18"/>
        </w:rPr>
        <w:t>日</w:t>
      </w:r>
      <w:r>
        <w:rPr>
          <w:sz w:val="18"/>
        </w:rPr>
        <w:t>)</w:t>
      </w:r>
      <w:r w:rsidRPr="00DD2F32">
        <w:rPr>
          <w:rFonts w:hint="eastAsia"/>
          <w:sz w:val="18"/>
        </w:rPr>
        <w:t>通过。</w:t>
      </w:r>
    </w:p>
    <w:p w:rsidR="00B31E9D" w:rsidRPr="00DD2F32" w:rsidRDefault="00DD2F32" w:rsidP="00DD2F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rFonts w:hint="eastAsia"/>
        </w:rPr>
      </w:pPr>
      <w:r>
        <w:rPr>
          <w:rFonts w:hint="eastAsia"/>
        </w:rPr>
        <w:tab/>
      </w:r>
      <w:r>
        <w:rPr>
          <w:rFonts w:hint="eastAsia"/>
        </w:rPr>
        <w:tab/>
        <w:t>关于密克罗尼西亚联邦初次至第三次合并定期报告的结论性意见</w:t>
      </w:r>
      <w:r w:rsidRPr="00DD2F32">
        <w:rPr>
          <w:rFonts w:hint="eastAsia"/>
          <w:vertAlign w:val="superscript"/>
        </w:rPr>
        <w:t>*</w:t>
      </w:r>
    </w:p>
    <w:p w:rsidR="00DD2F32" w:rsidRPr="00DD2F32" w:rsidRDefault="00DD2F32" w:rsidP="00DD2F32">
      <w:pPr>
        <w:suppressAutoHyphens/>
        <w:spacing w:after="140"/>
        <w:ind w:left="1264" w:right="1264"/>
        <w:rPr>
          <w:kern w:val="0"/>
        </w:rPr>
      </w:pPr>
      <w:r w:rsidRPr="00DD2F32">
        <w:rPr>
          <w:kern w:val="0"/>
        </w:rPr>
        <w:t>1.</w:t>
      </w:r>
      <w:r w:rsidRPr="00DD2F32">
        <w:rPr>
          <w:kern w:val="0"/>
        </w:rPr>
        <w:tab/>
        <w:t>2017</w:t>
      </w:r>
      <w:r w:rsidRPr="00DD2F32">
        <w:rPr>
          <w:rFonts w:hAnsi="宋体"/>
          <w:kern w:val="0"/>
        </w:rPr>
        <w:t>年</w:t>
      </w:r>
      <w:r w:rsidRPr="00DD2F32">
        <w:rPr>
          <w:kern w:val="0"/>
        </w:rPr>
        <w:t>2</w:t>
      </w:r>
      <w:r w:rsidRPr="00DD2F32">
        <w:rPr>
          <w:rFonts w:hAnsi="宋体"/>
          <w:kern w:val="0"/>
        </w:rPr>
        <w:t>月</w:t>
      </w:r>
      <w:r w:rsidRPr="00DD2F32">
        <w:rPr>
          <w:kern w:val="0"/>
        </w:rPr>
        <w:t>24</w:t>
      </w:r>
      <w:r w:rsidRPr="00DD2F32">
        <w:rPr>
          <w:rFonts w:hAnsi="宋体"/>
          <w:kern w:val="0"/>
        </w:rPr>
        <w:t>日举行的委员会第</w:t>
      </w:r>
      <w:r w:rsidRPr="00DD2F32">
        <w:rPr>
          <w:kern w:val="0"/>
        </w:rPr>
        <w:t>1488</w:t>
      </w:r>
      <w:r w:rsidRPr="00DD2F32">
        <w:rPr>
          <w:rFonts w:hAnsi="宋体"/>
          <w:kern w:val="0"/>
        </w:rPr>
        <w:t>和</w:t>
      </w:r>
      <w:r w:rsidRPr="00DD2F32">
        <w:rPr>
          <w:kern w:val="0"/>
        </w:rPr>
        <w:t>1489</w:t>
      </w:r>
      <w:r w:rsidRPr="00DD2F32">
        <w:rPr>
          <w:rFonts w:hAnsi="宋体"/>
          <w:kern w:val="0"/>
        </w:rPr>
        <w:t>次会议</w:t>
      </w:r>
      <w:r>
        <w:rPr>
          <w:rFonts w:hAnsi="宋体"/>
          <w:kern w:val="0"/>
        </w:rPr>
        <w:t>(</w:t>
      </w:r>
      <w:r w:rsidRPr="00DD2F32">
        <w:rPr>
          <w:rFonts w:hAnsi="宋体"/>
          <w:kern w:val="0"/>
        </w:rPr>
        <w:t>见</w:t>
      </w:r>
      <w:hyperlink r:id="rId16" w:history="1">
        <w:r w:rsidRPr="00DD2F32">
          <w:rPr>
            <w:rStyle w:val="ad"/>
            <w:kern w:val="0"/>
          </w:rPr>
          <w:t>CEDAW/C/SR.1488</w:t>
        </w:r>
      </w:hyperlink>
      <w:r w:rsidRPr="00DD2F32">
        <w:rPr>
          <w:rFonts w:hAnsi="宋体"/>
          <w:spacing w:val="-4"/>
          <w:kern w:val="0"/>
        </w:rPr>
        <w:t>和</w:t>
      </w:r>
      <w:r w:rsidRPr="00DD2F32">
        <w:rPr>
          <w:spacing w:val="-4"/>
          <w:kern w:val="0"/>
        </w:rPr>
        <w:t>1489</w:t>
      </w:r>
      <w:r w:rsidRPr="00DD2F32">
        <w:rPr>
          <w:rFonts w:hAnsi="宋体"/>
          <w:spacing w:val="-4"/>
          <w:kern w:val="0"/>
        </w:rPr>
        <w:t>)</w:t>
      </w:r>
      <w:r w:rsidRPr="00DD2F32">
        <w:rPr>
          <w:rFonts w:hAnsi="宋体"/>
          <w:spacing w:val="-4"/>
          <w:kern w:val="0"/>
        </w:rPr>
        <w:t>审议了密克罗尼西亚联邦</w:t>
      </w:r>
      <w:r w:rsidRPr="00DD2F32">
        <w:rPr>
          <w:rFonts w:hAnsi="宋体" w:hint="eastAsia"/>
          <w:spacing w:val="-4"/>
          <w:kern w:val="0"/>
        </w:rPr>
        <w:t>初</w:t>
      </w:r>
      <w:r w:rsidRPr="00DD2F32">
        <w:rPr>
          <w:rFonts w:hAnsi="宋体"/>
          <w:spacing w:val="-4"/>
          <w:kern w:val="0"/>
        </w:rPr>
        <w:t>次至第三次</w:t>
      </w:r>
      <w:r w:rsidRPr="00DD2F32">
        <w:rPr>
          <w:rFonts w:hAnsi="宋体" w:hint="eastAsia"/>
          <w:spacing w:val="-4"/>
          <w:kern w:val="0"/>
        </w:rPr>
        <w:t>合</w:t>
      </w:r>
      <w:r w:rsidRPr="00DD2F32">
        <w:rPr>
          <w:rFonts w:hAnsi="宋体"/>
          <w:spacing w:val="-4"/>
          <w:kern w:val="0"/>
        </w:rPr>
        <w:t>并定期报告</w:t>
      </w:r>
      <w:r w:rsidRPr="00DD2F32">
        <w:rPr>
          <w:rFonts w:hAnsi="宋体"/>
          <w:spacing w:val="-4"/>
          <w:kern w:val="0"/>
        </w:rPr>
        <w:t>(</w:t>
      </w:r>
      <w:hyperlink r:id="rId17" w:history="1">
        <w:r w:rsidRPr="00DD2F32">
          <w:rPr>
            <w:rStyle w:val="ad"/>
            <w:spacing w:val="-4"/>
            <w:kern w:val="0"/>
          </w:rPr>
          <w:t>CEDAW/C/FSM/1-3</w:t>
        </w:r>
      </w:hyperlink>
      <w:r w:rsidRPr="00DD2F32">
        <w:rPr>
          <w:rFonts w:hAnsi="宋体"/>
          <w:spacing w:val="-4"/>
          <w:kern w:val="0"/>
        </w:rPr>
        <w:t>)</w:t>
      </w:r>
      <w:r w:rsidRPr="00DD2F32">
        <w:rPr>
          <w:rFonts w:hAnsi="宋体"/>
          <w:spacing w:val="-4"/>
          <w:kern w:val="0"/>
        </w:rPr>
        <w:t>。</w:t>
      </w:r>
      <w:r w:rsidRPr="00DD2F32">
        <w:rPr>
          <w:rFonts w:hAnsi="宋体"/>
          <w:kern w:val="0"/>
        </w:rPr>
        <w:t>委员会的议题和问题清单载于</w:t>
      </w:r>
      <w:hyperlink r:id="rId18" w:history="1">
        <w:r w:rsidRPr="00DD2F32">
          <w:rPr>
            <w:rStyle w:val="ad"/>
            <w:kern w:val="0"/>
          </w:rPr>
          <w:t>CEDAW/C/FSM/Q/1-3</w:t>
        </w:r>
      </w:hyperlink>
      <w:r w:rsidRPr="00DD2F32">
        <w:rPr>
          <w:rFonts w:hAnsi="宋体"/>
          <w:kern w:val="0"/>
        </w:rPr>
        <w:t>，密克罗尼西亚联邦的答复载于</w:t>
      </w:r>
      <w:hyperlink r:id="rId19" w:history="1">
        <w:r w:rsidRPr="00DD2F32">
          <w:rPr>
            <w:rStyle w:val="ad"/>
            <w:kern w:val="0"/>
          </w:rPr>
          <w:t>CEDAW/C/FSM/Q/1-3/Add.1</w:t>
        </w:r>
      </w:hyperlink>
      <w:r w:rsidRPr="00DD2F32">
        <w:rPr>
          <w:rFonts w:hAnsi="宋体"/>
          <w:kern w:val="0"/>
        </w:rPr>
        <w:t>。</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sz w:val="24"/>
        </w:rPr>
      </w:pPr>
      <w:r w:rsidRPr="00DD2F32">
        <w:rPr>
          <w:rFonts w:eastAsia="黑体"/>
          <w:kern w:val="0"/>
          <w:sz w:val="24"/>
        </w:rPr>
        <w:tab/>
      </w:r>
      <w:r w:rsidRPr="00DD2F32">
        <w:rPr>
          <w:rFonts w:eastAsia="黑体"/>
          <w:b/>
          <w:kern w:val="0"/>
          <w:sz w:val="24"/>
        </w:rPr>
        <w:t>A.</w:t>
      </w:r>
      <w:r w:rsidRPr="00DD2F32">
        <w:rPr>
          <w:rFonts w:eastAsia="黑体"/>
          <w:kern w:val="0"/>
          <w:sz w:val="24"/>
        </w:rPr>
        <w:tab/>
      </w:r>
      <w:r w:rsidRPr="00DD2F32">
        <w:rPr>
          <w:rFonts w:eastAsia="黑体" w:hAnsi="宋体"/>
          <w:kern w:val="0"/>
          <w:sz w:val="24"/>
        </w:rPr>
        <w:t>导言</w:t>
      </w:r>
    </w:p>
    <w:p w:rsidR="00DD2F32" w:rsidRPr="00DD2F32" w:rsidRDefault="00DD2F32" w:rsidP="00DD2F32">
      <w:pPr>
        <w:suppressAutoHyphens/>
        <w:spacing w:after="140"/>
        <w:ind w:left="1264" w:right="1264"/>
        <w:rPr>
          <w:kern w:val="0"/>
        </w:rPr>
      </w:pPr>
      <w:r w:rsidRPr="00DD2F32">
        <w:rPr>
          <w:kern w:val="0"/>
        </w:rPr>
        <w:t>2.</w:t>
      </w:r>
      <w:r w:rsidRPr="00DD2F32">
        <w:rPr>
          <w:kern w:val="0"/>
        </w:rPr>
        <w:tab/>
      </w:r>
      <w:r w:rsidRPr="00DD2F32">
        <w:rPr>
          <w:rFonts w:hAnsi="宋体"/>
          <w:kern w:val="0"/>
        </w:rPr>
        <w:t>委员会对缔约国提交</w:t>
      </w:r>
      <w:r w:rsidRPr="00DD2F32">
        <w:rPr>
          <w:rFonts w:hAnsi="宋体" w:hint="eastAsia"/>
          <w:kern w:val="0"/>
        </w:rPr>
        <w:t>初</w:t>
      </w:r>
      <w:r w:rsidRPr="00DD2F32">
        <w:rPr>
          <w:rFonts w:hAnsi="宋体"/>
          <w:kern w:val="0"/>
        </w:rPr>
        <w:t>次</w:t>
      </w:r>
      <w:r w:rsidRPr="00DD2F32">
        <w:rPr>
          <w:rFonts w:hAnsi="宋体" w:hint="eastAsia"/>
          <w:kern w:val="0"/>
        </w:rPr>
        <w:t>至</w:t>
      </w:r>
      <w:r w:rsidRPr="00DD2F32">
        <w:rPr>
          <w:rFonts w:hAnsi="宋体"/>
          <w:kern w:val="0"/>
        </w:rPr>
        <w:t>第三次合并定期报告表示赞赏。委员会赞扬缔约国对会前工作组提出的议题和问题清单作出书面答复，并欣见代表团所作口头说明以及针对委员会在对话期间的口头提问所作进一步解释。但是，委员会表示遗憾的是，虽然缔约国于</w:t>
      </w:r>
      <w:r w:rsidRPr="00DD2F32">
        <w:rPr>
          <w:kern w:val="0"/>
        </w:rPr>
        <w:t>2004</w:t>
      </w:r>
      <w:r w:rsidRPr="00DD2F32">
        <w:rPr>
          <w:rFonts w:hAnsi="宋体"/>
          <w:kern w:val="0"/>
        </w:rPr>
        <w:t>年加入《公约》，却仅在</w:t>
      </w:r>
      <w:r w:rsidRPr="00DD2F32">
        <w:rPr>
          <w:kern w:val="0"/>
        </w:rPr>
        <w:t>2015</w:t>
      </w:r>
      <w:r w:rsidRPr="00DD2F32">
        <w:rPr>
          <w:rFonts w:hAnsi="宋体"/>
          <w:kern w:val="0"/>
        </w:rPr>
        <w:t>年向委员会提交过报告。</w:t>
      </w:r>
    </w:p>
    <w:p w:rsidR="00DD2F32" w:rsidRPr="00DD2F32" w:rsidRDefault="00DD2F32" w:rsidP="00DD2F32">
      <w:pPr>
        <w:suppressAutoHyphens/>
        <w:overflowPunct w:val="0"/>
        <w:spacing w:after="140"/>
        <w:ind w:left="1264" w:right="1264"/>
        <w:rPr>
          <w:kern w:val="0"/>
        </w:rPr>
      </w:pPr>
      <w:r w:rsidRPr="00DD2F32">
        <w:rPr>
          <w:kern w:val="0"/>
        </w:rPr>
        <w:t>3.</w:t>
      </w:r>
      <w:r w:rsidRPr="00DD2F32">
        <w:rPr>
          <w:kern w:val="0"/>
        </w:rPr>
        <w:tab/>
      </w:r>
      <w:r w:rsidRPr="00DD2F32">
        <w:rPr>
          <w:rFonts w:hAnsi="宋体"/>
          <w:kern w:val="0"/>
        </w:rPr>
        <w:t>委员会赞扬缔约国的高级别代表团，代表团由卫生和社会事务部秘书</w:t>
      </w:r>
      <w:r>
        <w:rPr>
          <w:rFonts w:hAnsi="宋体"/>
          <w:kern w:val="0"/>
        </w:rPr>
        <w:t>(</w:t>
      </w:r>
      <w:r w:rsidRPr="00DD2F32">
        <w:rPr>
          <w:rFonts w:hAnsi="宋体"/>
          <w:kern w:val="0"/>
        </w:rPr>
        <w:t>部长</w:t>
      </w:r>
      <w:r>
        <w:rPr>
          <w:rFonts w:hAnsi="宋体"/>
          <w:kern w:val="0"/>
        </w:rPr>
        <w:t>)</w:t>
      </w:r>
      <w:r w:rsidRPr="00DD2F32">
        <w:rPr>
          <w:rFonts w:hint="eastAsia"/>
          <w:kern w:val="0"/>
        </w:rPr>
        <w:t>马格达莱纳·沃尔特</w:t>
      </w:r>
      <w:r w:rsidRPr="00DD2F32">
        <w:rPr>
          <w:rFonts w:hAnsi="宋体"/>
          <w:kern w:val="0"/>
        </w:rPr>
        <w:t>率领，由密克罗尼西亚联邦常驻联合国代表、性别发展干事及一名司法部的代表组成。</w:t>
      </w:r>
      <w:bookmarkStart w:id="1" w:name="_GoBack"/>
      <w:bookmarkEnd w:id="1"/>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sz w:val="24"/>
        </w:rPr>
      </w:pPr>
      <w:r w:rsidRPr="00DD2F32">
        <w:rPr>
          <w:rFonts w:eastAsia="黑体"/>
          <w:kern w:val="0"/>
          <w:sz w:val="24"/>
        </w:rPr>
        <w:tab/>
      </w:r>
      <w:r w:rsidRPr="00DD2F32">
        <w:rPr>
          <w:rFonts w:eastAsia="黑体"/>
          <w:b/>
          <w:kern w:val="0"/>
          <w:sz w:val="24"/>
        </w:rPr>
        <w:t>B.</w:t>
      </w:r>
      <w:r w:rsidRPr="00DD2F32">
        <w:rPr>
          <w:rFonts w:eastAsia="黑体"/>
          <w:kern w:val="0"/>
          <w:sz w:val="24"/>
        </w:rPr>
        <w:tab/>
      </w:r>
      <w:r w:rsidRPr="00DD2F32">
        <w:rPr>
          <w:rFonts w:eastAsia="黑体" w:hAnsi="宋体"/>
          <w:kern w:val="0"/>
          <w:sz w:val="24"/>
        </w:rPr>
        <w:t>积极方面</w:t>
      </w:r>
    </w:p>
    <w:p w:rsidR="00DD2F32" w:rsidRPr="00DD2F32" w:rsidRDefault="00DD2F32" w:rsidP="00DD2F32">
      <w:pPr>
        <w:suppressAutoHyphens/>
        <w:overflowPunct w:val="0"/>
        <w:spacing w:after="140"/>
        <w:ind w:left="1264" w:right="1264"/>
        <w:rPr>
          <w:kern w:val="0"/>
        </w:rPr>
      </w:pPr>
      <w:r w:rsidRPr="00DD2F32">
        <w:rPr>
          <w:kern w:val="0"/>
        </w:rPr>
        <w:t>4.</w:t>
      </w:r>
      <w:r w:rsidRPr="00DD2F32">
        <w:rPr>
          <w:kern w:val="0"/>
        </w:rPr>
        <w:tab/>
      </w:r>
      <w:r w:rsidRPr="00DD2F32">
        <w:rPr>
          <w:rFonts w:hAnsi="宋体"/>
          <w:kern w:val="0"/>
        </w:rPr>
        <w:t>委员会欣见自</w:t>
      </w:r>
      <w:r w:rsidRPr="00DD2F32">
        <w:rPr>
          <w:kern w:val="0"/>
        </w:rPr>
        <w:t>2004</w:t>
      </w:r>
      <w:r w:rsidRPr="00DD2F32">
        <w:rPr>
          <w:rFonts w:hAnsi="宋体"/>
          <w:kern w:val="0"/>
        </w:rPr>
        <w:t>年《公约》在缔约国正式生效以来缔约国在执行《公约》方面采取的立法措施，特别是在以下方面：</w:t>
      </w:r>
    </w:p>
    <w:p w:rsidR="00DD2F32" w:rsidRPr="00DD2F32" w:rsidRDefault="00DD2F32" w:rsidP="00DD2F32">
      <w:pPr>
        <w:numPr>
          <w:ilvl w:val="0"/>
          <w:numId w:val="26"/>
        </w:numPr>
        <w:tabs>
          <w:tab w:val="left" w:pos="431"/>
          <w:tab w:val="left" w:pos="2127"/>
        </w:tabs>
        <w:suppressAutoHyphens/>
        <w:overflowPunct w:val="0"/>
        <w:adjustRightInd w:val="0"/>
        <w:snapToGrid w:val="0"/>
        <w:spacing w:after="140"/>
        <w:ind w:left="1264" w:right="1264" w:firstLine="437"/>
        <w:rPr>
          <w:kern w:val="0"/>
        </w:rPr>
      </w:pPr>
      <w:r w:rsidRPr="00DD2F32">
        <w:rPr>
          <w:rFonts w:hAnsi="宋体"/>
          <w:kern w:val="0"/>
        </w:rPr>
        <w:t>《产假法案》</w:t>
      </w:r>
      <w:r>
        <w:rPr>
          <w:rFonts w:hAnsi="宋体"/>
          <w:kern w:val="0"/>
        </w:rPr>
        <w:t>(</w:t>
      </w:r>
      <w:r w:rsidRPr="00DD2F32">
        <w:rPr>
          <w:rFonts w:hAnsi="宋体"/>
          <w:kern w:val="0"/>
        </w:rPr>
        <w:t>《第</w:t>
      </w:r>
      <w:r w:rsidRPr="00DD2F32">
        <w:rPr>
          <w:kern w:val="0"/>
        </w:rPr>
        <w:t>16-15</w:t>
      </w:r>
      <w:r w:rsidRPr="00DD2F32">
        <w:rPr>
          <w:rFonts w:hAnsi="宋体"/>
          <w:kern w:val="0"/>
        </w:rPr>
        <w:t>号公共法》</w:t>
      </w:r>
      <w:r>
        <w:rPr>
          <w:rFonts w:hAnsi="宋体"/>
          <w:kern w:val="0"/>
        </w:rPr>
        <w:t>)</w:t>
      </w:r>
      <w:r w:rsidRPr="00DD2F32">
        <w:rPr>
          <w:rFonts w:hAnsi="宋体"/>
          <w:kern w:val="0"/>
        </w:rPr>
        <w:t>；</w:t>
      </w:r>
    </w:p>
    <w:p w:rsidR="00DD2F32" w:rsidRPr="00DD2F32" w:rsidRDefault="00DD2F32" w:rsidP="00DD2F32">
      <w:pPr>
        <w:numPr>
          <w:ilvl w:val="0"/>
          <w:numId w:val="26"/>
        </w:numPr>
        <w:tabs>
          <w:tab w:val="left" w:pos="431"/>
          <w:tab w:val="left" w:pos="2127"/>
        </w:tabs>
        <w:suppressAutoHyphens/>
        <w:overflowPunct w:val="0"/>
        <w:adjustRightInd w:val="0"/>
        <w:snapToGrid w:val="0"/>
        <w:spacing w:after="140"/>
        <w:ind w:left="1264" w:right="1264" w:firstLine="437"/>
        <w:rPr>
          <w:kern w:val="0"/>
        </w:rPr>
      </w:pPr>
      <w:r w:rsidRPr="00DD2F32">
        <w:rPr>
          <w:rFonts w:hAnsi="宋体"/>
          <w:kern w:val="0"/>
        </w:rPr>
        <w:t>《反贩卖人口法案》</w:t>
      </w:r>
      <w:r>
        <w:rPr>
          <w:rFonts w:hAnsi="宋体"/>
          <w:kern w:val="0"/>
        </w:rPr>
        <w:t>(</w:t>
      </w:r>
      <w:r w:rsidRPr="00DD2F32">
        <w:rPr>
          <w:kern w:val="0"/>
        </w:rPr>
        <w:t>2012</w:t>
      </w:r>
      <w:r w:rsidRPr="00DD2F32">
        <w:rPr>
          <w:rFonts w:hAnsi="宋体"/>
          <w:kern w:val="0"/>
        </w:rPr>
        <w:t>年</w:t>
      </w:r>
      <w:r>
        <w:rPr>
          <w:rFonts w:hAnsi="宋体"/>
          <w:kern w:val="0"/>
        </w:rPr>
        <w:t>)</w:t>
      </w:r>
      <w:r w:rsidRPr="00DD2F32">
        <w:rPr>
          <w:rFonts w:hAnsi="宋体"/>
          <w:kern w:val="0"/>
        </w:rPr>
        <w:t>以及</w:t>
      </w:r>
      <w:r w:rsidRPr="00DD2F32">
        <w:rPr>
          <w:kern w:val="0"/>
        </w:rPr>
        <w:t>2013</w:t>
      </w:r>
      <w:r w:rsidRPr="00DD2F32">
        <w:rPr>
          <w:rFonts w:hAnsi="宋体"/>
          <w:kern w:val="0"/>
        </w:rPr>
        <w:t>年在缔约国的全部四个州相应通过的打击贩卖人口法。</w:t>
      </w:r>
    </w:p>
    <w:p w:rsidR="00DD2F32" w:rsidRPr="00DD2F32" w:rsidRDefault="00DD2F32" w:rsidP="00DD2F32">
      <w:pPr>
        <w:suppressAutoHyphens/>
        <w:spacing w:after="140"/>
        <w:ind w:left="1264" w:right="1264"/>
        <w:rPr>
          <w:kern w:val="0"/>
        </w:rPr>
      </w:pPr>
      <w:r w:rsidRPr="00DD2F32">
        <w:rPr>
          <w:kern w:val="0"/>
        </w:rPr>
        <w:lastRenderedPageBreak/>
        <w:t>5.</w:t>
      </w:r>
      <w:r w:rsidRPr="00DD2F32">
        <w:rPr>
          <w:kern w:val="0"/>
        </w:rPr>
        <w:tab/>
      </w:r>
      <w:r w:rsidRPr="00DD2F32">
        <w:rPr>
          <w:rFonts w:hAnsi="宋体"/>
          <w:kern w:val="0"/>
        </w:rPr>
        <w:t>委员会欣见缔约国开展努力，改善旨在加快消除对妇女的歧视和促进性别平等的制度和政策框架，包括通过</w:t>
      </w:r>
      <w:r w:rsidRPr="00DD2F32">
        <w:rPr>
          <w:rFonts w:hAnsi="宋体" w:hint="eastAsia"/>
          <w:kern w:val="0"/>
        </w:rPr>
        <w:t>《</w:t>
      </w:r>
      <w:r w:rsidRPr="00DD2F32">
        <w:rPr>
          <w:kern w:val="0"/>
        </w:rPr>
        <w:t>2004-2023</w:t>
      </w:r>
      <w:r w:rsidRPr="00DD2F32">
        <w:rPr>
          <w:rFonts w:hAnsi="宋体"/>
          <w:kern w:val="0"/>
        </w:rPr>
        <w:t>年国家战略发展计划</w:t>
      </w:r>
      <w:r w:rsidRPr="00DD2F32">
        <w:rPr>
          <w:rFonts w:hAnsi="宋体" w:hint="eastAsia"/>
          <w:kern w:val="0"/>
        </w:rPr>
        <w:t>》</w:t>
      </w:r>
      <w:r w:rsidRPr="00DD2F32">
        <w:rPr>
          <w:rFonts w:hAnsi="宋体"/>
          <w:kern w:val="0"/>
        </w:rPr>
        <w:t>，其中涉及性别平等问题和相关的解决步骤。</w:t>
      </w:r>
    </w:p>
    <w:p w:rsidR="00DD2F32" w:rsidRPr="00DD2F32" w:rsidRDefault="00DD2F32" w:rsidP="00DD2F32">
      <w:pPr>
        <w:suppressAutoHyphens/>
        <w:spacing w:after="140"/>
        <w:ind w:left="1264" w:right="1264"/>
        <w:rPr>
          <w:kern w:val="0"/>
        </w:rPr>
      </w:pPr>
      <w:r w:rsidRPr="00DD2F32">
        <w:rPr>
          <w:kern w:val="0"/>
        </w:rPr>
        <w:t>6.</w:t>
      </w:r>
      <w:r w:rsidRPr="00DD2F32">
        <w:rPr>
          <w:kern w:val="0"/>
        </w:rPr>
        <w:tab/>
      </w:r>
      <w:r w:rsidRPr="00DD2F32">
        <w:rPr>
          <w:rFonts w:hAnsi="宋体"/>
          <w:kern w:val="0"/>
        </w:rPr>
        <w:t>委员会欣见缔约国批准或加入以下国际文书：</w:t>
      </w:r>
    </w:p>
    <w:p w:rsidR="00DD2F32" w:rsidRPr="00DD2F32" w:rsidRDefault="00DD2F32" w:rsidP="00DD2F32">
      <w:pPr>
        <w:numPr>
          <w:ilvl w:val="0"/>
          <w:numId w:val="25"/>
        </w:numPr>
        <w:tabs>
          <w:tab w:val="left" w:pos="431"/>
        </w:tabs>
        <w:suppressAutoHyphens/>
        <w:overflowPunct w:val="0"/>
        <w:adjustRightInd w:val="0"/>
        <w:snapToGrid w:val="0"/>
        <w:spacing w:after="140"/>
        <w:ind w:left="1264" w:right="1264" w:firstLine="437"/>
        <w:rPr>
          <w:kern w:val="0"/>
        </w:rPr>
      </w:pPr>
      <w:r w:rsidRPr="00DD2F32">
        <w:rPr>
          <w:rFonts w:hAnsi="宋体"/>
          <w:kern w:val="0"/>
        </w:rPr>
        <w:t>《残疾人权利公约》</w:t>
      </w:r>
      <w:r>
        <w:rPr>
          <w:rFonts w:hAnsi="宋体"/>
          <w:kern w:val="0"/>
        </w:rPr>
        <w:t>(</w:t>
      </w:r>
      <w:r w:rsidRPr="00DD2F32">
        <w:rPr>
          <w:kern w:val="0"/>
        </w:rPr>
        <w:t>2016</w:t>
      </w:r>
      <w:r w:rsidRPr="00DD2F32">
        <w:rPr>
          <w:rFonts w:hAnsi="宋体"/>
          <w:kern w:val="0"/>
        </w:rPr>
        <w:t>年</w:t>
      </w:r>
      <w:r>
        <w:rPr>
          <w:rFonts w:hAnsi="宋体"/>
          <w:kern w:val="0"/>
        </w:rPr>
        <w:t>)</w:t>
      </w:r>
      <w:r w:rsidRPr="00DD2F32">
        <w:rPr>
          <w:rFonts w:hAnsi="宋体"/>
          <w:kern w:val="0"/>
        </w:rPr>
        <w:t>；</w:t>
      </w:r>
    </w:p>
    <w:p w:rsidR="00DD2F32" w:rsidRPr="00DD2F32" w:rsidRDefault="00DD2F32" w:rsidP="00DD2F32">
      <w:pPr>
        <w:numPr>
          <w:ilvl w:val="0"/>
          <w:numId w:val="25"/>
        </w:numPr>
        <w:tabs>
          <w:tab w:val="left" w:pos="431"/>
        </w:tabs>
        <w:suppressAutoHyphens/>
        <w:overflowPunct w:val="0"/>
        <w:adjustRightInd w:val="0"/>
        <w:snapToGrid w:val="0"/>
        <w:spacing w:after="140"/>
        <w:ind w:left="1264" w:right="1264" w:firstLine="437"/>
        <w:rPr>
          <w:kern w:val="0"/>
        </w:rPr>
      </w:pPr>
      <w:r w:rsidRPr="00DD2F32">
        <w:rPr>
          <w:rFonts w:hAnsi="宋体"/>
          <w:kern w:val="0"/>
        </w:rPr>
        <w:t>《儿童权利公约关于儿童卷入武装冲突问题的任择议定书》</w:t>
      </w:r>
      <w:r>
        <w:rPr>
          <w:rFonts w:hAnsi="宋体"/>
          <w:kern w:val="0"/>
        </w:rPr>
        <w:t>(</w:t>
      </w:r>
      <w:r w:rsidRPr="00DD2F32">
        <w:rPr>
          <w:kern w:val="0"/>
        </w:rPr>
        <w:t>2015</w:t>
      </w:r>
      <w:r w:rsidRPr="00DD2F32">
        <w:rPr>
          <w:rFonts w:hAnsi="宋体"/>
          <w:kern w:val="0"/>
        </w:rPr>
        <w:t>年</w:t>
      </w:r>
      <w:r>
        <w:rPr>
          <w:rFonts w:hAnsi="宋体"/>
          <w:kern w:val="0"/>
        </w:rPr>
        <w:t>)</w:t>
      </w:r>
      <w:r w:rsidRPr="00DD2F32">
        <w:rPr>
          <w:rFonts w:hAnsi="宋体"/>
          <w:kern w:val="0"/>
        </w:rPr>
        <w:t>；</w:t>
      </w:r>
    </w:p>
    <w:p w:rsidR="00DD2F32" w:rsidRPr="00DD2F32" w:rsidRDefault="00DD2F32" w:rsidP="00DD2F32">
      <w:pPr>
        <w:numPr>
          <w:ilvl w:val="0"/>
          <w:numId w:val="25"/>
        </w:numPr>
        <w:tabs>
          <w:tab w:val="left" w:pos="431"/>
        </w:tabs>
        <w:suppressAutoHyphens/>
        <w:overflowPunct w:val="0"/>
        <w:adjustRightInd w:val="0"/>
        <w:snapToGrid w:val="0"/>
        <w:spacing w:after="140"/>
        <w:ind w:left="1264" w:right="1264" w:firstLine="437"/>
        <w:rPr>
          <w:kern w:val="0"/>
        </w:rPr>
      </w:pPr>
      <w:r w:rsidRPr="00DD2F32">
        <w:rPr>
          <w:rFonts w:hAnsi="宋体"/>
          <w:kern w:val="0"/>
        </w:rPr>
        <w:t>《儿童权利公约关于买卖儿童、儿童卖淫和儿童色情制品问题的任择议定书》</w:t>
      </w:r>
      <w:r>
        <w:rPr>
          <w:rFonts w:hAnsi="宋体"/>
          <w:kern w:val="0"/>
        </w:rPr>
        <w:t>(</w:t>
      </w:r>
      <w:r w:rsidRPr="00DD2F32">
        <w:rPr>
          <w:kern w:val="0"/>
        </w:rPr>
        <w:t>2012</w:t>
      </w:r>
      <w:r w:rsidRPr="00DD2F32">
        <w:rPr>
          <w:rFonts w:hAnsi="宋体"/>
          <w:kern w:val="0"/>
        </w:rPr>
        <w:t>年</w:t>
      </w:r>
      <w:r>
        <w:rPr>
          <w:rFonts w:hAnsi="宋体"/>
          <w:kern w:val="0"/>
        </w:rPr>
        <w:t>)</w:t>
      </w:r>
      <w:r w:rsidRPr="00DD2F32">
        <w:rPr>
          <w:rFonts w:hAnsi="宋体"/>
          <w:kern w:val="0"/>
        </w:rPr>
        <w:t>；</w:t>
      </w:r>
    </w:p>
    <w:p w:rsidR="00DD2F32" w:rsidRPr="00DD2F32" w:rsidRDefault="00DD2F32" w:rsidP="00DD2F32">
      <w:pPr>
        <w:numPr>
          <w:ilvl w:val="0"/>
          <w:numId w:val="25"/>
        </w:numPr>
        <w:tabs>
          <w:tab w:val="left" w:pos="431"/>
        </w:tabs>
        <w:suppressAutoHyphens/>
        <w:overflowPunct w:val="0"/>
        <w:adjustRightInd w:val="0"/>
        <w:snapToGrid w:val="0"/>
        <w:spacing w:after="140"/>
        <w:ind w:left="1264" w:right="1264" w:firstLine="437"/>
        <w:rPr>
          <w:kern w:val="0"/>
        </w:rPr>
      </w:pPr>
      <w:r w:rsidRPr="00DD2F32">
        <w:rPr>
          <w:rFonts w:hAnsi="宋体"/>
          <w:kern w:val="0"/>
        </w:rPr>
        <w:t>《联合国打击跨国有组织犯罪公约关于预防、禁止和惩治贩运人口</w:t>
      </w:r>
      <w:r w:rsidRPr="00DD2F32">
        <w:rPr>
          <w:kern w:val="0"/>
        </w:rPr>
        <w:br/>
      </w:r>
      <w:r w:rsidRPr="00DD2F32">
        <w:rPr>
          <w:rFonts w:hAnsi="宋体"/>
          <w:kern w:val="0"/>
        </w:rPr>
        <w:t>特别是妇女和儿童行为的补充议定书》</w:t>
      </w:r>
      <w:r>
        <w:rPr>
          <w:rFonts w:hAnsi="宋体"/>
          <w:kern w:val="0"/>
        </w:rPr>
        <w:t>(</w:t>
      </w:r>
      <w:r w:rsidRPr="00DD2F32">
        <w:rPr>
          <w:kern w:val="0"/>
        </w:rPr>
        <w:t>2011</w:t>
      </w:r>
      <w:r w:rsidRPr="00DD2F32">
        <w:rPr>
          <w:rFonts w:hAnsi="宋体"/>
          <w:kern w:val="0"/>
        </w:rPr>
        <w:t>年</w:t>
      </w:r>
      <w:r>
        <w:rPr>
          <w:rFonts w:hAnsi="宋体"/>
          <w:kern w:val="0"/>
        </w:rPr>
        <w:t>)</w:t>
      </w:r>
      <w:r w:rsidRPr="00DD2F32">
        <w:rPr>
          <w:rFonts w:hAnsi="宋体"/>
          <w:kern w:val="0"/>
        </w:rPr>
        <w:t>。</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sz w:val="24"/>
          <w:lang w:val="en-GB"/>
        </w:rPr>
      </w:pPr>
      <w:r w:rsidRPr="00DD2F32">
        <w:rPr>
          <w:rFonts w:eastAsia="黑体"/>
          <w:kern w:val="0"/>
          <w:sz w:val="24"/>
          <w:lang w:val="en-GB"/>
        </w:rPr>
        <w:tab/>
      </w:r>
      <w:r w:rsidRPr="00DD2F32">
        <w:rPr>
          <w:rFonts w:eastAsia="黑体"/>
          <w:b/>
          <w:kern w:val="0"/>
          <w:sz w:val="24"/>
          <w:lang w:val="en-GB"/>
        </w:rPr>
        <w:t>C.</w:t>
      </w:r>
      <w:r w:rsidRPr="00DD2F32">
        <w:rPr>
          <w:rFonts w:eastAsia="黑体"/>
          <w:kern w:val="0"/>
          <w:sz w:val="24"/>
          <w:lang w:val="en-GB"/>
        </w:rPr>
        <w:tab/>
      </w:r>
      <w:r w:rsidRPr="00DD2F32">
        <w:rPr>
          <w:rFonts w:eastAsia="黑体" w:hAnsi="宋体"/>
          <w:kern w:val="0"/>
          <w:sz w:val="24"/>
          <w:lang w:val="en-GB"/>
        </w:rPr>
        <w:t>议会</w:t>
      </w:r>
    </w:p>
    <w:p w:rsidR="00DD2F32" w:rsidRPr="00DD2F32" w:rsidRDefault="00DD2F32" w:rsidP="00DD2F32">
      <w:pPr>
        <w:suppressAutoHyphens/>
        <w:spacing w:after="140"/>
        <w:ind w:left="1264" w:right="1264"/>
        <w:rPr>
          <w:rFonts w:eastAsia="黑体"/>
          <w:kern w:val="0"/>
        </w:rPr>
      </w:pPr>
      <w:r w:rsidRPr="00DD2F32">
        <w:rPr>
          <w:b/>
          <w:kern w:val="0"/>
        </w:rPr>
        <w:t>7.</w:t>
      </w:r>
      <w:r w:rsidRPr="00DD2F32">
        <w:rPr>
          <w:rFonts w:eastAsia="黑体"/>
          <w:kern w:val="0"/>
        </w:rPr>
        <w:tab/>
      </w:r>
      <w:r w:rsidRPr="00DD2F32">
        <w:rPr>
          <w:rFonts w:eastAsia="黑体" w:hAnsi="宋体"/>
          <w:kern w:val="0"/>
        </w:rPr>
        <w:t>委员会强调立法权在保障全面执行《公约》方面的关键作用</w:t>
      </w:r>
      <w:r>
        <w:rPr>
          <w:rFonts w:eastAsia="黑体" w:hAnsi="宋体"/>
          <w:kern w:val="0"/>
        </w:rPr>
        <w:t>(</w:t>
      </w:r>
      <w:r w:rsidRPr="00DD2F32">
        <w:rPr>
          <w:rFonts w:eastAsia="黑体" w:hAnsi="宋体"/>
          <w:kern w:val="0"/>
        </w:rPr>
        <w:t>见委员会</w:t>
      </w:r>
      <w:r w:rsidRPr="00DD2F32">
        <w:rPr>
          <w:rFonts w:eastAsia="黑体"/>
          <w:kern w:val="0"/>
        </w:rPr>
        <w:t>2010</w:t>
      </w:r>
      <w:r w:rsidRPr="00DD2F32">
        <w:rPr>
          <w:rFonts w:eastAsia="黑体" w:hAnsi="宋体"/>
          <w:kern w:val="0"/>
        </w:rPr>
        <w:t>年第四十五届会议通过的关于立法权与议员之间关系的声明</w:t>
      </w:r>
      <w:r>
        <w:rPr>
          <w:rFonts w:eastAsia="黑体" w:hAnsi="宋体"/>
          <w:kern w:val="0"/>
        </w:rPr>
        <w:t>)</w:t>
      </w:r>
      <w:r w:rsidRPr="00DD2F32">
        <w:rPr>
          <w:rFonts w:eastAsia="黑体" w:hAnsi="宋体"/>
          <w:kern w:val="0"/>
        </w:rPr>
        <w:t>，并请议会以及四个州的州议会根据自身的任务授权，从现在起到根据《公约》提交下一次报告期间，采取必要步骤实施本结论性意见。</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sz w:val="24"/>
          <w:lang w:val="en-GB"/>
        </w:rPr>
      </w:pPr>
      <w:r w:rsidRPr="00DD2F32">
        <w:rPr>
          <w:rFonts w:eastAsia="黑体"/>
          <w:kern w:val="0"/>
          <w:sz w:val="24"/>
        </w:rPr>
        <w:tab/>
      </w:r>
      <w:r w:rsidRPr="00DD2F32">
        <w:rPr>
          <w:rFonts w:eastAsia="黑体"/>
          <w:b/>
          <w:kern w:val="0"/>
          <w:sz w:val="24"/>
        </w:rPr>
        <w:t>D.</w:t>
      </w:r>
      <w:r w:rsidRPr="00DD2F32">
        <w:rPr>
          <w:rFonts w:eastAsia="黑体"/>
          <w:kern w:val="0"/>
          <w:sz w:val="24"/>
        </w:rPr>
        <w:tab/>
      </w:r>
      <w:r w:rsidRPr="00DD2F32">
        <w:rPr>
          <w:rFonts w:eastAsia="黑体" w:hAnsi="宋体"/>
          <w:kern w:val="0"/>
          <w:sz w:val="24"/>
          <w:lang w:val="en-GB"/>
        </w:rPr>
        <w:t>主要关切领域和建议</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撤回保留</w:t>
      </w:r>
    </w:p>
    <w:p w:rsidR="00DD2F32" w:rsidRPr="00DD2F32" w:rsidRDefault="00DD2F32" w:rsidP="00DD2F32">
      <w:pPr>
        <w:suppressAutoHyphens/>
        <w:spacing w:after="140"/>
        <w:ind w:left="1264" w:right="1264"/>
        <w:rPr>
          <w:kern w:val="0"/>
        </w:rPr>
      </w:pPr>
      <w:r w:rsidRPr="00DD2F32">
        <w:rPr>
          <w:kern w:val="0"/>
        </w:rPr>
        <w:t>8.</w:t>
      </w:r>
      <w:r w:rsidRPr="00DD2F32">
        <w:rPr>
          <w:kern w:val="0"/>
        </w:rPr>
        <w:tab/>
      </w:r>
      <w:r w:rsidRPr="00DD2F32">
        <w:rPr>
          <w:rFonts w:hAnsi="宋体"/>
          <w:kern w:val="0"/>
        </w:rPr>
        <w:t>委员会注意到，在对委员会议题和问题清单作出的书面答复以及在与委员会开展建设性对话期间提供的信息中，缔约国都表示愿意审查其对《公约》作出的保留，并指出已经建立了一个工作队，负责审查缔约国对《公约》第二条</w:t>
      </w:r>
      <w:r w:rsidRPr="00DD2F32">
        <w:rPr>
          <w:rFonts w:hAnsi="宋体" w:hint="eastAsia"/>
          <w:kern w:val="0"/>
        </w:rPr>
        <w:t>(</w:t>
      </w:r>
      <w:r w:rsidRPr="00DD2F32">
        <w:rPr>
          <w:kern w:val="0"/>
        </w:rPr>
        <w:t>f)</w:t>
      </w:r>
      <w:r w:rsidRPr="00DD2F32">
        <w:rPr>
          <w:rFonts w:hAnsi="宋体"/>
          <w:kern w:val="0"/>
        </w:rPr>
        <w:t>项、第五条、第十一条第</w:t>
      </w:r>
      <w:r w:rsidRPr="00DD2F32">
        <w:rPr>
          <w:kern w:val="0"/>
        </w:rPr>
        <w:t>1</w:t>
      </w:r>
      <w:r w:rsidRPr="00DD2F32">
        <w:rPr>
          <w:rFonts w:hAnsi="宋体"/>
          <w:kern w:val="0"/>
        </w:rPr>
        <w:t>款</w:t>
      </w:r>
      <w:r w:rsidRPr="00DD2F32">
        <w:rPr>
          <w:rFonts w:hAnsi="宋体" w:hint="eastAsia"/>
          <w:kern w:val="0"/>
        </w:rPr>
        <w:t>(</w:t>
      </w:r>
      <w:r w:rsidRPr="00DD2F32">
        <w:rPr>
          <w:kern w:val="0"/>
        </w:rPr>
        <w:t>d)</w:t>
      </w:r>
      <w:r w:rsidRPr="00DD2F32">
        <w:rPr>
          <w:rFonts w:hAnsi="宋体"/>
          <w:kern w:val="0"/>
        </w:rPr>
        <w:t>项、第十一条第</w:t>
      </w:r>
      <w:r w:rsidRPr="00DD2F32">
        <w:rPr>
          <w:kern w:val="0"/>
        </w:rPr>
        <w:t>2</w:t>
      </w:r>
      <w:r w:rsidRPr="00DD2F32">
        <w:rPr>
          <w:rFonts w:hAnsi="宋体"/>
          <w:kern w:val="0"/>
        </w:rPr>
        <w:t>款</w:t>
      </w:r>
      <w:r w:rsidRPr="00DD2F32">
        <w:rPr>
          <w:rFonts w:hAnsi="宋体" w:hint="eastAsia"/>
          <w:kern w:val="0"/>
        </w:rPr>
        <w:t>(</w:t>
      </w:r>
      <w:r w:rsidRPr="00DD2F32">
        <w:rPr>
          <w:kern w:val="0"/>
        </w:rPr>
        <w:t>b)</w:t>
      </w:r>
      <w:r w:rsidRPr="00DD2F32">
        <w:rPr>
          <w:rFonts w:hAnsi="宋体"/>
          <w:kern w:val="0"/>
        </w:rPr>
        <w:t>项、第十六条和第二十九条第</w:t>
      </w:r>
      <w:r w:rsidRPr="00DD2F32">
        <w:rPr>
          <w:kern w:val="0"/>
        </w:rPr>
        <w:t>1</w:t>
      </w:r>
      <w:r w:rsidRPr="00DD2F32">
        <w:rPr>
          <w:rFonts w:hAnsi="宋体"/>
          <w:kern w:val="0"/>
        </w:rPr>
        <w:t>款作出的保留，以便考虑予以撤回。但是，委员会对审查完成时间表尚未制定表示关切。委员会重申，撤回保留意见或缩小其范围对于在缔约国全面执行《公约》非常重要，不得以任何传统、宗教或文化习俗抑或与《公约》不相容的国内法和政策为由对《公约》作出保留。</w:t>
      </w:r>
    </w:p>
    <w:p w:rsidR="00DD2F32" w:rsidRPr="00DD2F32" w:rsidRDefault="00DD2F32" w:rsidP="00DD2F32">
      <w:pPr>
        <w:suppressAutoHyphens/>
        <w:spacing w:after="140"/>
        <w:ind w:left="1264" w:right="1264"/>
        <w:rPr>
          <w:rFonts w:eastAsia="黑体"/>
          <w:kern w:val="0"/>
        </w:rPr>
      </w:pPr>
      <w:r w:rsidRPr="00DD2F32">
        <w:rPr>
          <w:b/>
          <w:kern w:val="0"/>
        </w:rPr>
        <w:t>9.</w:t>
      </w:r>
      <w:r w:rsidRPr="00DD2F32">
        <w:rPr>
          <w:rFonts w:eastAsia="黑体"/>
          <w:kern w:val="0"/>
        </w:rPr>
        <w:tab/>
      </w:r>
      <w:r w:rsidRPr="00DD2F32">
        <w:rPr>
          <w:rFonts w:eastAsia="黑体" w:hAnsi="宋体"/>
          <w:kern w:val="0"/>
        </w:rPr>
        <w:t>委员会回顾了其第十九届会议</w:t>
      </w:r>
      <w:r>
        <w:rPr>
          <w:rFonts w:eastAsia="黑体" w:hAnsi="宋体"/>
          <w:kern w:val="0"/>
        </w:rPr>
        <w:t>(</w:t>
      </w:r>
      <w:r w:rsidRPr="00DD2F32">
        <w:rPr>
          <w:rFonts w:eastAsia="黑体"/>
          <w:b/>
          <w:kern w:val="0"/>
        </w:rPr>
        <w:t>1998</w:t>
      </w:r>
      <w:r w:rsidRPr="00DD2F32">
        <w:rPr>
          <w:rFonts w:eastAsia="黑体" w:hAnsi="宋体"/>
          <w:kern w:val="0"/>
        </w:rPr>
        <w:t>年</w:t>
      </w:r>
      <w:r>
        <w:rPr>
          <w:rFonts w:eastAsia="黑体" w:hAnsi="宋体"/>
          <w:kern w:val="0"/>
        </w:rPr>
        <w:t>)</w:t>
      </w:r>
      <w:r w:rsidRPr="00DD2F32">
        <w:rPr>
          <w:rFonts w:eastAsia="黑体" w:hAnsi="宋体"/>
          <w:kern w:val="0"/>
        </w:rPr>
        <w:t>通过的与保留有关的声明，认为对第二和第十六条的保留与《公约》的宗旨和目的不符，因此是不允许的，必须撤回。委员会建议缔约国：</w:t>
      </w:r>
    </w:p>
    <w:p w:rsidR="00DD2F32" w:rsidRPr="00DD2F32" w:rsidRDefault="00DD2F32" w:rsidP="00DD2F32">
      <w:pPr>
        <w:suppressAutoHyphens/>
        <w:overflowPunct w:val="0"/>
        <w:spacing w:after="140"/>
        <w:ind w:left="1264" w:right="1264" w:firstLine="437"/>
        <w:rPr>
          <w:rFonts w:eastAsia="黑体"/>
          <w:kern w:val="0"/>
        </w:rPr>
      </w:pPr>
      <w:r w:rsidRPr="00DD2F32">
        <w:rPr>
          <w:rFonts w:eastAsia="黑体"/>
          <w:b/>
          <w:kern w:val="0"/>
        </w:rPr>
        <w:t>(a)</w:t>
      </w:r>
      <w:r w:rsidRPr="00DD2F32">
        <w:rPr>
          <w:rFonts w:eastAsia="黑体"/>
          <w:kern w:val="0"/>
        </w:rPr>
        <w:tab/>
      </w:r>
      <w:r w:rsidRPr="00DD2F32">
        <w:rPr>
          <w:rFonts w:eastAsia="黑体" w:hAnsi="宋体"/>
          <w:kern w:val="0"/>
        </w:rPr>
        <w:t>与妇女民间社会团体磋商，马上审查对于《公约》作出的全部保留，以便在确定的时间框架内撤回这些保留或者缩小其范围。为此，委员会建议缔约国考虑已经撤回对《公约》所作保留的其他太平洋岛屿国家的经验；</w:t>
      </w:r>
    </w:p>
    <w:p w:rsidR="00DD2F32" w:rsidRPr="00DD2F32" w:rsidRDefault="00DD2F32" w:rsidP="00DD2F32">
      <w:pPr>
        <w:suppressAutoHyphens/>
        <w:spacing w:after="140"/>
        <w:ind w:left="1264" w:right="1264" w:firstLine="437"/>
        <w:rPr>
          <w:rFonts w:eastAsia="黑体"/>
          <w:kern w:val="0"/>
        </w:rPr>
      </w:pPr>
      <w:r w:rsidRPr="00DD2F32">
        <w:rPr>
          <w:rFonts w:eastAsia="黑体"/>
          <w:b/>
          <w:kern w:val="0"/>
        </w:rPr>
        <w:t>(b)</w:t>
      </w:r>
      <w:r w:rsidRPr="00DD2F32">
        <w:rPr>
          <w:rFonts w:eastAsia="黑体"/>
          <w:kern w:val="0"/>
        </w:rPr>
        <w:tab/>
      </w:r>
      <w:r w:rsidRPr="00DD2F32">
        <w:rPr>
          <w:rFonts w:eastAsia="黑体" w:hAnsi="宋体"/>
          <w:kern w:val="0"/>
        </w:rPr>
        <w:t>酌情寻求并利用发展伙伴提供的技术支持，解决在全国和联邦出现的对毫无保留地全面通过和执行《公约》的限制。</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lastRenderedPageBreak/>
        <w:tab/>
      </w:r>
      <w:r w:rsidRPr="00DD2F32">
        <w:rPr>
          <w:rFonts w:eastAsia="黑体"/>
          <w:kern w:val="0"/>
          <w:lang w:val="en-GB"/>
        </w:rPr>
        <w:tab/>
      </w:r>
      <w:r w:rsidRPr="00DD2F32">
        <w:rPr>
          <w:rFonts w:eastAsia="黑体" w:hAnsi="宋体"/>
          <w:kern w:val="0"/>
          <w:lang w:val="en-GB"/>
        </w:rPr>
        <w:t>《公约》的显见度</w:t>
      </w:r>
    </w:p>
    <w:p w:rsidR="00DD2F32" w:rsidRPr="00DD2F32" w:rsidRDefault="00DD2F32" w:rsidP="00DD2F32">
      <w:pPr>
        <w:suppressAutoHyphens/>
        <w:spacing w:after="140"/>
        <w:ind w:left="1264" w:right="1264"/>
        <w:rPr>
          <w:spacing w:val="4"/>
          <w:w w:val="103"/>
        </w:rPr>
      </w:pPr>
      <w:r w:rsidRPr="00DD2F32">
        <w:rPr>
          <w:spacing w:val="4"/>
          <w:w w:val="103"/>
        </w:rPr>
        <w:t>10.</w:t>
      </w:r>
      <w:r w:rsidRPr="00DD2F32">
        <w:rPr>
          <w:spacing w:val="4"/>
          <w:w w:val="103"/>
        </w:rPr>
        <w:tab/>
      </w:r>
      <w:r w:rsidRPr="00DD2F32">
        <w:rPr>
          <w:rFonts w:hAnsi="宋体"/>
          <w:spacing w:val="4"/>
          <w:w w:val="103"/>
        </w:rPr>
        <w:t>委员会赞赏地注意到，缔约国将《公约》译成主要的当地语言并开展了更多的公共宣传和提供认识运动，提高妇女对自身权利和责任的意识。但是，委员会关切地注意到，《公约》作为旨在消除对妇女的歧视和促进性别平等的立法和政策</w:t>
      </w:r>
      <w:r w:rsidRPr="00DD2F32">
        <w:rPr>
          <w:rFonts w:hAnsi="宋体" w:hint="eastAsia"/>
          <w:spacing w:val="4"/>
          <w:w w:val="103"/>
        </w:rPr>
        <w:t>办法</w:t>
      </w:r>
      <w:r w:rsidRPr="00DD2F32">
        <w:rPr>
          <w:rFonts w:hAnsi="宋体"/>
          <w:spacing w:val="4"/>
          <w:w w:val="103"/>
        </w:rPr>
        <w:t>等措施的法律依据，在缔约国并没有得到足够的了解。</w:t>
      </w:r>
    </w:p>
    <w:p w:rsidR="00DD2F32" w:rsidRPr="00DD2F32" w:rsidRDefault="00DD2F32" w:rsidP="00DD2F32">
      <w:pPr>
        <w:suppressAutoHyphens/>
        <w:spacing w:after="140"/>
        <w:ind w:left="1264" w:right="1264"/>
        <w:rPr>
          <w:rFonts w:eastAsia="黑体"/>
          <w:spacing w:val="4"/>
          <w:w w:val="103"/>
        </w:rPr>
      </w:pPr>
      <w:r w:rsidRPr="00DD2F32">
        <w:rPr>
          <w:b/>
          <w:spacing w:val="4"/>
          <w:w w:val="103"/>
        </w:rPr>
        <w:t>11.</w:t>
      </w:r>
      <w:r w:rsidRPr="00DD2F32">
        <w:rPr>
          <w:rFonts w:eastAsia="黑体"/>
          <w:spacing w:val="4"/>
          <w:w w:val="103"/>
        </w:rPr>
        <w:tab/>
      </w:r>
      <w:r w:rsidRPr="00DD2F32">
        <w:rPr>
          <w:rFonts w:eastAsia="黑体" w:hAnsi="宋体"/>
          <w:spacing w:val="4"/>
          <w:w w:val="103"/>
        </w:rPr>
        <w:t>委员会建议缔约国高度重视《公约》作为消除对妇女一切形式歧视和实现性别平等之基础的重要地位，并优先将其全面纳入国内法律制度。委员会建议缔约国采取措施大力宣传《公约》并在所有关于性别平等和提高妇女地位的法律、法庭裁决和政策中适用《公约》，包括向政府官员和公众广泛宣传《公约》及其</w:t>
      </w:r>
      <w:r w:rsidRPr="00DD2F32">
        <w:rPr>
          <w:rFonts w:eastAsia="黑体" w:hAnsi="宋体" w:hint="eastAsia"/>
          <w:spacing w:val="4"/>
          <w:w w:val="103"/>
        </w:rPr>
        <w:t>《</w:t>
      </w:r>
      <w:r w:rsidRPr="00DD2F32">
        <w:rPr>
          <w:rFonts w:eastAsia="黑体" w:hAnsi="宋体"/>
          <w:spacing w:val="4"/>
          <w:w w:val="103"/>
        </w:rPr>
        <w:t>任</w:t>
      </w:r>
      <w:r w:rsidRPr="00DD2F32">
        <w:rPr>
          <w:rFonts w:eastAsia="黑体" w:hAnsi="宋体" w:hint="eastAsia"/>
          <w:spacing w:val="4"/>
          <w:w w:val="103"/>
        </w:rPr>
        <w:t>择</w:t>
      </w:r>
      <w:r w:rsidRPr="00DD2F32">
        <w:rPr>
          <w:rFonts w:eastAsia="黑体" w:hAnsi="宋体"/>
          <w:spacing w:val="4"/>
          <w:w w:val="103"/>
        </w:rPr>
        <w:t>议定书</w:t>
      </w:r>
      <w:r w:rsidRPr="00DD2F32">
        <w:rPr>
          <w:rFonts w:eastAsia="黑体" w:hAnsi="宋体" w:hint="eastAsia"/>
          <w:spacing w:val="4"/>
          <w:w w:val="103"/>
        </w:rPr>
        <w:t>》</w:t>
      </w:r>
      <w:r>
        <w:rPr>
          <w:rFonts w:eastAsia="黑体" w:hAnsi="宋体"/>
          <w:spacing w:val="4"/>
          <w:w w:val="103"/>
        </w:rPr>
        <w:t>(</w:t>
      </w:r>
      <w:r w:rsidRPr="00DD2F32">
        <w:rPr>
          <w:rFonts w:eastAsia="黑体" w:hAnsi="宋体"/>
          <w:spacing w:val="4"/>
          <w:w w:val="103"/>
        </w:rPr>
        <w:t>包括在边远地区这样做</w:t>
      </w:r>
      <w:r>
        <w:rPr>
          <w:rFonts w:eastAsia="黑体" w:hAnsi="宋体"/>
          <w:spacing w:val="4"/>
          <w:w w:val="103"/>
        </w:rPr>
        <w:t>)</w:t>
      </w:r>
      <w:r w:rsidRPr="00DD2F32">
        <w:rPr>
          <w:rFonts w:eastAsia="黑体" w:hAnsi="宋体"/>
          <w:spacing w:val="4"/>
          <w:w w:val="103"/>
        </w:rPr>
        <w:t>。委员会还建议把《公约》及其</w:t>
      </w:r>
      <w:r w:rsidRPr="00DD2F32">
        <w:rPr>
          <w:rFonts w:eastAsia="黑体" w:hAnsi="宋体" w:hint="eastAsia"/>
          <w:spacing w:val="4"/>
          <w:w w:val="103"/>
        </w:rPr>
        <w:t>《</w:t>
      </w:r>
      <w:r w:rsidRPr="00DD2F32">
        <w:rPr>
          <w:rFonts w:eastAsia="黑体" w:hAnsi="宋体"/>
          <w:spacing w:val="4"/>
          <w:w w:val="103"/>
        </w:rPr>
        <w:t>任择议定书</w:t>
      </w:r>
      <w:r w:rsidRPr="00DD2F32">
        <w:rPr>
          <w:rFonts w:eastAsia="黑体" w:hAnsi="宋体" w:hint="eastAsia"/>
          <w:spacing w:val="4"/>
          <w:w w:val="103"/>
        </w:rPr>
        <w:t>》</w:t>
      </w:r>
      <w:r w:rsidRPr="00DD2F32">
        <w:rPr>
          <w:rFonts w:eastAsia="黑体" w:hAnsi="宋体"/>
          <w:spacing w:val="4"/>
          <w:w w:val="103"/>
        </w:rPr>
        <w:t>以及委员会的一般性建议作为政府、议会和司法部门的职业培训不可缺少的组成部分。</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宪法框架和歧视性法律</w:t>
      </w:r>
    </w:p>
    <w:p w:rsidR="00DD2F32" w:rsidRPr="00DD2F32" w:rsidRDefault="00DD2F32" w:rsidP="00DD2F32">
      <w:pPr>
        <w:suppressAutoHyphens/>
        <w:spacing w:after="140"/>
        <w:ind w:left="1264" w:right="1264"/>
        <w:rPr>
          <w:spacing w:val="4"/>
          <w:w w:val="103"/>
        </w:rPr>
      </w:pPr>
      <w:r w:rsidRPr="00DD2F32">
        <w:rPr>
          <w:spacing w:val="4"/>
          <w:w w:val="103"/>
        </w:rPr>
        <w:t>12.</w:t>
      </w:r>
      <w:r w:rsidRPr="00DD2F32">
        <w:rPr>
          <w:spacing w:val="4"/>
          <w:w w:val="103"/>
        </w:rPr>
        <w:tab/>
      </w:r>
      <w:r w:rsidRPr="00DD2F32">
        <w:rPr>
          <w:rFonts w:hAnsi="宋体"/>
          <w:spacing w:val="4"/>
          <w:w w:val="103"/>
        </w:rPr>
        <w:t>委员会关切地注意到，缔约国在权力下放的同时并没有制定确保有效执行《公约》的常设协调或监察机制，导致四个州承认和享有妇女权利的情况不均衡。委员会注意到，全国性的《宪法》和四个州的宪法都禁止基于性别的歧视。但是，这些宪法都没有按照《公约》第一条对歧视进行定义，而且缔约国没有具体的反歧视立法，委员会对此表示关切。令委员会关切的还有以下方面：</w:t>
      </w:r>
    </w:p>
    <w:p w:rsidR="00DD2F32" w:rsidRPr="00DD2F32" w:rsidRDefault="00DD2F32" w:rsidP="00DD2F32">
      <w:pPr>
        <w:numPr>
          <w:ilvl w:val="0"/>
          <w:numId w:val="24"/>
        </w:numPr>
        <w:tabs>
          <w:tab w:val="left" w:pos="431"/>
        </w:tabs>
        <w:suppressAutoHyphens/>
        <w:overflowPunct w:val="0"/>
        <w:adjustRightInd w:val="0"/>
        <w:snapToGrid w:val="0"/>
        <w:spacing w:after="140"/>
        <w:ind w:left="1264" w:right="1264" w:firstLine="437"/>
        <w:rPr>
          <w:w w:val="103"/>
          <w:kern w:val="0"/>
        </w:rPr>
      </w:pPr>
      <w:r w:rsidRPr="00DD2F32">
        <w:rPr>
          <w:rFonts w:hAnsi="宋体"/>
          <w:w w:val="103"/>
          <w:kern w:val="0"/>
        </w:rPr>
        <w:t>全国性的《宪法》和四个州的宪法都承认习惯法为法律，使习俗和传统得到成文法的维护，这可能导致歧视妇女；</w:t>
      </w:r>
    </w:p>
    <w:p w:rsidR="00DD2F32" w:rsidRPr="00DD2F32" w:rsidRDefault="00DD2F32" w:rsidP="00DD2F32">
      <w:pPr>
        <w:numPr>
          <w:ilvl w:val="0"/>
          <w:numId w:val="24"/>
        </w:numPr>
        <w:tabs>
          <w:tab w:val="left" w:pos="431"/>
        </w:tabs>
        <w:suppressAutoHyphens/>
        <w:overflowPunct w:val="0"/>
        <w:adjustRightInd w:val="0"/>
        <w:snapToGrid w:val="0"/>
        <w:spacing w:after="140"/>
        <w:ind w:left="1264" w:right="1264" w:firstLine="437"/>
        <w:rPr>
          <w:rFonts w:eastAsia="黑体"/>
          <w:kern w:val="0"/>
        </w:rPr>
      </w:pPr>
      <w:r w:rsidRPr="00DD2F32">
        <w:rPr>
          <w:rFonts w:hAnsi="宋体"/>
          <w:w w:val="103"/>
          <w:kern w:val="0"/>
        </w:rPr>
        <w:t>联邦和州的法律继续包含歧视性规定，特别是在对妇女的性别暴力方面。</w:t>
      </w:r>
    </w:p>
    <w:p w:rsidR="00DD2F32" w:rsidRPr="00DD2F32" w:rsidRDefault="00DD2F32" w:rsidP="00DD2F32">
      <w:pPr>
        <w:suppressAutoHyphens/>
        <w:spacing w:after="140"/>
        <w:ind w:left="1264" w:right="1264"/>
        <w:rPr>
          <w:rFonts w:eastAsia="黑体"/>
          <w:kern w:val="0"/>
        </w:rPr>
      </w:pPr>
      <w:r w:rsidRPr="00DD2F32">
        <w:rPr>
          <w:b/>
          <w:kern w:val="0"/>
        </w:rPr>
        <w:t>13.</w:t>
      </w:r>
      <w:r w:rsidRPr="00DD2F32">
        <w:rPr>
          <w:rFonts w:eastAsia="黑体"/>
          <w:kern w:val="0"/>
        </w:rPr>
        <w:tab/>
      </w:r>
      <w:r w:rsidRPr="00DD2F32">
        <w:rPr>
          <w:rFonts w:eastAsia="黑体" w:hAnsi="宋体"/>
          <w:kern w:val="0"/>
        </w:rPr>
        <w:t>提及其关于缔约国根据《公约》第二条承担的核心义务的第</w:t>
      </w:r>
      <w:r w:rsidRPr="00DD2F32">
        <w:rPr>
          <w:rFonts w:eastAsia="黑体"/>
          <w:b/>
          <w:kern w:val="0"/>
        </w:rPr>
        <w:t>28</w:t>
      </w:r>
      <w:r>
        <w:rPr>
          <w:rFonts w:eastAsia="黑体" w:hAnsi="宋体"/>
          <w:kern w:val="0"/>
        </w:rPr>
        <w:t>(</w:t>
      </w:r>
      <w:r w:rsidRPr="00DD2F32">
        <w:rPr>
          <w:rFonts w:eastAsia="黑体"/>
          <w:b/>
          <w:kern w:val="0"/>
        </w:rPr>
        <w:t>2010</w:t>
      </w:r>
      <w:r>
        <w:rPr>
          <w:rFonts w:eastAsia="黑体" w:hAnsi="宋体"/>
          <w:kern w:val="0"/>
        </w:rPr>
        <w:t>)</w:t>
      </w:r>
      <w:r w:rsidRPr="00DD2F32">
        <w:rPr>
          <w:rFonts w:eastAsia="黑体" w:hAnsi="宋体"/>
          <w:kern w:val="0"/>
        </w:rPr>
        <w:t>号一般性建议，委员会建议缔约国确保建立适当的机制和机构，在州和国家一级对法律和政策的执行情况进行审查、监测和评价，以确保履行缔约国对《公约》承担的义务，使妇女权利在缔约国的领土范围内得到全面保护。委员会还建议缔约国考虑《公约》第一和第二条与可持续发展目标的具体目标</w:t>
      </w:r>
      <w:r w:rsidRPr="00DD2F32">
        <w:rPr>
          <w:rFonts w:eastAsia="黑体"/>
          <w:b/>
          <w:kern w:val="0"/>
        </w:rPr>
        <w:t>5</w:t>
      </w:r>
      <w:r w:rsidRPr="00DD2F32">
        <w:rPr>
          <w:rFonts w:eastAsia="黑体" w:hint="eastAsia"/>
          <w:b/>
          <w:kern w:val="0"/>
        </w:rPr>
        <w:t>.</w:t>
      </w:r>
      <w:r w:rsidRPr="00DD2F32">
        <w:rPr>
          <w:rFonts w:eastAsia="黑体"/>
          <w:b/>
          <w:kern w:val="0"/>
        </w:rPr>
        <w:t>1</w:t>
      </w:r>
      <w:r>
        <w:rPr>
          <w:rFonts w:eastAsia="黑体" w:hAnsi="宋体"/>
          <w:kern w:val="0"/>
        </w:rPr>
        <w:t>(</w:t>
      </w:r>
      <w:r w:rsidRPr="00DD2F32">
        <w:rPr>
          <w:rFonts w:eastAsia="黑体" w:hAnsi="宋体"/>
          <w:kern w:val="0"/>
        </w:rPr>
        <w:t>即结束对所有妇女和女童的一切形式歧视之间的联系</w:t>
      </w:r>
      <w:r>
        <w:rPr>
          <w:rFonts w:eastAsia="黑体" w:hAnsi="宋体"/>
          <w:kern w:val="0"/>
        </w:rPr>
        <w:t>)</w:t>
      </w:r>
      <w:r w:rsidRPr="00DD2F32">
        <w:rPr>
          <w:rFonts w:eastAsia="黑体" w:hAnsi="宋体"/>
          <w:kern w:val="0"/>
        </w:rPr>
        <w:t>，并：</w:t>
      </w:r>
    </w:p>
    <w:p w:rsidR="00DD2F32" w:rsidRPr="00DD2F32" w:rsidRDefault="00DD2F32" w:rsidP="00DD2F32">
      <w:pPr>
        <w:numPr>
          <w:ilvl w:val="0"/>
          <w:numId w:val="23"/>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根据第一条，毫不拖延地在本国《宪法》或其他适当的立法中纳入关于歧视妇女的定义，其中要涵盖公私领域的直接和间接歧视并承认交叉形式的歧视，并建立增进平等的机制，确保为受到歧视的受害妇女提供救济；</w:t>
      </w:r>
    </w:p>
    <w:p w:rsidR="00DD2F32" w:rsidRPr="00DD2F32" w:rsidRDefault="00DD2F32" w:rsidP="00DD2F32">
      <w:pPr>
        <w:numPr>
          <w:ilvl w:val="0"/>
          <w:numId w:val="23"/>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修订或废除与《公约》所载平等和非歧视原则不符的所有立法，使包括成文法和习惯法在内的法律与国际人权标准保持协调一致。</w:t>
      </w:r>
    </w:p>
    <w:p w:rsidR="00DD2F32" w:rsidRPr="00DD2F32" w:rsidRDefault="00DD2F32" w:rsidP="00DD2F32">
      <w:pPr>
        <w:suppressAutoHyphens/>
        <w:spacing w:after="140"/>
        <w:ind w:left="1264" w:right="1264"/>
        <w:rPr>
          <w:kern w:val="0"/>
        </w:rPr>
      </w:pPr>
      <w:r w:rsidRPr="00DD2F32">
        <w:rPr>
          <w:kern w:val="0"/>
        </w:rPr>
        <w:lastRenderedPageBreak/>
        <w:t>14.</w:t>
      </w:r>
      <w:r w:rsidRPr="00DD2F32">
        <w:rPr>
          <w:kern w:val="0"/>
        </w:rPr>
        <w:tab/>
      </w:r>
      <w:r w:rsidRPr="00DD2F32">
        <w:rPr>
          <w:rFonts w:hAnsi="宋体"/>
          <w:kern w:val="0"/>
        </w:rPr>
        <w:t>委员会注意到缔约国承认其现行法律框架具有歧视性，并注意到缔约国正在进行的法律改革进程对实现妇女实质性平等产生了影响。但委员会对改革进程的通过速度缓慢表示关切。</w:t>
      </w:r>
    </w:p>
    <w:p w:rsidR="00DD2F32" w:rsidRPr="00DD2F32" w:rsidRDefault="00DD2F32" w:rsidP="00DD2F32">
      <w:pPr>
        <w:suppressAutoHyphens/>
        <w:spacing w:after="140"/>
        <w:ind w:left="1264" w:right="1264"/>
        <w:rPr>
          <w:rFonts w:eastAsia="黑体"/>
          <w:kern w:val="0"/>
        </w:rPr>
      </w:pPr>
      <w:r w:rsidRPr="00DD2F32">
        <w:rPr>
          <w:b/>
          <w:kern w:val="0"/>
        </w:rPr>
        <w:t>15.</w:t>
      </w:r>
      <w:r w:rsidRPr="00DD2F32">
        <w:rPr>
          <w:kern w:val="0"/>
        </w:rPr>
        <w:tab/>
      </w:r>
      <w:r w:rsidRPr="00DD2F32">
        <w:rPr>
          <w:rFonts w:eastAsia="黑体" w:hAnsi="宋体"/>
          <w:kern w:val="0"/>
        </w:rPr>
        <w:t>委员会建议缔约国加快法律改革进程，并通过一个明确的时间表和完成工作的最后期限，以遵守《公约》和委员会的一般性建议。委员会还鼓励缔约国形成开展这些改革必需的政治意愿。</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司法救助和法律援助机制</w:t>
      </w:r>
    </w:p>
    <w:p w:rsidR="00DD2F32" w:rsidRPr="00DD2F32" w:rsidRDefault="00DD2F32" w:rsidP="00DD2F32">
      <w:pPr>
        <w:suppressAutoHyphens/>
        <w:spacing w:after="140"/>
        <w:ind w:left="1264" w:right="1264"/>
        <w:rPr>
          <w:kern w:val="0"/>
        </w:rPr>
      </w:pPr>
      <w:r w:rsidRPr="00DD2F32">
        <w:rPr>
          <w:kern w:val="0"/>
        </w:rPr>
        <w:t>16.</w:t>
      </w:r>
      <w:r w:rsidRPr="00DD2F32">
        <w:rPr>
          <w:kern w:val="0"/>
        </w:rPr>
        <w:tab/>
      </w:r>
      <w:r w:rsidRPr="00DD2F32">
        <w:rPr>
          <w:rFonts w:hAnsi="宋体"/>
          <w:kern w:val="0"/>
        </w:rPr>
        <w:t>委员会注意到缔约国存在多元司法制度。委员会关切地注意到，有多方面原因导致妇女无法有效地诉诸司法，也没有能力在正式司法系统中获得补救，这些原因包括贫穷、消极的性别陈规定型观念、缺乏对自身权利的了解、缺乏法律素养、可用的免费法律援助有限、缔约国领土上的法院数量有限以及法院因地理位置分散而不易抵达。委员会注意到非政府组织为妇女提供了一些无偿的法律援助，但令委员会感到关切的是，面向执法人员、司法人员、传统当局和法律从业者开展的与《公约》和妇女权利有关的培训有限，妇女普遍害怕诉诸法院系统。</w:t>
      </w:r>
    </w:p>
    <w:p w:rsidR="00DD2F32" w:rsidRPr="00DD2F32" w:rsidRDefault="00DD2F32" w:rsidP="00DD2F32">
      <w:pPr>
        <w:suppressAutoHyphens/>
        <w:spacing w:after="140"/>
        <w:ind w:left="1264" w:right="1264"/>
        <w:rPr>
          <w:rFonts w:eastAsia="黑体"/>
          <w:kern w:val="0"/>
        </w:rPr>
      </w:pPr>
      <w:r w:rsidRPr="00DD2F32">
        <w:rPr>
          <w:rFonts w:eastAsia="黑体"/>
          <w:b/>
          <w:kern w:val="0"/>
        </w:rPr>
        <w:t>17.</w:t>
      </w:r>
      <w:r w:rsidRPr="00DD2F32">
        <w:rPr>
          <w:rFonts w:eastAsia="黑体"/>
          <w:kern w:val="0"/>
        </w:rPr>
        <w:tab/>
      </w:r>
      <w:r w:rsidRPr="00DD2F32">
        <w:rPr>
          <w:rFonts w:eastAsia="黑体" w:hAnsi="宋体"/>
          <w:kern w:val="0"/>
        </w:rPr>
        <w:t>提及委员会关于司法救助的第</w:t>
      </w:r>
      <w:r w:rsidRPr="00DD2F32">
        <w:rPr>
          <w:rFonts w:eastAsia="黑体"/>
          <w:b/>
          <w:kern w:val="0"/>
        </w:rPr>
        <w:t>33</w:t>
      </w:r>
      <w:r>
        <w:rPr>
          <w:rFonts w:eastAsia="黑体" w:hAnsi="宋体"/>
          <w:kern w:val="0"/>
        </w:rPr>
        <w:t>(</w:t>
      </w:r>
      <w:r w:rsidRPr="00DD2F32">
        <w:rPr>
          <w:rFonts w:eastAsia="黑体"/>
          <w:b/>
          <w:kern w:val="0"/>
        </w:rPr>
        <w:t>2015</w:t>
      </w:r>
      <w:r>
        <w:rPr>
          <w:rFonts w:eastAsia="黑体" w:hAnsi="宋体"/>
          <w:kern w:val="0"/>
        </w:rPr>
        <w:t>)</w:t>
      </w:r>
      <w:r w:rsidRPr="00DD2F32">
        <w:rPr>
          <w:rFonts w:eastAsia="黑体" w:hAnsi="宋体"/>
          <w:kern w:val="0"/>
        </w:rPr>
        <w:t>号一般性</w:t>
      </w:r>
      <w:r w:rsidRPr="00DD2F32">
        <w:rPr>
          <w:rFonts w:eastAsia="黑体" w:hAnsi="宋体" w:hint="eastAsia"/>
          <w:kern w:val="0"/>
        </w:rPr>
        <w:t>建议</w:t>
      </w:r>
      <w:r w:rsidRPr="00DD2F32">
        <w:rPr>
          <w:rFonts w:eastAsia="黑体" w:hAnsi="宋体"/>
          <w:kern w:val="0"/>
        </w:rPr>
        <w:t>，委员会忆及缔约国有义务确保妇女权利得到保护，不受多元司法系统所有组成部分的侵犯。在这方面，委员会建议缔约国：</w:t>
      </w:r>
    </w:p>
    <w:p w:rsidR="00DD2F32" w:rsidRPr="00DD2F32" w:rsidRDefault="00DD2F32" w:rsidP="00DD2F32">
      <w:pPr>
        <w:numPr>
          <w:ilvl w:val="0"/>
          <w:numId w:val="22"/>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面向司法工作者提供关于《公约》和妇女权利的能力建设和培训方案，确保习俗和社区司法制度的各种规范、程序和做法与《公约》保持一致，并提高认识，消除主张自身权利的妇女面对的陈规定型观念和污名化问题；</w:t>
      </w:r>
    </w:p>
    <w:p w:rsidR="00DD2F32" w:rsidRPr="00DD2F32" w:rsidRDefault="00DD2F32" w:rsidP="00DD2F32">
      <w:pPr>
        <w:numPr>
          <w:ilvl w:val="0"/>
          <w:numId w:val="22"/>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制定具体的补救措施，在正规司法系统和习惯司法系统中为妇女提供的救济，并提高公众对通过司法补救处理侵犯妇女权利行为的重要性的认识；</w:t>
      </w:r>
    </w:p>
    <w:p w:rsidR="00DD2F32" w:rsidRPr="00DD2F32" w:rsidRDefault="00DD2F32" w:rsidP="00DD2F32">
      <w:pPr>
        <w:numPr>
          <w:ilvl w:val="0"/>
          <w:numId w:val="22"/>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加强司法制度，确保妇女有效诉诸司法，包括通过增加人力、技术和财政资源；</w:t>
      </w:r>
    </w:p>
    <w:p w:rsidR="00DD2F32" w:rsidRPr="00DD2F32" w:rsidRDefault="00DD2F32" w:rsidP="00DD2F32">
      <w:pPr>
        <w:numPr>
          <w:ilvl w:val="0"/>
          <w:numId w:val="22"/>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提高妇女对自身权利和维权途径的认识，包括通过加强与民间社会组织的合作；</w:t>
      </w:r>
    </w:p>
    <w:p w:rsidR="00DD2F32" w:rsidRPr="00DD2F32" w:rsidRDefault="00DD2F32" w:rsidP="00DD2F32">
      <w:pPr>
        <w:numPr>
          <w:ilvl w:val="0"/>
          <w:numId w:val="22"/>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确保为妇女提供法律援助服务，使她们能够在多元司法系统内通过聘请合格的当地支助工作人员提供这种援助来主张依据《公约》享有的权利；</w:t>
      </w:r>
    </w:p>
    <w:p w:rsidR="00DD2F32" w:rsidRPr="00DD2F32" w:rsidRDefault="00DD2F32" w:rsidP="00DD2F32">
      <w:pPr>
        <w:numPr>
          <w:ilvl w:val="0"/>
          <w:numId w:val="22"/>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以习惯法法庭为重点，通过促使缔约国的法院或行政机构审查多元司法系统所有组成部分的活动，提供防止侵犯妇女人权的保障。</w:t>
      </w:r>
    </w:p>
    <w:p w:rsidR="00DD2F32" w:rsidRPr="00DD2F32" w:rsidRDefault="00DD2F32" w:rsidP="00DD2F32">
      <w:pPr>
        <w:keepNext/>
        <w:keepLines/>
        <w:tabs>
          <w:tab w:val="right" w:pos="851"/>
        </w:tabs>
        <w:suppressAutoHyphens/>
        <w:spacing w:before="240" w:after="140"/>
        <w:ind w:left="1264" w:right="1264"/>
        <w:jc w:val="left"/>
        <w:rPr>
          <w:rFonts w:eastAsia="黑体"/>
          <w:kern w:val="0"/>
          <w:lang w:val="en-GB"/>
        </w:rPr>
      </w:pPr>
      <w:r w:rsidRPr="00DD2F32">
        <w:rPr>
          <w:rFonts w:eastAsia="黑体" w:hAnsi="宋体"/>
          <w:kern w:val="0"/>
          <w:lang w:val="en-GB"/>
        </w:rPr>
        <w:t>国家人权机构</w:t>
      </w:r>
    </w:p>
    <w:p w:rsidR="00DD2F32" w:rsidRPr="00DD2F32" w:rsidRDefault="00DD2F32" w:rsidP="00DD2F32">
      <w:pPr>
        <w:suppressAutoHyphens/>
        <w:spacing w:after="140"/>
        <w:ind w:left="1264" w:right="1264"/>
        <w:rPr>
          <w:kern w:val="0"/>
        </w:rPr>
      </w:pPr>
      <w:r w:rsidRPr="00DD2F32">
        <w:rPr>
          <w:kern w:val="0"/>
        </w:rPr>
        <w:t>18.</w:t>
      </w:r>
      <w:r w:rsidRPr="00DD2F32">
        <w:rPr>
          <w:kern w:val="0"/>
        </w:rPr>
        <w:tab/>
      </w:r>
      <w:r w:rsidRPr="00DD2F32">
        <w:rPr>
          <w:rFonts w:hAnsi="宋体"/>
          <w:kern w:val="0"/>
        </w:rPr>
        <w:t>委员会关切地注意到，缔约国尚未采取措施建立具有广泛任务授权以保护和促进妇女人权的独立国家人权机构。</w:t>
      </w:r>
    </w:p>
    <w:p w:rsidR="00DD2F32" w:rsidRPr="00DD2F32" w:rsidRDefault="00DD2F32" w:rsidP="00DD2F32">
      <w:pPr>
        <w:suppressAutoHyphens/>
        <w:spacing w:after="140"/>
        <w:ind w:left="1264" w:right="1264"/>
        <w:rPr>
          <w:rFonts w:eastAsia="黑体"/>
          <w:kern w:val="0"/>
        </w:rPr>
      </w:pPr>
      <w:r w:rsidRPr="00DD2F32">
        <w:rPr>
          <w:b/>
          <w:kern w:val="0"/>
        </w:rPr>
        <w:lastRenderedPageBreak/>
        <w:t>19.</w:t>
      </w:r>
      <w:r w:rsidRPr="00DD2F32">
        <w:rPr>
          <w:rFonts w:hint="eastAsia"/>
          <w:kern w:val="0"/>
        </w:rPr>
        <w:tab/>
      </w:r>
      <w:r w:rsidRPr="00DD2F32">
        <w:rPr>
          <w:rFonts w:eastAsia="黑体" w:hAnsi="宋体"/>
          <w:kern w:val="0"/>
        </w:rPr>
        <w:t>委员会建议缔约国根据关于国家机构地位的各项原则</w:t>
      </w:r>
      <w:r>
        <w:rPr>
          <w:rFonts w:eastAsia="黑体" w:hAnsi="宋体"/>
          <w:kern w:val="0"/>
        </w:rPr>
        <w:t>(</w:t>
      </w:r>
      <w:r w:rsidRPr="00DD2F32">
        <w:rPr>
          <w:rFonts w:eastAsia="黑体" w:hAnsi="宋体"/>
          <w:kern w:val="0"/>
        </w:rPr>
        <w:t>《巴黎原则》</w:t>
      </w:r>
      <w:r>
        <w:rPr>
          <w:rFonts w:eastAsia="黑体" w:hAnsi="宋体" w:hint="eastAsia"/>
          <w:kern w:val="0"/>
        </w:rPr>
        <w:t>)</w:t>
      </w:r>
      <w:r w:rsidRPr="00DD2F32">
        <w:rPr>
          <w:rFonts w:eastAsia="黑体" w:hAnsi="宋体"/>
          <w:kern w:val="0"/>
        </w:rPr>
        <w:t>在明确的时间框架内建立一个独立的国家人权机构，让其负责保护和促进男女实质性平等。</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提高妇女地位的国家机构</w:t>
      </w:r>
    </w:p>
    <w:p w:rsidR="00DD2F32" w:rsidRPr="00DD2F32" w:rsidRDefault="00DD2F32" w:rsidP="00DD2F32">
      <w:pPr>
        <w:suppressAutoHyphens/>
        <w:spacing w:after="140"/>
        <w:ind w:left="1264" w:right="1264"/>
        <w:rPr>
          <w:kern w:val="0"/>
        </w:rPr>
      </w:pPr>
      <w:r w:rsidRPr="00DD2F32">
        <w:rPr>
          <w:kern w:val="0"/>
        </w:rPr>
        <w:t>20.</w:t>
      </w:r>
      <w:r w:rsidRPr="00DD2F32">
        <w:rPr>
          <w:kern w:val="0"/>
        </w:rPr>
        <w:tab/>
      </w:r>
      <w:r w:rsidRPr="00DD2F32">
        <w:rPr>
          <w:rFonts w:hAnsi="宋体"/>
          <w:kern w:val="0"/>
        </w:rPr>
        <w:t>委员会注意到，在国家一级设立了全国性别平等问题服务处和妇女权益干事。但委员会关切地注意到，卫生和社会事务部下设的性别发展办公室拥有的机构能力、资源和权力极为有限。委员会还对《国家性别平等政策》草案仍未获得通过表示关切。</w:t>
      </w:r>
    </w:p>
    <w:p w:rsidR="00DD2F32" w:rsidRPr="00DD2F32" w:rsidRDefault="00DD2F32" w:rsidP="00DD2F32">
      <w:pPr>
        <w:suppressAutoHyphens/>
        <w:spacing w:after="140"/>
        <w:ind w:left="1264" w:right="1264"/>
        <w:rPr>
          <w:rFonts w:eastAsia="黑体"/>
          <w:kern w:val="0"/>
        </w:rPr>
      </w:pPr>
      <w:r w:rsidRPr="00DD2F32">
        <w:rPr>
          <w:b/>
          <w:kern w:val="0"/>
        </w:rPr>
        <w:t>21.</w:t>
      </w:r>
      <w:r w:rsidRPr="00DD2F32">
        <w:rPr>
          <w:kern w:val="0"/>
        </w:rPr>
        <w:tab/>
      </w:r>
      <w:r w:rsidRPr="00DD2F32">
        <w:rPr>
          <w:rFonts w:eastAsia="黑体" w:hAnsi="宋体"/>
          <w:kern w:val="0"/>
        </w:rPr>
        <w:t>委员会建议缔约国强化国家提高妇女地位机制，为其提供独立的任务授权以及充分的决策和协调权力，同时为切实推进实质性男女平等提供充足的人力和财政资源。委员会还建议缔约国在明确的时间框架内完成并通过《国家性别平等政策》草案，以及一项旨在解决对妇女的交叉形式歧视的国家提高妇女地位行动计划，并确保有效执行该行动计划，包括采取定期监测和评价的方式。</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暂行特别措施</w:t>
      </w:r>
    </w:p>
    <w:p w:rsidR="00DD2F32" w:rsidRPr="00DD2F32" w:rsidRDefault="00DD2F32" w:rsidP="00DD2F32">
      <w:pPr>
        <w:suppressAutoHyphens/>
        <w:spacing w:after="140"/>
        <w:ind w:left="1264" w:right="1264"/>
        <w:rPr>
          <w:color w:val="000000"/>
          <w:kern w:val="0"/>
        </w:rPr>
      </w:pPr>
      <w:r w:rsidRPr="00DD2F32">
        <w:rPr>
          <w:color w:val="000000"/>
          <w:kern w:val="0"/>
        </w:rPr>
        <w:t>22.</w:t>
      </w:r>
      <w:r w:rsidRPr="00DD2F32">
        <w:rPr>
          <w:color w:val="000000"/>
          <w:kern w:val="0"/>
        </w:rPr>
        <w:tab/>
      </w:r>
      <w:r w:rsidRPr="00DD2F32">
        <w:rPr>
          <w:rFonts w:hAnsi="宋体"/>
          <w:color w:val="000000"/>
          <w:kern w:val="0"/>
        </w:rPr>
        <w:t>委员会对缔约国普遍缺乏对《公约》第四条第</w:t>
      </w:r>
      <w:r w:rsidRPr="00DD2F32">
        <w:rPr>
          <w:color w:val="000000"/>
          <w:kern w:val="0"/>
        </w:rPr>
        <w:t>1</w:t>
      </w:r>
      <w:r w:rsidRPr="00DD2F32">
        <w:rPr>
          <w:rFonts w:hAnsi="宋体"/>
          <w:color w:val="000000"/>
          <w:kern w:val="0"/>
        </w:rPr>
        <w:t>款所述暂行特别措施的性质、范围和益处的认识表示关切，并且关切地注意到缔约国没有关于实施暂行特别措施以加快缔约国在妇女的代表性不足或者处于弱势的所有《公约》所涉领域实现实质性男女平等的战略。令委员会感到关切的是，在把暂行特别措施作为加快实现实质性平等的手段方面，缔约国缺少面向普通公众和决策者宣传其必要性的教育和提高认识方案。</w:t>
      </w:r>
    </w:p>
    <w:p w:rsidR="00DD2F32" w:rsidRPr="00DD2F32" w:rsidRDefault="00DD2F32" w:rsidP="00DD2F32">
      <w:pPr>
        <w:suppressAutoHyphens/>
        <w:spacing w:after="140"/>
        <w:ind w:left="1264" w:right="1264"/>
        <w:rPr>
          <w:rFonts w:eastAsia="黑体"/>
          <w:kern w:val="0"/>
        </w:rPr>
      </w:pPr>
      <w:r w:rsidRPr="00DD2F32">
        <w:rPr>
          <w:b/>
          <w:kern w:val="0"/>
        </w:rPr>
        <w:t>23.</w:t>
      </w:r>
      <w:r w:rsidRPr="00DD2F32">
        <w:rPr>
          <w:rFonts w:eastAsia="黑体"/>
          <w:kern w:val="0"/>
        </w:rPr>
        <w:tab/>
      </w:r>
      <w:r w:rsidRPr="00DD2F32">
        <w:rPr>
          <w:rFonts w:eastAsia="黑体" w:hAnsi="宋体"/>
          <w:kern w:val="0"/>
        </w:rPr>
        <w:t>根据委员会关于暂行特别措施的第</w:t>
      </w:r>
      <w:r w:rsidRPr="00DD2F32">
        <w:rPr>
          <w:rFonts w:eastAsia="黑体"/>
          <w:b/>
          <w:kern w:val="0"/>
        </w:rPr>
        <w:t>25</w:t>
      </w:r>
      <w:r>
        <w:rPr>
          <w:rFonts w:eastAsia="黑体" w:hAnsi="宋体"/>
          <w:kern w:val="0"/>
        </w:rPr>
        <w:t>(</w:t>
      </w:r>
      <w:r w:rsidRPr="00DD2F32">
        <w:rPr>
          <w:rFonts w:eastAsia="黑体"/>
          <w:b/>
          <w:kern w:val="0"/>
        </w:rPr>
        <w:t>2004</w:t>
      </w:r>
      <w:r>
        <w:rPr>
          <w:rFonts w:eastAsia="黑体" w:hAnsi="宋体"/>
          <w:kern w:val="0"/>
        </w:rPr>
        <w:t>)</w:t>
      </w:r>
      <w:r w:rsidRPr="00DD2F32">
        <w:rPr>
          <w:rFonts w:eastAsia="黑体" w:hAnsi="宋体"/>
          <w:kern w:val="0"/>
        </w:rPr>
        <w:t>号一般性建议，委员会建议缔约国根据《公约》第四条第</w:t>
      </w:r>
      <w:r w:rsidRPr="00DD2F32">
        <w:rPr>
          <w:rFonts w:eastAsia="黑体"/>
          <w:kern w:val="0"/>
        </w:rPr>
        <w:t>1</w:t>
      </w:r>
      <w:r w:rsidRPr="00DD2F32">
        <w:rPr>
          <w:rFonts w:eastAsia="黑体" w:hAnsi="宋体"/>
          <w:kern w:val="0"/>
        </w:rPr>
        <w:t>款对公众和全体相关官员开展与暂行特别措施概念相关的宣传，在妇女的代表性不足或处于弱势的所有《公约》所涉领域实施暂行特别措施，例如性别配额和按性别区分的方案等，并在必要时增拨资源。委员会还建议缔约国考虑太平洋地区其他国家近期在制定和实行暂行特别措施方面开展的举措。</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陈规定型观念和歧视性做法</w:t>
      </w:r>
    </w:p>
    <w:p w:rsidR="00DD2F32" w:rsidRPr="00DD2F32" w:rsidRDefault="00DD2F32" w:rsidP="00DD2F32">
      <w:pPr>
        <w:suppressAutoHyphens/>
        <w:spacing w:after="140"/>
        <w:ind w:left="1264" w:right="1264"/>
        <w:rPr>
          <w:kern w:val="0"/>
        </w:rPr>
      </w:pPr>
      <w:r w:rsidRPr="00DD2F32">
        <w:rPr>
          <w:kern w:val="0"/>
        </w:rPr>
        <w:t>24.</w:t>
      </w:r>
      <w:r w:rsidRPr="00DD2F32">
        <w:rPr>
          <w:kern w:val="0"/>
        </w:rPr>
        <w:tab/>
      </w:r>
      <w:r w:rsidRPr="00DD2F32">
        <w:rPr>
          <w:rFonts w:hAnsi="宋体"/>
          <w:kern w:val="0"/>
        </w:rPr>
        <w:t>委员会认识到缔约国的文化和传统的多样性，并确认向委员会提供的与社会变革有关的补充书面材料。但委员会感到关切的是，不良的文化规范和做法顽固存在，对妇女和男子在家庭和社会中的作用与责任的歧视性陈规定型观念根深蒂固。令委员会感到关切的是，这种陈规定型观念和做法使妇女从属于男子，过分强调妇女作为母亲和家庭主妇的作用，并且否认她们对政治生活和决策的积极参与。这导致妇女在婚姻和家庭关系中处于不利地位，致使普遍存在针对妇女的性别暴力。委员会进一步感到关切的是，缺乏持续和有系统的行动来改变或消除陈规定型观念及消极的文化态度和做法。</w:t>
      </w:r>
    </w:p>
    <w:p w:rsidR="00DD2F32" w:rsidRPr="00DD2F32" w:rsidRDefault="00DD2F32" w:rsidP="00DD2F32">
      <w:pPr>
        <w:suppressAutoHyphens/>
        <w:spacing w:after="140"/>
        <w:ind w:left="1264" w:right="1264"/>
        <w:rPr>
          <w:rFonts w:eastAsia="黑体"/>
          <w:kern w:val="0"/>
        </w:rPr>
      </w:pPr>
      <w:r w:rsidRPr="00DD2F32">
        <w:rPr>
          <w:b/>
          <w:kern w:val="0"/>
        </w:rPr>
        <w:lastRenderedPageBreak/>
        <w:t>25.</w:t>
      </w:r>
      <w:r w:rsidRPr="00DD2F32">
        <w:rPr>
          <w:rFonts w:eastAsia="黑体"/>
          <w:kern w:val="0"/>
        </w:rPr>
        <w:tab/>
      </w:r>
      <w:r w:rsidRPr="00DD2F32">
        <w:rPr>
          <w:rFonts w:eastAsia="黑体" w:hAnsi="宋体"/>
          <w:kern w:val="0"/>
        </w:rPr>
        <w:t>委员会建议缔约国依照《公约》第二条</w:t>
      </w:r>
      <w:r w:rsidRPr="00DD2F32">
        <w:rPr>
          <w:rFonts w:eastAsia="黑体" w:hAnsi="宋体" w:hint="eastAsia"/>
          <w:kern w:val="0"/>
        </w:rPr>
        <w:t>(</w:t>
      </w:r>
      <w:r w:rsidRPr="00DD2F32">
        <w:rPr>
          <w:rFonts w:eastAsia="黑体"/>
          <w:b/>
          <w:kern w:val="0"/>
        </w:rPr>
        <w:t>f)</w:t>
      </w:r>
      <w:r w:rsidRPr="00DD2F32">
        <w:rPr>
          <w:rFonts w:eastAsia="黑体" w:hAnsi="宋体"/>
          <w:kern w:val="0"/>
        </w:rPr>
        <w:t>项和第五条</w:t>
      </w:r>
      <w:r w:rsidRPr="00DD2F32">
        <w:rPr>
          <w:rFonts w:eastAsia="黑体" w:hAnsi="宋体" w:hint="eastAsia"/>
          <w:kern w:val="0"/>
        </w:rPr>
        <w:t>(</w:t>
      </w:r>
      <w:r w:rsidRPr="00DD2F32">
        <w:rPr>
          <w:rFonts w:eastAsia="黑体"/>
          <w:b/>
          <w:kern w:val="0"/>
        </w:rPr>
        <w:t>a)</w:t>
      </w:r>
      <w:r w:rsidRPr="00DD2F32">
        <w:rPr>
          <w:rFonts w:eastAsia="黑体" w:hAnsi="宋体"/>
          <w:kern w:val="0"/>
        </w:rPr>
        <w:t>项，毫不拖延地制定一项有具体目标的全面战略，以改变或消除关于妇女和男子在家庭和社会中的作用和责任的歧视性陈规定型观念。委员会还建议缔约国：</w:t>
      </w:r>
    </w:p>
    <w:p w:rsidR="00DD2F32" w:rsidRPr="00DD2F32" w:rsidRDefault="00DD2F32" w:rsidP="00DD2F32">
      <w:pPr>
        <w:numPr>
          <w:ilvl w:val="0"/>
          <w:numId w:val="21"/>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针对妇女和男子，包括传统领袖和宗教领袖，开展有关妇女权利和性别平等的教育和提高认识运动，以有效推进妇女的实质性平等，克服父权制态度以及关于妇女和男子在家庭和社会中的</w:t>
      </w:r>
      <w:r w:rsidRPr="00DD2F32">
        <w:rPr>
          <w:rFonts w:eastAsia="黑体" w:hAnsi="宋体" w:hint="eastAsia"/>
          <w:kern w:val="0"/>
        </w:rPr>
        <w:t>角色</w:t>
      </w:r>
      <w:r w:rsidRPr="00DD2F32">
        <w:rPr>
          <w:rFonts w:eastAsia="黑体" w:hAnsi="宋体"/>
          <w:kern w:val="0"/>
        </w:rPr>
        <w:t>和责任的根深蒂固的歧视性陈规定型观念；</w:t>
      </w:r>
    </w:p>
    <w:p w:rsidR="00DD2F32" w:rsidRPr="00DD2F32" w:rsidRDefault="00DD2F32" w:rsidP="00DD2F32">
      <w:pPr>
        <w:numPr>
          <w:ilvl w:val="0"/>
          <w:numId w:val="21"/>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采取持续、有系统和创新的措施，动员媒体和非政府组织参与打击歧视性陈规定型观念和社会态度，提高对男女平等的认识。</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针对妇女的性别暴力</w:t>
      </w:r>
    </w:p>
    <w:p w:rsidR="00DD2F32" w:rsidRPr="00DD2F32" w:rsidRDefault="00DD2F32" w:rsidP="00DD2F32">
      <w:pPr>
        <w:suppressAutoHyphens/>
        <w:spacing w:after="140"/>
        <w:ind w:left="1264" w:right="1264"/>
        <w:rPr>
          <w:color w:val="000000"/>
          <w:kern w:val="0"/>
        </w:rPr>
      </w:pPr>
      <w:r w:rsidRPr="00DD2F32">
        <w:rPr>
          <w:color w:val="000000"/>
          <w:kern w:val="0"/>
        </w:rPr>
        <w:t>26.</w:t>
      </w:r>
      <w:r w:rsidRPr="00DD2F32">
        <w:rPr>
          <w:color w:val="000000"/>
          <w:kern w:val="0"/>
        </w:rPr>
        <w:tab/>
      </w:r>
      <w:r w:rsidRPr="00DD2F32">
        <w:rPr>
          <w:rFonts w:hAnsi="宋体"/>
          <w:color w:val="000000"/>
          <w:kern w:val="0"/>
        </w:rPr>
        <w:t>委员会称赞科斯雷州颁行《家庭保护法》</w:t>
      </w:r>
      <w:r>
        <w:rPr>
          <w:rFonts w:hAnsi="宋体"/>
          <w:color w:val="000000"/>
          <w:kern w:val="0"/>
        </w:rPr>
        <w:t>(</w:t>
      </w:r>
      <w:r w:rsidRPr="00DD2F32">
        <w:rPr>
          <w:color w:val="000000"/>
          <w:kern w:val="0"/>
        </w:rPr>
        <w:t>2014</w:t>
      </w:r>
      <w:r w:rsidRPr="00DD2F32">
        <w:rPr>
          <w:rFonts w:hAnsi="宋体"/>
          <w:color w:val="000000"/>
          <w:kern w:val="0"/>
        </w:rPr>
        <w:t>年</w:t>
      </w:r>
      <w:r>
        <w:rPr>
          <w:rFonts w:hAnsi="宋体"/>
          <w:color w:val="000000"/>
          <w:kern w:val="0"/>
        </w:rPr>
        <w:t>)</w:t>
      </w:r>
      <w:r w:rsidRPr="00DD2F32">
        <w:rPr>
          <w:rFonts w:hAnsi="宋体"/>
          <w:color w:val="000000"/>
          <w:kern w:val="0"/>
        </w:rPr>
        <w:t>以及丘克州颁布立法将</w:t>
      </w:r>
      <w:r w:rsidRPr="00DD2F32">
        <w:rPr>
          <w:rFonts w:eastAsia="等线"/>
          <w:kern w:val="0"/>
          <w:sz w:val="20"/>
        </w:rPr>
        <w:t>同意性行为的</w:t>
      </w:r>
      <w:r w:rsidRPr="00DD2F32">
        <w:rPr>
          <w:rFonts w:hAnsi="宋体"/>
          <w:color w:val="000000"/>
          <w:kern w:val="0"/>
        </w:rPr>
        <w:t>年龄从</w:t>
      </w:r>
      <w:r w:rsidRPr="00DD2F32">
        <w:rPr>
          <w:color w:val="000000"/>
          <w:kern w:val="0"/>
        </w:rPr>
        <w:t>13</w:t>
      </w:r>
      <w:r w:rsidRPr="00DD2F32">
        <w:rPr>
          <w:rFonts w:hAnsi="宋体"/>
          <w:color w:val="000000"/>
          <w:kern w:val="0"/>
        </w:rPr>
        <w:t>岁提高到</w:t>
      </w:r>
      <w:r w:rsidRPr="00DD2F32">
        <w:rPr>
          <w:color w:val="000000"/>
          <w:kern w:val="0"/>
        </w:rPr>
        <w:t>18</w:t>
      </w:r>
      <w:r w:rsidRPr="00DD2F32">
        <w:rPr>
          <w:rFonts w:hAnsi="宋体"/>
          <w:color w:val="000000"/>
          <w:kern w:val="0"/>
        </w:rPr>
        <w:t>岁。但委员会对以下方面表示关切：</w:t>
      </w:r>
    </w:p>
    <w:p w:rsidR="00DD2F32" w:rsidRPr="00DD2F32" w:rsidRDefault="00DD2F32" w:rsidP="00DD2F32">
      <w:pPr>
        <w:numPr>
          <w:ilvl w:val="0"/>
          <w:numId w:val="20"/>
        </w:numPr>
        <w:tabs>
          <w:tab w:val="left" w:pos="431"/>
        </w:tabs>
        <w:suppressAutoHyphens/>
        <w:overflowPunct w:val="0"/>
        <w:adjustRightInd w:val="0"/>
        <w:snapToGrid w:val="0"/>
        <w:spacing w:after="140"/>
        <w:ind w:left="1264" w:right="1264" w:firstLine="437"/>
        <w:rPr>
          <w:kern w:val="0"/>
        </w:rPr>
      </w:pPr>
      <w:r w:rsidRPr="00DD2F32">
        <w:rPr>
          <w:rFonts w:hAnsi="宋体"/>
          <w:kern w:val="0"/>
        </w:rPr>
        <w:t>法律没有为各州的受害者提供充分的保护和安全，缔约国领土范围内的法律存在差异和不一致之处；</w:t>
      </w:r>
    </w:p>
    <w:p w:rsidR="00DD2F32" w:rsidRPr="00DD2F32" w:rsidRDefault="00DD2F32" w:rsidP="00DD2F32">
      <w:pPr>
        <w:numPr>
          <w:ilvl w:val="0"/>
          <w:numId w:val="20"/>
        </w:numPr>
        <w:tabs>
          <w:tab w:val="left" w:pos="431"/>
        </w:tabs>
        <w:suppressAutoHyphens/>
        <w:overflowPunct w:val="0"/>
        <w:adjustRightInd w:val="0"/>
        <w:snapToGrid w:val="0"/>
        <w:spacing w:after="140"/>
        <w:ind w:left="1264" w:right="1264" w:firstLine="437"/>
        <w:rPr>
          <w:kern w:val="0"/>
        </w:rPr>
      </w:pPr>
      <w:r w:rsidRPr="00DD2F32">
        <w:rPr>
          <w:rFonts w:hAnsi="宋体"/>
          <w:kern w:val="0"/>
        </w:rPr>
        <w:t>法律没有充分处理性暴力，包括强奸，各州在起诉强奸和性暴力案件时仍然要求提供佐证；</w:t>
      </w:r>
    </w:p>
    <w:p w:rsidR="00DD2F32" w:rsidRPr="00DD2F32" w:rsidRDefault="00DD2F32" w:rsidP="00DD2F32">
      <w:pPr>
        <w:numPr>
          <w:ilvl w:val="0"/>
          <w:numId w:val="20"/>
        </w:numPr>
        <w:tabs>
          <w:tab w:val="left" w:pos="431"/>
        </w:tabs>
        <w:suppressAutoHyphens/>
        <w:overflowPunct w:val="0"/>
        <w:adjustRightInd w:val="0"/>
        <w:snapToGrid w:val="0"/>
        <w:spacing w:after="140"/>
        <w:ind w:left="1264" w:right="1264" w:firstLine="437"/>
        <w:rPr>
          <w:kern w:val="0"/>
        </w:rPr>
      </w:pPr>
      <w:r w:rsidRPr="00DD2F32">
        <w:rPr>
          <w:rFonts w:hAnsi="宋体"/>
          <w:kern w:val="0"/>
        </w:rPr>
        <w:t>缔约国普遍存在针对妇女的性别暴力，特别是家庭暴力，表明社会对这种暴力的接受度高；</w:t>
      </w:r>
    </w:p>
    <w:p w:rsidR="00DD2F32" w:rsidRPr="00DD2F32" w:rsidRDefault="00DD2F32" w:rsidP="00DD2F32">
      <w:pPr>
        <w:numPr>
          <w:ilvl w:val="0"/>
          <w:numId w:val="20"/>
        </w:numPr>
        <w:tabs>
          <w:tab w:val="left" w:pos="431"/>
        </w:tabs>
        <w:suppressAutoHyphens/>
        <w:overflowPunct w:val="0"/>
        <w:adjustRightInd w:val="0"/>
        <w:snapToGrid w:val="0"/>
        <w:spacing w:after="140"/>
        <w:ind w:left="1264" w:right="1264" w:firstLine="437"/>
        <w:rPr>
          <w:kern w:val="0"/>
        </w:rPr>
      </w:pPr>
      <w:r w:rsidRPr="00DD2F32">
        <w:rPr>
          <w:rFonts w:hAnsi="宋体"/>
          <w:kern w:val="0"/>
        </w:rPr>
        <w:t>对包括家庭暴力和性暴力在内的此类暴力行为的施害者缺乏起诉和定罪</w:t>
      </w:r>
      <w:r w:rsidRPr="00DD2F32">
        <w:rPr>
          <w:rFonts w:hAnsi="宋体" w:hint="eastAsia"/>
          <w:kern w:val="0"/>
        </w:rPr>
        <w:t>，</w:t>
      </w:r>
      <w:r w:rsidRPr="00DD2F32">
        <w:rPr>
          <w:rFonts w:hAnsi="宋体"/>
          <w:kern w:val="0"/>
        </w:rPr>
        <w:t>妇女由于担心蒙受社会羞辱而不愿举报暴力案件</w:t>
      </w:r>
      <w:r w:rsidRPr="00DD2F32">
        <w:rPr>
          <w:rFonts w:hAnsi="宋体" w:hint="eastAsia"/>
          <w:kern w:val="0"/>
        </w:rPr>
        <w:t>，</w:t>
      </w:r>
      <w:r w:rsidRPr="00DD2F32">
        <w:rPr>
          <w:rFonts w:hAnsi="宋体"/>
          <w:kern w:val="0"/>
        </w:rPr>
        <w:t>法律诉讼中的歧视性举证要求</w:t>
      </w:r>
      <w:r w:rsidRPr="00DD2F32">
        <w:rPr>
          <w:rFonts w:hAnsi="宋体" w:hint="eastAsia"/>
          <w:kern w:val="0"/>
        </w:rPr>
        <w:t>，</w:t>
      </w:r>
      <w:r w:rsidRPr="00DD2F32">
        <w:rPr>
          <w:rFonts w:hAnsi="宋体"/>
          <w:kern w:val="0"/>
        </w:rPr>
        <w:t>有时倾向于采用宽恕与和解的习惯性做法，而不是去法院起诉；</w:t>
      </w:r>
    </w:p>
    <w:p w:rsidR="00DD2F32" w:rsidRPr="00DD2F32" w:rsidRDefault="00DD2F32" w:rsidP="00DD2F32">
      <w:pPr>
        <w:numPr>
          <w:ilvl w:val="0"/>
          <w:numId w:val="20"/>
        </w:numPr>
        <w:tabs>
          <w:tab w:val="left" w:pos="431"/>
        </w:tabs>
        <w:suppressAutoHyphens/>
        <w:overflowPunct w:val="0"/>
        <w:adjustRightInd w:val="0"/>
        <w:snapToGrid w:val="0"/>
        <w:spacing w:after="140"/>
        <w:ind w:left="1264" w:right="1264" w:firstLine="437"/>
        <w:rPr>
          <w:kern w:val="0"/>
        </w:rPr>
      </w:pPr>
      <w:r w:rsidRPr="00DD2F32">
        <w:rPr>
          <w:rFonts w:hAnsi="宋体"/>
          <w:kern w:val="0"/>
        </w:rPr>
        <w:t>没有适当的庇护所或服务，包括为遭受性别暴力的妇女提供的医疗、心理咨询和法律援助。</w:t>
      </w:r>
    </w:p>
    <w:p w:rsidR="00DD2F32" w:rsidRPr="00DD2F32" w:rsidRDefault="00DD2F32" w:rsidP="00DD2F32">
      <w:pPr>
        <w:suppressAutoHyphens/>
        <w:spacing w:after="140"/>
        <w:ind w:left="1264" w:right="1264"/>
        <w:rPr>
          <w:rFonts w:eastAsia="黑体"/>
          <w:kern w:val="0"/>
        </w:rPr>
      </w:pPr>
      <w:r w:rsidRPr="00DD2F32">
        <w:rPr>
          <w:b/>
          <w:kern w:val="0"/>
        </w:rPr>
        <w:t>27.</w:t>
      </w:r>
      <w:r w:rsidRPr="00DD2F32">
        <w:rPr>
          <w:rFonts w:eastAsia="黑体"/>
          <w:kern w:val="0"/>
        </w:rPr>
        <w:tab/>
      </w:r>
      <w:r w:rsidRPr="00DD2F32">
        <w:rPr>
          <w:rFonts w:eastAsia="黑体" w:hAnsi="宋体"/>
          <w:kern w:val="0"/>
        </w:rPr>
        <w:t>根据委员会关于暴力侵害妇女问题的第</w:t>
      </w:r>
      <w:r w:rsidRPr="00DD2F32">
        <w:rPr>
          <w:rFonts w:eastAsia="黑体"/>
          <w:b/>
          <w:kern w:val="0"/>
        </w:rPr>
        <w:t>19</w:t>
      </w:r>
      <w:r>
        <w:rPr>
          <w:rFonts w:eastAsia="黑体" w:hAnsi="宋体"/>
          <w:kern w:val="0"/>
        </w:rPr>
        <w:t>(</w:t>
      </w:r>
      <w:r w:rsidRPr="00DD2F32">
        <w:rPr>
          <w:rFonts w:eastAsia="黑体"/>
          <w:b/>
          <w:kern w:val="0"/>
        </w:rPr>
        <w:t>1992</w:t>
      </w:r>
      <w:r>
        <w:rPr>
          <w:rFonts w:eastAsia="黑体" w:hAnsi="宋体"/>
          <w:kern w:val="0"/>
        </w:rPr>
        <w:t>)</w:t>
      </w:r>
      <w:r w:rsidRPr="00DD2F32">
        <w:rPr>
          <w:rFonts w:eastAsia="黑体" w:hAnsi="宋体"/>
          <w:kern w:val="0"/>
        </w:rPr>
        <w:t>号一般性建议，委员会建议缔约国高度重视采取全面措施，处理一切形式侵害妇女和女童的性别暴力。委员会还建议缔约国：</w:t>
      </w:r>
    </w:p>
    <w:p w:rsidR="00DD2F32" w:rsidRPr="00DD2F32" w:rsidRDefault="00DD2F32" w:rsidP="00DD2F32">
      <w:pPr>
        <w:numPr>
          <w:ilvl w:val="0"/>
          <w:numId w:val="19"/>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在国家、州两级通过立法，将包括家庭暴力在内的一切形式侵害妇女的性别暴力定为刑事犯罪，扩大性犯罪的范围，审查判刑政策并废除强奸案中的佐证和抵抗证明等证据要求，并将其领土范围内的性行为合法年龄从</w:t>
      </w:r>
      <w:r w:rsidRPr="00DD2F32">
        <w:rPr>
          <w:rFonts w:eastAsia="黑体"/>
          <w:b/>
          <w:kern w:val="0"/>
        </w:rPr>
        <w:t>13</w:t>
      </w:r>
      <w:r w:rsidRPr="00DD2F32">
        <w:rPr>
          <w:rFonts w:eastAsia="黑体" w:hAnsi="宋体"/>
          <w:kern w:val="0"/>
        </w:rPr>
        <w:t>岁提高到</w:t>
      </w:r>
      <w:r w:rsidRPr="00DD2F32">
        <w:rPr>
          <w:rFonts w:eastAsia="黑体"/>
          <w:b/>
          <w:kern w:val="0"/>
        </w:rPr>
        <w:t>18</w:t>
      </w:r>
      <w:r w:rsidRPr="00DD2F32">
        <w:rPr>
          <w:rFonts w:eastAsia="黑体" w:hAnsi="宋体"/>
          <w:kern w:val="0"/>
        </w:rPr>
        <w:t>岁；</w:t>
      </w:r>
    </w:p>
    <w:p w:rsidR="00DD2F32" w:rsidRPr="00DD2F32" w:rsidRDefault="00DD2F32" w:rsidP="00DD2F32">
      <w:pPr>
        <w:numPr>
          <w:ilvl w:val="0"/>
          <w:numId w:val="19"/>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制定一项全面的国家政策，消除对妇女的性别暴力，包括家庭暴力，并提供充分的执行资源；</w:t>
      </w:r>
    </w:p>
    <w:p w:rsidR="00DD2F32" w:rsidRPr="00DD2F32" w:rsidRDefault="00DD2F32" w:rsidP="00DD2F32">
      <w:pPr>
        <w:numPr>
          <w:ilvl w:val="0"/>
          <w:numId w:val="19"/>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加大对法官、检察官、执法人员、法律执业人员、传统领导人、保健工作者、社会工作者和公众的教育和提高认识工作的力度，使其认识到一切形式的暴力侵害妇女行为都是不可接受的，同时消除对受害者的污名化；</w:t>
      </w:r>
    </w:p>
    <w:p w:rsidR="00DD2F32" w:rsidRPr="00DD2F32" w:rsidRDefault="00DD2F32" w:rsidP="00DD2F32">
      <w:pPr>
        <w:numPr>
          <w:ilvl w:val="0"/>
          <w:numId w:val="19"/>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lastRenderedPageBreak/>
        <w:t>加强对妇女的司法救助，鼓励向当局举报暴力侵害妇女的案件，确保受害者立即得到救济和保护，确保法庭保证不将宽恕与和解程序当作驳回起诉的依据，特别是在家庭暴力和性犯罪的情况下；</w:t>
      </w:r>
    </w:p>
    <w:p w:rsidR="00DD2F32" w:rsidRPr="00DD2F32" w:rsidRDefault="00DD2F32" w:rsidP="00DD2F32">
      <w:pPr>
        <w:numPr>
          <w:ilvl w:val="0"/>
          <w:numId w:val="19"/>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增加为家庭暴力受害者提供的庇护所的数量以及支助服务，包括为受害者提供的医疗、心理咨询和法律援助；</w:t>
      </w:r>
    </w:p>
    <w:p w:rsidR="00DD2F32" w:rsidRPr="00DD2F32" w:rsidRDefault="00DD2F32" w:rsidP="00DD2F32">
      <w:pPr>
        <w:numPr>
          <w:ilvl w:val="0"/>
          <w:numId w:val="19"/>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在必要时就上述问题寻求国际援助和技术援助。</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贩卖人口及意图营利使人卖淫</w:t>
      </w:r>
    </w:p>
    <w:p w:rsidR="00DD2F32" w:rsidRPr="00DD2F32" w:rsidRDefault="00DD2F32" w:rsidP="00DD2F32">
      <w:pPr>
        <w:suppressAutoHyphens/>
        <w:spacing w:after="140"/>
        <w:ind w:left="1264" w:right="1264"/>
        <w:rPr>
          <w:kern w:val="0"/>
        </w:rPr>
      </w:pPr>
      <w:r w:rsidRPr="00DD2F32">
        <w:rPr>
          <w:kern w:val="0"/>
        </w:rPr>
        <w:t>28.</w:t>
      </w:r>
      <w:r w:rsidRPr="00DD2F32">
        <w:rPr>
          <w:kern w:val="0"/>
        </w:rPr>
        <w:tab/>
      </w:r>
      <w:r w:rsidRPr="00DD2F32">
        <w:rPr>
          <w:rFonts w:hAnsi="宋体"/>
          <w:kern w:val="0"/>
        </w:rPr>
        <w:t>委员会赞扬缔约国在国家和州两级颁行打击贩卖人口的法律以及通过一项关于贩卖人口问题的国家政策。但令委员会感到关切的是，缺乏有关贩卖妇女和女童及意图营利使其卖淫的程度的信息，特别是在有外国渔船停靠的沿海社区。委员会还注意到，没有提供资料说明采取了哪些措施提高公众对贩卖妇女及意图营利使其卖淫行为的犯罪性质的认识。</w:t>
      </w:r>
    </w:p>
    <w:p w:rsidR="00DD2F32" w:rsidRPr="00DD2F32" w:rsidRDefault="00DD2F32" w:rsidP="00DD2F32">
      <w:pPr>
        <w:suppressAutoHyphens/>
        <w:spacing w:after="140"/>
        <w:ind w:left="1264" w:right="1264"/>
        <w:rPr>
          <w:rFonts w:eastAsia="黑体"/>
          <w:kern w:val="0"/>
        </w:rPr>
      </w:pPr>
      <w:r w:rsidRPr="00DD2F32">
        <w:rPr>
          <w:b/>
          <w:kern w:val="0"/>
        </w:rPr>
        <w:t>29.</w:t>
      </w:r>
      <w:r w:rsidRPr="00DD2F32">
        <w:rPr>
          <w:rFonts w:eastAsia="黑体"/>
          <w:kern w:val="0"/>
        </w:rPr>
        <w:tab/>
      </w:r>
      <w:r w:rsidRPr="00DD2F32">
        <w:rPr>
          <w:rFonts w:eastAsia="黑体" w:hAnsi="宋体"/>
          <w:kern w:val="0"/>
        </w:rPr>
        <w:t>委员会提请注意可持续发展目标的具体目标</w:t>
      </w:r>
      <w:r w:rsidRPr="00DD2F32">
        <w:rPr>
          <w:rFonts w:eastAsia="黑体"/>
          <w:b/>
          <w:kern w:val="0"/>
        </w:rPr>
        <w:t>5.2</w:t>
      </w:r>
      <w:r w:rsidRPr="00DD2F32">
        <w:rPr>
          <w:rFonts w:eastAsia="黑体" w:hAnsi="宋体"/>
          <w:kern w:val="0"/>
        </w:rPr>
        <w:t>，即消除公共和私人领域对所有妇女和女童的一切形式的暴力行为，包括贩运、性剥削和其他类型的剥削，委员会建议缔约国：</w:t>
      </w:r>
    </w:p>
    <w:p w:rsidR="00DD2F32" w:rsidRPr="00DD2F32" w:rsidRDefault="00DD2F32" w:rsidP="00DD2F32">
      <w:pPr>
        <w:numPr>
          <w:ilvl w:val="0"/>
          <w:numId w:val="1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在下次报告中列入相关信息和数据，介绍贩卖妇女和女童并意图营利使其卖淫的普遍程度，并为此目的开展研究和调查，在必要时寻求国际援助；</w:t>
      </w:r>
    </w:p>
    <w:p w:rsidR="00DD2F32" w:rsidRPr="00DD2F32" w:rsidRDefault="00DD2F32" w:rsidP="00DD2F32">
      <w:pPr>
        <w:numPr>
          <w:ilvl w:val="0"/>
          <w:numId w:val="1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保护被贩卖和从事卖淫的妇女免受剥削，包括为受害者提供援助以及调查、起诉和充分惩罚施害者；</w:t>
      </w:r>
    </w:p>
    <w:p w:rsidR="00DD2F32" w:rsidRPr="00DD2F32" w:rsidRDefault="00DD2F32" w:rsidP="00DD2F32">
      <w:pPr>
        <w:numPr>
          <w:ilvl w:val="0"/>
          <w:numId w:val="1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解决贩卖人口和意图营利使人卖淫的根本原因，例如贫穷，斩断外国捕鱼业与贩卖妇女及意图营利使其卖淫之间的联系，包括减少对卖淫的需求；</w:t>
      </w:r>
    </w:p>
    <w:p w:rsidR="00DD2F32" w:rsidRPr="00DD2F32" w:rsidRDefault="00DD2F32" w:rsidP="00DD2F32">
      <w:pPr>
        <w:numPr>
          <w:ilvl w:val="0"/>
          <w:numId w:val="1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制定提供替代就业机会的方案，并为希望从良的妇女提供退出方案。</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参与政治和公共生活</w:t>
      </w:r>
    </w:p>
    <w:p w:rsidR="00DD2F32" w:rsidRPr="00DD2F32" w:rsidRDefault="00DD2F32" w:rsidP="00DD2F32">
      <w:pPr>
        <w:suppressAutoHyphens/>
        <w:spacing w:after="140"/>
        <w:ind w:left="1264" w:right="1264"/>
        <w:rPr>
          <w:kern w:val="0"/>
        </w:rPr>
      </w:pPr>
      <w:r w:rsidRPr="00DD2F32">
        <w:rPr>
          <w:kern w:val="0"/>
        </w:rPr>
        <w:t>30.</w:t>
      </w:r>
      <w:r w:rsidRPr="00DD2F32">
        <w:rPr>
          <w:kern w:val="0"/>
        </w:rPr>
        <w:tab/>
      </w:r>
      <w:r w:rsidRPr="00DD2F32">
        <w:rPr>
          <w:rFonts w:hAnsi="宋体"/>
          <w:kern w:val="0"/>
        </w:rPr>
        <w:t>委员会注意到妇女在缔约国公共生活中的作用与日俱增，但委员会感到关切的是，妇女在所有领域，特别是在高级别的政治和公共生活领域尤其是议会中的代表性仍然严重不足甚至没有。委员会还关切地注意到，普遍存在的歧视性陈规定型观念成为妇女充分参与政治生活的障碍，导致妇女在取得决策职位之后被认为应当听从男同事的命令。委员会还感到关切的是，没有国家立法或政策来促进妇女在公务员制度中的平等代表权。</w:t>
      </w:r>
    </w:p>
    <w:p w:rsidR="00DD2F32" w:rsidRPr="00DD2F32" w:rsidRDefault="00DD2F32" w:rsidP="00DD2F32">
      <w:pPr>
        <w:suppressAutoHyphens/>
        <w:spacing w:after="140"/>
        <w:ind w:left="1264" w:right="1264"/>
        <w:rPr>
          <w:rFonts w:eastAsia="黑体"/>
          <w:kern w:val="0"/>
        </w:rPr>
      </w:pPr>
      <w:r w:rsidRPr="00DD2F32">
        <w:rPr>
          <w:kern w:val="0"/>
          <w:lang w:eastAsia="en-US"/>
        </w:rPr>
        <w:t>31.</w:t>
      </w:r>
      <w:r w:rsidRPr="00DD2F32">
        <w:rPr>
          <w:rFonts w:eastAsia="黑体"/>
          <w:kern w:val="0"/>
          <w:lang w:eastAsia="en-US"/>
        </w:rPr>
        <w:tab/>
      </w:r>
      <w:r w:rsidRPr="00DD2F32">
        <w:rPr>
          <w:rFonts w:eastAsia="黑体" w:hAnsi="宋体"/>
          <w:kern w:val="0"/>
        </w:rPr>
        <w:t>委员会建议缔约国：</w:t>
      </w:r>
    </w:p>
    <w:p w:rsidR="00DD2F32" w:rsidRPr="00DD2F32" w:rsidRDefault="00DD2F32" w:rsidP="00DD2F32">
      <w:pPr>
        <w:numPr>
          <w:ilvl w:val="0"/>
          <w:numId w:val="17"/>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采取一切适当措施，加强妇女在各级决策机构包括在议会中的代表权，特别是采取符合《公约》第四条第</w:t>
      </w:r>
      <w:r w:rsidRPr="00DD2F32">
        <w:rPr>
          <w:rFonts w:eastAsia="黑体"/>
          <w:b/>
          <w:kern w:val="0"/>
        </w:rPr>
        <w:t>1</w:t>
      </w:r>
      <w:r w:rsidRPr="00DD2F32">
        <w:rPr>
          <w:rFonts w:eastAsia="黑体" w:hAnsi="宋体"/>
          <w:kern w:val="0"/>
        </w:rPr>
        <w:t>款、委员会关于妇女参与政治和公共生活的第</w:t>
      </w:r>
      <w:r w:rsidRPr="00DD2F32">
        <w:rPr>
          <w:rFonts w:eastAsia="黑体"/>
          <w:b/>
          <w:kern w:val="0"/>
        </w:rPr>
        <w:t>23</w:t>
      </w:r>
      <w:r>
        <w:rPr>
          <w:rFonts w:eastAsia="黑体" w:hAnsi="宋体"/>
          <w:kern w:val="0"/>
        </w:rPr>
        <w:t>(</w:t>
      </w:r>
      <w:r w:rsidRPr="00DD2F32">
        <w:rPr>
          <w:rFonts w:eastAsia="黑体"/>
          <w:b/>
          <w:kern w:val="0"/>
        </w:rPr>
        <w:t>1997</w:t>
      </w:r>
      <w:r>
        <w:rPr>
          <w:rFonts w:eastAsia="黑体" w:hAnsi="宋体"/>
          <w:kern w:val="0"/>
        </w:rPr>
        <w:t>)</w:t>
      </w:r>
      <w:r w:rsidRPr="00DD2F32">
        <w:rPr>
          <w:rFonts w:eastAsia="黑体" w:hAnsi="宋体"/>
          <w:kern w:val="0"/>
        </w:rPr>
        <w:t>号一般性建议和关于暂行特别措施的第</w:t>
      </w:r>
      <w:r w:rsidRPr="00DD2F32">
        <w:rPr>
          <w:rFonts w:eastAsia="黑体"/>
          <w:b/>
          <w:kern w:val="0"/>
        </w:rPr>
        <w:t>25</w:t>
      </w:r>
      <w:r>
        <w:rPr>
          <w:rFonts w:eastAsia="黑体" w:hAnsi="宋体"/>
          <w:kern w:val="0"/>
        </w:rPr>
        <w:t>(</w:t>
      </w:r>
      <w:r w:rsidRPr="00DD2F32">
        <w:rPr>
          <w:rFonts w:eastAsia="黑体"/>
          <w:b/>
          <w:kern w:val="0"/>
        </w:rPr>
        <w:t>2004</w:t>
      </w:r>
      <w:r>
        <w:rPr>
          <w:rFonts w:eastAsia="黑体" w:hAnsi="宋体"/>
          <w:kern w:val="0"/>
        </w:rPr>
        <w:t>)</w:t>
      </w:r>
      <w:r w:rsidRPr="00DD2F32">
        <w:rPr>
          <w:rFonts w:eastAsia="黑体" w:hAnsi="宋体"/>
          <w:kern w:val="0"/>
        </w:rPr>
        <w:t>号一般性建议</w:t>
      </w:r>
      <w:r w:rsidRPr="00DD2F32">
        <w:rPr>
          <w:rFonts w:eastAsia="黑体" w:hAnsi="宋体"/>
          <w:kern w:val="0"/>
        </w:rPr>
        <w:lastRenderedPageBreak/>
        <w:t>的暂行特别措施，并确定促进妇女在所有公共生活领域的代表性的具体目标和时间表；</w:t>
      </w:r>
    </w:p>
    <w:p w:rsidR="00DD2F32" w:rsidRPr="00DD2F32" w:rsidRDefault="00DD2F32" w:rsidP="00DD2F32">
      <w:pPr>
        <w:numPr>
          <w:ilvl w:val="0"/>
          <w:numId w:val="17"/>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增强妇女权能，以便其有效参与政治和公共生活并在各级治理机构包括在地方一级担任领导职务，同时考虑其他国家</w:t>
      </w:r>
      <w:r>
        <w:rPr>
          <w:rFonts w:eastAsia="黑体" w:hAnsi="宋体"/>
          <w:kern w:val="0"/>
        </w:rPr>
        <w:t>(</w:t>
      </w:r>
      <w:r w:rsidRPr="00DD2F32">
        <w:rPr>
          <w:rFonts w:eastAsia="黑体" w:hAnsi="宋体"/>
          <w:kern w:val="0"/>
        </w:rPr>
        <w:t>特别是该区域其他国家</w:t>
      </w:r>
      <w:r>
        <w:rPr>
          <w:rFonts w:eastAsia="黑体" w:hAnsi="宋体"/>
          <w:kern w:val="0"/>
        </w:rPr>
        <w:t>)</w:t>
      </w:r>
      <w:r w:rsidRPr="00DD2F32">
        <w:rPr>
          <w:rFonts w:eastAsia="黑体" w:hAnsi="宋体"/>
          <w:kern w:val="0"/>
        </w:rPr>
        <w:t>在这一领域促进性别平等的良好做法；</w:t>
      </w:r>
    </w:p>
    <w:p w:rsidR="00DD2F32" w:rsidRPr="00DD2F32" w:rsidRDefault="00DD2F32" w:rsidP="00DD2F32">
      <w:pPr>
        <w:numPr>
          <w:ilvl w:val="0"/>
          <w:numId w:val="17"/>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加大努力，解决妨碍妇女参政的因素，并作为优先事项采取诸如对性别问题有敏感认识的培训、能力建设和定向招聘妇女等积极的政策措施，同时实行暂行特别措施，包括制裁不遵守行为的配额制，以增加在司法机构、政府行政部门以及公务和外交部门担任高级职务和管理职务的妇女人数；</w:t>
      </w:r>
    </w:p>
    <w:p w:rsidR="00DD2F32" w:rsidRPr="00DD2F32" w:rsidRDefault="00DD2F32" w:rsidP="00DD2F32">
      <w:pPr>
        <w:numPr>
          <w:ilvl w:val="0"/>
          <w:numId w:val="17"/>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对政治家、社区领袖和包括妇女在内的公众开展与妇女充分和平等地参与领导和决策对整个社会的重要性有关的教育和提高认识活动。</w:t>
      </w:r>
    </w:p>
    <w:p w:rsidR="00DD2F32" w:rsidRPr="00DD2F32" w:rsidRDefault="00DD2F32" w:rsidP="00DD2F32">
      <w:pPr>
        <w:keepNext/>
        <w:keepLines/>
        <w:tabs>
          <w:tab w:val="right" w:pos="851"/>
        </w:tabs>
        <w:suppressAutoHyphens/>
        <w:spacing w:before="240" w:after="140"/>
        <w:ind w:left="1264" w:right="1264"/>
        <w:jc w:val="left"/>
        <w:rPr>
          <w:rFonts w:eastAsia="黑体"/>
          <w:kern w:val="0"/>
          <w:lang w:val="en-GB"/>
        </w:rPr>
      </w:pPr>
      <w:r w:rsidRPr="00DD2F32">
        <w:rPr>
          <w:rFonts w:eastAsia="黑体" w:hAnsi="宋体"/>
          <w:kern w:val="0"/>
          <w:lang w:val="en-GB"/>
        </w:rPr>
        <w:t>教育</w:t>
      </w:r>
    </w:p>
    <w:p w:rsidR="00DD2F32" w:rsidRPr="00DD2F32" w:rsidRDefault="00DD2F32" w:rsidP="00DD2F32">
      <w:pPr>
        <w:suppressAutoHyphens/>
        <w:spacing w:after="140"/>
        <w:ind w:left="1264" w:right="1264"/>
        <w:rPr>
          <w:kern w:val="0"/>
        </w:rPr>
      </w:pPr>
      <w:r w:rsidRPr="00DD2F32">
        <w:rPr>
          <w:kern w:val="0"/>
        </w:rPr>
        <w:t>32.</w:t>
      </w:r>
      <w:r w:rsidRPr="00DD2F32">
        <w:rPr>
          <w:kern w:val="0"/>
        </w:rPr>
        <w:tab/>
      </w:r>
      <w:r w:rsidRPr="00DD2F32">
        <w:rPr>
          <w:rFonts w:hAnsi="宋体"/>
          <w:kern w:val="0"/>
        </w:rPr>
        <w:t>委员会称赞缔约国在小学实现了性别均等。但委员会对性别平等原则尚未纳入更高级别的课程表示关切，特别是高等教育课程。委员会关切地注意到，没有法律或暂行特别措施来推动女童和妇女教育并促进妇女担任教育机构的领导职务。委员会还对以下方面表示关切：</w:t>
      </w:r>
    </w:p>
    <w:p w:rsidR="00DD2F32" w:rsidRPr="00DD2F32" w:rsidRDefault="00DD2F32" w:rsidP="00DD2F32">
      <w:pPr>
        <w:numPr>
          <w:ilvl w:val="0"/>
          <w:numId w:val="16"/>
        </w:numPr>
        <w:tabs>
          <w:tab w:val="left" w:pos="431"/>
        </w:tabs>
        <w:suppressAutoHyphens/>
        <w:overflowPunct w:val="0"/>
        <w:adjustRightInd w:val="0"/>
        <w:snapToGrid w:val="0"/>
        <w:spacing w:after="140"/>
        <w:ind w:left="1264" w:right="1264" w:firstLine="437"/>
        <w:rPr>
          <w:kern w:val="0"/>
        </w:rPr>
      </w:pPr>
      <w:r w:rsidRPr="00DD2F32">
        <w:rPr>
          <w:rFonts w:hAnsi="宋体"/>
          <w:kern w:val="0"/>
        </w:rPr>
        <w:t>缔约国的未成年少女因怀孕而导致辍学和被私立学校开除的人数极多；</w:t>
      </w:r>
    </w:p>
    <w:p w:rsidR="00DD2F32" w:rsidRPr="00DD2F32" w:rsidRDefault="00DD2F32" w:rsidP="00DD2F32">
      <w:pPr>
        <w:numPr>
          <w:ilvl w:val="0"/>
          <w:numId w:val="16"/>
        </w:numPr>
        <w:tabs>
          <w:tab w:val="left" w:pos="431"/>
        </w:tabs>
        <w:suppressAutoHyphens/>
        <w:overflowPunct w:val="0"/>
        <w:adjustRightInd w:val="0"/>
        <w:snapToGrid w:val="0"/>
        <w:spacing w:after="140"/>
        <w:ind w:left="1264" w:right="1264" w:firstLine="437"/>
        <w:rPr>
          <w:kern w:val="0"/>
        </w:rPr>
      </w:pPr>
      <w:r w:rsidRPr="00DD2F32">
        <w:rPr>
          <w:rFonts w:hAnsi="宋体"/>
          <w:kern w:val="0"/>
        </w:rPr>
        <w:t>各级学校的课程中缺乏关于适龄性健康和生殖健康教育的信息；</w:t>
      </w:r>
    </w:p>
    <w:p w:rsidR="00DD2F32" w:rsidRPr="00DD2F32" w:rsidRDefault="00DD2F32" w:rsidP="00DD2F32">
      <w:pPr>
        <w:numPr>
          <w:ilvl w:val="0"/>
          <w:numId w:val="16"/>
        </w:numPr>
        <w:tabs>
          <w:tab w:val="left" w:pos="431"/>
        </w:tabs>
        <w:suppressAutoHyphens/>
        <w:overflowPunct w:val="0"/>
        <w:adjustRightInd w:val="0"/>
        <w:snapToGrid w:val="0"/>
        <w:spacing w:after="140"/>
        <w:ind w:left="1264" w:right="1264" w:firstLine="437"/>
        <w:rPr>
          <w:kern w:val="0"/>
        </w:rPr>
      </w:pPr>
      <w:r w:rsidRPr="00DD2F32">
        <w:rPr>
          <w:rFonts w:hAnsi="宋体"/>
          <w:kern w:val="0"/>
        </w:rPr>
        <w:t>残疾女童缺乏平等的机会，因为害怕遭受侮辱或偏见，以及缺乏无障碍的校舍和交通工具，她们往往被剥夺了获得优质教育的机会；</w:t>
      </w:r>
    </w:p>
    <w:p w:rsidR="00DD2F32" w:rsidRPr="00DD2F32" w:rsidRDefault="00DD2F32" w:rsidP="00DD2F32">
      <w:pPr>
        <w:numPr>
          <w:ilvl w:val="0"/>
          <w:numId w:val="16"/>
        </w:numPr>
        <w:tabs>
          <w:tab w:val="left" w:pos="431"/>
        </w:tabs>
        <w:suppressAutoHyphens/>
        <w:overflowPunct w:val="0"/>
        <w:adjustRightInd w:val="0"/>
        <w:snapToGrid w:val="0"/>
        <w:spacing w:after="140"/>
        <w:ind w:left="1264" w:right="1264" w:firstLine="437"/>
        <w:rPr>
          <w:kern w:val="0"/>
        </w:rPr>
      </w:pPr>
      <w:r w:rsidRPr="00DD2F32">
        <w:rPr>
          <w:rFonts w:hAnsi="宋体"/>
          <w:kern w:val="0"/>
        </w:rPr>
        <w:t>因设施不足或人手有限，科斯雷州教育部可能会让学生推迟一年入学。</w:t>
      </w:r>
    </w:p>
    <w:p w:rsidR="00DD2F32" w:rsidRPr="00DD2F32" w:rsidRDefault="00DD2F32" w:rsidP="00DD2F32">
      <w:pPr>
        <w:suppressAutoHyphens/>
        <w:spacing w:after="140"/>
        <w:ind w:left="1264" w:right="1264"/>
        <w:rPr>
          <w:rFonts w:eastAsia="黑体"/>
          <w:kern w:val="0"/>
        </w:rPr>
      </w:pPr>
      <w:r w:rsidRPr="00DD2F32">
        <w:rPr>
          <w:b/>
          <w:kern w:val="0"/>
        </w:rPr>
        <w:t>33.</w:t>
      </w:r>
      <w:r w:rsidRPr="00DD2F32">
        <w:rPr>
          <w:rFonts w:eastAsia="黑体"/>
          <w:kern w:val="0"/>
        </w:rPr>
        <w:tab/>
      </w:r>
      <w:r w:rsidRPr="00DD2F32">
        <w:rPr>
          <w:rFonts w:eastAsia="黑体" w:hAnsi="宋体"/>
          <w:kern w:val="0"/>
        </w:rPr>
        <w:t>根据可持续发展目标的具体目标</w:t>
      </w:r>
      <w:r w:rsidRPr="00DD2F32">
        <w:rPr>
          <w:rFonts w:eastAsia="黑体"/>
          <w:b/>
          <w:kern w:val="0"/>
        </w:rPr>
        <w:t>4.5</w:t>
      </w:r>
      <w:r w:rsidRPr="00DD2F32">
        <w:rPr>
          <w:rFonts w:eastAsia="黑体" w:hAnsi="宋体"/>
          <w:kern w:val="0"/>
        </w:rPr>
        <w:t>，即消除教育中的性别差距，委员会建议缔约国继续努力，确保女童平等获取各级教育，包括高等教育。委员会还建议缔约国：</w:t>
      </w:r>
    </w:p>
    <w:p w:rsidR="00DD2F32" w:rsidRPr="00DD2F32" w:rsidRDefault="00DD2F32" w:rsidP="00DD2F32">
      <w:pPr>
        <w:numPr>
          <w:ilvl w:val="0"/>
          <w:numId w:val="15"/>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确保各级教育中的妇女和女童的入学率、留住率和结业率，包括采取有效措施鼓励妇女和女童接受高等教育，并提高对女童和妇女的奖学金和赠款，增加为其家庭提供的奖励和津贴；</w:t>
      </w:r>
    </w:p>
    <w:p w:rsidR="00DD2F32" w:rsidRPr="00DD2F32" w:rsidRDefault="00DD2F32" w:rsidP="00DD2F32">
      <w:pPr>
        <w:numPr>
          <w:ilvl w:val="0"/>
          <w:numId w:val="15"/>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消除教育方案、课程和教科书中的性别陈规定型观念，以改变歧视妇女的结构性和文化性根源；</w:t>
      </w:r>
    </w:p>
    <w:p w:rsidR="00DD2F32" w:rsidRPr="00DD2F32" w:rsidRDefault="00DD2F32" w:rsidP="00DD2F32">
      <w:pPr>
        <w:numPr>
          <w:ilvl w:val="0"/>
          <w:numId w:val="15"/>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确保女童不会因为未成年怀孕而被学校开除，制定并落实让怀孕辍学的女童及妇女重新入学的举措；</w:t>
      </w:r>
    </w:p>
    <w:p w:rsidR="00DD2F32" w:rsidRPr="00DD2F32" w:rsidRDefault="00DD2F32" w:rsidP="00DD2F32">
      <w:pPr>
        <w:numPr>
          <w:ilvl w:val="0"/>
          <w:numId w:val="15"/>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作为学校课程的一部分，制定并促进针对男童和女童的关于性健康和生殖健康及权利的更广泛的适龄教育办法，目的是减少未成年怀孕并促进负责任的性行为；</w:t>
      </w:r>
    </w:p>
    <w:p w:rsidR="00DD2F32" w:rsidRPr="00DD2F32" w:rsidRDefault="00DD2F32" w:rsidP="00DD2F32">
      <w:pPr>
        <w:numPr>
          <w:ilvl w:val="0"/>
          <w:numId w:val="15"/>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lastRenderedPageBreak/>
        <w:t>采取必要措施，包括建设教育专业人员的能力，以确保残疾女童能够在与其他儿童相同的基础上获得优质教育；</w:t>
      </w:r>
    </w:p>
    <w:p w:rsidR="00DD2F32" w:rsidRPr="00DD2F32" w:rsidRDefault="00DD2F32" w:rsidP="00DD2F32">
      <w:pPr>
        <w:numPr>
          <w:ilvl w:val="0"/>
          <w:numId w:val="15"/>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确保科斯雷州所有儿童入学不受延误。</w:t>
      </w:r>
    </w:p>
    <w:p w:rsidR="00DD2F32" w:rsidRPr="00DD2F32" w:rsidRDefault="00DD2F32" w:rsidP="00DD2F32">
      <w:pPr>
        <w:keepNext/>
        <w:keepLines/>
        <w:tabs>
          <w:tab w:val="right" w:pos="851"/>
        </w:tabs>
        <w:suppressAutoHyphens/>
        <w:spacing w:before="240" w:after="140"/>
        <w:ind w:left="1264" w:right="1264"/>
        <w:jc w:val="left"/>
        <w:rPr>
          <w:rFonts w:eastAsia="黑体"/>
          <w:kern w:val="0"/>
          <w:lang w:val="en-GB"/>
        </w:rPr>
      </w:pPr>
      <w:r w:rsidRPr="00DD2F32">
        <w:rPr>
          <w:rFonts w:eastAsia="黑体" w:hAnsi="宋体"/>
          <w:kern w:val="0"/>
          <w:lang w:val="en-GB"/>
        </w:rPr>
        <w:t>就业</w:t>
      </w:r>
    </w:p>
    <w:p w:rsidR="00DD2F32" w:rsidRPr="00DD2F32" w:rsidRDefault="00DD2F32" w:rsidP="00DD2F32">
      <w:pPr>
        <w:suppressAutoHyphens/>
        <w:spacing w:after="140"/>
        <w:ind w:left="1264" w:right="1264"/>
        <w:rPr>
          <w:spacing w:val="4"/>
          <w:w w:val="103"/>
        </w:rPr>
      </w:pPr>
      <w:r w:rsidRPr="00DD2F32">
        <w:rPr>
          <w:color w:val="212121"/>
          <w:kern w:val="0"/>
        </w:rPr>
        <w:t>34.</w:t>
      </w:r>
      <w:r w:rsidRPr="00DD2F32">
        <w:rPr>
          <w:color w:val="212121"/>
          <w:kern w:val="0"/>
        </w:rPr>
        <w:tab/>
      </w:r>
      <w:r w:rsidRPr="00DD2F32">
        <w:rPr>
          <w:rFonts w:hAnsi="宋体"/>
          <w:spacing w:val="4"/>
          <w:w w:val="103"/>
        </w:rPr>
        <w:t>委员会欣见在国家一级通过关于公共部门产假的立法以及增加公共部门的妇女就业率。但委员会关切地注意到，各州就业领域的立法和政策框架不一致，特别是：</w:t>
      </w:r>
    </w:p>
    <w:p w:rsidR="00DD2F32" w:rsidRPr="00DD2F32" w:rsidRDefault="00DD2F32" w:rsidP="00DD2F32">
      <w:pPr>
        <w:numPr>
          <w:ilvl w:val="0"/>
          <w:numId w:val="14"/>
        </w:numPr>
        <w:tabs>
          <w:tab w:val="left" w:pos="431"/>
        </w:tabs>
        <w:suppressAutoHyphens/>
        <w:overflowPunct w:val="0"/>
        <w:adjustRightInd w:val="0"/>
        <w:snapToGrid w:val="0"/>
        <w:spacing w:after="140"/>
        <w:ind w:left="1264" w:right="1264" w:firstLine="437"/>
        <w:rPr>
          <w:w w:val="103"/>
          <w:kern w:val="0"/>
        </w:rPr>
      </w:pPr>
      <w:r w:rsidRPr="00DD2F32">
        <w:rPr>
          <w:rFonts w:hAnsi="宋体"/>
          <w:w w:val="103"/>
          <w:kern w:val="0"/>
        </w:rPr>
        <w:t>妇女的失业率高的不成比例，性别工资差距持续存在，妇女担任管理职务的人数少；</w:t>
      </w:r>
    </w:p>
    <w:p w:rsidR="00DD2F32" w:rsidRPr="00DD2F32" w:rsidRDefault="00DD2F32" w:rsidP="00DD2F32">
      <w:pPr>
        <w:numPr>
          <w:ilvl w:val="0"/>
          <w:numId w:val="14"/>
        </w:numPr>
        <w:tabs>
          <w:tab w:val="left" w:pos="431"/>
        </w:tabs>
        <w:suppressAutoHyphens/>
        <w:overflowPunct w:val="0"/>
        <w:adjustRightInd w:val="0"/>
        <w:snapToGrid w:val="0"/>
        <w:spacing w:after="140"/>
        <w:ind w:left="1264" w:right="1264" w:firstLine="437"/>
        <w:rPr>
          <w:w w:val="103"/>
          <w:kern w:val="0"/>
        </w:rPr>
      </w:pPr>
      <w:r w:rsidRPr="00DD2F32">
        <w:rPr>
          <w:rFonts w:hAnsi="宋体"/>
          <w:w w:val="103"/>
          <w:kern w:val="0"/>
        </w:rPr>
        <w:t>没有立法明确地将工作场所的性骚扰定为犯罪；</w:t>
      </w:r>
    </w:p>
    <w:p w:rsidR="00DD2F32" w:rsidRPr="00DD2F32" w:rsidRDefault="00DD2F32" w:rsidP="00DD2F32">
      <w:pPr>
        <w:numPr>
          <w:ilvl w:val="0"/>
          <w:numId w:val="14"/>
        </w:numPr>
        <w:tabs>
          <w:tab w:val="left" w:pos="431"/>
        </w:tabs>
        <w:suppressAutoHyphens/>
        <w:overflowPunct w:val="0"/>
        <w:adjustRightInd w:val="0"/>
        <w:snapToGrid w:val="0"/>
        <w:spacing w:after="140"/>
        <w:ind w:left="1264" w:right="1264" w:firstLine="437"/>
        <w:rPr>
          <w:w w:val="103"/>
          <w:kern w:val="0"/>
        </w:rPr>
      </w:pPr>
      <w:r w:rsidRPr="00DD2F32">
        <w:rPr>
          <w:rFonts w:hAnsi="宋体"/>
          <w:w w:val="103"/>
          <w:kern w:val="0"/>
        </w:rPr>
        <w:t>由于家庭责任负担和传统态度上的不平等，妇女主要从事没有报酬的家庭劳动</w:t>
      </w:r>
      <w:r>
        <w:rPr>
          <w:rFonts w:hAnsi="宋体"/>
          <w:w w:val="103"/>
          <w:kern w:val="0"/>
        </w:rPr>
        <w:t>(</w:t>
      </w:r>
      <w:r w:rsidRPr="00DD2F32">
        <w:rPr>
          <w:rFonts w:hAnsi="宋体"/>
          <w:w w:val="103"/>
          <w:kern w:val="0"/>
        </w:rPr>
        <w:t>特别是在农业部门</w:t>
      </w:r>
      <w:r>
        <w:rPr>
          <w:rFonts w:hAnsi="宋体"/>
          <w:w w:val="103"/>
          <w:kern w:val="0"/>
        </w:rPr>
        <w:t>)</w:t>
      </w:r>
      <w:r w:rsidRPr="00DD2F32">
        <w:rPr>
          <w:rFonts w:hAnsi="宋体"/>
          <w:w w:val="103"/>
          <w:kern w:val="0"/>
        </w:rPr>
        <w:t>和低收入工作；</w:t>
      </w:r>
    </w:p>
    <w:p w:rsidR="00DD2F32" w:rsidRPr="00DD2F32" w:rsidRDefault="00DD2F32" w:rsidP="00DD2F32">
      <w:pPr>
        <w:numPr>
          <w:ilvl w:val="0"/>
          <w:numId w:val="14"/>
        </w:numPr>
        <w:tabs>
          <w:tab w:val="left" w:pos="431"/>
        </w:tabs>
        <w:suppressAutoHyphens/>
        <w:overflowPunct w:val="0"/>
        <w:adjustRightInd w:val="0"/>
        <w:snapToGrid w:val="0"/>
        <w:spacing w:after="140"/>
        <w:ind w:left="1264" w:right="1264" w:firstLine="437"/>
        <w:rPr>
          <w:w w:val="103"/>
          <w:kern w:val="0"/>
        </w:rPr>
      </w:pPr>
      <w:r w:rsidRPr="00DD2F32">
        <w:rPr>
          <w:rFonts w:hAnsi="宋体"/>
          <w:w w:val="103"/>
          <w:kern w:val="0"/>
        </w:rPr>
        <w:t>低收入的家庭女佣工因无法缴费而未被纳入社会保障体系。</w:t>
      </w:r>
    </w:p>
    <w:p w:rsidR="00DD2F32" w:rsidRPr="00DD2F32" w:rsidRDefault="00DD2F32" w:rsidP="00DD2F32">
      <w:pPr>
        <w:suppressAutoHyphens/>
        <w:overflowPunct w:val="0"/>
        <w:spacing w:after="140"/>
        <w:ind w:left="1264" w:right="1264"/>
        <w:rPr>
          <w:rFonts w:eastAsia="黑体"/>
          <w:kern w:val="0"/>
        </w:rPr>
      </w:pPr>
      <w:r w:rsidRPr="00DD2F32">
        <w:rPr>
          <w:b/>
          <w:spacing w:val="4"/>
          <w:w w:val="103"/>
        </w:rPr>
        <w:t>35.</w:t>
      </w:r>
      <w:r w:rsidRPr="00DD2F32">
        <w:rPr>
          <w:rFonts w:eastAsia="黑体"/>
          <w:spacing w:val="4"/>
          <w:w w:val="103"/>
        </w:rPr>
        <w:tab/>
      </w:r>
      <w:r w:rsidRPr="00DD2F32">
        <w:rPr>
          <w:rFonts w:eastAsia="黑体" w:hAnsi="宋体"/>
          <w:kern w:val="0"/>
        </w:rPr>
        <w:t>委员会建议缔约国采取法律和其他措施，消除在就业领域对妇女的歧视，特别是确保有权在其领土范围内的公共和私营部门享受产假和福利，从而使缔约国能够在明确的时间框架内撤回对</w:t>
      </w:r>
      <w:r w:rsidRPr="00DD2F32">
        <w:rPr>
          <w:rFonts w:eastAsia="黑体" w:hAnsi="宋体" w:hint="eastAsia"/>
          <w:kern w:val="0"/>
        </w:rPr>
        <w:t>《</w:t>
      </w:r>
      <w:r w:rsidRPr="00DD2F32">
        <w:rPr>
          <w:rFonts w:eastAsia="黑体" w:hAnsi="宋体"/>
          <w:kern w:val="0"/>
        </w:rPr>
        <w:t>公约》第十一条第</w:t>
      </w:r>
      <w:r w:rsidRPr="00DD2F32">
        <w:rPr>
          <w:rFonts w:eastAsia="黑体"/>
          <w:b/>
          <w:kern w:val="0"/>
        </w:rPr>
        <w:t>2</w:t>
      </w:r>
      <w:r w:rsidRPr="00DD2F32">
        <w:rPr>
          <w:rFonts w:eastAsia="黑体" w:hAnsi="宋体"/>
          <w:kern w:val="0"/>
        </w:rPr>
        <w:t>款</w:t>
      </w:r>
      <w:r w:rsidRPr="00DD2F32">
        <w:rPr>
          <w:rFonts w:eastAsia="黑体" w:hAnsi="宋体" w:hint="eastAsia"/>
          <w:kern w:val="0"/>
        </w:rPr>
        <w:t>(</w:t>
      </w:r>
      <w:r w:rsidRPr="00DD2F32">
        <w:rPr>
          <w:rFonts w:eastAsia="黑体"/>
          <w:b/>
          <w:kern w:val="0"/>
        </w:rPr>
        <w:t>b)</w:t>
      </w:r>
      <w:r w:rsidRPr="00DD2F32">
        <w:rPr>
          <w:rFonts w:eastAsia="黑体" w:hAnsi="宋体"/>
          <w:kern w:val="0"/>
        </w:rPr>
        <w:t>项的保留。委员会还建议缔约国：</w:t>
      </w:r>
    </w:p>
    <w:p w:rsidR="00DD2F32" w:rsidRPr="00DD2F32" w:rsidRDefault="00DD2F32" w:rsidP="00DD2F32">
      <w:pPr>
        <w:numPr>
          <w:ilvl w:val="0"/>
          <w:numId w:val="13"/>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增加妇女的就业机会，减少就业方面的结构性不平等、职业隔离和性别工资差距；</w:t>
      </w:r>
    </w:p>
    <w:p w:rsidR="00DD2F32" w:rsidRPr="00DD2F32" w:rsidRDefault="00DD2F32" w:rsidP="00DD2F32">
      <w:pPr>
        <w:numPr>
          <w:ilvl w:val="0"/>
          <w:numId w:val="13"/>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通过立法专门将公共和私营部门就业中的工作场所性骚扰规定为犯罪，并建立能让受害者得到救济的投诉机制；</w:t>
      </w:r>
    </w:p>
    <w:p w:rsidR="00DD2F32" w:rsidRPr="00DD2F32" w:rsidRDefault="00DD2F32" w:rsidP="00DD2F32">
      <w:pPr>
        <w:numPr>
          <w:ilvl w:val="0"/>
          <w:numId w:val="13"/>
        </w:numPr>
        <w:tabs>
          <w:tab w:val="left" w:pos="431"/>
        </w:tabs>
        <w:suppressAutoHyphens/>
        <w:overflowPunct w:val="0"/>
        <w:adjustRightInd w:val="0"/>
        <w:snapToGrid w:val="0"/>
        <w:spacing w:after="140"/>
        <w:ind w:left="1264" w:right="1264" w:firstLine="437"/>
        <w:rPr>
          <w:rFonts w:eastAsia="黑体"/>
          <w:color w:val="000000"/>
          <w:kern w:val="0"/>
        </w:rPr>
      </w:pPr>
      <w:r w:rsidRPr="00DD2F32">
        <w:rPr>
          <w:rFonts w:eastAsia="黑体" w:hAnsi="宋体"/>
          <w:color w:val="000000"/>
          <w:kern w:val="0"/>
        </w:rPr>
        <w:t>为妇女创造创收机会，并继续采取积极措施，例如公共部门招聘优先录用妇女、将增强经济权能方案的覆盖范围扩大到农村和边远岛屿妇女等等；</w:t>
      </w:r>
    </w:p>
    <w:p w:rsidR="00DD2F32" w:rsidRPr="00DD2F32" w:rsidRDefault="00DD2F32" w:rsidP="00DD2F32">
      <w:pPr>
        <w:numPr>
          <w:ilvl w:val="0"/>
          <w:numId w:val="13"/>
        </w:numPr>
        <w:tabs>
          <w:tab w:val="left" w:pos="431"/>
        </w:tabs>
        <w:suppressAutoHyphens/>
        <w:overflowPunct w:val="0"/>
        <w:adjustRightInd w:val="0"/>
        <w:snapToGrid w:val="0"/>
        <w:spacing w:after="140"/>
        <w:ind w:left="1264" w:right="1264" w:firstLine="437"/>
        <w:rPr>
          <w:rFonts w:eastAsia="黑体"/>
          <w:spacing w:val="4"/>
          <w:w w:val="103"/>
        </w:rPr>
      </w:pPr>
      <w:r w:rsidRPr="00DD2F32">
        <w:rPr>
          <w:rFonts w:eastAsia="黑体" w:hAnsi="宋体"/>
          <w:color w:val="000000"/>
          <w:kern w:val="0"/>
        </w:rPr>
        <w:t>确保包括家庭佣工在内的非正规部门的妇女受到社会保障计划的覆盖，并开展劳动监察以确保其享有体面的劳动条件。</w:t>
      </w:r>
    </w:p>
    <w:p w:rsidR="00DD2F32" w:rsidRPr="00DD2F32" w:rsidRDefault="00DD2F32" w:rsidP="00DD2F32">
      <w:pPr>
        <w:keepNext/>
        <w:keepLines/>
        <w:tabs>
          <w:tab w:val="right" w:pos="851"/>
        </w:tabs>
        <w:suppressAutoHyphens/>
        <w:spacing w:before="240" w:after="140"/>
        <w:ind w:left="1264" w:right="1264"/>
        <w:jc w:val="left"/>
        <w:rPr>
          <w:rFonts w:eastAsia="黑体"/>
          <w:kern w:val="0"/>
          <w:lang w:val="en-GB"/>
        </w:rPr>
      </w:pPr>
      <w:r w:rsidRPr="00DD2F32">
        <w:rPr>
          <w:rFonts w:eastAsia="黑体" w:hAnsi="宋体"/>
          <w:kern w:val="0"/>
          <w:lang w:val="en-GB"/>
        </w:rPr>
        <w:t>健康</w:t>
      </w:r>
    </w:p>
    <w:p w:rsidR="00DD2F32" w:rsidRPr="00DD2F32" w:rsidRDefault="00DD2F32" w:rsidP="00DD2F32">
      <w:pPr>
        <w:suppressAutoHyphens/>
        <w:spacing w:after="140"/>
        <w:ind w:left="1264" w:right="1264"/>
        <w:rPr>
          <w:spacing w:val="4"/>
          <w:w w:val="103"/>
        </w:rPr>
      </w:pPr>
      <w:r w:rsidRPr="00DD2F32">
        <w:rPr>
          <w:kern w:val="0"/>
        </w:rPr>
        <w:t>36</w:t>
      </w:r>
      <w:r w:rsidRPr="00DD2F32">
        <w:rPr>
          <w:spacing w:val="4"/>
          <w:w w:val="103"/>
        </w:rPr>
        <w:t>.</w:t>
      </w:r>
      <w:r w:rsidRPr="00DD2F32">
        <w:rPr>
          <w:spacing w:val="4"/>
          <w:w w:val="103"/>
        </w:rPr>
        <w:tab/>
      </w:r>
      <w:r w:rsidRPr="00DD2F32">
        <w:rPr>
          <w:rFonts w:hAnsi="宋体"/>
          <w:spacing w:val="4"/>
          <w:w w:val="103"/>
        </w:rPr>
        <w:t>委员会认识到缔约国面临资源和其他限制。但委员会对边远地区和离岛的妇女的健康状况表示关切，这些妇女在获取负担得起和适当的医疗保健方面遇到困难，包括在性健康和生殖健康服务与信息方面。鉴于很多妇女在家分娩，委员会注意到缺乏关于孕产妇死亡率的准确数据。委员会特别关切以下方面：</w:t>
      </w:r>
    </w:p>
    <w:p w:rsidR="00DD2F32" w:rsidRPr="00DD2F32" w:rsidRDefault="00DD2F32" w:rsidP="00DD2F32">
      <w:pPr>
        <w:numPr>
          <w:ilvl w:val="0"/>
          <w:numId w:val="12"/>
        </w:numPr>
        <w:tabs>
          <w:tab w:val="left" w:pos="431"/>
        </w:tabs>
        <w:suppressAutoHyphens/>
        <w:overflowPunct w:val="0"/>
        <w:adjustRightInd w:val="0"/>
        <w:snapToGrid w:val="0"/>
        <w:spacing w:after="140"/>
        <w:ind w:left="1264" w:right="1264" w:firstLine="437"/>
        <w:rPr>
          <w:kern w:val="0"/>
        </w:rPr>
      </w:pPr>
      <w:r w:rsidRPr="00DD2F32">
        <w:rPr>
          <w:rFonts w:hAnsi="宋体"/>
          <w:kern w:val="0"/>
        </w:rPr>
        <w:t>青少年怀孕人数众多；</w:t>
      </w:r>
    </w:p>
    <w:p w:rsidR="00DD2F32" w:rsidRPr="00DD2F32" w:rsidRDefault="00DD2F32" w:rsidP="00DD2F32">
      <w:pPr>
        <w:numPr>
          <w:ilvl w:val="0"/>
          <w:numId w:val="12"/>
        </w:numPr>
        <w:tabs>
          <w:tab w:val="left" w:pos="431"/>
        </w:tabs>
        <w:suppressAutoHyphens/>
        <w:overflowPunct w:val="0"/>
        <w:adjustRightInd w:val="0"/>
        <w:snapToGrid w:val="0"/>
        <w:spacing w:after="140"/>
        <w:ind w:left="1264" w:right="1264" w:firstLine="437"/>
        <w:rPr>
          <w:kern w:val="0"/>
        </w:rPr>
      </w:pPr>
      <w:r w:rsidRPr="00DD2F32">
        <w:rPr>
          <w:rFonts w:hAnsi="宋体"/>
          <w:kern w:val="0"/>
        </w:rPr>
        <w:lastRenderedPageBreak/>
        <w:t>缺乏安全、合法的堕胎设施，以及除非危及孕妇生命否则在任何情况下堕胎都属于犯罪；</w:t>
      </w:r>
    </w:p>
    <w:p w:rsidR="00DD2F32" w:rsidRPr="00DD2F32" w:rsidRDefault="00DD2F32" w:rsidP="00DD2F32">
      <w:pPr>
        <w:numPr>
          <w:ilvl w:val="0"/>
          <w:numId w:val="12"/>
        </w:numPr>
        <w:tabs>
          <w:tab w:val="left" w:pos="431"/>
        </w:tabs>
        <w:suppressAutoHyphens/>
        <w:overflowPunct w:val="0"/>
        <w:adjustRightInd w:val="0"/>
        <w:snapToGrid w:val="0"/>
        <w:spacing w:after="140"/>
        <w:ind w:left="1264" w:right="1264" w:firstLine="437"/>
        <w:rPr>
          <w:kern w:val="0"/>
        </w:rPr>
      </w:pPr>
      <w:r w:rsidRPr="00DD2F32">
        <w:rPr>
          <w:rFonts w:hAnsi="宋体"/>
          <w:kern w:val="0"/>
        </w:rPr>
        <w:t>妇女的心理健康状况，以及缺乏磋商解决遭受性别暴力的受害妇女的身心创伤，导致这些妇女的自杀率高。</w:t>
      </w:r>
    </w:p>
    <w:p w:rsidR="00DD2F32" w:rsidRPr="00DD2F32" w:rsidRDefault="00DD2F32" w:rsidP="00DD2F32">
      <w:pPr>
        <w:suppressAutoHyphens/>
        <w:spacing w:after="140"/>
        <w:ind w:left="1264" w:right="1264"/>
        <w:rPr>
          <w:rFonts w:eastAsia="黑体"/>
          <w:kern w:val="0"/>
        </w:rPr>
      </w:pPr>
      <w:r w:rsidRPr="00DD2F32">
        <w:rPr>
          <w:b/>
          <w:kern w:val="0"/>
        </w:rPr>
        <w:t>37.</w:t>
      </w:r>
      <w:r w:rsidRPr="00DD2F32">
        <w:rPr>
          <w:rFonts w:eastAsia="黑体"/>
          <w:kern w:val="0"/>
        </w:rPr>
        <w:tab/>
      </w:r>
      <w:r w:rsidRPr="00DD2F32">
        <w:rPr>
          <w:rFonts w:eastAsia="黑体" w:hAnsi="宋体"/>
          <w:kern w:val="0"/>
        </w:rPr>
        <w:t>委员会提请注意关于降低全球孕产妇死亡率以及确保普遍享有性健康和生殖健康服务的可持续发展目标</w:t>
      </w:r>
      <w:r w:rsidRPr="00DD2F32">
        <w:rPr>
          <w:rFonts w:eastAsia="黑体" w:hAnsi="宋体" w:hint="eastAsia"/>
          <w:kern w:val="0"/>
        </w:rPr>
        <w:t>的</w:t>
      </w:r>
      <w:r w:rsidRPr="00DD2F32">
        <w:rPr>
          <w:rFonts w:eastAsia="黑体" w:hAnsi="宋体"/>
          <w:kern w:val="0"/>
        </w:rPr>
        <w:t>具体目标</w:t>
      </w:r>
      <w:r w:rsidRPr="00DD2F32">
        <w:rPr>
          <w:rFonts w:eastAsia="黑体"/>
          <w:b/>
          <w:kern w:val="0"/>
        </w:rPr>
        <w:t>3</w:t>
      </w:r>
      <w:r w:rsidRPr="00DD2F32">
        <w:rPr>
          <w:rFonts w:eastAsia="黑体" w:hint="eastAsia"/>
          <w:b/>
          <w:kern w:val="0"/>
        </w:rPr>
        <w:t>.</w:t>
      </w:r>
      <w:r w:rsidRPr="00DD2F32">
        <w:rPr>
          <w:rFonts w:eastAsia="黑体"/>
          <w:b/>
          <w:kern w:val="0"/>
        </w:rPr>
        <w:t>1</w:t>
      </w:r>
      <w:r w:rsidRPr="00DD2F32">
        <w:rPr>
          <w:rFonts w:eastAsia="黑体" w:hAnsi="宋体"/>
          <w:kern w:val="0"/>
        </w:rPr>
        <w:t>和</w:t>
      </w:r>
      <w:r w:rsidRPr="00DD2F32">
        <w:rPr>
          <w:rFonts w:eastAsia="黑体" w:hAnsi="宋体" w:hint="eastAsia"/>
          <w:b/>
          <w:kern w:val="0"/>
        </w:rPr>
        <w:t>3.</w:t>
      </w:r>
      <w:r w:rsidRPr="00DD2F32">
        <w:rPr>
          <w:rFonts w:eastAsia="黑体"/>
          <w:b/>
          <w:kern w:val="0"/>
        </w:rPr>
        <w:t>7</w:t>
      </w:r>
      <w:r w:rsidRPr="00DD2F32">
        <w:rPr>
          <w:rFonts w:eastAsia="黑体" w:hAnsi="宋体"/>
          <w:kern w:val="0"/>
        </w:rPr>
        <w:t>，并建议缔约国增强妇女获取医疗保健，包括性健康和生殖健康服务的途径，特别是在边远地区和离岛。委员会还建议缔约国在下</w:t>
      </w:r>
      <w:r w:rsidRPr="00DD2F32">
        <w:rPr>
          <w:rFonts w:eastAsia="黑体" w:hAnsi="宋体" w:hint="eastAsia"/>
          <w:kern w:val="0"/>
        </w:rPr>
        <w:t>一</w:t>
      </w:r>
      <w:r w:rsidRPr="00DD2F32">
        <w:rPr>
          <w:rFonts w:eastAsia="黑体" w:hAnsi="宋体"/>
          <w:kern w:val="0"/>
        </w:rPr>
        <w:t>次定期报告中提供有关孕产妇死亡率的信息，以及：</w:t>
      </w:r>
    </w:p>
    <w:p w:rsidR="00DD2F32" w:rsidRPr="00DD2F32" w:rsidRDefault="00DD2F32" w:rsidP="00DD2F32">
      <w:pPr>
        <w:numPr>
          <w:ilvl w:val="0"/>
          <w:numId w:val="11"/>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确保妇女和女童获取有关性健康和生殖健康及权利的准确信息，包括负责任的性行为、防止未成年怀孕和性传播疾病以及获取负担得起的现代避孕药具；</w:t>
      </w:r>
    </w:p>
    <w:p w:rsidR="00DD2F32" w:rsidRPr="00DD2F32" w:rsidRDefault="00DD2F32" w:rsidP="00DD2F32">
      <w:pPr>
        <w:numPr>
          <w:ilvl w:val="0"/>
          <w:numId w:val="11"/>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修改立法，使堕胎不仅在危及孕妇生命的情况下合法，在危及妇女健康、强奸或乱伦导致怀孕以及胎儿严重损伤等情况下也合法，使所有情况下的堕胎都非刑罪化；</w:t>
      </w:r>
    </w:p>
    <w:p w:rsidR="00DD2F32" w:rsidRPr="00DD2F32" w:rsidRDefault="00DD2F32" w:rsidP="00DD2F32">
      <w:pPr>
        <w:numPr>
          <w:ilvl w:val="0"/>
          <w:numId w:val="11"/>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设计针对缔约国妇女和女童心理健康状况的监测机制，并利用其成果制定精神卫生方案和服务。</w:t>
      </w:r>
    </w:p>
    <w:p w:rsidR="00DD2F32" w:rsidRPr="00DD2F32" w:rsidRDefault="00DD2F32" w:rsidP="00DD2F32">
      <w:pPr>
        <w:keepNext/>
        <w:keepLines/>
        <w:tabs>
          <w:tab w:val="right" w:pos="851"/>
        </w:tabs>
        <w:suppressAutoHyphens/>
        <w:spacing w:before="240" w:after="140"/>
        <w:ind w:left="1264" w:right="1264"/>
        <w:jc w:val="left"/>
        <w:rPr>
          <w:rFonts w:eastAsia="黑体"/>
          <w:kern w:val="0"/>
          <w:lang w:val="en-GB"/>
        </w:rPr>
      </w:pPr>
      <w:r w:rsidRPr="00DD2F32">
        <w:rPr>
          <w:rFonts w:eastAsia="黑体" w:hAnsi="宋体"/>
          <w:kern w:val="0"/>
          <w:lang w:val="en-GB"/>
        </w:rPr>
        <w:t>经济和社会福利</w:t>
      </w:r>
    </w:p>
    <w:p w:rsidR="00DD2F32" w:rsidRPr="00DD2F32" w:rsidRDefault="00DD2F32" w:rsidP="00DD2F32">
      <w:pPr>
        <w:suppressAutoHyphens/>
        <w:spacing w:after="140"/>
        <w:ind w:left="1264" w:right="1264"/>
        <w:rPr>
          <w:kern w:val="0"/>
        </w:rPr>
      </w:pPr>
      <w:r w:rsidRPr="00DD2F32">
        <w:rPr>
          <w:kern w:val="0"/>
        </w:rPr>
        <w:t>38.</w:t>
      </w:r>
      <w:r w:rsidRPr="00DD2F32">
        <w:rPr>
          <w:kern w:val="0"/>
        </w:rPr>
        <w:tab/>
      </w:r>
      <w:r w:rsidRPr="00DD2F32">
        <w:rPr>
          <w:rFonts w:hAnsi="宋体"/>
          <w:kern w:val="0"/>
        </w:rPr>
        <w:t>委员会注意到，在法律方面没有阻止妇女在与男子平等的基础上</w:t>
      </w:r>
      <w:r w:rsidRPr="00DD2F32">
        <w:rPr>
          <w:rFonts w:hAnsi="宋体" w:hint="eastAsia"/>
          <w:kern w:val="0"/>
        </w:rPr>
        <w:t>获得融资</w:t>
      </w:r>
      <w:r w:rsidRPr="00DD2F32">
        <w:rPr>
          <w:rFonts w:hAnsi="宋体"/>
          <w:kern w:val="0"/>
        </w:rPr>
        <w:t>的障碍。但委员会表示关切的是，与妇女获取贷款和其他形式金融信贷</w:t>
      </w:r>
      <w:r>
        <w:rPr>
          <w:rFonts w:hAnsi="宋体"/>
          <w:kern w:val="0"/>
        </w:rPr>
        <w:t>(</w:t>
      </w:r>
      <w:r w:rsidRPr="00DD2F32">
        <w:rPr>
          <w:rFonts w:hAnsi="宋体"/>
          <w:kern w:val="0"/>
        </w:rPr>
        <w:t>包括通过公共银行获得的信贷</w:t>
      </w:r>
      <w:r>
        <w:rPr>
          <w:rFonts w:hAnsi="宋体"/>
          <w:kern w:val="0"/>
        </w:rPr>
        <w:t>)</w:t>
      </w:r>
      <w:r w:rsidRPr="00DD2F32">
        <w:rPr>
          <w:rFonts w:hAnsi="宋体"/>
          <w:kern w:val="0"/>
        </w:rPr>
        <w:t>有关的信息有限，而且缔约国缺乏社会保护方案，特别是针对妇女弱势群体，例如女户主家庭、老年妇女和残疾妇女的社会保护方案。委员会还感到关切的是，女童和妇女的家庭责任极为沉重，往往无法参与体育和娱乐活动。</w:t>
      </w:r>
    </w:p>
    <w:p w:rsidR="00DD2F32" w:rsidRPr="00DD2F32" w:rsidRDefault="00DD2F32" w:rsidP="00DD2F32">
      <w:pPr>
        <w:suppressAutoHyphens/>
        <w:overflowPunct w:val="0"/>
        <w:spacing w:after="140"/>
        <w:ind w:left="1264" w:right="1264"/>
        <w:rPr>
          <w:rFonts w:eastAsia="黑体"/>
          <w:kern w:val="0"/>
        </w:rPr>
      </w:pPr>
      <w:r w:rsidRPr="00DD2F32">
        <w:rPr>
          <w:b/>
          <w:kern w:val="0"/>
        </w:rPr>
        <w:t>39</w:t>
      </w:r>
      <w:r w:rsidRPr="00DD2F32">
        <w:rPr>
          <w:rFonts w:eastAsia="黑体"/>
          <w:b/>
          <w:kern w:val="0"/>
        </w:rPr>
        <w:t>.</w:t>
      </w:r>
      <w:r w:rsidRPr="00DD2F32">
        <w:rPr>
          <w:rFonts w:eastAsia="黑体"/>
          <w:kern w:val="0"/>
        </w:rPr>
        <w:tab/>
      </w:r>
      <w:r w:rsidRPr="00DD2F32">
        <w:rPr>
          <w:rFonts w:eastAsia="黑体" w:hAnsi="宋体"/>
          <w:kern w:val="0"/>
        </w:rPr>
        <w:t>委员会建议缔约国采取措施，促进妇女获取贷款和其他形式的</w:t>
      </w:r>
      <w:r w:rsidRPr="00DD2F32">
        <w:rPr>
          <w:rFonts w:eastAsia="黑体" w:hAnsi="宋体" w:hint="eastAsia"/>
          <w:kern w:val="0"/>
        </w:rPr>
        <w:t>融资</w:t>
      </w:r>
      <w:r w:rsidRPr="00DD2F32">
        <w:rPr>
          <w:rFonts w:eastAsia="黑体" w:hAnsi="宋体"/>
          <w:kern w:val="0"/>
        </w:rPr>
        <w:t>，包括提高妇女的财务素养。委员会还建议缔约国为单身女户主</w:t>
      </w:r>
      <w:r w:rsidRPr="00DD2F32">
        <w:rPr>
          <w:rFonts w:eastAsia="黑体" w:hAnsi="宋体" w:hint="eastAsia"/>
          <w:kern w:val="0"/>
        </w:rPr>
        <w:t>家庭</w:t>
      </w:r>
      <w:r w:rsidRPr="00DD2F32">
        <w:rPr>
          <w:rFonts w:eastAsia="黑体" w:hAnsi="宋体"/>
          <w:kern w:val="0"/>
        </w:rPr>
        <w:t>、贫困妇女、老年妇女和残疾妇女提供财政津贴和社会保障。委员会进一步建议缔约国确保为女童和妇女创造参与体育和娱乐活动的有效机会。</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农村妇女</w:t>
      </w:r>
    </w:p>
    <w:p w:rsidR="00DD2F32" w:rsidRPr="00DD2F32" w:rsidRDefault="00DD2F32" w:rsidP="00DD2F32">
      <w:pPr>
        <w:suppressAutoHyphens/>
        <w:spacing w:after="140"/>
        <w:ind w:left="1264" w:right="1264"/>
        <w:rPr>
          <w:kern w:val="0"/>
        </w:rPr>
      </w:pPr>
      <w:r w:rsidRPr="00DD2F32">
        <w:rPr>
          <w:kern w:val="0"/>
        </w:rPr>
        <w:t>40.</w:t>
      </w:r>
      <w:r w:rsidRPr="00DD2F32">
        <w:rPr>
          <w:kern w:val="0"/>
        </w:rPr>
        <w:tab/>
      </w:r>
      <w:r w:rsidRPr="00DD2F32">
        <w:rPr>
          <w:rFonts w:hAnsi="宋体"/>
          <w:kern w:val="0"/>
        </w:rPr>
        <w:t>委员会对农村地区和离岛妇女处境不利的情况表示关切，包括妇女在获得医疗保健、教育、职业培训、创收机会、信息和通信技术以及公共交通等方面的机会有限的问题。委员会还表示关切的是，农村地区盛行的性别陈规定型观念加重了对妇女的暴力和歧视，进一步限制了妇女参与社区决策和获取司法救助。委员会进一步关切的是，传统的</w:t>
      </w:r>
      <w:r w:rsidRPr="00DD2F32">
        <w:rPr>
          <w:rFonts w:hAnsi="宋体" w:hint="eastAsia"/>
          <w:kern w:val="0"/>
        </w:rPr>
        <w:t>土地</w:t>
      </w:r>
      <w:r w:rsidRPr="00DD2F32">
        <w:rPr>
          <w:rFonts w:hAnsi="宋体"/>
          <w:kern w:val="0"/>
        </w:rPr>
        <w:t>母系遗产继承制度最近发生改变，导致妇女在占有、获取、管理和处置财产方面处于不利地位。</w:t>
      </w:r>
    </w:p>
    <w:p w:rsidR="00DD2F32" w:rsidRPr="00DD2F32" w:rsidRDefault="00DD2F32" w:rsidP="00DD2F32">
      <w:pPr>
        <w:suppressAutoHyphens/>
        <w:spacing w:after="140"/>
        <w:ind w:left="1264" w:right="1264"/>
        <w:rPr>
          <w:rFonts w:eastAsia="黑体"/>
          <w:kern w:val="0"/>
        </w:rPr>
      </w:pPr>
      <w:r w:rsidRPr="00DD2F32">
        <w:rPr>
          <w:b/>
          <w:kern w:val="0"/>
        </w:rPr>
        <w:lastRenderedPageBreak/>
        <w:t>41.</w:t>
      </w:r>
      <w:r w:rsidRPr="00DD2F32">
        <w:rPr>
          <w:rFonts w:eastAsia="黑体"/>
          <w:kern w:val="0"/>
        </w:rPr>
        <w:tab/>
      </w:r>
      <w:r w:rsidRPr="00DD2F32">
        <w:rPr>
          <w:rFonts w:eastAsia="黑体" w:hAnsi="宋体"/>
          <w:kern w:val="0"/>
        </w:rPr>
        <w:t>委员会根据其关于农村妇女权利的第</w:t>
      </w:r>
      <w:r w:rsidRPr="00DD2F32">
        <w:rPr>
          <w:rFonts w:eastAsia="黑体"/>
          <w:b/>
          <w:kern w:val="0"/>
        </w:rPr>
        <w:t>34</w:t>
      </w:r>
      <w:r>
        <w:rPr>
          <w:rFonts w:eastAsia="黑体" w:hAnsi="宋体"/>
          <w:kern w:val="0"/>
        </w:rPr>
        <w:t>(</w:t>
      </w:r>
      <w:r w:rsidRPr="00DD2F32">
        <w:rPr>
          <w:rFonts w:eastAsia="黑体"/>
          <w:b/>
          <w:kern w:val="0"/>
        </w:rPr>
        <w:t>201</w:t>
      </w:r>
      <w:r w:rsidRPr="00DD2F32">
        <w:rPr>
          <w:rFonts w:eastAsia="黑体" w:hint="eastAsia"/>
          <w:b/>
          <w:kern w:val="0"/>
        </w:rPr>
        <w:t>5</w:t>
      </w:r>
      <w:r>
        <w:rPr>
          <w:rFonts w:eastAsia="黑体" w:hAnsi="宋体"/>
          <w:kern w:val="0"/>
        </w:rPr>
        <w:t>)</w:t>
      </w:r>
      <w:r w:rsidRPr="00DD2F32">
        <w:rPr>
          <w:rFonts w:eastAsia="黑体" w:hAnsi="宋体"/>
          <w:kern w:val="0"/>
        </w:rPr>
        <w:t>号一般性</w:t>
      </w:r>
      <w:r w:rsidRPr="00DD2F32">
        <w:rPr>
          <w:rFonts w:eastAsia="黑体" w:hAnsi="宋体" w:hint="eastAsia"/>
          <w:kern w:val="0"/>
        </w:rPr>
        <w:t>建议</w:t>
      </w:r>
      <w:r w:rsidRPr="00DD2F32">
        <w:rPr>
          <w:rFonts w:eastAsia="黑体" w:hAnsi="宋体"/>
          <w:kern w:val="0"/>
        </w:rPr>
        <w:t>，建议缔约国：</w:t>
      </w:r>
    </w:p>
    <w:p w:rsidR="00DD2F32" w:rsidRPr="00DD2F32" w:rsidRDefault="00DD2F32" w:rsidP="00DD2F32">
      <w:pPr>
        <w:numPr>
          <w:ilvl w:val="0"/>
          <w:numId w:val="10"/>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采取一切适当措施，增加农村妇女获得医疗保健、教育、就业、司法、信通技术和公共交通的机会，以确保农村的可持续发展，消除贫困；</w:t>
      </w:r>
    </w:p>
    <w:p w:rsidR="00DD2F32" w:rsidRPr="00DD2F32" w:rsidRDefault="00DD2F32" w:rsidP="00DD2F32">
      <w:pPr>
        <w:numPr>
          <w:ilvl w:val="0"/>
          <w:numId w:val="10"/>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加强农村妇女和离岛妇女对制定和执行地方发展规划的参与，确保其参与各级农村的发展决策；</w:t>
      </w:r>
    </w:p>
    <w:p w:rsidR="00DD2F32" w:rsidRPr="00DD2F32" w:rsidRDefault="00DD2F32" w:rsidP="00DD2F32">
      <w:pPr>
        <w:numPr>
          <w:ilvl w:val="0"/>
          <w:numId w:val="10"/>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确保男女平等获取土地所有权和管理权。</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气候变化和自然灾害对妇女的影响</w:t>
      </w:r>
    </w:p>
    <w:p w:rsidR="00DD2F32" w:rsidRPr="00DD2F32" w:rsidRDefault="00DD2F32" w:rsidP="00DD2F32">
      <w:pPr>
        <w:suppressAutoHyphens/>
        <w:spacing w:after="140"/>
        <w:ind w:left="1264" w:right="1264"/>
        <w:rPr>
          <w:spacing w:val="4"/>
          <w:w w:val="103"/>
        </w:rPr>
      </w:pPr>
      <w:r w:rsidRPr="00DD2F32">
        <w:rPr>
          <w:spacing w:val="4"/>
          <w:w w:val="103"/>
        </w:rPr>
        <w:t>42.</w:t>
      </w:r>
      <w:r w:rsidRPr="00DD2F32">
        <w:rPr>
          <w:spacing w:val="4"/>
          <w:w w:val="103"/>
        </w:rPr>
        <w:tab/>
      </w:r>
      <w:r w:rsidRPr="00DD2F32">
        <w:rPr>
          <w:rFonts w:hAnsi="宋体"/>
          <w:spacing w:val="4"/>
          <w:w w:val="103"/>
        </w:rPr>
        <w:t>委员会欣见缔约国成为第一个通过《气候变化法》的太平洋岛屿国家。但委员会关切地注意到，气候变化、海平面上升以及其他与天气有关的灾害对妇女的影响严重得不成比例，并且没有关于妇女参与农村发展决策的资料，相关政策和方案中也没有明确的性别平等内容。委员会还对缺少机制评估环境政策对妇女的影响表示关切。</w:t>
      </w:r>
    </w:p>
    <w:p w:rsidR="00DD2F32" w:rsidRPr="00DD2F32" w:rsidRDefault="00DD2F32" w:rsidP="00DD2F32">
      <w:pPr>
        <w:suppressAutoHyphens/>
        <w:spacing w:after="140"/>
        <w:ind w:left="1264" w:right="1264"/>
        <w:rPr>
          <w:rFonts w:eastAsia="黑体"/>
          <w:kern w:val="0"/>
        </w:rPr>
      </w:pPr>
      <w:r w:rsidRPr="00DD2F32">
        <w:rPr>
          <w:b/>
          <w:kern w:val="0"/>
        </w:rPr>
        <w:t>43.</w:t>
      </w:r>
      <w:r w:rsidRPr="00DD2F32">
        <w:rPr>
          <w:rFonts w:eastAsia="黑体"/>
          <w:kern w:val="0"/>
        </w:rPr>
        <w:tab/>
      </w:r>
      <w:r w:rsidRPr="00DD2F32">
        <w:rPr>
          <w:rFonts w:eastAsia="黑体" w:hAnsi="宋体"/>
          <w:kern w:val="0"/>
        </w:rPr>
        <w:t>委员会建议缔约国确保妇女参与制定、通过和执行有关气候变化、灾害应对和降低风险的国家政策和方案，并在这种政策中引入明确的性别视角。委员会还建议缔约国在地方、州和国家各级建立机制，以评估环境政策对妇女的影响。</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弱势和边缘化的妇女群体</w:t>
      </w:r>
    </w:p>
    <w:p w:rsidR="00DD2F32" w:rsidRPr="00DD2F32" w:rsidRDefault="00DD2F32" w:rsidP="00DD2F32">
      <w:pPr>
        <w:suppressAutoHyphens/>
        <w:spacing w:after="140"/>
        <w:ind w:left="1264" w:right="1264"/>
        <w:rPr>
          <w:kern w:val="0"/>
        </w:rPr>
      </w:pPr>
      <w:r w:rsidRPr="00DD2F32">
        <w:rPr>
          <w:kern w:val="0"/>
        </w:rPr>
        <w:t>44.</w:t>
      </w:r>
      <w:r w:rsidRPr="00DD2F32">
        <w:rPr>
          <w:kern w:val="0"/>
        </w:rPr>
        <w:tab/>
      </w:r>
      <w:r w:rsidRPr="00DD2F32">
        <w:rPr>
          <w:rFonts w:hAnsi="宋体"/>
          <w:kern w:val="0"/>
        </w:rPr>
        <w:t>委员会感到关切的是，关于弱势和边缘化的妇女群体，包括老年妇女和残疾妇女的信息有限，这些妇女往往受到交叉歧视，特别是在获得教育、就业和医疗保健方面。委员会还对缺乏具有性别平等内容的综合性国家残疾政策表示关切。</w:t>
      </w:r>
    </w:p>
    <w:p w:rsidR="00DD2F32" w:rsidRPr="00DD2F32" w:rsidRDefault="00DD2F32" w:rsidP="00DD2F32">
      <w:pPr>
        <w:suppressAutoHyphens/>
        <w:spacing w:after="140"/>
        <w:ind w:left="1264" w:right="1264"/>
        <w:rPr>
          <w:rFonts w:eastAsia="黑体"/>
          <w:kern w:val="0"/>
        </w:rPr>
      </w:pPr>
      <w:r w:rsidRPr="00DD2F32">
        <w:rPr>
          <w:b/>
          <w:kern w:val="0"/>
        </w:rPr>
        <w:t>45.</w:t>
      </w:r>
      <w:r w:rsidRPr="00DD2F32">
        <w:rPr>
          <w:rFonts w:eastAsia="黑体"/>
          <w:kern w:val="0"/>
        </w:rPr>
        <w:tab/>
      </w:r>
      <w:r w:rsidRPr="00DD2F32">
        <w:rPr>
          <w:rFonts w:eastAsia="黑体" w:hAnsi="宋体"/>
          <w:kern w:val="0"/>
        </w:rPr>
        <w:t>委员会要求缔约国在下</w:t>
      </w:r>
      <w:r w:rsidRPr="00DD2F32">
        <w:rPr>
          <w:rFonts w:eastAsia="黑体" w:hAnsi="宋体" w:hint="eastAsia"/>
          <w:kern w:val="0"/>
        </w:rPr>
        <w:t>一</w:t>
      </w:r>
      <w:r w:rsidRPr="00DD2F32">
        <w:rPr>
          <w:rFonts w:eastAsia="黑体" w:hAnsi="宋体"/>
          <w:kern w:val="0"/>
        </w:rPr>
        <w:t>次报告中提供关于包括老年妇女和残疾妇女在内的弱势妇女群体在《公约》所涉所有领域的状况的全面信息。委员会建议缔约国确保国家和各州的残疾相关立法和政策中引入性别视角，确保残疾女童和妇女根据国际人权标准享有的各项权利，并在必要时考虑寻求发展伙伴的技术和财政援助。</w:t>
      </w:r>
    </w:p>
    <w:p w:rsidR="00DD2F32" w:rsidRPr="00DD2F32" w:rsidRDefault="00DD2F32" w:rsidP="00DD2F32">
      <w:pPr>
        <w:keepNext/>
        <w:keepLines/>
        <w:tabs>
          <w:tab w:val="right" w:pos="851"/>
        </w:tabs>
        <w:suppressAutoHyphens/>
        <w:spacing w:before="240" w:after="140"/>
        <w:ind w:left="1264" w:right="1264"/>
        <w:jc w:val="left"/>
        <w:rPr>
          <w:rFonts w:eastAsia="黑体"/>
          <w:kern w:val="0"/>
          <w:lang w:val="en-GB"/>
        </w:rPr>
      </w:pPr>
      <w:r w:rsidRPr="00DD2F32">
        <w:rPr>
          <w:rFonts w:eastAsia="黑体" w:hAnsi="宋体"/>
          <w:kern w:val="0"/>
          <w:lang w:val="en-GB"/>
        </w:rPr>
        <w:t>婚姻和家庭关系</w:t>
      </w:r>
    </w:p>
    <w:p w:rsidR="00DD2F32" w:rsidRPr="00DD2F32" w:rsidRDefault="00DD2F32" w:rsidP="00DD2F32">
      <w:pPr>
        <w:suppressAutoHyphens/>
        <w:overflowPunct w:val="0"/>
        <w:spacing w:after="140"/>
        <w:ind w:left="1264" w:right="1264"/>
        <w:rPr>
          <w:kern w:val="0"/>
        </w:rPr>
      </w:pPr>
      <w:r w:rsidRPr="00DD2F32">
        <w:rPr>
          <w:kern w:val="0"/>
        </w:rPr>
        <w:t>46.</w:t>
      </w:r>
      <w:r w:rsidRPr="00DD2F32">
        <w:rPr>
          <w:kern w:val="0"/>
        </w:rPr>
        <w:tab/>
      </w:r>
      <w:r w:rsidRPr="00DD2F32">
        <w:rPr>
          <w:rFonts w:hAnsi="宋体"/>
          <w:kern w:val="0"/>
        </w:rPr>
        <w:t>委员会感到关切的是，缔约国缺乏足够的能力和现行机制，不能执行其任务，确保各州政府根据《公约》颁布立法和处理婚姻和家庭关系。委员会还对各州在这方面的法律不一致表示关切，这种不一致导致在婚姻、离异、继承、抚养子女和财产等问题上对妇女的歧视。委员会还关切地注意到：</w:t>
      </w:r>
    </w:p>
    <w:p w:rsidR="00DD2F32" w:rsidRPr="00DD2F32" w:rsidRDefault="00DD2F32" w:rsidP="00DD2F32">
      <w:pPr>
        <w:numPr>
          <w:ilvl w:val="0"/>
          <w:numId w:val="9"/>
        </w:numPr>
        <w:tabs>
          <w:tab w:val="left" w:pos="431"/>
        </w:tabs>
        <w:suppressAutoHyphens/>
        <w:overflowPunct w:val="0"/>
        <w:adjustRightInd w:val="0"/>
        <w:snapToGrid w:val="0"/>
        <w:spacing w:after="140"/>
        <w:ind w:left="1264" w:right="1264" w:firstLine="437"/>
        <w:rPr>
          <w:kern w:val="0"/>
        </w:rPr>
      </w:pPr>
      <w:r w:rsidRPr="00DD2F32">
        <w:rPr>
          <w:rFonts w:hAnsi="宋体"/>
          <w:kern w:val="0"/>
        </w:rPr>
        <w:t>对强迫婚姻登记的豁免，这种做法可能导致产生重婚和童婚等歧视性习俗；</w:t>
      </w:r>
    </w:p>
    <w:p w:rsidR="00DD2F32" w:rsidRPr="00DD2F32" w:rsidRDefault="00DD2F32" w:rsidP="00DD2F32">
      <w:pPr>
        <w:numPr>
          <w:ilvl w:val="0"/>
          <w:numId w:val="9"/>
        </w:numPr>
        <w:tabs>
          <w:tab w:val="left" w:pos="431"/>
        </w:tabs>
        <w:suppressAutoHyphens/>
        <w:overflowPunct w:val="0"/>
        <w:adjustRightInd w:val="0"/>
        <w:snapToGrid w:val="0"/>
        <w:spacing w:after="140"/>
        <w:ind w:left="1264" w:right="1264" w:firstLine="437"/>
        <w:rPr>
          <w:kern w:val="0"/>
        </w:rPr>
      </w:pPr>
      <w:r w:rsidRPr="00DD2F32">
        <w:rPr>
          <w:rFonts w:hAnsi="宋体"/>
          <w:kern w:val="0"/>
        </w:rPr>
        <w:t>女童和男童的合法最低结婚年龄存在差异，分别为</w:t>
      </w:r>
      <w:r w:rsidRPr="00DD2F32">
        <w:rPr>
          <w:kern w:val="0"/>
        </w:rPr>
        <w:t>18</w:t>
      </w:r>
      <w:r w:rsidRPr="00DD2F32">
        <w:rPr>
          <w:rFonts w:hAnsi="宋体"/>
          <w:kern w:val="0"/>
        </w:rPr>
        <w:t>岁和</w:t>
      </w:r>
      <w:r w:rsidRPr="00DD2F32">
        <w:rPr>
          <w:kern w:val="0"/>
        </w:rPr>
        <w:t>16</w:t>
      </w:r>
      <w:r w:rsidRPr="00DD2F32">
        <w:rPr>
          <w:rFonts w:hAnsi="宋体"/>
          <w:kern w:val="0"/>
        </w:rPr>
        <w:t>岁；</w:t>
      </w:r>
    </w:p>
    <w:p w:rsidR="00DD2F32" w:rsidRPr="00DD2F32" w:rsidRDefault="00DD2F32" w:rsidP="00DD2F32">
      <w:pPr>
        <w:numPr>
          <w:ilvl w:val="0"/>
          <w:numId w:val="9"/>
        </w:numPr>
        <w:tabs>
          <w:tab w:val="left" w:pos="431"/>
        </w:tabs>
        <w:suppressAutoHyphens/>
        <w:overflowPunct w:val="0"/>
        <w:adjustRightInd w:val="0"/>
        <w:snapToGrid w:val="0"/>
        <w:spacing w:after="140"/>
        <w:ind w:left="1264" w:right="1264" w:firstLine="437"/>
        <w:rPr>
          <w:kern w:val="0"/>
        </w:rPr>
      </w:pPr>
      <w:r w:rsidRPr="00DD2F32">
        <w:rPr>
          <w:rFonts w:hAnsi="宋体"/>
          <w:kern w:val="0"/>
        </w:rPr>
        <w:lastRenderedPageBreak/>
        <w:t>各州采用基于过错的离异标准，往往使妇女的举证难度加大，并且可能产生歧视性结果，法庭的性别陈规定型观念加剧了这种情况。</w:t>
      </w:r>
    </w:p>
    <w:p w:rsidR="00DD2F32" w:rsidRPr="00DD2F32" w:rsidRDefault="00DD2F32" w:rsidP="00DD2F32">
      <w:pPr>
        <w:suppressAutoHyphens/>
        <w:overflowPunct w:val="0"/>
        <w:spacing w:after="140"/>
        <w:ind w:left="1264" w:right="1264"/>
        <w:rPr>
          <w:rFonts w:eastAsia="黑体"/>
          <w:kern w:val="0"/>
        </w:rPr>
      </w:pPr>
      <w:r w:rsidRPr="00DD2F32">
        <w:rPr>
          <w:b/>
          <w:kern w:val="0"/>
        </w:rPr>
        <w:t>47.</w:t>
      </w:r>
      <w:r w:rsidRPr="00DD2F32">
        <w:rPr>
          <w:rFonts w:eastAsia="黑体"/>
          <w:kern w:val="0"/>
        </w:rPr>
        <w:tab/>
      </w:r>
      <w:r w:rsidRPr="00DD2F32">
        <w:rPr>
          <w:rFonts w:eastAsia="黑体" w:hAnsi="宋体"/>
          <w:kern w:val="0"/>
        </w:rPr>
        <w:t>委员会忆及其关于婚姻、家庭关系及家庭解体的经济后果的第</w:t>
      </w:r>
      <w:r w:rsidRPr="00DD2F32">
        <w:rPr>
          <w:rFonts w:eastAsia="黑体"/>
          <w:b/>
          <w:kern w:val="0"/>
        </w:rPr>
        <w:t>29</w:t>
      </w:r>
      <w:r>
        <w:rPr>
          <w:rFonts w:eastAsia="黑体" w:hAnsi="宋体"/>
          <w:kern w:val="0"/>
        </w:rPr>
        <w:t>(</w:t>
      </w:r>
      <w:r w:rsidRPr="00DD2F32">
        <w:rPr>
          <w:rFonts w:eastAsia="黑体"/>
          <w:b/>
          <w:kern w:val="0"/>
        </w:rPr>
        <w:t>2013</w:t>
      </w:r>
      <w:r>
        <w:rPr>
          <w:rFonts w:eastAsia="黑体" w:hAnsi="宋体"/>
          <w:kern w:val="0"/>
        </w:rPr>
        <w:t>)</w:t>
      </w:r>
      <w:r w:rsidRPr="00DD2F32">
        <w:rPr>
          <w:rFonts w:eastAsia="黑体" w:hAnsi="宋体"/>
          <w:kern w:val="0"/>
        </w:rPr>
        <w:t>号一般性</w:t>
      </w:r>
      <w:r w:rsidRPr="00DD2F32">
        <w:rPr>
          <w:rFonts w:eastAsia="黑体" w:hAnsi="宋体" w:hint="eastAsia"/>
          <w:kern w:val="0"/>
        </w:rPr>
        <w:t>建议</w:t>
      </w:r>
      <w:r w:rsidRPr="00DD2F32">
        <w:rPr>
          <w:rFonts w:eastAsia="黑体" w:hAnsi="宋体"/>
          <w:kern w:val="0"/>
        </w:rPr>
        <w:t>，以及关于婚姻和家庭关系中的平等的第</w:t>
      </w:r>
      <w:r w:rsidRPr="00DD2F32">
        <w:rPr>
          <w:rFonts w:eastAsia="黑体"/>
          <w:b/>
          <w:kern w:val="0"/>
        </w:rPr>
        <w:t>21</w:t>
      </w:r>
      <w:r>
        <w:rPr>
          <w:rFonts w:eastAsia="黑体" w:hAnsi="宋体"/>
          <w:kern w:val="0"/>
        </w:rPr>
        <w:t>(</w:t>
      </w:r>
      <w:r w:rsidRPr="00DD2F32">
        <w:rPr>
          <w:rFonts w:eastAsia="黑体"/>
          <w:b/>
          <w:kern w:val="0"/>
        </w:rPr>
        <w:t>1994</w:t>
      </w:r>
      <w:r>
        <w:rPr>
          <w:rFonts w:eastAsia="黑体" w:hAnsi="宋体"/>
          <w:kern w:val="0"/>
        </w:rPr>
        <w:t>)</w:t>
      </w:r>
      <w:r w:rsidRPr="00DD2F32">
        <w:rPr>
          <w:rFonts w:eastAsia="黑体" w:hAnsi="宋体"/>
          <w:kern w:val="0"/>
        </w:rPr>
        <w:t>号一般性</w:t>
      </w:r>
      <w:r w:rsidRPr="00DD2F32">
        <w:rPr>
          <w:rFonts w:eastAsia="黑体" w:hAnsi="宋体" w:hint="eastAsia"/>
          <w:kern w:val="0"/>
        </w:rPr>
        <w:t>建议</w:t>
      </w:r>
      <w:r w:rsidRPr="00DD2F32">
        <w:rPr>
          <w:rFonts w:eastAsia="黑体" w:hAnsi="宋体"/>
          <w:kern w:val="0"/>
        </w:rPr>
        <w:t>，建议缔约国促进并保证各州执行《公约》。委员会建议缔约国采取措施，包括运用立法权履行必要的条约义务，确保其领土范围内的妇女和男子在婚姻、离异、财产关系、子女监护和继承等方面享有平等的权利。委员会还建议缔约国：</w:t>
      </w:r>
    </w:p>
    <w:p w:rsidR="00DD2F32" w:rsidRPr="00DD2F32" w:rsidRDefault="00DD2F32" w:rsidP="00DD2F32">
      <w:pPr>
        <w:numPr>
          <w:ilvl w:val="0"/>
          <w:numId w:val="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推进提高认识运动，以改变关于家庭关系的性别陈规定型观念，包括在司法人员和法律执业者之间这样做；</w:t>
      </w:r>
    </w:p>
    <w:p w:rsidR="00DD2F32" w:rsidRPr="00DD2F32" w:rsidRDefault="00DD2F32" w:rsidP="00DD2F32">
      <w:pPr>
        <w:numPr>
          <w:ilvl w:val="0"/>
          <w:numId w:val="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加紧努力，提高对包括习惯婚姻在内的所有婚姻进行登记的必要性的认识；</w:t>
      </w:r>
    </w:p>
    <w:p w:rsidR="00DD2F32" w:rsidRPr="00DD2F32" w:rsidRDefault="00DD2F32" w:rsidP="00DD2F32">
      <w:pPr>
        <w:numPr>
          <w:ilvl w:val="0"/>
          <w:numId w:val="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将男女合法的最低结婚年龄定为</w:t>
      </w:r>
      <w:r w:rsidRPr="00DD2F32">
        <w:rPr>
          <w:rFonts w:eastAsia="黑体"/>
          <w:b/>
          <w:kern w:val="0"/>
        </w:rPr>
        <w:t>18</w:t>
      </w:r>
      <w:r w:rsidRPr="00DD2F32">
        <w:rPr>
          <w:rFonts w:eastAsia="黑体" w:hAnsi="宋体"/>
          <w:kern w:val="0"/>
        </w:rPr>
        <w:t>岁，将童婚和重婚定为犯罪；</w:t>
      </w:r>
    </w:p>
    <w:p w:rsidR="00DD2F32" w:rsidRPr="00DD2F32" w:rsidRDefault="00DD2F32" w:rsidP="00DD2F32">
      <w:pPr>
        <w:numPr>
          <w:ilvl w:val="0"/>
          <w:numId w:val="8"/>
        </w:numPr>
        <w:tabs>
          <w:tab w:val="left" w:pos="431"/>
        </w:tabs>
        <w:suppressAutoHyphens/>
        <w:overflowPunct w:val="0"/>
        <w:adjustRightInd w:val="0"/>
        <w:snapToGrid w:val="0"/>
        <w:spacing w:after="140"/>
        <w:ind w:left="1264" w:right="1264" w:firstLine="437"/>
        <w:rPr>
          <w:rFonts w:eastAsia="黑体"/>
          <w:kern w:val="0"/>
        </w:rPr>
      </w:pPr>
      <w:r w:rsidRPr="00DD2F32">
        <w:rPr>
          <w:rFonts w:eastAsia="黑体" w:hAnsi="宋体"/>
          <w:kern w:val="0"/>
        </w:rPr>
        <w:t>确保通过正式司法系统执行对儿童的抚养和照管。</w:t>
      </w:r>
    </w:p>
    <w:p w:rsidR="00DD2F32" w:rsidRPr="00DD2F32" w:rsidRDefault="00DD2F32" w:rsidP="00DD2F32">
      <w:pPr>
        <w:keepNext/>
        <w:keepLines/>
        <w:tabs>
          <w:tab w:val="right" w:pos="851"/>
        </w:tabs>
        <w:suppressAutoHyphens/>
        <w:spacing w:before="240" w:after="140"/>
        <w:ind w:left="1264" w:right="1264"/>
        <w:jc w:val="left"/>
        <w:rPr>
          <w:rFonts w:eastAsia="黑体"/>
          <w:kern w:val="0"/>
          <w:lang w:val="en-GB"/>
        </w:rPr>
      </w:pPr>
      <w:r w:rsidRPr="00DD2F32">
        <w:rPr>
          <w:rFonts w:eastAsia="黑体" w:hAnsi="宋体"/>
          <w:kern w:val="0"/>
          <w:lang w:val="en-GB"/>
        </w:rPr>
        <w:t>数据采集和分析</w:t>
      </w:r>
    </w:p>
    <w:p w:rsidR="00DD2F32" w:rsidRPr="00DD2F32" w:rsidRDefault="00DD2F32" w:rsidP="00DD2F32">
      <w:pPr>
        <w:suppressAutoHyphens/>
        <w:spacing w:after="140"/>
        <w:ind w:left="1264" w:right="1264"/>
        <w:rPr>
          <w:kern w:val="0"/>
        </w:rPr>
      </w:pPr>
      <w:r w:rsidRPr="00DD2F32">
        <w:rPr>
          <w:kern w:val="0"/>
        </w:rPr>
        <w:t>48.</w:t>
      </w:r>
      <w:r w:rsidRPr="00DD2F32">
        <w:rPr>
          <w:kern w:val="0"/>
        </w:rPr>
        <w:tab/>
      </w:r>
      <w:r w:rsidRPr="00DD2F32">
        <w:rPr>
          <w:rFonts w:hAnsi="宋体"/>
          <w:kern w:val="0"/>
        </w:rPr>
        <w:t>委员会对普遍缺乏关于《公约》所涉所有领域的按性别和年龄分类的可用数据表示关切，这种数据对于准确评估妇女状况、作出针对性的知情决策、开展系统性监测、评价随着时间的推移在《公约》所涉所有领域实现妇女事实上的平等方面取得的进展和趋势而言都是不可或缺的。</w:t>
      </w:r>
    </w:p>
    <w:p w:rsidR="00DD2F32" w:rsidRPr="00DD2F32" w:rsidRDefault="00DD2F32" w:rsidP="00DD2F32">
      <w:pPr>
        <w:suppressAutoHyphens/>
        <w:spacing w:after="140"/>
        <w:ind w:left="1264" w:right="1264"/>
        <w:rPr>
          <w:rFonts w:eastAsia="黑体"/>
          <w:kern w:val="0"/>
        </w:rPr>
      </w:pPr>
      <w:r w:rsidRPr="00DD2F32">
        <w:rPr>
          <w:b/>
          <w:kern w:val="0"/>
        </w:rPr>
        <w:t>49.</w:t>
      </w:r>
      <w:r w:rsidRPr="00DD2F32">
        <w:rPr>
          <w:rFonts w:eastAsia="黑体"/>
          <w:kern w:val="0"/>
        </w:rPr>
        <w:tab/>
      </w:r>
      <w:r w:rsidRPr="00DD2F32">
        <w:rPr>
          <w:rFonts w:eastAsia="黑体" w:hAnsi="宋体"/>
          <w:kern w:val="0"/>
        </w:rPr>
        <w:t>委员会吁请缔约国制定并实行采集、分析和传播按性别和年龄分类的综合数据的制度，并采用可衡量的指标来评估妇女状况的趋势以及在《公约》所涉所有领域实现妇女实质性平等方面的进展，并提请缔约国注意委员会关于该问题的第</w:t>
      </w:r>
      <w:r w:rsidRPr="00DD2F32">
        <w:rPr>
          <w:rFonts w:eastAsia="黑体"/>
          <w:b/>
          <w:kern w:val="0"/>
        </w:rPr>
        <w:t>9</w:t>
      </w:r>
      <w:r>
        <w:rPr>
          <w:rFonts w:eastAsia="黑体" w:hAnsi="宋体"/>
          <w:kern w:val="0"/>
        </w:rPr>
        <w:t>(</w:t>
      </w:r>
      <w:r w:rsidRPr="00DD2F32">
        <w:rPr>
          <w:rFonts w:eastAsia="黑体"/>
          <w:b/>
          <w:kern w:val="0"/>
        </w:rPr>
        <w:t>1989</w:t>
      </w:r>
      <w:r>
        <w:rPr>
          <w:rFonts w:eastAsia="黑体" w:hAnsi="宋体"/>
          <w:kern w:val="0"/>
        </w:rPr>
        <w:t>)</w:t>
      </w:r>
      <w:r w:rsidRPr="00DD2F32">
        <w:rPr>
          <w:rFonts w:eastAsia="黑体" w:hAnsi="宋体"/>
          <w:kern w:val="0"/>
        </w:rPr>
        <w:t>号一般性建议。</w:t>
      </w:r>
    </w:p>
    <w:p w:rsidR="00DD2F32" w:rsidRPr="00DD2F32" w:rsidRDefault="00DD2F32" w:rsidP="00DD2F32">
      <w:pPr>
        <w:keepNext/>
        <w:keepLines/>
        <w:tabs>
          <w:tab w:val="right" w:pos="851"/>
        </w:tabs>
        <w:suppressAutoHyphens/>
        <w:spacing w:before="240" w:after="140"/>
        <w:ind w:left="1264" w:right="1264" w:hanging="1134"/>
        <w:jc w:val="left"/>
        <w:rPr>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《公约任择议定书》和《公约》第二十条第</w:t>
      </w:r>
      <w:r w:rsidRPr="00DD2F32">
        <w:rPr>
          <w:rFonts w:eastAsia="黑体"/>
          <w:kern w:val="0"/>
          <w:lang w:val="en-GB"/>
        </w:rPr>
        <w:t>1</w:t>
      </w:r>
      <w:r w:rsidRPr="00DD2F32">
        <w:rPr>
          <w:rFonts w:eastAsia="黑体" w:hAnsi="宋体"/>
          <w:kern w:val="0"/>
          <w:lang w:val="en-GB"/>
        </w:rPr>
        <w:t>款修正案</w:t>
      </w:r>
    </w:p>
    <w:p w:rsidR="00DD2F32" w:rsidRPr="00DD2F32" w:rsidRDefault="00DD2F32" w:rsidP="00DD2F32">
      <w:pPr>
        <w:suppressAutoHyphens/>
        <w:spacing w:after="140"/>
        <w:ind w:left="1264" w:right="1264"/>
        <w:rPr>
          <w:rFonts w:eastAsia="黑体"/>
          <w:kern w:val="0"/>
        </w:rPr>
      </w:pPr>
      <w:r w:rsidRPr="00DD2F32">
        <w:rPr>
          <w:b/>
          <w:kern w:val="0"/>
        </w:rPr>
        <w:t>50.</w:t>
      </w:r>
      <w:r w:rsidRPr="00DD2F32">
        <w:rPr>
          <w:rFonts w:eastAsia="黑体"/>
          <w:kern w:val="0"/>
        </w:rPr>
        <w:tab/>
      </w:r>
      <w:r w:rsidRPr="00DD2F32">
        <w:rPr>
          <w:rFonts w:eastAsia="黑体" w:hAnsi="宋体"/>
          <w:kern w:val="0"/>
        </w:rPr>
        <w:t>委员会鼓励缔约国批准《公约任择议定书》并尽快接受对《公约》关于委员会开会时间的第二十条第</w:t>
      </w:r>
      <w:r w:rsidRPr="00DD2F32">
        <w:rPr>
          <w:rFonts w:eastAsia="黑体"/>
          <w:b/>
          <w:kern w:val="0"/>
        </w:rPr>
        <w:t>1</w:t>
      </w:r>
      <w:r w:rsidRPr="00DD2F32">
        <w:rPr>
          <w:rFonts w:eastAsia="黑体" w:hAnsi="宋体"/>
          <w:kern w:val="0"/>
        </w:rPr>
        <w:t>款的修正。</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tab/>
      </w:r>
      <w:r w:rsidRPr="00DD2F32">
        <w:rPr>
          <w:rFonts w:eastAsia="黑体"/>
          <w:kern w:val="0"/>
          <w:lang w:val="en-GB"/>
        </w:rPr>
        <w:tab/>
      </w:r>
      <w:r w:rsidRPr="00DD2F32">
        <w:rPr>
          <w:rFonts w:eastAsia="黑体" w:hAnsi="宋体"/>
          <w:kern w:val="0"/>
          <w:lang w:val="en-GB"/>
        </w:rPr>
        <w:t>《北京宣言</w:t>
      </w:r>
      <w:r w:rsidRPr="00DD2F32">
        <w:rPr>
          <w:rFonts w:eastAsia="黑体" w:hAnsi="宋体" w:hint="eastAsia"/>
          <w:kern w:val="0"/>
          <w:lang w:val="en-GB"/>
        </w:rPr>
        <w:t>》</w:t>
      </w:r>
      <w:r w:rsidRPr="00DD2F32">
        <w:rPr>
          <w:rFonts w:eastAsia="黑体" w:hAnsi="宋体"/>
          <w:kern w:val="0"/>
          <w:lang w:val="en-GB"/>
        </w:rPr>
        <w:t>和</w:t>
      </w:r>
      <w:r w:rsidRPr="00DD2F32">
        <w:rPr>
          <w:rFonts w:eastAsia="黑体" w:hAnsi="宋体" w:hint="eastAsia"/>
          <w:kern w:val="0"/>
          <w:lang w:val="en-GB"/>
        </w:rPr>
        <w:t>《</w:t>
      </w:r>
      <w:r w:rsidRPr="00DD2F32">
        <w:rPr>
          <w:rFonts w:eastAsia="黑体" w:hAnsi="宋体"/>
          <w:kern w:val="0"/>
          <w:lang w:val="en-GB"/>
        </w:rPr>
        <w:t>行动纲要》</w:t>
      </w:r>
    </w:p>
    <w:p w:rsidR="00DD2F32" w:rsidRPr="00DD2F32" w:rsidRDefault="00DD2F32" w:rsidP="00DD2F32">
      <w:pPr>
        <w:suppressAutoHyphens/>
        <w:overflowPunct w:val="0"/>
        <w:spacing w:after="140"/>
        <w:ind w:left="1264" w:right="1264"/>
        <w:rPr>
          <w:rFonts w:eastAsia="黑体"/>
          <w:bCs/>
          <w:kern w:val="0"/>
        </w:rPr>
      </w:pPr>
      <w:r w:rsidRPr="00DD2F32">
        <w:rPr>
          <w:b/>
          <w:kern w:val="0"/>
        </w:rPr>
        <w:t>51.</w:t>
      </w:r>
      <w:r w:rsidRPr="00DD2F32">
        <w:rPr>
          <w:kern w:val="0"/>
        </w:rPr>
        <w:tab/>
      </w:r>
      <w:r w:rsidRPr="00DD2F32">
        <w:rPr>
          <w:rFonts w:eastAsia="黑体" w:hAnsi="宋体"/>
          <w:kern w:val="0"/>
        </w:rPr>
        <w:t>委员会促请缔约国在其各项工作中运用《北京宣言</w:t>
      </w:r>
      <w:r w:rsidRPr="00DD2F32">
        <w:rPr>
          <w:rFonts w:eastAsia="黑体" w:hAnsi="宋体" w:hint="eastAsia"/>
          <w:kern w:val="0"/>
        </w:rPr>
        <w:t>》</w:t>
      </w:r>
      <w:r w:rsidRPr="00DD2F32">
        <w:rPr>
          <w:rFonts w:eastAsia="黑体" w:hAnsi="宋体"/>
          <w:kern w:val="0"/>
        </w:rPr>
        <w:t>和</w:t>
      </w:r>
      <w:r w:rsidRPr="00DD2F32">
        <w:rPr>
          <w:rFonts w:eastAsia="黑体" w:hAnsi="宋体" w:hint="eastAsia"/>
          <w:kern w:val="0"/>
        </w:rPr>
        <w:t>《</w:t>
      </w:r>
      <w:r w:rsidRPr="00DD2F32">
        <w:rPr>
          <w:rFonts w:eastAsia="黑体" w:hAnsi="宋体"/>
          <w:kern w:val="0"/>
        </w:rPr>
        <w:t>行动纲要》执行《公约》的各项规定。</w:t>
      </w:r>
    </w:p>
    <w:p w:rsidR="00DD2F32" w:rsidRPr="00DD2F32" w:rsidRDefault="00DD2F32" w:rsidP="00DD2F32">
      <w:pPr>
        <w:keepNext/>
        <w:keepLines/>
        <w:tabs>
          <w:tab w:val="right" w:pos="851"/>
        </w:tabs>
        <w:suppressAutoHyphens/>
        <w:spacing w:before="240" w:after="140"/>
        <w:ind w:left="1264" w:right="1264" w:hanging="1134"/>
        <w:jc w:val="left"/>
        <w:rPr>
          <w:kern w:val="0"/>
          <w:lang w:val="en-GB"/>
        </w:rPr>
      </w:pPr>
      <w:r w:rsidRPr="00DD2F32">
        <w:rPr>
          <w:rFonts w:eastAsia="黑体"/>
          <w:kern w:val="0"/>
          <w:lang w:val="en-GB"/>
        </w:rPr>
        <w:tab/>
      </w:r>
      <w:r w:rsidRPr="00DD2F32">
        <w:rPr>
          <w:rFonts w:eastAsia="黑体"/>
          <w:kern w:val="0"/>
          <w:lang w:val="en-GB"/>
        </w:rPr>
        <w:tab/>
      </w:r>
      <w:r w:rsidRPr="00DD2F32">
        <w:rPr>
          <w:rFonts w:eastAsia="黑体" w:hAnsi="宋体"/>
          <w:w w:val="103"/>
          <w:kern w:val="0"/>
          <w:lang w:val="en-GB"/>
        </w:rPr>
        <w:t>《</w:t>
      </w:r>
      <w:r w:rsidRPr="00DD2F32">
        <w:rPr>
          <w:rFonts w:eastAsia="黑体"/>
          <w:b/>
          <w:w w:val="103"/>
          <w:kern w:val="0"/>
          <w:lang w:val="en-GB"/>
        </w:rPr>
        <w:t>2030</w:t>
      </w:r>
      <w:r w:rsidRPr="00DD2F32">
        <w:rPr>
          <w:rFonts w:eastAsia="黑体" w:hAnsi="宋体"/>
          <w:w w:val="103"/>
          <w:kern w:val="0"/>
          <w:lang w:val="en-GB"/>
        </w:rPr>
        <w:t>年可持续发展议程》</w:t>
      </w:r>
    </w:p>
    <w:p w:rsidR="00DD2F32" w:rsidRPr="00DD2F32" w:rsidRDefault="00DD2F32" w:rsidP="00DD2F32">
      <w:pPr>
        <w:suppressAutoHyphens/>
        <w:spacing w:after="140"/>
        <w:ind w:left="1264" w:right="1264"/>
        <w:rPr>
          <w:kern w:val="0"/>
        </w:rPr>
      </w:pPr>
      <w:r w:rsidRPr="00DD2F32">
        <w:rPr>
          <w:b/>
          <w:kern w:val="0"/>
        </w:rPr>
        <w:t>52.</w:t>
      </w:r>
      <w:r w:rsidRPr="00DD2F32">
        <w:rPr>
          <w:kern w:val="0"/>
        </w:rPr>
        <w:tab/>
      </w:r>
      <w:r w:rsidRPr="00DD2F32">
        <w:rPr>
          <w:rFonts w:eastAsia="黑体" w:hAnsi="宋体"/>
          <w:kern w:val="0"/>
        </w:rPr>
        <w:t>委员会呼吁在《</w:t>
      </w:r>
      <w:r w:rsidRPr="00DD2F32">
        <w:rPr>
          <w:rFonts w:eastAsia="黑体"/>
          <w:b/>
          <w:kern w:val="0"/>
        </w:rPr>
        <w:t>2030</w:t>
      </w:r>
      <w:r w:rsidRPr="00DD2F32">
        <w:rPr>
          <w:rFonts w:eastAsia="黑体" w:hAnsi="宋体"/>
          <w:kern w:val="0"/>
        </w:rPr>
        <w:t>年可持续发展议程》整个执行过程中依照《公约》的规定实现实质性的性别平等。</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lang w:val="en-GB"/>
        </w:rPr>
      </w:pPr>
      <w:r w:rsidRPr="00DD2F32">
        <w:rPr>
          <w:rFonts w:eastAsia="黑体"/>
          <w:kern w:val="0"/>
          <w:lang w:val="en-GB"/>
        </w:rPr>
        <w:lastRenderedPageBreak/>
        <w:tab/>
      </w:r>
      <w:r w:rsidRPr="00DD2F32">
        <w:rPr>
          <w:rFonts w:eastAsia="黑体"/>
          <w:kern w:val="0"/>
          <w:lang w:val="en-GB"/>
        </w:rPr>
        <w:tab/>
      </w:r>
      <w:r w:rsidRPr="00DD2F32">
        <w:rPr>
          <w:rFonts w:eastAsia="黑体" w:hAnsi="宋体"/>
          <w:kern w:val="0"/>
          <w:lang w:val="en-GB"/>
        </w:rPr>
        <w:t>传播</w:t>
      </w:r>
    </w:p>
    <w:p w:rsidR="00DD2F32" w:rsidRPr="00DD2F32" w:rsidRDefault="00DD2F32" w:rsidP="00DD2F32">
      <w:pPr>
        <w:suppressAutoHyphens/>
        <w:spacing w:after="140"/>
        <w:ind w:left="1264" w:right="1264"/>
        <w:rPr>
          <w:rFonts w:eastAsia="黑体"/>
          <w:kern w:val="0"/>
        </w:rPr>
      </w:pPr>
      <w:r w:rsidRPr="00DD2F32">
        <w:rPr>
          <w:b/>
          <w:kern w:val="0"/>
        </w:rPr>
        <w:t>53.</w:t>
      </w:r>
      <w:r w:rsidRPr="00DD2F32">
        <w:rPr>
          <w:kern w:val="0"/>
        </w:rPr>
        <w:tab/>
      </w:r>
      <w:r w:rsidRPr="00DD2F32">
        <w:rPr>
          <w:rFonts w:eastAsia="黑体" w:hAnsi="宋体"/>
          <w:kern w:val="0"/>
        </w:rPr>
        <w:t>委员会请缔约国确保以缔约国的正式语文及时向各级</w:t>
      </w:r>
      <w:r>
        <w:rPr>
          <w:rFonts w:eastAsia="黑体" w:hAnsi="宋体"/>
          <w:kern w:val="0"/>
        </w:rPr>
        <w:t>(</w:t>
      </w:r>
      <w:r w:rsidRPr="00DD2F32">
        <w:rPr>
          <w:rFonts w:eastAsia="黑体" w:hAnsi="宋体"/>
          <w:kern w:val="0"/>
        </w:rPr>
        <w:t>国家、区域和地方</w:t>
      </w:r>
      <w:r>
        <w:rPr>
          <w:rFonts w:eastAsia="黑体" w:hAnsi="宋体"/>
          <w:kern w:val="0"/>
        </w:rPr>
        <w:t>)</w:t>
      </w:r>
      <w:r w:rsidRPr="00DD2F32">
        <w:rPr>
          <w:rFonts w:eastAsia="黑体" w:hAnsi="宋体"/>
          <w:kern w:val="0"/>
        </w:rPr>
        <w:t>有关国家机构传播本结论性意见，特别是政府、各部委、国会和司法部门，以使这些国家机构予以全面执行。</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rPr>
      </w:pPr>
      <w:r w:rsidRPr="00DD2F32">
        <w:rPr>
          <w:rFonts w:eastAsia="黑体"/>
          <w:kern w:val="0"/>
        </w:rPr>
        <w:tab/>
      </w:r>
      <w:r w:rsidRPr="00DD2F32">
        <w:rPr>
          <w:rFonts w:eastAsia="黑体"/>
          <w:kern w:val="0"/>
        </w:rPr>
        <w:tab/>
      </w:r>
      <w:r w:rsidRPr="00DD2F32">
        <w:rPr>
          <w:rFonts w:eastAsia="黑体" w:hAnsi="宋体"/>
          <w:kern w:val="0"/>
          <w:lang w:val="en-GB"/>
        </w:rPr>
        <w:t>技术援助</w:t>
      </w:r>
    </w:p>
    <w:p w:rsidR="00DD2F32" w:rsidRPr="00DD2F32" w:rsidRDefault="00DD2F32" w:rsidP="00DD2F32">
      <w:pPr>
        <w:suppressAutoHyphens/>
        <w:spacing w:after="140"/>
        <w:ind w:left="1264" w:right="1264"/>
        <w:rPr>
          <w:rFonts w:eastAsia="黑体"/>
          <w:kern w:val="0"/>
        </w:rPr>
      </w:pPr>
      <w:r w:rsidRPr="00DD2F32">
        <w:rPr>
          <w:b/>
          <w:kern w:val="0"/>
        </w:rPr>
        <w:t>54.</w:t>
      </w:r>
      <w:r w:rsidRPr="00DD2F32">
        <w:rPr>
          <w:kern w:val="0"/>
        </w:rPr>
        <w:tab/>
      </w:r>
      <w:r w:rsidRPr="00DD2F32">
        <w:rPr>
          <w:rFonts w:eastAsia="黑体" w:hAnsi="宋体"/>
          <w:kern w:val="0"/>
        </w:rPr>
        <w:t>委员会建议缔约国把执行《公约》与本国的发展努力结合起来，并在这方面利用区域或国际技术援助。</w:t>
      </w:r>
    </w:p>
    <w:p w:rsidR="00DD2F32" w:rsidRPr="00DD2F32" w:rsidRDefault="00DD2F32" w:rsidP="00DD2F32">
      <w:pPr>
        <w:keepNext/>
        <w:keepLines/>
        <w:tabs>
          <w:tab w:val="right" w:pos="851"/>
        </w:tabs>
        <w:suppressAutoHyphens/>
        <w:spacing w:before="240" w:after="140"/>
        <w:ind w:left="1264" w:right="1264" w:hanging="1134"/>
        <w:jc w:val="left"/>
        <w:rPr>
          <w:kern w:val="0"/>
          <w:lang w:val="en-GB"/>
        </w:rPr>
      </w:pPr>
      <w:r w:rsidRPr="00DD2F32">
        <w:rPr>
          <w:rFonts w:eastAsia="黑体"/>
          <w:kern w:val="0"/>
        </w:rPr>
        <w:tab/>
      </w:r>
      <w:r w:rsidRPr="00DD2F32">
        <w:rPr>
          <w:rFonts w:eastAsia="黑体"/>
          <w:kern w:val="0"/>
        </w:rPr>
        <w:tab/>
      </w:r>
      <w:r w:rsidRPr="00DD2F32">
        <w:rPr>
          <w:rFonts w:eastAsia="黑体" w:hAnsi="宋体"/>
          <w:kern w:val="0"/>
        </w:rPr>
        <w:t>批准其他条约</w:t>
      </w:r>
    </w:p>
    <w:p w:rsidR="00DD2F32" w:rsidRPr="00DD2F32" w:rsidRDefault="00DD2F32" w:rsidP="00DD2F32">
      <w:pPr>
        <w:suppressAutoHyphens/>
        <w:spacing w:after="140"/>
        <w:ind w:left="1264" w:right="1264"/>
        <w:rPr>
          <w:rFonts w:eastAsia="黑体"/>
          <w:kern w:val="0"/>
        </w:rPr>
      </w:pPr>
      <w:r w:rsidRPr="00DD2F32">
        <w:rPr>
          <w:b/>
          <w:kern w:val="0"/>
        </w:rPr>
        <w:t>55.</w:t>
      </w:r>
      <w:r w:rsidRPr="00DD2F32">
        <w:rPr>
          <w:kern w:val="0"/>
        </w:rPr>
        <w:tab/>
      </w:r>
      <w:r w:rsidRPr="00DD2F32">
        <w:rPr>
          <w:rFonts w:eastAsia="黑体" w:hAnsi="宋体"/>
          <w:kern w:val="0"/>
        </w:rPr>
        <w:t>委员会注意到缔约国加入了九项主要的国际人权文书，</w:t>
      </w:r>
      <w:r w:rsidRPr="00DD2F32">
        <w:rPr>
          <w:rFonts w:eastAsia="黑体"/>
          <w:color w:val="0000FF"/>
          <w:kern w:val="0"/>
          <w:vertAlign w:val="superscript"/>
          <w:lang w:eastAsia="en-US"/>
        </w:rPr>
        <w:footnoteReference w:id="1"/>
      </w:r>
      <w:r w:rsidRPr="00DD2F32">
        <w:rPr>
          <w:rFonts w:eastAsia="黑体" w:hAnsi="宋体"/>
          <w:kern w:val="0"/>
        </w:rPr>
        <w:t>这将促进妇女在生活各方面享有其人权和基本自由。因此，委员会鼓励缔约国批准其尚未加入的《公民权利和政治权利国际公约》、《经济、社会、文化权利国际公约》、《消除一切形式种族歧视国际公约》、《</w:t>
      </w:r>
      <w:r w:rsidRPr="00DD2F32">
        <w:rPr>
          <w:rFonts w:eastAsia="黑体" w:hAnsi="宋体"/>
          <w:kern w:val="0"/>
          <w:szCs w:val="18"/>
        </w:rPr>
        <w:t>保护所有移徙工人及其家庭成员权利国际公约</w:t>
      </w:r>
      <w:r w:rsidRPr="00DD2F32">
        <w:rPr>
          <w:rFonts w:eastAsia="黑体" w:hAnsi="宋体"/>
          <w:kern w:val="0"/>
        </w:rPr>
        <w:t>》、《保护所有人免遭强迫失踪国际公约》和《禁止酷刑和其他残忍、不人道或有辱人格的待遇或处罚公约》。</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rPr>
      </w:pPr>
      <w:r w:rsidRPr="00DD2F32">
        <w:rPr>
          <w:rFonts w:eastAsia="黑体"/>
          <w:kern w:val="0"/>
        </w:rPr>
        <w:tab/>
      </w:r>
      <w:r w:rsidRPr="00DD2F32">
        <w:rPr>
          <w:rFonts w:eastAsia="黑体"/>
          <w:kern w:val="0"/>
        </w:rPr>
        <w:tab/>
      </w:r>
      <w:r w:rsidRPr="00DD2F32">
        <w:rPr>
          <w:rFonts w:eastAsia="黑体" w:hAnsi="宋体"/>
          <w:kern w:val="0"/>
        </w:rPr>
        <w:t>结论性意见的后续行动</w:t>
      </w:r>
    </w:p>
    <w:p w:rsidR="00DD2F32" w:rsidRPr="00DD2F32" w:rsidRDefault="00DD2F32" w:rsidP="00DD2F32">
      <w:pPr>
        <w:suppressAutoHyphens/>
        <w:spacing w:after="140"/>
        <w:ind w:left="1264" w:right="1264"/>
        <w:rPr>
          <w:rFonts w:eastAsia="黑体"/>
          <w:kern w:val="0"/>
        </w:rPr>
      </w:pPr>
      <w:r w:rsidRPr="00DD2F32">
        <w:rPr>
          <w:b/>
          <w:kern w:val="0"/>
        </w:rPr>
        <w:t>56.</w:t>
      </w:r>
      <w:r w:rsidRPr="00DD2F32">
        <w:rPr>
          <w:kern w:val="0"/>
        </w:rPr>
        <w:tab/>
      </w:r>
      <w:r w:rsidRPr="00DD2F32">
        <w:rPr>
          <w:rFonts w:eastAsia="黑体" w:hAnsi="宋体"/>
          <w:kern w:val="0"/>
        </w:rPr>
        <w:t>委员会请缔约国在两年内提供关于为执行上文第</w:t>
      </w:r>
      <w:r w:rsidRPr="00DD2F32">
        <w:rPr>
          <w:rFonts w:eastAsia="黑体"/>
          <w:b/>
          <w:kern w:val="0"/>
        </w:rPr>
        <w:t>9</w:t>
      </w:r>
      <w:r w:rsidRPr="00DD2F32">
        <w:rPr>
          <w:rFonts w:eastAsia="黑体" w:hAnsi="宋体"/>
          <w:kern w:val="0"/>
        </w:rPr>
        <w:t>、</w:t>
      </w:r>
      <w:r w:rsidRPr="00DD2F32">
        <w:rPr>
          <w:rFonts w:eastAsia="黑体"/>
          <w:b/>
          <w:kern w:val="0"/>
        </w:rPr>
        <w:t>25 (a)</w:t>
      </w:r>
      <w:r w:rsidRPr="00DD2F32">
        <w:rPr>
          <w:rFonts w:eastAsia="黑体" w:hAnsi="宋体"/>
          <w:b/>
          <w:kern w:val="0"/>
        </w:rPr>
        <w:t>、</w:t>
      </w:r>
      <w:r w:rsidRPr="00DD2F32">
        <w:rPr>
          <w:rFonts w:eastAsia="黑体"/>
          <w:b/>
          <w:kern w:val="0"/>
        </w:rPr>
        <w:t>27 (b)</w:t>
      </w:r>
      <w:r w:rsidRPr="00DD2F32">
        <w:rPr>
          <w:rFonts w:eastAsia="黑体" w:hAnsi="宋体"/>
          <w:kern w:val="0"/>
        </w:rPr>
        <w:t>和</w:t>
      </w:r>
      <w:r w:rsidRPr="00DD2F32">
        <w:rPr>
          <w:rFonts w:eastAsia="黑体"/>
          <w:b/>
          <w:kern w:val="0"/>
        </w:rPr>
        <w:t>37 (b)</w:t>
      </w:r>
      <w:r w:rsidRPr="00DD2F32">
        <w:rPr>
          <w:rFonts w:eastAsia="黑体" w:hAnsi="宋体"/>
          <w:kern w:val="0"/>
        </w:rPr>
        <w:t>段所载建议而采取的步骤的书面资料。</w:t>
      </w:r>
    </w:p>
    <w:p w:rsidR="00DD2F32" w:rsidRPr="00DD2F32" w:rsidRDefault="00DD2F32" w:rsidP="00DD2F32">
      <w:pPr>
        <w:keepNext/>
        <w:keepLines/>
        <w:tabs>
          <w:tab w:val="right" w:pos="851"/>
        </w:tabs>
        <w:suppressAutoHyphens/>
        <w:spacing w:before="240" w:after="140"/>
        <w:ind w:left="1264" w:right="1264" w:hanging="1134"/>
        <w:jc w:val="left"/>
        <w:rPr>
          <w:rFonts w:eastAsia="黑体"/>
          <w:kern w:val="0"/>
        </w:rPr>
      </w:pPr>
      <w:r w:rsidRPr="00DD2F32">
        <w:rPr>
          <w:rFonts w:eastAsia="黑体"/>
          <w:kern w:val="0"/>
        </w:rPr>
        <w:tab/>
      </w:r>
      <w:r w:rsidRPr="00DD2F32">
        <w:rPr>
          <w:rFonts w:eastAsia="黑体"/>
          <w:kern w:val="0"/>
        </w:rPr>
        <w:tab/>
      </w:r>
      <w:r w:rsidRPr="00DD2F32">
        <w:rPr>
          <w:rFonts w:eastAsia="黑体" w:hAnsi="宋体"/>
          <w:kern w:val="0"/>
        </w:rPr>
        <w:t>编写下</w:t>
      </w:r>
      <w:r w:rsidRPr="00DD2F32">
        <w:rPr>
          <w:rFonts w:eastAsia="黑体" w:hAnsi="宋体" w:hint="eastAsia"/>
          <w:kern w:val="0"/>
        </w:rPr>
        <w:t>一</w:t>
      </w:r>
      <w:r w:rsidRPr="00DD2F32">
        <w:rPr>
          <w:rFonts w:eastAsia="黑体" w:hAnsi="宋体"/>
          <w:kern w:val="0"/>
        </w:rPr>
        <w:t>次报告</w:t>
      </w:r>
    </w:p>
    <w:p w:rsidR="00DD2F32" w:rsidRPr="00DD2F32" w:rsidRDefault="00DD2F32" w:rsidP="00DD2F32">
      <w:pPr>
        <w:suppressAutoHyphens/>
        <w:spacing w:after="140"/>
        <w:ind w:left="1264" w:right="1264"/>
        <w:rPr>
          <w:kern w:val="0"/>
        </w:rPr>
      </w:pPr>
      <w:r w:rsidRPr="00DD2F32">
        <w:rPr>
          <w:b/>
          <w:kern w:val="0"/>
        </w:rPr>
        <w:t>57.</w:t>
      </w:r>
      <w:r w:rsidRPr="00DD2F32">
        <w:rPr>
          <w:kern w:val="0"/>
        </w:rPr>
        <w:tab/>
      </w:r>
      <w:r w:rsidRPr="00DD2F32">
        <w:rPr>
          <w:rFonts w:eastAsia="黑体" w:hAnsi="宋体"/>
          <w:kern w:val="0"/>
        </w:rPr>
        <w:t>委员会请缔约国于</w:t>
      </w:r>
      <w:r w:rsidRPr="00DD2F32">
        <w:rPr>
          <w:rFonts w:eastAsia="黑体"/>
          <w:b/>
          <w:kern w:val="0"/>
        </w:rPr>
        <w:t>2021</w:t>
      </w:r>
      <w:r w:rsidRPr="00DD2F32">
        <w:rPr>
          <w:rFonts w:eastAsia="黑体" w:hAnsi="宋体"/>
          <w:kern w:val="0"/>
        </w:rPr>
        <w:t>年</w:t>
      </w:r>
      <w:r w:rsidRPr="00DD2F32">
        <w:rPr>
          <w:rFonts w:eastAsia="黑体"/>
          <w:b/>
          <w:kern w:val="0"/>
        </w:rPr>
        <w:t>3</w:t>
      </w:r>
      <w:r w:rsidRPr="00DD2F32">
        <w:rPr>
          <w:rFonts w:eastAsia="黑体" w:hAnsi="宋体"/>
          <w:kern w:val="0"/>
        </w:rPr>
        <w:t>月提交第四次定期报告，如果出现拖延，则报告所涉期间因覆盖截至提交之前的整个期间。</w:t>
      </w:r>
    </w:p>
    <w:p w:rsidR="00DD2F32" w:rsidRPr="00DD2F32" w:rsidRDefault="00DD2F32" w:rsidP="00DD2F32">
      <w:pPr>
        <w:tabs>
          <w:tab w:val="left" w:pos="431"/>
          <w:tab w:val="left" w:pos="1701"/>
          <w:tab w:val="left" w:pos="2127"/>
        </w:tabs>
        <w:suppressAutoHyphens/>
        <w:overflowPunct w:val="0"/>
        <w:adjustRightInd w:val="0"/>
        <w:snapToGrid w:val="0"/>
        <w:spacing w:after="140"/>
        <w:ind w:left="1264" w:right="1264"/>
        <w:rPr>
          <w:snapToGrid w:val="0"/>
          <w:kern w:val="0"/>
          <w:szCs w:val="21"/>
        </w:rPr>
      </w:pPr>
      <w:r w:rsidRPr="00DD2F32">
        <w:rPr>
          <w:b/>
          <w:snapToGrid w:val="0"/>
          <w:kern w:val="0"/>
        </w:rPr>
        <w:t>58.</w:t>
      </w:r>
      <w:r w:rsidRPr="00DD2F32">
        <w:rPr>
          <w:snapToGrid w:val="0"/>
          <w:kern w:val="0"/>
        </w:rPr>
        <w:tab/>
      </w:r>
      <w:r w:rsidRPr="00DD2F32">
        <w:rPr>
          <w:rFonts w:eastAsia="黑体" w:hint="eastAsia"/>
          <w:snapToGrid w:val="0"/>
          <w:kern w:val="0"/>
          <w:szCs w:val="21"/>
        </w:rPr>
        <w:t>委员会请缔约国遵守</w:t>
      </w:r>
      <w:r w:rsidRPr="00DD2F32">
        <w:rPr>
          <w:rFonts w:eastAsia="黑体" w:cs="宋体" w:hint="eastAsia"/>
          <w:bCs/>
          <w:snapToGrid w:val="0"/>
          <w:kern w:val="0"/>
          <w:sz w:val="22"/>
          <w:szCs w:val="22"/>
          <w:lang w:val="zh-CN"/>
        </w:rPr>
        <w:t>包括共同核心文件和条约专要文件准则在内的根据国际人权条约统一提交报告准则</w:t>
      </w:r>
      <w:r>
        <w:rPr>
          <w:rFonts w:eastAsia="黑体" w:hint="eastAsia"/>
          <w:snapToGrid w:val="0"/>
          <w:kern w:val="0"/>
          <w:szCs w:val="21"/>
        </w:rPr>
        <w:t>(</w:t>
      </w:r>
      <w:hyperlink r:id="rId20" w:history="1">
        <w:r w:rsidRPr="00DD2F32">
          <w:rPr>
            <w:rStyle w:val="ad"/>
            <w:b/>
            <w:snapToGrid w:val="0"/>
            <w:kern w:val="0"/>
          </w:rPr>
          <w:t>HRI/GEN/2/Rev.6</w:t>
        </w:r>
      </w:hyperlink>
      <w:r w:rsidRPr="00DD2F32">
        <w:rPr>
          <w:rFonts w:eastAsia="黑体" w:hint="eastAsia"/>
          <w:snapToGrid w:val="0"/>
          <w:kern w:val="0"/>
          <w:szCs w:val="21"/>
        </w:rPr>
        <w:t>，第一章</w:t>
      </w:r>
      <w:r>
        <w:rPr>
          <w:rFonts w:eastAsia="黑体" w:hint="eastAsia"/>
          <w:snapToGrid w:val="0"/>
          <w:kern w:val="0"/>
          <w:szCs w:val="21"/>
        </w:rPr>
        <w:t>)</w:t>
      </w:r>
      <w:r w:rsidRPr="00DD2F32">
        <w:rPr>
          <w:rFonts w:eastAsia="黑体" w:hint="eastAsia"/>
          <w:snapToGrid w:val="0"/>
          <w:kern w:val="0"/>
          <w:szCs w:val="21"/>
        </w:rPr>
        <w:t>。</w:t>
      </w:r>
    </w:p>
    <w:p w:rsidR="00DD2F32" w:rsidRPr="00DD2F32" w:rsidRDefault="00DD2F32" w:rsidP="00DD2F32">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p w:rsidR="00DD2F32" w:rsidRPr="00DD2F32" w:rsidRDefault="00DD2F32" w:rsidP="00AB43B9">
      <w:pPr>
        <w:pStyle w:val="SingleTxt"/>
        <w:rPr>
          <w:rFonts w:hint="eastAsia"/>
        </w:rPr>
      </w:pPr>
    </w:p>
    <w:sectPr w:rsidR="00DD2F32" w:rsidRPr="00DD2F32" w:rsidSect="00DD2F32">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31T17:12:00Z" w:initials="Start">
    <w:p w:rsidR="00AB43B9" w:rsidRDefault="00AB43B9">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NO&gt;&gt;N1706270C&lt;&lt;ODS JOB NO&gt;&gt;</w:t>
      </w:r>
    </w:p>
    <w:p w:rsidR="00AB43B9" w:rsidRDefault="00AB43B9">
      <w:pPr>
        <w:pStyle w:val="a7"/>
      </w:pPr>
      <w:r>
        <w:t>&lt;&lt;ODS DOC SYMBOL1&gt;&gt;CEDAW/C/FSM/CO/1-3&lt;&lt;ODS DOC SYMBOL1&gt;&gt;</w:t>
      </w:r>
    </w:p>
    <w:p w:rsidR="00AB43B9" w:rsidRDefault="00AB43B9">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BE1" w:rsidRDefault="00C91BE1">
      <w:r>
        <w:separator/>
      </w:r>
    </w:p>
  </w:endnote>
  <w:endnote w:type="continuationSeparator" w:id="0">
    <w:p w:rsidR="00C91BE1" w:rsidRDefault="00C91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等线">
    <w:altName w:val="Arial Unicode MS"/>
    <w:charset w:val="86"/>
    <w:family w:val="auto"/>
    <w:pitch w:val="variable"/>
    <w:sig w:usb0="00000000"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B43B9" w:rsidTr="00AB43B9">
      <w:tblPrEx>
        <w:tblCellMar>
          <w:top w:w="0" w:type="dxa"/>
          <w:bottom w:w="0" w:type="dxa"/>
        </w:tblCellMar>
      </w:tblPrEx>
      <w:tc>
        <w:tcPr>
          <w:tcW w:w="5028" w:type="dxa"/>
          <w:shd w:val="clear" w:color="auto" w:fill="auto"/>
        </w:tcPr>
        <w:p w:rsidR="00AB43B9" w:rsidRPr="00AB43B9" w:rsidRDefault="00AB43B9" w:rsidP="00AB43B9">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1A1F">
            <w:rPr>
              <w:b w:val="0"/>
              <w:w w:val="103"/>
              <w:sz w:val="14"/>
            </w:rPr>
            <w:t>17-03882 (C)</w:t>
          </w:r>
          <w:r>
            <w:rPr>
              <w:b w:val="0"/>
              <w:w w:val="103"/>
              <w:sz w:val="14"/>
            </w:rPr>
            <w:fldChar w:fldCharType="end"/>
          </w:r>
        </w:p>
      </w:tc>
      <w:tc>
        <w:tcPr>
          <w:tcW w:w="5028" w:type="dxa"/>
          <w:shd w:val="clear" w:color="auto" w:fill="auto"/>
        </w:tcPr>
        <w:p w:rsidR="00AB43B9" w:rsidRPr="00AB43B9" w:rsidRDefault="00AB43B9" w:rsidP="00AB43B9">
          <w:pPr>
            <w:pStyle w:val="ac"/>
            <w:jc w:val="left"/>
            <w:rPr>
              <w:w w:val="103"/>
            </w:rPr>
          </w:pPr>
          <w:r>
            <w:rPr>
              <w:w w:val="103"/>
            </w:rPr>
            <w:fldChar w:fldCharType="begin"/>
          </w:r>
          <w:r>
            <w:rPr>
              <w:w w:val="103"/>
            </w:rPr>
            <w:instrText xml:space="preserve"> PAGE  \* Arabic  \* MERGEFORMAT </w:instrText>
          </w:r>
          <w:r>
            <w:rPr>
              <w:w w:val="103"/>
            </w:rPr>
            <w:fldChar w:fldCharType="separate"/>
          </w:r>
          <w:r w:rsidR="00E21A1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21A1F">
            <w:rPr>
              <w:w w:val="103"/>
            </w:rPr>
            <w:t>13</w:t>
          </w:r>
          <w:r>
            <w:rPr>
              <w:w w:val="103"/>
            </w:rPr>
            <w:fldChar w:fldCharType="end"/>
          </w:r>
        </w:p>
      </w:tc>
    </w:tr>
  </w:tbl>
  <w:p w:rsidR="00AB43B9" w:rsidRPr="00AB43B9" w:rsidRDefault="00AB43B9" w:rsidP="00AB43B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B43B9" w:rsidTr="00AB43B9">
      <w:tblPrEx>
        <w:tblCellMar>
          <w:top w:w="0" w:type="dxa"/>
          <w:bottom w:w="0" w:type="dxa"/>
        </w:tblCellMar>
      </w:tblPrEx>
      <w:tc>
        <w:tcPr>
          <w:tcW w:w="5028" w:type="dxa"/>
          <w:shd w:val="clear" w:color="auto" w:fill="auto"/>
        </w:tcPr>
        <w:p w:rsidR="00AB43B9" w:rsidRPr="00AB43B9" w:rsidRDefault="00AB43B9" w:rsidP="00AB43B9">
          <w:pPr>
            <w:pStyle w:val="ac"/>
            <w:jc w:val="right"/>
          </w:pPr>
          <w:r>
            <w:fldChar w:fldCharType="begin"/>
          </w:r>
          <w:r>
            <w:instrText xml:space="preserve"> PAGE  \* Arabic  \* MERGEFORMAT </w:instrText>
          </w:r>
          <w:r>
            <w:fldChar w:fldCharType="separate"/>
          </w:r>
          <w:r w:rsidR="00E21A1F">
            <w:t>13</w:t>
          </w:r>
          <w:r>
            <w:fldChar w:fldCharType="end"/>
          </w:r>
          <w:r>
            <w:t>/</w:t>
          </w:r>
          <w:fldSimple w:instr=" NUMPAGES  \* Arabic  \* MERGEFORMAT ">
            <w:r w:rsidR="00E21A1F">
              <w:t>13</w:t>
            </w:r>
          </w:fldSimple>
        </w:p>
      </w:tc>
      <w:tc>
        <w:tcPr>
          <w:tcW w:w="5028" w:type="dxa"/>
          <w:shd w:val="clear" w:color="auto" w:fill="auto"/>
        </w:tcPr>
        <w:p w:rsidR="00AB43B9" w:rsidRPr="00AB43B9" w:rsidRDefault="00AB43B9" w:rsidP="00AB43B9">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1A1F">
            <w:rPr>
              <w:b w:val="0"/>
              <w:w w:val="103"/>
              <w:sz w:val="14"/>
            </w:rPr>
            <w:t>17-03882 (C)</w:t>
          </w:r>
          <w:r>
            <w:rPr>
              <w:b w:val="0"/>
              <w:w w:val="103"/>
              <w:sz w:val="14"/>
            </w:rPr>
            <w:fldChar w:fldCharType="end"/>
          </w:r>
        </w:p>
      </w:tc>
    </w:tr>
  </w:tbl>
  <w:p w:rsidR="00AB43B9" w:rsidRPr="00AB43B9" w:rsidRDefault="00AB43B9" w:rsidP="00AB43B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AB43B9" w:rsidTr="00AB43B9">
      <w:tblPrEx>
        <w:tblCellMar>
          <w:top w:w="0" w:type="dxa"/>
          <w:bottom w:w="0" w:type="dxa"/>
        </w:tblCellMar>
      </w:tblPrEx>
      <w:tc>
        <w:tcPr>
          <w:tcW w:w="3744" w:type="dxa"/>
        </w:tcPr>
        <w:p w:rsidR="00AB43B9" w:rsidRDefault="00AB43B9" w:rsidP="00AB43B9">
          <w:pPr>
            <w:pStyle w:val="Release"/>
          </w:pPr>
          <w:r>
            <w:rPr>
              <w:noProof/>
            </w:rPr>
            <w:drawing>
              <wp:anchor distT="0" distB="0" distL="114300" distR="114300" simplePos="0" relativeHeight="251658240" behindDoc="0" locked="0" layoutInCell="1" allowOverlap="1" wp14:anchorId="466B90D9" wp14:editId="27A0A349">
                <wp:simplePos x="0" y="0"/>
                <wp:positionH relativeFrom="column">
                  <wp:posOffset>5526404</wp:posOffset>
                </wp:positionH>
                <wp:positionV relativeFrom="paragraph">
                  <wp:posOffset>-352888</wp:posOffset>
                </wp:positionV>
                <wp:extent cx="694690" cy="694690"/>
                <wp:effectExtent l="0" t="0" r="0" b="0"/>
                <wp:wrapNone/>
                <wp:docPr id="3" name="图片 3" descr="http://undocs.org/m2/QRCode2.ashx?DS=CEDAW/C/FSM/CO/1-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CO/1-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71DE8" w:rsidRPr="00371DE8">
            <w:t>17-03882 X (C)</w:t>
          </w:r>
          <w:r>
            <w:t xml:space="preserve">    </w:t>
          </w:r>
          <w:r w:rsidR="00412AF9">
            <w:t>29</w:t>
          </w:r>
          <w:r>
            <w:t xml:space="preserve">0317    </w:t>
          </w:r>
          <w:r w:rsidR="00412AF9">
            <w:t>0304</w:t>
          </w:r>
          <w:r>
            <w:t>17</w:t>
          </w:r>
        </w:p>
        <w:p w:rsidR="00AB43B9" w:rsidRPr="00AB43B9" w:rsidRDefault="00AB43B9" w:rsidP="00AB43B9">
          <w:pPr>
            <w:spacing w:before="80" w:line="210" w:lineRule="exact"/>
            <w:rPr>
              <w:rFonts w:ascii="Barcode 3 of 9 by request" w:hAnsi="Barcode 3 of 9 by request"/>
              <w:sz w:val="24"/>
            </w:rPr>
          </w:pPr>
          <w:r>
            <w:rPr>
              <w:rFonts w:ascii="Barcode 3 of 9 by request" w:hAnsi="Barcode 3 of 9 by request"/>
              <w:sz w:val="24"/>
            </w:rPr>
            <w:t>*1703882*</w:t>
          </w:r>
        </w:p>
      </w:tc>
      <w:tc>
        <w:tcPr>
          <w:tcW w:w="5028" w:type="dxa"/>
        </w:tcPr>
        <w:p w:rsidR="00AB43B9" w:rsidRDefault="00AB43B9" w:rsidP="00AB43B9">
          <w:pPr>
            <w:pStyle w:val="ac"/>
            <w:jc w:val="right"/>
            <w:rPr>
              <w:b w:val="0"/>
              <w:sz w:val="21"/>
            </w:rPr>
          </w:pPr>
          <w:r>
            <w:rPr>
              <w:b w:val="0"/>
              <w:sz w:val="21"/>
            </w:rPr>
            <w:drawing>
              <wp:inline distT="0" distB="0" distL="0" distR="0" wp14:anchorId="58A4E1D0" wp14:editId="4877CE8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AB43B9" w:rsidRPr="00AB43B9" w:rsidRDefault="00AB43B9" w:rsidP="00AB43B9">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BE1" w:rsidRPr="00DD2F32" w:rsidRDefault="00DD2F32" w:rsidP="00DD2F32">
      <w:pPr>
        <w:pStyle w:val="ac"/>
        <w:spacing w:after="80"/>
        <w:ind w:left="792"/>
        <w:rPr>
          <w:sz w:val="16"/>
        </w:rPr>
      </w:pPr>
      <w:r w:rsidRPr="00DD2F32">
        <w:rPr>
          <w:sz w:val="16"/>
        </w:rPr>
        <w:t>__________________</w:t>
      </w:r>
    </w:p>
  </w:footnote>
  <w:footnote w:type="continuationSeparator" w:id="0">
    <w:p w:rsidR="00C91BE1" w:rsidRPr="00DD2F32" w:rsidRDefault="00DD2F32" w:rsidP="00DD2F32">
      <w:pPr>
        <w:pStyle w:val="ac"/>
        <w:spacing w:after="80"/>
        <w:ind w:left="792"/>
        <w:rPr>
          <w:sz w:val="16"/>
        </w:rPr>
      </w:pPr>
      <w:r w:rsidRPr="00DD2F32">
        <w:rPr>
          <w:sz w:val="16"/>
        </w:rPr>
        <w:t>__________________</w:t>
      </w:r>
    </w:p>
  </w:footnote>
  <w:footnote w:id="1">
    <w:p w:rsidR="00DD2F32" w:rsidRPr="0093060F" w:rsidRDefault="00DD2F32" w:rsidP="00DD2F32">
      <w:pPr>
        <w:pStyle w:val="a5"/>
        <w:tabs>
          <w:tab w:val="clear" w:pos="418"/>
          <w:tab w:val="right" w:pos="1195"/>
          <w:tab w:val="left" w:pos="1264"/>
          <w:tab w:val="left" w:pos="1695"/>
          <w:tab w:val="left" w:pos="2126"/>
          <w:tab w:val="left" w:pos="2557"/>
        </w:tabs>
        <w:ind w:left="1264" w:right="1264" w:hanging="432"/>
      </w:pPr>
      <w:r w:rsidRPr="0093060F">
        <w:tab/>
      </w:r>
      <w:r w:rsidRPr="0093060F">
        <w:rPr>
          <w:rStyle w:val="a3"/>
          <w:szCs w:val="18"/>
        </w:rPr>
        <w:footnoteRef/>
      </w:r>
      <w:r w:rsidRPr="0093060F">
        <w:tab/>
      </w:r>
      <w:r w:rsidRPr="0093060F">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B43B9" w:rsidTr="00AB43B9">
      <w:tblPrEx>
        <w:tblCellMar>
          <w:top w:w="0" w:type="dxa"/>
          <w:bottom w:w="0" w:type="dxa"/>
        </w:tblCellMar>
      </w:tblPrEx>
      <w:trPr>
        <w:trHeight w:hRule="exact" w:val="864"/>
      </w:trPr>
      <w:tc>
        <w:tcPr>
          <w:tcW w:w="4838" w:type="dxa"/>
          <w:shd w:val="clear" w:color="auto" w:fill="auto"/>
          <w:vAlign w:val="bottom"/>
        </w:tcPr>
        <w:p w:rsidR="00AB43B9" w:rsidRPr="00AB43B9" w:rsidRDefault="00AB43B9" w:rsidP="00AB43B9">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21A1F">
            <w:rPr>
              <w:b/>
              <w:sz w:val="17"/>
            </w:rPr>
            <w:t>CEDAW/C/FSM/CO/1-3</w:t>
          </w:r>
          <w:r>
            <w:rPr>
              <w:b/>
              <w:sz w:val="17"/>
            </w:rPr>
            <w:fldChar w:fldCharType="end"/>
          </w:r>
        </w:p>
      </w:tc>
      <w:tc>
        <w:tcPr>
          <w:tcW w:w="5028" w:type="dxa"/>
          <w:shd w:val="clear" w:color="auto" w:fill="auto"/>
          <w:vAlign w:val="bottom"/>
        </w:tcPr>
        <w:p w:rsidR="00AB43B9" w:rsidRDefault="00AB43B9" w:rsidP="00AB43B9">
          <w:pPr>
            <w:pStyle w:val="ab"/>
          </w:pPr>
        </w:p>
      </w:tc>
    </w:tr>
  </w:tbl>
  <w:p w:rsidR="00AB43B9" w:rsidRPr="00AB43B9" w:rsidRDefault="00AB43B9" w:rsidP="00AB43B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B43B9" w:rsidTr="00AB43B9">
      <w:tblPrEx>
        <w:tblCellMar>
          <w:top w:w="0" w:type="dxa"/>
          <w:bottom w:w="0" w:type="dxa"/>
        </w:tblCellMar>
      </w:tblPrEx>
      <w:trPr>
        <w:trHeight w:hRule="exact" w:val="864"/>
      </w:trPr>
      <w:tc>
        <w:tcPr>
          <w:tcW w:w="4838" w:type="dxa"/>
          <w:shd w:val="clear" w:color="auto" w:fill="auto"/>
          <w:vAlign w:val="bottom"/>
        </w:tcPr>
        <w:p w:rsidR="00AB43B9" w:rsidRDefault="00AB43B9" w:rsidP="00AB43B9">
          <w:pPr>
            <w:pStyle w:val="ab"/>
          </w:pPr>
        </w:p>
      </w:tc>
      <w:tc>
        <w:tcPr>
          <w:tcW w:w="5028" w:type="dxa"/>
          <w:shd w:val="clear" w:color="auto" w:fill="auto"/>
          <w:vAlign w:val="bottom"/>
        </w:tcPr>
        <w:p w:rsidR="00AB43B9" w:rsidRPr="00AB43B9" w:rsidRDefault="00AB43B9" w:rsidP="00AB43B9">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21A1F">
            <w:rPr>
              <w:b/>
              <w:sz w:val="17"/>
            </w:rPr>
            <w:t>CEDAW/C/FSM/CO/1-3</w:t>
          </w:r>
          <w:r>
            <w:rPr>
              <w:b/>
              <w:sz w:val="17"/>
            </w:rPr>
            <w:fldChar w:fldCharType="end"/>
          </w:r>
        </w:p>
      </w:tc>
    </w:tr>
  </w:tbl>
  <w:p w:rsidR="00AB43B9" w:rsidRPr="00AB43B9" w:rsidRDefault="00AB43B9" w:rsidP="00AB43B9">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B43B9" w:rsidTr="00AB43B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B43B9" w:rsidRDefault="00AB43B9" w:rsidP="00AB43B9">
          <w:pPr>
            <w:pStyle w:val="ab"/>
            <w:spacing w:after="120"/>
          </w:pPr>
        </w:p>
      </w:tc>
      <w:tc>
        <w:tcPr>
          <w:tcW w:w="1872" w:type="dxa"/>
          <w:tcBorders>
            <w:bottom w:val="single" w:sz="4" w:space="0" w:color="auto"/>
          </w:tcBorders>
          <w:shd w:val="clear" w:color="auto" w:fill="auto"/>
          <w:vAlign w:val="bottom"/>
        </w:tcPr>
        <w:p w:rsidR="00AB43B9" w:rsidRPr="00AB43B9" w:rsidRDefault="00AB43B9" w:rsidP="00AB43B9">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AB43B9" w:rsidRDefault="00AB43B9" w:rsidP="00AB43B9">
          <w:pPr>
            <w:pStyle w:val="ab"/>
            <w:spacing w:after="120"/>
          </w:pPr>
        </w:p>
      </w:tc>
      <w:tc>
        <w:tcPr>
          <w:tcW w:w="6523" w:type="dxa"/>
          <w:gridSpan w:val="3"/>
          <w:tcBorders>
            <w:bottom w:val="single" w:sz="4" w:space="0" w:color="auto"/>
          </w:tcBorders>
          <w:shd w:val="clear" w:color="auto" w:fill="auto"/>
          <w:vAlign w:val="bottom"/>
        </w:tcPr>
        <w:p w:rsidR="00AB43B9" w:rsidRPr="00AB43B9" w:rsidRDefault="00AB43B9" w:rsidP="00AB43B9">
          <w:pPr>
            <w:spacing w:after="80" w:line="240" w:lineRule="auto"/>
            <w:jc w:val="right"/>
            <w:rPr>
              <w:position w:val="-4"/>
            </w:rPr>
          </w:pPr>
          <w:r>
            <w:rPr>
              <w:position w:val="-4"/>
              <w:sz w:val="40"/>
            </w:rPr>
            <w:t>CEDAW</w:t>
          </w:r>
          <w:r>
            <w:rPr>
              <w:position w:val="-4"/>
            </w:rPr>
            <w:t>/C/FSM/CO/1-3</w:t>
          </w:r>
        </w:p>
      </w:tc>
    </w:tr>
    <w:tr w:rsidR="00AB43B9" w:rsidRPr="00AB43B9" w:rsidTr="00AB43B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B43B9" w:rsidRPr="00AB43B9" w:rsidRDefault="00AB43B9" w:rsidP="00AB43B9">
          <w:pPr>
            <w:pStyle w:val="ab"/>
            <w:spacing w:before="109"/>
            <w:ind w:left="-72"/>
          </w:pPr>
          <w:r>
            <w:t xml:space="preserve"> </w:t>
          </w:r>
          <w:r>
            <w:drawing>
              <wp:inline distT="0" distB="0" distL="0" distR="0" wp14:anchorId="2E7F1514" wp14:editId="5C5866C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B43B9" w:rsidRPr="00AB43B9" w:rsidRDefault="00AB43B9" w:rsidP="00AB43B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B43B9" w:rsidRPr="00AB43B9" w:rsidRDefault="00AB43B9" w:rsidP="00AB43B9">
          <w:pPr>
            <w:pStyle w:val="ab"/>
            <w:spacing w:before="109"/>
          </w:pPr>
        </w:p>
      </w:tc>
      <w:tc>
        <w:tcPr>
          <w:tcW w:w="3180" w:type="dxa"/>
          <w:gridSpan w:val="2"/>
          <w:tcBorders>
            <w:top w:val="single" w:sz="4" w:space="0" w:color="auto"/>
            <w:bottom w:val="single" w:sz="12" w:space="0" w:color="auto"/>
          </w:tcBorders>
          <w:shd w:val="clear" w:color="auto" w:fill="auto"/>
        </w:tcPr>
        <w:p w:rsidR="00AB43B9" w:rsidRDefault="00AB43B9" w:rsidP="00AB43B9">
          <w:pPr>
            <w:pStyle w:val="Distr"/>
          </w:pPr>
          <w:r>
            <w:t>Distr.: General</w:t>
          </w:r>
        </w:p>
        <w:p w:rsidR="00AB43B9" w:rsidRDefault="00AB43B9" w:rsidP="00AB43B9">
          <w:pPr>
            <w:pStyle w:val="Publication"/>
          </w:pPr>
          <w:r>
            <w:t>9 March 2017</w:t>
          </w:r>
        </w:p>
        <w:p w:rsidR="00AB43B9" w:rsidRDefault="00AB43B9" w:rsidP="00AB43B9">
          <w:pPr>
            <w:spacing w:line="240" w:lineRule="exact"/>
          </w:pPr>
          <w:r>
            <w:t>Chinese</w:t>
          </w:r>
        </w:p>
        <w:p w:rsidR="00AB43B9" w:rsidRDefault="00AB43B9" w:rsidP="00AB43B9">
          <w:pPr>
            <w:pStyle w:val="Original"/>
          </w:pPr>
          <w:r>
            <w:t>Original: English</w:t>
          </w:r>
        </w:p>
        <w:p w:rsidR="00AB43B9" w:rsidRPr="00AB43B9" w:rsidRDefault="00AB43B9" w:rsidP="00AB43B9"/>
      </w:tc>
    </w:tr>
  </w:tbl>
  <w:p w:rsidR="00AB43B9" w:rsidRPr="00AB43B9" w:rsidRDefault="00AB43B9" w:rsidP="00AB43B9">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23E2479"/>
    <w:multiLevelType w:val="hybridMultilevel"/>
    <w:tmpl w:val="B8E2650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81950E5"/>
    <w:multiLevelType w:val="hybridMultilevel"/>
    <w:tmpl w:val="6D36094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nsid w:val="0C804717"/>
    <w:multiLevelType w:val="hybridMultilevel"/>
    <w:tmpl w:val="22267EB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0E4F208C"/>
    <w:multiLevelType w:val="hybridMultilevel"/>
    <w:tmpl w:val="8CF40766"/>
    <w:lvl w:ilvl="0" w:tplc="44B68274">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75E3613"/>
    <w:multiLevelType w:val="hybridMultilevel"/>
    <w:tmpl w:val="4A3C427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9BF6FB3"/>
    <w:multiLevelType w:val="hybridMultilevel"/>
    <w:tmpl w:val="0F880F4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CCA2083"/>
    <w:multiLevelType w:val="hybridMultilevel"/>
    <w:tmpl w:val="E06E5D24"/>
    <w:lvl w:ilvl="0" w:tplc="814E1B1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35B0C95"/>
    <w:multiLevelType w:val="hybridMultilevel"/>
    <w:tmpl w:val="D5803D6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3">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nsid w:val="30433F2E"/>
    <w:multiLevelType w:val="hybridMultilevel"/>
    <w:tmpl w:val="3042CE4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nsid w:val="3A0339D8"/>
    <w:multiLevelType w:val="hybridMultilevel"/>
    <w:tmpl w:val="56EC27C8"/>
    <w:lvl w:ilvl="0" w:tplc="9A6E02B2">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2155F37"/>
    <w:multiLevelType w:val="hybridMultilevel"/>
    <w:tmpl w:val="04489310"/>
    <w:lvl w:ilvl="0" w:tplc="4062694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94948C9"/>
    <w:multiLevelType w:val="hybridMultilevel"/>
    <w:tmpl w:val="9058F0BC"/>
    <w:lvl w:ilvl="0" w:tplc="E73811E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981BD3"/>
    <w:multiLevelType w:val="hybridMultilevel"/>
    <w:tmpl w:val="E9923D42"/>
    <w:lvl w:ilvl="0" w:tplc="82CC5136">
      <w:start w:val="1"/>
      <w:numFmt w:val="lowerLetter"/>
      <w:lvlText w:val="(%1)"/>
      <w:lvlJc w:val="left"/>
      <w:pPr>
        <w:ind w:left="3621"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A513D18"/>
    <w:multiLevelType w:val="hybridMultilevel"/>
    <w:tmpl w:val="E4CE5CA2"/>
    <w:lvl w:ilvl="0" w:tplc="20606722">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710555C"/>
    <w:multiLevelType w:val="hybridMultilevel"/>
    <w:tmpl w:val="BD1C7162"/>
    <w:lvl w:ilvl="0" w:tplc="5EE0390C">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7F46EED"/>
    <w:multiLevelType w:val="hybridMultilevel"/>
    <w:tmpl w:val="10A26B08"/>
    <w:lvl w:ilvl="0" w:tplc="6D9A2132">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00205CC"/>
    <w:multiLevelType w:val="hybridMultilevel"/>
    <w:tmpl w:val="783E8428"/>
    <w:lvl w:ilvl="0" w:tplc="695C58DC">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6DC031BA"/>
    <w:multiLevelType w:val="hybridMultilevel"/>
    <w:tmpl w:val="AE54395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AEE4629"/>
    <w:multiLevelType w:val="hybridMultilevel"/>
    <w:tmpl w:val="684A5F4C"/>
    <w:lvl w:ilvl="0" w:tplc="71C061A4">
      <w:start w:val="1"/>
      <w:numFmt w:val="lowerLetter"/>
      <w:lvlText w:val="(%1)"/>
      <w:lvlJc w:val="left"/>
      <w:pPr>
        <w:ind w:left="1854" w:hanging="360"/>
      </w:pPr>
      <w:rPr>
        <w:rFonts w:hint="default"/>
        <w:b/>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2"/>
  </w:num>
  <w:num w:numId="4">
    <w:abstractNumId w:val="12"/>
  </w:num>
  <w:num w:numId="5">
    <w:abstractNumId w:val="13"/>
  </w:num>
  <w:num w:numId="6">
    <w:abstractNumId w:val="5"/>
  </w:num>
  <w:num w:numId="7">
    <w:abstractNumId w:val="15"/>
  </w:num>
  <w:num w:numId="8">
    <w:abstractNumId w:val="16"/>
  </w:num>
  <w:num w:numId="9">
    <w:abstractNumId w:val="14"/>
  </w:num>
  <w:num w:numId="10">
    <w:abstractNumId w:val="20"/>
  </w:num>
  <w:num w:numId="11">
    <w:abstractNumId w:val="7"/>
  </w:num>
  <w:num w:numId="12">
    <w:abstractNumId w:val="9"/>
  </w:num>
  <w:num w:numId="13">
    <w:abstractNumId w:val="22"/>
  </w:num>
  <w:num w:numId="14">
    <w:abstractNumId w:val="4"/>
  </w:num>
  <w:num w:numId="15">
    <w:abstractNumId w:val="25"/>
  </w:num>
  <w:num w:numId="16">
    <w:abstractNumId w:val="8"/>
  </w:num>
  <w:num w:numId="17">
    <w:abstractNumId w:val="21"/>
  </w:num>
  <w:num w:numId="18">
    <w:abstractNumId w:val="23"/>
  </w:num>
  <w:num w:numId="19">
    <w:abstractNumId w:val="19"/>
  </w:num>
  <w:num w:numId="20">
    <w:abstractNumId w:val="6"/>
  </w:num>
  <w:num w:numId="21">
    <w:abstractNumId w:val="10"/>
  </w:num>
  <w:num w:numId="22">
    <w:abstractNumId w:val="18"/>
  </w:num>
  <w:num w:numId="23">
    <w:abstractNumId w:val="17"/>
  </w:num>
  <w:num w:numId="24">
    <w:abstractNumId w:val="11"/>
  </w:num>
  <w:num w:numId="25">
    <w:abstractNumId w:val="2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2*"/>
    <w:docVar w:name="CreationDt" w:val="31/03/2017 17:12:55"/>
    <w:docVar w:name="DocCategory" w:val="Doc"/>
    <w:docVar w:name="DocType" w:val="Final"/>
    <w:docVar w:name="DutyStation" w:val="New York"/>
    <w:docVar w:name="FooterJN" w:val="17-03882 (C)"/>
    <w:docVar w:name="jobn" w:val="17-03882 (C)"/>
    <w:docVar w:name="jobnDT" w:val="17-03882 (C)   310317"/>
    <w:docVar w:name="jobnDTDT" w:val="17-03882 (C)   310317   310317"/>
    <w:docVar w:name="JobNo" w:val="1703882C"/>
    <w:docVar w:name="LocalDrive" w:val="0"/>
    <w:docVar w:name="OandT" w:val="ji"/>
    <w:docVar w:name="sss1" w:val="CEDAW/C/FSM/CO/1-3"/>
    <w:docVar w:name="sss2" w:val="-"/>
    <w:docVar w:name="Symbol1" w:val="CEDAW/C/FSM/CO/1-3"/>
    <w:docVar w:name="Symbol2" w:val="-"/>
  </w:docVars>
  <w:rsids>
    <w:rsidRoot w:val="00C91BE1"/>
    <w:rsid w:val="00000689"/>
    <w:rsid w:val="0000347C"/>
    <w:rsid w:val="0000715A"/>
    <w:rsid w:val="000074E0"/>
    <w:rsid w:val="000101C8"/>
    <w:rsid w:val="0001169E"/>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31B8"/>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2798"/>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4553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26DF2"/>
    <w:rsid w:val="00230FAB"/>
    <w:rsid w:val="00231575"/>
    <w:rsid w:val="00232F4A"/>
    <w:rsid w:val="002400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1A5A"/>
    <w:rsid w:val="00281A61"/>
    <w:rsid w:val="00282D17"/>
    <w:rsid w:val="00284DED"/>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C79A6"/>
    <w:rsid w:val="002D039F"/>
    <w:rsid w:val="002D0694"/>
    <w:rsid w:val="002D0B62"/>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1DE8"/>
    <w:rsid w:val="00373A15"/>
    <w:rsid w:val="00376C04"/>
    <w:rsid w:val="00381AB0"/>
    <w:rsid w:val="00383ACA"/>
    <w:rsid w:val="00384CB1"/>
    <w:rsid w:val="003869FA"/>
    <w:rsid w:val="00390B02"/>
    <w:rsid w:val="00394A02"/>
    <w:rsid w:val="003966E8"/>
    <w:rsid w:val="003A1C26"/>
    <w:rsid w:val="003A2E56"/>
    <w:rsid w:val="003A7B88"/>
    <w:rsid w:val="003C4125"/>
    <w:rsid w:val="003C448D"/>
    <w:rsid w:val="003C7B20"/>
    <w:rsid w:val="003D075F"/>
    <w:rsid w:val="003D5B4D"/>
    <w:rsid w:val="003E4565"/>
    <w:rsid w:val="003E5999"/>
    <w:rsid w:val="003E748F"/>
    <w:rsid w:val="003E7612"/>
    <w:rsid w:val="003F4BD2"/>
    <w:rsid w:val="003F7BF8"/>
    <w:rsid w:val="004044EF"/>
    <w:rsid w:val="00412AF9"/>
    <w:rsid w:val="00413FBC"/>
    <w:rsid w:val="00414423"/>
    <w:rsid w:val="0041664F"/>
    <w:rsid w:val="0041733F"/>
    <w:rsid w:val="00420761"/>
    <w:rsid w:val="0043377F"/>
    <w:rsid w:val="00433853"/>
    <w:rsid w:val="00440B0D"/>
    <w:rsid w:val="004411AD"/>
    <w:rsid w:val="004424EF"/>
    <w:rsid w:val="00443516"/>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52D"/>
    <w:rsid w:val="004C5B65"/>
    <w:rsid w:val="004D07E1"/>
    <w:rsid w:val="004D1C19"/>
    <w:rsid w:val="004D60D1"/>
    <w:rsid w:val="004E4081"/>
    <w:rsid w:val="004E739A"/>
    <w:rsid w:val="004F29B8"/>
    <w:rsid w:val="004F3649"/>
    <w:rsid w:val="004F4BBB"/>
    <w:rsid w:val="004F4EFB"/>
    <w:rsid w:val="004F5333"/>
    <w:rsid w:val="004F5E26"/>
    <w:rsid w:val="004F6577"/>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7DE"/>
    <w:rsid w:val="00610CF2"/>
    <w:rsid w:val="00615A9C"/>
    <w:rsid w:val="00617802"/>
    <w:rsid w:val="006201CE"/>
    <w:rsid w:val="00621E5A"/>
    <w:rsid w:val="006328DE"/>
    <w:rsid w:val="006353DE"/>
    <w:rsid w:val="00640671"/>
    <w:rsid w:val="00642196"/>
    <w:rsid w:val="006432CB"/>
    <w:rsid w:val="00646B55"/>
    <w:rsid w:val="006479F1"/>
    <w:rsid w:val="0065055D"/>
    <w:rsid w:val="00650BEE"/>
    <w:rsid w:val="00651B0B"/>
    <w:rsid w:val="006520FA"/>
    <w:rsid w:val="0065377D"/>
    <w:rsid w:val="00661120"/>
    <w:rsid w:val="00666F57"/>
    <w:rsid w:val="006740A7"/>
    <w:rsid w:val="006767D5"/>
    <w:rsid w:val="006859ED"/>
    <w:rsid w:val="00691524"/>
    <w:rsid w:val="006926DF"/>
    <w:rsid w:val="00697E61"/>
    <w:rsid w:val="006A2730"/>
    <w:rsid w:val="006A5CFB"/>
    <w:rsid w:val="006A654B"/>
    <w:rsid w:val="006B769C"/>
    <w:rsid w:val="006C4BB3"/>
    <w:rsid w:val="006D2A4A"/>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181C"/>
    <w:rsid w:val="007D441A"/>
    <w:rsid w:val="007D518C"/>
    <w:rsid w:val="007D5642"/>
    <w:rsid w:val="007E0D70"/>
    <w:rsid w:val="007E1B5E"/>
    <w:rsid w:val="007E49C8"/>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75145"/>
    <w:rsid w:val="00883DB0"/>
    <w:rsid w:val="008843BC"/>
    <w:rsid w:val="00884C8F"/>
    <w:rsid w:val="00886C19"/>
    <w:rsid w:val="008927AD"/>
    <w:rsid w:val="00892D55"/>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261C"/>
    <w:rsid w:val="00907874"/>
    <w:rsid w:val="00911686"/>
    <w:rsid w:val="009122E0"/>
    <w:rsid w:val="00913351"/>
    <w:rsid w:val="00917344"/>
    <w:rsid w:val="00923D95"/>
    <w:rsid w:val="009248ED"/>
    <w:rsid w:val="00925486"/>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6B54"/>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43B9"/>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0518D"/>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C388E"/>
    <w:rsid w:val="00BC59D0"/>
    <w:rsid w:val="00BD1B08"/>
    <w:rsid w:val="00BD1BFF"/>
    <w:rsid w:val="00BD2150"/>
    <w:rsid w:val="00BE1CC3"/>
    <w:rsid w:val="00BE1CDE"/>
    <w:rsid w:val="00BE365A"/>
    <w:rsid w:val="00BE47C4"/>
    <w:rsid w:val="00BE4CDC"/>
    <w:rsid w:val="00BE50EF"/>
    <w:rsid w:val="00C01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18C9"/>
    <w:rsid w:val="00C847BD"/>
    <w:rsid w:val="00C900C5"/>
    <w:rsid w:val="00C91BE1"/>
    <w:rsid w:val="00C92AE0"/>
    <w:rsid w:val="00C92C12"/>
    <w:rsid w:val="00C93BC6"/>
    <w:rsid w:val="00C943B4"/>
    <w:rsid w:val="00C97C0D"/>
    <w:rsid w:val="00CA0B47"/>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35E68"/>
    <w:rsid w:val="00D42ACC"/>
    <w:rsid w:val="00D46BC5"/>
    <w:rsid w:val="00D51DC5"/>
    <w:rsid w:val="00D53449"/>
    <w:rsid w:val="00D5525A"/>
    <w:rsid w:val="00D613E0"/>
    <w:rsid w:val="00D61C93"/>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4817"/>
    <w:rsid w:val="00DB53E0"/>
    <w:rsid w:val="00DC2506"/>
    <w:rsid w:val="00DC4290"/>
    <w:rsid w:val="00DC49FA"/>
    <w:rsid w:val="00DD2F32"/>
    <w:rsid w:val="00DD3D6B"/>
    <w:rsid w:val="00DD4467"/>
    <w:rsid w:val="00DD5418"/>
    <w:rsid w:val="00DD61C8"/>
    <w:rsid w:val="00DD772B"/>
    <w:rsid w:val="00DE2A3B"/>
    <w:rsid w:val="00DF2A07"/>
    <w:rsid w:val="00DF5B53"/>
    <w:rsid w:val="00DF6BD9"/>
    <w:rsid w:val="00DF742A"/>
    <w:rsid w:val="00E030F5"/>
    <w:rsid w:val="00E041F4"/>
    <w:rsid w:val="00E050BA"/>
    <w:rsid w:val="00E06CBE"/>
    <w:rsid w:val="00E076AC"/>
    <w:rsid w:val="00E16655"/>
    <w:rsid w:val="00E16A6B"/>
    <w:rsid w:val="00E20807"/>
    <w:rsid w:val="00E21275"/>
    <w:rsid w:val="00E21A1F"/>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6F7"/>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B49CC"/>
    <w:rsid w:val="00EC25DE"/>
    <w:rsid w:val="00EC669D"/>
    <w:rsid w:val="00EC6F21"/>
    <w:rsid w:val="00EC73DC"/>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45FA"/>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0CB1"/>
    <w:rsid w:val="00FC1CE4"/>
    <w:rsid w:val="00FC1D8D"/>
    <w:rsid w:val="00FD4C0F"/>
    <w:rsid w:val="00FD594E"/>
    <w:rsid w:val="00FD75B9"/>
    <w:rsid w:val="00FE0315"/>
    <w:rsid w:val="00FE1E08"/>
    <w:rsid w:val="00FE31B8"/>
    <w:rsid w:val="00FE596D"/>
    <w:rsid w:val="00FE5FE8"/>
    <w:rsid w:val="00FE6AEC"/>
    <w:rsid w:val="00FF0C55"/>
    <w:rsid w:val="00FF3563"/>
    <w:rsid w:val="00FF3706"/>
    <w:rsid w:val="00FF5B08"/>
    <w:rsid w:val="00FF6745"/>
    <w:rsid w:val="00FF79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FSM/Q/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FSM/1-3" TargetMode="External"/><Relationship Id="rId2" Type="http://schemas.openxmlformats.org/officeDocument/2006/relationships/numbering" Target="numbering.xml"/><Relationship Id="rId16" Type="http://schemas.openxmlformats.org/officeDocument/2006/relationships/hyperlink" Target="http://undocs.org/ch/CEDAW/C/SR.1488" TargetMode="External"/><Relationship Id="rId20" Type="http://schemas.openxmlformats.org/officeDocument/2006/relationships/hyperlink" Target="http://undocs.org/ch/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ch/CEDAW/C/FSM/Q/1-3/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53CB9-81FE-4811-9C64-3B5FBA38A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10734</Words>
  <Characters>11266</Characters>
  <Application>Microsoft Office Word</Application>
  <DocSecurity>0</DocSecurity>
  <Lines>414</Lines>
  <Paragraphs>166</Paragraphs>
  <ScaleCrop>false</ScaleCrop>
  <Company>United Nations</Company>
  <LinksUpToDate>false</LinksUpToDate>
  <CharactersWithSpaces>11454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Shuxing Ji</cp:lastModifiedBy>
  <cp:revision>4</cp:revision>
  <cp:lastPrinted>2017-03-31T21:26:00Z</cp:lastPrinted>
  <dcterms:created xsi:type="dcterms:W3CDTF">2017-03-31T21:23:00Z</dcterms:created>
  <dcterms:modified xsi:type="dcterms:W3CDTF">2017-03-31T21:27:00Z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1703882</vt:lpwstr>
  </property>
  <property fmtid="{D5CDD505-2E9C-101B-9397-08002B2CF9AE}" pid="3" name="ODSRefJobNo">
    <vt:lpwstr>1706270C</vt:lpwstr>
  </property>
  <property fmtid="{D5CDD505-2E9C-101B-9397-08002B2CF9AE}" pid="4" name="Symbol1">
    <vt:lpwstr>CEDAW/C/FSM/CO/1-3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310317</vt:lpwstr>
  </property>
  <property fmtid="{D5CDD505-2E9C-101B-9397-08002B2CF9AE}" pid="11" name="Comment">
    <vt:lpwstr/>
  </property>
  <property fmtid="{D5CDD505-2E9C-101B-9397-08002B2CF9AE}" pid="12" name="DraftPages">
    <vt:lpwstr> </vt:lpwstr>
  </property>
  <property fmtid="{D5CDD505-2E9C-101B-9397-08002B2CF9AE}" pid="13" name="Operator">
    <vt:lpwstr>ji</vt:lpwstr>
  </property>
</Properties>
</file>