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4BE4FC0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70FEF7E" w14:textId="77777777" w:rsidR="002D5AAC" w:rsidRPr="00A7278F" w:rsidRDefault="002D5AAC" w:rsidP="007D1B6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9638758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4C1B41" w14:textId="180991C1" w:rsidR="002D5AAC" w:rsidRDefault="007D1B69" w:rsidP="007D1B69">
            <w:pPr>
              <w:jc w:val="right"/>
            </w:pPr>
            <w:r w:rsidRPr="007D1B69">
              <w:rPr>
                <w:sz w:val="40"/>
              </w:rPr>
              <w:t>E</w:t>
            </w:r>
            <w:r>
              <w:t>/C.12/2025/1</w:t>
            </w:r>
          </w:p>
        </w:tc>
      </w:tr>
      <w:tr w:rsidR="002D5AAC" w:rsidRPr="00A7278F" w14:paraId="4B1FB6AB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064900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0A444AA" wp14:editId="18EB056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2B4D14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14269AB" w14:textId="77777777" w:rsidR="002D5AAC" w:rsidRDefault="007D1B69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A539861" w14:textId="77777777" w:rsidR="007D1B69" w:rsidRDefault="007D1B69" w:rsidP="007D1B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March 2025</w:t>
            </w:r>
          </w:p>
          <w:p w14:paraId="652CF67D" w14:textId="77777777" w:rsidR="007D1B69" w:rsidRDefault="007D1B69" w:rsidP="007D1B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838EE6D" w14:textId="55672414" w:rsidR="007D1B69" w:rsidRPr="00D62A45" w:rsidRDefault="007D1B69" w:rsidP="007D1B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A274119" w14:textId="5BED21FF" w:rsidR="007D1B69" w:rsidRPr="007D1B69" w:rsidRDefault="007D1B69" w:rsidP="007D1B69">
      <w:pPr>
        <w:spacing w:before="120"/>
        <w:rPr>
          <w:b/>
          <w:bCs/>
          <w:sz w:val="24"/>
          <w:szCs w:val="24"/>
        </w:rPr>
      </w:pPr>
      <w:r w:rsidRPr="007D1B69">
        <w:rPr>
          <w:b/>
          <w:bCs/>
          <w:sz w:val="24"/>
          <w:szCs w:val="24"/>
        </w:rPr>
        <w:t xml:space="preserve">Комитет по экономическим, социальным </w:t>
      </w:r>
      <w:r w:rsidRPr="008F302D">
        <w:rPr>
          <w:b/>
          <w:bCs/>
          <w:sz w:val="24"/>
          <w:szCs w:val="24"/>
        </w:rPr>
        <w:br/>
      </w:r>
      <w:r w:rsidRPr="007D1B69">
        <w:rPr>
          <w:b/>
          <w:bCs/>
          <w:sz w:val="24"/>
          <w:szCs w:val="24"/>
        </w:rPr>
        <w:t>и культурным правам</w:t>
      </w:r>
    </w:p>
    <w:p w14:paraId="1EF900A6" w14:textId="034FF37A" w:rsidR="007D1B69" w:rsidRPr="007D1B69" w:rsidRDefault="007D1B69" w:rsidP="007D1B69">
      <w:pPr>
        <w:pStyle w:val="HChG"/>
      </w:pPr>
      <w:r>
        <w:tab/>
      </w:r>
      <w:r>
        <w:tab/>
      </w:r>
      <w:r w:rsidRPr="007D1B69">
        <w:t>Налоговая политика и Международный пакт об</w:t>
      </w:r>
      <w:r>
        <w:rPr>
          <w:lang w:val="en-US"/>
        </w:rPr>
        <w:t> </w:t>
      </w:r>
      <w:r w:rsidRPr="007D1B69">
        <w:t>экономических, социальных и культурных правах</w:t>
      </w:r>
    </w:p>
    <w:p w14:paraId="1AAFAD9E" w14:textId="110DC733" w:rsidR="007D1B69" w:rsidRPr="007D1B69" w:rsidRDefault="007D1B69" w:rsidP="007D1B69">
      <w:pPr>
        <w:pStyle w:val="H1G"/>
      </w:pPr>
      <w:r>
        <w:tab/>
      </w:r>
      <w:r>
        <w:tab/>
        <w:t>Заявление Комитета по экономическим, социальным и</w:t>
      </w:r>
      <w:r>
        <w:rPr>
          <w:lang w:val="en-US"/>
        </w:rPr>
        <w:t> </w:t>
      </w:r>
      <w:r>
        <w:t>культурным правам</w:t>
      </w:r>
      <w:r w:rsidRPr="007D1B69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14:paraId="515F38D4" w14:textId="77777777" w:rsidR="007D1B69" w:rsidRPr="00B73535" w:rsidRDefault="007D1B69" w:rsidP="007D1B69">
      <w:pPr>
        <w:pStyle w:val="HChG"/>
        <w:rPr>
          <w:shd w:val="clear" w:color="000000" w:fill="FFFFFF"/>
        </w:rPr>
      </w:pPr>
      <w:r w:rsidRPr="008F302D">
        <w:rPr>
          <w:bCs/>
        </w:rPr>
        <w:tab/>
      </w:r>
      <w:bookmarkStart w:id="0" w:name="_Hlk198024815"/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4D13FE46" w14:textId="1C17464A" w:rsidR="007D1B69" w:rsidRPr="00B73535" w:rsidRDefault="007D1B69" w:rsidP="007D1B69">
      <w:pPr>
        <w:pStyle w:val="SingleTxtG"/>
        <w:rPr>
          <w:shd w:val="clear" w:color="000000" w:fill="FFFFFF"/>
        </w:rPr>
      </w:pPr>
      <w:bookmarkStart w:id="1" w:name="_Hlk198024846"/>
      <w:bookmarkEnd w:id="0"/>
      <w:r>
        <w:t>1.</w:t>
      </w:r>
      <w:r>
        <w:tab/>
        <w:t>Согласно Международному пакту об экономических, социальных и культурных правах государства-участники обязаны в индивидуальном порядке и в порядке международной помощи и сотрудничества принять в максимальных пределах имеющихся ресурсов меры к тому, чтобы обеспечить постепенно полное осуществление экономических, социальных и культурных прав (пункт</w:t>
      </w:r>
      <w:r>
        <w:rPr>
          <w:lang w:val="en-US"/>
        </w:rPr>
        <w:t> </w:t>
      </w:r>
      <w:r>
        <w:t>1 статьи</w:t>
      </w:r>
      <w:r>
        <w:rPr>
          <w:lang w:val="en-US"/>
        </w:rPr>
        <w:t> </w:t>
      </w:r>
      <w:r>
        <w:t>2). Кроме того, принцип недискриминации и равенства (пункт</w:t>
      </w:r>
      <w:r>
        <w:rPr>
          <w:lang w:val="en-US"/>
        </w:rPr>
        <w:t> </w:t>
      </w:r>
      <w:r>
        <w:t>2 статьи</w:t>
      </w:r>
      <w:r>
        <w:rPr>
          <w:lang w:val="en-US"/>
        </w:rPr>
        <w:t> </w:t>
      </w:r>
      <w:r>
        <w:t>2) требует от государств-участников не только ликвидировать формальную дискриминацию, но и обеспечить фактическое равенство путем принятия мер по устранению социально-экономического и гендерного неравенства</w:t>
      </w:r>
      <w:r w:rsidRPr="00915C39">
        <w:rPr>
          <w:rStyle w:val="a8"/>
        </w:rPr>
        <w:footnoteReference w:id="2"/>
      </w:r>
      <w:r>
        <w:t>. Обеспечение реализации экономических, социальных и культурных прав и поощрение фактического равенства требуют проведения продуманной финансово-бюджетной политики, в том числе как мобилизации достаточных ресурсов, так и адекватны</w:t>
      </w:r>
      <w:r w:rsidR="008170E6">
        <w:t>х</w:t>
      </w:r>
      <w:r>
        <w:t xml:space="preserve"> социальных расходов. Налогообложение является одним из ключевых инструментов мобилизации ресурсов для реализации экономических, социальных и культурных прав, а также для решения проблем бедности и социально-экономического неравенства. Хотя государства имеют право разрабатывать, проводить и регулировать свою налоговую политику в</w:t>
      </w:r>
      <w:r>
        <w:rPr>
          <w:lang w:val="en-US"/>
        </w:rPr>
        <w:t> </w:t>
      </w:r>
      <w:r>
        <w:t>соответствии со своими национальными приоритетами, эта прерогатива должна осуществляться в соответствии с их обязательствами по международному праву прав человека, включая Пакт.</w:t>
      </w:r>
    </w:p>
    <w:p w14:paraId="130E946E" w14:textId="5F862113" w:rsidR="007D1B69" w:rsidRPr="00B73535" w:rsidRDefault="007D1B69" w:rsidP="007D1B69">
      <w:pPr>
        <w:pStyle w:val="SingleTxtG"/>
        <w:rPr>
          <w:shd w:val="clear" w:color="000000" w:fill="FFFFFF"/>
        </w:rPr>
      </w:pPr>
      <w:r>
        <w:t>2.</w:t>
      </w:r>
      <w:r>
        <w:tab/>
        <w:t>Комитет по экономическим, социальным и культурным правам приветствует резолюцию</w:t>
      </w:r>
      <w:r>
        <w:rPr>
          <w:lang w:val="en-US"/>
        </w:rPr>
        <w:t> </w:t>
      </w:r>
      <w:r>
        <w:t>78/230 Генеральной Ассамблеи, в которой Ассамблея постановила учредить специальный межправительственный комитет открытого состава под руководством государств-членов с целью подготовки проекта документа о сфере охвата рамочной конвенции Организации Объединенных Наций о международном сотрудничестве в налоговых вопросах для повышения всеохватности и эффективности международного сотрудничества в налоговых вопросах</w:t>
      </w:r>
      <w:r w:rsidRPr="00915C39">
        <w:rPr>
          <w:rStyle w:val="a8"/>
        </w:rPr>
        <w:footnoteReference w:id="3"/>
      </w:r>
      <w:r>
        <w:t xml:space="preserve">. Как заявляется в Пакте </w:t>
      </w:r>
      <w:r>
        <w:lastRenderedPageBreak/>
        <w:t>во</w:t>
      </w:r>
      <w:r w:rsidR="00A7278F">
        <w:rPr>
          <w:lang w:val="en-US"/>
        </w:rPr>
        <w:t> </w:t>
      </w:r>
      <w:r>
        <w:t>имя будущего, «существующие структуры международного налогового регулирования требуют улучшения»</w:t>
      </w:r>
      <w:r w:rsidRPr="00915C39">
        <w:rPr>
          <w:rStyle w:val="a8"/>
        </w:rPr>
        <w:footnoteReference w:id="4"/>
      </w:r>
      <w:r>
        <w:t>. Поощрение всеохватного и эффективного международного сотрудничества в налоговых вопросах поможет странам эффективно мобилизовать свои ресурсы, в том числе путем активизации усилий по предотвращению незаконных финансовых потоков, коррупции, отмывания денег и уклонения от уплаты налогов и борьбе с ними, ликвидации «безопасных гаваней», а также изъятия и возвращения активов, связанных своим происхождением с незаконной деятельностью</w:t>
      </w:r>
      <w:r w:rsidRPr="00915C39">
        <w:rPr>
          <w:rStyle w:val="a8"/>
        </w:rPr>
        <w:footnoteReference w:id="5"/>
      </w:r>
      <w:r>
        <w:t>. Комитет приветствует тот факт, что в сфере охвата рамочной конвенции Организации Объединенных Наций о международном сотрудничестве в налоговых вопросах, принятой Генеральной Ассамблеей в ее резолюции 79/235, подчеркивается, что один из принципов конвенции состоит в том, что усилия по налаживанию международного налогового сотрудничества должны быть увязаны с обязательствами государств по международному праву прав человека</w:t>
      </w:r>
      <w:r w:rsidRPr="00915C39">
        <w:rPr>
          <w:rStyle w:val="a8"/>
        </w:rPr>
        <w:footnoteReference w:id="6"/>
      </w:r>
      <w:r>
        <w:t>. Такое развитие событий представляет собой важную возможность для создания механизма глобального налогового регулирования, который позволит государствам-участникам внедрить справедливые, всеохватные и эффективные налоговые системы и бороться с незаконными финансовыми потоками, связанными с налогообложением, способствуя тем самым реализации экономических, социальных и культурных прав.</w:t>
      </w:r>
      <w:bookmarkStart w:id="2" w:name="_Hlk191124007"/>
      <w:bookmarkStart w:id="3" w:name="_Hlk187672115"/>
      <w:bookmarkStart w:id="4" w:name="_Hlk187677992"/>
      <w:bookmarkEnd w:id="2"/>
      <w:bookmarkEnd w:id="3"/>
    </w:p>
    <w:p w14:paraId="31610100" w14:textId="63FE8450" w:rsidR="007D1B69" w:rsidRPr="00B73535" w:rsidRDefault="007D1B69" w:rsidP="007D1B69">
      <w:pPr>
        <w:pStyle w:val="SingleTxtG"/>
        <w:rPr>
          <w:shd w:val="clear" w:color="000000" w:fill="FFFFFF"/>
        </w:rPr>
      </w:pPr>
      <w:bookmarkStart w:id="5" w:name="_Hlk187677519"/>
      <w:bookmarkStart w:id="6" w:name="_Hlk191125733"/>
      <w:r>
        <w:t>3.</w:t>
      </w:r>
      <w:r>
        <w:tab/>
        <w:t>Комитет рассматривает вопросы, связанные с налогообложением, в своих заключительных замечаниях по итогам рассмотрения докладов государств-участников и в своих замечаниях общего порядка</w:t>
      </w:r>
      <w:r w:rsidRPr="00915C39">
        <w:rPr>
          <w:rStyle w:val="a8"/>
        </w:rPr>
        <w:footnoteReference w:id="7"/>
      </w:r>
      <w:r w:rsidR="00D5616C">
        <w:t>,</w:t>
      </w:r>
      <w:r>
        <w:t xml:space="preserve"> признавая их влияние на реализацию экономических, социальных и культурных прав. Опираясь на эту работу, Комитет напоминает государствам-участникам и другим заинтересованным сторонам о</w:t>
      </w:r>
      <w:r w:rsidR="009D58EB">
        <w:t> </w:t>
      </w:r>
      <w:r>
        <w:t>важности применения правозащитного подхода при разработке своей налоговой политики и механизмов международного сотрудничества в налоговых вопросах. В</w:t>
      </w:r>
      <w:r w:rsidR="00AB5B19">
        <w:t> </w:t>
      </w:r>
      <w:r>
        <w:t>настоящем заявлении Комитет хотел бы дать руководящие указания относительно обязательств государств-участников по Пакту в этих областях и подчеркнуть необходимость обеспечения того, чтобы налоговая политика способствовала равенству и недискриминации, а также мобилизации ресурсов для реализации экономических, социальных и культурных прав. При этом он ставит своей целью помочь государствам-участникам лучше увязать процедуры принятия решений с</w:t>
      </w:r>
      <w:r w:rsidR="00AB5B19">
        <w:t> </w:t>
      </w:r>
      <w:r>
        <w:t>этими обязательствами как в рамках текущих процессов Организации Объединенных Наций и региональных процессов, так и в контексте их внутренней налоговой политики.</w:t>
      </w:r>
      <w:bookmarkStart w:id="8" w:name="_Hlk187677725"/>
      <w:bookmarkEnd w:id="4"/>
      <w:bookmarkEnd w:id="5"/>
      <w:bookmarkEnd w:id="6"/>
      <w:bookmarkEnd w:id="8"/>
    </w:p>
    <w:p w14:paraId="717029F3" w14:textId="79B89E63" w:rsidR="007D1B69" w:rsidRPr="00E07869" w:rsidRDefault="007D1B69" w:rsidP="007D1B69">
      <w:pPr>
        <w:pStyle w:val="HChG"/>
        <w:rPr>
          <w:shd w:val="clear" w:color="000000" w:fill="FFFFFF"/>
        </w:rPr>
      </w:pPr>
      <w:bookmarkStart w:id="9" w:name="_Hlk198024877"/>
      <w:bookmarkEnd w:id="1"/>
      <w:r w:rsidRPr="00AB5B19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Обязательства в области налоговой политики, вытекающие из Пакта</w:t>
      </w:r>
      <w:bookmarkEnd w:id="9"/>
      <w:r>
        <w:t xml:space="preserve"> </w:t>
      </w:r>
      <w:bookmarkStart w:id="10" w:name="_Hlk187681662"/>
      <w:bookmarkEnd w:id="10"/>
    </w:p>
    <w:p w14:paraId="77063E05" w14:textId="77777777" w:rsidR="007D1B69" w:rsidRPr="00B73535" w:rsidRDefault="007D1B69" w:rsidP="007D1B69">
      <w:pPr>
        <w:pStyle w:val="SingleTxtG"/>
        <w:rPr>
          <w:shd w:val="clear" w:color="000000" w:fill="FFFFFF"/>
        </w:rPr>
      </w:pPr>
      <w:bookmarkStart w:id="11" w:name="_Hlk190638615"/>
      <w:bookmarkStart w:id="12" w:name="_Hlk187683414"/>
      <w:bookmarkStart w:id="13" w:name="_Hlk198024894"/>
      <w:r>
        <w:t>4.</w:t>
      </w:r>
      <w:r>
        <w:tab/>
        <w:t xml:space="preserve">При рассмотрении вопроса об осуществлении Пакта государствами-участниками Комитет выявил ситуации, в которых регрессивная и неэффективная налоговая политика ограничивает возможности государств-участников по осуществлению экономических, социальных и культурных прав и оказывает непропорционально большое воздействие на домохозяйства с низким уровнем доходов, женщин и группы населения, находящиеся в неблагоприятном положении. Одним из таких примеров является налоговая политика, которая сохраняет низкие налоги на личные и корпоративные доходы, не решая должным образом проблему существенного неравенства в доходах. Кроме того, налоги на потребление, такие как налог на добавленную стоимость, могут оказывать негативное воздействие на группы населения, находящиеся в неблагоприятном положении, такие как малообеспеченные </w:t>
      </w:r>
      <w:r>
        <w:lastRenderedPageBreak/>
        <w:t>семьи и домохозяйства с одним родителем, которые обычно тратят большую часть своего дохода на повседневные товары и услуги. В этом контексте Комитет призвал государства-участники разрабатывать и проводить эффективную, надлежащую, прогрессивную и социально справедливую налоговую политику</w:t>
      </w:r>
      <w:r w:rsidRPr="00915C39">
        <w:rPr>
          <w:rStyle w:val="a8"/>
        </w:rPr>
        <w:footnoteReference w:id="8"/>
      </w:r>
      <w:r>
        <w:t>.</w:t>
      </w:r>
    </w:p>
    <w:p w14:paraId="458631A3" w14:textId="512BA32C" w:rsidR="007D1B69" w:rsidRPr="00B73535" w:rsidRDefault="007D1B69" w:rsidP="007D1B69">
      <w:pPr>
        <w:pStyle w:val="SingleTxtG"/>
        <w:rPr>
          <w:shd w:val="clear" w:color="000000" w:fill="FFFFFF"/>
        </w:rPr>
      </w:pPr>
      <w:r>
        <w:t>5.</w:t>
      </w:r>
      <w:r>
        <w:tab/>
        <w:t>Комитет подчеркивает, что как внутри страны, так и в контексте международного сотрудничества в налоговых вопросах государства-участники должны в качестве предварительного условия соблюдать при разработке и осуществлении налоговой политики процедурные гарантии, вытекающие из их обязательств в области прав человека. Процесс разработки налоговой политики должен быть всеохватным, транспарентным, партисипативным и основанным на фактических данных и способствовать информированному общественному обсуждению. Кроме того, государства-участники должны проводить всесторонние оценки воздействия существующей и предлагаемой налоговой политики на реализацию экономических, социальных и культурных прав. Оценки воздействия должны проводиться на транспарентной основе, при конструктивном и информированном участии социальных субъектов. Такие оценки должны включать анализ: a)</w:t>
      </w:r>
      <w:r>
        <w:rPr>
          <w:lang w:val="en-US"/>
        </w:rPr>
        <w:t> </w:t>
      </w:r>
      <w:r>
        <w:t>удельного веса налоговых поступлений в валовом внутреннем продукте; b)</w:t>
      </w:r>
      <w:r>
        <w:rPr>
          <w:lang w:val="en-US"/>
        </w:rPr>
        <w:t> </w:t>
      </w:r>
      <w:r>
        <w:t>поступлений от налогов, взимаемых c личных и корпоративных доходов, а также от налогов на потребление, включая налог на добавленную стоимость; c)</w:t>
      </w:r>
      <w:r>
        <w:rPr>
          <w:lang w:val="en-US"/>
        </w:rPr>
        <w:t> </w:t>
      </w:r>
      <w:r>
        <w:t>общего воздействия на распределение доходов и налогового бремени для групп населения с</w:t>
      </w:r>
      <w:r>
        <w:rPr>
          <w:lang w:val="en-US"/>
        </w:rPr>
        <w:t> </w:t>
      </w:r>
      <w:r>
        <w:t>разным уровнем дохода, женщин и групп населения, находящихся в неблагоприятном положении; и d) преимуществ и влияния различных изъятий из режима налогообложения, в том числе связанных с природными ресурсами.</w:t>
      </w:r>
      <w:bookmarkEnd w:id="11"/>
    </w:p>
    <w:p w14:paraId="482B22BD" w14:textId="397CB271" w:rsidR="007D1B69" w:rsidRPr="00E07869" w:rsidRDefault="007D1B69" w:rsidP="007D1B69">
      <w:pPr>
        <w:pStyle w:val="SingleTxtG"/>
        <w:rPr>
          <w:shd w:val="clear" w:color="000000" w:fill="FFFFFF"/>
        </w:rPr>
      </w:pPr>
      <w:bookmarkStart w:id="14" w:name="_Hlk187692339"/>
      <w:r>
        <w:t>6.</w:t>
      </w:r>
      <w:r>
        <w:tab/>
        <w:t>Хорошо продуманная налоговая система должна служить действенному получению доходов для обеспечения осуществления экономических, социальных и культурных прав и снижению высокого уровня экономического и социального неравенства. Комитет напоминает, что внедрение любой налоговой системы не должно оказывать пагубного воздействия на осуществление прав, предусмотренных Пактом, в частности права на достаточный жизненный уровень, в особенности для находящихся в неблагоприятном положении и маргинализированных групп. В этой связи государства-участники могли бы рассмотреть возможность принятия таких мер, как: a)</w:t>
      </w:r>
      <w:r w:rsidR="00653E1C">
        <w:t> </w:t>
      </w:r>
      <w:r>
        <w:t>обеспечение того, чтобы лица с более высокими доходами и богатством, в</w:t>
      </w:r>
      <w:r>
        <w:rPr>
          <w:lang w:val="en-US"/>
        </w:rPr>
        <w:t> </w:t>
      </w:r>
      <w:r>
        <w:t>частности те, кто находится в верхней части спектра доходов и богатства, несли соразмерное и надлежащее налоговое бремя; b)</w:t>
      </w:r>
      <w:r w:rsidR="00653E1C">
        <w:t> </w:t>
      </w:r>
      <w:r>
        <w:t>смещение акцента на подход, предусматривающий более прямое налогообложение доходов, а не взимание косвенных налогов, такие как налог на добавленную стоимость и налог на товары и услуги, от которых, как правило, непропорционально страдают отдельные лица и семьи с более низкими доходами; и c)</w:t>
      </w:r>
      <w:r w:rsidR="00653E1C">
        <w:t> </w:t>
      </w:r>
      <w:r>
        <w:t>обложение надлежащими налогами прибыли крупных компаний, в частности многонациональных компаний, домицилированных или действующих в государстве-участнике, и владельцев крупных личных состояний, в том числе путем введения скоординированного на глобальном уровне минимального подоходного налога для сверхбогатых людей</w:t>
      </w:r>
      <w:r w:rsidRPr="00915C39">
        <w:rPr>
          <w:rStyle w:val="a8"/>
        </w:rPr>
        <w:footnoteReference w:id="9"/>
      </w:r>
      <w:r>
        <w:t xml:space="preserve">. Кроме того, чтобы совокупным результатом этих мер стало продвижение экономических, социальных и культурных прав и одновременно снижение уровня неравенства, необходим всесторонний пересмотр налоговой системы. Вместе эти меры могут помочь государствам-участникам расширить свою налоговую базу и усилить перераспределительный эффект их национальных налоговых систем. Эффективность этих мер может быть еще больше повышена благодаря надлежащей бюджетной политике и эффективной </w:t>
      </w:r>
      <w:r>
        <w:lastRenderedPageBreak/>
        <w:t>политике государственных расходов, направленным на реализацию экономических, социальных и культурных прав.</w:t>
      </w:r>
      <w:bookmarkStart w:id="15" w:name="_Hlk173997154"/>
      <w:bookmarkStart w:id="16" w:name="_Hlk191134178"/>
      <w:bookmarkStart w:id="17" w:name="_Hlk191159018"/>
      <w:bookmarkStart w:id="18" w:name="_Hlk191159420"/>
      <w:bookmarkEnd w:id="12"/>
      <w:bookmarkEnd w:id="14"/>
      <w:bookmarkEnd w:id="15"/>
      <w:bookmarkEnd w:id="16"/>
      <w:bookmarkEnd w:id="17"/>
      <w:bookmarkEnd w:id="18"/>
    </w:p>
    <w:p w14:paraId="39E09569" w14:textId="45FC755F" w:rsidR="007D1B69" w:rsidRPr="00B73535" w:rsidRDefault="007D1B69" w:rsidP="007D1B69">
      <w:pPr>
        <w:pStyle w:val="SingleTxtG"/>
        <w:rPr>
          <w:shd w:val="clear" w:color="000000" w:fill="FFFFFF"/>
        </w:rPr>
      </w:pPr>
      <w:bookmarkStart w:id="19" w:name="_Hlk190639246"/>
      <w:r>
        <w:t>7.</w:t>
      </w:r>
      <w:r>
        <w:tab/>
        <w:t>Государствам-участникам также требуется обеспечить, чтобы налоговая политика разрабатывалась и осуществлялась, насколько это возможно, таким образом, чтобы содействовать достижению равенства по существу и устранению явных и неявных гендерных предубеждений</w:t>
      </w:r>
      <w:r w:rsidRPr="00915C39">
        <w:rPr>
          <w:rStyle w:val="a8"/>
        </w:rPr>
        <w:footnoteReference w:id="10"/>
      </w:r>
      <w:r>
        <w:t>. В этой связи государствам-участникам следует избегать введения регрессивного налогообложения, например налога на добавленную стоимость, которое несоразмерно в большей степени затрагивает женщин, имеющих низкий доход или вообще не имеющих дохода</w:t>
      </w:r>
      <w:r w:rsidRPr="00915C39">
        <w:rPr>
          <w:rStyle w:val="a8"/>
        </w:rPr>
        <w:footnoteReference w:id="11"/>
      </w:r>
      <w:r>
        <w:t>. Государствам-участникам важно проанализировать свою налоговую и социальную политику, в том числе изучить вопрос о том, как налоговые льготы и скидки влияют на распределение неоплачиваемого труда, а также как более высокие налоговые ставки для вторых кормильцев сказываются на гендерном равенстве. Государствам-участникам рекомендуется принимать налоговые меры в целях создания стимулов для изменения гендерного разделения труда и поощрения участия женщин на рынке труда. Кроме того, государствам-участникам следует обеспечить себе за счет справедливого и прогрессивного налогообложения бюджетное пространство для инвестирования в</w:t>
      </w:r>
      <w:r>
        <w:rPr>
          <w:lang w:val="en-US"/>
        </w:rPr>
        <w:t> </w:t>
      </w:r>
      <w:r>
        <w:t>государственные услуги, необходимые для реализации экономических, социальных и культурных прав, такие как учитывающие гендерные аспекты, инвалидность и возраст комплексные системы ухода и поддержки</w:t>
      </w:r>
      <w:r w:rsidRPr="00915C39">
        <w:rPr>
          <w:rStyle w:val="a8"/>
        </w:rPr>
        <w:footnoteReference w:id="12"/>
      </w:r>
      <w:r>
        <w:t xml:space="preserve">. </w:t>
      </w:r>
      <w:bookmarkStart w:id="20" w:name="_Hlk166830124"/>
      <w:bookmarkEnd w:id="19"/>
      <w:bookmarkEnd w:id="20"/>
    </w:p>
    <w:p w14:paraId="77D0B46F" w14:textId="521AB934" w:rsidR="007D1B69" w:rsidRPr="00B73535" w:rsidRDefault="007D1B69" w:rsidP="007D1B69">
      <w:pPr>
        <w:pStyle w:val="SingleTxtG"/>
        <w:rPr>
          <w:shd w:val="clear" w:color="000000" w:fill="FFFFFF"/>
        </w:rPr>
      </w:pPr>
      <w:bookmarkStart w:id="21" w:name="_Hlk187698543"/>
      <w:bookmarkStart w:id="22" w:name="_Hlk157071877"/>
      <w:r>
        <w:t>8.</w:t>
      </w:r>
      <w:r>
        <w:tab/>
        <w:t>Налогообложение может также служить инструментом регулирования. В</w:t>
      </w:r>
      <w:r>
        <w:rPr>
          <w:lang w:val="en-US"/>
        </w:rPr>
        <w:t> </w:t>
      </w:r>
      <w:r>
        <w:t>соответствующих случаях оно может использоваться для создания условий, способствующих реализации экономических, социальных и культурных прав, или для противодействия поведению, которое их подрывает. Комитет отметил, что налоговая политика может, например, способствовать доступу к здоровому питанию благодаря введению налогов на нездоровую пищу и напитки с высоким содержанием сахара</w:t>
      </w:r>
      <w:r w:rsidRPr="00915C39">
        <w:rPr>
          <w:rStyle w:val="a8"/>
        </w:rPr>
        <w:footnoteReference w:id="13"/>
      </w:r>
      <w:r>
        <w:t xml:space="preserve"> или позволить государствам-участникам защищать окружающую среду и выполнять свои обязательства в области климата</w:t>
      </w:r>
      <w:r w:rsidRPr="00915C39">
        <w:rPr>
          <w:rStyle w:val="a8"/>
        </w:rPr>
        <w:footnoteReference w:id="14"/>
      </w:r>
      <w:r w:rsidRPr="007D1B69">
        <w:t>.</w:t>
      </w:r>
      <w:r>
        <w:t xml:space="preserve"> Однако важно, чтобы такие меры разрабатывались и осуществлялись таким образом, чтобы они не ложились непропорционально тяжелым бременем на находящиеся в неблагоприятном положении и маргинализированные группы, в частности путем принятия мер по смягчению потенциально регрессивного воздействия.</w:t>
      </w:r>
      <w:bookmarkEnd w:id="21"/>
    </w:p>
    <w:bookmarkEnd w:id="13"/>
    <w:p w14:paraId="1CA6F79E" w14:textId="3AA143A9" w:rsidR="007D1B69" w:rsidRPr="00B73535" w:rsidRDefault="007D1B69" w:rsidP="007D1B69">
      <w:pPr>
        <w:pStyle w:val="HChG"/>
        <w:rPr>
          <w:shd w:val="clear" w:color="000000" w:fill="FFFFFF"/>
        </w:rPr>
      </w:pPr>
      <w:r w:rsidRPr="007D1B69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Международное сотрудничество и экстерриториальные обязательства по налогообложению</w:t>
      </w:r>
    </w:p>
    <w:p w14:paraId="4C763473" w14:textId="3D370E16" w:rsidR="007D1B69" w:rsidRPr="00E07869" w:rsidRDefault="007D1B69" w:rsidP="007D1B69">
      <w:pPr>
        <w:pStyle w:val="SingleTxtG"/>
        <w:rPr>
          <w:shd w:val="clear" w:color="000000" w:fill="FFFFFF"/>
        </w:rPr>
      </w:pPr>
      <w:r>
        <w:t>9.</w:t>
      </w:r>
      <w:r>
        <w:tab/>
        <w:t>Незаконные финансовые потоки и налоговые злоупотребления оборачиваются огромными потерями государственных доходов и препятствуют мобилизации внутренних ресурсов на цели реализации прав человека и борьбы с хронической нищетой и неравенством, особенно в странах с низким и средним уровнем дохода. Для</w:t>
      </w:r>
      <w:r>
        <w:rPr>
          <w:lang w:val="en-US"/>
        </w:rPr>
        <w:t> </w:t>
      </w:r>
      <w:r>
        <w:t>решения этой проблемы, как подчеркивал Комитет, государства-участники обязаны принимать меры по борьбе с уклонением от уплаты налогов и избежанием налогообложения как на своей территории, так и за ее пределами</w:t>
      </w:r>
      <w:r w:rsidRPr="00915C39">
        <w:rPr>
          <w:rStyle w:val="a8"/>
        </w:rPr>
        <w:footnoteReference w:id="15"/>
      </w:r>
      <w:r>
        <w:t>.</w:t>
      </w:r>
      <w:bookmarkEnd w:id="22"/>
    </w:p>
    <w:p w14:paraId="6DC707A0" w14:textId="537F4DC2" w:rsidR="007D1B69" w:rsidRPr="00B73535" w:rsidRDefault="007D1B69" w:rsidP="007D1B69">
      <w:pPr>
        <w:pStyle w:val="SingleTxtG"/>
        <w:rPr>
          <w:shd w:val="clear" w:color="000000" w:fill="FFFFFF"/>
        </w:rPr>
      </w:pPr>
      <w:bookmarkStart w:id="23" w:name="_Hlk190641458"/>
      <w:r>
        <w:t>10.</w:t>
      </w:r>
      <w:r>
        <w:tab/>
        <w:t xml:space="preserve">Уклонение от уплаты налогов и избежание налогообложения корпорациями и владельцами крупных личных состояний часто являются трансграничными по своему </w:t>
      </w:r>
      <w:r>
        <w:lastRenderedPageBreak/>
        <w:t>характеру и ведут к возникновению для государств экстерриториальных обязательств. Комитет наблюдал в некоторых государствах ситуации, когда низкие действующие ставки корпоративного налога, нерациональные налоговые стимулы, слабый надзор и правоприменение в отношении незаконных финансовых потоков, уклонения от уплаты налогов и избежания налогообложения, а также создание налоговых убежищ и финансовой тайны ведут к «гонке до полного истощения», лишая другие государства значительных ресурсов для государственных услуг, таких как здравоохранение, образование и жилье, а также для осуществления программ социального обеспечения и экологической политики. Как пояснил Комитет, экстерриториальные обязательства, вытекающие из пункта</w:t>
      </w:r>
      <w:r>
        <w:rPr>
          <w:lang w:val="en-US"/>
        </w:rPr>
        <w:t> </w:t>
      </w:r>
      <w:r>
        <w:t>1 статьи</w:t>
      </w:r>
      <w:r>
        <w:rPr>
          <w:lang w:val="en-US"/>
        </w:rPr>
        <w:t> </w:t>
      </w:r>
      <w:r>
        <w:t>2 Пакта, требуют от государств-участников обеспечивать, чтобы их национальная налоговая политика не подрывала способность других стран мобилизовывать государственные доходы для реализации экономических, социальных и культурных прав</w:t>
      </w:r>
      <w:r w:rsidRPr="00915C39">
        <w:rPr>
          <w:rStyle w:val="a8"/>
        </w:rPr>
        <w:footnoteReference w:id="16"/>
      </w:r>
      <w:r>
        <w:t>. С этой целью государства-участники должны проводить независимую и всестороннюю оценку воздействия своей национальной и международной налоговой политики на другие страны, в</w:t>
      </w:r>
      <w:r>
        <w:rPr>
          <w:lang w:val="en-US"/>
        </w:rPr>
        <w:t> </w:t>
      </w:r>
      <w:r>
        <w:t>частности на развивающиеся страны, и принимать, если это необходимо, корректирующие меры</w:t>
      </w:r>
      <w:r w:rsidRPr="00915C39">
        <w:rPr>
          <w:rStyle w:val="a8"/>
        </w:rPr>
        <w:footnoteReference w:id="17"/>
      </w:r>
      <w:r>
        <w:t>.</w:t>
      </w:r>
      <w:bookmarkEnd w:id="23"/>
    </w:p>
    <w:p w14:paraId="077C7BE4" w14:textId="03A21348" w:rsidR="007D1B69" w:rsidRPr="00B73535" w:rsidRDefault="007D1B69" w:rsidP="007D1B69">
      <w:pPr>
        <w:pStyle w:val="SingleTxtG"/>
        <w:rPr>
          <w:shd w:val="clear" w:color="000000" w:fill="FFFFFF"/>
        </w:rPr>
      </w:pPr>
      <w:bookmarkStart w:id="24" w:name="_Hlk187705767"/>
      <w:r>
        <w:t>11.</w:t>
      </w:r>
      <w:r>
        <w:tab/>
        <w:t>Кроме того, государствам-участникам следует принять все необходимые меры для борьбы с незаконными финансовыми потоками и трансграничным уклонением от уплаты налогов, в том числе путем злоупотребления трансфертным ценообразованием и налогового мошенничества со стороны коммерческих предприятий, действующих на их территории или домицилированных на ней, в частности посредством принятия и применения обязательных механизмов должной осмотрительности. Государства-участники должны также регулировать использование подставных компаний для вывода прибыли из-под налогообложения, уклонения от уплаты налогов и налогового мошенничества. Комитет призывает государства-участники ввести глобальный минимальный налог на прибыль крупных многонациональных предприятий во всех юрисдикциях, где они работают, и изучить возможность налогообложения этих предприятий как отдельных фирм на основе их общей глобальной прибыли, с</w:t>
      </w:r>
      <w:r>
        <w:rPr>
          <w:lang w:val="en-US"/>
        </w:rPr>
        <w:t> </w:t>
      </w:r>
      <w:r>
        <w:t>последующим справедливым распределением налога между всеми странами, в</w:t>
      </w:r>
      <w:r>
        <w:rPr>
          <w:lang w:val="en-US"/>
        </w:rPr>
        <w:t> </w:t>
      </w:r>
      <w:r>
        <w:t>которых они осуществляют свою деятельность</w:t>
      </w:r>
      <w:r w:rsidRPr="00915C39">
        <w:rPr>
          <w:rStyle w:val="a8"/>
        </w:rPr>
        <w:footnoteReference w:id="18"/>
      </w:r>
      <w:r>
        <w:t>.</w:t>
      </w:r>
      <w:bookmarkEnd w:id="24"/>
    </w:p>
    <w:p w14:paraId="4DA9898F" w14:textId="20329920" w:rsidR="007D1B69" w:rsidRPr="00B73535" w:rsidRDefault="007D1B69" w:rsidP="007D1B69">
      <w:pPr>
        <w:pStyle w:val="SingleTxtG"/>
        <w:rPr>
          <w:shd w:val="clear" w:color="000000" w:fill="FFFFFF"/>
        </w:rPr>
      </w:pPr>
      <w:r>
        <w:t>12.</w:t>
      </w:r>
      <w:r>
        <w:tab/>
        <w:t>Государства-участники должны также содействовать усилиям других стран в</w:t>
      </w:r>
      <w:r>
        <w:rPr>
          <w:lang w:val="en-US"/>
        </w:rPr>
        <w:t> </w:t>
      </w:r>
      <w:r>
        <w:t xml:space="preserve">деле борьбы с налоговыми злоупотреблениями, в том числе путем обеспечения того, чтобы государственные и частные финансовые учреждения, находящиеся под их юрисдикцией, являлись объектом соответствующего регулирования и мониторинга. Государства-участники должны принять механизмы должной осмотрительности для банков, профессиональных поставщиков услуг и других финансовых учреждений, требующие от них принятия мер по предотвращению налогового мошенничества и трансграничного уклонения от уплаты налогов. </w:t>
      </w:r>
      <w:bookmarkStart w:id="25" w:name="_Hlk166839563"/>
      <w:bookmarkEnd w:id="25"/>
    </w:p>
    <w:p w14:paraId="7C0F0179" w14:textId="706AC4D1" w:rsidR="007D1B69" w:rsidRPr="00E07869" w:rsidRDefault="007D1B69" w:rsidP="007D1B69">
      <w:pPr>
        <w:pStyle w:val="SingleTxtG"/>
        <w:rPr>
          <w:shd w:val="clear" w:color="000000" w:fill="FFFFFF"/>
        </w:rPr>
      </w:pPr>
      <w:r>
        <w:t>13.</w:t>
      </w:r>
      <w:r>
        <w:tab/>
        <w:t>Кроме того, Комитет напоминает международным организациям, включая международные финансовые учреждения, что, будучи субъектами международного права, они должны уважать права человека и выполнять все обязательства, налагаемые общими нормами международного права. В частности, международные финансовые учреждения, являясь специализированными учреждениями Организации Объединенных Наций, обязаны соблюдать положения о правах человека, содержащиеся в Уставе Организации Объединенных Наций. Поэтому они должны проводить оценку воздействия любых предлагаемых налоговых реформ на права человека, с тем чтобы их рекомендации не подрывали, а</w:t>
      </w:r>
      <w:r w:rsidR="00A66592">
        <w:t>,</w:t>
      </w:r>
      <w:r>
        <w:t xml:space="preserve"> наоборот, укрепляли потенциал государств в области осуществления экономических, социальных и культурных прав, в частности в странах, которые в значительной степени зависят от внешнего финансирования</w:t>
      </w:r>
      <w:r w:rsidRPr="00915C39">
        <w:rPr>
          <w:rStyle w:val="a8"/>
        </w:rPr>
        <w:footnoteReference w:id="19"/>
      </w:r>
      <w:r>
        <w:t>.</w:t>
      </w:r>
    </w:p>
    <w:p w14:paraId="66B86695" w14:textId="37AFC120" w:rsidR="007D1B69" w:rsidRPr="00B73535" w:rsidRDefault="007D1B69" w:rsidP="007D1B69">
      <w:pPr>
        <w:pStyle w:val="SingleTxtG"/>
        <w:rPr>
          <w:shd w:val="clear" w:color="000000" w:fill="FFFFFF"/>
        </w:rPr>
      </w:pPr>
      <w:r>
        <w:lastRenderedPageBreak/>
        <w:t>14.</w:t>
      </w:r>
      <w:r>
        <w:tab/>
        <w:t>Кроме того, государства-участники обязаны укреплять международное сотрудничество для создания всеохватного, справедливого и эффективного механизма глобального налогового регулирования и борьбы с незаконными финансовыми потоками, связанными с налогообложением, в интересах формирования международной среды, способствующей осуществлению экономических, социальных и культурных прав</w:t>
      </w:r>
      <w:r w:rsidRPr="00915C39">
        <w:rPr>
          <w:rStyle w:val="a8"/>
        </w:rPr>
        <w:footnoteReference w:id="20"/>
      </w:r>
      <w:r>
        <w:t>. С этой целью государствам-участникам следует добросовестно участвовать в переговорах по рамочной конвенции Организации Объединенных Наций о международном сотрудничестве в налоговых вопросах и разработать на основе всеохватного подхода международные налоговые правила, которые будут справедливо и беспристрастно применяться ко всем государствам с учетом различных потребностей, приоритетов и возможностей всех стран, в частности развивающихся</w:t>
      </w:r>
      <w:r w:rsidRPr="00915C39">
        <w:rPr>
          <w:rStyle w:val="a8"/>
        </w:rPr>
        <w:footnoteReference w:id="21"/>
      </w:r>
      <w:r>
        <w:t xml:space="preserve">. Государствам-участникам рекомендуется, в частности, укреплять обмен финансовой и налоговой информацией друг с другом и создать публичный глобальный реестр активов, содержащий информацию о собственниках-бенефициарах, с целью пресечения незаконных финансовых потоков и перевода </w:t>
      </w:r>
      <w:r w:rsidRPr="00A7278F">
        <w:t>не</w:t>
      </w:r>
      <w:r w:rsidR="00A7278F" w:rsidRPr="00A7278F">
        <w:t xml:space="preserve"> </w:t>
      </w:r>
      <w:r w:rsidRPr="00A7278F">
        <w:t>облагаемых нало</w:t>
      </w:r>
      <w:r>
        <w:t>гом богатств корпорациями и частными лицами.</w:t>
      </w:r>
      <w:bookmarkStart w:id="26" w:name="_Hlk157079299"/>
    </w:p>
    <w:p w14:paraId="4B44440F" w14:textId="0DA94AF3" w:rsidR="007D1B69" w:rsidRPr="00B73535" w:rsidRDefault="007D1B69" w:rsidP="007D1B69">
      <w:pPr>
        <w:pStyle w:val="SingleTxtG"/>
        <w:rPr>
          <w:shd w:val="clear" w:color="000000" w:fill="FFFFFF"/>
        </w:rPr>
      </w:pPr>
      <w:r>
        <w:t>15.</w:t>
      </w:r>
      <w:r>
        <w:tab/>
        <w:t>На переговорах о международном сотрудничестве в налоговых вопросах государствам-участникам следует воздерживаться от принятия решений и осуществления своего права голоса способами, которые ограничивают способность других государств мобилизовать все имеющиеся ресурсы для реализации прав человека, включая экономические, социальные и культурные права</w:t>
      </w:r>
      <w:r w:rsidRPr="00915C39">
        <w:rPr>
          <w:rStyle w:val="a8"/>
        </w:rPr>
        <w:footnoteReference w:id="22"/>
      </w:r>
      <w:r>
        <w:t>. В этом контексте государствам-участникам следует обеспечивать, чтобы все страны, в частности развивающиеся страны, могли принимать значимое и равноправное участие в процессах принятия решений и формирования повестки дня в области международного налогообложения, признавая при этом конкретные проблемы, с</w:t>
      </w:r>
      <w:r>
        <w:rPr>
          <w:lang w:val="en-US"/>
        </w:rPr>
        <w:t> </w:t>
      </w:r>
      <w:r>
        <w:t>которыми они могут столкнуться, в том числе проблемы, связанные с</w:t>
      </w:r>
      <w:r>
        <w:rPr>
          <w:lang w:val="en-US"/>
        </w:rPr>
        <w:t> </w:t>
      </w:r>
      <w:r>
        <w:t xml:space="preserve">финансированием борьбы с изменением климата и неприемлемым уровнем задолженности. </w:t>
      </w:r>
      <w:bookmarkEnd w:id="26"/>
    </w:p>
    <w:p w14:paraId="14F3DCCD" w14:textId="77777777" w:rsidR="007D1B69" w:rsidRPr="00B73535" w:rsidRDefault="007D1B69" w:rsidP="007D1B69">
      <w:pPr>
        <w:pStyle w:val="SingleTxtG"/>
        <w:rPr>
          <w:shd w:val="clear" w:color="000000" w:fill="FFFFFF"/>
        </w:rPr>
      </w:pPr>
      <w:r>
        <w:t>16.</w:t>
      </w:r>
      <w:r>
        <w:tab/>
        <w:t>В заключение следует отметить, что принятие в Организации Объединенных Наций обязательной рамочной конвенции о международном сотрудничестве в области налогообложения, основанной на правозащитном подходе, предоставляет государствам-участникам уникальную возможность вести работу по созданию как на национальном, так и на международном уровнях благоприятных условий для выполнения своих обязательств по Пакту. Приведение сотрудничества в области налогообложения в соответствие с обязательствами по Пакту может способствовать эффективной мобилизации ресурсов и перераспределению богатства, что тем самым позволит решить проблему высокого уровня неравенства и будет содействовать осуществлению значительных инвестиций в учреждения, государственные службы и программы, имеющие существенное значение для реализации экономических, социальных и культурных прав для всех.</w:t>
      </w:r>
    </w:p>
    <w:p w14:paraId="6A6A66C8" w14:textId="77777777" w:rsidR="007D1B69" w:rsidRPr="00B73535" w:rsidRDefault="007D1B69" w:rsidP="007D1B69">
      <w:pPr>
        <w:spacing w:before="240"/>
        <w:jc w:val="center"/>
        <w:rPr>
          <w:shd w:val="clear" w:color="000000" w:fill="FFFFFF"/>
        </w:rPr>
      </w:pPr>
      <w:r w:rsidRPr="00B73535">
        <w:rPr>
          <w:u w:val="single"/>
        </w:rPr>
        <w:tab/>
      </w:r>
      <w:r w:rsidRPr="00B73535">
        <w:rPr>
          <w:u w:val="single"/>
        </w:rPr>
        <w:tab/>
      </w:r>
      <w:r w:rsidRPr="00B73535">
        <w:rPr>
          <w:u w:val="single"/>
        </w:rPr>
        <w:tab/>
      </w:r>
    </w:p>
    <w:sectPr w:rsidR="007D1B69" w:rsidRPr="00B73535" w:rsidSect="007D1B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66017" w14:textId="77777777" w:rsidR="00C83206" w:rsidRPr="00A312BC" w:rsidRDefault="00C83206" w:rsidP="00A312BC"/>
  </w:endnote>
  <w:endnote w:type="continuationSeparator" w:id="0">
    <w:p w14:paraId="05BE0699" w14:textId="77777777" w:rsidR="00C83206" w:rsidRPr="00A312BC" w:rsidRDefault="00C8320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93D8" w14:textId="66893E5F" w:rsidR="007D1B69" w:rsidRPr="007D1B69" w:rsidRDefault="007D1B69">
    <w:pPr>
      <w:pStyle w:val="aa"/>
    </w:pPr>
    <w:r w:rsidRPr="007D1B69">
      <w:rPr>
        <w:b/>
        <w:sz w:val="18"/>
      </w:rPr>
      <w:fldChar w:fldCharType="begin"/>
    </w:r>
    <w:r w:rsidRPr="007D1B69">
      <w:rPr>
        <w:b/>
        <w:sz w:val="18"/>
      </w:rPr>
      <w:instrText xml:space="preserve"> PAGE  \* MERGEFORMAT </w:instrText>
    </w:r>
    <w:r w:rsidRPr="007D1B69">
      <w:rPr>
        <w:b/>
        <w:sz w:val="18"/>
      </w:rPr>
      <w:fldChar w:fldCharType="separate"/>
    </w:r>
    <w:r w:rsidRPr="007D1B69">
      <w:rPr>
        <w:b/>
        <w:noProof/>
        <w:sz w:val="18"/>
      </w:rPr>
      <w:t>2</w:t>
    </w:r>
    <w:r w:rsidRPr="007D1B69">
      <w:rPr>
        <w:b/>
        <w:sz w:val="18"/>
      </w:rPr>
      <w:fldChar w:fldCharType="end"/>
    </w:r>
    <w:r>
      <w:rPr>
        <w:b/>
        <w:sz w:val="18"/>
      </w:rPr>
      <w:tab/>
    </w:r>
    <w:r>
      <w:t>GE.25-03691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4EA0A" w14:textId="3F4598C4" w:rsidR="007D1B69" w:rsidRPr="007D1B69" w:rsidRDefault="007D1B69" w:rsidP="007D1B69">
    <w:pPr>
      <w:pStyle w:val="aa"/>
      <w:tabs>
        <w:tab w:val="clear" w:pos="9639"/>
        <w:tab w:val="right" w:pos="9638"/>
      </w:tabs>
      <w:rPr>
        <w:b/>
        <w:sz w:val="18"/>
      </w:rPr>
    </w:pPr>
    <w:r>
      <w:t>GE.25-03691</w:t>
    </w:r>
    <w:r>
      <w:tab/>
    </w:r>
    <w:r w:rsidRPr="007D1B69">
      <w:rPr>
        <w:b/>
        <w:sz w:val="18"/>
      </w:rPr>
      <w:fldChar w:fldCharType="begin"/>
    </w:r>
    <w:r w:rsidRPr="007D1B69">
      <w:rPr>
        <w:b/>
        <w:sz w:val="18"/>
      </w:rPr>
      <w:instrText xml:space="preserve"> PAGE  \* MERGEFORMAT </w:instrText>
    </w:r>
    <w:r w:rsidRPr="007D1B69">
      <w:rPr>
        <w:b/>
        <w:sz w:val="18"/>
      </w:rPr>
      <w:fldChar w:fldCharType="separate"/>
    </w:r>
    <w:r w:rsidRPr="007D1B69">
      <w:rPr>
        <w:b/>
        <w:noProof/>
        <w:sz w:val="18"/>
      </w:rPr>
      <w:t>3</w:t>
    </w:r>
    <w:r w:rsidRPr="007D1B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E7F27" w14:textId="41D75C62" w:rsidR="00042B72" w:rsidRPr="007D1B69" w:rsidRDefault="007D1B69" w:rsidP="007D1B6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79B8ED3" wp14:editId="30A79B4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25-03691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A6A500" wp14:editId="4158D53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130525  1</w:t>
    </w:r>
    <w:r w:rsidR="00A7278F">
      <w:rPr>
        <w:lang w:val="en-US"/>
      </w:rPr>
      <w:t>5</w:t>
    </w:r>
    <w:r>
      <w:rPr>
        <w:lang w:val="en-US"/>
      </w:rPr>
      <w:t>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67A2D" w14:textId="77777777" w:rsidR="00C83206" w:rsidRPr="001075E9" w:rsidRDefault="00C8320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ABABE8" w14:textId="77777777" w:rsidR="00C83206" w:rsidRDefault="00C8320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9FA34D" w14:textId="4880D299" w:rsidR="007D1B69" w:rsidRPr="007D1B69" w:rsidRDefault="007D1B69">
      <w:pPr>
        <w:pStyle w:val="af"/>
        <w:rPr>
          <w:sz w:val="20"/>
        </w:rPr>
      </w:pPr>
      <w:r>
        <w:tab/>
      </w:r>
      <w:r w:rsidRPr="007D1B69">
        <w:rPr>
          <w:rStyle w:val="a8"/>
          <w:sz w:val="20"/>
          <w:vertAlign w:val="baseline"/>
        </w:rPr>
        <w:t>*</w:t>
      </w:r>
      <w:r w:rsidRPr="007D1B69">
        <w:rPr>
          <w:rStyle w:val="a8"/>
          <w:vertAlign w:val="baseline"/>
        </w:rPr>
        <w:tab/>
      </w:r>
      <w:r>
        <w:t>Принято Комитетом на его семьдесят седьмой сессии (10–28 февраля 2025 года).</w:t>
      </w:r>
    </w:p>
  </w:footnote>
  <w:footnote w:id="2">
    <w:p w14:paraId="0E04E805" w14:textId="77777777" w:rsidR="007D1B69" w:rsidRPr="00B73535" w:rsidRDefault="007D1B69" w:rsidP="007D1B69">
      <w:pPr>
        <w:pStyle w:val="af"/>
        <w:rPr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См. замечание общего порядка № 20 (2009) о недискриминации в сфере экономических, социальных и культурных прав.</w:t>
      </w:r>
    </w:p>
  </w:footnote>
  <w:footnote w:id="3">
    <w:p w14:paraId="6D45D37E" w14:textId="1692DD12" w:rsidR="007D1B69" w:rsidRPr="00B73535" w:rsidRDefault="007D1B69" w:rsidP="007D1B69">
      <w:pPr>
        <w:pStyle w:val="af"/>
        <w:rPr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Комитет принимает к сведению соответствующие региональные инициативы, включая Специальную декларацию о незаконных финансовых потоках, принятую Ассамблеей Африканского союза на ее двадцать четвертой очередной сессии 30 и 31 января 2015 года, и</w:t>
      </w:r>
      <w:r>
        <w:rPr>
          <w:lang w:val="en-US"/>
        </w:rPr>
        <w:t> </w:t>
      </w:r>
      <w:r>
        <w:t>создание в 2023 году Региональной платформы для сотрудничества в налоговых вопросах в</w:t>
      </w:r>
      <w:r>
        <w:rPr>
          <w:lang w:val="en-US"/>
        </w:rPr>
        <w:t> </w:t>
      </w:r>
      <w:r>
        <w:t>Латинской Америке и Карибском бассейне.</w:t>
      </w:r>
    </w:p>
  </w:footnote>
  <w:footnote w:id="4">
    <w:p w14:paraId="2ACF7426" w14:textId="56E00C0F" w:rsidR="007D1B69" w:rsidRPr="00B73535" w:rsidRDefault="007D1B69" w:rsidP="007D1B69">
      <w:pPr>
        <w:pStyle w:val="af"/>
        <w:rPr>
          <w:rFonts w:eastAsia="Arial"/>
        </w:rPr>
      </w:pPr>
      <w:r w:rsidRPr="00915C39">
        <w:rPr>
          <w:vertAlign w:val="superscript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Резолюция 79/1 Генеральной Ассамблеи, п</w:t>
      </w:r>
      <w:r w:rsidR="008F302D" w:rsidRPr="008F302D">
        <w:t>.</w:t>
      </w:r>
      <w:r>
        <w:t xml:space="preserve"> 23 i).</w:t>
      </w:r>
    </w:p>
  </w:footnote>
  <w:footnote w:id="5">
    <w:p w14:paraId="73A79484" w14:textId="368968DE" w:rsidR="007D1B69" w:rsidRPr="00B73535" w:rsidRDefault="007D1B69" w:rsidP="007D1B69">
      <w:pPr>
        <w:pStyle w:val="af"/>
        <w:rPr>
          <w:szCs w:val="18"/>
        </w:rPr>
      </w:pPr>
      <w:r w:rsidRPr="00915C39">
        <w:rPr>
          <w:rFonts w:eastAsiaTheme="minorEastAsia"/>
          <w:szCs w:val="18"/>
          <w:lang w:eastAsia="ko-KR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Там же, п</w:t>
      </w:r>
      <w:r w:rsidR="008F302D" w:rsidRPr="008F302D">
        <w:t>.</w:t>
      </w:r>
      <w:r>
        <w:t xml:space="preserve"> 23 h) и i).</w:t>
      </w:r>
    </w:p>
  </w:footnote>
  <w:footnote w:id="6">
    <w:p w14:paraId="7EF98D6D" w14:textId="27CFE16D" w:rsidR="007D1B69" w:rsidRPr="00B73535" w:rsidRDefault="007D1B69" w:rsidP="007D1B69">
      <w:pPr>
        <w:pStyle w:val="af"/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</w:r>
      <w:hyperlink r:id="rId1" w:history="1">
        <w:r w:rsidRPr="007D1B69">
          <w:rPr>
            <w:rStyle w:val="a7"/>
          </w:rPr>
          <w:t>A/79/333</w:t>
        </w:r>
      </w:hyperlink>
      <w:r>
        <w:t>, приложение I, п</w:t>
      </w:r>
      <w:r w:rsidR="008F302D" w:rsidRPr="008F302D">
        <w:t>.</w:t>
      </w:r>
      <w:r>
        <w:t xml:space="preserve"> 9 c).</w:t>
      </w:r>
    </w:p>
  </w:footnote>
  <w:footnote w:id="7">
    <w:p w14:paraId="46B38A01" w14:textId="3BDF2F9A" w:rsidR="007D1B69" w:rsidRPr="00B73535" w:rsidRDefault="007D1B69" w:rsidP="007D1B69">
      <w:pPr>
        <w:pStyle w:val="af"/>
        <w:rPr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Например, замечание общего порядка № 24 (2017) об обязательствах государств по</w:t>
      </w:r>
      <w:r w:rsidR="008F302D">
        <w:rPr>
          <w:lang w:val="en-US"/>
        </w:rPr>
        <w:t> </w:t>
      </w:r>
      <w:r>
        <w:t>Международному пакту об экономических, социальных и культурных правах в контексте предпринимательской деятельности, п</w:t>
      </w:r>
      <w:r w:rsidR="008F302D" w:rsidRPr="008F302D">
        <w:t>.</w:t>
      </w:r>
      <w:r>
        <w:t xml:space="preserve"> 37. </w:t>
      </w:r>
      <w:bookmarkStart w:id="7" w:name="_Hlk183593155"/>
      <w:bookmarkEnd w:id="7"/>
    </w:p>
  </w:footnote>
  <w:footnote w:id="8">
    <w:p w14:paraId="70C2287E" w14:textId="6E7805CA" w:rsidR="007D1B69" w:rsidRPr="008F302D" w:rsidRDefault="007D1B69" w:rsidP="007D1B69">
      <w:pPr>
        <w:pStyle w:val="af"/>
        <w:rPr>
          <w:rFonts w:eastAsiaTheme="minorEastAsia"/>
          <w:szCs w:val="18"/>
          <w:lang w:val="en-US"/>
        </w:rPr>
      </w:pPr>
      <w:r w:rsidRPr="00915C39">
        <w:rPr>
          <w:rFonts w:eastAsiaTheme="minorEastAsia"/>
          <w:szCs w:val="18"/>
        </w:rPr>
        <w:tab/>
      </w:r>
      <w:r w:rsidRPr="00915C39">
        <w:rPr>
          <w:rStyle w:val="a8"/>
        </w:rPr>
        <w:footnoteRef/>
      </w:r>
      <w:r w:rsidRPr="008F302D">
        <w:rPr>
          <w:lang w:val="en-US"/>
        </w:rPr>
        <w:t xml:space="preserve"> </w:t>
      </w:r>
      <w:r w:rsidRPr="008F302D">
        <w:rPr>
          <w:lang w:val="en-US"/>
        </w:rPr>
        <w:tab/>
      </w:r>
      <w:hyperlink r:id="rId2" w:history="1">
        <w:r w:rsidRPr="008F302D">
          <w:rPr>
            <w:rStyle w:val="a7"/>
            <w:lang w:val="en-US"/>
          </w:rPr>
          <w:t>E/C.12/CAN/CO/6</w:t>
        </w:r>
      </w:hyperlink>
      <w:r w:rsidRPr="008F302D">
        <w:rPr>
          <w:lang w:val="en-US"/>
        </w:rPr>
        <w:t xml:space="preserve">, </w:t>
      </w:r>
      <w:r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10; </w:t>
      </w:r>
      <w:hyperlink r:id="rId3" w:history="1">
        <w:r w:rsidRPr="008F302D">
          <w:rPr>
            <w:rStyle w:val="a7"/>
            <w:lang w:val="en-US"/>
          </w:rPr>
          <w:t>E/C.12/HND/CO/2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20; </w:t>
      </w:r>
      <w:hyperlink r:id="rId4" w:history="1">
        <w:r w:rsidRPr="008F302D">
          <w:rPr>
            <w:rStyle w:val="a7"/>
            <w:lang w:val="en-US"/>
          </w:rPr>
          <w:t>E/C.12/GBR/CO/6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17 b); </w:t>
      </w:r>
      <w:hyperlink r:id="rId5" w:history="1">
        <w:r w:rsidRPr="008F302D">
          <w:rPr>
            <w:rStyle w:val="a7"/>
            <w:lang w:val="en-US"/>
          </w:rPr>
          <w:t>E/C.12/DOM/CO/4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18; </w:t>
      </w:r>
      <w:hyperlink r:id="rId6" w:history="1">
        <w:r w:rsidRPr="008F302D">
          <w:rPr>
            <w:rStyle w:val="a7"/>
            <w:lang w:val="en-US"/>
          </w:rPr>
          <w:t>E/C.12/CRI/CO/5</w:t>
        </w:r>
      </w:hyperlink>
      <w:r w:rsidRPr="008F302D">
        <w:rPr>
          <w:lang w:val="en-US"/>
        </w:rPr>
        <w:t>,</w:t>
      </w:r>
      <w:r w:rsidR="008F302D" w:rsidRPr="008F302D">
        <w:rPr>
          <w:lang w:val="en-US"/>
        </w:rPr>
        <w:t xml:space="preserve">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15; </w:t>
      </w:r>
      <w:hyperlink r:id="rId7" w:history="1">
        <w:r w:rsidRPr="008F302D">
          <w:rPr>
            <w:rStyle w:val="a7"/>
            <w:lang w:val="en-US"/>
          </w:rPr>
          <w:t>E/C.12/TUN/CO/3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15; </w:t>
      </w:r>
      <w:hyperlink r:id="rId8" w:history="1">
        <w:r w:rsidRPr="008F302D">
          <w:rPr>
            <w:rStyle w:val="a7"/>
            <w:lang w:val="en-US"/>
          </w:rPr>
          <w:t>E/C.12/RUS/CO/6</w:t>
        </w:r>
      </w:hyperlink>
      <w:r w:rsidRPr="008F302D">
        <w:rPr>
          <w:lang w:val="en-US"/>
        </w:rPr>
        <w:t>,</w:t>
      </w:r>
      <w:r w:rsidR="008F302D">
        <w:rPr>
          <w:lang w:val="en-US"/>
        </w:rPr>
        <w:t> </w:t>
      </w:r>
      <w:r w:rsidR="008F302D">
        <w:t>п</w:t>
      </w:r>
      <w:r w:rsidR="008F302D" w:rsidRPr="008F302D">
        <w:rPr>
          <w:lang w:val="en-US"/>
        </w:rPr>
        <w:t>.</w:t>
      </w:r>
      <w:r w:rsidR="008F302D">
        <w:rPr>
          <w:lang w:val="en-US"/>
        </w:rPr>
        <w:t> </w:t>
      </w:r>
      <w:r w:rsidRPr="008F302D">
        <w:rPr>
          <w:lang w:val="en-US"/>
        </w:rPr>
        <w:t xml:space="preserve">17; </w:t>
      </w:r>
      <w:hyperlink r:id="rId9" w:history="1">
        <w:r w:rsidRPr="008F302D">
          <w:rPr>
            <w:rStyle w:val="a7"/>
            <w:lang w:val="en-US"/>
          </w:rPr>
          <w:t>E/C.12/COL/CO/6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20; </w:t>
      </w:r>
      <w:hyperlink r:id="rId10" w:history="1">
        <w:r w:rsidRPr="008F302D">
          <w:rPr>
            <w:rStyle w:val="a7"/>
            <w:lang w:val="en-US"/>
          </w:rPr>
          <w:t>E/C.12/ESP/CO/6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16 b); </w:t>
      </w:r>
      <w:hyperlink r:id="rId11" w:history="1">
        <w:r w:rsidRPr="008F302D">
          <w:rPr>
            <w:rStyle w:val="a7"/>
            <w:lang w:val="en-US"/>
          </w:rPr>
          <w:t>E/C.12/BOL/CO/3</w:t>
        </w:r>
      </w:hyperlink>
      <w:r w:rsidRPr="008F302D">
        <w:rPr>
          <w:lang w:val="en-US"/>
        </w:rPr>
        <w:t>,</w:t>
      </w:r>
      <w:r w:rsidR="008F302D">
        <w:rPr>
          <w:lang w:val="en-US"/>
        </w:rPr>
        <w:t> 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17; </w:t>
      </w:r>
      <w:hyperlink r:id="rId12" w:history="1">
        <w:r w:rsidRPr="008F302D">
          <w:rPr>
            <w:rStyle w:val="a7"/>
            <w:lang w:val="en-US"/>
          </w:rPr>
          <w:t>E/C.12/NIC/CO/5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16 c); </w:t>
      </w:r>
      <w:hyperlink r:id="rId13" w:history="1">
        <w:r w:rsidRPr="008F302D">
          <w:rPr>
            <w:rStyle w:val="a7"/>
            <w:lang w:val="en-US"/>
          </w:rPr>
          <w:t>E/C.12/COD/CO/6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25; </w:t>
      </w:r>
      <w:hyperlink r:id="rId14" w:history="1">
        <w:r w:rsidRPr="008F302D">
          <w:rPr>
            <w:rStyle w:val="a7"/>
            <w:lang w:val="en-US"/>
          </w:rPr>
          <w:t>E/C.12/GTM/CO/4</w:t>
        </w:r>
      </w:hyperlink>
      <w:r w:rsidRPr="008F302D">
        <w:rPr>
          <w:lang w:val="en-US"/>
        </w:rPr>
        <w:t>,</w:t>
      </w:r>
      <w:r w:rsidR="008F302D">
        <w:rPr>
          <w:lang w:val="en-US"/>
        </w:rPr>
        <w:t> 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17; </w:t>
      </w:r>
      <w:hyperlink r:id="rId15" w:history="1">
        <w:r w:rsidRPr="008F302D">
          <w:rPr>
            <w:rStyle w:val="a7"/>
            <w:lang w:val="en-US"/>
          </w:rPr>
          <w:t>E/C.12/BRA/CO/3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22 a); </w:t>
      </w:r>
      <w:hyperlink r:id="rId16" w:history="1">
        <w:r w:rsidRPr="008F302D">
          <w:rPr>
            <w:rStyle w:val="a7"/>
            <w:lang w:val="en-US"/>
          </w:rPr>
          <w:t>E/C.12/MRT/CO/2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13; </w:t>
      </w:r>
      <w:hyperlink r:id="rId17" w:history="1">
        <w:r w:rsidRPr="008F302D">
          <w:rPr>
            <w:rStyle w:val="a7"/>
            <w:lang w:val="en-US"/>
          </w:rPr>
          <w:t>E/C.12/ROU/CO/6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11 b); </w:t>
      </w:r>
      <w:hyperlink r:id="rId18" w:history="1">
        <w:r w:rsidRPr="008F302D">
          <w:rPr>
            <w:rStyle w:val="a7"/>
            <w:lang w:val="en-US"/>
          </w:rPr>
          <w:t>E/C.12/IDN/CO/2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19 b); </w:t>
      </w:r>
      <w:hyperlink r:id="rId19" w:history="1">
        <w:r w:rsidRPr="008F302D">
          <w:rPr>
            <w:rStyle w:val="a7"/>
            <w:lang w:val="en-US"/>
          </w:rPr>
          <w:t>E/C.12/BDI/CO/1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14; </w:t>
      </w:r>
      <w:r>
        <w:t>и</w:t>
      </w:r>
      <w:r w:rsidRPr="008F302D">
        <w:rPr>
          <w:lang w:val="en-US"/>
        </w:rPr>
        <w:t> </w:t>
      </w:r>
      <w:hyperlink r:id="rId20" w:history="1">
        <w:r w:rsidRPr="008F302D">
          <w:rPr>
            <w:rStyle w:val="a7"/>
            <w:lang w:val="en-US"/>
          </w:rPr>
          <w:t>E/C.12/COD/CO/6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25.</w:t>
      </w:r>
    </w:p>
  </w:footnote>
  <w:footnote w:id="9">
    <w:p w14:paraId="63986BB2" w14:textId="77777777" w:rsidR="007D1B69" w:rsidRPr="00B73535" w:rsidRDefault="007D1B69" w:rsidP="007D1B69">
      <w:pPr>
        <w:pStyle w:val="af"/>
        <w:rPr>
          <w:szCs w:val="18"/>
        </w:rPr>
      </w:pPr>
      <w:r w:rsidRPr="008F302D">
        <w:rPr>
          <w:szCs w:val="18"/>
          <w:lang w:val="en-US"/>
        </w:rPr>
        <w:tab/>
      </w:r>
      <w:r w:rsidRPr="00915C39">
        <w:rPr>
          <w:rStyle w:val="a8"/>
        </w:rPr>
        <w:footnoteRef/>
      </w:r>
      <w:r w:rsidRPr="007D1B69">
        <w:rPr>
          <w:szCs w:val="18"/>
          <w:lang w:val="en-US"/>
        </w:rPr>
        <w:t xml:space="preserve"> </w:t>
      </w:r>
      <w:r w:rsidRPr="007D1B69">
        <w:rPr>
          <w:szCs w:val="18"/>
          <w:lang w:val="en-US"/>
        </w:rPr>
        <w:tab/>
        <w:t xml:space="preserve">Group of 20, Rio de Janeiro Leaders’ Declaration (2024), para. </w:t>
      </w:r>
      <w:r w:rsidRPr="00B73535">
        <w:rPr>
          <w:szCs w:val="18"/>
        </w:rPr>
        <w:t>20.</w:t>
      </w:r>
    </w:p>
  </w:footnote>
  <w:footnote w:id="10">
    <w:p w14:paraId="69688AAA" w14:textId="79794510" w:rsidR="007D1B69" w:rsidRPr="00B73535" w:rsidRDefault="007D1B69" w:rsidP="007D1B69">
      <w:pPr>
        <w:pStyle w:val="af"/>
        <w:rPr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 xml:space="preserve">См. замечание общего порядка № 20 (2009) о недискриминации при осуществлении экономических, социальных и культурных прав; и </w:t>
      </w:r>
      <w:hyperlink r:id="rId21" w:history="1">
        <w:r w:rsidRPr="007D1B69">
          <w:rPr>
            <w:rStyle w:val="a7"/>
          </w:rPr>
          <w:t>A/HRC/26/28</w:t>
        </w:r>
      </w:hyperlink>
      <w:r>
        <w:t xml:space="preserve">, </w:t>
      </w:r>
      <w:r w:rsidR="008F302D">
        <w:t>п</w:t>
      </w:r>
      <w:r w:rsidR="008F302D" w:rsidRPr="008F302D">
        <w:t>.</w:t>
      </w:r>
      <w:r>
        <w:t xml:space="preserve"> 79 с) и f).</w:t>
      </w:r>
    </w:p>
  </w:footnote>
  <w:footnote w:id="11">
    <w:p w14:paraId="6A9C9763" w14:textId="476A2548" w:rsidR="007D1B69" w:rsidRPr="008F302D" w:rsidRDefault="007D1B69" w:rsidP="007D1B69">
      <w:pPr>
        <w:pStyle w:val="af"/>
        <w:rPr>
          <w:szCs w:val="18"/>
          <w:highlight w:val="yellow"/>
          <w:lang w:val="en-US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 w:rsidRPr="008F302D">
        <w:rPr>
          <w:lang w:val="en-US"/>
        </w:rPr>
        <w:t xml:space="preserve"> </w:t>
      </w:r>
      <w:r w:rsidRPr="008F302D">
        <w:rPr>
          <w:lang w:val="en-US"/>
        </w:rPr>
        <w:tab/>
      </w:r>
      <w:hyperlink r:id="rId22" w:history="1">
        <w:r w:rsidRPr="008F302D">
          <w:rPr>
            <w:rStyle w:val="a7"/>
            <w:lang w:val="en-US"/>
          </w:rPr>
          <w:t>A/73/179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54; </w:t>
      </w:r>
      <w:r>
        <w:t>и</w:t>
      </w:r>
      <w:r w:rsidRPr="008F302D">
        <w:rPr>
          <w:lang w:val="en-US"/>
        </w:rPr>
        <w:t xml:space="preserve"> </w:t>
      </w:r>
      <w:hyperlink r:id="rId23" w:history="1">
        <w:r w:rsidRPr="008F302D">
          <w:rPr>
            <w:rStyle w:val="a7"/>
            <w:lang w:val="en-US"/>
          </w:rPr>
          <w:t>E/2024/27</w:t>
        </w:r>
      </w:hyperlink>
      <w:r w:rsidRPr="008F302D">
        <w:rPr>
          <w:lang w:val="en-U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8F302D">
        <w:rPr>
          <w:lang w:val="en-US"/>
        </w:rPr>
        <w:t xml:space="preserve"> 54 iii).</w:t>
      </w:r>
    </w:p>
  </w:footnote>
  <w:footnote w:id="12">
    <w:p w14:paraId="1468A5EE" w14:textId="2C15861B" w:rsidR="007D1B69" w:rsidRPr="00B73535" w:rsidRDefault="007D1B69" w:rsidP="007D1B69">
      <w:pPr>
        <w:pStyle w:val="af"/>
        <w:rPr>
          <w:szCs w:val="18"/>
          <w:lang w:val="es-ES"/>
        </w:rPr>
      </w:pPr>
      <w:r w:rsidRPr="008F302D">
        <w:rPr>
          <w:szCs w:val="18"/>
          <w:lang w:val="en-US"/>
        </w:rPr>
        <w:tab/>
      </w:r>
      <w:r w:rsidRPr="00915C39">
        <w:rPr>
          <w:rStyle w:val="a8"/>
        </w:rPr>
        <w:footnoteRef/>
      </w:r>
      <w:r w:rsidRPr="00B73535">
        <w:rPr>
          <w:lang w:val="es-ES"/>
        </w:rPr>
        <w:t xml:space="preserve"> </w:t>
      </w:r>
      <w:r w:rsidRPr="00B73535">
        <w:rPr>
          <w:lang w:val="es-ES"/>
        </w:rPr>
        <w:tab/>
      </w:r>
      <w:hyperlink r:id="rId24" w:history="1">
        <w:r w:rsidRPr="007D1B69">
          <w:rPr>
            <w:rStyle w:val="a7"/>
            <w:lang w:val="es-ES"/>
          </w:rPr>
          <w:t>A/HRC/52/52</w:t>
        </w:r>
      </w:hyperlink>
      <w:r w:rsidRPr="00B73535">
        <w:rPr>
          <w:lang w:val="es-E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B73535">
        <w:rPr>
          <w:lang w:val="es-ES"/>
        </w:rPr>
        <w:t xml:space="preserve"> 60; </w:t>
      </w:r>
      <w:hyperlink r:id="rId25" w:history="1">
        <w:r w:rsidRPr="007D1B69">
          <w:rPr>
            <w:rStyle w:val="a7"/>
            <w:lang w:val="es-ES"/>
          </w:rPr>
          <w:t>A/HRC/53/39</w:t>
        </w:r>
      </w:hyperlink>
      <w:r w:rsidRPr="00B73535">
        <w:rPr>
          <w:lang w:val="es-E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B73535">
        <w:rPr>
          <w:lang w:val="es-ES"/>
        </w:rPr>
        <w:t xml:space="preserve"> 63 e); </w:t>
      </w:r>
      <w:r>
        <w:t>и</w:t>
      </w:r>
      <w:r w:rsidRPr="00B73535">
        <w:rPr>
          <w:lang w:val="es-ES"/>
        </w:rPr>
        <w:t xml:space="preserve"> </w:t>
      </w:r>
      <w:hyperlink r:id="rId26" w:history="1">
        <w:r w:rsidRPr="007D1B69">
          <w:rPr>
            <w:rStyle w:val="a7"/>
            <w:lang w:val="es-ES"/>
          </w:rPr>
          <w:t>E/2024/27</w:t>
        </w:r>
      </w:hyperlink>
      <w:r w:rsidRPr="00B73535">
        <w:rPr>
          <w:lang w:val="es-E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Pr="00B73535">
        <w:rPr>
          <w:lang w:val="es-ES"/>
        </w:rPr>
        <w:t xml:space="preserve"> 54 nn).</w:t>
      </w:r>
    </w:p>
  </w:footnote>
  <w:footnote w:id="13">
    <w:p w14:paraId="0DB263B2" w14:textId="5324E188" w:rsidR="007D1B69" w:rsidRPr="00B73535" w:rsidRDefault="007D1B69" w:rsidP="007D1B69">
      <w:pPr>
        <w:pStyle w:val="af"/>
        <w:rPr>
          <w:rFonts w:eastAsiaTheme="minorEastAsia"/>
          <w:szCs w:val="18"/>
          <w:highlight w:val="yellow"/>
          <w:lang w:val="es-ES"/>
        </w:rPr>
      </w:pPr>
      <w:r w:rsidRPr="00B73535">
        <w:rPr>
          <w:szCs w:val="18"/>
          <w:lang w:val="es-ES"/>
        </w:rPr>
        <w:tab/>
      </w:r>
      <w:r w:rsidRPr="00915C39">
        <w:rPr>
          <w:rStyle w:val="a8"/>
        </w:rPr>
        <w:footnoteRef/>
      </w:r>
      <w:r w:rsidRPr="00B73535">
        <w:rPr>
          <w:lang w:val="es-ES"/>
        </w:rPr>
        <w:t xml:space="preserve"> </w:t>
      </w:r>
      <w:r w:rsidRPr="00B73535">
        <w:rPr>
          <w:lang w:val="es-ES"/>
        </w:rPr>
        <w:tab/>
      </w:r>
      <w:hyperlink r:id="rId27" w:history="1">
        <w:r w:rsidRPr="007D1B69">
          <w:rPr>
            <w:rStyle w:val="a7"/>
            <w:lang w:val="es-ES"/>
          </w:rPr>
          <w:t>E/C.12/POL/CO/6</w:t>
        </w:r>
      </w:hyperlink>
      <w:r w:rsidRPr="00B73535">
        <w:rPr>
          <w:lang w:val="es-E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="008F302D">
        <w:rPr>
          <w:lang w:val="en-US"/>
        </w:rPr>
        <w:t xml:space="preserve"> </w:t>
      </w:r>
      <w:r w:rsidRPr="00B73535">
        <w:rPr>
          <w:lang w:val="es-ES"/>
        </w:rPr>
        <w:t xml:space="preserve">42 a); </w:t>
      </w:r>
      <w:hyperlink r:id="rId28" w:history="1">
        <w:r w:rsidRPr="007D1B69">
          <w:rPr>
            <w:rStyle w:val="a7"/>
            <w:lang w:val="es-ES"/>
          </w:rPr>
          <w:t>E/C.12/ARG/CO/4</w:t>
        </w:r>
      </w:hyperlink>
      <w:r w:rsidRPr="00B73535">
        <w:rPr>
          <w:lang w:val="es-E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="008F302D">
        <w:rPr>
          <w:lang w:val="en-US"/>
        </w:rPr>
        <w:t xml:space="preserve"> </w:t>
      </w:r>
      <w:r w:rsidRPr="00B73535">
        <w:rPr>
          <w:lang w:val="es-ES"/>
        </w:rPr>
        <w:t xml:space="preserve">46 f); </w:t>
      </w:r>
      <w:hyperlink r:id="rId29" w:history="1">
        <w:r w:rsidRPr="007D1B69">
          <w:rPr>
            <w:rStyle w:val="a7"/>
            <w:lang w:val="es-ES"/>
          </w:rPr>
          <w:t>E/C.12/BEL/CO/5</w:t>
        </w:r>
      </w:hyperlink>
      <w:r w:rsidRPr="00B73535">
        <w:rPr>
          <w:lang w:val="es-E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="008F302D">
        <w:rPr>
          <w:lang w:val="en-US"/>
        </w:rPr>
        <w:t xml:space="preserve"> </w:t>
      </w:r>
      <w:r w:rsidRPr="00B73535">
        <w:rPr>
          <w:lang w:val="es-ES"/>
        </w:rPr>
        <w:t xml:space="preserve">49 b); </w:t>
      </w:r>
      <w:r>
        <w:t>и</w:t>
      </w:r>
      <w:r w:rsidRPr="007D1B69">
        <w:rPr>
          <w:lang w:val="en-US"/>
        </w:rPr>
        <w:t> </w:t>
      </w:r>
      <w:hyperlink r:id="rId30" w:history="1">
        <w:r w:rsidRPr="007D1B69">
          <w:rPr>
            <w:rStyle w:val="a7"/>
            <w:lang w:val="es-ES"/>
          </w:rPr>
          <w:t>E/C.12/ITA/CO/6</w:t>
        </w:r>
      </w:hyperlink>
      <w:r w:rsidRPr="00B73535">
        <w:rPr>
          <w:lang w:val="es-ES"/>
        </w:rPr>
        <w:t xml:space="preserve">, </w:t>
      </w:r>
      <w:r w:rsidR="008F302D">
        <w:t>п</w:t>
      </w:r>
      <w:r w:rsidR="008F302D" w:rsidRPr="008F302D">
        <w:rPr>
          <w:lang w:val="en-US"/>
        </w:rPr>
        <w:t>.</w:t>
      </w:r>
      <w:r w:rsidR="008F302D">
        <w:rPr>
          <w:lang w:val="en-US"/>
        </w:rPr>
        <w:t xml:space="preserve"> </w:t>
      </w:r>
      <w:r w:rsidRPr="00B73535">
        <w:rPr>
          <w:lang w:val="es-ES"/>
        </w:rPr>
        <w:t>56.</w:t>
      </w:r>
    </w:p>
  </w:footnote>
  <w:footnote w:id="14">
    <w:p w14:paraId="0FA75B0A" w14:textId="686637FF" w:rsidR="007D1B69" w:rsidRPr="00B73535" w:rsidRDefault="007D1B69" w:rsidP="007D1B69">
      <w:pPr>
        <w:pStyle w:val="af"/>
        <w:rPr>
          <w:szCs w:val="18"/>
          <w:highlight w:val="yellow"/>
          <w:lang w:val="es-ES"/>
        </w:rPr>
      </w:pPr>
      <w:r w:rsidRPr="00B73535">
        <w:rPr>
          <w:szCs w:val="18"/>
          <w:lang w:val="es-ES"/>
        </w:rPr>
        <w:tab/>
      </w:r>
      <w:r w:rsidRPr="00915C39">
        <w:rPr>
          <w:rStyle w:val="a8"/>
        </w:rPr>
        <w:footnoteRef/>
      </w:r>
      <w:r w:rsidRPr="00B73535">
        <w:rPr>
          <w:lang w:val="es-ES"/>
        </w:rPr>
        <w:t xml:space="preserve"> </w:t>
      </w:r>
      <w:r w:rsidRPr="00B73535">
        <w:rPr>
          <w:lang w:val="es-ES"/>
        </w:rPr>
        <w:tab/>
      </w:r>
      <w:hyperlink r:id="rId31" w:history="1">
        <w:r w:rsidRPr="007D1B69">
          <w:rPr>
            <w:rStyle w:val="a7"/>
            <w:lang w:val="es-ES"/>
          </w:rPr>
          <w:t>E/C.12/ITA/CO/6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18 a); </w:t>
      </w:r>
      <w:hyperlink r:id="rId32" w:history="1">
        <w:r w:rsidRPr="007D1B69">
          <w:rPr>
            <w:rStyle w:val="a7"/>
            <w:lang w:val="es-ES"/>
          </w:rPr>
          <w:t>E/C.12/PSE/CO/1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16; </w:t>
      </w:r>
      <w:hyperlink r:id="rId33" w:history="1">
        <w:r w:rsidRPr="007D1B69">
          <w:rPr>
            <w:rStyle w:val="a7"/>
            <w:lang w:val="es-ES"/>
          </w:rPr>
          <w:t>E/C.12/IRL/CO/4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13 a); </w:t>
      </w:r>
      <w:hyperlink r:id="rId34" w:history="1">
        <w:r w:rsidRPr="007D1B69">
          <w:rPr>
            <w:rStyle w:val="a7"/>
            <w:lang w:val="es-ES"/>
          </w:rPr>
          <w:t>E/C.12/IRQ/CO/5</w:t>
        </w:r>
      </w:hyperlink>
      <w:r w:rsidRPr="00B73535">
        <w:rPr>
          <w:lang w:val="es-ES"/>
        </w:rPr>
        <w:t>,</w:t>
      </w:r>
      <w:r w:rsidR="0013758A">
        <w:rPr>
          <w:lang w:val="es-ES"/>
        </w:rPr>
        <w:t> 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15; </w:t>
      </w:r>
      <w:r>
        <w:t>и</w:t>
      </w:r>
      <w:r w:rsidRPr="00B73535">
        <w:rPr>
          <w:lang w:val="es-ES"/>
        </w:rPr>
        <w:t xml:space="preserve"> </w:t>
      </w:r>
      <w:hyperlink r:id="rId35" w:history="1">
        <w:r w:rsidRPr="007D1B69">
          <w:rPr>
            <w:rStyle w:val="a7"/>
            <w:lang w:val="es-ES"/>
          </w:rPr>
          <w:t>E/C.12/POL/CO/7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>17 a).</w:t>
      </w:r>
    </w:p>
  </w:footnote>
  <w:footnote w:id="15">
    <w:p w14:paraId="225C4B07" w14:textId="20557122" w:rsidR="007D1B69" w:rsidRPr="00B73535" w:rsidRDefault="007D1B69" w:rsidP="007D1B69">
      <w:pPr>
        <w:pStyle w:val="af"/>
        <w:rPr>
          <w:rFonts w:eastAsiaTheme="minorEastAsia"/>
          <w:szCs w:val="18"/>
          <w:lang w:val="es-ES"/>
        </w:rPr>
      </w:pPr>
      <w:r w:rsidRPr="00B73535">
        <w:rPr>
          <w:szCs w:val="18"/>
          <w:lang w:val="es-ES"/>
        </w:rPr>
        <w:tab/>
      </w:r>
      <w:r w:rsidRPr="00915C39">
        <w:rPr>
          <w:rStyle w:val="a8"/>
        </w:rPr>
        <w:footnoteRef/>
      </w:r>
      <w:r w:rsidRPr="00B73535">
        <w:rPr>
          <w:lang w:val="es-ES"/>
        </w:rPr>
        <w:t xml:space="preserve"> </w:t>
      </w:r>
      <w:r w:rsidRPr="00B73535">
        <w:rPr>
          <w:lang w:val="es-ES"/>
        </w:rPr>
        <w:tab/>
      </w:r>
      <w:hyperlink r:id="rId36" w:history="1">
        <w:r w:rsidRPr="007D1B69">
          <w:rPr>
            <w:rStyle w:val="a7"/>
            <w:lang w:val="es-ES"/>
          </w:rPr>
          <w:t>E/C.12/KEN/CO/2-5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s-ES"/>
        </w:rPr>
        <w:t xml:space="preserve">. </w:t>
      </w:r>
      <w:r w:rsidRPr="00B73535">
        <w:rPr>
          <w:lang w:val="es-ES"/>
        </w:rPr>
        <w:t xml:space="preserve">18; </w:t>
      </w:r>
      <w:hyperlink r:id="rId37" w:history="1">
        <w:r w:rsidRPr="007D1B69">
          <w:rPr>
            <w:rStyle w:val="a7"/>
            <w:lang w:val="es-ES"/>
          </w:rPr>
          <w:t>E/C.12/HND/CO/2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20; </w:t>
      </w:r>
      <w:hyperlink r:id="rId38" w:history="1">
        <w:r w:rsidRPr="007D1B69">
          <w:rPr>
            <w:rStyle w:val="a7"/>
            <w:lang w:val="es-ES"/>
          </w:rPr>
          <w:t>E/C.12/GBR/CO/6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17 c); </w:t>
      </w:r>
      <w:hyperlink r:id="rId39" w:history="1">
        <w:r w:rsidRPr="007D1B69">
          <w:rPr>
            <w:rStyle w:val="a7"/>
            <w:lang w:val="es-ES"/>
          </w:rPr>
          <w:t>E/C.12/DOM/CO/4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18; </w:t>
      </w:r>
      <w:hyperlink r:id="rId40" w:history="1">
        <w:r w:rsidRPr="007D1B69">
          <w:rPr>
            <w:rStyle w:val="a7"/>
            <w:lang w:val="es-ES"/>
          </w:rPr>
          <w:t>E/C.12/BGD/CO/1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20; </w:t>
      </w:r>
      <w:hyperlink r:id="rId41" w:history="1">
        <w:r w:rsidRPr="007D1B69">
          <w:rPr>
            <w:rStyle w:val="a7"/>
            <w:lang w:val="es-ES"/>
          </w:rPr>
          <w:t>E/C.12/ESP/CO/6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 xml:space="preserve">16 e); </w:t>
      </w:r>
      <w:r>
        <w:t>и</w:t>
      </w:r>
      <w:r w:rsidRPr="007D1B69">
        <w:rPr>
          <w:lang w:val="es-ES"/>
        </w:rPr>
        <w:t> </w:t>
      </w:r>
      <w:hyperlink r:id="rId42" w:history="1">
        <w:r w:rsidRPr="007D1B69">
          <w:rPr>
            <w:rStyle w:val="a7"/>
            <w:lang w:val="es-ES"/>
          </w:rPr>
          <w:t>E/C.12/ZAF/CO/1</w:t>
        </w:r>
      </w:hyperlink>
      <w:r w:rsidRPr="00B73535">
        <w:rPr>
          <w:lang w:val="es-ES"/>
        </w:rPr>
        <w:t xml:space="preserve">, </w:t>
      </w:r>
      <w:r w:rsidR="0013758A">
        <w:t>п</w:t>
      </w:r>
      <w:r w:rsidR="0013758A" w:rsidRPr="0013758A">
        <w:rPr>
          <w:lang w:val="en-US"/>
        </w:rPr>
        <w:t>.</w:t>
      </w:r>
      <w:r w:rsidR="0013758A">
        <w:rPr>
          <w:lang w:val="en-US"/>
        </w:rPr>
        <w:t xml:space="preserve"> </w:t>
      </w:r>
      <w:r w:rsidRPr="00B73535">
        <w:rPr>
          <w:lang w:val="es-ES"/>
        </w:rPr>
        <w:t>17 d).</w:t>
      </w:r>
    </w:p>
  </w:footnote>
  <w:footnote w:id="16">
    <w:p w14:paraId="49B70E74" w14:textId="3810783D" w:rsidR="007D1B69" w:rsidRPr="00B73535" w:rsidRDefault="007D1B69" w:rsidP="007D1B69">
      <w:pPr>
        <w:pStyle w:val="af"/>
        <w:rPr>
          <w:rFonts w:eastAsiaTheme="minorEastAsia"/>
          <w:szCs w:val="18"/>
          <w:highlight w:val="yellow"/>
        </w:rPr>
      </w:pPr>
      <w:r w:rsidRPr="00B73535">
        <w:rPr>
          <w:rFonts w:eastAsiaTheme="minorEastAsia"/>
          <w:szCs w:val="18"/>
          <w:lang w:val="es-ES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Замечание общего порядка № 24 (2017), п</w:t>
      </w:r>
      <w:r w:rsidR="0013758A">
        <w:t>п</w:t>
      </w:r>
      <w:r w:rsidR="0013758A" w:rsidRPr="008F302D">
        <w:t>.</w:t>
      </w:r>
      <w:r>
        <w:t xml:space="preserve"> 25–37.</w:t>
      </w:r>
    </w:p>
  </w:footnote>
  <w:footnote w:id="17">
    <w:p w14:paraId="0EB259DA" w14:textId="6DA5DC28" w:rsidR="007D1B69" w:rsidRPr="00B73535" w:rsidRDefault="007D1B69" w:rsidP="007D1B69">
      <w:pPr>
        <w:pStyle w:val="af"/>
        <w:rPr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</w:r>
      <w:hyperlink r:id="rId43" w:history="1">
        <w:r w:rsidRPr="007D1B69">
          <w:rPr>
            <w:rStyle w:val="a7"/>
          </w:rPr>
          <w:t>A/HRC/21/39</w:t>
        </w:r>
      </w:hyperlink>
      <w:r>
        <w:t xml:space="preserve">, </w:t>
      </w:r>
      <w:r w:rsidR="0013758A">
        <w:t>п</w:t>
      </w:r>
      <w:r w:rsidR="0013758A" w:rsidRPr="008F302D">
        <w:t>.</w:t>
      </w:r>
      <w:r w:rsidR="0013758A" w:rsidRPr="0013758A">
        <w:t xml:space="preserve"> </w:t>
      </w:r>
      <w:r>
        <w:t>92.</w:t>
      </w:r>
    </w:p>
  </w:footnote>
  <w:footnote w:id="18">
    <w:p w14:paraId="6B2DAE46" w14:textId="13CAB99A" w:rsidR="007D1B69" w:rsidRPr="00B73535" w:rsidRDefault="007D1B69" w:rsidP="007D1B69">
      <w:pPr>
        <w:pStyle w:val="af"/>
      </w:pPr>
      <w:r w:rsidRPr="00915C39">
        <w:tab/>
      </w:r>
      <w:r w:rsidRPr="00915C39">
        <w:rPr>
          <w:rStyle w:val="a8"/>
        </w:rPr>
        <w:footnoteRef/>
      </w:r>
      <w:r>
        <w:t xml:space="preserve"> </w:t>
      </w:r>
      <w:r>
        <w:tab/>
        <w:t xml:space="preserve">Замечание общего порядка № 24 (2017), </w:t>
      </w:r>
      <w:r w:rsidR="0013758A">
        <w:t>п</w:t>
      </w:r>
      <w:r w:rsidR="0013758A" w:rsidRPr="008F302D">
        <w:t>.</w:t>
      </w:r>
      <w:r w:rsidR="0013758A" w:rsidRPr="00A7278F">
        <w:t xml:space="preserve"> </w:t>
      </w:r>
      <w:r>
        <w:t>37.</w:t>
      </w:r>
    </w:p>
  </w:footnote>
  <w:footnote w:id="19">
    <w:p w14:paraId="5283A878" w14:textId="70225420" w:rsidR="007D1B69" w:rsidRPr="00B73535" w:rsidRDefault="007D1B69" w:rsidP="007D1B69">
      <w:pPr>
        <w:pStyle w:val="af"/>
        <w:rPr>
          <w:rFonts w:eastAsiaTheme="minorEastAsia"/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 xml:space="preserve">См. </w:t>
      </w:r>
      <w:hyperlink r:id="rId44" w:history="1">
        <w:r w:rsidRPr="007D1B69">
          <w:rPr>
            <w:rStyle w:val="a7"/>
          </w:rPr>
          <w:t>E/C.12/2016/1</w:t>
        </w:r>
      </w:hyperlink>
      <w:r>
        <w:t>.</w:t>
      </w:r>
    </w:p>
  </w:footnote>
  <w:footnote w:id="20">
    <w:p w14:paraId="1FE2D2F2" w14:textId="376E6157" w:rsidR="007D1B69" w:rsidRPr="00B73535" w:rsidRDefault="007D1B69" w:rsidP="007D1B69">
      <w:pPr>
        <w:pStyle w:val="af"/>
        <w:rPr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Всеобщая декларация прав человека, ст</w:t>
      </w:r>
      <w:r w:rsidR="0013758A" w:rsidRPr="0013758A">
        <w:t>.</w:t>
      </w:r>
      <w:r>
        <w:t xml:space="preserve"> 28. </w:t>
      </w:r>
    </w:p>
  </w:footnote>
  <w:footnote w:id="21">
    <w:p w14:paraId="5BC34F1A" w14:textId="1B12D344" w:rsidR="007D1B69" w:rsidRPr="00B73535" w:rsidRDefault="007D1B69" w:rsidP="007D1B69">
      <w:pPr>
        <w:pStyle w:val="af"/>
        <w:rPr>
          <w:rFonts w:eastAsiaTheme="minorHAnsi"/>
          <w:szCs w:val="18"/>
          <w14:ligatures w14:val="standardContextual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 xml:space="preserve">Замечание общего порядка № 24 (2017), </w:t>
      </w:r>
      <w:r w:rsidR="0013758A">
        <w:t>п</w:t>
      </w:r>
      <w:r w:rsidR="0013758A" w:rsidRPr="008F302D">
        <w:t>.</w:t>
      </w:r>
      <w:r w:rsidR="0013758A" w:rsidRPr="00A7278F">
        <w:t xml:space="preserve"> </w:t>
      </w:r>
      <w:r>
        <w:t>37.</w:t>
      </w:r>
    </w:p>
  </w:footnote>
  <w:footnote w:id="22">
    <w:p w14:paraId="6EBE7355" w14:textId="77777777" w:rsidR="007D1B69" w:rsidRPr="00B73535" w:rsidRDefault="007D1B69" w:rsidP="007D1B69">
      <w:pPr>
        <w:pStyle w:val="af"/>
        <w:rPr>
          <w:szCs w:val="18"/>
        </w:rPr>
      </w:pPr>
      <w:r w:rsidRPr="00915C39">
        <w:rPr>
          <w:szCs w:val="18"/>
        </w:rPr>
        <w:tab/>
      </w:r>
      <w:r w:rsidRPr="00915C39">
        <w:rPr>
          <w:rStyle w:val="a8"/>
        </w:rPr>
        <w:footnoteRef/>
      </w:r>
      <w:r>
        <w:t xml:space="preserve"> </w:t>
      </w:r>
      <w:r>
        <w:tab/>
        <w:t>Там же, п. 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4AB17" w14:textId="7C6DA763" w:rsidR="007D1B69" w:rsidRPr="007D1B69" w:rsidRDefault="001771E0">
    <w:pPr>
      <w:pStyle w:val="a5"/>
    </w:pPr>
    <w:fldSimple w:instr=" TITLE  \* MERGEFORMAT ">
      <w:r w:rsidR="00FD2C27">
        <w:t>E/C.12/2025/1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5672F" w14:textId="567C532D" w:rsidR="007D1B69" w:rsidRPr="007D1B69" w:rsidRDefault="001771E0" w:rsidP="007D1B69">
    <w:pPr>
      <w:pStyle w:val="a5"/>
      <w:jc w:val="right"/>
    </w:pPr>
    <w:fldSimple w:instr=" TITLE  \* MERGEFORMAT ">
      <w:r w:rsidR="00FD2C27">
        <w:t>E/C.12/2025/1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206"/>
    <w:rsid w:val="000041D5"/>
    <w:rsid w:val="00013F68"/>
    <w:rsid w:val="00033EE1"/>
    <w:rsid w:val="00042B72"/>
    <w:rsid w:val="00043B08"/>
    <w:rsid w:val="00055684"/>
    <w:rsid w:val="000558BD"/>
    <w:rsid w:val="000857D2"/>
    <w:rsid w:val="000B57E7"/>
    <w:rsid w:val="000B6373"/>
    <w:rsid w:val="000F09DF"/>
    <w:rsid w:val="000F61B2"/>
    <w:rsid w:val="001075E9"/>
    <w:rsid w:val="001253D8"/>
    <w:rsid w:val="0013758A"/>
    <w:rsid w:val="0014152F"/>
    <w:rsid w:val="00142F5E"/>
    <w:rsid w:val="001771E0"/>
    <w:rsid w:val="00180183"/>
    <w:rsid w:val="0018024D"/>
    <w:rsid w:val="0018649F"/>
    <w:rsid w:val="00196389"/>
    <w:rsid w:val="001B3EF6"/>
    <w:rsid w:val="001C7A89"/>
    <w:rsid w:val="001D5C5A"/>
    <w:rsid w:val="00203065"/>
    <w:rsid w:val="002519D6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107E"/>
    <w:rsid w:val="003958D0"/>
    <w:rsid w:val="003A0D43"/>
    <w:rsid w:val="003B00E5"/>
    <w:rsid w:val="003D6B66"/>
    <w:rsid w:val="00407B78"/>
    <w:rsid w:val="00412AE3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E2D27"/>
    <w:rsid w:val="005F0B42"/>
    <w:rsid w:val="005F1707"/>
    <w:rsid w:val="00640F49"/>
    <w:rsid w:val="00653E1C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D1B69"/>
    <w:rsid w:val="00806737"/>
    <w:rsid w:val="00811570"/>
    <w:rsid w:val="00813933"/>
    <w:rsid w:val="008170E6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8F302D"/>
    <w:rsid w:val="00906890"/>
    <w:rsid w:val="00911BE4"/>
    <w:rsid w:val="009211E9"/>
    <w:rsid w:val="00951972"/>
    <w:rsid w:val="009608F3"/>
    <w:rsid w:val="009A24AC"/>
    <w:rsid w:val="009D58EB"/>
    <w:rsid w:val="009F1700"/>
    <w:rsid w:val="00A14DA8"/>
    <w:rsid w:val="00A21F00"/>
    <w:rsid w:val="00A312BC"/>
    <w:rsid w:val="00A42509"/>
    <w:rsid w:val="00A66592"/>
    <w:rsid w:val="00A7278F"/>
    <w:rsid w:val="00A84021"/>
    <w:rsid w:val="00A84D35"/>
    <w:rsid w:val="00A917B3"/>
    <w:rsid w:val="00A923D2"/>
    <w:rsid w:val="00AA0D40"/>
    <w:rsid w:val="00AB2DBD"/>
    <w:rsid w:val="00AB4B51"/>
    <w:rsid w:val="00AB5B19"/>
    <w:rsid w:val="00AC3430"/>
    <w:rsid w:val="00B10CC7"/>
    <w:rsid w:val="00B174B3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83206"/>
    <w:rsid w:val="00C92939"/>
    <w:rsid w:val="00CA1679"/>
    <w:rsid w:val="00CB151C"/>
    <w:rsid w:val="00CE5A1A"/>
    <w:rsid w:val="00CF55F6"/>
    <w:rsid w:val="00D06AE6"/>
    <w:rsid w:val="00D1565E"/>
    <w:rsid w:val="00D33D63"/>
    <w:rsid w:val="00D34308"/>
    <w:rsid w:val="00D5253A"/>
    <w:rsid w:val="00D5616C"/>
    <w:rsid w:val="00D62A45"/>
    <w:rsid w:val="00D90028"/>
    <w:rsid w:val="00D90138"/>
    <w:rsid w:val="00DD1D1E"/>
    <w:rsid w:val="00DD44B1"/>
    <w:rsid w:val="00DD78D1"/>
    <w:rsid w:val="00DE32CD"/>
    <w:rsid w:val="00DE4689"/>
    <w:rsid w:val="00DF71B9"/>
    <w:rsid w:val="00E73F76"/>
    <w:rsid w:val="00E77A26"/>
    <w:rsid w:val="00E90403"/>
    <w:rsid w:val="00EA2C9F"/>
    <w:rsid w:val="00EA420E"/>
    <w:rsid w:val="00EC438F"/>
    <w:rsid w:val="00ED0BDA"/>
    <w:rsid w:val="00EE142A"/>
    <w:rsid w:val="00EF1360"/>
    <w:rsid w:val="00EF3220"/>
    <w:rsid w:val="00F43903"/>
    <w:rsid w:val="00F94155"/>
    <w:rsid w:val="00F9783F"/>
    <w:rsid w:val="00FD2C2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59DB5"/>
  <w15:docId w15:val="{8F1B1922-FAFF-4AA1-9CEB-3450BAD54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7D1B6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D1B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E/C.12/RUS/CO/6" TargetMode="External"/><Relationship Id="rId13" Type="http://schemas.openxmlformats.org/officeDocument/2006/relationships/hyperlink" Target="https://docs.un.org/ru/E/C.12/COD/CO/6" TargetMode="External"/><Relationship Id="rId18" Type="http://schemas.openxmlformats.org/officeDocument/2006/relationships/hyperlink" Target="https://docs.un.org/ru/E/C.12/IDN/CO/2" TargetMode="External"/><Relationship Id="rId26" Type="http://schemas.openxmlformats.org/officeDocument/2006/relationships/hyperlink" Target="https://docs.un.org/ru/E/2024/27" TargetMode="External"/><Relationship Id="rId39" Type="http://schemas.openxmlformats.org/officeDocument/2006/relationships/hyperlink" Target="https://docs.un.org/ru/E/C.12/DOM/CO/4" TargetMode="External"/><Relationship Id="rId3" Type="http://schemas.openxmlformats.org/officeDocument/2006/relationships/hyperlink" Target="https://docs.un.org/ru/E/C.12/HND/CO/2" TargetMode="External"/><Relationship Id="rId21" Type="http://schemas.openxmlformats.org/officeDocument/2006/relationships/hyperlink" Target="https://docs.un.org/ru/A/HRC/26/28" TargetMode="External"/><Relationship Id="rId34" Type="http://schemas.openxmlformats.org/officeDocument/2006/relationships/hyperlink" Target="https://docs.un.org/ru/E/C.12/IRQ/CO/5" TargetMode="External"/><Relationship Id="rId42" Type="http://schemas.openxmlformats.org/officeDocument/2006/relationships/hyperlink" Target="https://docs.un.org/ru/E/C.12/ZAF/CO/1" TargetMode="External"/><Relationship Id="rId7" Type="http://schemas.openxmlformats.org/officeDocument/2006/relationships/hyperlink" Target="https://docs.un.org/ru/E/C.12/TUN/CO/3" TargetMode="External"/><Relationship Id="rId12" Type="http://schemas.openxmlformats.org/officeDocument/2006/relationships/hyperlink" Target="https://docs.un.org/ru/E/C.12/NIC/CO/5" TargetMode="External"/><Relationship Id="rId17" Type="http://schemas.openxmlformats.org/officeDocument/2006/relationships/hyperlink" Target="https://docs.un.org/ru/E/C.12/ROU/CO/6" TargetMode="External"/><Relationship Id="rId25" Type="http://schemas.openxmlformats.org/officeDocument/2006/relationships/hyperlink" Target="https://docs.un.org/ru/A/HRC/53/39" TargetMode="External"/><Relationship Id="rId33" Type="http://schemas.openxmlformats.org/officeDocument/2006/relationships/hyperlink" Target="https://docs.un.org/ru/E/C.12/IRL/CO/4" TargetMode="External"/><Relationship Id="rId38" Type="http://schemas.openxmlformats.org/officeDocument/2006/relationships/hyperlink" Target="https://docs.un.org/ru/E/C.12/GBR/CO/6" TargetMode="External"/><Relationship Id="rId2" Type="http://schemas.openxmlformats.org/officeDocument/2006/relationships/hyperlink" Target="https://docs.un.org/ru/E/C.12/CAN/CO/6" TargetMode="External"/><Relationship Id="rId16" Type="http://schemas.openxmlformats.org/officeDocument/2006/relationships/hyperlink" Target="https://docs.un.org/ru/E/C.12/MRT/CO/2" TargetMode="External"/><Relationship Id="rId20" Type="http://schemas.openxmlformats.org/officeDocument/2006/relationships/hyperlink" Target="https://docs.un.org/ru/E/C.12/COD/CO/6" TargetMode="External"/><Relationship Id="rId29" Type="http://schemas.openxmlformats.org/officeDocument/2006/relationships/hyperlink" Target="https://docs.un.org/ru/E/C.12/BEL/CO/5" TargetMode="External"/><Relationship Id="rId41" Type="http://schemas.openxmlformats.org/officeDocument/2006/relationships/hyperlink" Target="https://docs.un.org/ru/E/C.12/ESP/CO/6" TargetMode="External"/><Relationship Id="rId1" Type="http://schemas.openxmlformats.org/officeDocument/2006/relationships/hyperlink" Target="https://docs.un.org/ru/A/79/333" TargetMode="External"/><Relationship Id="rId6" Type="http://schemas.openxmlformats.org/officeDocument/2006/relationships/hyperlink" Target="https://docs.un.org/ru/E/C.12/CRI/CO/5" TargetMode="External"/><Relationship Id="rId11" Type="http://schemas.openxmlformats.org/officeDocument/2006/relationships/hyperlink" Target="https://docs.un.org/ru/E/C.12/BOL/CO/3" TargetMode="External"/><Relationship Id="rId24" Type="http://schemas.openxmlformats.org/officeDocument/2006/relationships/hyperlink" Target="https://docs.un.org/ru/A/HRC/52/52" TargetMode="External"/><Relationship Id="rId32" Type="http://schemas.openxmlformats.org/officeDocument/2006/relationships/hyperlink" Target="https://docs.un.org/ru/E/C.12/PSE/CO/1" TargetMode="External"/><Relationship Id="rId37" Type="http://schemas.openxmlformats.org/officeDocument/2006/relationships/hyperlink" Target="https://docs.un.org/ru/E/C.12/HND/CO/2" TargetMode="External"/><Relationship Id="rId40" Type="http://schemas.openxmlformats.org/officeDocument/2006/relationships/hyperlink" Target="https://docs.un.org/ru/E/C.12/BGD/CO/1" TargetMode="External"/><Relationship Id="rId5" Type="http://schemas.openxmlformats.org/officeDocument/2006/relationships/hyperlink" Target="https://docs.un.org/ru/E/C.12/DOM/CO/4" TargetMode="External"/><Relationship Id="rId15" Type="http://schemas.openxmlformats.org/officeDocument/2006/relationships/hyperlink" Target="https://docs.un.org/ru/E/C.12/BRA/CO/3" TargetMode="External"/><Relationship Id="rId23" Type="http://schemas.openxmlformats.org/officeDocument/2006/relationships/hyperlink" Target="https://docs.un.org/ru/E/2024/27" TargetMode="External"/><Relationship Id="rId28" Type="http://schemas.openxmlformats.org/officeDocument/2006/relationships/hyperlink" Target="https://docs.un.org/ru/E/C.12/ARG/CO/4" TargetMode="External"/><Relationship Id="rId36" Type="http://schemas.openxmlformats.org/officeDocument/2006/relationships/hyperlink" Target="https://docs.un.org/ru/E/C.12/KEN/CO/2-5" TargetMode="External"/><Relationship Id="rId10" Type="http://schemas.openxmlformats.org/officeDocument/2006/relationships/hyperlink" Target="https://docs.un.org/ru/E/C.12/ESP/CO/6" TargetMode="External"/><Relationship Id="rId19" Type="http://schemas.openxmlformats.org/officeDocument/2006/relationships/hyperlink" Target="https://docs.un.org/ru/E/C.12/BDI/CO/1" TargetMode="External"/><Relationship Id="rId31" Type="http://schemas.openxmlformats.org/officeDocument/2006/relationships/hyperlink" Target="https://docs.un.org/ru/E/C.12/ITA/CO/6" TargetMode="External"/><Relationship Id="rId44" Type="http://schemas.openxmlformats.org/officeDocument/2006/relationships/hyperlink" Target="https://docs.un.org/ru/E/C.12/2016/1" TargetMode="External"/><Relationship Id="rId4" Type="http://schemas.openxmlformats.org/officeDocument/2006/relationships/hyperlink" Target="https://docs.un.org/ru/E/C.12/GBR/CO/6" TargetMode="External"/><Relationship Id="rId9" Type="http://schemas.openxmlformats.org/officeDocument/2006/relationships/hyperlink" Target="https://docs.un.org/ru/E/C.12/COL/CO/6" TargetMode="External"/><Relationship Id="rId14" Type="http://schemas.openxmlformats.org/officeDocument/2006/relationships/hyperlink" Target="https://docs.un.org/ru/E/C.12/GTM/CO/4" TargetMode="External"/><Relationship Id="rId22" Type="http://schemas.openxmlformats.org/officeDocument/2006/relationships/hyperlink" Target="https://docs.un.org/ru/A/73/179" TargetMode="External"/><Relationship Id="rId27" Type="http://schemas.openxmlformats.org/officeDocument/2006/relationships/hyperlink" Target="https://docs.un.org/ru/E/C.12/POL/CO/6" TargetMode="External"/><Relationship Id="rId30" Type="http://schemas.openxmlformats.org/officeDocument/2006/relationships/hyperlink" Target="https://docs.un.org/ru/E/C.12/ITA/CO/6" TargetMode="External"/><Relationship Id="rId35" Type="http://schemas.openxmlformats.org/officeDocument/2006/relationships/hyperlink" Target="https://docs.un.org/ru/E/C.12/POL/CO/7" TargetMode="External"/><Relationship Id="rId43" Type="http://schemas.openxmlformats.org/officeDocument/2006/relationships/hyperlink" Target="https://docs.un.org/ru/A/HRC/21/3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6</Pages>
  <Words>2241</Words>
  <Characters>16554</Characters>
  <Application>Microsoft Office Word</Application>
  <DocSecurity>0</DocSecurity>
  <Lines>273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E/C.12/2025/1</vt:lpstr>
      <vt:lpstr>A/</vt:lpstr>
      <vt:lpstr>A/</vt:lpstr>
    </vt:vector>
  </TitlesOfParts>
  <Company>DCM</Company>
  <LinksUpToDate>false</LinksUpToDate>
  <CharactersWithSpaces>18762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E/C.12/2025/1</dc:title>
  <dc:subject/>
  <dc:creator>Ioulia Sergueevna GOUSSAROVA</dc:creator>
  <cp:keywords/>
  <cp:lastModifiedBy>Ioulia Goussarova</cp:lastModifiedBy>
  <cp:revision>3</cp:revision>
  <cp:lastPrinted>2025-05-15T09:29:00Z</cp:lastPrinted>
  <dcterms:created xsi:type="dcterms:W3CDTF">2025-05-15T09:29:00Z</dcterms:created>
  <dcterms:modified xsi:type="dcterms:W3CDTF">2025-05-15T09:30:00Z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