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E3038">
        <w:trPr>
          <w:trHeight w:hRule="exact" w:val="851"/>
        </w:trPr>
        <w:tc>
          <w:tcPr>
            <w:tcW w:w="1280" w:type="dxa"/>
            <w:tcBorders>
              <w:bottom w:val="single" w:sz="4" w:space="0" w:color="auto"/>
            </w:tcBorders>
          </w:tcPr>
          <w:p w:rsidR="002D5AAC" w:rsidRDefault="002D5AAC" w:rsidP="003E3038">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E3038" w:rsidP="003E3038">
            <w:pPr>
              <w:jc w:val="right"/>
            </w:pPr>
            <w:r w:rsidRPr="003E3038">
              <w:rPr>
                <w:sz w:val="40"/>
              </w:rPr>
              <w:t>CERD</w:t>
            </w:r>
            <w:r>
              <w:t>/C/MRT/8-14</w:t>
            </w:r>
          </w:p>
        </w:tc>
      </w:tr>
      <w:tr w:rsidR="002D5AAC" w:rsidTr="003E3038">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3E3038" w:rsidP="00213632">
            <w:pPr>
              <w:spacing w:before="240"/>
            </w:pPr>
            <w:r>
              <w:t>Distr. general</w:t>
            </w:r>
          </w:p>
          <w:p w:rsidR="003E3038" w:rsidRDefault="003E3038" w:rsidP="003E3038">
            <w:pPr>
              <w:spacing w:line="240" w:lineRule="exact"/>
            </w:pPr>
            <w:r>
              <w:t>20 de febrero de 2017</w:t>
            </w:r>
          </w:p>
          <w:p w:rsidR="003E3038" w:rsidRDefault="003E3038" w:rsidP="003E3038">
            <w:pPr>
              <w:spacing w:line="240" w:lineRule="exact"/>
            </w:pPr>
            <w:r>
              <w:t>Español</w:t>
            </w:r>
          </w:p>
          <w:p w:rsidR="003E3038" w:rsidRDefault="003E3038" w:rsidP="003E3038">
            <w:pPr>
              <w:spacing w:line="240" w:lineRule="exact"/>
            </w:pPr>
            <w:r>
              <w:t>Original: francés</w:t>
            </w:r>
          </w:p>
          <w:p w:rsidR="003E3038" w:rsidRDefault="003E3038" w:rsidP="003E3038">
            <w:pPr>
              <w:spacing w:line="240" w:lineRule="exact"/>
            </w:pPr>
            <w:r>
              <w:t>Español, francés e inglés únicamente</w:t>
            </w:r>
          </w:p>
        </w:tc>
      </w:tr>
    </w:tbl>
    <w:p w:rsidR="003E3038" w:rsidRPr="003E3038" w:rsidRDefault="003E3038" w:rsidP="003E3038">
      <w:pPr>
        <w:spacing w:before="120"/>
        <w:rPr>
          <w:b/>
          <w:sz w:val="24"/>
          <w:szCs w:val="24"/>
        </w:rPr>
      </w:pPr>
      <w:r w:rsidRPr="003E3038">
        <w:rPr>
          <w:b/>
          <w:sz w:val="24"/>
          <w:szCs w:val="24"/>
        </w:rPr>
        <w:t>Comité para la Eliminación de la Discriminación Racial</w:t>
      </w:r>
    </w:p>
    <w:p w:rsidR="003E3038" w:rsidRPr="003E3038" w:rsidRDefault="003E3038" w:rsidP="003E3038">
      <w:pPr>
        <w:pStyle w:val="HMG"/>
      </w:pPr>
      <w:r>
        <w:tab/>
      </w:r>
      <w:r w:rsidRPr="003E3038">
        <w:tab/>
        <w:t xml:space="preserve">Examen de los informes presentados por </w:t>
      </w:r>
      <w:r>
        <w:br/>
      </w:r>
      <w:r w:rsidRPr="003E3038">
        <w:t xml:space="preserve">los Estados partes en virtud del artículo 9 </w:t>
      </w:r>
      <w:r>
        <w:br/>
      </w:r>
      <w:r w:rsidRPr="003E3038">
        <w:t>de la Convención</w:t>
      </w:r>
    </w:p>
    <w:p w:rsidR="003E3038" w:rsidRPr="003E3038" w:rsidRDefault="003E3038" w:rsidP="003E3038">
      <w:pPr>
        <w:pStyle w:val="HChG"/>
      </w:pPr>
      <w:r>
        <w:tab/>
      </w:r>
      <w:r w:rsidRPr="003E3038">
        <w:tab/>
        <w:t xml:space="preserve">Informes periódicos 8º a 14º que los Estados partes </w:t>
      </w:r>
      <w:r w:rsidR="00611AC9">
        <w:br/>
      </w:r>
      <w:r w:rsidRPr="003E3038">
        <w:t>debían presentar en 2008</w:t>
      </w:r>
    </w:p>
    <w:p w:rsidR="003E3038" w:rsidRPr="003E3038" w:rsidRDefault="003E3038" w:rsidP="003E3038">
      <w:pPr>
        <w:pStyle w:val="HMG"/>
      </w:pPr>
      <w:r>
        <w:tab/>
      </w:r>
      <w:r w:rsidRPr="003E3038">
        <w:tab/>
        <w:t>Mauritania</w:t>
      </w:r>
      <w:r w:rsidRPr="003E3038">
        <w:rPr>
          <w:b w:val="0"/>
          <w:bCs/>
          <w:sz w:val="20"/>
        </w:rPr>
        <w:footnoteReference w:customMarkFollows="1" w:id="1"/>
        <w:t>*</w:t>
      </w:r>
    </w:p>
    <w:p w:rsidR="003E3038" w:rsidRPr="003E3038" w:rsidRDefault="003E3038" w:rsidP="003E3038">
      <w:pPr>
        <w:pStyle w:val="SingleTxtG"/>
        <w:jc w:val="right"/>
      </w:pPr>
      <w:r w:rsidRPr="003E3038">
        <w:t>[Fecha de recepción: 7 de febrero de 2017]</w:t>
      </w:r>
    </w:p>
    <w:p w:rsidR="003E3038" w:rsidRPr="003E3038" w:rsidRDefault="003E3038" w:rsidP="003E3038">
      <w:pPr>
        <w:pStyle w:val="SingleTxtG"/>
      </w:pPr>
    </w:p>
    <w:p w:rsidR="003E3038" w:rsidRPr="003E3038" w:rsidRDefault="003E3038" w:rsidP="003E3038">
      <w:pPr>
        <w:pStyle w:val="SingleTxtG"/>
      </w:pPr>
    </w:p>
    <w:p w:rsidR="003E3038" w:rsidRDefault="003E3038" w:rsidP="003E3038">
      <w:pPr>
        <w:pStyle w:val="SingleTxtG"/>
        <w:ind w:left="0" w:right="0"/>
        <w:jc w:val="left"/>
        <w:rPr>
          <w:sz w:val="28"/>
        </w:rPr>
      </w:pPr>
      <w:r w:rsidRPr="003E3038">
        <w:br w:type="page"/>
      </w:r>
      <w:r>
        <w:rPr>
          <w:sz w:val="28"/>
        </w:rPr>
        <w:lastRenderedPageBreak/>
        <w:t>Índice</w:t>
      </w:r>
    </w:p>
    <w:p w:rsidR="003E3038" w:rsidRDefault="003E3038" w:rsidP="003E3038">
      <w:pPr>
        <w:pStyle w:val="SingleTxtG"/>
        <w:tabs>
          <w:tab w:val="right" w:pos="9638"/>
        </w:tabs>
        <w:ind w:left="283" w:right="0"/>
        <w:jc w:val="left"/>
        <w:rPr>
          <w:sz w:val="18"/>
        </w:rPr>
      </w:pPr>
      <w:r>
        <w:rPr>
          <w:i/>
          <w:sz w:val="18"/>
        </w:rPr>
        <w:tab/>
        <w:t>Página</w:t>
      </w:r>
    </w:p>
    <w:p w:rsidR="008C0658" w:rsidRDefault="008C0658" w:rsidP="008C0658">
      <w:pPr>
        <w:pStyle w:val="SingleTxtG"/>
        <w:tabs>
          <w:tab w:val="right" w:pos="850"/>
          <w:tab w:val="left" w:pos="1134"/>
          <w:tab w:val="left" w:pos="1559"/>
          <w:tab w:val="left" w:pos="1984"/>
          <w:tab w:val="left" w:leader="dot" w:pos="8787"/>
          <w:tab w:val="right" w:pos="9638"/>
        </w:tabs>
        <w:ind w:left="0" w:right="0"/>
        <w:jc w:val="left"/>
      </w:pPr>
      <w:r>
        <w:tab/>
      </w:r>
      <w:r>
        <w:tab/>
        <w:t>Siglas y abreviaturas</w:t>
      </w:r>
      <w:r>
        <w:tab/>
      </w:r>
      <w:r>
        <w:tab/>
      </w:r>
      <w:r w:rsidR="000410CF">
        <w:t>3</w:t>
      </w:r>
    </w:p>
    <w:p w:rsidR="008C0658" w:rsidRDefault="008C0658" w:rsidP="008C0658">
      <w:pPr>
        <w:pStyle w:val="SingleTxtG"/>
        <w:tabs>
          <w:tab w:val="right" w:pos="850"/>
          <w:tab w:val="left" w:pos="1134"/>
          <w:tab w:val="left" w:pos="1559"/>
          <w:tab w:val="left" w:pos="1984"/>
          <w:tab w:val="left" w:leader="dot" w:pos="8787"/>
          <w:tab w:val="right" w:pos="9638"/>
        </w:tabs>
        <w:ind w:left="0" w:right="0"/>
        <w:jc w:val="left"/>
      </w:pPr>
      <w:r>
        <w:tab/>
      </w:r>
      <w:r>
        <w:tab/>
        <w:t>Introducción</w:t>
      </w:r>
      <w:r>
        <w:tab/>
      </w:r>
      <w:r>
        <w:tab/>
      </w:r>
      <w:r w:rsidR="000410CF">
        <w:t>4</w:t>
      </w:r>
    </w:p>
    <w:p w:rsidR="008C0658" w:rsidRDefault="008C0658" w:rsidP="008C0658">
      <w:pPr>
        <w:pStyle w:val="SingleTxtG"/>
        <w:tabs>
          <w:tab w:val="right" w:pos="850"/>
          <w:tab w:val="left" w:pos="1134"/>
          <w:tab w:val="left" w:pos="1559"/>
          <w:tab w:val="left" w:pos="1984"/>
          <w:tab w:val="left" w:leader="dot" w:pos="8787"/>
          <w:tab w:val="right" w:pos="9638"/>
        </w:tabs>
        <w:ind w:left="0" w:right="0"/>
        <w:jc w:val="left"/>
      </w:pPr>
      <w:r>
        <w:tab/>
      </w:r>
      <w:r>
        <w:tab/>
        <w:t xml:space="preserve">Parte I. Presentación general de la República Islámica de Mauritania </w:t>
      </w:r>
      <w:r w:rsidR="000F0F34">
        <w:t>–</w:t>
      </w:r>
      <w:r>
        <w:t xml:space="preserve"> Datos generales</w:t>
      </w:r>
      <w:r>
        <w:tab/>
      </w:r>
      <w:r>
        <w:tab/>
      </w:r>
      <w:r w:rsidR="000410CF">
        <w:t>4</w:t>
      </w:r>
    </w:p>
    <w:p w:rsidR="008C0658" w:rsidRDefault="008C0658" w:rsidP="008C0658">
      <w:pPr>
        <w:pStyle w:val="SingleTxtG"/>
        <w:tabs>
          <w:tab w:val="right" w:pos="850"/>
          <w:tab w:val="left" w:pos="1134"/>
          <w:tab w:val="left" w:pos="1559"/>
          <w:tab w:val="left" w:pos="1984"/>
          <w:tab w:val="left" w:leader="dot" w:pos="8787"/>
          <w:tab w:val="right" w:pos="9638"/>
        </w:tabs>
        <w:ind w:left="0" w:right="0"/>
        <w:jc w:val="left"/>
      </w:pPr>
      <w:r>
        <w:tab/>
      </w:r>
      <w:r>
        <w:tab/>
      </w:r>
      <w:r>
        <w:tab/>
        <w:t>A.</w:t>
      </w:r>
      <w:r>
        <w:tab/>
        <w:t>Características demográficas y socioeconómicas</w:t>
      </w:r>
      <w:r>
        <w:tab/>
      </w:r>
      <w:r>
        <w:tab/>
      </w:r>
      <w:r w:rsidR="000410CF">
        <w:t>4</w:t>
      </w:r>
    </w:p>
    <w:p w:rsidR="008C0658" w:rsidRDefault="008C0658" w:rsidP="008C0658">
      <w:pPr>
        <w:pStyle w:val="SingleTxtG"/>
        <w:tabs>
          <w:tab w:val="right" w:pos="850"/>
          <w:tab w:val="left" w:pos="1134"/>
          <w:tab w:val="left" w:pos="1559"/>
          <w:tab w:val="left" w:pos="1984"/>
          <w:tab w:val="left" w:leader="dot" w:pos="8787"/>
          <w:tab w:val="right" w:pos="9638"/>
        </w:tabs>
        <w:ind w:left="0" w:right="0"/>
        <w:jc w:val="left"/>
      </w:pPr>
      <w:r>
        <w:tab/>
      </w:r>
      <w:r>
        <w:tab/>
      </w:r>
      <w:r>
        <w:tab/>
        <w:t>B.</w:t>
      </w:r>
      <w:r>
        <w:tab/>
        <w:t>Estructuras constitucionales y judiciales</w:t>
      </w:r>
      <w:r>
        <w:tab/>
      </w:r>
      <w:r>
        <w:tab/>
      </w:r>
      <w:r w:rsidR="000410CF">
        <w:t>6</w:t>
      </w:r>
    </w:p>
    <w:p w:rsidR="008C0658" w:rsidRDefault="008C0658" w:rsidP="008C0658">
      <w:pPr>
        <w:pStyle w:val="SingleTxtG"/>
        <w:tabs>
          <w:tab w:val="right" w:pos="850"/>
          <w:tab w:val="left" w:pos="1134"/>
          <w:tab w:val="left" w:pos="1559"/>
          <w:tab w:val="left" w:pos="1984"/>
          <w:tab w:val="left" w:leader="dot" w:pos="8787"/>
          <w:tab w:val="right" w:pos="9638"/>
        </w:tabs>
        <w:ind w:left="0" w:right="0"/>
        <w:jc w:val="left"/>
      </w:pPr>
      <w:r>
        <w:tab/>
      </w:r>
      <w:r>
        <w:tab/>
      </w:r>
      <w:r>
        <w:tab/>
        <w:t>C.</w:t>
      </w:r>
      <w:r>
        <w:tab/>
        <w:t>Marco General de Promoción y Protección de los Derechos Humanos</w:t>
      </w:r>
      <w:r>
        <w:tab/>
      </w:r>
      <w:r>
        <w:tab/>
      </w:r>
      <w:r w:rsidR="000410CF">
        <w:t>9</w:t>
      </w:r>
    </w:p>
    <w:p w:rsidR="008C0658" w:rsidRDefault="008C0658" w:rsidP="008C0658">
      <w:pPr>
        <w:pStyle w:val="SingleTxtG"/>
        <w:tabs>
          <w:tab w:val="right" w:pos="850"/>
          <w:tab w:val="left" w:pos="1134"/>
          <w:tab w:val="left" w:pos="1559"/>
          <w:tab w:val="left" w:pos="1984"/>
          <w:tab w:val="left" w:leader="dot" w:pos="8787"/>
          <w:tab w:val="right" w:pos="9638"/>
        </w:tabs>
        <w:ind w:left="0" w:right="0"/>
        <w:jc w:val="left"/>
      </w:pPr>
      <w:r>
        <w:tab/>
      </w:r>
      <w:r>
        <w:tab/>
      </w:r>
      <w:r>
        <w:tab/>
        <w:t>D.</w:t>
      </w:r>
      <w:r>
        <w:tab/>
        <w:t xml:space="preserve">Factores que dificultan el cumplimiento de las obligaciones internacionales </w:t>
      </w:r>
      <w:r>
        <w:br/>
      </w:r>
      <w:r>
        <w:tab/>
      </w:r>
      <w:r>
        <w:tab/>
      </w:r>
      <w:r>
        <w:tab/>
      </w:r>
      <w:r>
        <w:tab/>
        <w:t>en materia de derechos humanos</w:t>
      </w:r>
      <w:r>
        <w:tab/>
      </w:r>
      <w:r>
        <w:tab/>
      </w:r>
      <w:r w:rsidR="000410CF">
        <w:t>17</w:t>
      </w:r>
    </w:p>
    <w:p w:rsidR="008C0658" w:rsidRDefault="008C0658" w:rsidP="008C0658">
      <w:pPr>
        <w:pStyle w:val="SingleTxtG"/>
        <w:tabs>
          <w:tab w:val="right" w:pos="850"/>
          <w:tab w:val="left" w:pos="1134"/>
          <w:tab w:val="left" w:pos="1559"/>
          <w:tab w:val="left" w:pos="1984"/>
          <w:tab w:val="left" w:leader="dot" w:pos="8787"/>
          <w:tab w:val="right" w:pos="9638"/>
        </w:tabs>
        <w:ind w:left="0" w:right="0"/>
        <w:jc w:val="left"/>
      </w:pPr>
      <w:r>
        <w:tab/>
      </w:r>
      <w:r>
        <w:tab/>
      </w:r>
      <w:r>
        <w:tab/>
        <w:t>E.</w:t>
      </w:r>
      <w:r>
        <w:tab/>
        <w:t>Proceso de elaboración de informes</w:t>
      </w:r>
      <w:r>
        <w:tab/>
      </w:r>
      <w:r>
        <w:tab/>
      </w:r>
      <w:r w:rsidR="000410CF">
        <w:t>18</w:t>
      </w:r>
    </w:p>
    <w:p w:rsidR="008C0658" w:rsidRDefault="008C0658" w:rsidP="008C0658">
      <w:pPr>
        <w:pStyle w:val="SingleTxtG"/>
        <w:tabs>
          <w:tab w:val="right" w:pos="850"/>
          <w:tab w:val="left" w:pos="1134"/>
          <w:tab w:val="left" w:pos="1559"/>
          <w:tab w:val="left" w:pos="1984"/>
          <w:tab w:val="left" w:leader="dot" w:pos="8787"/>
          <w:tab w:val="right" w:pos="9638"/>
        </w:tabs>
        <w:ind w:left="0" w:right="0"/>
        <w:jc w:val="left"/>
      </w:pPr>
      <w:r>
        <w:tab/>
      </w:r>
      <w:r>
        <w:tab/>
      </w:r>
      <w:r>
        <w:tab/>
        <w:t>F.</w:t>
      </w:r>
      <w:r>
        <w:tab/>
        <w:t xml:space="preserve">Seguimiento de las conclusiones o las observaciones finales de los órganos creados </w:t>
      </w:r>
      <w:r>
        <w:br/>
      </w:r>
      <w:r>
        <w:tab/>
      </w:r>
      <w:r>
        <w:tab/>
      </w:r>
      <w:r>
        <w:tab/>
      </w:r>
      <w:r>
        <w:tab/>
        <w:t>en virtud de los tratados de derechos humanos</w:t>
      </w:r>
      <w:r>
        <w:tab/>
      </w:r>
      <w:r>
        <w:tab/>
      </w:r>
      <w:r w:rsidR="000410CF">
        <w:t>18</w:t>
      </w:r>
    </w:p>
    <w:p w:rsidR="008C0658" w:rsidRDefault="008C0658" w:rsidP="008C0658">
      <w:pPr>
        <w:pStyle w:val="SingleTxtG"/>
        <w:tabs>
          <w:tab w:val="right" w:pos="850"/>
          <w:tab w:val="left" w:pos="1134"/>
          <w:tab w:val="left" w:pos="1559"/>
          <w:tab w:val="left" w:pos="1984"/>
          <w:tab w:val="left" w:leader="dot" w:pos="8787"/>
          <w:tab w:val="right" w:pos="9638"/>
        </w:tabs>
        <w:ind w:left="0" w:right="0"/>
        <w:jc w:val="left"/>
      </w:pPr>
      <w:r>
        <w:tab/>
      </w:r>
      <w:r>
        <w:tab/>
      </w:r>
      <w:r>
        <w:tab/>
        <w:t>G.</w:t>
      </w:r>
      <w:r>
        <w:tab/>
        <w:t xml:space="preserve">Medidas para garantizar una amplia difusión de las observaciones o </w:t>
      </w:r>
      <w:r>
        <w:br/>
      </w:r>
      <w:r>
        <w:tab/>
      </w:r>
      <w:r>
        <w:tab/>
      </w:r>
      <w:r>
        <w:tab/>
      </w:r>
      <w:r>
        <w:tab/>
        <w:t xml:space="preserve">recomendaciones aprobadas por los órganos de los tratados después </w:t>
      </w:r>
      <w:r>
        <w:br/>
      </w:r>
      <w:r>
        <w:tab/>
      </w:r>
      <w:r>
        <w:tab/>
      </w:r>
      <w:r>
        <w:tab/>
      </w:r>
      <w:r>
        <w:tab/>
        <w:t>de examinar el informe del Estado parte</w:t>
      </w:r>
      <w:r>
        <w:tab/>
      </w:r>
      <w:r>
        <w:tab/>
      </w:r>
      <w:r w:rsidR="000410CF">
        <w:t>18</w:t>
      </w:r>
    </w:p>
    <w:p w:rsidR="008C0658" w:rsidRDefault="008C0658" w:rsidP="008C0658">
      <w:pPr>
        <w:pStyle w:val="SingleTxtG"/>
        <w:tabs>
          <w:tab w:val="right" w:pos="850"/>
          <w:tab w:val="left" w:pos="1134"/>
          <w:tab w:val="left" w:pos="1559"/>
          <w:tab w:val="left" w:pos="1984"/>
          <w:tab w:val="left" w:leader="dot" w:pos="8787"/>
          <w:tab w:val="right" w:pos="9638"/>
        </w:tabs>
        <w:ind w:left="0" w:right="0"/>
        <w:jc w:val="left"/>
      </w:pPr>
      <w:r>
        <w:tab/>
      </w:r>
      <w:r>
        <w:tab/>
        <w:t>Parte II. Aplicación de las disposiciones de la Convención</w:t>
      </w:r>
      <w:r w:rsidR="000410CF">
        <w:tab/>
      </w:r>
      <w:r w:rsidR="000410CF">
        <w:tab/>
        <w:t>21</w:t>
      </w:r>
    </w:p>
    <w:p w:rsidR="008C0658" w:rsidRDefault="008C0658" w:rsidP="008C0658">
      <w:pPr>
        <w:pStyle w:val="SingleTxtG"/>
        <w:tabs>
          <w:tab w:val="right" w:pos="850"/>
          <w:tab w:val="left" w:pos="1134"/>
          <w:tab w:val="left" w:pos="1559"/>
          <w:tab w:val="left" w:pos="1984"/>
          <w:tab w:val="left" w:leader="dot" w:pos="8787"/>
          <w:tab w:val="right" w:pos="9638"/>
        </w:tabs>
        <w:ind w:left="0" w:right="0"/>
        <w:jc w:val="left"/>
      </w:pPr>
      <w:r>
        <w:tab/>
      </w:r>
      <w:r>
        <w:tab/>
      </w:r>
      <w:r>
        <w:tab/>
        <w:t>Artículo 1</w:t>
      </w:r>
      <w:r>
        <w:tab/>
      </w:r>
      <w:r>
        <w:tab/>
      </w:r>
      <w:r w:rsidR="000410CF">
        <w:t>21</w:t>
      </w:r>
    </w:p>
    <w:p w:rsidR="008C0658" w:rsidRDefault="008C0658" w:rsidP="008C0658">
      <w:pPr>
        <w:pStyle w:val="SingleTxtG"/>
        <w:tabs>
          <w:tab w:val="right" w:pos="850"/>
          <w:tab w:val="left" w:pos="1134"/>
          <w:tab w:val="left" w:pos="1559"/>
          <w:tab w:val="left" w:pos="1984"/>
          <w:tab w:val="left" w:leader="dot" w:pos="8787"/>
          <w:tab w:val="right" w:pos="9638"/>
        </w:tabs>
        <w:ind w:left="0" w:right="0"/>
        <w:jc w:val="left"/>
      </w:pPr>
      <w:r>
        <w:tab/>
      </w:r>
      <w:r>
        <w:tab/>
      </w:r>
      <w:r>
        <w:tab/>
        <w:t>Artículo 2</w:t>
      </w:r>
      <w:r>
        <w:tab/>
      </w:r>
      <w:r>
        <w:tab/>
      </w:r>
      <w:r w:rsidR="000410CF">
        <w:t>21</w:t>
      </w:r>
    </w:p>
    <w:p w:rsidR="008C0658" w:rsidRDefault="008C0658" w:rsidP="008C0658">
      <w:pPr>
        <w:pStyle w:val="SingleTxtG"/>
        <w:tabs>
          <w:tab w:val="right" w:pos="850"/>
          <w:tab w:val="left" w:pos="1134"/>
          <w:tab w:val="left" w:pos="1559"/>
          <w:tab w:val="left" w:pos="1984"/>
          <w:tab w:val="left" w:leader="dot" w:pos="8787"/>
          <w:tab w:val="right" w:pos="9638"/>
        </w:tabs>
        <w:ind w:left="0" w:right="0"/>
        <w:jc w:val="left"/>
      </w:pPr>
      <w:r>
        <w:tab/>
      </w:r>
      <w:r>
        <w:tab/>
      </w:r>
      <w:r>
        <w:tab/>
        <w:t>Artículo 3</w:t>
      </w:r>
      <w:r>
        <w:tab/>
      </w:r>
      <w:r>
        <w:tab/>
      </w:r>
      <w:r w:rsidR="000410CF">
        <w:t>22</w:t>
      </w:r>
    </w:p>
    <w:p w:rsidR="008C0658" w:rsidRDefault="008C0658" w:rsidP="008C0658">
      <w:pPr>
        <w:pStyle w:val="SingleTxtG"/>
        <w:tabs>
          <w:tab w:val="right" w:pos="850"/>
          <w:tab w:val="left" w:pos="1134"/>
          <w:tab w:val="left" w:pos="1559"/>
          <w:tab w:val="left" w:pos="1984"/>
          <w:tab w:val="left" w:leader="dot" w:pos="8787"/>
          <w:tab w:val="right" w:pos="9638"/>
        </w:tabs>
        <w:ind w:left="0" w:right="0"/>
        <w:jc w:val="left"/>
      </w:pPr>
      <w:r>
        <w:tab/>
      </w:r>
      <w:r>
        <w:tab/>
      </w:r>
      <w:r>
        <w:tab/>
        <w:t>Artículo 4</w:t>
      </w:r>
      <w:r>
        <w:tab/>
      </w:r>
      <w:r>
        <w:tab/>
      </w:r>
      <w:r w:rsidR="000410CF">
        <w:t>23</w:t>
      </w:r>
    </w:p>
    <w:p w:rsidR="008C0658" w:rsidRDefault="008C0658" w:rsidP="008C0658">
      <w:pPr>
        <w:pStyle w:val="SingleTxtG"/>
        <w:tabs>
          <w:tab w:val="right" w:pos="850"/>
          <w:tab w:val="left" w:pos="1134"/>
          <w:tab w:val="left" w:pos="1559"/>
          <w:tab w:val="left" w:pos="1984"/>
          <w:tab w:val="left" w:leader="dot" w:pos="8787"/>
          <w:tab w:val="right" w:pos="9638"/>
        </w:tabs>
        <w:ind w:left="0" w:right="0"/>
        <w:jc w:val="left"/>
      </w:pPr>
      <w:r>
        <w:tab/>
      </w:r>
      <w:r>
        <w:tab/>
      </w:r>
      <w:r>
        <w:tab/>
        <w:t>Artículo 5</w:t>
      </w:r>
      <w:r w:rsidR="000410CF">
        <w:tab/>
      </w:r>
      <w:r w:rsidR="000410CF">
        <w:tab/>
        <w:t>24</w:t>
      </w:r>
    </w:p>
    <w:p w:rsidR="008C0658" w:rsidRDefault="008C0658" w:rsidP="008C0658">
      <w:pPr>
        <w:pStyle w:val="SingleTxtG"/>
        <w:tabs>
          <w:tab w:val="right" w:pos="850"/>
          <w:tab w:val="left" w:pos="1134"/>
          <w:tab w:val="left" w:pos="1559"/>
          <w:tab w:val="left" w:pos="1984"/>
          <w:tab w:val="left" w:leader="dot" w:pos="8787"/>
          <w:tab w:val="right" w:pos="9638"/>
        </w:tabs>
        <w:ind w:left="0" w:right="0"/>
        <w:jc w:val="left"/>
      </w:pPr>
      <w:r>
        <w:tab/>
      </w:r>
      <w:r>
        <w:tab/>
      </w:r>
      <w:r>
        <w:tab/>
        <w:t>Artículo 6</w:t>
      </w:r>
      <w:r>
        <w:tab/>
      </w:r>
      <w:r>
        <w:tab/>
      </w:r>
      <w:r w:rsidR="000410CF">
        <w:t>31</w:t>
      </w:r>
    </w:p>
    <w:p w:rsidR="008C0658" w:rsidRDefault="008C0658" w:rsidP="008C0658">
      <w:pPr>
        <w:pStyle w:val="SingleTxtG"/>
        <w:tabs>
          <w:tab w:val="right" w:pos="850"/>
          <w:tab w:val="left" w:pos="1134"/>
          <w:tab w:val="left" w:pos="1559"/>
          <w:tab w:val="left" w:pos="1984"/>
          <w:tab w:val="left" w:leader="dot" w:pos="8787"/>
          <w:tab w:val="right" w:pos="9638"/>
        </w:tabs>
        <w:ind w:left="0" w:right="0"/>
        <w:jc w:val="left"/>
      </w:pPr>
      <w:r>
        <w:tab/>
      </w:r>
      <w:r>
        <w:tab/>
      </w:r>
      <w:r>
        <w:tab/>
        <w:t>Artículo 7</w:t>
      </w:r>
      <w:r>
        <w:tab/>
      </w:r>
      <w:r>
        <w:tab/>
      </w:r>
      <w:r w:rsidR="000410CF">
        <w:t>32</w:t>
      </w:r>
    </w:p>
    <w:p w:rsidR="008C0658" w:rsidRDefault="008C0658" w:rsidP="008C0658">
      <w:pPr>
        <w:pStyle w:val="SingleTxtG"/>
        <w:tabs>
          <w:tab w:val="right" w:pos="850"/>
          <w:tab w:val="left" w:pos="1134"/>
          <w:tab w:val="left" w:pos="1559"/>
          <w:tab w:val="left" w:pos="1984"/>
          <w:tab w:val="left" w:leader="dot" w:pos="8787"/>
          <w:tab w:val="right" w:pos="9638"/>
        </w:tabs>
        <w:ind w:left="0" w:right="0"/>
        <w:jc w:val="left"/>
      </w:pPr>
      <w:r>
        <w:tab/>
      </w:r>
      <w:r>
        <w:tab/>
        <w:t>Conclusión</w:t>
      </w:r>
      <w:r>
        <w:tab/>
      </w:r>
      <w:r>
        <w:tab/>
      </w:r>
      <w:r w:rsidR="000410CF">
        <w:t>34</w:t>
      </w:r>
    </w:p>
    <w:p w:rsidR="003E3038" w:rsidRDefault="003E3038" w:rsidP="003E3038">
      <w:pPr>
        <w:pStyle w:val="SingleTxtG"/>
        <w:tabs>
          <w:tab w:val="right" w:pos="850"/>
          <w:tab w:val="left" w:pos="1134"/>
          <w:tab w:val="left" w:pos="1559"/>
          <w:tab w:val="left" w:pos="1984"/>
          <w:tab w:val="left" w:leader="dot" w:pos="8787"/>
          <w:tab w:val="right" w:pos="9638"/>
        </w:tabs>
        <w:ind w:left="0" w:right="0"/>
        <w:jc w:val="left"/>
      </w:pPr>
    </w:p>
    <w:p w:rsidR="003E3038" w:rsidRDefault="003E3038" w:rsidP="003E3038">
      <w:pPr>
        <w:pStyle w:val="SingleTxtG"/>
        <w:tabs>
          <w:tab w:val="right" w:pos="850"/>
          <w:tab w:val="left" w:pos="1134"/>
          <w:tab w:val="left" w:pos="1559"/>
          <w:tab w:val="left" w:pos="1984"/>
          <w:tab w:val="left" w:leader="dot" w:pos="8787"/>
          <w:tab w:val="right" w:pos="9638"/>
        </w:tabs>
        <w:ind w:left="0" w:right="0"/>
        <w:jc w:val="left"/>
      </w:pPr>
    </w:p>
    <w:p w:rsidR="003E3038" w:rsidRPr="003E3038" w:rsidRDefault="003E3038" w:rsidP="003E3038">
      <w:pPr>
        <w:pStyle w:val="HChG"/>
      </w:pPr>
      <w:r w:rsidRPr="003E3038">
        <w:br w:type="page"/>
      </w:r>
      <w:bookmarkStart w:id="0" w:name="_GoBack"/>
      <w:bookmarkEnd w:id="0"/>
      <w:r>
        <w:lastRenderedPageBreak/>
        <w:tab/>
      </w:r>
      <w:r w:rsidRPr="003E3038">
        <w:tab/>
        <w:t>Siglas y abreviaturas</w:t>
      </w:r>
    </w:p>
    <w:p w:rsidR="003E3038" w:rsidRPr="003E3038" w:rsidRDefault="003E3038" w:rsidP="003E3038">
      <w:pPr>
        <w:pStyle w:val="SingleTxtG"/>
        <w:tabs>
          <w:tab w:val="left" w:pos="2268"/>
        </w:tabs>
      </w:pPr>
      <w:r w:rsidRPr="003E3038">
        <w:t>AAP</w:t>
      </w:r>
      <w:r w:rsidRPr="003E3038">
        <w:tab/>
      </w:r>
      <w:r w:rsidRPr="003E3038">
        <w:tab/>
        <w:t>Abastecimiento de agua potable</w:t>
      </w:r>
    </w:p>
    <w:p w:rsidR="003E3038" w:rsidRPr="003E3038" w:rsidRDefault="003E3038" w:rsidP="003E3038">
      <w:pPr>
        <w:pStyle w:val="SingleTxtG"/>
        <w:tabs>
          <w:tab w:val="left" w:pos="2268"/>
        </w:tabs>
      </w:pPr>
      <w:r w:rsidRPr="003E3038">
        <w:t>ACNUDH</w:t>
      </w:r>
      <w:r w:rsidRPr="003E3038">
        <w:tab/>
        <w:t xml:space="preserve">Oficina del Alto Comisionado de las Naciones Unidas para los Derechos </w:t>
      </w:r>
      <w:r>
        <w:tab/>
      </w:r>
      <w:r w:rsidRPr="003E3038">
        <w:t>Humanos</w:t>
      </w:r>
    </w:p>
    <w:p w:rsidR="003E3038" w:rsidRPr="003E3038" w:rsidRDefault="003E3038" w:rsidP="003E3038">
      <w:pPr>
        <w:pStyle w:val="SingleTxtG"/>
        <w:tabs>
          <w:tab w:val="left" w:pos="2268"/>
        </w:tabs>
      </w:pPr>
      <w:r w:rsidRPr="003E3038">
        <w:t>ACNUR</w:t>
      </w:r>
      <w:r w:rsidRPr="003E3038">
        <w:tab/>
        <w:t>Oficina del Alto Comisionado de las Naciones Unidas para los Refugiados</w:t>
      </w:r>
    </w:p>
    <w:p w:rsidR="003E3038" w:rsidRPr="003E3038" w:rsidRDefault="003E3038" w:rsidP="003E3038">
      <w:pPr>
        <w:pStyle w:val="SingleTxtG"/>
        <w:tabs>
          <w:tab w:val="left" w:pos="2268"/>
        </w:tabs>
      </w:pPr>
      <w:r w:rsidRPr="003E3038">
        <w:t xml:space="preserve">ONG </w:t>
      </w:r>
      <w:r w:rsidRPr="003E3038">
        <w:tab/>
        <w:t>Organización no gubernamental</w:t>
      </w:r>
    </w:p>
    <w:p w:rsidR="003E3038" w:rsidRPr="003E3038" w:rsidRDefault="003E3038" w:rsidP="003E3038">
      <w:pPr>
        <w:pStyle w:val="SingleTxtG"/>
        <w:tabs>
          <w:tab w:val="left" w:pos="2268"/>
        </w:tabs>
      </w:pPr>
      <w:r w:rsidRPr="003E3038">
        <w:t xml:space="preserve">OUA </w:t>
      </w:r>
      <w:r w:rsidRPr="003E3038">
        <w:tab/>
        <w:t>Organización de la Unidad Africana</w:t>
      </w:r>
    </w:p>
    <w:p w:rsidR="003E3038" w:rsidRPr="003E3038" w:rsidRDefault="003E3038" w:rsidP="003E3038">
      <w:pPr>
        <w:pStyle w:val="SingleTxtG"/>
        <w:tabs>
          <w:tab w:val="left" w:pos="2268"/>
        </w:tabs>
      </w:pPr>
      <w:r w:rsidRPr="003E3038">
        <w:t xml:space="preserve">TVM </w:t>
      </w:r>
      <w:r w:rsidRPr="003E3038">
        <w:tab/>
        <w:t xml:space="preserve">Televisión de Mauritania </w:t>
      </w:r>
    </w:p>
    <w:p w:rsidR="003E3038" w:rsidRPr="003E3038" w:rsidRDefault="003E3038" w:rsidP="003E3038">
      <w:pPr>
        <w:pStyle w:val="HChG"/>
      </w:pPr>
      <w:r>
        <w:br w:type="page"/>
      </w:r>
      <w:r>
        <w:lastRenderedPageBreak/>
        <w:tab/>
      </w:r>
      <w:r w:rsidRPr="003E3038">
        <w:tab/>
      </w:r>
      <w:bookmarkStart w:id="1" w:name="_Toc466729260"/>
      <w:bookmarkStart w:id="2" w:name="_Toc466729727"/>
      <w:bookmarkStart w:id="3" w:name="_Toc455364111"/>
      <w:bookmarkEnd w:id="1"/>
      <w:bookmarkEnd w:id="2"/>
      <w:r w:rsidRPr="003E3038">
        <w:t>Introducción</w:t>
      </w:r>
    </w:p>
    <w:p w:rsidR="003E3038" w:rsidRPr="003E3038" w:rsidRDefault="003E3038" w:rsidP="003E3038">
      <w:pPr>
        <w:pStyle w:val="SingleTxtG"/>
        <w:rPr>
          <w:b/>
        </w:rPr>
      </w:pPr>
      <w:r w:rsidRPr="003E3038">
        <w:rPr>
          <w:b/>
        </w:rPr>
        <w:t>El presente informe combinado, que agrupa los informes periódicos 8º, 9º, 10º, 11º, 12º y 14º que debía presentar la República Islámica de Mauritania en 2008, 2012 y 2016 respectivamente, se presenta al Comité de conformidad con lo dispuesto en el párrafo 1 b) del artículo 9 de la Convención sobre la Eliminación de Todas las Formas de Discriminación Racial.</w:t>
      </w:r>
    </w:p>
    <w:p w:rsidR="003E3038" w:rsidRPr="003E3038" w:rsidRDefault="003E3038" w:rsidP="003E3038">
      <w:pPr>
        <w:pStyle w:val="SingleTxtG"/>
      </w:pPr>
      <w:r w:rsidRPr="003E3038">
        <w:t>1.</w:t>
      </w:r>
      <w:r w:rsidRPr="003E3038">
        <w:tab/>
        <w:t>En la primera parte del informe se hace una presentación general del país y en la segunda se analiza la aplicación de las disposiciones sustantivas de la Convención.</w:t>
      </w:r>
    </w:p>
    <w:p w:rsidR="003E3038" w:rsidRPr="003E3038" w:rsidRDefault="003E3038" w:rsidP="003E3038">
      <w:pPr>
        <w:pStyle w:val="SingleTxtG"/>
      </w:pPr>
      <w:r w:rsidRPr="003E3038">
        <w:t>2.</w:t>
      </w:r>
      <w:r w:rsidRPr="003E3038">
        <w:tab/>
        <w:t>La presentación del presente informe demuestra la voluntad de Mauritania de cumplir los compromisos dimanantes de los tratados de derechos humanos y su determinación de aplicar la Convención, en la que se dispone que los Estados partes se comprometen a seguir una política encaminada a la eliminación de todas las formas de discriminación racial y se promueve el entendimiento entre las diferentes razas de la humanidad.</w:t>
      </w:r>
    </w:p>
    <w:p w:rsidR="003E3038" w:rsidRPr="003E3038" w:rsidRDefault="003E3038" w:rsidP="003E3038">
      <w:pPr>
        <w:pStyle w:val="SingleTxtG"/>
      </w:pPr>
      <w:r w:rsidRPr="003E3038">
        <w:t>3.</w:t>
      </w:r>
      <w:r w:rsidRPr="003E3038">
        <w:tab/>
        <w:t xml:space="preserve">Mauritania es un país musulmán, árabe y africano que sigue estando firmemente comprometido con el espíritu y la letra de la Convención Internacional sobre la Eliminación de Todas las Formas de Discriminación Racial. </w:t>
      </w:r>
    </w:p>
    <w:p w:rsidR="003E3038" w:rsidRPr="003E3038" w:rsidRDefault="003E3038" w:rsidP="003E3038">
      <w:pPr>
        <w:pStyle w:val="SingleTxtG"/>
      </w:pPr>
      <w:r w:rsidRPr="003E3038">
        <w:t>4.</w:t>
      </w:r>
      <w:r w:rsidRPr="003E3038">
        <w:tab/>
        <w:t>El Gobierno de la República Islámica de Mauritania reitera también su determinación de mantener sus políticas de lucha contra todas las formas de discriminación y espera que la presentación del informe sirva de marco para mantener un intercambio, una coordinación y un diálogo constructivos con el Comité.</w:t>
      </w:r>
    </w:p>
    <w:p w:rsidR="003E3038" w:rsidRPr="003E3038" w:rsidRDefault="003E3038" w:rsidP="003E3038">
      <w:pPr>
        <w:pStyle w:val="HChG"/>
      </w:pPr>
      <w:r w:rsidRPr="003E3038">
        <w:tab/>
      </w:r>
      <w:r w:rsidR="00611AC9">
        <w:tab/>
        <w:t>Parte I</w:t>
      </w:r>
      <w:r>
        <w:br/>
      </w:r>
      <w:r w:rsidRPr="003E3038">
        <w:t xml:space="preserve">Presentación general de la República Islámica de </w:t>
      </w:r>
      <w:r>
        <w:br/>
      </w:r>
      <w:r w:rsidRPr="003E3038">
        <w:t>Mauritania</w:t>
      </w:r>
      <w:r w:rsidR="00611AC9">
        <w:t xml:space="preserve"> –</w:t>
      </w:r>
      <w:r>
        <w:t xml:space="preserve"> </w:t>
      </w:r>
      <w:r w:rsidRPr="003E3038">
        <w:t>Datos generales</w:t>
      </w:r>
      <w:bookmarkEnd w:id="3"/>
    </w:p>
    <w:p w:rsidR="003E3038" w:rsidRPr="003E3038" w:rsidRDefault="003E3038" w:rsidP="003E3038">
      <w:pPr>
        <w:pStyle w:val="H1G"/>
      </w:pPr>
      <w:bookmarkStart w:id="4" w:name="_Toc454388696"/>
      <w:bookmarkStart w:id="5" w:name="_Toc453672856"/>
      <w:bookmarkStart w:id="6" w:name="_Toc455360509"/>
      <w:bookmarkStart w:id="7" w:name="_Toc455364112"/>
      <w:r>
        <w:tab/>
      </w:r>
      <w:r w:rsidRPr="003E3038">
        <w:t>A.</w:t>
      </w:r>
      <w:r w:rsidRPr="003E3038">
        <w:tab/>
        <w:t>Características demográficas y socioeconómicas</w:t>
      </w:r>
      <w:bookmarkEnd w:id="4"/>
      <w:bookmarkEnd w:id="5"/>
      <w:bookmarkEnd w:id="6"/>
      <w:bookmarkEnd w:id="7"/>
    </w:p>
    <w:p w:rsidR="003E3038" w:rsidRPr="003E3038" w:rsidRDefault="003E3038" w:rsidP="003E3038">
      <w:pPr>
        <w:pStyle w:val="H23G"/>
      </w:pPr>
      <w:bookmarkStart w:id="8" w:name="_Toc453672857"/>
      <w:bookmarkStart w:id="9" w:name="_Toc455364113"/>
      <w:r>
        <w:tab/>
      </w:r>
      <w:r w:rsidRPr="003E3038">
        <w:t>1.</w:t>
      </w:r>
      <w:r w:rsidRPr="003E3038">
        <w:tab/>
        <w:t xml:space="preserve">Datos demográficos </w:t>
      </w:r>
      <w:bookmarkEnd w:id="8"/>
      <w:bookmarkEnd w:id="9"/>
    </w:p>
    <w:p w:rsidR="003E3038" w:rsidRPr="003E3038" w:rsidRDefault="003E3038" w:rsidP="003E3038">
      <w:pPr>
        <w:pStyle w:val="SingleTxtG"/>
      </w:pPr>
      <w:r w:rsidRPr="003E3038">
        <w:t>5.</w:t>
      </w:r>
      <w:r w:rsidRPr="003E3038">
        <w:tab/>
        <w:t xml:space="preserve">Mauritania es un país multiétnico y multicultural. Su población es mayoritariamente árabe e incluye las minorías </w:t>
      </w:r>
      <w:r w:rsidRPr="003E3038">
        <w:rPr>
          <w:i/>
        </w:rPr>
        <w:t xml:space="preserve">pulaar, soninké </w:t>
      </w:r>
      <w:r w:rsidRPr="003E3038">
        <w:t>y</w:t>
      </w:r>
      <w:r w:rsidRPr="003E3038">
        <w:rPr>
          <w:i/>
        </w:rPr>
        <w:t xml:space="preserve"> wolof</w:t>
      </w:r>
      <w:r w:rsidRPr="003E3038">
        <w:t>. Su población asciende a 3.537.628 habitantes (Censo General de Población y Vivienda de 2013), de los que el 27,1% vive en Nuakchot, la capital del país</w:t>
      </w:r>
      <w:r w:rsidRPr="003E3038">
        <w:rPr>
          <w:sz w:val="18"/>
          <w:szCs w:val="18"/>
          <w:vertAlign w:val="superscript"/>
        </w:rPr>
        <w:footnoteReference w:id="2"/>
      </w:r>
      <w:r w:rsidRPr="003E3038">
        <w:t>.</w:t>
      </w:r>
    </w:p>
    <w:p w:rsidR="003E3038" w:rsidRPr="003E3038" w:rsidRDefault="003E3038" w:rsidP="00912C55">
      <w:pPr>
        <w:pStyle w:val="SingleTxtG"/>
        <w:spacing w:after="0"/>
        <w:ind w:left="0" w:right="0"/>
      </w:pPr>
      <w:r w:rsidRPr="003E3038">
        <w:t xml:space="preserve">Cuadro 1 </w:t>
      </w:r>
    </w:p>
    <w:p w:rsidR="003E3038" w:rsidRDefault="003E3038" w:rsidP="00912C55">
      <w:pPr>
        <w:pStyle w:val="SingleTxtG"/>
        <w:ind w:left="0" w:right="0"/>
        <w:rPr>
          <w:b/>
        </w:rPr>
      </w:pPr>
      <w:r w:rsidRPr="003E3038">
        <w:rPr>
          <w:b/>
        </w:rPr>
        <w:t>Distribución de la población por sexo y grupo de edad</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1018"/>
        <w:gridCol w:w="686"/>
        <w:gridCol w:w="623"/>
        <w:gridCol w:w="746"/>
        <w:gridCol w:w="686"/>
        <w:gridCol w:w="661"/>
        <w:gridCol w:w="746"/>
        <w:gridCol w:w="746"/>
        <w:gridCol w:w="746"/>
        <w:gridCol w:w="746"/>
        <w:gridCol w:w="746"/>
        <w:gridCol w:w="746"/>
        <w:gridCol w:w="742"/>
      </w:tblGrid>
      <w:tr w:rsidR="003E3038" w:rsidRPr="003E3038" w:rsidTr="00912C55">
        <w:trPr>
          <w:trHeight w:val="240"/>
          <w:tblHeader/>
        </w:trPr>
        <w:tc>
          <w:tcPr>
            <w:tcW w:w="528" w:type="pct"/>
            <w:vMerge w:val="restart"/>
            <w:tcBorders>
              <w:top w:val="single" w:sz="4" w:space="0" w:color="auto"/>
              <w:bottom w:val="single" w:sz="12" w:space="0" w:color="auto"/>
            </w:tcBorders>
            <w:shd w:val="clear" w:color="auto" w:fill="auto"/>
            <w:noWrap/>
            <w:vAlign w:val="bottom"/>
          </w:tcPr>
          <w:p w:rsidR="003E3038" w:rsidRPr="003E3038" w:rsidRDefault="003E3038" w:rsidP="003E3038">
            <w:pPr>
              <w:pStyle w:val="SingleTxtG"/>
              <w:spacing w:before="80" w:after="80" w:line="200" w:lineRule="exact"/>
              <w:ind w:left="57" w:right="0"/>
              <w:jc w:val="left"/>
              <w:rPr>
                <w:bCs/>
                <w:i/>
                <w:sz w:val="16"/>
                <w:szCs w:val="16"/>
              </w:rPr>
            </w:pPr>
            <w:r w:rsidRPr="003E3038">
              <w:rPr>
                <w:i/>
                <w:sz w:val="16"/>
                <w:szCs w:val="16"/>
              </w:rPr>
              <w:t>Grupo de edad</w:t>
            </w:r>
          </w:p>
        </w:tc>
        <w:tc>
          <w:tcPr>
            <w:tcW w:w="1066" w:type="pct"/>
            <w:gridSpan w:val="3"/>
            <w:tcBorders>
              <w:top w:val="single" w:sz="4" w:space="0" w:color="auto"/>
              <w:bottom w:val="single" w:sz="4" w:space="0" w:color="auto"/>
              <w:right w:val="single" w:sz="18" w:space="0" w:color="FFFFFF" w:themeColor="background1"/>
            </w:tcBorders>
            <w:shd w:val="clear" w:color="auto" w:fill="auto"/>
            <w:vAlign w:val="bottom"/>
          </w:tcPr>
          <w:p w:rsidR="003E3038" w:rsidRPr="003E3038" w:rsidRDefault="003E3038" w:rsidP="003E3038">
            <w:pPr>
              <w:pStyle w:val="SingleTxtG"/>
              <w:spacing w:before="80" w:after="80" w:line="200" w:lineRule="exact"/>
              <w:ind w:left="57" w:right="0"/>
              <w:jc w:val="center"/>
              <w:rPr>
                <w:bCs/>
                <w:i/>
                <w:sz w:val="16"/>
                <w:szCs w:val="16"/>
              </w:rPr>
            </w:pPr>
            <w:r w:rsidRPr="003E3038">
              <w:rPr>
                <w:i/>
                <w:sz w:val="16"/>
                <w:szCs w:val="16"/>
              </w:rPr>
              <w:t>1977</w:t>
            </w:r>
          </w:p>
        </w:tc>
        <w:tc>
          <w:tcPr>
            <w:tcW w:w="1086" w:type="pct"/>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tcPr>
          <w:p w:rsidR="003E3038" w:rsidRPr="003E3038" w:rsidRDefault="003E3038" w:rsidP="003E3038">
            <w:pPr>
              <w:pStyle w:val="SingleTxtG"/>
              <w:spacing w:before="80" w:after="80" w:line="200" w:lineRule="exact"/>
              <w:ind w:left="57" w:right="0"/>
              <w:jc w:val="center"/>
              <w:rPr>
                <w:bCs/>
                <w:i/>
                <w:sz w:val="16"/>
                <w:szCs w:val="16"/>
              </w:rPr>
            </w:pPr>
            <w:r w:rsidRPr="003E3038">
              <w:rPr>
                <w:i/>
                <w:sz w:val="16"/>
                <w:szCs w:val="16"/>
              </w:rPr>
              <w:t>1988</w:t>
            </w:r>
          </w:p>
        </w:tc>
        <w:tc>
          <w:tcPr>
            <w:tcW w:w="1161" w:type="pct"/>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3E3038" w:rsidRPr="003E3038" w:rsidRDefault="003E3038" w:rsidP="003E3038">
            <w:pPr>
              <w:pStyle w:val="SingleTxtG"/>
              <w:spacing w:before="80" w:after="80" w:line="200" w:lineRule="exact"/>
              <w:ind w:left="57" w:right="0"/>
              <w:jc w:val="center"/>
              <w:rPr>
                <w:bCs/>
                <w:i/>
                <w:sz w:val="16"/>
                <w:szCs w:val="16"/>
              </w:rPr>
            </w:pPr>
            <w:r w:rsidRPr="003E3038">
              <w:rPr>
                <w:i/>
                <w:sz w:val="16"/>
                <w:szCs w:val="16"/>
              </w:rPr>
              <w:t>2000</w:t>
            </w:r>
          </w:p>
        </w:tc>
        <w:tc>
          <w:tcPr>
            <w:tcW w:w="1159" w:type="pct"/>
            <w:gridSpan w:val="3"/>
            <w:tcBorders>
              <w:top w:val="single" w:sz="4" w:space="0" w:color="auto"/>
              <w:left w:val="single" w:sz="18" w:space="0" w:color="FFFFFF" w:themeColor="background1"/>
              <w:bottom w:val="single" w:sz="4" w:space="0" w:color="auto"/>
            </w:tcBorders>
            <w:shd w:val="clear" w:color="auto" w:fill="auto"/>
            <w:vAlign w:val="bottom"/>
          </w:tcPr>
          <w:p w:rsidR="003E3038" w:rsidRPr="003E3038" w:rsidRDefault="003E3038" w:rsidP="003E3038">
            <w:pPr>
              <w:pStyle w:val="SingleTxtG"/>
              <w:spacing w:before="80" w:after="80" w:line="200" w:lineRule="exact"/>
              <w:ind w:left="57" w:right="0"/>
              <w:jc w:val="center"/>
              <w:rPr>
                <w:bCs/>
                <w:i/>
                <w:sz w:val="16"/>
                <w:szCs w:val="16"/>
              </w:rPr>
            </w:pPr>
            <w:r w:rsidRPr="003E3038">
              <w:rPr>
                <w:i/>
                <w:sz w:val="16"/>
                <w:szCs w:val="16"/>
              </w:rPr>
              <w:t>2013</w:t>
            </w:r>
          </w:p>
        </w:tc>
      </w:tr>
      <w:tr w:rsidR="003E3038" w:rsidRPr="003E3038" w:rsidTr="00912C55">
        <w:trPr>
          <w:trHeight w:val="240"/>
          <w:tblHeader/>
        </w:trPr>
        <w:tc>
          <w:tcPr>
            <w:tcW w:w="528" w:type="pct"/>
            <w:vMerge/>
            <w:tcBorders>
              <w:top w:val="single" w:sz="12" w:space="0" w:color="auto"/>
              <w:bottom w:val="single" w:sz="12" w:space="0" w:color="auto"/>
            </w:tcBorders>
            <w:shd w:val="clear" w:color="auto" w:fill="auto"/>
            <w:noWrap/>
            <w:vAlign w:val="bottom"/>
          </w:tcPr>
          <w:p w:rsidR="003E3038" w:rsidRPr="003E3038" w:rsidRDefault="003E3038" w:rsidP="003E3038">
            <w:pPr>
              <w:pStyle w:val="SingleTxtG"/>
              <w:spacing w:before="40" w:after="40" w:line="220" w:lineRule="exact"/>
              <w:ind w:left="57" w:right="0"/>
              <w:jc w:val="left"/>
              <w:rPr>
                <w:sz w:val="16"/>
                <w:szCs w:val="16"/>
              </w:rPr>
            </w:pPr>
          </w:p>
        </w:tc>
        <w:tc>
          <w:tcPr>
            <w:tcW w:w="356" w:type="pct"/>
            <w:tcBorders>
              <w:top w:val="single" w:sz="4" w:space="0" w:color="auto"/>
              <w:bottom w:val="single" w:sz="12" w:space="0" w:color="auto"/>
            </w:tcBorders>
            <w:shd w:val="clear" w:color="auto" w:fill="auto"/>
            <w:vAlign w:val="bottom"/>
          </w:tcPr>
          <w:p w:rsidR="003E3038" w:rsidRPr="003E3038" w:rsidRDefault="003E3038" w:rsidP="003E3038">
            <w:pPr>
              <w:pStyle w:val="SingleTxtG"/>
              <w:spacing w:before="80" w:after="80" w:line="200" w:lineRule="exact"/>
              <w:ind w:left="57" w:right="0"/>
              <w:jc w:val="center"/>
              <w:rPr>
                <w:i/>
                <w:sz w:val="16"/>
                <w:szCs w:val="16"/>
              </w:rPr>
            </w:pPr>
            <w:r w:rsidRPr="003E3038">
              <w:rPr>
                <w:i/>
                <w:sz w:val="16"/>
                <w:szCs w:val="16"/>
              </w:rPr>
              <w:t>Hombres</w:t>
            </w:r>
          </w:p>
        </w:tc>
        <w:tc>
          <w:tcPr>
            <w:tcW w:w="323" w:type="pct"/>
            <w:tcBorders>
              <w:top w:val="single" w:sz="4" w:space="0" w:color="auto"/>
              <w:bottom w:val="single" w:sz="12" w:space="0" w:color="auto"/>
            </w:tcBorders>
            <w:shd w:val="clear" w:color="auto" w:fill="auto"/>
            <w:vAlign w:val="bottom"/>
          </w:tcPr>
          <w:p w:rsidR="003E3038" w:rsidRPr="003E3038" w:rsidRDefault="003E3038" w:rsidP="003E3038">
            <w:pPr>
              <w:pStyle w:val="SingleTxtG"/>
              <w:spacing w:before="80" w:after="80" w:line="200" w:lineRule="exact"/>
              <w:ind w:left="57" w:right="0"/>
              <w:jc w:val="center"/>
              <w:rPr>
                <w:i/>
                <w:sz w:val="16"/>
                <w:szCs w:val="16"/>
              </w:rPr>
            </w:pPr>
            <w:r w:rsidRPr="003E3038">
              <w:rPr>
                <w:i/>
                <w:sz w:val="16"/>
                <w:szCs w:val="16"/>
              </w:rPr>
              <w:t>Mujeres</w:t>
            </w:r>
          </w:p>
        </w:tc>
        <w:tc>
          <w:tcPr>
            <w:tcW w:w="386" w:type="pct"/>
            <w:tcBorders>
              <w:top w:val="single" w:sz="4" w:space="0" w:color="auto"/>
              <w:bottom w:val="single" w:sz="12" w:space="0" w:color="auto"/>
              <w:right w:val="single" w:sz="18" w:space="0" w:color="FFFFFF" w:themeColor="background1"/>
            </w:tcBorders>
            <w:shd w:val="clear" w:color="auto" w:fill="auto"/>
            <w:vAlign w:val="bottom"/>
          </w:tcPr>
          <w:p w:rsidR="003E3038" w:rsidRPr="003E3038" w:rsidRDefault="003E3038" w:rsidP="003E3038">
            <w:pPr>
              <w:pStyle w:val="SingleTxtG"/>
              <w:spacing w:before="80" w:after="80" w:line="200" w:lineRule="exact"/>
              <w:ind w:left="57" w:right="0"/>
              <w:jc w:val="center"/>
              <w:rPr>
                <w:i/>
                <w:sz w:val="16"/>
                <w:szCs w:val="16"/>
              </w:rPr>
            </w:pPr>
            <w:r w:rsidRPr="003E3038">
              <w:rPr>
                <w:i/>
                <w:sz w:val="16"/>
                <w:szCs w:val="16"/>
              </w:rPr>
              <w:t>Total</w:t>
            </w:r>
          </w:p>
        </w:tc>
        <w:tc>
          <w:tcPr>
            <w:tcW w:w="356" w:type="pct"/>
            <w:tcBorders>
              <w:top w:val="single" w:sz="4" w:space="0" w:color="auto"/>
              <w:left w:val="single" w:sz="18" w:space="0" w:color="FFFFFF" w:themeColor="background1"/>
              <w:bottom w:val="single" w:sz="12" w:space="0" w:color="auto"/>
            </w:tcBorders>
            <w:shd w:val="clear" w:color="auto" w:fill="auto"/>
            <w:noWrap/>
            <w:vAlign w:val="bottom"/>
          </w:tcPr>
          <w:p w:rsidR="003E3038" w:rsidRPr="003E3038" w:rsidRDefault="003E3038" w:rsidP="003E3038">
            <w:pPr>
              <w:pStyle w:val="SingleTxtG"/>
              <w:spacing w:before="80" w:after="80" w:line="200" w:lineRule="exact"/>
              <w:ind w:left="57" w:right="0"/>
              <w:jc w:val="center"/>
              <w:rPr>
                <w:i/>
                <w:sz w:val="16"/>
                <w:szCs w:val="16"/>
              </w:rPr>
            </w:pPr>
            <w:r w:rsidRPr="003E3038">
              <w:rPr>
                <w:i/>
                <w:sz w:val="16"/>
                <w:szCs w:val="16"/>
              </w:rPr>
              <w:t>Hombres</w:t>
            </w:r>
          </w:p>
        </w:tc>
        <w:tc>
          <w:tcPr>
            <w:tcW w:w="343" w:type="pct"/>
            <w:tcBorders>
              <w:top w:val="single" w:sz="4" w:space="0" w:color="auto"/>
              <w:bottom w:val="single" w:sz="12" w:space="0" w:color="auto"/>
            </w:tcBorders>
            <w:shd w:val="clear" w:color="auto" w:fill="auto"/>
            <w:noWrap/>
            <w:vAlign w:val="bottom"/>
          </w:tcPr>
          <w:p w:rsidR="003E3038" w:rsidRPr="003E3038" w:rsidRDefault="003E3038" w:rsidP="003E3038">
            <w:pPr>
              <w:pStyle w:val="SingleTxtG"/>
              <w:spacing w:before="80" w:after="80" w:line="200" w:lineRule="exact"/>
              <w:ind w:left="57" w:right="0"/>
              <w:jc w:val="center"/>
              <w:rPr>
                <w:i/>
                <w:sz w:val="16"/>
                <w:szCs w:val="16"/>
              </w:rPr>
            </w:pPr>
            <w:r w:rsidRPr="003E3038">
              <w:rPr>
                <w:i/>
                <w:sz w:val="16"/>
                <w:szCs w:val="16"/>
              </w:rPr>
              <w:t>Mujeres</w:t>
            </w:r>
          </w:p>
        </w:tc>
        <w:tc>
          <w:tcPr>
            <w:tcW w:w="386" w:type="pct"/>
            <w:tcBorders>
              <w:top w:val="single" w:sz="4" w:space="0" w:color="auto"/>
              <w:bottom w:val="single" w:sz="12" w:space="0" w:color="auto"/>
              <w:right w:val="single" w:sz="18" w:space="0" w:color="FFFFFF" w:themeColor="background1"/>
            </w:tcBorders>
            <w:shd w:val="clear" w:color="auto" w:fill="auto"/>
            <w:noWrap/>
            <w:vAlign w:val="bottom"/>
          </w:tcPr>
          <w:p w:rsidR="003E3038" w:rsidRPr="003E3038" w:rsidRDefault="003E3038" w:rsidP="003E3038">
            <w:pPr>
              <w:pStyle w:val="SingleTxtG"/>
              <w:spacing w:before="80" w:after="80" w:line="200" w:lineRule="exact"/>
              <w:ind w:left="57" w:right="0"/>
              <w:jc w:val="center"/>
              <w:rPr>
                <w:i/>
                <w:sz w:val="16"/>
                <w:szCs w:val="16"/>
              </w:rPr>
            </w:pPr>
            <w:r w:rsidRPr="003E3038">
              <w:rPr>
                <w:i/>
                <w:sz w:val="16"/>
                <w:szCs w:val="16"/>
              </w:rPr>
              <w:t>Total</w:t>
            </w:r>
          </w:p>
        </w:tc>
        <w:tc>
          <w:tcPr>
            <w:tcW w:w="387" w:type="pct"/>
            <w:tcBorders>
              <w:top w:val="single" w:sz="4" w:space="0" w:color="auto"/>
              <w:left w:val="single" w:sz="18" w:space="0" w:color="FFFFFF" w:themeColor="background1"/>
              <w:bottom w:val="single" w:sz="12" w:space="0" w:color="auto"/>
            </w:tcBorders>
            <w:shd w:val="clear" w:color="auto" w:fill="auto"/>
            <w:vAlign w:val="bottom"/>
          </w:tcPr>
          <w:p w:rsidR="003E3038" w:rsidRPr="003E3038" w:rsidRDefault="003E3038" w:rsidP="003E3038">
            <w:pPr>
              <w:pStyle w:val="SingleTxtG"/>
              <w:spacing w:before="80" w:after="80" w:line="200" w:lineRule="exact"/>
              <w:ind w:left="57" w:right="0"/>
              <w:jc w:val="center"/>
              <w:rPr>
                <w:i/>
                <w:sz w:val="16"/>
                <w:szCs w:val="16"/>
              </w:rPr>
            </w:pPr>
            <w:r w:rsidRPr="003E3038">
              <w:rPr>
                <w:i/>
                <w:sz w:val="16"/>
                <w:szCs w:val="16"/>
              </w:rPr>
              <w:t>Hombres</w:t>
            </w:r>
          </w:p>
        </w:tc>
        <w:tc>
          <w:tcPr>
            <w:tcW w:w="387" w:type="pct"/>
            <w:tcBorders>
              <w:top w:val="single" w:sz="4" w:space="0" w:color="auto"/>
              <w:bottom w:val="single" w:sz="12" w:space="0" w:color="auto"/>
            </w:tcBorders>
            <w:shd w:val="clear" w:color="auto" w:fill="auto"/>
            <w:vAlign w:val="bottom"/>
          </w:tcPr>
          <w:p w:rsidR="003E3038" w:rsidRPr="003E3038" w:rsidRDefault="003E3038" w:rsidP="003E3038">
            <w:pPr>
              <w:pStyle w:val="SingleTxtG"/>
              <w:spacing w:before="80" w:after="80" w:line="200" w:lineRule="exact"/>
              <w:ind w:left="57" w:right="0"/>
              <w:jc w:val="center"/>
              <w:rPr>
                <w:i/>
                <w:sz w:val="16"/>
                <w:szCs w:val="16"/>
              </w:rPr>
            </w:pPr>
            <w:r w:rsidRPr="003E3038">
              <w:rPr>
                <w:i/>
                <w:sz w:val="16"/>
                <w:szCs w:val="16"/>
              </w:rPr>
              <w:t>Mujeres</w:t>
            </w:r>
          </w:p>
        </w:tc>
        <w:tc>
          <w:tcPr>
            <w:tcW w:w="387" w:type="pct"/>
            <w:tcBorders>
              <w:top w:val="single" w:sz="4" w:space="0" w:color="auto"/>
              <w:bottom w:val="single" w:sz="12" w:space="0" w:color="auto"/>
              <w:right w:val="single" w:sz="18" w:space="0" w:color="FFFFFF" w:themeColor="background1"/>
            </w:tcBorders>
            <w:shd w:val="clear" w:color="auto" w:fill="auto"/>
            <w:vAlign w:val="bottom"/>
          </w:tcPr>
          <w:p w:rsidR="003E3038" w:rsidRPr="003E3038" w:rsidRDefault="003E3038" w:rsidP="003E3038">
            <w:pPr>
              <w:pStyle w:val="SingleTxtG"/>
              <w:spacing w:before="80" w:after="80" w:line="200" w:lineRule="exact"/>
              <w:ind w:left="57" w:right="0"/>
              <w:jc w:val="center"/>
              <w:rPr>
                <w:i/>
                <w:sz w:val="16"/>
                <w:szCs w:val="16"/>
              </w:rPr>
            </w:pPr>
            <w:r w:rsidRPr="003E3038">
              <w:rPr>
                <w:i/>
                <w:sz w:val="16"/>
                <w:szCs w:val="16"/>
              </w:rPr>
              <w:t>Total</w:t>
            </w:r>
          </w:p>
        </w:tc>
        <w:tc>
          <w:tcPr>
            <w:tcW w:w="387" w:type="pct"/>
            <w:tcBorders>
              <w:top w:val="single" w:sz="4" w:space="0" w:color="auto"/>
              <w:left w:val="single" w:sz="18" w:space="0" w:color="FFFFFF" w:themeColor="background1"/>
              <w:bottom w:val="single" w:sz="12" w:space="0" w:color="auto"/>
            </w:tcBorders>
            <w:shd w:val="clear" w:color="auto" w:fill="auto"/>
            <w:vAlign w:val="bottom"/>
          </w:tcPr>
          <w:p w:rsidR="003E3038" w:rsidRPr="003E3038" w:rsidRDefault="003E3038" w:rsidP="003E3038">
            <w:pPr>
              <w:pStyle w:val="SingleTxtG"/>
              <w:spacing w:before="80" w:after="80" w:line="200" w:lineRule="exact"/>
              <w:ind w:left="57" w:right="0"/>
              <w:jc w:val="center"/>
              <w:rPr>
                <w:i/>
                <w:sz w:val="16"/>
                <w:szCs w:val="16"/>
              </w:rPr>
            </w:pPr>
            <w:r w:rsidRPr="003E3038">
              <w:rPr>
                <w:i/>
                <w:sz w:val="16"/>
                <w:szCs w:val="16"/>
              </w:rPr>
              <w:t>Hombres</w:t>
            </w:r>
          </w:p>
        </w:tc>
        <w:tc>
          <w:tcPr>
            <w:tcW w:w="387" w:type="pct"/>
            <w:tcBorders>
              <w:top w:val="single" w:sz="4" w:space="0" w:color="auto"/>
              <w:bottom w:val="single" w:sz="12" w:space="0" w:color="auto"/>
            </w:tcBorders>
            <w:shd w:val="clear" w:color="auto" w:fill="auto"/>
            <w:vAlign w:val="bottom"/>
          </w:tcPr>
          <w:p w:rsidR="003E3038" w:rsidRPr="003E3038" w:rsidRDefault="003E3038" w:rsidP="003E3038">
            <w:pPr>
              <w:pStyle w:val="SingleTxtG"/>
              <w:spacing w:before="80" w:after="80" w:line="200" w:lineRule="exact"/>
              <w:ind w:left="57" w:right="0"/>
              <w:jc w:val="center"/>
              <w:rPr>
                <w:i/>
                <w:sz w:val="16"/>
                <w:szCs w:val="16"/>
              </w:rPr>
            </w:pPr>
            <w:r w:rsidRPr="003E3038">
              <w:rPr>
                <w:i/>
                <w:sz w:val="16"/>
                <w:szCs w:val="16"/>
              </w:rPr>
              <w:t>Mujeres</w:t>
            </w:r>
          </w:p>
        </w:tc>
        <w:tc>
          <w:tcPr>
            <w:tcW w:w="385" w:type="pct"/>
            <w:tcBorders>
              <w:top w:val="single" w:sz="4" w:space="0" w:color="auto"/>
              <w:bottom w:val="single" w:sz="12" w:space="0" w:color="auto"/>
            </w:tcBorders>
            <w:shd w:val="clear" w:color="auto" w:fill="auto"/>
            <w:vAlign w:val="bottom"/>
          </w:tcPr>
          <w:p w:rsidR="003E3038" w:rsidRPr="003E3038" w:rsidRDefault="003E3038" w:rsidP="003E3038">
            <w:pPr>
              <w:pStyle w:val="SingleTxtG"/>
              <w:spacing w:before="80" w:after="80" w:line="200" w:lineRule="exact"/>
              <w:ind w:left="57" w:right="0"/>
              <w:jc w:val="center"/>
              <w:rPr>
                <w:i/>
                <w:sz w:val="16"/>
                <w:szCs w:val="16"/>
              </w:rPr>
            </w:pPr>
            <w:r w:rsidRPr="003E3038">
              <w:rPr>
                <w:i/>
                <w:sz w:val="16"/>
                <w:szCs w:val="16"/>
              </w:rPr>
              <w:t>Total</w:t>
            </w:r>
          </w:p>
        </w:tc>
      </w:tr>
      <w:tr w:rsidR="003E3038" w:rsidRPr="003E3038" w:rsidTr="00912C55">
        <w:trPr>
          <w:trHeight w:val="240"/>
        </w:trPr>
        <w:tc>
          <w:tcPr>
            <w:tcW w:w="528" w:type="pct"/>
            <w:tcBorders>
              <w:top w:val="single" w:sz="12" w:space="0" w:color="auto"/>
            </w:tcBorders>
            <w:shd w:val="clear" w:color="auto" w:fill="auto"/>
            <w:noWrap/>
            <w:hideMark/>
          </w:tcPr>
          <w:p w:rsidR="003E3038" w:rsidRPr="003E3038" w:rsidRDefault="000551C4" w:rsidP="00611AC9">
            <w:pPr>
              <w:pStyle w:val="SingleTxtG"/>
              <w:spacing w:before="40" w:after="40" w:line="220" w:lineRule="exact"/>
              <w:ind w:left="57" w:right="0"/>
              <w:jc w:val="left"/>
              <w:rPr>
                <w:sz w:val="16"/>
                <w:szCs w:val="16"/>
              </w:rPr>
            </w:pPr>
            <w:r>
              <w:rPr>
                <w:sz w:val="16"/>
                <w:szCs w:val="16"/>
              </w:rPr>
              <w:t xml:space="preserve">De </w:t>
            </w:r>
            <w:r w:rsidR="003E3038">
              <w:rPr>
                <w:sz w:val="16"/>
                <w:szCs w:val="16"/>
              </w:rPr>
              <w:t>0 a</w:t>
            </w:r>
            <w:r w:rsidR="003E3038" w:rsidRPr="003E3038">
              <w:rPr>
                <w:sz w:val="16"/>
                <w:szCs w:val="16"/>
              </w:rPr>
              <w:t xml:space="preserve"> 4</w:t>
            </w:r>
          </w:p>
        </w:tc>
        <w:tc>
          <w:tcPr>
            <w:tcW w:w="356" w:type="pct"/>
            <w:tcBorders>
              <w:top w:val="single" w:sz="12" w:space="0" w:color="auto"/>
            </w:tcBorders>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110</w:t>
            </w:r>
            <w:r w:rsidR="00912C55" w:rsidRPr="00912C55">
              <w:rPr>
                <w:sz w:val="18"/>
                <w:szCs w:val="16"/>
                <w:vertAlign w:val="superscript"/>
              </w:rPr>
              <w:t xml:space="preserve"> </w:t>
            </w:r>
            <w:r w:rsidRPr="003E3038">
              <w:rPr>
                <w:sz w:val="16"/>
                <w:szCs w:val="16"/>
              </w:rPr>
              <w:t>261</w:t>
            </w:r>
          </w:p>
        </w:tc>
        <w:tc>
          <w:tcPr>
            <w:tcW w:w="323" w:type="pct"/>
            <w:tcBorders>
              <w:top w:val="single" w:sz="12" w:space="0" w:color="auto"/>
            </w:tcBorders>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106</w:t>
            </w:r>
            <w:r w:rsidR="00912C55" w:rsidRPr="00912C55">
              <w:rPr>
                <w:sz w:val="18"/>
                <w:szCs w:val="16"/>
                <w:vertAlign w:val="superscript"/>
              </w:rPr>
              <w:t xml:space="preserve"> </w:t>
            </w:r>
            <w:r w:rsidRPr="003E3038">
              <w:rPr>
                <w:sz w:val="16"/>
                <w:szCs w:val="16"/>
              </w:rPr>
              <w:t>526</w:t>
            </w:r>
          </w:p>
        </w:tc>
        <w:tc>
          <w:tcPr>
            <w:tcW w:w="386" w:type="pct"/>
            <w:tcBorders>
              <w:top w:val="single" w:sz="12" w:space="0" w:color="auto"/>
            </w:tcBorders>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216</w:t>
            </w:r>
            <w:r w:rsidR="00912C55" w:rsidRPr="00912C55">
              <w:rPr>
                <w:sz w:val="18"/>
                <w:szCs w:val="16"/>
                <w:vertAlign w:val="superscript"/>
              </w:rPr>
              <w:t xml:space="preserve"> </w:t>
            </w:r>
            <w:r w:rsidRPr="003E3038">
              <w:rPr>
                <w:sz w:val="16"/>
                <w:szCs w:val="16"/>
              </w:rPr>
              <w:t>787</w:t>
            </w:r>
          </w:p>
        </w:tc>
        <w:tc>
          <w:tcPr>
            <w:tcW w:w="356" w:type="pct"/>
            <w:tcBorders>
              <w:top w:val="single" w:sz="12" w:space="0" w:color="auto"/>
            </w:tcBorders>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154</w:t>
            </w:r>
            <w:r w:rsidR="00912C55" w:rsidRPr="00912C55">
              <w:rPr>
                <w:sz w:val="18"/>
                <w:szCs w:val="16"/>
                <w:vertAlign w:val="superscript"/>
              </w:rPr>
              <w:t xml:space="preserve"> </w:t>
            </w:r>
            <w:r w:rsidRPr="003E3038">
              <w:rPr>
                <w:sz w:val="16"/>
                <w:szCs w:val="16"/>
              </w:rPr>
              <w:t>808</w:t>
            </w:r>
          </w:p>
        </w:tc>
        <w:tc>
          <w:tcPr>
            <w:tcW w:w="343" w:type="pct"/>
            <w:tcBorders>
              <w:top w:val="single" w:sz="12" w:space="0" w:color="auto"/>
            </w:tcBorders>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150</w:t>
            </w:r>
            <w:r w:rsidR="00912C55" w:rsidRPr="00912C55">
              <w:rPr>
                <w:sz w:val="18"/>
                <w:szCs w:val="16"/>
                <w:vertAlign w:val="superscript"/>
              </w:rPr>
              <w:t xml:space="preserve"> </w:t>
            </w:r>
            <w:r w:rsidRPr="003E3038">
              <w:rPr>
                <w:sz w:val="16"/>
                <w:szCs w:val="16"/>
              </w:rPr>
              <w:t>305</w:t>
            </w:r>
          </w:p>
        </w:tc>
        <w:tc>
          <w:tcPr>
            <w:tcW w:w="386" w:type="pct"/>
            <w:tcBorders>
              <w:top w:val="single" w:sz="12" w:space="0" w:color="auto"/>
            </w:tcBorders>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305</w:t>
            </w:r>
            <w:r w:rsidR="00912C55" w:rsidRPr="00912C55">
              <w:rPr>
                <w:sz w:val="18"/>
                <w:szCs w:val="16"/>
                <w:vertAlign w:val="superscript"/>
              </w:rPr>
              <w:t xml:space="preserve"> </w:t>
            </w:r>
            <w:r w:rsidRPr="003E3038">
              <w:rPr>
                <w:sz w:val="16"/>
                <w:szCs w:val="16"/>
              </w:rPr>
              <w:t>113</w:t>
            </w:r>
          </w:p>
        </w:tc>
        <w:tc>
          <w:tcPr>
            <w:tcW w:w="387" w:type="pct"/>
            <w:tcBorders>
              <w:top w:val="single" w:sz="12" w:space="0" w:color="auto"/>
            </w:tcBorders>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218</w:t>
            </w:r>
            <w:r w:rsidR="00912C55" w:rsidRPr="00912C55">
              <w:rPr>
                <w:sz w:val="18"/>
                <w:szCs w:val="16"/>
                <w:vertAlign w:val="superscript"/>
              </w:rPr>
              <w:t xml:space="preserve"> </w:t>
            </w:r>
            <w:r w:rsidRPr="003E3038">
              <w:rPr>
                <w:sz w:val="16"/>
                <w:szCs w:val="16"/>
              </w:rPr>
              <w:t>087</w:t>
            </w:r>
          </w:p>
        </w:tc>
        <w:tc>
          <w:tcPr>
            <w:tcW w:w="387" w:type="pct"/>
            <w:tcBorders>
              <w:top w:val="single" w:sz="12" w:space="0" w:color="auto"/>
            </w:tcBorders>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208</w:t>
            </w:r>
            <w:r w:rsidR="00912C55" w:rsidRPr="00912C55">
              <w:rPr>
                <w:sz w:val="18"/>
                <w:szCs w:val="16"/>
                <w:vertAlign w:val="superscript"/>
              </w:rPr>
              <w:t xml:space="preserve"> </w:t>
            </w:r>
            <w:r w:rsidRPr="003E3038">
              <w:rPr>
                <w:sz w:val="16"/>
                <w:szCs w:val="16"/>
              </w:rPr>
              <w:t>370</w:t>
            </w:r>
          </w:p>
        </w:tc>
        <w:tc>
          <w:tcPr>
            <w:tcW w:w="387" w:type="pct"/>
            <w:tcBorders>
              <w:top w:val="single" w:sz="12" w:space="0" w:color="auto"/>
            </w:tcBorders>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426</w:t>
            </w:r>
            <w:r w:rsidR="00912C55" w:rsidRPr="00912C55">
              <w:rPr>
                <w:sz w:val="18"/>
                <w:szCs w:val="16"/>
                <w:vertAlign w:val="superscript"/>
              </w:rPr>
              <w:t xml:space="preserve"> </w:t>
            </w:r>
            <w:r w:rsidRPr="003E3038">
              <w:rPr>
                <w:sz w:val="16"/>
                <w:szCs w:val="16"/>
              </w:rPr>
              <w:t>457</w:t>
            </w:r>
          </w:p>
        </w:tc>
        <w:tc>
          <w:tcPr>
            <w:tcW w:w="387" w:type="pct"/>
            <w:tcBorders>
              <w:top w:val="single" w:sz="12" w:space="0" w:color="auto"/>
            </w:tcBorders>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316</w:t>
            </w:r>
            <w:r w:rsidR="00912C55" w:rsidRPr="00912C55">
              <w:rPr>
                <w:sz w:val="18"/>
                <w:szCs w:val="16"/>
                <w:vertAlign w:val="superscript"/>
              </w:rPr>
              <w:t xml:space="preserve"> </w:t>
            </w:r>
            <w:r w:rsidRPr="003E3038">
              <w:rPr>
                <w:sz w:val="16"/>
                <w:szCs w:val="16"/>
              </w:rPr>
              <w:t>217</w:t>
            </w:r>
          </w:p>
        </w:tc>
        <w:tc>
          <w:tcPr>
            <w:tcW w:w="387" w:type="pct"/>
            <w:tcBorders>
              <w:top w:val="single" w:sz="12" w:space="0" w:color="auto"/>
            </w:tcBorders>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298</w:t>
            </w:r>
            <w:r w:rsidR="00912C55" w:rsidRPr="00912C55">
              <w:rPr>
                <w:sz w:val="18"/>
                <w:szCs w:val="16"/>
                <w:vertAlign w:val="superscript"/>
              </w:rPr>
              <w:t xml:space="preserve"> </w:t>
            </w:r>
            <w:r w:rsidRPr="003E3038">
              <w:rPr>
                <w:sz w:val="16"/>
                <w:szCs w:val="16"/>
              </w:rPr>
              <w:t>475</w:t>
            </w:r>
          </w:p>
        </w:tc>
        <w:tc>
          <w:tcPr>
            <w:tcW w:w="385" w:type="pct"/>
            <w:tcBorders>
              <w:top w:val="single" w:sz="12" w:space="0" w:color="auto"/>
            </w:tcBorders>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614</w:t>
            </w:r>
            <w:r w:rsidR="00912C55" w:rsidRPr="00912C55">
              <w:rPr>
                <w:sz w:val="18"/>
                <w:szCs w:val="16"/>
                <w:vertAlign w:val="superscript"/>
              </w:rPr>
              <w:t xml:space="preserve"> </w:t>
            </w:r>
            <w:r w:rsidRPr="003E3038">
              <w:rPr>
                <w:sz w:val="16"/>
                <w:szCs w:val="16"/>
              </w:rPr>
              <w:t>692</w:t>
            </w:r>
          </w:p>
        </w:tc>
      </w:tr>
      <w:tr w:rsidR="003E3038" w:rsidRPr="003E3038" w:rsidTr="00912C55">
        <w:trPr>
          <w:trHeight w:val="240"/>
        </w:trPr>
        <w:tc>
          <w:tcPr>
            <w:tcW w:w="528" w:type="pct"/>
            <w:shd w:val="clear" w:color="auto" w:fill="auto"/>
            <w:noWrap/>
            <w:hideMark/>
          </w:tcPr>
          <w:p w:rsidR="003E3038" w:rsidRPr="003E3038" w:rsidRDefault="000551C4" w:rsidP="003E3038">
            <w:pPr>
              <w:pStyle w:val="SingleTxtG"/>
              <w:spacing w:before="40" w:after="40" w:line="220" w:lineRule="exact"/>
              <w:ind w:left="57" w:right="0"/>
              <w:jc w:val="left"/>
              <w:rPr>
                <w:sz w:val="16"/>
                <w:szCs w:val="16"/>
              </w:rPr>
            </w:pPr>
            <w:r>
              <w:rPr>
                <w:sz w:val="16"/>
                <w:szCs w:val="16"/>
              </w:rPr>
              <w:t>De</w:t>
            </w:r>
            <w:r w:rsidRPr="003E3038">
              <w:rPr>
                <w:sz w:val="16"/>
                <w:szCs w:val="16"/>
              </w:rPr>
              <w:t xml:space="preserve"> </w:t>
            </w:r>
            <w:r w:rsidR="003E3038" w:rsidRPr="003E3038">
              <w:rPr>
                <w:sz w:val="16"/>
                <w:szCs w:val="16"/>
              </w:rPr>
              <w:t xml:space="preserve">5 </w:t>
            </w:r>
            <w:r w:rsidR="003E3038">
              <w:rPr>
                <w:sz w:val="16"/>
                <w:szCs w:val="16"/>
              </w:rPr>
              <w:t>a</w:t>
            </w:r>
            <w:r w:rsidR="00611AC9">
              <w:rPr>
                <w:sz w:val="16"/>
                <w:szCs w:val="16"/>
              </w:rPr>
              <w:t xml:space="preserve"> </w:t>
            </w:r>
            <w:r w:rsidR="003E3038" w:rsidRPr="003E3038">
              <w:rPr>
                <w:sz w:val="16"/>
                <w:szCs w:val="16"/>
              </w:rPr>
              <w:t>9</w:t>
            </w:r>
          </w:p>
        </w:tc>
        <w:tc>
          <w:tcPr>
            <w:tcW w:w="35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113</w:t>
            </w:r>
            <w:r w:rsidR="00912C55" w:rsidRPr="00912C55">
              <w:rPr>
                <w:sz w:val="18"/>
                <w:szCs w:val="16"/>
                <w:vertAlign w:val="superscript"/>
              </w:rPr>
              <w:t xml:space="preserve"> </w:t>
            </w:r>
            <w:r w:rsidRPr="003E3038">
              <w:rPr>
                <w:sz w:val="16"/>
                <w:szCs w:val="16"/>
              </w:rPr>
              <w:t>809</w:t>
            </w:r>
          </w:p>
        </w:tc>
        <w:tc>
          <w:tcPr>
            <w:tcW w:w="323"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105</w:t>
            </w:r>
            <w:r w:rsidR="00912C55" w:rsidRPr="00912C55">
              <w:rPr>
                <w:sz w:val="18"/>
                <w:szCs w:val="16"/>
                <w:vertAlign w:val="superscript"/>
              </w:rPr>
              <w:t xml:space="preserve"> </w:t>
            </w:r>
            <w:r w:rsidRPr="003E3038">
              <w:rPr>
                <w:sz w:val="16"/>
                <w:szCs w:val="16"/>
              </w:rPr>
              <w:t>397</w:t>
            </w:r>
          </w:p>
        </w:tc>
        <w:tc>
          <w:tcPr>
            <w:tcW w:w="38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219</w:t>
            </w:r>
            <w:r w:rsidR="00912C55" w:rsidRPr="00912C55">
              <w:rPr>
                <w:sz w:val="18"/>
                <w:szCs w:val="16"/>
                <w:vertAlign w:val="superscript"/>
              </w:rPr>
              <w:t xml:space="preserve"> </w:t>
            </w:r>
            <w:r w:rsidRPr="003E3038">
              <w:rPr>
                <w:sz w:val="16"/>
                <w:szCs w:val="16"/>
              </w:rPr>
              <w:t>206</w:t>
            </w:r>
          </w:p>
        </w:tc>
        <w:tc>
          <w:tcPr>
            <w:tcW w:w="35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154</w:t>
            </w:r>
            <w:r w:rsidR="00912C55" w:rsidRPr="00912C55">
              <w:rPr>
                <w:sz w:val="18"/>
                <w:szCs w:val="16"/>
                <w:vertAlign w:val="superscript"/>
              </w:rPr>
              <w:t xml:space="preserve"> </w:t>
            </w:r>
            <w:r w:rsidRPr="003E3038">
              <w:rPr>
                <w:sz w:val="16"/>
                <w:szCs w:val="16"/>
              </w:rPr>
              <w:t>546</w:t>
            </w:r>
          </w:p>
        </w:tc>
        <w:tc>
          <w:tcPr>
            <w:tcW w:w="343"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144</w:t>
            </w:r>
            <w:r w:rsidR="00912C55" w:rsidRPr="00912C55">
              <w:rPr>
                <w:sz w:val="18"/>
                <w:szCs w:val="16"/>
                <w:vertAlign w:val="superscript"/>
              </w:rPr>
              <w:t xml:space="preserve"> </w:t>
            </w:r>
            <w:r w:rsidRPr="003E3038">
              <w:rPr>
                <w:sz w:val="16"/>
                <w:szCs w:val="16"/>
              </w:rPr>
              <w:t>263</w:t>
            </w:r>
          </w:p>
        </w:tc>
        <w:tc>
          <w:tcPr>
            <w:tcW w:w="38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298</w:t>
            </w:r>
            <w:r w:rsidR="00912C55" w:rsidRPr="00912C55">
              <w:rPr>
                <w:sz w:val="18"/>
                <w:szCs w:val="16"/>
                <w:vertAlign w:val="superscript"/>
              </w:rPr>
              <w:t xml:space="preserve"> </w:t>
            </w:r>
            <w:r w:rsidRPr="003E3038">
              <w:rPr>
                <w:sz w:val="16"/>
                <w:szCs w:val="16"/>
              </w:rPr>
              <w:t>809</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186</w:t>
            </w:r>
            <w:r w:rsidR="00912C55" w:rsidRPr="00912C55">
              <w:rPr>
                <w:sz w:val="18"/>
                <w:szCs w:val="16"/>
                <w:vertAlign w:val="superscript"/>
              </w:rPr>
              <w:t xml:space="preserve"> </w:t>
            </w:r>
            <w:r w:rsidRPr="003E3038">
              <w:rPr>
                <w:sz w:val="16"/>
                <w:szCs w:val="16"/>
              </w:rPr>
              <w:t>741</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175</w:t>
            </w:r>
            <w:r w:rsidR="00912C55" w:rsidRPr="00912C55">
              <w:rPr>
                <w:sz w:val="18"/>
                <w:szCs w:val="16"/>
                <w:vertAlign w:val="superscript"/>
              </w:rPr>
              <w:t xml:space="preserve"> </w:t>
            </w:r>
            <w:r w:rsidRPr="003E3038">
              <w:rPr>
                <w:sz w:val="16"/>
                <w:szCs w:val="16"/>
              </w:rPr>
              <w:t>736</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362</w:t>
            </w:r>
            <w:r w:rsidR="00912C55" w:rsidRPr="00912C55">
              <w:rPr>
                <w:sz w:val="18"/>
                <w:szCs w:val="16"/>
                <w:vertAlign w:val="superscript"/>
              </w:rPr>
              <w:t xml:space="preserve"> </w:t>
            </w:r>
            <w:r w:rsidRPr="003E3038">
              <w:rPr>
                <w:sz w:val="16"/>
                <w:szCs w:val="16"/>
              </w:rPr>
              <w:t>477</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263</w:t>
            </w:r>
            <w:r w:rsidR="00912C55" w:rsidRPr="00912C55">
              <w:rPr>
                <w:sz w:val="18"/>
                <w:szCs w:val="16"/>
                <w:vertAlign w:val="superscript"/>
              </w:rPr>
              <w:t xml:space="preserve"> </w:t>
            </w:r>
            <w:r w:rsidRPr="003E3038">
              <w:rPr>
                <w:sz w:val="16"/>
                <w:szCs w:val="16"/>
              </w:rPr>
              <w:t>263</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256</w:t>
            </w:r>
            <w:r w:rsidR="00912C55" w:rsidRPr="00912C55">
              <w:rPr>
                <w:sz w:val="18"/>
                <w:szCs w:val="16"/>
                <w:vertAlign w:val="superscript"/>
              </w:rPr>
              <w:t xml:space="preserve"> </w:t>
            </w:r>
            <w:r w:rsidRPr="003E3038">
              <w:rPr>
                <w:sz w:val="16"/>
                <w:szCs w:val="16"/>
              </w:rPr>
              <w:t>839</w:t>
            </w:r>
          </w:p>
        </w:tc>
        <w:tc>
          <w:tcPr>
            <w:tcW w:w="385"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520</w:t>
            </w:r>
            <w:r w:rsidR="00912C55" w:rsidRPr="00912C55">
              <w:rPr>
                <w:sz w:val="18"/>
                <w:szCs w:val="16"/>
                <w:vertAlign w:val="superscript"/>
              </w:rPr>
              <w:t xml:space="preserve"> </w:t>
            </w:r>
            <w:r w:rsidRPr="003E3038">
              <w:rPr>
                <w:sz w:val="16"/>
                <w:szCs w:val="16"/>
              </w:rPr>
              <w:t>102</w:t>
            </w:r>
          </w:p>
        </w:tc>
      </w:tr>
      <w:tr w:rsidR="003E3038" w:rsidRPr="003E3038" w:rsidTr="00912C55">
        <w:trPr>
          <w:trHeight w:val="240"/>
        </w:trPr>
        <w:tc>
          <w:tcPr>
            <w:tcW w:w="528" w:type="pct"/>
            <w:shd w:val="clear" w:color="auto" w:fill="auto"/>
            <w:noWrap/>
            <w:hideMark/>
          </w:tcPr>
          <w:p w:rsidR="003E3038" w:rsidRPr="003E3038" w:rsidRDefault="000551C4" w:rsidP="003E3038">
            <w:pPr>
              <w:pStyle w:val="SingleTxtG"/>
              <w:spacing w:before="40" w:after="40" w:line="220" w:lineRule="exact"/>
              <w:ind w:left="57" w:right="0"/>
              <w:jc w:val="left"/>
              <w:rPr>
                <w:sz w:val="16"/>
                <w:szCs w:val="16"/>
              </w:rPr>
            </w:pPr>
            <w:r>
              <w:rPr>
                <w:sz w:val="16"/>
                <w:szCs w:val="16"/>
              </w:rPr>
              <w:t>De</w:t>
            </w:r>
            <w:r w:rsidRPr="003E3038">
              <w:rPr>
                <w:sz w:val="16"/>
                <w:szCs w:val="16"/>
              </w:rPr>
              <w:t xml:space="preserve"> </w:t>
            </w:r>
            <w:r w:rsidR="003E3038" w:rsidRPr="003E3038">
              <w:rPr>
                <w:sz w:val="16"/>
                <w:szCs w:val="16"/>
              </w:rPr>
              <w:t xml:space="preserve">10 </w:t>
            </w:r>
            <w:r w:rsidR="003E3038">
              <w:rPr>
                <w:sz w:val="16"/>
                <w:szCs w:val="16"/>
              </w:rPr>
              <w:t>a</w:t>
            </w:r>
            <w:r w:rsidR="003E3038" w:rsidRPr="003E3038">
              <w:rPr>
                <w:sz w:val="16"/>
                <w:szCs w:val="16"/>
              </w:rPr>
              <w:t xml:space="preserve"> 14</w:t>
            </w:r>
          </w:p>
        </w:tc>
        <w:tc>
          <w:tcPr>
            <w:tcW w:w="35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81</w:t>
            </w:r>
            <w:r w:rsidR="00912C55" w:rsidRPr="00912C55">
              <w:rPr>
                <w:sz w:val="18"/>
                <w:szCs w:val="16"/>
                <w:vertAlign w:val="superscript"/>
              </w:rPr>
              <w:t xml:space="preserve"> </w:t>
            </w:r>
            <w:r w:rsidRPr="003E3038">
              <w:rPr>
                <w:sz w:val="16"/>
                <w:szCs w:val="16"/>
              </w:rPr>
              <w:t>141</w:t>
            </w:r>
          </w:p>
        </w:tc>
        <w:tc>
          <w:tcPr>
            <w:tcW w:w="323"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71</w:t>
            </w:r>
            <w:r w:rsidR="00912C55" w:rsidRPr="00912C55">
              <w:rPr>
                <w:sz w:val="18"/>
                <w:szCs w:val="16"/>
                <w:vertAlign w:val="superscript"/>
              </w:rPr>
              <w:t xml:space="preserve"> </w:t>
            </w:r>
            <w:r w:rsidRPr="003E3038">
              <w:rPr>
                <w:sz w:val="16"/>
                <w:szCs w:val="16"/>
              </w:rPr>
              <w:t>524</w:t>
            </w:r>
          </w:p>
        </w:tc>
        <w:tc>
          <w:tcPr>
            <w:tcW w:w="38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152</w:t>
            </w:r>
            <w:r w:rsidR="00912C55" w:rsidRPr="00912C55">
              <w:rPr>
                <w:sz w:val="18"/>
                <w:szCs w:val="16"/>
                <w:vertAlign w:val="superscript"/>
              </w:rPr>
              <w:t xml:space="preserve"> </w:t>
            </w:r>
            <w:r w:rsidRPr="003E3038">
              <w:rPr>
                <w:sz w:val="16"/>
                <w:szCs w:val="16"/>
              </w:rPr>
              <w:t>665</w:t>
            </w:r>
          </w:p>
        </w:tc>
        <w:tc>
          <w:tcPr>
            <w:tcW w:w="35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114</w:t>
            </w:r>
            <w:r w:rsidR="00912C55" w:rsidRPr="00912C55">
              <w:rPr>
                <w:sz w:val="18"/>
                <w:szCs w:val="16"/>
                <w:vertAlign w:val="superscript"/>
              </w:rPr>
              <w:t xml:space="preserve"> </w:t>
            </w:r>
            <w:r w:rsidRPr="003E3038">
              <w:rPr>
                <w:sz w:val="16"/>
                <w:szCs w:val="16"/>
              </w:rPr>
              <w:t>455</w:t>
            </w:r>
          </w:p>
        </w:tc>
        <w:tc>
          <w:tcPr>
            <w:tcW w:w="343"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104</w:t>
            </w:r>
            <w:r w:rsidR="00912C55" w:rsidRPr="00912C55">
              <w:rPr>
                <w:sz w:val="18"/>
                <w:szCs w:val="16"/>
                <w:vertAlign w:val="superscript"/>
              </w:rPr>
              <w:t xml:space="preserve"> </w:t>
            </w:r>
            <w:r w:rsidRPr="003E3038">
              <w:rPr>
                <w:sz w:val="16"/>
                <w:szCs w:val="16"/>
              </w:rPr>
              <w:t>288</w:t>
            </w:r>
          </w:p>
        </w:tc>
        <w:tc>
          <w:tcPr>
            <w:tcW w:w="38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218</w:t>
            </w:r>
            <w:r w:rsidR="00912C55" w:rsidRPr="00912C55">
              <w:rPr>
                <w:sz w:val="18"/>
                <w:szCs w:val="16"/>
                <w:vertAlign w:val="superscript"/>
              </w:rPr>
              <w:t xml:space="preserve"> </w:t>
            </w:r>
            <w:r w:rsidRPr="003E3038">
              <w:rPr>
                <w:sz w:val="16"/>
                <w:szCs w:val="16"/>
              </w:rPr>
              <w:t>743</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154</w:t>
            </w:r>
            <w:r w:rsidR="00912C55" w:rsidRPr="00912C55">
              <w:rPr>
                <w:sz w:val="18"/>
                <w:szCs w:val="16"/>
                <w:vertAlign w:val="superscript"/>
              </w:rPr>
              <w:t xml:space="preserve"> </w:t>
            </w:r>
            <w:r w:rsidRPr="003E3038">
              <w:rPr>
                <w:sz w:val="16"/>
                <w:szCs w:val="16"/>
              </w:rPr>
              <w:t>508</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148</w:t>
            </w:r>
            <w:r w:rsidR="00912C55" w:rsidRPr="00912C55">
              <w:rPr>
                <w:sz w:val="18"/>
                <w:szCs w:val="16"/>
                <w:vertAlign w:val="superscript"/>
              </w:rPr>
              <w:t xml:space="preserve"> </w:t>
            </w:r>
            <w:r w:rsidRPr="003E3038">
              <w:rPr>
                <w:sz w:val="16"/>
                <w:szCs w:val="16"/>
              </w:rPr>
              <w:t>164</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302</w:t>
            </w:r>
            <w:r w:rsidR="00912C55" w:rsidRPr="00912C55">
              <w:rPr>
                <w:sz w:val="18"/>
                <w:szCs w:val="16"/>
                <w:vertAlign w:val="superscript"/>
              </w:rPr>
              <w:t xml:space="preserve"> </w:t>
            </w:r>
            <w:r w:rsidRPr="003E3038">
              <w:rPr>
                <w:sz w:val="16"/>
                <w:szCs w:val="16"/>
              </w:rPr>
              <w:t>672</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212</w:t>
            </w:r>
            <w:r w:rsidR="00912C55" w:rsidRPr="00912C55">
              <w:rPr>
                <w:sz w:val="18"/>
                <w:szCs w:val="16"/>
                <w:vertAlign w:val="superscript"/>
              </w:rPr>
              <w:t xml:space="preserve"> </w:t>
            </w:r>
            <w:r w:rsidRPr="003E3038">
              <w:rPr>
                <w:sz w:val="16"/>
                <w:szCs w:val="16"/>
              </w:rPr>
              <w:t>838</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216</w:t>
            </w:r>
            <w:r w:rsidR="00912C55" w:rsidRPr="00912C55">
              <w:rPr>
                <w:sz w:val="18"/>
                <w:szCs w:val="16"/>
                <w:vertAlign w:val="superscript"/>
              </w:rPr>
              <w:t xml:space="preserve"> </w:t>
            </w:r>
            <w:r w:rsidRPr="003E3038">
              <w:rPr>
                <w:sz w:val="16"/>
                <w:szCs w:val="16"/>
              </w:rPr>
              <w:t>667</w:t>
            </w:r>
          </w:p>
        </w:tc>
        <w:tc>
          <w:tcPr>
            <w:tcW w:w="385"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429</w:t>
            </w:r>
            <w:r w:rsidR="00912C55" w:rsidRPr="00912C55">
              <w:rPr>
                <w:sz w:val="18"/>
                <w:szCs w:val="16"/>
                <w:vertAlign w:val="superscript"/>
              </w:rPr>
              <w:t xml:space="preserve"> </w:t>
            </w:r>
            <w:r w:rsidRPr="003E3038">
              <w:rPr>
                <w:sz w:val="16"/>
                <w:szCs w:val="16"/>
              </w:rPr>
              <w:t>505</w:t>
            </w:r>
          </w:p>
        </w:tc>
      </w:tr>
      <w:tr w:rsidR="003E3038" w:rsidRPr="003E3038" w:rsidTr="00912C55">
        <w:trPr>
          <w:trHeight w:val="240"/>
        </w:trPr>
        <w:tc>
          <w:tcPr>
            <w:tcW w:w="528" w:type="pct"/>
            <w:shd w:val="clear" w:color="auto" w:fill="auto"/>
            <w:noWrap/>
            <w:hideMark/>
          </w:tcPr>
          <w:p w:rsidR="003E3038" w:rsidRPr="003E3038" w:rsidRDefault="000551C4" w:rsidP="003E3038">
            <w:pPr>
              <w:pStyle w:val="SingleTxtG"/>
              <w:spacing w:before="40" w:after="40" w:line="220" w:lineRule="exact"/>
              <w:ind w:left="57" w:right="0"/>
              <w:jc w:val="left"/>
              <w:rPr>
                <w:sz w:val="16"/>
                <w:szCs w:val="16"/>
              </w:rPr>
            </w:pPr>
            <w:r>
              <w:rPr>
                <w:sz w:val="16"/>
                <w:szCs w:val="16"/>
              </w:rPr>
              <w:t xml:space="preserve">De </w:t>
            </w:r>
            <w:r w:rsidR="003E3038">
              <w:rPr>
                <w:sz w:val="16"/>
                <w:szCs w:val="16"/>
              </w:rPr>
              <w:t>15 a</w:t>
            </w:r>
            <w:r w:rsidR="003E3038" w:rsidRPr="003E3038">
              <w:rPr>
                <w:sz w:val="16"/>
                <w:szCs w:val="16"/>
              </w:rPr>
              <w:t xml:space="preserve"> 19</w:t>
            </w:r>
          </w:p>
        </w:tc>
        <w:tc>
          <w:tcPr>
            <w:tcW w:w="35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67</w:t>
            </w:r>
            <w:r w:rsidR="00912C55" w:rsidRPr="00912C55">
              <w:rPr>
                <w:sz w:val="18"/>
                <w:szCs w:val="16"/>
                <w:vertAlign w:val="superscript"/>
              </w:rPr>
              <w:t xml:space="preserve"> </w:t>
            </w:r>
            <w:r w:rsidRPr="003E3038">
              <w:rPr>
                <w:sz w:val="16"/>
                <w:szCs w:val="16"/>
              </w:rPr>
              <w:t>504</w:t>
            </w:r>
          </w:p>
        </w:tc>
        <w:tc>
          <w:tcPr>
            <w:tcW w:w="323"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70</w:t>
            </w:r>
            <w:r w:rsidR="00912C55" w:rsidRPr="00912C55">
              <w:rPr>
                <w:sz w:val="18"/>
                <w:szCs w:val="16"/>
                <w:vertAlign w:val="superscript"/>
              </w:rPr>
              <w:t xml:space="preserve"> </w:t>
            </w:r>
            <w:r w:rsidRPr="003E3038">
              <w:rPr>
                <w:sz w:val="16"/>
                <w:szCs w:val="16"/>
              </w:rPr>
              <w:t>770</w:t>
            </w:r>
          </w:p>
        </w:tc>
        <w:tc>
          <w:tcPr>
            <w:tcW w:w="38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138</w:t>
            </w:r>
            <w:r w:rsidR="00912C55" w:rsidRPr="00912C55">
              <w:rPr>
                <w:sz w:val="18"/>
                <w:szCs w:val="16"/>
                <w:vertAlign w:val="superscript"/>
              </w:rPr>
              <w:t xml:space="preserve"> </w:t>
            </w:r>
            <w:r w:rsidRPr="003E3038">
              <w:rPr>
                <w:sz w:val="16"/>
                <w:szCs w:val="16"/>
              </w:rPr>
              <w:t>274</w:t>
            </w:r>
          </w:p>
        </w:tc>
        <w:tc>
          <w:tcPr>
            <w:tcW w:w="35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92</w:t>
            </w:r>
            <w:r w:rsidR="00912C55" w:rsidRPr="00912C55">
              <w:rPr>
                <w:sz w:val="18"/>
                <w:szCs w:val="16"/>
                <w:vertAlign w:val="superscript"/>
              </w:rPr>
              <w:t xml:space="preserve"> </w:t>
            </w:r>
            <w:r w:rsidRPr="003E3038">
              <w:rPr>
                <w:sz w:val="16"/>
                <w:szCs w:val="16"/>
              </w:rPr>
              <w:t>683</w:t>
            </w:r>
          </w:p>
        </w:tc>
        <w:tc>
          <w:tcPr>
            <w:tcW w:w="343"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96</w:t>
            </w:r>
            <w:r w:rsidR="00912C55" w:rsidRPr="00912C55">
              <w:rPr>
                <w:sz w:val="18"/>
                <w:szCs w:val="16"/>
                <w:vertAlign w:val="superscript"/>
              </w:rPr>
              <w:t xml:space="preserve"> </w:t>
            </w:r>
            <w:r w:rsidRPr="003E3038">
              <w:rPr>
                <w:sz w:val="16"/>
                <w:szCs w:val="16"/>
              </w:rPr>
              <w:t>807</w:t>
            </w:r>
          </w:p>
        </w:tc>
        <w:tc>
          <w:tcPr>
            <w:tcW w:w="38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189</w:t>
            </w:r>
            <w:r w:rsidR="00912C55" w:rsidRPr="00912C55">
              <w:rPr>
                <w:sz w:val="18"/>
                <w:szCs w:val="16"/>
                <w:vertAlign w:val="superscript"/>
              </w:rPr>
              <w:t xml:space="preserve"> </w:t>
            </w:r>
            <w:r w:rsidRPr="003E3038">
              <w:rPr>
                <w:sz w:val="16"/>
                <w:szCs w:val="16"/>
              </w:rPr>
              <w:t>490</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131</w:t>
            </w:r>
            <w:r w:rsidR="00912C55" w:rsidRPr="00912C55">
              <w:rPr>
                <w:sz w:val="18"/>
                <w:szCs w:val="16"/>
                <w:vertAlign w:val="superscript"/>
              </w:rPr>
              <w:t xml:space="preserve"> </w:t>
            </w:r>
            <w:r w:rsidRPr="003E3038">
              <w:rPr>
                <w:sz w:val="16"/>
                <w:szCs w:val="16"/>
              </w:rPr>
              <w:t>240</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138</w:t>
            </w:r>
            <w:r w:rsidR="00912C55" w:rsidRPr="00912C55">
              <w:rPr>
                <w:sz w:val="18"/>
                <w:szCs w:val="16"/>
                <w:vertAlign w:val="superscript"/>
              </w:rPr>
              <w:t xml:space="preserve"> </w:t>
            </w:r>
            <w:r w:rsidRPr="003E3038">
              <w:rPr>
                <w:sz w:val="16"/>
                <w:szCs w:val="16"/>
              </w:rPr>
              <w:t>512</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269</w:t>
            </w:r>
            <w:r w:rsidR="00912C55" w:rsidRPr="00912C55">
              <w:rPr>
                <w:sz w:val="18"/>
                <w:szCs w:val="16"/>
                <w:vertAlign w:val="superscript"/>
              </w:rPr>
              <w:t xml:space="preserve"> </w:t>
            </w:r>
            <w:r w:rsidRPr="003E3038">
              <w:rPr>
                <w:sz w:val="16"/>
                <w:szCs w:val="16"/>
              </w:rPr>
              <w:t>752</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176</w:t>
            </w:r>
            <w:r w:rsidR="00912C55" w:rsidRPr="00912C55">
              <w:rPr>
                <w:sz w:val="18"/>
                <w:szCs w:val="16"/>
                <w:vertAlign w:val="superscript"/>
              </w:rPr>
              <w:t xml:space="preserve"> </w:t>
            </w:r>
            <w:r w:rsidRPr="003E3038">
              <w:rPr>
                <w:sz w:val="16"/>
                <w:szCs w:val="16"/>
              </w:rPr>
              <w:t>116</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185</w:t>
            </w:r>
            <w:r w:rsidR="00912C55" w:rsidRPr="00912C55">
              <w:rPr>
                <w:sz w:val="18"/>
                <w:szCs w:val="16"/>
                <w:vertAlign w:val="superscript"/>
              </w:rPr>
              <w:t xml:space="preserve"> </w:t>
            </w:r>
            <w:r w:rsidRPr="003E3038">
              <w:rPr>
                <w:sz w:val="16"/>
                <w:szCs w:val="16"/>
              </w:rPr>
              <w:t>288</w:t>
            </w:r>
          </w:p>
        </w:tc>
        <w:tc>
          <w:tcPr>
            <w:tcW w:w="385"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361</w:t>
            </w:r>
            <w:r w:rsidR="00912C55" w:rsidRPr="00912C55">
              <w:rPr>
                <w:sz w:val="18"/>
                <w:szCs w:val="16"/>
                <w:vertAlign w:val="superscript"/>
              </w:rPr>
              <w:t xml:space="preserve"> </w:t>
            </w:r>
            <w:r w:rsidRPr="003E3038">
              <w:rPr>
                <w:sz w:val="16"/>
                <w:szCs w:val="16"/>
              </w:rPr>
              <w:t>404</w:t>
            </w:r>
          </w:p>
        </w:tc>
      </w:tr>
      <w:tr w:rsidR="003E3038" w:rsidRPr="003E3038" w:rsidTr="00912C55">
        <w:trPr>
          <w:trHeight w:val="240"/>
        </w:trPr>
        <w:tc>
          <w:tcPr>
            <w:tcW w:w="528" w:type="pct"/>
            <w:shd w:val="clear" w:color="auto" w:fill="auto"/>
            <w:noWrap/>
            <w:hideMark/>
          </w:tcPr>
          <w:p w:rsidR="003E3038" w:rsidRPr="003E3038" w:rsidRDefault="000551C4" w:rsidP="003E3038">
            <w:pPr>
              <w:pStyle w:val="SingleTxtG"/>
              <w:spacing w:before="40" w:after="40" w:line="220" w:lineRule="exact"/>
              <w:ind w:left="57" w:right="0"/>
              <w:jc w:val="left"/>
              <w:rPr>
                <w:sz w:val="16"/>
                <w:szCs w:val="16"/>
              </w:rPr>
            </w:pPr>
            <w:r>
              <w:rPr>
                <w:sz w:val="16"/>
                <w:szCs w:val="16"/>
              </w:rPr>
              <w:t xml:space="preserve">De </w:t>
            </w:r>
            <w:r w:rsidR="003E3038">
              <w:rPr>
                <w:sz w:val="16"/>
                <w:szCs w:val="16"/>
              </w:rPr>
              <w:t>20 a</w:t>
            </w:r>
            <w:r w:rsidR="003E3038" w:rsidRPr="003E3038">
              <w:rPr>
                <w:sz w:val="16"/>
                <w:szCs w:val="16"/>
              </w:rPr>
              <w:t xml:space="preserve"> 24</w:t>
            </w:r>
          </w:p>
        </w:tc>
        <w:tc>
          <w:tcPr>
            <w:tcW w:w="35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52</w:t>
            </w:r>
            <w:r w:rsidR="00912C55" w:rsidRPr="00912C55">
              <w:rPr>
                <w:sz w:val="18"/>
                <w:szCs w:val="16"/>
                <w:vertAlign w:val="superscript"/>
              </w:rPr>
              <w:t xml:space="preserve"> </w:t>
            </w:r>
            <w:r w:rsidRPr="003E3038">
              <w:rPr>
                <w:sz w:val="16"/>
                <w:szCs w:val="16"/>
              </w:rPr>
              <w:t>776</w:t>
            </w:r>
          </w:p>
        </w:tc>
        <w:tc>
          <w:tcPr>
            <w:tcW w:w="323"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58</w:t>
            </w:r>
            <w:r w:rsidR="00912C55" w:rsidRPr="00912C55">
              <w:rPr>
                <w:sz w:val="18"/>
                <w:szCs w:val="16"/>
                <w:vertAlign w:val="superscript"/>
              </w:rPr>
              <w:t xml:space="preserve"> </w:t>
            </w:r>
            <w:r w:rsidRPr="003E3038">
              <w:rPr>
                <w:sz w:val="16"/>
                <w:szCs w:val="16"/>
              </w:rPr>
              <w:t>542</w:t>
            </w:r>
          </w:p>
        </w:tc>
        <w:tc>
          <w:tcPr>
            <w:tcW w:w="38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111</w:t>
            </w:r>
            <w:r w:rsidR="00912C55" w:rsidRPr="00912C55">
              <w:rPr>
                <w:sz w:val="18"/>
                <w:szCs w:val="16"/>
                <w:vertAlign w:val="superscript"/>
              </w:rPr>
              <w:t xml:space="preserve"> </w:t>
            </w:r>
            <w:r w:rsidRPr="003E3038">
              <w:rPr>
                <w:sz w:val="16"/>
                <w:szCs w:val="16"/>
              </w:rPr>
              <w:t>318</w:t>
            </w:r>
          </w:p>
        </w:tc>
        <w:tc>
          <w:tcPr>
            <w:tcW w:w="35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74</w:t>
            </w:r>
            <w:r w:rsidR="00912C55" w:rsidRPr="00912C55">
              <w:rPr>
                <w:sz w:val="18"/>
                <w:szCs w:val="16"/>
                <w:vertAlign w:val="superscript"/>
              </w:rPr>
              <w:t xml:space="preserve"> </w:t>
            </w:r>
            <w:r w:rsidRPr="003E3038">
              <w:rPr>
                <w:sz w:val="16"/>
                <w:szCs w:val="16"/>
              </w:rPr>
              <w:t>901</w:t>
            </w:r>
          </w:p>
        </w:tc>
        <w:tc>
          <w:tcPr>
            <w:tcW w:w="343"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86</w:t>
            </w:r>
            <w:r w:rsidR="00912C55" w:rsidRPr="00912C55">
              <w:rPr>
                <w:sz w:val="18"/>
                <w:szCs w:val="16"/>
                <w:vertAlign w:val="superscript"/>
              </w:rPr>
              <w:t xml:space="preserve"> </w:t>
            </w:r>
            <w:r w:rsidRPr="003E3038">
              <w:rPr>
                <w:sz w:val="16"/>
                <w:szCs w:val="16"/>
              </w:rPr>
              <w:t>562</w:t>
            </w:r>
          </w:p>
        </w:tc>
        <w:tc>
          <w:tcPr>
            <w:tcW w:w="38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161</w:t>
            </w:r>
            <w:r w:rsidR="00912C55" w:rsidRPr="00912C55">
              <w:rPr>
                <w:sz w:val="18"/>
                <w:szCs w:val="16"/>
                <w:vertAlign w:val="superscript"/>
              </w:rPr>
              <w:t xml:space="preserve"> </w:t>
            </w:r>
            <w:r w:rsidRPr="003E3038">
              <w:rPr>
                <w:sz w:val="16"/>
                <w:szCs w:val="16"/>
              </w:rPr>
              <w:t>463</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100</w:t>
            </w:r>
            <w:r w:rsidR="00912C55" w:rsidRPr="00912C55">
              <w:rPr>
                <w:sz w:val="18"/>
                <w:szCs w:val="16"/>
                <w:vertAlign w:val="superscript"/>
              </w:rPr>
              <w:t xml:space="preserve"> </w:t>
            </w:r>
            <w:r w:rsidRPr="003E3038">
              <w:rPr>
                <w:sz w:val="16"/>
                <w:szCs w:val="16"/>
              </w:rPr>
              <w:t>667</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114</w:t>
            </w:r>
            <w:r w:rsidR="00912C55" w:rsidRPr="00912C55">
              <w:rPr>
                <w:sz w:val="18"/>
                <w:szCs w:val="16"/>
                <w:vertAlign w:val="superscript"/>
              </w:rPr>
              <w:t xml:space="preserve"> </w:t>
            </w:r>
            <w:r w:rsidRPr="003E3038">
              <w:rPr>
                <w:sz w:val="16"/>
                <w:szCs w:val="16"/>
              </w:rPr>
              <w:t>292</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214</w:t>
            </w:r>
            <w:r w:rsidR="00912C55" w:rsidRPr="00912C55">
              <w:rPr>
                <w:sz w:val="18"/>
                <w:szCs w:val="16"/>
                <w:vertAlign w:val="superscript"/>
              </w:rPr>
              <w:t xml:space="preserve"> </w:t>
            </w:r>
            <w:r w:rsidRPr="003E3038">
              <w:rPr>
                <w:sz w:val="16"/>
                <w:szCs w:val="16"/>
              </w:rPr>
              <w:t>959</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144</w:t>
            </w:r>
            <w:r w:rsidR="00912C55" w:rsidRPr="00912C55">
              <w:rPr>
                <w:sz w:val="18"/>
                <w:szCs w:val="16"/>
                <w:vertAlign w:val="superscript"/>
              </w:rPr>
              <w:t xml:space="preserve"> </w:t>
            </w:r>
            <w:r w:rsidRPr="003E3038">
              <w:rPr>
                <w:sz w:val="16"/>
                <w:szCs w:val="16"/>
              </w:rPr>
              <w:t>478</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157</w:t>
            </w:r>
            <w:r w:rsidR="00912C55" w:rsidRPr="00912C55">
              <w:rPr>
                <w:sz w:val="18"/>
                <w:szCs w:val="16"/>
                <w:vertAlign w:val="superscript"/>
              </w:rPr>
              <w:t xml:space="preserve"> </w:t>
            </w:r>
            <w:r w:rsidRPr="003E3038">
              <w:rPr>
                <w:sz w:val="16"/>
                <w:szCs w:val="16"/>
              </w:rPr>
              <w:t>962</w:t>
            </w:r>
          </w:p>
        </w:tc>
        <w:tc>
          <w:tcPr>
            <w:tcW w:w="385"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302</w:t>
            </w:r>
            <w:r w:rsidR="00912C55" w:rsidRPr="00912C55">
              <w:rPr>
                <w:sz w:val="18"/>
                <w:szCs w:val="16"/>
                <w:vertAlign w:val="superscript"/>
              </w:rPr>
              <w:t xml:space="preserve"> </w:t>
            </w:r>
            <w:r w:rsidRPr="003E3038">
              <w:rPr>
                <w:sz w:val="16"/>
                <w:szCs w:val="16"/>
              </w:rPr>
              <w:t>440</w:t>
            </w:r>
          </w:p>
        </w:tc>
      </w:tr>
      <w:tr w:rsidR="003E3038" w:rsidRPr="003E3038" w:rsidTr="00912C55">
        <w:trPr>
          <w:trHeight w:val="240"/>
        </w:trPr>
        <w:tc>
          <w:tcPr>
            <w:tcW w:w="528" w:type="pct"/>
            <w:shd w:val="clear" w:color="auto" w:fill="auto"/>
            <w:noWrap/>
            <w:hideMark/>
          </w:tcPr>
          <w:p w:rsidR="003E3038" w:rsidRPr="003E3038" w:rsidRDefault="000551C4" w:rsidP="003E3038">
            <w:pPr>
              <w:pStyle w:val="SingleTxtG"/>
              <w:spacing w:before="40" w:after="40" w:line="220" w:lineRule="exact"/>
              <w:ind w:left="57" w:right="0"/>
              <w:jc w:val="left"/>
              <w:rPr>
                <w:sz w:val="16"/>
                <w:szCs w:val="16"/>
              </w:rPr>
            </w:pPr>
            <w:r>
              <w:rPr>
                <w:sz w:val="16"/>
                <w:szCs w:val="16"/>
              </w:rPr>
              <w:t xml:space="preserve">De </w:t>
            </w:r>
            <w:r w:rsidR="003E3038">
              <w:rPr>
                <w:sz w:val="16"/>
                <w:szCs w:val="16"/>
              </w:rPr>
              <w:t>25 a</w:t>
            </w:r>
            <w:r w:rsidR="003E3038" w:rsidRPr="003E3038">
              <w:rPr>
                <w:sz w:val="16"/>
                <w:szCs w:val="16"/>
              </w:rPr>
              <w:t xml:space="preserve"> 29</w:t>
            </w:r>
          </w:p>
        </w:tc>
        <w:tc>
          <w:tcPr>
            <w:tcW w:w="35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40</w:t>
            </w:r>
            <w:r w:rsidR="00912C55" w:rsidRPr="00912C55">
              <w:rPr>
                <w:sz w:val="18"/>
                <w:szCs w:val="16"/>
                <w:vertAlign w:val="superscript"/>
              </w:rPr>
              <w:t xml:space="preserve"> </w:t>
            </w:r>
            <w:r w:rsidRPr="003E3038">
              <w:rPr>
                <w:sz w:val="16"/>
                <w:szCs w:val="16"/>
              </w:rPr>
              <w:t>969</w:t>
            </w:r>
          </w:p>
        </w:tc>
        <w:tc>
          <w:tcPr>
            <w:tcW w:w="323"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48</w:t>
            </w:r>
            <w:r w:rsidR="00912C55" w:rsidRPr="00912C55">
              <w:rPr>
                <w:sz w:val="18"/>
                <w:szCs w:val="16"/>
                <w:vertAlign w:val="superscript"/>
              </w:rPr>
              <w:t xml:space="preserve"> </w:t>
            </w:r>
            <w:r w:rsidRPr="003E3038">
              <w:rPr>
                <w:sz w:val="16"/>
                <w:szCs w:val="16"/>
              </w:rPr>
              <w:t>060</w:t>
            </w:r>
          </w:p>
        </w:tc>
        <w:tc>
          <w:tcPr>
            <w:tcW w:w="38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89</w:t>
            </w:r>
            <w:r w:rsidR="00912C55" w:rsidRPr="00912C55">
              <w:rPr>
                <w:sz w:val="18"/>
                <w:szCs w:val="16"/>
                <w:vertAlign w:val="superscript"/>
              </w:rPr>
              <w:t xml:space="preserve"> </w:t>
            </w:r>
            <w:r w:rsidRPr="003E3038">
              <w:rPr>
                <w:sz w:val="16"/>
                <w:szCs w:val="16"/>
              </w:rPr>
              <w:t>029</w:t>
            </w:r>
          </w:p>
        </w:tc>
        <w:tc>
          <w:tcPr>
            <w:tcW w:w="35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67</w:t>
            </w:r>
            <w:r w:rsidR="00912C55" w:rsidRPr="00912C55">
              <w:rPr>
                <w:sz w:val="18"/>
                <w:szCs w:val="16"/>
                <w:vertAlign w:val="superscript"/>
              </w:rPr>
              <w:t xml:space="preserve"> </w:t>
            </w:r>
            <w:r w:rsidRPr="003E3038">
              <w:rPr>
                <w:sz w:val="16"/>
                <w:szCs w:val="16"/>
              </w:rPr>
              <w:t>126</w:t>
            </w:r>
          </w:p>
        </w:tc>
        <w:tc>
          <w:tcPr>
            <w:tcW w:w="343"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77</w:t>
            </w:r>
            <w:r w:rsidR="00912C55" w:rsidRPr="00912C55">
              <w:rPr>
                <w:sz w:val="18"/>
                <w:szCs w:val="16"/>
                <w:vertAlign w:val="superscript"/>
              </w:rPr>
              <w:t xml:space="preserve"> </w:t>
            </w:r>
            <w:r w:rsidRPr="003E3038">
              <w:rPr>
                <w:sz w:val="16"/>
                <w:szCs w:val="16"/>
              </w:rPr>
              <w:t>870</w:t>
            </w:r>
          </w:p>
        </w:tc>
        <w:tc>
          <w:tcPr>
            <w:tcW w:w="38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144</w:t>
            </w:r>
            <w:r w:rsidR="00912C55" w:rsidRPr="00912C55">
              <w:rPr>
                <w:sz w:val="18"/>
                <w:szCs w:val="16"/>
                <w:vertAlign w:val="superscript"/>
              </w:rPr>
              <w:t xml:space="preserve"> </w:t>
            </w:r>
            <w:r w:rsidRPr="003E3038">
              <w:rPr>
                <w:sz w:val="16"/>
                <w:szCs w:val="16"/>
              </w:rPr>
              <w:t>996</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86</w:t>
            </w:r>
            <w:r w:rsidR="00912C55" w:rsidRPr="00912C55">
              <w:rPr>
                <w:sz w:val="18"/>
                <w:szCs w:val="16"/>
                <w:vertAlign w:val="superscript"/>
              </w:rPr>
              <w:t xml:space="preserve"> </w:t>
            </w:r>
            <w:r w:rsidRPr="003E3038">
              <w:rPr>
                <w:sz w:val="16"/>
                <w:szCs w:val="16"/>
              </w:rPr>
              <w:t>990</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100</w:t>
            </w:r>
            <w:r w:rsidR="00912C55" w:rsidRPr="00912C55">
              <w:rPr>
                <w:sz w:val="18"/>
                <w:szCs w:val="16"/>
                <w:vertAlign w:val="superscript"/>
              </w:rPr>
              <w:t xml:space="preserve"> </w:t>
            </w:r>
            <w:r w:rsidRPr="003E3038">
              <w:rPr>
                <w:sz w:val="16"/>
                <w:szCs w:val="16"/>
              </w:rPr>
              <w:t>554</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187</w:t>
            </w:r>
            <w:r w:rsidR="00912C55" w:rsidRPr="00912C55">
              <w:rPr>
                <w:sz w:val="18"/>
                <w:szCs w:val="16"/>
                <w:vertAlign w:val="superscript"/>
              </w:rPr>
              <w:t xml:space="preserve"> </w:t>
            </w:r>
            <w:r w:rsidRPr="003E3038">
              <w:rPr>
                <w:sz w:val="16"/>
                <w:szCs w:val="16"/>
              </w:rPr>
              <w:t>544</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121</w:t>
            </w:r>
            <w:r w:rsidR="00912C55" w:rsidRPr="00912C55">
              <w:rPr>
                <w:sz w:val="18"/>
                <w:szCs w:val="16"/>
                <w:vertAlign w:val="superscript"/>
              </w:rPr>
              <w:t xml:space="preserve"> </w:t>
            </w:r>
            <w:r w:rsidRPr="003E3038">
              <w:rPr>
                <w:sz w:val="16"/>
                <w:szCs w:val="16"/>
              </w:rPr>
              <w:t>586</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135</w:t>
            </w:r>
            <w:r w:rsidR="00912C55" w:rsidRPr="00912C55">
              <w:rPr>
                <w:sz w:val="18"/>
                <w:szCs w:val="16"/>
                <w:vertAlign w:val="superscript"/>
              </w:rPr>
              <w:t xml:space="preserve"> </w:t>
            </w:r>
            <w:r w:rsidRPr="003E3038">
              <w:rPr>
                <w:sz w:val="16"/>
                <w:szCs w:val="16"/>
              </w:rPr>
              <w:t>767</w:t>
            </w:r>
          </w:p>
        </w:tc>
        <w:tc>
          <w:tcPr>
            <w:tcW w:w="385"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257</w:t>
            </w:r>
            <w:r w:rsidR="00912C55" w:rsidRPr="00912C55">
              <w:rPr>
                <w:sz w:val="18"/>
                <w:szCs w:val="16"/>
                <w:vertAlign w:val="superscript"/>
              </w:rPr>
              <w:t xml:space="preserve"> </w:t>
            </w:r>
            <w:r w:rsidRPr="003E3038">
              <w:rPr>
                <w:sz w:val="16"/>
                <w:szCs w:val="16"/>
              </w:rPr>
              <w:t>353</w:t>
            </w:r>
          </w:p>
        </w:tc>
      </w:tr>
      <w:tr w:rsidR="003E3038" w:rsidRPr="003E3038" w:rsidTr="00912C55">
        <w:trPr>
          <w:trHeight w:val="240"/>
        </w:trPr>
        <w:tc>
          <w:tcPr>
            <w:tcW w:w="528" w:type="pct"/>
            <w:shd w:val="clear" w:color="auto" w:fill="auto"/>
            <w:noWrap/>
            <w:hideMark/>
          </w:tcPr>
          <w:p w:rsidR="003E3038" w:rsidRPr="003E3038" w:rsidRDefault="000551C4" w:rsidP="003E3038">
            <w:pPr>
              <w:pStyle w:val="SingleTxtG"/>
              <w:spacing w:before="40" w:after="40" w:line="220" w:lineRule="exact"/>
              <w:ind w:left="57" w:right="0"/>
              <w:jc w:val="left"/>
              <w:rPr>
                <w:sz w:val="16"/>
                <w:szCs w:val="16"/>
              </w:rPr>
            </w:pPr>
            <w:r>
              <w:rPr>
                <w:sz w:val="16"/>
                <w:szCs w:val="16"/>
              </w:rPr>
              <w:t xml:space="preserve">De </w:t>
            </w:r>
            <w:r w:rsidR="003E3038">
              <w:rPr>
                <w:sz w:val="16"/>
                <w:szCs w:val="16"/>
              </w:rPr>
              <w:t>30 a</w:t>
            </w:r>
            <w:r w:rsidR="003E3038" w:rsidRPr="003E3038">
              <w:rPr>
                <w:sz w:val="16"/>
                <w:szCs w:val="16"/>
              </w:rPr>
              <w:t xml:space="preserve"> 34</w:t>
            </w:r>
          </w:p>
        </w:tc>
        <w:tc>
          <w:tcPr>
            <w:tcW w:w="35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33</w:t>
            </w:r>
            <w:r w:rsidR="00912C55" w:rsidRPr="00912C55">
              <w:rPr>
                <w:sz w:val="18"/>
                <w:szCs w:val="16"/>
                <w:vertAlign w:val="superscript"/>
              </w:rPr>
              <w:t xml:space="preserve"> </w:t>
            </w:r>
            <w:r w:rsidRPr="003E3038">
              <w:rPr>
                <w:sz w:val="16"/>
                <w:szCs w:val="16"/>
              </w:rPr>
              <w:t>043</w:t>
            </w:r>
          </w:p>
        </w:tc>
        <w:tc>
          <w:tcPr>
            <w:tcW w:w="323"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40</w:t>
            </w:r>
            <w:r w:rsidR="00912C55" w:rsidRPr="00912C55">
              <w:rPr>
                <w:sz w:val="18"/>
                <w:szCs w:val="16"/>
                <w:vertAlign w:val="superscript"/>
              </w:rPr>
              <w:t xml:space="preserve"> </w:t>
            </w:r>
            <w:r w:rsidRPr="003E3038">
              <w:rPr>
                <w:sz w:val="16"/>
                <w:szCs w:val="16"/>
              </w:rPr>
              <w:t>681</w:t>
            </w:r>
          </w:p>
        </w:tc>
        <w:tc>
          <w:tcPr>
            <w:tcW w:w="38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73</w:t>
            </w:r>
            <w:r w:rsidR="00912C55" w:rsidRPr="00912C55">
              <w:rPr>
                <w:sz w:val="18"/>
                <w:szCs w:val="16"/>
                <w:vertAlign w:val="superscript"/>
              </w:rPr>
              <w:t xml:space="preserve"> </w:t>
            </w:r>
            <w:r w:rsidRPr="003E3038">
              <w:rPr>
                <w:sz w:val="16"/>
                <w:szCs w:val="16"/>
              </w:rPr>
              <w:t>724</w:t>
            </w:r>
          </w:p>
        </w:tc>
        <w:tc>
          <w:tcPr>
            <w:tcW w:w="35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56</w:t>
            </w:r>
            <w:r w:rsidR="00912C55" w:rsidRPr="00912C55">
              <w:rPr>
                <w:sz w:val="18"/>
                <w:szCs w:val="16"/>
                <w:vertAlign w:val="superscript"/>
              </w:rPr>
              <w:t xml:space="preserve"> </w:t>
            </w:r>
            <w:r w:rsidRPr="003E3038">
              <w:rPr>
                <w:sz w:val="16"/>
                <w:szCs w:val="16"/>
              </w:rPr>
              <w:t>457</w:t>
            </w:r>
          </w:p>
        </w:tc>
        <w:tc>
          <w:tcPr>
            <w:tcW w:w="343"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60</w:t>
            </w:r>
            <w:r w:rsidR="00912C55" w:rsidRPr="00912C55">
              <w:rPr>
                <w:sz w:val="18"/>
                <w:szCs w:val="16"/>
                <w:vertAlign w:val="superscript"/>
              </w:rPr>
              <w:t xml:space="preserve"> </w:t>
            </w:r>
            <w:r w:rsidRPr="003E3038">
              <w:rPr>
                <w:sz w:val="16"/>
                <w:szCs w:val="16"/>
              </w:rPr>
              <w:t>691</w:t>
            </w:r>
          </w:p>
        </w:tc>
        <w:tc>
          <w:tcPr>
            <w:tcW w:w="38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117</w:t>
            </w:r>
            <w:r w:rsidR="00912C55" w:rsidRPr="00912C55">
              <w:rPr>
                <w:sz w:val="18"/>
                <w:szCs w:val="16"/>
                <w:vertAlign w:val="superscript"/>
              </w:rPr>
              <w:t xml:space="preserve"> </w:t>
            </w:r>
            <w:r w:rsidRPr="003E3038">
              <w:rPr>
                <w:sz w:val="16"/>
                <w:szCs w:val="16"/>
              </w:rPr>
              <w:t>148</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72</w:t>
            </w:r>
            <w:r w:rsidR="00912C55" w:rsidRPr="00912C55">
              <w:rPr>
                <w:sz w:val="18"/>
                <w:szCs w:val="16"/>
                <w:vertAlign w:val="superscript"/>
              </w:rPr>
              <w:t xml:space="preserve"> </w:t>
            </w:r>
            <w:r w:rsidRPr="003E3038">
              <w:rPr>
                <w:sz w:val="16"/>
                <w:szCs w:val="16"/>
              </w:rPr>
              <w:t>906</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81</w:t>
            </w:r>
            <w:r w:rsidR="00912C55" w:rsidRPr="00912C55">
              <w:rPr>
                <w:sz w:val="18"/>
                <w:szCs w:val="16"/>
                <w:vertAlign w:val="superscript"/>
              </w:rPr>
              <w:t xml:space="preserve"> </w:t>
            </w:r>
            <w:r w:rsidRPr="003E3038">
              <w:rPr>
                <w:sz w:val="16"/>
                <w:szCs w:val="16"/>
              </w:rPr>
              <w:t>525</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154</w:t>
            </w:r>
            <w:r w:rsidR="00912C55" w:rsidRPr="00912C55">
              <w:rPr>
                <w:sz w:val="18"/>
                <w:szCs w:val="16"/>
                <w:vertAlign w:val="superscript"/>
              </w:rPr>
              <w:t xml:space="preserve"> </w:t>
            </w:r>
            <w:r w:rsidRPr="003E3038">
              <w:rPr>
                <w:sz w:val="16"/>
                <w:szCs w:val="16"/>
              </w:rPr>
              <w:t>431</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99</w:t>
            </w:r>
            <w:r w:rsidR="00912C55" w:rsidRPr="00912C55">
              <w:rPr>
                <w:sz w:val="18"/>
                <w:szCs w:val="16"/>
                <w:vertAlign w:val="superscript"/>
              </w:rPr>
              <w:t xml:space="preserve"> </w:t>
            </w:r>
            <w:r w:rsidRPr="003E3038">
              <w:rPr>
                <w:sz w:val="16"/>
                <w:szCs w:val="16"/>
              </w:rPr>
              <w:t>834</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113</w:t>
            </w:r>
            <w:r w:rsidR="00912C55" w:rsidRPr="00912C55">
              <w:rPr>
                <w:sz w:val="18"/>
                <w:szCs w:val="16"/>
                <w:vertAlign w:val="superscript"/>
              </w:rPr>
              <w:t xml:space="preserve"> </w:t>
            </w:r>
            <w:r w:rsidRPr="003E3038">
              <w:rPr>
                <w:sz w:val="16"/>
                <w:szCs w:val="16"/>
              </w:rPr>
              <w:t>691</w:t>
            </w:r>
          </w:p>
        </w:tc>
        <w:tc>
          <w:tcPr>
            <w:tcW w:w="385"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213</w:t>
            </w:r>
            <w:r w:rsidR="00912C55" w:rsidRPr="00912C55">
              <w:rPr>
                <w:sz w:val="18"/>
                <w:szCs w:val="16"/>
                <w:vertAlign w:val="superscript"/>
              </w:rPr>
              <w:t xml:space="preserve"> </w:t>
            </w:r>
            <w:r w:rsidRPr="003E3038">
              <w:rPr>
                <w:sz w:val="16"/>
                <w:szCs w:val="16"/>
              </w:rPr>
              <w:t>525</w:t>
            </w:r>
          </w:p>
        </w:tc>
      </w:tr>
      <w:tr w:rsidR="003E3038" w:rsidRPr="003E3038" w:rsidTr="00912C55">
        <w:trPr>
          <w:trHeight w:val="240"/>
        </w:trPr>
        <w:tc>
          <w:tcPr>
            <w:tcW w:w="528" w:type="pct"/>
            <w:shd w:val="clear" w:color="auto" w:fill="auto"/>
            <w:noWrap/>
            <w:hideMark/>
          </w:tcPr>
          <w:p w:rsidR="003E3038" w:rsidRPr="003E3038" w:rsidRDefault="000551C4" w:rsidP="003E3038">
            <w:pPr>
              <w:pStyle w:val="SingleTxtG"/>
              <w:spacing w:before="40" w:after="40" w:line="220" w:lineRule="exact"/>
              <w:ind w:left="57" w:right="0"/>
              <w:jc w:val="left"/>
              <w:rPr>
                <w:sz w:val="16"/>
                <w:szCs w:val="16"/>
              </w:rPr>
            </w:pPr>
            <w:r>
              <w:rPr>
                <w:sz w:val="16"/>
                <w:szCs w:val="16"/>
              </w:rPr>
              <w:t xml:space="preserve">De </w:t>
            </w:r>
            <w:r w:rsidR="003E3038">
              <w:rPr>
                <w:sz w:val="16"/>
                <w:szCs w:val="16"/>
              </w:rPr>
              <w:t>35 a</w:t>
            </w:r>
            <w:r w:rsidR="003E3038" w:rsidRPr="003E3038">
              <w:rPr>
                <w:sz w:val="16"/>
                <w:szCs w:val="16"/>
              </w:rPr>
              <w:t xml:space="preserve"> 39</w:t>
            </w:r>
          </w:p>
        </w:tc>
        <w:tc>
          <w:tcPr>
            <w:tcW w:w="35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28</w:t>
            </w:r>
            <w:r w:rsidR="00912C55" w:rsidRPr="00912C55">
              <w:rPr>
                <w:sz w:val="18"/>
                <w:szCs w:val="16"/>
                <w:vertAlign w:val="superscript"/>
              </w:rPr>
              <w:t xml:space="preserve"> </w:t>
            </w:r>
            <w:r w:rsidRPr="003E3038">
              <w:rPr>
                <w:sz w:val="16"/>
                <w:szCs w:val="16"/>
              </w:rPr>
              <w:t>905</w:t>
            </w:r>
          </w:p>
        </w:tc>
        <w:tc>
          <w:tcPr>
            <w:tcW w:w="323"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32</w:t>
            </w:r>
            <w:r w:rsidR="00912C55" w:rsidRPr="00912C55">
              <w:rPr>
                <w:sz w:val="18"/>
                <w:szCs w:val="16"/>
                <w:vertAlign w:val="superscript"/>
              </w:rPr>
              <w:t xml:space="preserve"> </w:t>
            </w:r>
            <w:r w:rsidRPr="003E3038">
              <w:rPr>
                <w:sz w:val="16"/>
                <w:szCs w:val="16"/>
              </w:rPr>
              <w:t>804</w:t>
            </w:r>
          </w:p>
        </w:tc>
        <w:tc>
          <w:tcPr>
            <w:tcW w:w="38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61</w:t>
            </w:r>
            <w:r w:rsidR="00912C55" w:rsidRPr="00912C55">
              <w:rPr>
                <w:sz w:val="18"/>
                <w:szCs w:val="16"/>
                <w:vertAlign w:val="superscript"/>
              </w:rPr>
              <w:t xml:space="preserve"> </w:t>
            </w:r>
            <w:r w:rsidRPr="003E3038">
              <w:rPr>
                <w:sz w:val="16"/>
                <w:szCs w:val="16"/>
              </w:rPr>
              <w:t>709</w:t>
            </w:r>
          </w:p>
        </w:tc>
        <w:tc>
          <w:tcPr>
            <w:tcW w:w="35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44</w:t>
            </w:r>
            <w:r w:rsidR="00912C55" w:rsidRPr="00912C55">
              <w:rPr>
                <w:sz w:val="18"/>
                <w:szCs w:val="16"/>
                <w:vertAlign w:val="superscript"/>
              </w:rPr>
              <w:t xml:space="preserve"> </w:t>
            </w:r>
            <w:r w:rsidRPr="003E3038">
              <w:rPr>
                <w:sz w:val="16"/>
                <w:szCs w:val="16"/>
              </w:rPr>
              <w:t>513</w:t>
            </w:r>
          </w:p>
        </w:tc>
        <w:tc>
          <w:tcPr>
            <w:tcW w:w="343"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45</w:t>
            </w:r>
            <w:r w:rsidR="00912C55" w:rsidRPr="00912C55">
              <w:rPr>
                <w:sz w:val="18"/>
                <w:szCs w:val="16"/>
                <w:vertAlign w:val="superscript"/>
              </w:rPr>
              <w:t xml:space="preserve"> </w:t>
            </w:r>
            <w:r w:rsidRPr="003E3038">
              <w:rPr>
                <w:sz w:val="16"/>
                <w:szCs w:val="16"/>
              </w:rPr>
              <w:t>159</w:t>
            </w:r>
          </w:p>
        </w:tc>
        <w:tc>
          <w:tcPr>
            <w:tcW w:w="38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89</w:t>
            </w:r>
            <w:r w:rsidR="00912C55" w:rsidRPr="00912C55">
              <w:rPr>
                <w:sz w:val="18"/>
                <w:szCs w:val="16"/>
                <w:vertAlign w:val="superscript"/>
              </w:rPr>
              <w:t xml:space="preserve"> </w:t>
            </w:r>
            <w:r w:rsidRPr="003E3038">
              <w:rPr>
                <w:sz w:val="16"/>
                <w:szCs w:val="16"/>
              </w:rPr>
              <w:t>672</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64</w:t>
            </w:r>
            <w:r w:rsidR="00912C55" w:rsidRPr="00912C55">
              <w:rPr>
                <w:sz w:val="18"/>
                <w:szCs w:val="16"/>
                <w:vertAlign w:val="superscript"/>
              </w:rPr>
              <w:t xml:space="preserve"> </w:t>
            </w:r>
            <w:r w:rsidRPr="003E3038">
              <w:rPr>
                <w:sz w:val="16"/>
                <w:szCs w:val="16"/>
              </w:rPr>
              <w:t>465</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70</w:t>
            </w:r>
            <w:r w:rsidR="00912C55" w:rsidRPr="00912C55">
              <w:rPr>
                <w:sz w:val="18"/>
                <w:szCs w:val="16"/>
                <w:vertAlign w:val="superscript"/>
              </w:rPr>
              <w:t xml:space="preserve"> </w:t>
            </w:r>
            <w:r w:rsidRPr="003E3038">
              <w:rPr>
                <w:sz w:val="16"/>
                <w:szCs w:val="16"/>
              </w:rPr>
              <w:t>887</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135</w:t>
            </w:r>
            <w:r w:rsidR="00912C55" w:rsidRPr="00912C55">
              <w:rPr>
                <w:sz w:val="18"/>
                <w:szCs w:val="16"/>
                <w:vertAlign w:val="superscript"/>
              </w:rPr>
              <w:t xml:space="preserve"> </w:t>
            </w:r>
            <w:r w:rsidRPr="003E3038">
              <w:rPr>
                <w:sz w:val="16"/>
                <w:szCs w:val="16"/>
              </w:rPr>
              <w:t>352</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83</w:t>
            </w:r>
            <w:r w:rsidR="00912C55" w:rsidRPr="00912C55">
              <w:rPr>
                <w:sz w:val="18"/>
                <w:szCs w:val="16"/>
                <w:vertAlign w:val="superscript"/>
              </w:rPr>
              <w:t xml:space="preserve"> </w:t>
            </w:r>
            <w:r w:rsidRPr="003E3038">
              <w:rPr>
                <w:sz w:val="16"/>
                <w:szCs w:val="16"/>
              </w:rPr>
              <w:t>578</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95</w:t>
            </w:r>
            <w:r w:rsidR="00912C55" w:rsidRPr="00912C55">
              <w:rPr>
                <w:sz w:val="18"/>
                <w:szCs w:val="16"/>
                <w:vertAlign w:val="superscript"/>
              </w:rPr>
              <w:t xml:space="preserve"> </w:t>
            </w:r>
            <w:r w:rsidRPr="003E3038">
              <w:rPr>
                <w:sz w:val="16"/>
                <w:szCs w:val="16"/>
              </w:rPr>
              <w:t>379</w:t>
            </w:r>
          </w:p>
        </w:tc>
        <w:tc>
          <w:tcPr>
            <w:tcW w:w="385"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178</w:t>
            </w:r>
            <w:r w:rsidR="00912C55" w:rsidRPr="00912C55">
              <w:rPr>
                <w:sz w:val="18"/>
                <w:szCs w:val="16"/>
                <w:vertAlign w:val="superscript"/>
              </w:rPr>
              <w:t xml:space="preserve"> </w:t>
            </w:r>
            <w:r w:rsidRPr="003E3038">
              <w:rPr>
                <w:sz w:val="16"/>
                <w:szCs w:val="16"/>
              </w:rPr>
              <w:t>957</w:t>
            </w:r>
          </w:p>
        </w:tc>
      </w:tr>
      <w:tr w:rsidR="003E3038" w:rsidRPr="003E3038" w:rsidTr="00912C55">
        <w:trPr>
          <w:trHeight w:val="240"/>
        </w:trPr>
        <w:tc>
          <w:tcPr>
            <w:tcW w:w="528" w:type="pct"/>
            <w:shd w:val="clear" w:color="auto" w:fill="auto"/>
            <w:noWrap/>
            <w:hideMark/>
          </w:tcPr>
          <w:p w:rsidR="003E3038" w:rsidRPr="003E3038" w:rsidRDefault="000551C4" w:rsidP="003E3038">
            <w:pPr>
              <w:pStyle w:val="SingleTxtG"/>
              <w:spacing w:before="40" w:after="40" w:line="220" w:lineRule="exact"/>
              <w:ind w:left="57" w:right="0"/>
              <w:jc w:val="left"/>
              <w:rPr>
                <w:sz w:val="16"/>
                <w:szCs w:val="16"/>
              </w:rPr>
            </w:pPr>
            <w:r>
              <w:rPr>
                <w:sz w:val="16"/>
                <w:szCs w:val="16"/>
              </w:rPr>
              <w:t xml:space="preserve">De </w:t>
            </w:r>
            <w:r w:rsidR="003E3038">
              <w:rPr>
                <w:sz w:val="16"/>
                <w:szCs w:val="16"/>
              </w:rPr>
              <w:t>40 a</w:t>
            </w:r>
            <w:r w:rsidR="003E3038" w:rsidRPr="003E3038">
              <w:rPr>
                <w:sz w:val="16"/>
                <w:szCs w:val="16"/>
              </w:rPr>
              <w:t xml:space="preserve"> 44</w:t>
            </w:r>
          </w:p>
        </w:tc>
        <w:tc>
          <w:tcPr>
            <w:tcW w:w="35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32</w:t>
            </w:r>
            <w:r w:rsidR="00912C55" w:rsidRPr="00912C55">
              <w:rPr>
                <w:sz w:val="18"/>
                <w:szCs w:val="16"/>
                <w:vertAlign w:val="superscript"/>
              </w:rPr>
              <w:t xml:space="preserve"> </w:t>
            </w:r>
            <w:r w:rsidRPr="003E3038">
              <w:rPr>
                <w:sz w:val="16"/>
                <w:szCs w:val="16"/>
              </w:rPr>
              <w:t>665</w:t>
            </w:r>
          </w:p>
        </w:tc>
        <w:tc>
          <w:tcPr>
            <w:tcW w:w="323"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36</w:t>
            </w:r>
            <w:r w:rsidR="00912C55" w:rsidRPr="00912C55">
              <w:rPr>
                <w:sz w:val="18"/>
                <w:szCs w:val="16"/>
                <w:vertAlign w:val="superscript"/>
              </w:rPr>
              <w:t xml:space="preserve"> </w:t>
            </w:r>
            <w:r w:rsidRPr="003E3038">
              <w:rPr>
                <w:sz w:val="16"/>
                <w:szCs w:val="16"/>
              </w:rPr>
              <w:t>021</w:t>
            </w:r>
          </w:p>
        </w:tc>
        <w:tc>
          <w:tcPr>
            <w:tcW w:w="38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68</w:t>
            </w:r>
            <w:r w:rsidR="00912C55" w:rsidRPr="00912C55">
              <w:rPr>
                <w:sz w:val="18"/>
                <w:szCs w:val="16"/>
                <w:vertAlign w:val="superscript"/>
              </w:rPr>
              <w:t xml:space="preserve"> </w:t>
            </w:r>
            <w:r w:rsidRPr="003E3038">
              <w:rPr>
                <w:sz w:val="16"/>
                <w:szCs w:val="16"/>
              </w:rPr>
              <w:t>686</w:t>
            </w:r>
          </w:p>
        </w:tc>
        <w:tc>
          <w:tcPr>
            <w:tcW w:w="35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34</w:t>
            </w:r>
            <w:r w:rsidR="00912C55" w:rsidRPr="00912C55">
              <w:rPr>
                <w:sz w:val="18"/>
                <w:szCs w:val="16"/>
                <w:vertAlign w:val="superscript"/>
              </w:rPr>
              <w:t xml:space="preserve"> </w:t>
            </w:r>
            <w:r w:rsidRPr="003E3038">
              <w:rPr>
                <w:sz w:val="16"/>
                <w:szCs w:val="16"/>
              </w:rPr>
              <w:t>802</w:t>
            </w:r>
          </w:p>
        </w:tc>
        <w:tc>
          <w:tcPr>
            <w:tcW w:w="343"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38</w:t>
            </w:r>
            <w:r w:rsidR="00912C55" w:rsidRPr="00912C55">
              <w:rPr>
                <w:sz w:val="18"/>
                <w:szCs w:val="16"/>
                <w:vertAlign w:val="superscript"/>
              </w:rPr>
              <w:t xml:space="preserve"> </w:t>
            </w:r>
            <w:r w:rsidRPr="003E3038">
              <w:rPr>
                <w:sz w:val="16"/>
                <w:szCs w:val="16"/>
              </w:rPr>
              <w:t>077</w:t>
            </w:r>
          </w:p>
        </w:tc>
        <w:tc>
          <w:tcPr>
            <w:tcW w:w="38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72</w:t>
            </w:r>
            <w:r w:rsidR="00912C55" w:rsidRPr="00912C55">
              <w:rPr>
                <w:sz w:val="18"/>
                <w:szCs w:val="16"/>
                <w:vertAlign w:val="superscript"/>
              </w:rPr>
              <w:t xml:space="preserve"> </w:t>
            </w:r>
            <w:r w:rsidRPr="003E3038">
              <w:rPr>
                <w:sz w:val="16"/>
                <w:szCs w:val="16"/>
              </w:rPr>
              <w:t>879</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53</w:t>
            </w:r>
            <w:r w:rsidR="00912C55" w:rsidRPr="00912C55">
              <w:rPr>
                <w:sz w:val="18"/>
                <w:szCs w:val="16"/>
                <w:vertAlign w:val="superscript"/>
              </w:rPr>
              <w:t xml:space="preserve"> </w:t>
            </w:r>
            <w:r w:rsidRPr="003E3038">
              <w:rPr>
                <w:sz w:val="16"/>
                <w:szCs w:val="16"/>
              </w:rPr>
              <w:t>010</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53</w:t>
            </w:r>
            <w:r w:rsidR="00912C55" w:rsidRPr="00912C55">
              <w:rPr>
                <w:sz w:val="18"/>
                <w:szCs w:val="16"/>
                <w:vertAlign w:val="superscript"/>
              </w:rPr>
              <w:t xml:space="preserve"> </w:t>
            </w:r>
            <w:r w:rsidRPr="003E3038">
              <w:rPr>
                <w:sz w:val="16"/>
                <w:szCs w:val="16"/>
              </w:rPr>
              <w:t>129</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106</w:t>
            </w:r>
            <w:r w:rsidR="00912C55" w:rsidRPr="00912C55">
              <w:rPr>
                <w:sz w:val="18"/>
                <w:szCs w:val="16"/>
                <w:vertAlign w:val="superscript"/>
              </w:rPr>
              <w:t xml:space="preserve"> </w:t>
            </w:r>
            <w:r w:rsidRPr="003E3038">
              <w:rPr>
                <w:sz w:val="16"/>
                <w:szCs w:val="16"/>
              </w:rPr>
              <w:t>139</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72</w:t>
            </w:r>
            <w:r w:rsidR="00912C55" w:rsidRPr="00912C55">
              <w:rPr>
                <w:sz w:val="18"/>
                <w:szCs w:val="16"/>
                <w:vertAlign w:val="superscript"/>
              </w:rPr>
              <w:t xml:space="preserve"> </w:t>
            </w:r>
            <w:r w:rsidRPr="003E3038">
              <w:rPr>
                <w:sz w:val="16"/>
                <w:szCs w:val="16"/>
              </w:rPr>
              <w:t>108</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79</w:t>
            </w:r>
            <w:r w:rsidR="00912C55" w:rsidRPr="00912C55">
              <w:rPr>
                <w:sz w:val="18"/>
                <w:szCs w:val="16"/>
                <w:vertAlign w:val="superscript"/>
              </w:rPr>
              <w:t xml:space="preserve"> </w:t>
            </w:r>
            <w:r w:rsidRPr="003E3038">
              <w:rPr>
                <w:sz w:val="16"/>
                <w:szCs w:val="16"/>
              </w:rPr>
              <w:t>228</w:t>
            </w:r>
          </w:p>
        </w:tc>
        <w:tc>
          <w:tcPr>
            <w:tcW w:w="385"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151</w:t>
            </w:r>
            <w:r w:rsidR="00912C55" w:rsidRPr="00912C55">
              <w:rPr>
                <w:sz w:val="18"/>
                <w:szCs w:val="16"/>
                <w:vertAlign w:val="superscript"/>
              </w:rPr>
              <w:t xml:space="preserve"> </w:t>
            </w:r>
            <w:r w:rsidRPr="003E3038">
              <w:rPr>
                <w:sz w:val="16"/>
                <w:szCs w:val="16"/>
              </w:rPr>
              <w:t>336</w:t>
            </w:r>
          </w:p>
        </w:tc>
      </w:tr>
      <w:tr w:rsidR="003E3038" w:rsidRPr="003E3038" w:rsidTr="00912C55">
        <w:trPr>
          <w:trHeight w:val="240"/>
        </w:trPr>
        <w:tc>
          <w:tcPr>
            <w:tcW w:w="528" w:type="pct"/>
            <w:shd w:val="clear" w:color="auto" w:fill="auto"/>
            <w:noWrap/>
            <w:hideMark/>
          </w:tcPr>
          <w:p w:rsidR="003E3038" w:rsidRPr="003E3038" w:rsidRDefault="000551C4" w:rsidP="003E3038">
            <w:pPr>
              <w:pStyle w:val="SingleTxtG"/>
              <w:spacing w:before="40" w:after="40" w:line="220" w:lineRule="exact"/>
              <w:ind w:left="57" w:right="0"/>
              <w:jc w:val="left"/>
              <w:rPr>
                <w:sz w:val="16"/>
                <w:szCs w:val="16"/>
              </w:rPr>
            </w:pPr>
            <w:r>
              <w:rPr>
                <w:sz w:val="16"/>
                <w:szCs w:val="16"/>
              </w:rPr>
              <w:lastRenderedPageBreak/>
              <w:t xml:space="preserve">De </w:t>
            </w:r>
            <w:r w:rsidR="003E3038">
              <w:rPr>
                <w:sz w:val="16"/>
                <w:szCs w:val="16"/>
              </w:rPr>
              <w:t>45 a</w:t>
            </w:r>
            <w:r w:rsidR="003E3038" w:rsidRPr="003E3038">
              <w:rPr>
                <w:sz w:val="16"/>
                <w:szCs w:val="16"/>
              </w:rPr>
              <w:t xml:space="preserve"> 49</w:t>
            </w:r>
          </w:p>
        </w:tc>
        <w:tc>
          <w:tcPr>
            <w:tcW w:w="35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23</w:t>
            </w:r>
            <w:r w:rsidR="00912C55" w:rsidRPr="00912C55">
              <w:rPr>
                <w:sz w:val="18"/>
                <w:szCs w:val="16"/>
                <w:vertAlign w:val="superscript"/>
              </w:rPr>
              <w:t xml:space="preserve"> </w:t>
            </w:r>
            <w:r w:rsidRPr="003E3038">
              <w:rPr>
                <w:sz w:val="16"/>
                <w:szCs w:val="16"/>
              </w:rPr>
              <w:t>807</w:t>
            </w:r>
          </w:p>
        </w:tc>
        <w:tc>
          <w:tcPr>
            <w:tcW w:w="323"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24</w:t>
            </w:r>
            <w:r w:rsidR="00912C55" w:rsidRPr="00912C55">
              <w:rPr>
                <w:sz w:val="18"/>
                <w:szCs w:val="16"/>
                <w:vertAlign w:val="superscript"/>
              </w:rPr>
              <w:t xml:space="preserve"> </w:t>
            </w:r>
            <w:r w:rsidRPr="003E3038">
              <w:rPr>
                <w:sz w:val="16"/>
                <w:szCs w:val="16"/>
              </w:rPr>
              <w:t>036</w:t>
            </w:r>
          </w:p>
        </w:tc>
        <w:tc>
          <w:tcPr>
            <w:tcW w:w="38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47</w:t>
            </w:r>
            <w:r w:rsidR="00912C55" w:rsidRPr="00912C55">
              <w:rPr>
                <w:sz w:val="18"/>
                <w:szCs w:val="16"/>
                <w:vertAlign w:val="superscript"/>
              </w:rPr>
              <w:t xml:space="preserve"> </w:t>
            </w:r>
            <w:r w:rsidRPr="003E3038">
              <w:rPr>
                <w:sz w:val="16"/>
                <w:szCs w:val="16"/>
              </w:rPr>
              <w:t>843</w:t>
            </w:r>
          </w:p>
        </w:tc>
        <w:tc>
          <w:tcPr>
            <w:tcW w:w="35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27</w:t>
            </w:r>
            <w:r w:rsidR="00912C55" w:rsidRPr="00912C55">
              <w:rPr>
                <w:sz w:val="18"/>
                <w:szCs w:val="16"/>
                <w:vertAlign w:val="superscript"/>
              </w:rPr>
              <w:t xml:space="preserve"> </w:t>
            </w:r>
            <w:r w:rsidRPr="003E3038">
              <w:rPr>
                <w:sz w:val="16"/>
                <w:szCs w:val="16"/>
              </w:rPr>
              <w:t>593</w:t>
            </w:r>
          </w:p>
        </w:tc>
        <w:tc>
          <w:tcPr>
            <w:tcW w:w="343"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28</w:t>
            </w:r>
            <w:r w:rsidR="00912C55" w:rsidRPr="00912C55">
              <w:rPr>
                <w:sz w:val="18"/>
                <w:szCs w:val="16"/>
                <w:vertAlign w:val="superscript"/>
              </w:rPr>
              <w:t xml:space="preserve"> </w:t>
            </w:r>
            <w:r w:rsidRPr="003E3038">
              <w:rPr>
                <w:sz w:val="16"/>
                <w:szCs w:val="16"/>
              </w:rPr>
              <w:t>108</w:t>
            </w:r>
          </w:p>
        </w:tc>
        <w:tc>
          <w:tcPr>
            <w:tcW w:w="38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55</w:t>
            </w:r>
            <w:r w:rsidR="00912C55" w:rsidRPr="00912C55">
              <w:rPr>
                <w:sz w:val="18"/>
                <w:szCs w:val="16"/>
                <w:vertAlign w:val="superscript"/>
              </w:rPr>
              <w:t xml:space="preserve"> </w:t>
            </w:r>
            <w:r w:rsidRPr="003E3038">
              <w:rPr>
                <w:sz w:val="16"/>
                <w:szCs w:val="16"/>
              </w:rPr>
              <w:t>701</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48</w:t>
            </w:r>
            <w:r w:rsidR="00912C55" w:rsidRPr="00912C55">
              <w:rPr>
                <w:sz w:val="18"/>
                <w:szCs w:val="16"/>
                <w:vertAlign w:val="superscript"/>
              </w:rPr>
              <w:t xml:space="preserve"> </w:t>
            </w:r>
            <w:r w:rsidRPr="003E3038">
              <w:rPr>
                <w:sz w:val="16"/>
                <w:szCs w:val="16"/>
              </w:rPr>
              <w:t>653</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50</w:t>
            </w:r>
            <w:r w:rsidR="00912C55" w:rsidRPr="00912C55">
              <w:rPr>
                <w:sz w:val="18"/>
                <w:szCs w:val="16"/>
                <w:vertAlign w:val="superscript"/>
              </w:rPr>
              <w:t xml:space="preserve"> </w:t>
            </w:r>
            <w:r w:rsidRPr="003E3038">
              <w:rPr>
                <w:sz w:val="16"/>
                <w:szCs w:val="16"/>
              </w:rPr>
              <w:t>408</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99</w:t>
            </w:r>
            <w:r w:rsidR="00912C55" w:rsidRPr="00912C55">
              <w:rPr>
                <w:sz w:val="18"/>
                <w:szCs w:val="16"/>
                <w:vertAlign w:val="superscript"/>
              </w:rPr>
              <w:t xml:space="preserve"> </w:t>
            </w:r>
            <w:r w:rsidRPr="003E3038">
              <w:rPr>
                <w:sz w:val="16"/>
                <w:szCs w:val="16"/>
              </w:rPr>
              <w:t>061</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60</w:t>
            </w:r>
            <w:r w:rsidR="00912C55" w:rsidRPr="00912C55">
              <w:rPr>
                <w:sz w:val="18"/>
                <w:szCs w:val="16"/>
                <w:vertAlign w:val="superscript"/>
              </w:rPr>
              <w:t xml:space="preserve"> </w:t>
            </w:r>
            <w:r w:rsidRPr="003E3038">
              <w:rPr>
                <w:sz w:val="16"/>
                <w:szCs w:val="16"/>
              </w:rPr>
              <w:t>297</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64</w:t>
            </w:r>
            <w:r w:rsidR="00912C55" w:rsidRPr="00912C55">
              <w:rPr>
                <w:sz w:val="18"/>
                <w:szCs w:val="16"/>
                <w:vertAlign w:val="superscript"/>
              </w:rPr>
              <w:t xml:space="preserve"> </w:t>
            </w:r>
            <w:r w:rsidRPr="003E3038">
              <w:rPr>
                <w:sz w:val="16"/>
                <w:szCs w:val="16"/>
              </w:rPr>
              <w:t>516</w:t>
            </w:r>
          </w:p>
        </w:tc>
        <w:tc>
          <w:tcPr>
            <w:tcW w:w="385"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124</w:t>
            </w:r>
            <w:r w:rsidR="00912C55" w:rsidRPr="00912C55">
              <w:rPr>
                <w:sz w:val="18"/>
                <w:szCs w:val="16"/>
                <w:vertAlign w:val="superscript"/>
              </w:rPr>
              <w:t xml:space="preserve"> </w:t>
            </w:r>
            <w:r w:rsidRPr="003E3038">
              <w:rPr>
                <w:sz w:val="16"/>
                <w:szCs w:val="16"/>
              </w:rPr>
              <w:t>813</w:t>
            </w:r>
          </w:p>
        </w:tc>
      </w:tr>
      <w:tr w:rsidR="003E3038" w:rsidRPr="003E3038" w:rsidTr="00912C55">
        <w:trPr>
          <w:trHeight w:val="240"/>
        </w:trPr>
        <w:tc>
          <w:tcPr>
            <w:tcW w:w="528" w:type="pct"/>
            <w:shd w:val="clear" w:color="auto" w:fill="auto"/>
            <w:noWrap/>
            <w:hideMark/>
          </w:tcPr>
          <w:p w:rsidR="003E3038" w:rsidRPr="003E3038" w:rsidRDefault="000551C4" w:rsidP="003E3038">
            <w:pPr>
              <w:pStyle w:val="SingleTxtG"/>
              <w:spacing w:before="40" w:after="40" w:line="220" w:lineRule="exact"/>
              <w:ind w:left="57" w:right="0"/>
              <w:jc w:val="left"/>
              <w:rPr>
                <w:sz w:val="16"/>
                <w:szCs w:val="16"/>
              </w:rPr>
            </w:pPr>
            <w:r>
              <w:rPr>
                <w:sz w:val="16"/>
                <w:szCs w:val="16"/>
              </w:rPr>
              <w:t xml:space="preserve">De </w:t>
            </w:r>
            <w:r w:rsidR="003E3038">
              <w:rPr>
                <w:sz w:val="16"/>
                <w:szCs w:val="16"/>
              </w:rPr>
              <w:t>50 a</w:t>
            </w:r>
            <w:r w:rsidR="003E3038" w:rsidRPr="003E3038">
              <w:rPr>
                <w:sz w:val="16"/>
                <w:szCs w:val="16"/>
              </w:rPr>
              <w:t xml:space="preserve"> 54</w:t>
            </w:r>
          </w:p>
        </w:tc>
        <w:tc>
          <w:tcPr>
            <w:tcW w:w="35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22</w:t>
            </w:r>
            <w:r w:rsidR="00912C55" w:rsidRPr="00912C55">
              <w:rPr>
                <w:sz w:val="18"/>
                <w:szCs w:val="16"/>
                <w:vertAlign w:val="superscript"/>
              </w:rPr>
              <w:t xml:space="preserve"> </w:t>
            </w:r>
            <w:r w:rsidRPr="003E3038">
              <w:rPr>
                <w:sz w:val="16"/>
                <w:szCs w:val="16"/>
              </w:rPr>
              <w:t>688</w:t>
            </w:r>
          </w:p>
        </w:tc>
        <w:tc>
          <w:tcPr>
            <w:tcW w:w="323"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24</w:t>
            </w:r>
            <w:r w:rsidR="00912C55" w:rsidRPr="00912C55">
              <w:rPr>
                <w:sz w:val="18"/>
                <w:szCs w:val="16"/>
                <w:vertAlign w:val="superscript"/>
              </w:rPr>
              <w:t xml:space="preserve"> </w:t>
            </w:r>
            <w:r w:rsidRPr="003E3038">
              <w:rPr>
                <w:sz w:val="16"/>
                <w:szCs w:val="16"/>
              </w:rPr>
              <w:t>432</w:t>
            </w:r>
          </w:p>
        </w:tc>
        <w:tc>
          <w:tcPr>
            <w:tcW w:w="38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47</w:t>
            </w:r>
            <w:r w:rsidR="00912C55" w:rsidRPr="00912C55">
              <w:rPr>
                <w:sz w:val="18"/>
                <w:szCs w:val="16"/>
                <w:vertAlign w:val="superscript"/>
              </w:rPr>
              <w:t xml:space="preserve"> </w:t>
            </w:r>
            <w:r w:rsidRPr="003E3038">
              <w:rPr>
                <w:sz w:val="16"/>
                <w:szCs w:val="16"/>
              </w:rPr>
              <w:t>120</w:t>
            </w:r>
          </w:p>
        </w:tc>
        <w:tc>
          <w:tcPr>
            <w:tcW w:w="35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30</w:t>
            </w:r>
            <w:r w:rsidR="00912C55" w:rsidRPr="00912C55">
              <w:rPr>
                <w:sz w:val="18"/>
                <w:szCs w:val="16"/>
                <w:vertAlign w:val="superscript"/>
              </w:rPr>
              <w:t xml:space="preserve"> </w:t>
            </w:r>
            <w:r w:rsidRPr="003E3038">
              <w:rPr>
                <w:sz w:val="16"/>
                <w:szCs w:val="16"/>
              </w:rPr>
              <w:t>023</w:t>
            </w:r>
          </w:p>
        </w:tc>
        <w:tc>
          <w:tcPr>
            <w:tcW w:w="343"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31</w:t>
            </w:r>
            <w:r w:rsidR="00912C55" w:rsidRPr="00912C55">
              <w:rPr>
                <w:sz w:val="18"/>
                <w:szCs w:val="16"/>
                <w:vertAlign w:val="superscript"/>
              </w:rPr>
              <w:t xml:space="preserve"> </w:t>
            </w:r>
            <w:r w:rsidRPr="003E3038">
              <w:rPr>
                <w:sz w:val="16"/>
                <w:szCs w:val="16"/>
              </w:rPr>
              <w:t>908</w:t>
            </w:r>
          </w:p>
        </w:tc>
        <w:tc>
          <w:tcPr>
            <w:tcW w:w="38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61</w:t>
            </w:r>
            <w:r w:rsidR="00912C55" w:rsidRPr="00912C55">
              <w:rPr>
                <w:sz w:val="18"/>
                <w:szCs w:val="16"/>
                <w:vertAlign w:val="superscript"/>
              </w:rPr>
              <w:t xml:space="preserve"> </w:t>
            </w:r>
            <w:r w:rsidRPr="003E3038">
              <w:rPr>
                <w:sz w:val="16"/>
                <w:szCs w:val="16"/>
              </w:rPr>
              <w:t>931</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32</w:t>
            </w:r>
            <w:r w:rsidR="00912C55" w:rsidRPr="00912C55">
              <w:rPr>
                <w:sz w:val="18"/>
                <w:szCs w:val="16"/>
                <w:vertAlign w:val="superscript"/>
              </w:rPr>
              <w:t xml:space="preserve"> </w:t>
            </w:r>
            <w:r w:rsidRPr="003E3038">
              <w:rPr>
                <w:sz w:val="16"/>
                <w:szCs w:val="16"/>
              </w:rPr>
              <w:t>649</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33</w:t>
            </w:r>
            <w:r w:rsidR="00912C55" w:rsidRPr="00912C55">
              <w:rPr>
                <w:sz w:val="18"/>
                <w:szCs w:val="16"/>
                <w:vertAlign w:val="superscript"/>
              </w:rPr>
              <w:t xml:space="preserve"> </w:t>
            </w:r>
            <w:r w:rsidRPr="003E3038">
              <w:rPr>
                <w:sz w:val="16"/>
                <w:szCs w:val="16"/>
              </w:rPr>
              <w:t>165</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65</w:t>
            </w:r>
            <w:r w:rsidR="00912C55" w:rsidRPr="00912C55">
              <w:rPr>
                <w:sz w:val="18"/>
                <w:szCs w:val="16"/>
                <w:vertAlign w:val="superscript"/>
              </w:rPr>
              <w:t xml:space="preserve"> </w:t>
            </w:r>
            <w:r w:rsidRPr="003E3038">
              <w:rPr>
                <w:sz w:val="16"/>
                <w:szCs w:val="16"/>
              </w:rPr>
              <w:t>814</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50</w:t>
            </w:r>
            <w:r w:rsidR="00912C55" w:rsidRPr="00912C55">
              <w:rPr>
                <w:sz w:val="18"/>
                <w:szCs w:val="16"/>
                <w:vertAlign w:val="superscript"/>
              </w:rPr>
              <w:t xml:space="preserve"> </w:t>
            </w:r>
            <w:r w:rsidRPr="003E3038">
              <w:rPr>
                <w:sz w:val="16"/>
                <w:szCs w:val="16"/>
              </w:rPr>
              <w:t>739</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51</w:t>
            </w:r>
            <w:r w:rsidR="00912C55" w:rsidRPr="00912C55">
              <w:rPr>
                <w:sz w:val="18"/>
                <w:szCs w:val="16"/>
                <w:vertAlign w:val="superscript"/>
              </w:rPr>
              <w:t xml:space="preserve"> </w:t>
            </w:r>
            <w:r w:rsidRPr="003E3038">
              <w:rPr>
                <w:sz w:val="16"/>
                <w:szCs w:val="16"/>
              </w:rPr>
              <w:t>751</w:t>
            </w:r>
          </w:p>
        </w:tc>
        <w:tc>
          <w:tcPr>
            <w:tcW w:w="385"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102</w:t>
            </w:r>
            <w:r w:rsidR="00912C55" w:rsidRPr="00912C55">
              <w:rPr>
                <w:sz w:val="18"/>
                <w:szCs w:val="16"/>
                <w:vertAlign w:val="superscript"/>
              </w:rPr>
              <w:t xml:space="preserve"> </w:t>
            </w:r>
            <w:r w:rsidRPr="003E3038">
              <w:rPr>
                <w:sz w:val="16"/>
                <w:szCs w:val="16"/>
              </w:rPr>
              <w:t>490</w:t>
            </w:r>
          </w:p>
        </w:tc>
      </w:tr>
      <w:tr w:rsidR="003E3038" w:rsidRPr="003E3038" w:rsidTr="00912C55">
        <w:trPr>
          <w:trHeight w:val="240"/>
        </w:trPr>
        <w:tc>
          <w:tcPr>
            <w:tcW w:w="528" w:type="pct"/>
            <w:shd w:val="clear" w:color="auto" w:fill="auto"/>
            <w:noWrap/>
            <w:hideMark/>
          </w:tcPr>
          <w:p w:rsidR="003E3038" w:rsidRPr="003E3038" w:rsidRDefault="000551C4" w:rsidP="003E3038">
            <w:pPr>
              <w:pStyle w:val="SingleTxtG"/>
              <w:spacing w:before="40" w:after="40" w:line="220" w:lineRule="exact"/>
              <w:ind w:left="57" w:right="0"/>
              <w:jc w:val="left"/>
              <w:rPr>
                <w:sz w:val="16"/>
                <w:szCs w:val="16"/>
              </w:rPr>
            </w:pPr>
            <w:r>
              <w:rPr>
                <w:sz w:val="16"/>
                <w:szCs w:val="16"/>
              </w:rPr>
              <w:t xml:space="preserve">De </w:t>
            </w:r>
            <w:r w:rsidR="003E3038">
              <w:rPr>
                <w:sz w:val="16"/>
                <w:szCs w:val="16"/>
              </w:rPr>
              <w:t>55 a</w:t>
            </w:r>
            <w:r w:rsidR="003E3038" w:rsidRPr="003E3038">
              <w:rPr>
                <w:sz w:val="16"/>
                <w:szCs w:val="16"/>
              </w:rPr>
              <w:t xml:space="preserve"> 59</w:t>
            </w:r>
          </w:p>
        </w:tc>
        <w:tc>
          <w:tcPr>
            <w:tcW w:w="35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16</w:t>
            </w:r>
            <w:r w:rsidR="00912C55" w:rsidRPr="00912C55">
              <w:rPr>
                <w:sz w:val="18"/>
                <w:szCs w:val="16"/>
                <w:vertAlign w:val="superscript"/>
              </w:rPr>
              <w:t xml:space="preserve"> </w:t>
            </w:r>
            <w:r w:rsidRPr="003E3038">
              <w:rPr>
                <w:sz w:val="16"/>
                <w:szCs w:val="16"/>
              </w:rPr>
              <w:t>911</w:t>
            </w:r>
          </w:p>
        </w:tc>
        <w:tc>
          <w:tcPr>
            <w:tcW w:w="323"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17</w:t>
            </w:r>
            <w:r w:rsidR="00912C55" w:rsidRPr="00912C55">
              <w:rPr>
                <w:sz w:val="18"/>
                <w:szCs w:val="16"/>
                <w:vertAlign w:val="superscript"/>
              </w:rPr>
              <w:t xml:space="preserve"> </w:t>
            </w:r>
            <w:r w:rsidRPr="003E3038">
              <w:rPr>
                <w:sz w:val="16"/>
                <w:szCs w:val="16"/>
              </w:rPr>
              <w:t>487</w:t>
            </w:r>
          </w:p>
        </w:tc>
        <w:tc>
          <w:tcPr>
            <w:tcW w:w="38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34</w:t>
            </w:r>
            <w:r w:rsidR="00912C55" w:rsidRPr="00912C55">
              <w:rPr>
                <w:sz w:val="18"/>
                <w:szCs w:val="16"/>
                <w:vertAlign w:val="superscript"/>
              </w:rPr>
              <w:t xml:space="preserve"> </w:t>
            </w:r>
            <w:r w:rsidRPr="003E3038">
              <w:rPr>
                <w:sz w:val="16"/>
                <w:szCs w:val="16"/>
              </w:rPr>
              <w:t>398</w:t>
            </w:r>
          </w:p>
        </w:tc>
        <w:tc>
          <w:tcPr>
            <w:tcW w:w="35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16</w:t>
            </w:r>
            <w:r w:rsidR="00912C55" w:rsidRPr="00912C55">
              <w:rPr>
                <w:sz w:val="18"/>
                <w:szCs w:val="16"/>
                <w:vertAlign w:val="superscript"/>
              </w:rPr>
              <w:t xml:space="preserve"> </w:t>
            </w:r>
            <w:r w:rsidRPr="003E3038">
              <w:rPr>
                <w:sz w:val="16"/>
                <w:szCs w:val="16"/>
              </w:rPr>
              <w:t>847</w:t>
            </w:r>
          </w:p>
        </w:tc>
        <w:tc>
          <w:tcPr>
            <w:tcW w:w="343"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14</w:t>
            </w:r>
            <w:r w:rsidR="00912C55" w:rsidRPr="00912C55">
              <w:rPr>
                <w:sz w:val="18"/>
                <w:szCs w:val="16"/>
                <w:vertAlign w:val="superscript"/>
              </w:rPr>
              <w:t xml:space="preserve"> </w:t>
            </w:r>
            <w:r w:rsidRPr="003E3038">
              <w:rPr>
                <w:sz w:val="16"/>
                <w:szCs w:val="16"/>
              </w:rPr>
              <w:t>875</w:t>
            </w:r>
          </w:p>
        </w:tc>
        <w:tc>
          <w:tcPr>
            <w:tcW w:w="38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31</w:t>
            </w:r>
            <w:r w:rsidR="00912C55" w:rsidRPr="00912C55">
              <w:rPr>
                <w:sz w:val="18"/>
                <w:szCs w:val="16"/>
                <w:vertAlign w:val="superscript"/>
              </w:rPr>
              <w:t xml:space="preserve"> </w:t>
            </w:r>
            <w:r w:rsidRPr="003E3038">
              <w:rPr>
                <w:sz w:val="16"/>
                <w:szCs w:val="16"/>
              </w:rPr>
              <w:t>722</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23</w:t>
            </w:r>
            <w:r w:rsidR="00912C55" w:rsidRPr="00912C55">
              <w:rPr>
                <w:sz w:val="18"/>
                <w:szCs w:val="16"/>
                <w:vertAlign w:val="superscript"/>
              </w:rPr>
              <w:t xml:space="preserve"> </w:t>
            </w:r>
            <w:r w:rsidRPr="003E3038">
              <w:rPr>
                <w:sz w:val="16"/>
                <w:szCs w:val="16"/>
              </w:rPr>
              <w:t>010</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21</w:t>
            </w:r>
            <w:r w:rsidR="00912C55" w:rsidRPr="00912C55">
              <w:rPr>
                <w:sz w:val="18"/>
                <w:szCs w:val="16"/>
                <w:vertAlign w:val="superscript"/>
              </w:rPr>
              <w:t xml:space="preserve"> </w:t>
            </w:r>
            <w:r w:rsidRPr="003E3038">
              <w:rPr>
                <w:sz w:val="16"/>
                <w:szCs w:val="16"/>
              </w:rPr>
              <w:t>638</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44</w:t>
            </w:r>
            <w:r w:rsidR="00912C55" w:rsidRPr="00912C55">
              <w:rPr>
                <w:sz w:val="18"/>
                <w:szCs w:val="16"/>
                <w:vertAlign w:val="superscript"/>
              </w:rPr>
              <w:t xml:space="preserve"> </w:t>
            </w:r>
            <w:r w:rsidRPr="003E3038">
              <w:rPr>
                <w:sz w:val="16"/>
                <w:szCs w:val="16"/>
              </w:rPr>
              <w:t>648</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41</w:t>
            </w:r>
            <w:r w:rsidR="00912C55" w:rsidRPr="00912C55">
              <w:rPr>
                <w:sz w:val="18"/>
                <w:szCs w:val="16"/>
                <w:vertAlign w:val="superscript"/>
              </w:rPr>
              <w:t xml:space="preserve"> </w:t>
            </w:r>
            <w:r w:rsidRPr="003E3038">
              <w:rPr>
                <w:sz w:val="16"/>
                <w:szCs w:val="16"/>
              </w:rPr>
              <w:t>075</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40</w:t>
            </w:r>
            <w:r w:rsidR="00912C55" w:rsidRPr="00912C55">
              <w:rPr>
                <w:sz w:val="18"/>
                <w:szCs w:val="16"/>
                <w:vertAlign w:val="superscript"/>
              </w:rPr>
              <w:t xml:space="preserve"> </w:t>
            </w:r>
            <w:r w:rsidRPr="003E3038">
              <w:rPr>
                <w:sz w:val="16"/>
                <w:szCs w:val="16"/>
              </w:rPr>
              <w:t>645</w:t>
            </w:r>
          </w:p>
        </w:tc>
        <w:tc>
          <w:tcPr>
            <w:tcW w:w="385"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81</w:t>
            </w:r>
            <w:r w:rsidR="00912C55" w:rsidRPr="00912C55">
              <w:rPr>
                <w:sz w:val="18"/>
                <w:szCs w:val="16"/>
                <w:vertAlign w:val="superscript"/>
              </w:rPr>
              <w:t xml:space="preserve"> </w:t>
            </w:r>
            <w:r w:rsidRPr="003E3038">
              <w:rPr>
                <w:sz w:val="16"/>
                <w:szCs w:val="16"/>
              </w:rPr>
              <w:t>720</w:t>
            </w:r>
          </w:p>
        </w:tc>
      </w:tr>
      <w:tr w:rsidR="003E3038" w:rsidRPr="003E3038" w:rsidTr="00912C55">
        <w:trPr>
          <w:trHeight w:val="240"/>
        </w:trPr>
        <w:tc>
          <w:tcPr>
            <w:tcW w:w="528" w:type="pct"/>
            <w:shd w:val="clear" w:color="auto" w:fill="auto"/>
            <w:noWrap/>
            <w:hideMark/>
          </w:tcPr>
          <w:p w:rsidR="003E3038" w:rsidRPr="003E3038" w:rsidRDefault="000551C4" w:rsidP="003E3038">
            <w:pPr>
              <w:pStyle w:val="SingleTxtG"/>
              <w:spacing w:before="40" w:after="40" w:line="220" w:lineRule="exact"/>
              <w:ind w:left="57" w:right="0"/>
              <w:jc w:val="left"/>
              <w:rPr>
                <w:sz w:val="16"/>
                <w:szCs w:val="16"/>
              </w:rPr>
            </w:pPr>
            <w:r>
              <w:rPr>
                <w:sz w:val="16"/>
                <w:szCs w:val="16"/>
              </w:rPr>
              <w:t xml:space="preserve">De </w:t>
            </w:r>
            <w:r w:rsidR="003E3038">
              <w:rPr>
                <w:sz w:val="16"/>
                <w:szCs w:val="16"/>
              </w:rPr>
              <w:t>60 a</w:t>
            </w:r>
            <w:r w:rsidR="003E3038" w:rsidRPr="003E3038">
              <w:rPr>
                <w:sz w:val="16"/>
                <w:szCs w:val="16"/>
              </w:rPr>
              <w:t xml:space="preserve"> 64</w:t>
            </w:r>
          </w:p>
        </w:tc>
        <w:tc>
          <w:tcPr>
            <w:tcW w:w="35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12</w:t>
            </w:r>
            <w:r w:rsidR="00912C55" w:rsidRPr="00912C55">
              <w:rPr>
                <w:sz w:val="18"/>
                <w:szCs w:val="16"/>
                <w:vertAlign w:val="superscript"/>
              </w:rPr>
              <w:t xml:space="preserve"> </w:t>
            </w:r>
            <w:r w:rsidRPr="003E3038">
              <w:rPr>
                <w:sz w:val="16"/>
                <w:szCs w:val="16"/>
              </w:rPr>
              <w:t>754</w:t>
            </w:r>
          </w:p>
        </w:tc>
        <w:tc>
          <w:tcPr>
            <w:tcW w:w="323"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14</w:t>
            </w:r>
            <w:r w:rsidR="00912C55" w:rsidRPr="00912C55">
              <w:rPr>
                <w:sz w:val="18"/>
                <w:szCs w:val="16"/>
                <w:vertAlign w:val="superscript"/>
              </w:rPr>
              <w:t xml:space="preserve"> </w:t>
            </w:r>
            <w:r w:rsidRPr="003E3038">
              <w:rPr>
                <w:sz w:val="16"/>
                <w:szCs w:val="16"/>
              </w:rPr>
              <w:t>508</w:t>
            </w:r>
          </w:p>
        </w:tc>
        <w:tc>
          <w:tcPr>
            <w:tcW w:w="38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27</w:t>
            </w:r>
            <w:r w:rsidR="00912C55" w:rsidRPr="00912C55">
              <w:rPr>
                <w:sz w:val="18"/>
                <w:szCs w:val="16"/>
                <w:vertAlign w:val="superscript"/>
              </w:rPr>
              <w:t xml:space="preserve"> </w:t>
            </w:r>
            <w:r w:rsidRPr="003E3038">
              <w:rPr>
                <w:sz w:val="16"/>
                <w:szCs w:val="16"/>
              </w:rPr>
              <w:t>262</w:t>
            </w:r>
          </w:p>
        </w:tc>
        <w:tc>
          <w:tcPr>
            <w:tcW w:w="35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20</w:t>
            </w:r>
            <w:r w:rsidR="00912C55" w:rsidRPr="00912C55">
              <w:rPr>
                <w:sz w:val="18"/>
                <w:szCs w:val="16"/>
                <w:vertAlign w:val="superscript"/>
              </w:rPr>
              <w:t xml:space="preserve"> </w:t>
            </w:r>
            <w:r w:rsidRPr="003E3038">
              <w:rPr>
                <w:sz w:val="16"/>
                <w:szCs w:val="16"/>
              </w:rPr>
              <w:t>190</w:t>
            </w:r>
          </w:p>
        </w:tc>
        <w:tc>
          <w:tcPr>
            <w:tcW w:w="343"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20</w:t>
            </w:r>
            <w:r w:rsidR="00912C55" w:rsidRPr="00912C55">
              <w:rPr>
                <w:sz w:val="18"/>
                <w:szCs w:val="16"/>
                <w:vertAlign w:val="superscript"/>
              </w:rPr>
              <w:t xml:space="preserve"> </w:t>
            </w:r>
            <w:r w:rsidRPr="003E3038">
              <w:rPr>
                <w:sz w:val="16"/>
                <w:szCs w:val="16"/>
              </w:rPr>
              <w:t>603</w:t>
            </w:r>
          </w:p>
        </w:tc>
        <w:tc>
          <w:tcPr>
            <w:tcW w:w="38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40</w:t>
            </w:r>
            <w:r w:rsidR="00912C55" w:rsidRPr="00912C55">
              <w:rPr>
                <w:sz w:val="18"/>
                <w:szCs w:val="16"/>
                <w:vertAlign w:val="superscript"/>
              </w:rPr>
              <w:t xml:space="preserve"> </w:t>
            </w:r>
            <w:r w:rsidRPr="003E3038">
              <w:rPr>
                <w:sz w:val="16"/>
                <w:szCs w:val="16"/>
              </w:rPr>
              <w:t>793</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25</w:t>
            </w:r>
            <w:r w:rsidR="00912C55" w:rsidRPr="00912C55">
              <w:rPr>
                <w:sz w:val="18"/>
                <w:szCs w:val="16"/>
                <w:vertAlign w:val="superscript"/>
              </w:rPr>
              <w:t xml:space="preserve"> </w:t>
            </w:r>
            <w:r w:rsidRPr="003E3038">
              <w:rPr>
                <w:sz w:val="16"/>
                <w:szCs w:val="16"/>
              </w:rPr>
              <w:t>093</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24</w:t>
            </w:r>
            <w:r w:rsidR="00912C55" w:rsidRPr="00912C55">
              <w:rPr>
                <w:sz w:val="18"/>
                <w:szCs w:val="16"/>
                <w:vertAlign w:val="superscript"/>
              </w:rPr>
              <w:t xml:space="preserve"> </w:t>
            </w:r>
            <w:r w:rsidRPr="003E3038">
              <w:rPr>
                <w:sz w:val="16"/>
                <w:szCs w:val="16"/>
              </w:rPr>
              <w:t>467</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49</w:t>
            </w:r>
            <w:r w:rsidR="00912C55" w:rsidRPr="00912C55">
              <w:rPr>
                <w:sz w:val="18"/>
                <w:szCs w:val="16"/>
                <w:vertAlign w:val="superscript"/>
              </w:rPr>
              <w:t xml:space="preserve"> </w:t>
            </w:r>
            <w:r w:rsidRPr="003E3038">
              <w:rPr>
                <w:sz w:val="16"/>
                <w:szCs w:val="16"/>
              </w:rPr>
              <w:t>560</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31</w:t>
            </w:r>
            <w:r w:rsidR="00912C55" w:rsidRPr="00912C55">
              <w:rPr>
                <w:sz w:val="18"/>
                <w:szCs w:val="16"/>
                <w:vertAlign w:val="superscript"/>
              </w:rPr>
              <w:t xml:space="preserve"> </w:t>
            </w:r>
            <w:r w:rsidRPr="003E3038">
              <w:rPr>
                <w:sz w:val="16"/>
                <w:szCs w:val="16"/>
              </w:rPr>
              <w:t>660</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30</w:t>
            </w:r>
            <w:r w:rsidR="00912C55" w:rsidRPr="00912C55">
              <w:rPr>
                <w:sz w:val="18"/>
                <w:szCs w:val="16"/>
                <w:vertAlign w:val="superscript"/>
              </w:rPr>
              <w:t xml:space="preserve"> </w:t>
            </w:r>
            <w:r w:rsidRPr="003E3038">
              <w:rPr>
                <w:sz w:val="16"/>
                <w:szCs w:val="16"/>
              </w:rPr>
              <w:t>459</w:t>
            </w:r>
          </w:p>
        </w:tc>
        <w:tc>
          <w:tcPr>
            <w:tcW w:w="385"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62</w:t>
            </w:r>
            <w:r w:rsidR="00912C55" w:rsidRPr="00912C55">
              <w:rPr>
                <w:sz w:val="18"/>
                <w:szCs w:val="16"/>
                <w:vertAlign w:val="superscript"/>
              </w:rPr>
              <w:t xml:space="preserve"> </w:t>
            </w:r>
            <w:r w:rsidRPr="003E3038">
              <w:rPr>
                <w:sz w:val="16"/>
                <w:szCs w:val="16"/>
              </w:rPr>
              <w:t>119</w:t>
            </w:r>
          </w:p>
        </w:tc>
      </w:tr>
      <w:tr w:rsidR="003E3038" w:rsidRPr="003E3038" w:rsidTr="00912C55">
        <w:trPr>
          <w:trHeight w:val="240"/>
        </w:trPr>
        <w:tc>
          <w:tcPr>
            <w:tcW w:w="528" w:type="pct"/>
            <w:shd w:val="clear" w:color="auto" w:fill="auto"/>
            <w:noWrap/>
            <w:hideMark/>
          </w:tcPr>
          <w:p w:rsidR="003E3038" w:rsidRPr="003E3038" w:rsidRDefault="000551C4" w:rsidP="003E3038">
            <w:pPr>
              <w:pStyle w:val="SingleTxtG"/>
              <w:spacing w:before="40" w:after="40" w:line="220" w:lineRule="exact"/>
              <w:ind w:left="57" w:right="0"/>
              <w:jc w:val="left"/>
              <w:rPr>
                <w:sz w:val="16"/>
                <w:szCs w:val="16"/>
              </w:rPr>
            </w:pPr>
            <w:r>
              <w:rPr>
                <w:sz w:val="16"/>
                <w:szCs w:val="16"/>
              </w:rPr>
              <w:t xml:space="preserve">De </w:t>
            </w:r>
            <w:r w:rsidR="003E3038">
              <w:rPr>
                <w:sz w:val="16"/>
                <w:szCs w:val="16"/>
              </w:rPr>
              <w:t>65 a</w:t>
            </w:r>
            <w:r w:rsidR="003E3038" w:rsidRPr="003E3038">
              <w:rPr>
                <w:sz w:val="16"/>
                <w:szCs w:val="16"/>
              </w:rPr>
              <w:t xml:space="preserve"> 69</w:t>
            </w:r>
          </w:p>
        </w:tc>
        <w:tc>
          <w:tcPr>
            <w:tcW w:w="35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6</w:t>
            </w:r>
            <w:r w:rsidR="00912C55" w:rsidRPr="00912C55">
              <w:rPr>
                <w:sz w:val="18"/>
                <w:szCs w:val="16"/>
                <w:vertAlign w:val="superscript"/>
              </w:rPr>
              <w:t xml:space="preserve"> </w:t>
            </w:r>
            <w:r w:rsidRPr="003E3038">
              <w:rPr>
                <w:sz w:val="16"/>
                <w:szCs w:val="16"/>
              </w:rPr>
              <w:t>979</w:t>
            </w:r>
          </w:p>
        </w:tc>
        <w:tc>
          <w:tcPr>
            <w:tcW w:w="323"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7</w:t>
            </w:r>
            <w:r w:rsidR="00912C55" w:rsidRPr="00912C55">
              <w:rPr>
                <w:sz w:val="18"/>
                <w:szCs w:val="16"/>
                <w:vertAlign w:val="superscript"/>
              </w:rPr>
              <w:t xml:space="preserve"> </w:t>
            </w:r>
            <w:r w:rsidRPr="003E3038">
              <w:rPr>
                <w:sz w:val="16"/>
                <w:szCs w:val="16"/>
              </w:rPr>
              <w:t>593</w:t>
            </w:r>
          </w:p>
        </w:tc>
        <w:tc>
          <w:tcPr>
            <w:tcW w:w="38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14</w:t>
            </w:r>
            <w:r w:rsidR="00912C55" w:rsidRPr="00912C55">
              <w:rPr>
                <w:sz w:val="18"/>
                <w:szCs w:val="16"/>
                <w:vertAlign w:val="superscript"/>
              </w:rPr>
              <w:t xml:space="preserve"> </w:t>
            </w:r>
            <w:r w:rsidRPr="003E3038">
              <w:rPr>
                <w:sz w:val="16"/>
                <w:szCs w:val="16"/>
              </w:rPr>
              <w:t>572</w:t>
            </w:r>
          </w:p>
        </w:tc>
        <w:tc>
          <w:tcPr>
            <w:tcW w:w="35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11</w:t>
            </w:r>
            <w:r w:rsidR="00912C55" w:rsidRPr="00912C55">
              <w:rPr>
                <w:sz w:val="18"/>
                <w:szCs w:val="16"/>
                <w:vertAlign w:val="superscript"/>
              </w:rPr>
              <w:t xml:space="preserve"> </w:t>
            </w:r>
            <w:r w:rsidRPr="003E3038">
              <w:rPr>
                <w:sz w:val="16"/>
                <w:szCs w:val="16"/>
              </w:rPr>
              <w:t>518</w:t>
            </w:r>
          </w:p>
        </w:tc>
        <w:tc>
          <w:tcPr>
            <w:tcW w:w="343"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11</w:t>
            </w:r>
            <w:r w:rsidR="00912C55" w:rsidRPr="00912C55">
              <w:rPr>
                <w:sz w:val="18"/>
                <w:szCs w:val="16"/>
                <w:vertAlign w:val="superscript"/>
              </w:rPr>
              <w:t xml:space="preserve"> </w:t>
            </w:r>
            <w:r w:rsidRPr="003E3038">
              <w:rPr>
                <w:sz w:val="16"/>
                <w:szCs w:val="16"/>
              </w:rPr>
              <w:t>131</w:t>
            </w:r>
          </w:p>
        </w:tc>
        <w:tc>
          <w:tcPr>
            <w:tcW w:w="38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22</w:t>
            </w:r>
            <w:r w:rsidR="00912C55" w:rsidRPr="00912C55">
              <w:rPr>
                <w:sz w:val="18"/>
                <w:szCs w:val="16"/>
                <w:vertAlign w:val="superscript"/>
              </w:rPr>
              <w:t xml:space="preserve"> </w:t>
            </w:r>
            <w:r w:rsidRPr="003E3038">
              <w:rPr>
                <w:sz w:val="16"/>
                <w:szCs w:val="16"/>
              </w:rPr>
              <w:t>649</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16</w:t>
            </w:r>
            <w:r w:rsidR="00912C55" w:rsidRPr="00912C55">
              <w:rPr>
                <w:sz w:val="18"/>
                <w:szCs w:val="16"/>
                <w:vertAlign w:val="superscript"/>
              </w:rPr>
              <w:t xml:space="preserve"> </w:t>
            </w:r>
            <w:r w:rsidRPr="003E3038">
              <w:rPr>
                <w:sz w:val="16"/>
                <w:szCs w:val="16"/>
              </w:rPr>
              <w:t>062</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15</w:t>
            </w:r>
            <w:r w:rsidR="00912C55" w:rsidRPr="00912C55">
              <w:rPr>
                <w:sz w:val="18"/>
                <w:szCs w:val="16"/>
                <w:vertAlign w:val="superscript"/>
              </w:rPr>
              <w:t xml:space="preserve"> </w:t>
            </w:r>
            <w:r w:rsidRPr="003E3038">
              <w:rPr>
                <w:sz w:val="16"/>
                <w:szCs w:val="16"/>
              </w:rPr>
              <w:t>582</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31</w:t>
            </w:r>
            <w:r w:rsidR="00912C55" w:rsidRPr="00912C55">
              <w:rPr>
                <w:sz w:val="18"/>
                <w:szCs w:val="16"/>
                <w:vertAlign w:val="superscript"/>
              </w:rPr>
              <w:t xml:space="preserve"> </w:t>
            </w:r>
            <w:r w:rsidRPr="003E3038">
              <w:rPr>
                <w:sz w:val="16"/>
                <w:szCs w:val="16"/>
              </w:rPr>
              <w:t>644</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24</w:t>
            </w:r>
            <w:r w:rsidR="00912C55" w:rsidRPr="00912C55">
              <w:rPr>
                <w:sz w:val="18"/>
                <w:szCs w:val="16"/>
                <w:vertAlign w:val="superscript"/>
              </w:rPr>
              <w:t xml:space="preserve"> </w:t>
            </w:r>
            <w:r w:rsidRPr="003E3038">
              <w:rPr>
                <w:sz w:val="16"/>
                <w:szCs w:val="16"/>
              </w:rPr>
              <w:t>120</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23</w:t>
            </w:r>
            <w:r w:rsidR="00912C55" w:rsidRPr="00912C55">
              <w:rPr>
                <w:sz w:val="18"/>
                <w:szCs w:val="16"/>
                <w:vertAlign w:val="superscript"/>
              </w:rPr>
              <w:t xml:space="preserve"> </w:t>
            </w:r>
            <w:r w:rsidRPr="003E3038">
              <w:rPr>
                <w:sz w:val="16"/>
                <w:szCs w:val="16"/>
              </w:rPr>
              <w:t>055</w:t>
            </w:r>
          </w:p>
        </w:tc>
        <w:tc>
          <w:tcPr>
            <w:tcW w:w="385"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47</w:t>
            </w:r>
            <w:r w:rsidR="00912C55" w:rsidRPr="00912C55">
              <w:rPr>
                <w:sz w:val="18"/>
                <w:szCs w:val="16"/>
                <w:vertAlign w:val="superscript"/>
              </w:rPr>
              <w:t xml:space="preserve"> </w:t>
            </w:r>
            <w:r w:rsidRPr="003E3038">
              <w:rPr>
                <w:sz w:val="16"/>
                <w:szCs w:val="16"/>
              </w:rPr>
              <w:t>175</w:t>
            </w:r>
          </w:p>
        </w:tc>
      </w:tr>
      <w:tr w:rsidR="003E3038" w:rsidRPr="003E3038" w:rsidTr="00912C55">
        <w:trPr>
          <w:trHeight w:val="240"/>
        </w:trPr>
        <w:tc>
          <w:tcPr>
            <w:tcW w:w="528" w:type="pct"/>
            <w:shd w:val="clear" w:color="auto" w:fill="auto"/>
            <w:noWrap/>
            <w:hideMark/>
          </w:tcPr>
          <w:p w:rsidR="003E3038" w:rsidRPr="003E3038" w:rsidRDefault="000551C4" w:rsidP="003E3038">
            <w:pPr>
              <w:pStyle w:val="SingleTxtG"/>
              <w:spacing w:before="40" w:after="40" w:line="220" w:lineRule="exact"/>
              <w:ind w:left="57" w:right="0"/>
              <w:jc w:val="left"/>
              <w:rPr>
                <w:sz w:val="16"/>
                <w:szCs w:val="16"/>
              </w:rPr>
            </w:pPr>
            <w:r>
              <w:rPr>
                <w:sz w:val="16"/>
                <w:szCs w:val="16"/>
              </w:rPr>
              <w:t xml:space="preserve">De </w:t>
            </w:r>
            <w:r w:rsidR="003E3038">
              <w:rPr>
                <w:sz w:val="16"/>
                <w:szCs w:val="16"/>
              </w:rPr>
              <w:t>70 a</w:t>
            </w:r>
            <w:r w:rsidR="003E3038" w:rsidRPr="003E3038">
              <w:rPr>
                <w:sz w:val="16"/>
                <w:szCs w:val="16"/>
              </w:rPr>
              <w:t xml:space="preserve"> 74</w:t>
            </w:r>
          </w:p>
        </w:tc>
        <w:tc>
          <w:tcPr>
            <w:tcW w:w="35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7</w:t>
            </w:r>
            <w:r w:rsidR="00912C55" w:rsidRPr="00912C55">
              <w:rPr>
                <w:sz w:val="18"/>
                <w:szCs w:val="16"/>
                <w:vertAlign w:val="superscript"/>
              </w:rPr>
              <w:t xml:space="preserve"> </w:t>
            </w:r>
            <w:r w:rsidRPr="003E3038">
              <w:rPr>
                <w:sz w:val="16"/>
                <w:szCs w:val="16"/>
              </w:rPr>
              <w:t>708</w:t>
            </w:r>
          </w:p>
        </w:tc>
        <w:tc>
          <w:tcPr>
            <w:tcW w:w="323"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10</w:t>
            </w:r>
            <w:r w:rsidR="00912C55" w:rsidRPr="00912C55">
              <w:rPr>
                <w:sz w:val="18"/>
                <w:szCs w:val="16"/>
                <w:vertAlign w:val="superscript"/>
              </w:rPr>
              <w:t xml:space="preserve"> </w:t>
            </w:r>
            <w:r w:rsidRPr="003E3038">
              <w:rPr>
                <w:sz w:val="16"/>
                <w:szCs w:val="16"/>
              </w:rPr>
              <w:t>706</w:t>
            </w:r>
          </w:p>
        </w:tc>
        <w:tc>
          <w:tcPr>
            <w:tcW w:w="386"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18</w:t>
            </w:r>
            <w:r w:rsidR="00912C55" w:rsidRPr="00912C55">
              <w:rPr>
                <w:sz w:val="18"/>
                <w:szCs w:val="16"/>
                <w:vertAlign w:val="superscript"/>
              </w:rPr>
              <w:t xml:space="preserve"> </w:t>
            </w:r>
            <w:r w:rsidRPr="003E3038">
              <w:rPr>
                <w:sz w:val="16"/>
                <w:szCs w:val="16"/>
              </w:rPr>
              <w:t>414</w:t>
            </w:r>
          </w:p>
        </w:tc>
        <w:tc>
          <w:tcPr>
            <w:tcW w:w="35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10</w:t>
            </w:r>
            <w:r w:rsidR="00912C55" w:rsidRPr="00912C55">
              <w:rPr>
                <w:sz w:val="18"/>
                <w:szCs w:val="16"/>
                <w:vertAlign w:val="superscript"/>
              </w:rPr>
              <w:t xml:space="preserve"> </w:t>
            </w:r>
            <w:r w:rsidRPr="003E3038">
              <w:rPr>
                <w:sz w:val="16"/>
                <w:szCs w:val="16"/>
              </w:rPr>
              <w:t>812</w:t>
            </w:r>
          </w:p>
        </w:tc>
        <w:tc>
          <w:tcPr>
            <w:tcW w:w="343"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12</w:t>
            </w:r>
            <w:r w:rsidR="00912C55" w:rsidRPr="00912C55">
              <w:rPr>
                <w:sz w:val="18"/>
                <w:szCs w:val="16"/>
                <w:vertAlign w:val="superscript"/>
              </w:rPr>
              <w:t xml:space="preserve"> </w:t>
            </w:r>
            <w:r w:rsidRPr="003E3038">
              <w:rPr>
                <w:sz w:val="16"/>
                <w:szCs w:val="16"/>
              </w:rPr>
              <w:t>968</w:t>
            </w:r>
          </w:p>
        </w:tc>
        <w:tc>
          <w:tcPr>
            <w:tcW w:w="386" w:type="pct"/>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23</w:t>
            </w:r>
            <w:r w:rsidR="00912C55" w:rsidRPr="00912C55">
              <w:rPr>
                <w:sz w:val="18"/>
                <w:szCs w:val="16"/>
                <w:vertAlign w:val="superscript"/>
              </w:rPr>
              <w:t xml:space="preserve"> </w:t>
            </w:r>
            <w:r w:rsidRPr="003E3038">
              <w:rPr>
                <w:sz w:val="16"/>
                <w:szCs w:val="16"/>
              </w:rPr>
              <w:t>780</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13</w:t>
            </w:r>
            <w:r w:rsidR="00912C55" w:rsidRPr="00912C55">
              <w:rPr>
                <w:sz w:val="18"/>
                <w:szCs w:val="16"/>
                <w:vertAlign w:val="superscript"/>
              </w:rPr>
              <w:t xml:space="preserve"> </w:t>
            </w:r>
            <w:r w:rsidRPr="003E3038">
              <w:rPr>
                <w:sz w:val="16"/>
                <w:szCs w:val="16"/>
              </w:rPr>
              <w:t>773</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13</w:t>
            </w:r>
            <w:r w:rsidR="00912C55" w:rsidRPr="00912C55">
              <w:rPr>
                <w:sz w:val="18"/>
                <w:szCs w:val="16"/>
                <w:vertAlign w:val="superscript"/>
              </w:rPr>
              <w:t xml:space="preserve"> </w:t>
            </w:r>
            <w:r w:rsidRPr="003E3038">
              <w:rPr>
                <w:sz w:val="16"/>
                <w:szCs w:val="16"/>
              </w:rPr>
              <w:t>425</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27</w:t>
            </w:r>
            <w:r w:rsidR="00912C55" w:rsidRPr="00912C55">
              <w:rPr>
                <w:sz w:val="18"/>
                <w:szCs w:val="16"/>
                <w:vertAlign w:val="superscript"/>
              </w:rPr>
              <w:t xml:space="preserve"> </w:t>
            </w:r>
            <w:r w:rsidRPr="003E3038">
              <w:rPr>
                <w:sz w:val="16"/>
                <w:szCs w:val="16"/>
              </w:rPr>
              <w:t>198</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18</w:t>
            </w:r>
            <w:r w:rsidR="00912C55" w:rsidRPr="00912C55">
              <w:rPr>
                <w:sz w:val="18"/>
                <w:szCs w:val="16"/>
                <w:vertAlign w:val="superscript"/>
              </w:rPr>
              <w:t xml:space="preserve"> </w:t>
            </w:r>
            <w:r w:rsidRPr="003E3038">
              <w:rPr>
                <w:sz w:val="16"/>
                <w:szCs w:val="16"/>
              </w:rPr>
              <w:t>167</w:t>
            </w:r>
          </w:p>
        </w:tc>
        <w:tc>
          <w:tcPr>
            <w:tcW w:w="387"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17</w:t>
            </w:r>
            <w:r w:rsidR="00912C55" w:rsidRPr="00912C55">
              <w:rPr>
                <w:sz w:val="18"/>
                <w:szCs w:val="16"/>
                <w:vertAlign w:val="superscript"/>
              </w:rPr>
              <w:t xml:space="preserve"> </w:t>
            </w:r>
            <w:r w:rsidRPr="003E3038">
              <w:rPr>
                <w:sz w:val="16"/>
                <w:szCs w:val="16"/>
              </w:rPr>
              <w:t>129</w:t>
            </w:r>
          </w:p>
        </w:tc>
        <w:tc>
          <w:tcPr>
            <w:tcW w:w="385" w:type="pct"/>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35</w:t>
            </w:r>
            <w:r w:rsidR="00912C55" w:rsidRPr="00912C55">
              <w:rPr>
                <w:sz w:val="18"/>
                <w:szCs w:val="16"/>
                <w:vertAlign w:val="superscript"/>
              </w:rPr>
              <w:t xml:space="preserve"> </w:t>
            </w:r>
            <w:r w:rsidRPr="003E3038">
              <w:rPr>
                <w:sz w:val="16"/>
                <w:szCs w:val="16"/>
              </w:rPr>
              <w:t>296</w:t>
            </w:r>
          </w:p>
        </w:tc>
      </w:tr>
      <w:tr w:rsidR="003E3038" w:rsidRPr="003E3038" w:rsidTr="00912C55">
        <w:trPr>
          <w:trHeight w:val="240"/>
        </w:trPr>
        <w:tc>
          <w:tcPr>
            <w:tcW w:w="528" w:type="pct"/>
            <w:tcBorders>
              <w:bottom w:val="single" w:sz="4" w:space="0" w:color="auto"/>
            </w:tcBorders>
            <w:shd w:val="clear" w:color="auto" w:fill="auto"/>
            <w:noWrap/>
            <w:hideMark/>
          </w:tcPr>
          <w:p w:rsidR="003E3038" w:rsidRPr="003E3038" w:rsidRDefault="000551C4" w:rsidP="003E3038">
            <w:pPr>
              <w:pStyle w:val="SingleTxtG"/>
              <w:spacing w:before="40" w:after="40" w:line="220" w:lineRule="exact"/>
              <w:ind w:left="57" w:right="0"/>
              <w:jc w:val="left"/>
              <w:rPr>
                <w:sz w:val="16"/>
                <w:szCs w:val="16"/>
              </w:rPr>
            </w:pPr>
            <w:r>
              <w:rPr>
                <w:sz w:val="16"/>
                <w:szCs w:val="16"/>
              </w:rPr>
              <w:t>De</w:t>
            </w:r>
            <w:r w:rsidRPr="003E3038">
              <w:rPr>
                <w:sz w:val="16"/>
                <w:szCs w:val="16"/>
              </w:rPr>
              <w:t xml:space="preserve"> </w:t>
            </w:r>
            <w:r w:rsidR="003E3038" w:rsidRPr="003E3038">
              <w:rPr>
                <w:sz w:val="16"/>
                <w:szCs w:val="16"/>
              </w:rPr>
              <w:t>75 o más</w:t>
            </w:r>
          </w:p>
        </w:tc>
        <w:tc>
          <w:tcPr>
            <w:tcW w:w="356" w:type="pct"/>
            <w:tcBorders>
              <w:bottom w:val="single" w:sz="4" w:space="0" w:color="auto"/>
            </w:tcBorders>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6</w:t>
            </w:r>
            <w:r w:rsidR="00912C55" w:rsidRPr="00912C55">
              <w:rPr>
                <w:sz w:val="18"/>
                <w:szCs w:val="16"/>
                <w:vertAlign w:val="superscript"/>
              </w:rPr>
              <w:t xml:space="preserve"> </w:t>
            </w:r>
            <w:r w:rsidRPr="003E3038">
              <w:rPr>
                <w:sz w:val="16"/>
                <w:szCs w:val="16"/>
              </w:rPr>
              <w:t>441</w:t>
            </w:r>
          </w:p>
        </w:tc>
        <w:tc>
          <w:tcPr>
            <w:tcW w:w="323" w:type="pct"/>
            <w:tcBorders>
              <w:bottom w:val="single" w:sz="4" w:space="0" w:color="auto"/>
            </w:tcBorders>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11</w:t>
            </w:r>
            <w:r w:rsidR="00912C55" w:rsidRPr="00912C55">
              <w:rPr>
                <w:sz w:val="18"/>
                <w:szCs w:val="16"/>
                <w:vertAlign w:val="superscript"/>
              </w:rPr>
              <w:t xml:space="preserve"> </w:t>
            </w:r>
            <w:r w:rsidRPr="003E3038">
              <w:rPr>
                <w:sz w:val="16"/>
                <w:szCs w:val="16"/>
              </w:rPr>
              <w:t>382</w:t>
            </w:r>
          </w:p>
        </w:tc>
        <w:tc>
          <w:tcPr>
            <w:tcW w:w="386" w:type="pct"/>
            <w:tcBorders>
              <w:bottom w:val="single" w:sz="4" w:space="0" w:color="auto"/>
            </w:tcBorders>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17</w:t>
            </w:r>
            <w:r w:rsidR="00912C55" w:rsidRPr="00912C55">
              <w:rPr>
                <w:sz w:val="18"/>
                <w:szCs w:val="16"/>
                <w:vertAlign w:val="superscript"/>
              </w:rPr>
              <w:t xml:space="preserve"> </w:t>
            </w:r>
            <w:r w:rsidRPr="003E3038">
              <w:rPr>
                <w:sz w:val="16"/>
                <w:szCs w:val="16"/>
              </w:rPr>
              <w:t>823</w:t>
            </w:r>
          </w:p>
        </w:tc>
        <w:tc>
          <w:tcPr>
            <w:tcW w:w="356" w:type="pct"/>
            <w:tcBorders>
              <w:bottom w:val="single" w:sz="4" w:space="0" w:color="auto"/>
            </w:tcBorders>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11</w:t>
            </w:r>
            <w:r w:rsidR="00912C55" w:rsidRPr="00912C55">
              <w:rPr>
                <w:sz w:val="18"/>
                <w:szCs w:val="16"/>
                <w:vertAlign w:val="superscript"/>
              </w:rPr>
              <w:t xml:space="preserve"> </w:t>
            </w:r>
            <w:r w:rsidRPr="003E3038">
              <w:rPr>
                <w:sz w:val="16"/>
                <w:szCs w:val="16"/>
              </w:rPr>
              <w:t>901</w:t>
            </w:r>
          </w:p>
        </w:tc>
        <w:tc>
          <w:tcPr>
            <w:tcW w:w="343" w:type="pct"/>
            <w:tcBorders>
              <w:bottom w:val="single" w:sz="4" w:space="0" w:color="auto"/>
            </w:tcBorders>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17</w:t>
            </w:r>
            <w:r w:rsidR="00912C55" w:rsidRPr="00912C55">
              <w:rPr>
                <w:sz w:val="18"/>
                <w:szCs w:val="16"/>
                <w:vertAlign w:val="superscript"/>
              </w:rPr>
              <w:t xml:space="preserve"> </w:t>
            </w:r>
            <w:r w:rsidRPr="003E3038">
              <w:rPr>
                <w:sz w:val="16"/>
                <w:szCs w:val="16"/>
              </w:rPr>
              <w:t>446</w:t>
            </w:r>
          </w:p>
        </w:tc>
        <w:tc>
          <w:tcPr>
            <w:tcW w:w="386" w:type="pct"/>
            <w:tcBorders>
              <w:bottom w:val="single" w:sz="4" w:space="0" w:color="auto"/>
            </w:tcBorders>
            <w:shd w:val="clear" w:color="auto" w:fill="auto"/>
            <w:noWrap/>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29</w:t>
            </w:r>
            <w:r w:rsidR="00912C55" w:rsidRPr="00912C55">
              <w:rPr>
                <w:sz w:val="18"/>
                <w:szCs w:val="16"/>
                <w:vertAlign w:val="superscript"/>
              </w:rPr>
              <w:t xml:space="preserve"> </w:t>
            </w:r>
            <w:r w:rsidRPr="003E3038">
              <w:rPr>
                <w:sz w:val="16"/>
                <w:szCs w:val="16"/>
              </w:rPr>
              <w:t>347</w:t>
            </w:r>
          </w:p>
        </w:tc>
        <w:tc>
          <w:tcPr>
            <w:tcW w:w="387" w:type="pct"/>
            <w:tcBorders>
              <w:bottom w:val="single" w:sz="4" w:space="0" w:color="auto"/>
            </w:tcBorders>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13</w:t>
            </w:r>
            <w:r w:rsidR="00912C55" w:rsidRPr="00912C55">
              <w:rPr>
                <w:sz w:val="18"/>
                <w:szCs w:val="16"/>
                <w:vertAlign w:val="superscript"/>
              </w:rPr>
              <w:t xml:space="preserve"> </w:t>
            </w:r>
            <w:r w:rsidRPr="003E3038">
              <w:rPr>
                <w:sz w:val="16"/>
                <w:szCs w:val="16"/>
              </w:rPr>
              <w:t>858</w:t>
            </w:r>
          </w:p>
        </w:tc>
        <w:tc>
          <w:tcPr>
            <w:tcW w:w="387" w:type="pct"/>
            <w:tcBorders>
              <w:bottom w:val="single" w:sz="4" w:space="0" w:color="auto"/>
            </w:tcBorders>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16</w:t>
            </w:r>
            <w:r w:rsidR="00912C55" w:rsidRPr="00912C55">
              <w:rPr>
                <w:sz w:val="18"/>
                <w:szCs w:val="16"/>
                <w:vertAlign w:val="superscript"/>
              </w:rPr>
              <w:t xml:space="preserve"> </w:t>
            </w:r>
            <w:r w:rsidRPr="003E3038">
              <w:rPr>
                <w:sz w:val="16"/>
                <w:szCs w:val="16"/>
              </w:rPr>
              <w:t>593</w:t>
            </w:r>
          </w:p>
        </w:tc>
        <w:tc>
          <w:tcPr>
            <w:tcW w:w="387" w:type="pct"/>
            <w:tcBorders>
              <w:bottom w:val="single" w:sz="4" w:space="0" w:color="auto"/>
            </w:tcBorders>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30</w:t>
            </w:r>
            <w:r w:rsidR="00912C55" w:rsidRPr="00912C55">
              <w:rPr>
                <w:sz w:val="18"/>
                <w:szCs w:val="16"/>
                <w:vertAlign w:val="superscript"/>
              </w:rPr>
              <w:t xml:space="preserve"> </w:t>
            </w:r>
            <w:r w:rsidRPr="003E3038">
              <w:rPr>
                <w:sz w:val="16"/>
                <w:szCs w:val="16"/>
              </w:rPr>
              <w:t>451</w:t>
            </w:r>
          </w:p>
        </w:tc>
        <w:tc>
          <w:tcPr>
            <w:tcW w:w="387" w:type="pct"/>
            <w:tcBorders>
              <w:bottom w:val="single" w:sz="4" w:space="0" w:color="auto"/>
            </w:tcBorders>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26</w:t>
            </w:r>
            <w:r w:rsidR="00912C55" w:rsidRPr="00912C55">
              <w:rPr>
                <w:sz w:val="18"/>
                <w:szCs w:val="16"/>
                <w:vertAlign w:val="superscript"/>
              </w:rPr>
              <w:t xml:space="preserve"> </w:t>
            </w:r>
            <w:r w:rsidRPr="003E3038">
              <w:rPr>
                <w:sz w:val="16"/>
                <w:szCs w:val="16"/>
              </w:rPr>
              <w:t>998</w:t>
            </w:r>
          </w:p>
        </w:tc>
        <w:tc>
          <w:tcPr>
            <w:tcW w:w="387" w:type="pct"/>
            <w:tcBorders>
              <w:bottom w:val="single" w:sz="4" w:space="0" w:color="auto"/>
            </w:tcBorders>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27</w:t>
            </w:r>
            <w:r w:rsidR="00912C55" w:rsidRPr="00912C55">
              <w:rPr>
                <w:sz w:val="18"/>
                <w:szCs w:val="16"/>
                <w:vertAlign w:val="superscript"/>
              </w:rPr>
              <w:t xml:space="preserve"> </w:t>
            </w:r>
            <w:r w:rsidRPr="003E3038">
              <w:rPr>
                <w:sz w:val="16"/>
                <w:szCs w:val="16"/>
              </w:rPr>
              <w:t>443</w:t>
            </w:r>
          </w:p>
        </w:tc>
        <w:tc>
          <w:tcPr>
            <w:tcW w:w="385" w:type="pct"/>
            <w:tcBorders>
              <w:bottom w:val="single" w:sz="4" w:space="0" w:color="auto"/>
            </w:tcBorders>
            <w:shd w:val="clear" w:color="auto" w:fill="auto"/>
            <w:vAlign w:val="bottom"/>
            <w:hideMark/>
          </w:tcPr>
          <w:p w:rsidR="003E3038" w:rsidRPr="003E3038" w:rsidRDefault="003E3038" w:rsidP="003E3038">
            <w:pPr>
              <w:pStyle w:val="SingleTxtG"/>
              <w:spacing w:before="40" w:after="40" w:line="220" w:lineRule="exact"/>
              <w:ind w:left="57" w:right="0"/>
              <w:jc w:val="right"/>
              <w:rPr>
                <w:sz w:val="16"/>
                <w:szCs w:val="16"/>
              </w:rPr>
            </w:pPr>
            <w:r w:rsidRPr="003E3038">
              <w:rPr>
                <w:sz w:val="16"/>
                <w:szCs w:val="16"/>
              </w:rPr>
              <w:t>54</w:t>
            </w:r>
            <w:r w:rsidR="00912C55" w:rsidRPr="00912C55">
              <w:rPr>
                <w:sz w:val="18"/>
                <w:szCs w:val="16"/>
                <w:vertAlign w:val="superscript"/>
              </w:rPr>
              <w:t xml:space="preserve"> </w:t>
            </w:r>
            <w:r w:rsidRPr="003E3038">
              <w:rPr>
                <w:sz w:val="16"/>
                <w:szCs w:val="16"/>
              </w:rPr>
              <w:t>441</w:t>
            </w:r>
          </w:p>
        </w:tc>
      </w:tr>
      <w:tr w:rsidR="003E3038" w:rsidRPr="003E3038" w:rsidTr="00912C55">
        <w:trPr>
          <w:trHeight w:val="240"/>
        </w:trPr>
        <w:tc>
          <w:tcPr>
            <w:tcW w:w="528" w:type="pct"/>
            <w:tcBorders>
              <w:top w:val="single" w:sz="4" w:space="0" w:color="auto"/>
              <w:bottom w:val="single" w:sz="12" w:space="0" w:color="auto"/>
            </w:tcBorders>
            <w:shd w:val="clear" w:color="auto" w:fill="auto"/>
            <w:noWrap/>
            <w:hideMark/>
          </w:tcPr>
          <w:p w:rsidR="003E3038" w:rsidRPr="003E3038" w:rsidRDefault="003E3038" w:rsidP="003E3038">
            <w:pPr>
              <w:pStyle w:val="SingleTxtG"/>
              <w:spacing w:before="80" w:after="80" w:line="220" w:lineRule="exact"/>
              <w:ind w:left="284" w:right="0"/>
              <w:jc w:val="left"/>
              <w:rPr>
                <w:b/>
                <w:bCs/>
                <w:sz w:val="16"/>
                <w:szCs w:val="16"/>
              </w:rPr>
            </w:pPr>
            <w:r w:rsidRPr="003E3038">
              <w:rPr>
                <w:b/>
                <w:sz w:val="16"/>
                <w:szCs w:val="16"/>
              </w:rPr>
              <w:t>Total</w:t>
            </w:r>
          </w:p>
        </w:tc>
        <w:tc>
          <w:tcPr>
            <w:tcW w:w="356" w:type="pct"/>
            <w:tcBorders>
              <w:top w:val="single" w:sz="4" w:space="0" w:color="auto"/>
              <w:bottom w:val="single" w:sz="12" w:space="0" w:color="auto"/>
            </w:tcBorders>
            <w:shd w:val="clear" w:color="auto" w:fill="auto"/>
            <w:vAlign w:val="bottom"/>
            <w:hideMark/>
          </w:tcPr>
          <w:p w:rsidR="003E3038" w:rsidRPr="003E3038" w:rsidRDefault="003E3038" w:rsidP="003E3038">
            <w:pPr>
              <w:pStyle w:val="SingleTxtG"/>
              <w:spacing w:before="80" w:after="80" w:line="220" w:lineRule="exact"/>
              <w:ind w:left="57" w:right="0"/>
              <w:jc w:val="right"/>
              <w:rPr>
                <w:b/>
                <w:bCs/>
                <w:sz w:val="16"/>
                <w:szCs w:val="16"/>
              </w:rPr>
            </w:pPr>
            <w:r w:rsidRPr="003E3038">
              <w:rPr>
                <w:b/>
                <w:sz w:val="16"/>
                <w:szCs w:val="16"/>
              </w:rPr>
              <w:t>658</w:t>
            </w:r>
            <w:r w:rsidR="00912C55" w:rsidRPr="00912C55">
              <w:rPr>
                <w:b/>
                <w:sz w:val="18"/>
                <w:szCs w:val="16"/>
                <w:vertAlign w:val="superscript"/>
              </w:rPr>
              <w:t xml:space="preserve"> </w:t>
            </w:r>
            <w:r w:rsidRPr="003E3038">
              <w:rPr>
                <w:b/>
                <w:sz w:val="16"/>
                <w:szCs w:val="16"/>
              </w:rPr>
              <w:t>361</w:t>
            </w:r>
          </w:p>
        </w:tc>
        <w:tc>
          <w:tcPr>
            <w:tcW w:w="323" w:type="pct"/>
            <w:tcBorders>
              <w:top w:val="single" w:sz="4" w:space="0" w:color="auto"/>
              <w:bottom w:val="single" w:sz="12" w:space="0" w:color="auto"/>
            </w:tcBorders>
            <w:shd w:val="clear" w:color="auto" w:fill="auto"/>
            <w:vAlign w:val="bottom"/>
            <w:hideMark/>
          </w:tcPr>
          <w:p w:rsidR="003E3038" w:rsidRPr="003E3038" w:rsidRDefault="003E3038" w:rsidP="003E3038">
            <w:pPr>
              <w:pStyle w:val="SingleTxtG"/>
              <w:spacing w:before="80" w:after="80" w:line="220" w:lineRule="exact"/>
              <w:ind w:left="57" w:right="0"/>
              <w:jc w:val="right"/>
              <w:rPr>
                <w:b/>
                <w:bCs/>
                <w:sz w:val="16"/>
                <w:szCs w:val="16"/>
              </w:rPr>
            </w:pPr>
            <w:r w:rsidRPr="003E3038">
              <w:rPr>
                <w:b/>
                <w:sz w:val="16"/>
                <w:szCs w:val="16"/>
              </w:rPr>
              <w:t>680</w:t>
            </w:r>
            <w:r w:rsidR="00912C55" w:rsidRPr="00912C55">
              <w:rPr>
                <w:b/>
                <w:sz w:val="18"/>
                <w:szCs w:val="16"/>
                <w:vertAlign w:val="superscript"/>
              </w:rPr>
              <w:t xml:space="preserve"> </w:t>
            </w:r>
            <w:r w:rsidRPr="003E3038">
              <w:rPr>
                <w:b/>
                <w:sz w:val="16"/>
                <w:szCs w:val="16"/>
              </w:rPr>
              <w:t>469</w:t>
            </w:r>
          </w:p>
        </w:tc>
        <w:tc>
          <w:tcPr>
            <w:tcW w:w="386" w:type="pct"/>
            <w:tcBorders>
              <w:top w:val="single" w:sz="4" w:space="0" w:color="auto"/>
              <w:bottom w:val="single" w:sz="12" w:space="0" w:color="auto"/>
            </w:tcBorders>
            <w:shd w:val="clear" w:color="auto" w:fill="auto"/>
            <w:vAlign w:val="bottom"/>
            <w:hideMark/>
          </w:tcPr>
          <w:p w:rsidR="003E3038" w:rsidRPr="003E3038" w:rsidRDefault="003E3038" w:rsidP="003E3038">
            <w:pPr>
              <w:pStyle w:val="SingleTxtG"/>
              <w:spacing w:before="80" w:after="80" w:line="220" w:lineRule="exact"/>
              <w:ind w:left="57" w:right="0"/>
              <w:jc w:val="right"/>
              <w:rPr>
                <w:b/>
                <w:bCs/>
                <w:sz w:val="16"/>
                <w:szCs w:val="16"/>
              </w:rPr>
            </w:pPr>
            <w:r w:rsidRPr="003E3038">
              <w:rPr>
                <w:b/>
                <w:sz w:val="16"/>
                <w:szCs w:val="16"/>
              </w:rPr>
              <w:t>1</w:t>
            </w:r>
            <w:r w:rsidR="00912C55" w:rsidRPr="00912C55">
              <w:rPr>
                <w:b/>
                <w:sz w:val="18"/>
                <w:szCs w:val="16"/>
                <w:vertAlign w:val="superscript"/>
              </w:rPr>
              <w:t xml:space="preserve"> </w:t>
            </w:r>
            <w:r w:rsidRPr="003E3038">
              <w:rPr>
                <w:b/>
                <w:sz w:val="16"/>
                <w:szCs w:val="16"/>
              </w:rPr>
              <w:t>338</w:t>
            </w:r>
            <w:r w:rsidR="00912C55" w:rsidRPr="00912C55">
              <w:rPr>
                <w:b/>
                <w:sz w:val="18"/>
                <w:szCs w:val="16"/>
                <w:vertAlign w:val="superscript"/>
              </w:rPr>
              <w:t xml:space="preserve"> </w:t>
            </w:r>
            <w:r w:rsidRPr="003E3038">
              <w:rPr>
                <w:b/>
                <w:sz w:val="16"/>
                <w:szCs w:val="16"/>
              </w:rPr>
              <w:t>830</w:t>
            </w:r>
          </w:p>
        </w:tc>
        <w:tc>
          <w:tcPr>
            <w:tcW w:w="356" w:type="pct"/>
            <w:tcBorders>
              <w:top w:val="single" w:sz="4" w:space="0" w:color="auto"/>
              <w:bottom w:val="single" w:sz="12" w:space="0" w:color="auto"/>
            </w:tcBorders>
            <w:shd w:val="clear" w:color="auto" w:fill="auto"/>
            <w:noWrap/>
            <w:vAlign w:val="bottom"/>
            <w:hideMark/>
          </w:tcPr>
          <w:p w:rsidR="003E3038" w:rsidRPr="003E3038" w:rsidRDefault="003E3038" w:rsidP="003E3038">
            <w:pPr>
              <w:pStyle w:val="SingleTxtG"/>
              <w:spacing w:before="80" w:after="80" w:line="220" w:lineRule="exact"/>
              <w:ind w:left="57" w:right="0"/>
              <w:jc w:val="right"/>
              <w:rPr>
                <w:b/>
                <w:bCs/>
                <w:sz w:val="16"/>
                <w:szCs w:val="16"/>
              </w:rPr>
            </w:pPr>
            <w:r w:rsidRPr="003E3038">
              <w:rPr>
                <w:b/>
                <w:sz w:val="16"/>
                <w:szCs w:val="16"/>
              </w:rPr>
              <w:t>923</w:t>
            </w:r>
            <w:r w:rsidR="00912C55" w:rsidRPr="00912C55">
              <w:rPr>
                <w:b/>
                <w:sz w:val="18"/>
                <w:szCs w:val="16"/>
                <w:vertAlign w:val="superscript"/>
              </w:rPr>
              <w:t xml:space="preserve"> </w:t>
            </w:r>
            <w:r w:rsidRPr="003E3038">
              <w:rPr>
                <w:b/>
                <w:sz w:val="16"/>
                <w:szCs w:val="16"/>
              </w:rPr>
              <w:t>175</w:t>
            </w:r>
          </w:p>
        </w:tc>
        <w:tc>
          <w:tcPr>
            <w:tcW w:w="343" w:type="pct"/>
            <w:tcBorders>
              <w:top w:val="single" w:sz="4" w:space="0" w:color="auto"/>
              <w:bottom w:val="single" w:sz="12" w:space="0" w:color="auto"/>
            </w:tcBorders>
            <w:shd w:val="clear" w:color="auto" w:fill="auto"/>
            <w:noWrap/>
            <w:vAlign w:val="bottom"/>
            <w:hideMark/>
          </w:tcPr>
          <w:p w:rsidR="003E3038" w:rsidRPr="003E3038" w:rsidRDefault="003E3038" w:rsidP="003E3038">
            <w:pPr>
              <w:pStyle w:val="SingleTxtG"/>
              <w:spacing w:before="80" w:after="80" w:line="220" w:lineRule="exact"/>
              <w:ind w:left="57" w:right="0"/>
              <w:jc w:val="right"/>
              <w:rPr>
                <w:b/>
                <w:bCs/>
                <w:sz w:val="16"/>
                <w:szCs w:val="16"/>
              </w:rPr>
            </w:pPr>
            <w:r w:rsidRPr="003E3038">
              <w:rPr>
                <w:b/>
                <w:sz w:val="16"/>
                <w:szCs w:val="16"/>
              </w:rPr>
              <w:t>941</w:t>
            </w:r>
            <w:r w:rsidR="00912C55" w:rsidRPr="00912C55">
              <w:rPr>
                <w:b/>
                <w:sz w:val="18"/>
                <w:szCs w:val="16"/>
                <w:vertAlign w:val="superscript"/>
              </w:rPr>
              <w:t xml:space="preserve"> </w:t>
            </w:r>
            <w:r w:rsidRPr="003E3038">
              <w:rPr>
                <w:b/>
                <w:sz w:val="16"/>
                <w:szCs w:val="16"/>
              </w:rPr>
              <w:t>061</w:t>
            </w:r>
          </w:p>
        </w:tc>
        <w:tc>
          <w:tcPr>
            <w:tcW w:w="386" w:type="pct"/>
            <w:tcBorders>
              <w:top w:val="single" w:sz="4" w:space="0" w:color="auto"/>
              <w:bottom w:val="single" w:sz="12" w:space="0" w:color="auto"/>
            </w:tcBorders>
            <w:shd w:val="clear" w:color="auto" w:fill="auto"/>
            <w:noWrap/>
            <w:vAlign w:val="bottom"/>
            <w:hideMark/>
          </w:tcPr>
          <w:p w:rsidR="003E3038" w:rsidRPr="003E3038" w:rsidRDefault="003E3038" w:rsidP="003E3038">
            <w:pPr>
              <w:pStyle w:val="SingleTxtG"/>
              <w:spacing w:before="80" w:after="80" w:line="220" w:lineRule="exact"/>
              <w:ind w:left="57" w:right="0"/>
              <w:jc w:val="right"/>
              <w:rPr>
                <w:b/>
                <w:bCs/>
                <w:sz w:val="16"/>
                <w:szCs w:val="16"/>
              </w:rPr>
            </w:pPr>
            <w:r w:rsidRPr="003E3038">
              <w:rPr>
                <w:b/>
                <w:sz w:val="16"/>
                <w:szCs w:val="16"/>
              </w:rPr>
              <w:t>1</w:t>
            </w:r>
            <w:r w:rsidR="00912C55" w:rsidRPr="00912C55">
              <w:rPr>
                <w:b/>
                <w:sz w:val="18"/>
                <w:szCs w:val="16"/>
                <w:vertAlign w:val="superscript"/>
              </w:rPr>
              <w:t xml:space="preserve"> </w:t>
            </w:r>
            <w:r w:rsidRPr="003E3038">
              <w:rPr>
                <w:b/>
                <w:sz w:val="16"/>
                <w:szCs w:val="16"/>
              </w:rPr>
              <w:t>864</w:t>
            </w:r>
            <w:r w:rsidR="00912C55" w:rsidRPr="00912C55">
              <w:rPr>
                <w:b/>
                <w:sz w:val="18"/>
                <w:szCs w:val="16"/>
                <w:vertAlign w:val="superscript"/>
              </w:rPr>
              <w:t xml:space="preserve"> </w:t>
            </w:r>
            <w:r w:rsidRPr="003E3038">
              <w:rPr>
                <w:b/>
                <w:sz w:val="16"/>
                <w:szCs w:val="16"/>
              </w:rPr>
              <w:t>236</w:t>
            </w:r>
          </w:p>
        </w:tc>
        <w:tc>
          <w:tcPr>
            <w:tcW w:w="387" w:type="pct"/>
            <w:tcBorders>
              <w:top w:val="single" w:sz="4" w:space="0" w:color="auto"/>
              <w:bottom w:val="single" w:sz="12" w:space="0" w:color="auto"/>
            </w:tcBorders>
            <w:shd w:val="clear" w:color="auto" w:fill="auto"/>
            <w:vAlign w:val="bottom"/>
            <w:hideMark/>
          </w:tcPr>
          <w:p w:rsidR="003E3038" w:rsidRPr="003E3038" w:rsidRDefault="003E3038" w:rsidP="003E3038">
            <w:pPr>
              <w:pStyle w:val="SingleTxtG"/>
              <w:spacing w:before="80" w:after="80" w:line="220" w:lineRule="exact"/>
              <w:ind w:left="57" w:right="0"/>
              <w:jc w:val="right"/>
              <w:rPr>
                <w:b/>
                <w:bCs/>
                <w:sz w:val="16"/>
                <w:szCs w:val="16"/>
              </w:rPr>
            </w:pPr>
            <w:r w:rsidRPr="003E3038">
              <w:rPr>
                <w:b/>
                <w:sz w:val="16"/>
                <w:szCs w:val="16"/>
              </w:rPr>
              <w:t>1</w:t>
            </w:r>
            <w:r w:rsidR="00912C55" w:rsidRPr="00912C55">
              <w:rPr>
                <w:b/>
                <w:sz w:val="18"/>
                <w:szCs w:val="16"/>
                <w:vertAlign w:val="superscript"/>
              </w:rPr>
              <w:t xml:space="preserve"> </w:t>
            </w:r>
            <w:r w:rsidRPr="003E3038">
              <w:rPr>
                <w:b/>
                <w:sz w:val="16"/>
                <w:szCs w:val="16"/>
              </w:rPr>
              <w:t>241</w:t>
            </w:r>
            <w:r w:rsidR="00912C55" w:rsidRPr="00912C55">
              <w:rPr>
                <w:b/>
                <w:sz w:val="18"/>
                <w:szCs w:val="16"/>
                <w:vertAlign w:val="superscript"/>
              </w:rPr>
              <w:t xml:space="preserve"> </w:t>
            </w:r>
            <w:r w:rsidRPr="003E3038">
              <w:rPr>
                <w:b/>
                <w:sz w:val="16"/>
                <w:szCs w:val="16"/>
              </w:rPr>
              <w:t>712</w:t>
            </w:r>
          </w:p>
        </w:tc>
        <w:tc>
          <w:tcPr>
            <w:tcW w:w="387" w:type="pct"/>
            <w:tcBorders>
              <w:top w:val="single" w:sz="4" w:space="0" w:color="auto"/>
              <w:bottom w:val="single" w:sz="12" w:space="0" w:color="auto"/>
            </w:tcBorders>
            <w:shd w:val="clear" w:color="auto" w:fill="auto"/>
            <w:vAlign w:val="bottom"/>
            <w:hideMark/>
          </w:tcPr>
          <w:p w:rsidR="003E3038" w:rsidRPr="003E3038" w:rsidRDefault="003E3038" w:rsidP="003E3038">
            <w:pPr>
              <w:pStyle w:val="SingleTxtG"/>
              <w:spacing w:before="80" w:after="80" w:line="220" w:lineRule="exact"/>
              <w:ind w:left="57" w:right="0"/>
              <w:jc w:val="right"/>
              <w:rPr>
                <w:b/>
                <w:bCs/>
                <w:sz w:val="16"/>
                <w:szCs w:val="16"/>
              </w:rPr>
            </w:pPr>
            <w:r w:rsidRPr="003E3038">
              <w:rPr>
                <w:b/>
                <w:sz w:val="16"/>
                <w:szCs w:val="16"/>
              </w:rPr>
              <w:t>1</w:t>
            </w:r>
            <w:r w:rsidR="00912C55" w:rsidRPr="00912C55">
              <w:rPr>
                <w:b/>
                <w:sz w:val="18"/>
                <w:szCs w:val="16"/>
                <w:vertAlign w:val="superscript"/>
              </w:rPr>
              <w:t xml:space="preserve"> </w:t>
            </w:r>
            <w:r w:rsidRPr="003E3038">
              <w:rPr>
                <w:b/>
                <w:sz w:val="16"/>
                <w:szCs w:val="16"/>
              </w:rPr>
              <w:t>266</w:t>
            </w:r>
            <w:r w:rsidR="00912C55" w:rsidRPr="00912C55">
              <w:rPr>
                <w:b/>
                <w:sz w:val="18"/>
                <w:szCs w:val="16"/>
                <w:vertAlign w:val="superscript"/>
              </w:rPr>
              <w:t xml:space="preserve"> </w:t>
            </w:r>
            <w:r w:rsidRPr="003E3038">
              <w:rPr>
                <w:b/>
                <w:sz w:val="16"/>
                <w:szCs w:val="16"/>
              </w:rPr>
              <w:t>447</w:t>
            </w:r>
          </w:p>
        </w:tc>
        <w:tc>
          <w:tcPr>
            <w:tcW w:w="387" w:type="pct"/>
            <w:tcBorders>
              <w:top w:val="single" w:sz="4" w:space="0" w:color="auto"/>
              <w:bottom w:val="single" w:sz="12" w:space="0" w:color="auto"/>
            </w:tcBorders>
            <w:shd w:val="clear" w:color="auto" w:fill="auto"/>
            <w:vAlign w:val="bottom"/>
            <w:hideMark/>
          </w:tcPr>
          <w:p w:rsidR="003E3038" w:rsidRPr="003E3038" w:rsidRDefault="003E3038" w:rsidP="003E3038">
            <w:pPr>
              <w:pStyle w:val="SingleTxtG"/>
              <w:spacing w:before="80" w:after="80" w:line="220" w:lineRule="exact"/>
              <w:ind w:left="57" w:right="0"/>
              <w:jc w:val="right"/>
              <w:rPr>
                <w:b/>
                <w:bCs/>
                <w:sz w:val="16"/>
                <w:szCs w:val="16"/>
              </w:rPr>
            </w:pPr>
            <w:r w:rsidRPr="003E3038">
              <w:rPr>
                <w:b/>
                <w:sz w:val="16"/>
                <w:szCs w:val="16"/>
              </w:rPr>
              <w:t>2</w:t>
            </w:r>
            <w:r w:rsidR="00912C55" w:rsidRPr="00912C55">
              <w:rPr>
                <w:b/>
                <w:sz w:val="18"/>
                <w:szCs w:val="16"/>
                <w:vertAlign w:val="superscript"/>
              </w:rPr>
              <w:t xml:space="preserve"> </w:t>
            </w:r>
            <w:r w:rsidRPr="003E3038">
              <w:rPr>
                <w:b/>
                <w:sz w:val="16"/>
                <w:szCs w:val="16"/>
              </w:rPr>
              <w:t>508</w:t>
            </w:r>
            <w:r w:rsidR="00912C55" w:rsidRPr="00912C55">
              <w:rPr>
                <w:b/>
                <w:sz w:val="18"/>
                <w:szCs w:val="16"/>
                <w:vertAlign w:val="superscript"/>
              </w:rPr>
              <w:t xml:space="preserve"> </w:t>
            </w:r>
            <w:r w:rsidRPr="003E3038">
              <w:rPr>
                <w:b/>
                <w:sz w:val="16"/>
                <w:szCs w:val="16"/>
              </w:rPr>
              <w:t>159</w:t>
            </w:r>
          </w:p>
        </w:tc>
        <w:tc>
          <w:tcPr>
            <w:tcW w:w="387" w:type="pct"/>
            <w:tcBorders>
              <w:top w:val="single" w:sz="4" w:space="0" w:color="auto"/>
              <w:bottom w:val="single" w:sz="12" w:space="0" w:color="auto"/>
            </w:tcBorders>
            <w:shd w:val="clear" w:color="auto" w:fill="auto"/>
            <w:vAlign w:val="bottom"/>
            <w:hideMark/>
          </w:tcPr>
          <w:p w:rsidR="003E3038" w:rsidRPr="003E3038" w:rsidRDefault="003E3038" w:rsidP="003E3038">
            <w:pPr>
              <w:pStyle w:val="SingleTxtG"/>
              <w:spacing w:before="80" w:after="80" w:line="220" w:lineRule="exact"/>
              <w:ind w:left="57" w:right="0"/>
              <w:jc w:val="right"/>
              <w:rPr>
                <w:b/>
                <w:bCs/>
                <w:sz w:val="16"/>
                <w:szCs w:val="16"/>
              </w:rPr>
            </w:pPr>
            <w:r w:rsidRPr="003E3038">
              <w:rPr>
                <w:b/>
                <w:sz w:val="16"/>
                <w:szCs w:val="16"/>
              </w:rPr>
              <w:t>1</w:t>
            </w:r>
            <w:r w:rsidR="00912C55" w:rsidRPr="00912C55">
              <w:rPr>
                <w:b/>
                <w:sz w:val="18"/>
                <w:szCs w:val="16"/>
                <w:vertAlign w:val="superscript"/>
              </w:rPr>
              <w:t xml:space="preserve"> </w:t>
            </w:r>
            <w:r w:rsidRPr="003E3038">
              <w:rPr>
                <w:b/>
                <w:sz w:val="16"/>
                <w:szCs w:val="16"/>
              </w:rPr>
              <w:t>743</w:t>
            </w:r>
            <w:r w:rsidR="00912C55" w:rsidRPr="00912C55">
              <w:rPr>
                <w:b/>
                <w:sz w:val="18"/>
                <w:szCs w:val="16"/>
                <w:vertAlign w:val="superscript"/>
              </w:rPr>
              <w:t xml:space="preserve"> </w:t>
            </w:r>
            <w:r w:rsidRPr="003E3038">
              <w:rPr>
                <w:b/>
                <w:sz w:val="16"/>
                <w:szCs w:val="16"/>
              </w:rPr>
              <w:t>074</w:t>
            </w:r>
          </w:p>
        </w:tc>
        <w:tc>
          <w:tcPr>
            <w:tcW w:w="387" w:type="pct"/>
            <w:tcBorders>
              <w:top w:val="single" w:sz="4" w:space="0" w:color="auto"/>
              <w:bottom w:val="single" w:sz="12" w:space="0" w:color="auto"/>
            </w:tcBorders>
            <w:shd w:val="clear" w:color="auto" w:fill="auto"/>
            <w:vAlign w:val="bottom"/>
            <w:hideMark/>
          </w:tcPr>
          <w:p w:rsidR="003E3038" w:rsidRPr="003E3038" w:rsidRDefault="003E3038" w:rsidP="003E3038">
            <w:pPr>
              <w:pStyle w:val="SingleTxtG"/>
              <w:spacing w:before="80" w:after="80" w:line="220" w:lineRule="exact"/>
              <w:ind w:left="57" w:right="0"/>
              <w:jc w:val="right"/>
              <w:rPr>
                <w:b/>
                <w:bCs/>
                <w:sz w:val="16"/>
                <w:szCs w:val="16"/>
              </w:rPr>
            </w:pPr>
            <w:r w:rsidRPr="003E3038">
              <w:rPr>
                <w:b/>
                <w:sz w:val="16"/>
                <w:szCs w:val="16"/>
              </w:rPr>
              <w:t>1</w:t>
            </w:r>
            <w:r w:rsidR="00912C55" w:rsidRPr="00912C55">
              <w:rPr>
                <w:b/>
                <w:sz w:val="18"/>
                <w:szCs w:val="16"/>
                <w:vertAlign w:val="superscript"/>
              </w:rPr>
              <w:t xml:space="preserve"> </w:t>
            </w:r>
            <w:r w:rsidRPr="003E3038">
              <w:rPr>
                <w:b/>
                <w:sz w:val="16"/>
                <w:szCs w:val="16"/>
              </w:rPr>
              <w:t>794</w:t>
            </w:r>
            <w:r w:rsidR="00912C55" w:rsidRPr="00912C55">
              <w:rPr>
                <w:b/>
                <w:sz w:val="18"/>
                <w:szCs w:val="16"/>
                <w:vertAlign w:val="superscript"/>
              </w:rPr>
              <w:t xml:space="preserve"> </w:t>
            </w:r>
            <w:r w:rsidRPr="003E3038">
              <w:rPr>
                <w:b/>
                <w:sz w:val="16"/>
                <w:szCs w:val="16"/>
              </w:rPr>
              <w:t>294</w:t>
            </w:r>
          </w:p>
        </w:tc>
        <w:tc>
          <w:tcPr>
            <w:tcW w:w="385" w:type="pct"/>
            <w:tcBorders>
              <w:top w:val="single" w:sz="4" w:space="0" w:color="auto"/>
              <w:bottom w:val="single" w:sz="12" w:space="0" w:color="auto"/>
            </w:tcBorders>
            <w:shd w:val="clear" w:color="auto" w:fill="auto"/>
            <w:vAlign w:val="bottom"/>
            <w:hideMark/>
          </w:tcPr>
          <w:p w:rsidR="003E3038" w:rsidRPr="003E3038" w:rsidRDefault="003E3038" w:rsidP="003E3038">
            <w:pPr>
              <w:pStyle w:val="SingleTxtG"/>
              <w:spacing w:before="80" w:after="80" w:line="220" w:lineRule="exact"/>
              <w:ind w:left="57" w:right="0"/>
              <w:jc w:val="right"/>
              <w:rPr>
                <w:b/>
                <w:bCs/>
                <w:sz w:val="16"/>
                <w:szCs w:val="16"/>
              </w:rPr>
            </w:pPr>
            <w:r w:rsidRPr="003E3038">
              <w:rPr>
                <w:b/>
                <w:sz w:val="16"/>
                <w:szCs w:val="16"/>
              </w:rPr>
              <w:t>3</w:t>
            </w:r>
            <w:r w:rsidR="00912C55" w:rsidRPr="00912C55">
              <w:rPr>
                <w:b/>
                <w:sz w:val="18"/>
                <w:szCs w:val="16"/>
                <w:vertAlign w:val="superscript"/>
              </w:rPr>
              <w:t xml:space="preserve"> </w:t>
            </w:r>
            <w:r w:rsidRPr="003E3038">
              <w:rPr>
                <w:b/>
                <w:sz w:val="16"/>
                <w:szCs w:val="16"/>
              </w:rPr>
              <w:t>537</w:t>
            </w:r>
            <w:r w:rsidR="00912C55" w:rsidRPr="00912C55">
              <w:rPr>
                <w:b/>
                <w:sz w:val="18"/>
                <w:szCs w:val="16"/>
                <w:vertAlign w:val="superscript"/>
              </w:rPr>
              <w:t xml:space="preserve"> </w:t>
            </w:r>
            <w:r w:rsidRPr="003E3038">
              <w:rPr>
                <w:b/>
                <w:sz w:val="16"/>
                <w:szCs w:val="16"/>
              </w:rPr>
              <w:t>368</w:t>
            </w:r>
          </w:p>
        </w:tc>
      </w:tr>
    </w:tbl>
    <w:p w:rsidR="003E3038" w:rsidRPr="003E3038" w:rsidRDefault="00912C55" w:rsidP="00912C55">
      <w:pPr>
        <w:pStyle w:val="H23G"/>
      </w:pPr>
      <w:bookmarkStart w:id="10" w:name="_Toc454388697"/>
      <w:bookmarkStart w:id="11" w:name="_Toc453672858"/>
      <w:bookmarkStart w:id="12" w:name="_Toc455360510"/>
      <w:bookmarkStart w:id="13" w:name="_Toc455364114"/>
      <w:r>
        <w:tab/>
      </w:r>
      <w:r w:rsidR="003E3038" w:rsidRPr="003E3038">
        <w:t>2.</w:t>
      </w:r>
      <w:r w:rsidR="003E3038" w:rsidRPr="003E3038">
        <w:tab/>
        <w:t>Datos socioeconómicos</w:t>
      </w:r>
      <w:bookmarkEnd w:id="10"/>
      <w:bookmarkEnd w:id="11"/>
      <w:bookmarkEnd w:id="12"/>
      <w:bookmarkEnd w:id="13"/>
    </w:p>
    <w:p w:rsidR="003E3038" w:rsidRPr="003E3038" w:rsidRDefault="003E3038" w:rsidP="003E3038">
      <w:pPr>
        <w:pStyle w:val="SingleTxtG"/>
      </w:pPr>
      <w:r w:rsidRPr="003E3038">
        <w:t>6.</w:t>
      </w:r>
      <w:r w:rsidRPr="003E3038">
        <w:tab/>
        <w:t>Mauritania ha creado un Marco Estratégico de Lucha contra la Pobreza para el período 2001-2015. La aplicación de ese Marco Estratégico ha servido para reducir la pobreza, que pasó del 51% en 2001 al 31% en 2014. La tasa media de crecimiento económico registrada en el mismo período se situó en el 4,3%, a pesar de la desfavorable coyuntura internacional.</w:t>
      </w:r>
    </w:p>
    <w:p w:rsidR="003E3038" w:rsidRPr="003E3038" w:rsidRDefault="003E3038" w:rsidP="003E3038">
      <w:pPr>
        <w:pStyle w:val="SingleTxtG"/>
      </w:pPr>
      <w:r w:rsidRPr="003E3038">
        <w:t>7.</w:t>
      </w:r>
      <w:r w:rsidRPr="003E3038">
        <w:tab/>
        <w:t>A pesar de esa coyuntura, se tomaron medidas para desarrollar los recursos humanos y mejorar los servicios básicos. En la esfera de la educación y la enseñanza básica: i) en el año académico 2012</w:t>
      </w:r>
      <w:r w:rsidR="00611AC9">
        <w:t>/</w:t>
      </w:r>
      <w:r w:rsidRPr="003E3038">
        <w:t>13, la tasa bruta de matriculación escolar fue del 99,3%; ii) en el mismo año académico, la tasa bruta de matriculación escolar entre las niñas fue del 102,5%, frente al 95,9% de los niños, y el índice de paridad se situó en 1,07. En el año 2013, las medidas para promover la matriculación escolar beneficiaron en mayor medida a las niñas que a los niños; iii) en ese año académico 2012</w:t>
      </w:r>
      <w:r w:rsidR="00611AC9">
        <w:t>/</w:t>
      </w:r>
      <w:r w:rsidRPr="003E3038">
        <w:t>13, la tasa de retención en la enseñanza básica fue del 75%, frente al 67,4% en 2011</w:t>
      </w:r>
      <w:r w:rsidR="00611AC9">
        <w:t>/</w:t>
      </w:r>
      <w:r w:rsidRPr="003E3038">
        <w:t>12, es decir, un aumento considerable.</w:t>
      </w:r>
    </w:p>
    <w:p w:rsidR="003E3038" w:rsidRPr="003E3038" w:rsidRDefault="003E3038" w:rsidP="003E3038">
      <w:pPr>
        <w:pStyle w:val="SingleTxtG"/>
      </w:pPr>
      <w:r w:rsidRPr="003E3038">
        <w:t>8.</w:t>
      </w:r>
      <w:r w:rsidRPr="003E3038">
        <w:tab/>
        <w:t>En cuanto a la enseñanza secundaria: i) la tasa bruta de matriculación escolar pasó del 24,9% en el año académico 2009</w:t>
      </w:r>
      <w:r w:rsidR="00611AC9">
        <w:t>/</w:t>
      </w:r>
      <w:r w:rsidRPr="003E3038">
        <w:t>10 al 29,5% en el año 2012</w:t>
      </w:r>
      <w:r w:rsidR="00611AC9">
        <w:t>/</w:t>
      </w:r>
      <w:r w:rsidRPr="003E3038">
        <w:t>13; ii) en el año académico 2012</w:t>
      </w:r>
      <w:r w:rsidR="00611AC9">
        <w:t>/</w:t>
      </w:r>
      <w:r w:rsidRPr="003E3038">
        <w:t>13 la tasa de participación de las niñas fue del 47,6%; iii) la tasa de transición en el año académico 2012</w:t>
      </w:r>
      <w:r w:rsidR="00611AC9">
        <w:t>/</w:t>
      </w:r>
      <w:r w:rsidRPr="003E3038">
        <w:t>13 fue del 52,7%.</w:t>
      </w:r>
    </w:p>
    <w:p w:rsidR="003E3038" w:rsidRPr="003E3038" w:rsidRDefault="003E3038" w:rsidP="003E3038">
      <w:pPr>
        <w:pStyle w:val="SingleTxtG"/>
      </w:pPr>
      <w:r w:rsidRPr="003E3038">
        <w:t>9.</w:t>
      </w:r>
      <w:r w:rsidRPr="003E3038">
        <w:tab/>
        <w:t>En el ámbito de la sanidad, las medidas adoptadas por el Gobierno para mejorar el estado de salud de la población mediante un aumento de la calidad y la accesibilidad de los servicios de salud han dado lugar a: i) la construcción, rehabilitación y equipamiento de los centros de salud; ii) la ampliación y rehabilitación del centro de salud de Bassiknou en Hodh Echarghi; iii) la construcción de escuelas de enfermería; iv) la adquisición de equipos médicos; v) la adquisición de ambulancias y de 162 ciclomotores de cuatro ruedas, la contratación de 582 técnicos de salud (médicos y paramédicos), la capacitación de 440 paramédicos y la contratación de 54 médicos extranjeros.</w:t>
      </w:r>
    </w:p>
    <w:p w:rsidR="003E3038" w:rsidRPr="003E3038" w:rsidRDefault="003E3038" w:rsidP="003E3038">
      <w:pPr>
        <w:pStyle w:val="SingleTxtG"/>
      </w:pPr>
      <w:r w:rsidRPr="003E3038">
        <w:t>10.</w:t>
      </w:r>
      <w:r w:rsidRPr="003E3038">
        <w:tab/>
        <w:t>La situación de los principales indicadores de salud es la siguiente: i) la cobertura sanitaria es del 74% en un radio de 5 km; ii) la tasa de mortalid</w:t>
      </w:r>
      <w:r w:rsidR="00611AC9">
        <w:t>ad de niños menores de 5 </w:t>
      </w:r>
      <w:r w:rsidRPr="003E3038">
        <w:t xml:space="preserve">años es de 114 por cada 1.000 nacidos vivos; iii) la proporción de niños de </w:t>
      </w:r>
      <w:r w:rsidR="00611AC9">
        <w:t>1</w:t>
      </w:r>
      <w:r w:rsidRPr="003E3038">
        <w:t xml:space="preserve"> año de edad vacunados contra el sarampión alcanzó el 78%; iv) la t</w:t>
      </w:r>
      <w:r w:rsidR="00611AC9">
        <w:t>asa de mortalidad materna es de </w:t>
      </w:r>
      <w:r w:rsidRPr="003E3038">
        <w:t>585 (por cada 100.000 nacimientos); v) la tasa de uso de anticonceptivos es del 11,4 %; vi) la prevalencia del VIH/SIDA entre las personas de en</w:t>
      </w:r>
      <w:r w:rsidR="00611AC9">
        <w:t>tre 15 y 24 años de edad es del </w:t>
      </w:r>
      <w:r w:rsidRPr="003E3038">
        <w:t xml:space="preserve">0,7%, es decir, se mantuvo en un nivel inferior al 1%; vii) el número de muertes de niños menores de 5 años debido a la malaria es del 5,1%. </w:t>
      </w:r>
    </w:p>
    <w:p w:rsidR="003E3038" w:rsidRPr="003E3038" w:rsidRDefault="003E3038" w:rsidP="003E3038">
      <w:pPr>
        <w:pStyle w:val="SingleTxtG"/>
      </w:pPr>
      <w:r w:rsidRPr="003E3038">
        <w:t>11.</w:t>
      </w:r>
      <w:r w:rsidRPr="003E3038">
        <w:tab/>
        <w:t xml:space="preserve">En lo que respecta al acceso a agua potable, las infraestructuras construidas en 2013 y las que están en fase de construcción permitirán mejorar el acceso a fuentes de agua potable para el 58% de la población: el 48% en zonas rurales y el 60% en zonas urbanas. Las obras de saneamiento permitieron aumentar la proporción de la población con acceso a mejores servicios de saneamiento del 22% en 2010 al 34,5% en 2013. </w:t>
      </w:r>
    </w:p>
    <w:p w:rsidR="003E3038" w:rsidRPr="003E3038" w:rsidRDefault="003E3038" w:rsidP="003E3038">
      <w:pPr>
        <w:pStyle w:val="SingleTxtG"/>
      </w:pPr>
      <w:r w:rsidRPr="003E3038">
        <w:lastRenderedPageBreak/>
        <w:t>12.</w:t>
      </w:r>
      <w:r w:rsidRPr="003E3038">
        <w:tab/>
        <w:t xml:space="preserve">En el ámbito del acceso universal a los servicios básicos, la puesta en marcha de proyectos de electrificación basados en placas solares y energías renovables ha permitido mejorar considerablemente el acceso a esos servicios. </w:t>
      </w:r>
    </w:p>
    <w:p w:rsidR="003E3038" w:rsidRPr="003E3038" w:rsidRDefault="003E3038" w:rsidP="003E3038">
      <w:pPr>
        <w:pStyle w:val="SingleTxtG"/>
      </w:pPr>
      <w:r w:rsidRPr="003E3038">
        <w:t>13.</w:t>
      </w:r>
      <w:r w:rsidRPr="003E3038">
        <w:tab/>
        <w:t xml:space="preserve">Con las medidas adoptadas en materia de gobernanza y desarrollo de capacidades en el tercer año de aplicación del Tercer Marco Estratégico de Lucha contra la Pobreza se han logrado progresos significativos en todos los ámbitos de la gobernanza (política, democrática, territorial, local, medioambiental y económica). </w:t>
      </w:r>
    </w:p>
    <w:p w:rsidR="003E3038" w:rsidRPr="003E3038" w:rsidRDefault="003E3038" w:rsidP="003E3038">
      <w:pPr>
        <w:pStyle w:val="SingleTxtG"/>
      </w:pPr>
      <w:r w:rsidRPr="003E3038">
        <w:t>14.</w:t>
      </w:r>
      <w:r w:rsidRPr="003E3038">
        <w:tab/>
        <w:t>Una vez concluido el Marco Estratégico de Lucha contra la Pobreza, el Gobierno decidió establecer una nueva Estrategia de Crecimiento Acelerado y Prosperidad Compartida para el período 2015-2030. Esa Estrategia tiene por objeto, entre otras cosas, promover un crecimiento económico diversificado, inclusivo, ecológico y sostenible, que reduzca las desigualdades y esté orientado a la creación de empleo, así como luchar contra el desempleo, fortalecer la resiliencia y promover el reparto equitativo de la prosperidad.</w:t>
      </w:r>
    </w:p>
    <w:p w:rsidR="003E3038" w:rsidRPr="003E3038" w:rsidRDefault="003E3038" w:rsidP="003E3038">
      <w:pPr>
        <w:pStyle w:val="SingleTxtG"/>
      </w:pPr>
      <w:r w:rsidRPr="003E3038">
        <w:t>15.</w:t>
      </w:r>
      <w:r w:rsidRPr="003E3038">
        <w:tab/>
        <w:t xml:space="preserve">El Gobierno ha reforzado la gobernanza política y democrática mediante: i) el establecimiento de una Comisión Electoral Nacional Independiente; ii) la organización de elecciones legislativas y municipales libres y transparentes. </w:t>
      </w:r>
      <w:bookmarkStart w:id="14" w:name="_Toc454388698"/>
      <w:bookmarkStart w:id="15" w:name="_Toc453672859"/>
    </w:p>
    <w:p w:rsidR="003E3038" w:rsidRPr="003E3038" w:rsidRDefault="00912C55" w:rsidP="00912C55">
      <w:pPr>
        <w:pStyle w:val="H1G"/>
      </w:pPr>
      <w:bookmarkStart w:id="16" w:name="_Toc455360511"/>
      <w:bookmarkStart w:id="17" w:name="_Toc455364115"/>
      <w:r>
        <w:tab/>
      </w:r>
      <w:r w:rsidR="003E3038" w:rsidRPr="003E3038">
        <w:t>B.</w:t>
      </w:r>
      <w:r w:rsidR="003E3038" w:rsidRPr="003E3038">
        <w:tab/>
        <w:t xml:space="preserve">Estructuras constitucionales y </w:t>
      </w:r>
      <w:bookmarkEnd w:id="14"/>
      <w:bookmarkEnd w:id="15"/>
      <w:bookmarkEnd w:id="16"/>
      <w:bookmarkEnd w:id="17"/>
      <w:r w:rsidR="003E3038" w:rsidRPr="003E3038">
        <w:t>judiciales</w:t>
      </w:r>
    </w:p>
    <w:p w:rsidR="003E3038" w:rsidRPr="003E3038" w:rsidRDefault="00912C55" w:rsidP="00912C55">
      <w:pPr>
        <w:pStyle w:val="H23G"/>
      </w:pPr>
      <w:bookmarkStart w:id="18" w:name="_Toc454388699"/>
      <w:bookmarkStart w:id="19" w:name="_Toc453672860"/>
      <w:bookmarkStart w:id="20" w:name="_Toc455360512"/>
      <w:bookmarkStart w:id="21" w:name="_Toc455364116"/>
      <w:r>
        <w:tab/>
      </w:r>
      <w:r w:rsidR="003E3038" w:rsidRPr="003E3038">
        <w:t>1.</w:t>
      </w:r>
      <w:r w:rsidR="003E3038" w:rsidRPr="003E3038">
        <w:tab/>
        <w:t>Estructuras constitucionales</w:t>
      </w:r>
      <w:bookmarkEnd w:id="18"/>
      <w:bookmarkEnd w:id="19"/>
      <w:bookmarkEnd w:id="20"/>
      <w:bookmarkEnd w:id="21"/>
    </w:p>
    <w:p w:rsidR="003E3038" w:rsidRPr="003E3038" w:rsidRDefault="003E3038" w:rsidP="003E3038">
      <w:pPr>
        <w:pStyle w:val="SingleTxtG"/>
      </w:pPr>
      <w:r w:rsidRPr="003E3038">
        <w:t>16.</w:t>
      </w:r>
      <w:r w:rsidRPr="003E3038">
        <w:tab/>
        <w:t xml:space="preserve">La Constitución de 20 de julio de 1991, modificada en 2006 y 2012, ha conducido al establecimiento de varias instituciones como el Consejo Constitucional, el Consejo Económico y Social, el Tribunal de Cuentas; el Alto Consejo Islámico y la Comisión Nacional de Derechos Humanos. </w:t>
      </w:r>
    </w:p>
    <w:p w:rsidR="003E3038" w:rsidRPr="003E3038" w:rsidRDefault="003E3038" w:rsidP="003E3038">
      <w:pPr>
        <w:pStyle w:val="SingleTxtG"/>
      </w:pPr>
      <w:r w:rsidRPr="003E3038">
        <w:t>17.</w:t>
      </w:r>
      <w:r w:rsidRPr="003E3038">
        <w:tab/>
        <w:t xml:space="preserve">En el artículo 1 de la Constitución se establece que: </w:t>
      </w:r>
      <w:r w:rsidR="00734DBC">
        <w:t>“</w:t>
      </w:r>
      <w:r w:rsidRPr="003E3038">
        <w:t xml:space="preserve">Mauritania es una república islámica, indivisible, democrática y social. La República garantiza la igualdad ante la ley de todos los ciudadanos, sin distinción por motivos de origen, raza, sexo o condición social”. En el artículo 3 de la Constitución se consagra el principio de la democracia: </w:t>
      </w:r>
      <w:r w:rsidR="00734DBC">
        <w:t>“</w:t>
      </w:r>
      <w:r w:rsidRPr="003E3038">
        <w:t>la soberanía pertenece al pueblo, que la ejerce a través de sus representantes o por referendo</w:t>
      </w:r>
      <w:r w:rsidR="00734DBC">
        <w:t>”</w:t>
      </w:r>
      <w:r w:rsidRPr="003E3038">
        <w:t xml:space="preserve">. </w:t>
      </w:r>
    </w:p>
    <w:p w:rsidR="003E3038" w:rsidRPr="003E3038" w:rsidRDefault="003E3038" w:rsidP="003E3038">
      <w:pPr>
        <w:pStyle w:val="SingleTxtG"/>
      </w:pPr>
      <w:r w:rsidRPr="003E3038">
        <w:t>18.</w:t>
      </w:r>
      <w:r w:rsidRPr="003E3038">
        <w:tab/>
        <w:t>La forma republicana del Estado se basa en el principio de la separación de poderes. El Presidente de la República se elige mediante sufragio universal directo para un mandato de cinco años renovable una sola vez. El Presidente define la política del Estado, cuya ejecución corre a cargo del Gobierno, encabezado por el Primer Ministro.</w:t>
      </w:r>
    </w:p>
    <w:p w:rsidR="003E3038" w:rsidRPr="003E3038" w:rsidRDefault="003E3038" w:rsidP="003E3038">
      <w:pPr>
        <w:pStyle w:val="SingleTxtG"/>
      </w:pPr>
      <w:r w:rsidRPr="003E3038">
        <w:t>19.</w:t>
      </w:r>
      <w:r w:rsidRPr="003E3038">
        <w:tab/>
        <w:t>El Parlamento, al que corresponde aprobar las leyes y supervisar la labor gubernamental, ejerce el poder legislativo. El Parlamento está compuesto por la Asamblea Nacional y el Senado.</w:t>
      </w:r>
    </w:p>
    <w:p w:rsidR="003E3038" w:rsidRPr="003E3038" w:rsidRDefault="003E3038" w:rsidP="003E3038">
      <w:pPr>
        <w:pStyle w:val="SingleTxtG"/>
      </w:pPr>
      <w:r w:rsidRPr="003E3038">
        <w:t>20.</w:t>
      </w:r>
      <w:r w:rsidRPr="003E3038">
        <w:tab/>
        <w:t xml:space="preserve">La organización administrativa está descentralizada y desconcentrada. La organización territorial tiene varios niveles administrativos: las </w:t>
      </w:r>
      <w:r w:rsidRPr="003E3038">
        <w:rPr>
          <w:i/>
          <w:iCs/>
        </w:rPr>
        <w:t>ouilayas</w:t>
      </w:r>
      <w:r w:rsidRPr="003E3038">
        <w:t xml:space="preserve"> (15), los </w:t>
      </w:r>
      <w:r w:rsidRPr="003E3038">
        <w:rPr>
          <w:i/>
          <w:iCs/>
        </w:rPr>
        <w:t>moughataas</w:t>
      </w:r>
      <w:r w:rsidRPr="003E3038">
        <w:t xml:space="preserve"> (58) y los municipios (218). Los diferentes niveles de la administración contribuyen al desarrollo político, económico y social del país. </w:t>
      </w:r>
      <w:bookmarkStart w:id="22" w:name="_Toc453672861"/>
    </w:p>
    <w:p w:rsidR="003E3038" w:rsidRPr="003E3038" w:rsidRDefault="00912C55" w:rsidP="00912C55">
      <w:pPr>
        <w:pStyle w:val="H23G"/>
      </w:pPr>
      <w:bookmarkStart w:id="23" w:name="_Toc454388700"/>
      <w:bookmarkStart w:id="24" w:name="_Toc455360513"/>
      <w:bookmarkStart w:id="25" w:name="_Toc455364117"/>
      <w:r>
        <w:tab/>
      </w:r>
      <w:r w:rsidR="003E3038" w:rsidRPr="003E3038">
        <w:t>2.</w:t>
      </w:r>
      <w:r w:rsidR="003E3038" w:rsidRPr="003E3038">
        <w:tab/>
        <w:t>Instituciones judiciales</w:t>
      </w:r>
      <w:bookmarkEnd w:id="22"/>
      <w:bookmarkEnd w:id="23"/>
      <w:bookmarkEnd w:id="24"/>
      <w:bookmarkEnd w:id="25"/>
    </w:p>
    <w:p w:rsidR="003E3038" w:rsidRPr="003E3038" w:rsidRDefault="003E3038" w:rsidP="003E3038">
      <w:pPr>
        <w:pStyle w:val="SingleTxtG"/>
      </w:pPr>
      <w:r w:rsidRPr="003E3038">
        <w:t>21.</w:t>
      </w:r>
      <w:r w:rsidRPr="003E3038">
        <w:tab/>
        <w:t xml:space="preserve">El sistema judicial está basado en el principio de la doble instancia (los mismos hechos pueden someterse a juicio en primera y segunda instancia). Ese sistema incluye los tribunales de los </w:t>
      </w:r>
      <w:r w:rsidRPr="003E3038">
        <w:rPr>
          <w:i/>
        </w:rPr>
        <w:t>moughataas</w:t>
      </w:r>
      <w:r w:rsidRPr="003E3038">
        <w:t xml:space="preserve"> y las </w:t>
      </w:r>
      <w:r w:rsidRPr="003E3038">
        <w:rPr>
          <w:i/>
        </w:rPr>
        <w:t>ouilayas</w:t>
      </w:r>
      <w:r w:rsidRPr="003E3038">
        <w:t xml:space="preserve">, los tribunales de apelación y el Tribunal Supremo. El Tribunal Superior de Justicia se encarga de juzgar a las más altas instancias (Presidente de la República y miembros del Gobierno). El Consejo Constitucional es el encargado de velar por la justicia constitucional. </w:t>
      </w:r>
    </w:p>
    <w:p w:rsidR="003E3038" w:rsidRPr="003E3038" w:rsidRDefault="003E3038" w:rsidP="003E3038">
      <w:pPr>
        <w:pStyle w:val="SingleTxtG"/>
      </w:pPr>
      <w:r w:rsidRPr="003E3038">
        <w:t>22.</w:t>
      </w:r>
      <w:r w:rsidRPr="003E3038">
        <w:tab/>
        <w:t>El Consejo Superior de la Fetua y los Recursos de Gracia orienta a los usuarios de la justicia hacia soluciones que se adecúen al derecho islámico.</w:t>
      </w:r>
    </w:p>
    <w:p w:rsidR="003E3038" w:rsidRPr="003E3038" w:rsidRDefault="003E3038" w:rsidP="003E3038">
      <w:pPr>
        <w:pStyle w:val="SingleTxtG"/>
      </w:pPr>
      <w:r w:rsidRPr="003E3038">
        <w:t>23.</w:t>
      </w:r>
      <w:r w:rsidRPr="003E3038">
        <w:tab/>
        <w:t xml:space="preserve">El Gobierno ha mejorado la eficacia de la justicia acercándola más a los justiciables mediante la creación de nuevos tribunales, como el tribunal de apelación de Aleg, los dos tribunales regionales de Nuakchot (Norte y Sur), el tribunal laboral de Zouerat y tres </w:t>
      </w:r>
      <w:r w:rsidRPr="003E3038">
        <w:lastRenderedPageBreak/>
        <w:t xml:space="preserve">tribunales penales especializados en la lucha contra la esclavitud. El Gobierno ha establecido también la Estrategia Nacional de Lucha contra la Corrupción y los departamentos públicos aplican unos planes sectoriales de lucha contra este fenómeno en colaboración con la sociedad civil para garantizar el cumplimiento de la legislación nacional de lucha contra la corrupción. </w:t>
      </w:r>
    </w:p>
    <w:p w:rsidR="003E3038" w:rsidRPr="003E3038" w:rsidRDefault="003E3038" w:rsidP="00912C55">
      <w:pPr>
        <w:pStyle w:val="SingleTxtG"/>
        <w:spacing w:after="0"/>
      </w:pPr>
      <w:r w:rsidRPr="003E3038">
        <w:t xml:space="preserve">Cuadro 2 </w:t>
      </w:r>
    </w:p>
    <w:p w:rsidR="003E3038" w:rsidRPr="003E3038" w:rsidRDefault="003E3038" w:rsidP="003E3038">
      <w:pPr>
        <w:pStyle w:val="SingleTxtG"/>
        <w:rPr>
          <w:b/>
        </w:rPr>
      </w:pPr>
      <w:r w:rsidRPr="003E3038">
        <w:rPr>
          <w:b/>
        </w:rPr>
        <w:t>Actividades de los tribunales de primera instancia (año 2014)</w:t>
      </w:r>
    </w:p>
    <w:p w:rsidR="003E3038" w:rsidRPr="003E3038" w:rsidRDefault="003E3038" w:rsidP="003E3038">
      <w:pPr>
        <w:pStyle w:val="SingleTxtG"/>
        <w:rPr>
          <w:b/>
        </w:rPr>
      </w:pPr>
      <w:r w:rsidRPr="003E3038">
        <w:rPr>
          <w:b/>
        </w:rPr>
        <w:t>Asuntos civiles, comerciales y administrativos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69"/>
        <w:gridCol w:w="1701"/>
      </w:tblGrid>
      <w:tr w:rsidR="003E3038" w:rsidRPr="00912C55" w:rsidTr="00912C55">
        <w:trPr>
          <w:trHeight w:val="240"/>
          <w:tblHeader/>
        </w:trPr>
        <w:tc>
          <w:tcPr>
            <w:tcW w:w="5670" w:type="dxa"/>
            <w:tcBorders>
              <w:top w:val="single" w:sz="4" w:space="0" w:color="auto"/>
              <w:bottom w:val="single" w:sz="12" w:space="0" w:color="auto"/>
            </w:tcBorders>
            <w:shd w:val="clear" w:color="auto" w:fill="auto"/>
            <w:vAlign w:val="bottom"/>
            <w:hideMark/>
          </w:tcPr>
          <w:p w:rsidR="003E3038" w:rsidRPr="00912C55" w:rsidRDefault="003E3038" w:rsidP="00912C55">
            <w:pPr>
              <w:pStyle w:val="SingleTxtG"/>
              <w:spacing w:before="80" w:after="80" w:line="200" w:lineRule="exact"/>
              <w:ind w:left="0" w:right="0"/>
              <w:jc w:val="left"/>
              <w:rPr>
                <w:bCs/>
                <w:i/>
                <w:sz w:val="16"/>
              </w:rPr>
            </w:pPr>
            <w:r w:rsidRPr="00912C55">
              <w:rPr>
                <w:i/>
                <w:sz w:val="16"/>
              </w:rPr>
              <w:t>Tipo de causa</w:t>
            </w:r>
          </w:p>
        </w:tc>
        <w:tc>
          <w:tcPr>
            <w:tcW w:w="1701" w:type="dxa"/>
            <w:tcBorders>
              <w:top w:val="single" w:sz="4" w:space="0" w:color="auto"/>
              <w:bottom w:val="single" w:sz="12" w:space="0" w:color="auto"/>
            </w:tcBorders>
            <w:shd w:val="clear" w:color="auto" w:fill="auto"/>
            <w:vAlign w:val="bottom"/>
            <w:hideMark/>
          </w:tcPr>
          <w:p w:rsidR="003E3038" w:rsidRPr="00912C55" w:rsidRDefault="003E3038" w:rsidP="00912C55">
            <w:pPr>
              <w:pStyle w:val="SingleTxtG"/>
              <w:spacing w:before="80" w:after="80" w:line="200" w:lineRule="exact"/>
              <w:ind w:left="113" w:right="0"/>
              <w:jc w:val="right"/>
              <w:rPr>
                <w:bCs/>
                <w:i/>
                <w:sz w:val="16"/>
              </w:rPr>
            </w:pPr>
            <w:r w:rsidRPr="00912C55">
              <w:rPr>
                <w:i/>
                <w:sz w:val="16"/>
              </w:rPr>
              <w:t>Número</w:t>
            </w:r>
          </w:p>
        </w:tc>
      </w:tr>
      <w:tr w:rsidR="003E3038" w:rsidRPr="00912C55" w:rsidTr="00912C55">
        <w:trPr>
          <w:trHeight w:val="240"/>
        </w:trPr>
        <w:tc>
          <w:tcPr>
            <w:tcW w:w="5670" w:type="dxa"/>
            <w:tcBorders>
              <w:top w:val="single" w:sz="12" w:space="0" w:color="auto"/>
            </w:tcBorders>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Causas incoadas</w:t>
            </w:r>
          </w:p>
        </w:tc>
        <w:tc>
          <w:tcPr>
            <w:tcW w:w="1701" w:type="dxa"/>
            <w:tcBorders>
              <w:top w:val="single" w:sz="12" w:space="0" w:color="auto"/>
            </w:tcBorders>
            <w:shd w:val="clear" w:color="auto" w:fill="auto"/>
            <w:vAlign w:val="bottom"/>
            <w:hideMark/>
          </w:tcPr>
          <w:p w:rsidR="003E3038" w:rsidRPr="00912C55" w:rsidRDefault="00912C55" w:rsidP="00912C55">
            <w:pPr>
              <w:pStyle w:val="SingleTxtG"/>
              <w:spacing w:before="40" w:after="40" w:line="220" w:lineRule="exact"/>
              <w:ind w:left="113" w:right="0"/>
              <w:jc w:val="right"/>
              <w:rPr>
                <w:sz w:val="18"/>
              </w:rPr>
            </w:pPr>
            <w:r>
              <w:rPr>
                <w:sz w:val="18"/>
              </w:rPr>
              <w:t xml:space="preserve">5 </w:t>
            </w:r>
            <w:r w:rsidR="003E3038" w:rsidRPr="00912C55">
              <w:rPr>
                <w:sz w:val="18"/>
              </w:rPr>
              <w:t>937</w:t>
            </w:r>
          </w:p>
        </w:tc>
      </w:tr>
      <w:tr w:rsidR="003E3038" w:rsidRPr="00912C55" w:rsidTr="00912C55">
        <w:trPr>
          <w:trHeight w:val="240"/>
        </w:trPr>
        <w:tc>
          <w:tcPr>
            <w:tcW w:w="5670"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Sentencias dictadas</w:t>
            </w:r>
          </w:p>
        </w:tc>
        <w:tc>
          <w:tcPr>
            <w:tcW w:w="1701" w:type="dxa"/>
            <w:shd w:val="clear" w:color="auto" w:fill="auto"/>
            <w:vAlign w:val="bottom"/>
            <w:hideMark/>
          </w:tcPr>
          <w:p w:rsidR="003E3038" w:rsidRPr="00912C55" w:rsidRDefault="00912C55" w:rsidP="00912C55">
            <w:pPr>
              <w:pStyle w:val="SingleTxtG"/>
              <w:spacing w:before="40" w:after="40" w:line="220" w:lineRule="exact"/>
              <w:ind w:left="113" w:right="0"/>
              <w:jc w:val="right"/>
              <w:rPr>
                <w:sz w:val="18"/>
              </w:rPr>
            </w:pPr>
            <w:r>
              <w:rPr>
                <w:sz w:val="18"/>
              </w:rPr>
              <w:t xml:space="preserve">1 </w:t>
            </w:r>
            <w:r w:rsidR="003E3038" w:rsidRPr="00912C55">
              <w:rPr>
                <w:sz w:val="18"/>
              </w:rPr>
              <w:t>339</w:t>
            </w:r>
          </w:p>
        </w:tc>
      </w:tr>
      <w:tr w:rsidR="003E3038" w:rsidRPr="00912C55" w:rsidTr="00912C55">
        <w:trPr>
          <w:trHeight w:val="240"/>
        </w:trPr>
        <w:tc>
          <w:tcPr>
            <w:tcW w:w="5670"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Conciliaciones</w:t>
            </w:r>
          </w:p>
        </w:tc>
        <w:tc>
          <w:tcPr>
            <w:tcW w:w="1701" w:type="dxa"/>
            <w:shd w:val="clear" w:color="auto" w:fill="auto"/>
            <w:vAlign w:val="bottom"/>
            <w:hideMark/>
          </w:tcPr>
          <w:p w:rsidR="003E3038" w:rsidRPr="00912C55" w:rsidRDefault="00912C55" w:rsidP="00912C55">
            <w:pPr>
              <w:pStyle w:val="SingleTxtG"/>
              <w:spacing w:before="40" w:after="40" w:line="220" w:lineRule="exact"/>
              <w:ind w:left="113" w:right="0"/>
              <w:jc w:val="right"/>
              <w:rPr>
                <w:sz w:val="18"/>
              </w:rPr>
            </w:pPr>
            <w:r>
              <w:rPr>
                <w:sz w:val="18"/>
              </w:rPr>
              <w:t xml:space="preserve">2 </w:t>
            </w:r>
            <w:r w:rsidR="003E3038" w:rsidRPr="00912C55">
              <w:rPr>
                <w:sz w:val="18"/>
              </w:rPr>
              <w:t>040</w:t>
            </w:r>
          </w:p>
        </w:tc>
      </w:tr>
      <w:tr w:rsidR="003E3038" w:rsidRPr="00912C55" w:rsidTr="00912C55">
        <w:trPr>
          <w:trHeight w:val="240"/>
        </w:trPr>
        <w:tc>
          <w:tcPr>
            <w:tcW w:w="5670"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Apelaciones</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984</w:t>
            </w:r>
          </w:p>
        </w:tc>
      </w:tr>
      <w:tr w:rsidR="003E3038" w:rsidRPr="00912C55" w:rsidTr="00912C55">
        <w:trPr>
          <w:trHeight w:val="240"/>
        </w:trPr>
        <w:tc>
          <w:tcPr>
            <w:tcW w:w="5670"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Recursos de casación</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37</w:t>
            </w:r>
          </w:p>
        </w:tc>
      </w:tr>
      <w:tr w:rsidR="003E3038" w:rsidRPr="00912C55" w:rsidTr="00912C55">
        <w:trPr>
          <w:trHeight w:val="240"/>
        </w:trPr>
        <w:tc>
          <w:tcPr>
            <w:tcW w:w="5670"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Medidas cautelares</w:t>
            </w:r>
          </w:p>
        </w:tc>
        <w:tc>
          <w:tcPr>
            <w:tcW w:w="1701" w:type="dxa"/>
            <w:shd w:val="clear" w:color="auto" w:fill="auto"/>
            <w:vAlign w:val="bottom"/>
            <w:hideMark/>
          </w:tcPr>
          <w:p w:rsidR="003E3038" w:rsidRPr="00912C55" w:rsidRDefault="00912C55" w:rsidP="00912C55">
            <w:pPr>
              <w:pStyle w:val="SingleTxtG"/>
              <w:spacing w:before="40" w:after="40" w:line="220" w:lineRule="exact"/>
              <w:ind w:left="113" w:right="0"/>
              <w:jc w:val="right"/>
              <w:rPr>
                <w:sz w:val="18"/>
              </w:rPr>
            </w:pPr>
            <w:r>
              <w:rPr>
                <w:sz w:val="18"/>
              </w:rPr>
              <w:t xml:space="preserve">4 </w:t>
            </w:r>
            <w:r w:rsidR="003E3038" w:rsidRPr="00912C55">
              <w:rPr>
                <w:sz w:val="18"/>
              </w:rPr>
              <w:t>601</w:t>
            </w:r>
          </w:p>
        </w:tc>
      </w:tr>
      <w:tr w:rsidR="003E3038" w:rsidRPr="00912C55" w:rsidTr="00912C55">
        <w:trPr>
          <w:trHeight w:val="240"/>
        </w:trPr>
        <w:tc>
          <w:tcPr>
            <w:tcW w:w="5670"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Apelaciones contra las medidas cautelares</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323</w:t>
            </w:r>
          </w:p>
        </w:tc>
      </w:tr>
      <w:tr w:rsidR="003E3038" w:rsidRPr="00912C55" w:rsidTr="00912C55">
        <w:trPr>
          <w:trHeight w:val="240"/>
        </w:trPr>
        <w:tc>
          <w:tcPr>
            <w:tcW w:w="5670" w:type="dxa"/>
            <w:tcBorders>
              <w:bottom w:val="single" w:sz="12" w:space="0" w:color="auto"/>
            </w:tcBorders>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Recursos de oposición</w:t>
            </w:r>
          </w:p>
        </w:tc>
        <w:tc>
          <w:tcPr>
            <w:tcW w:w="1701" w:type="dxa"/>
            <w:tcBorders>
              <w:bottom w:val="single" w:sz="12" w:space="0" w:color="auto"/>
            </w:tcBorders>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49</w:t>
            </w:r>
          </w:p>
        </w:tc>
      </w:tr>
    </w:tbl>
    <w:p w:rsidR="003E3038" w:rsidRPr="003E3038" w:rsidRDefault="003E3038" w:rsidP="00912C55">
      <w:pPr>
        <w:pStyle w:val="SingleTxtG"/>
        <w:spacing w:before="240"/>
        <w:jc w:val="left"/>
        <w:rPr>
          <w:b/>
        </w:rPr>
      </w:pPr>
      <w:r w:rsidRPr="003E3038">
        <w:rPr>
          <w:b/>
        </w:rPr>
        <w:t xml:space="preserve">Actividades de los tribunales penales, las salas correccionales y las salas </w:t>
      </w:r>
      <w:r w:rsidR="00912C55">
        <w:rPr>
          <w:b/>
        </w:rPr>
        <w:br/>
      </w:r>
      <w:r w:rsidRPr="003E3038">
        <w:rPr>
          <w:b/>
        </w:rPr>
        <w:t>de menores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69"/>
        <w:gridCol w:w="1701"/>
      </w:tblGrid>
      <w:tr w:rsidR="003E3038" w:rsidRPr="00912C55" w:rsidTr="00912C55">
        <w:trPr>
          <w:trHeight w:val="240"/>
          <w:tblHeader/>
        </w:trPr>
        <w:tc>
          <w:tcPr>
            <w:tcW w:w="5670" w:type="dxa"/>
            <w:tcBorders>
              <w:top w:val="single" w:sz="4" w:space="0" w:color="auto"/>
              <w:bottom w:val="single" w:sz="12" w:space="0" w:color="auto"/>
            </w:tcBorders>
            <w:shd w:val="clear" w:color="auto" w:fill="auto"/>
            <w:vAlign w:val="bottom"/>
            <w:hideMark/>
          </w:tcPr>
          <w:p w:rsidR="003E3038" w:rsidRPr="00912C55" w:rsidRDefault="003E3038" w:rsidP="00912C55">
            <w:pPr>
              <w:pStyle w:val="SingleTxtG"/>
              <w:spacing w:before="80" w:after="80" w:line="200" w:lineRule="exact"/>
              <w:ind w:left="0" w:right="0"/>
              <w:jc w:val="left"/>
              <w:rPr>
                <w:bCs/>
                <w:i/>
                <w:sz w:val="16"/>
              </w:rPr>
            </w:pPr>
            <w:r w:rsidRPr="00912C55">
              <w:rPr>
                <w:i/>
                <w:sz w:val="16"/>
              </w:rPr>
              <w:t>Concepto</w:t>
            </w:r>
          </w:p>
        </w:tc>
        <w:tc>
          <w:tcPr>
            <w:tcW w:w="1701" w:type="dxa"/>
            <w:tcBorders>
              <w:top w:val="single" w:sz="4" w:space="0" w:color="auto"/>
              <w:bottom w:val="single" w:sz="12" w:space="0" w:color="auto"/>
            </w:tcBorders>
            <w:shd w:val="clear" w:color="auto" w:fill="auto"/>
            <w:vAlign w:val="bottom"/>
            <w:hideMark/>
          </w:tcPr>
          <w:p w:rsidR="003E3038" w:rsidRPr="00912C55" w:rsidRDefault="003E3038" w:rsidP="00912C55">
            <w:pPr>
              <w:pStyle w:val="SingleTxtG"/>
              <w:spacing w:before="80" w:after="80" w:line="200" w:lineRule="exact"/>
              <w:ind w:left="113" w:right="0"/>
              <w:jc w:val="right"/>
              <w:rPr>
                <w:bCs/>
                <w:i/>
                <w:sz w:val="16"/>
              </w:rPr>
            </w:pPr>
            <w:r w:rsidRPr="00912C55">
              <w:rPr>
                <w:i/>
                <w:sz w:val="16"/>
              </w:rPr>
              <w:t>Número</w:t>
            </w:r>
          </w:p>
        </w:tc>
      </w:tr>
      <w:tr w:rsidR="003E3038" w:rsidRPr="00912C55" w:rsidTr="00912C55">
        <w:trPr>
          <w:trHeight w:val="240"/>
        </w:trPr>
        <w:tc>
          <w:tcPr>
            <w:tcW w:w="5670" w:type="dxa"/>
            <w:tcBorders>
              <w:top w:val="single" w:sz="12" w:space="0" w:color="auto"/>
            </w:tcBorders>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Causas incoadas</w:t>
            </w:r>
          </w:p>
        </w:tc>
        <w:tc>
          <w:tcPr>
            <w:tcW w:w="1701" w:type="dxa"/>
            <w:tcBorders>
              <w:top w:val="single" w:sz="12" w:space="0" w:color="auto"/>
            </w:tcBorders>
            <w:shd w:val="clear" w:color="auto" w:fill="auto"/>
            <w:vAlign w:val="bottom"/>
            <w:hideMark/>
          </w:tcPr>
          <w:p w:rsidR="003E3038" w:rsidRPr="00912C55" w:rsidRDefault="00912C55" w:rsidP="00912C55">
            <w:pPr>
              <w:pStyle w:val="SingleTxtG"/>
              <w:spacing w:before="40" w:after="40" w:line="220" w:lineRule="exact"/>
              <w:ind w:left="113" w:right="0"/>
              <w:jc w:val="right"/>
              <w:rPr>
                <w:sz w:val="18"/>
              </w:rPr>
            </w:pPr>
            <w:r>
              <w:rPr>
                <w:sz w:val="18"/>
              </w:rPr>
              <w:t xml:space="preserve">2 </w:t>
            </w:r>
            <w:r w:rsidR="003E3038" w:rsidRPr="00912C55">
              <w:rPr>
                <w:sz w:val="18"/>
              </w:rPr>
              <w:t>159</w:t>
            </w:r>
          </w:p>
        </w:tc>
      </w:tr>
      <w:tr w:rsidR="003E3038" w:rsidRPr="00912C55" w:rsidTr="00912C55">
        <w:trPr>
          <w:trHeight w:val="240"/>
        </w:trPr>
        <w:tc>
          <w:tcPr>
            <w:tcW w:w="5670"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Sentencias dictadas</w:t>
            </w:r>
          </w:p>
        </w:tc>
        <w:tc>
          <w:tcPr>
            <w:tcW w:w="1701" w:type="dxa"/>
            <w:shd w:val="clear" w:color="auto" w:fill="auto"/>
            <w:vAlign w:val="bottom"/>
            <w:hideMark/>
          </w:tcPr>
          <w:p w:rsidR="003E3038" w:rsidRPr="00912C55" w:rsidRDefault="00912C55" w:rsidP="00912C55">
            <w:pPr>
              <w:pStyle w:val="SingleTxtG"/>
              <w:spacing w:before="40" w:after="40" w:line="220" w:lineRule="exact"/>
              <w:ind w:left="113" w:right="0"/>
              <w:jc w:val="right"/>
              <w:rPr>
                <w:sz w:val="18"/>
              </w:rPr>
            </w:pPr>
            <w:r>
              <w:rPr>
                <w:sz w:val="18"/>
              </w:rPr>
              <w:t xml:space="preserve">1 </w:t>
            </w:r>
            <w:r w:rsidR="003E3038" w:rsidRPr="00912C55">
              <w:rPr>
                <w:sz w:val="18"/>
              </w:rPr>
              <w:t>589</w:t>
            </w:r>
          </w:p>
        </w:tc>
      </w:tr>
      <w:tr w:rsidR="003E3038" w:rsidRPr="00912C55" w:rsidTr="00912C55">
        <w:trPr>
          <w:trHeight w:val="240"/>
        </w:trPr>
        <w:tc>
          <w:tcPr>
            <w:tcW w:w="5670"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Medidas cautelares</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565</w:t>
            </w:r>
          </w:p>
        </w:tc>
      </w:tr>
      <w:tr w:rsidR="003E3038" w:rsidRPr="00912C55" w:rsidTr="00912C55">
        <w:trPr>
          <w:trHeight w:val="240"/>
        </w:trPr>
        <w:tc>
          <w:tcPr>
            <w:tcW w:w="5670"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Apelaciones</w:t>
            </w:r>
          </w:p>
        </w:tc>
        <w:tc>
          <w:tcPr>
            <w:tcW w:w="1701" w:type="dxa"/>
            <w:shd w:val="clear" w:color="auto" w:fill="auto"/>
            <w:vAlign w:val="bottom"/>
            <w:hideMark/>
          </w:tcPr>
          <w:p w:rsidR="003E3038" w:rsidRPr="00912C55" w:rsidRDefault="00912C55" w:rsidP="00912C55">
            <w:pPr>
              <w:pStyle w:val="SingleTxtG"/>
              <w:spacing w:before="40" w:after="40" w:line="220" w:lineRule="exact"/>
              <w:ind w:left="113" w:right="0"/>
              <w:jc w:val="right"/>
              <w:rPr>
                <w:sz w:val="18"/>
              </w:rPr>
            </w:pPr>
            <w:r>
              <w:rPr>
                <w:sz w:val="18"/>
              </w:rPr>
              <w:t xml:space="preserve">1 </w:t>
            </w:r>
            <w:r w:rsidR="003E3038" w:rsidRPr="00912C55">
              <w:rPr>
                <w:sz w:val="18"/>
              </w:rPr>
              <w:t>237</w:t>
            </w:r>
          </w:p>
        </w:tc>
      </w:tr>
      <w:tr w:rsidR="003E3038" w:rsidRPr="00912C55" w:rsidTr="00912C55">
        <w:trPr>
          <w:trHeight w:val="240"/>
        </w:trPr>
        <w:tc>
          <w:tcPr>
            <w:tcW w:w="5670"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Apelaciones contra medidas cautelares</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30</w:t>
            </w:r>
          </w:p>
        </w:tc>
      </w:tr>
      <w:tr w:rsidR="003E3038" w:rsidRPr="00912C55" w:rsidTr="00912C55">
        <w:trPr>
          <w:trHeight w:val="240"/>
        </w:trPr>
        <w:tc>
          <w:tcPr>
            <w:tcW w:w="5670" w:type="dxa"/>
            <w:tcBorders>
              <w:bottom w:val="single" w:sz="12" w:space="0" w:color="auto"/>
            </w:tcBorders>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Recursos de oposición</w:t>
            </w:r>
          </w:p>
        </w:tc>
        <w:tc>
          <w:tcPr>
            <w:tcW w:w="1701" w:type="dxa"/>
            <w:tcBorders>
              <w:bottom w:val="single" w:sz="12" w:space="0" w:color="auto"/>
            </w:tcBorders>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16</w:t>
            </w:r>
          </w:p>
        </w:tc>
      </w:tr>
    </w:tbl>
    <w:p w:rsidR="003E3038" w:rsidRPr="003E3038" w:rsidRDefault="003E3038" w:rsidP="00912C55">
      <w:pPr>
        <w:pStyle w:val="SingleTxtG"/>
        <w:spacing w:before="240"/>
        <w:rPr>
          <w:b/>
        </w:rPr>
      </w:pPr>
      <w:r w:rsidRPr="003E3038">
        <w:rPr>
          <w:b/>
        </w:rPr>
        <w:t>Actividades de los juzgados de instrucción (2014)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95"/>
        <w:gridCol w:w="1675"/>
      </w:tblGrid>
      <w:tr w:rsidR="003E3038" w:rsidRPr="00912C55" w:rsidTr="00912C55">
        <w:trPr>
          <w:trHeight w:val="240"/>
          <w:tblHeader/>
        </w:trPr>
        <w:tc>
          <w:tcPr>
            <w:tcW w:w="7196" w:type="dxa"/>
            <w:tcBorders>
              <w:top w:val="single" w:sz="4" w:space="0" w:color="auto"/>
              <w:bottom w:val="single" w:sz="12" w:space="0" w:color="auto"/>
            </w:tcBorders>
            <w:shd w:val="clear" w:color="auto" w:fill="auto"/>
            <w:vAlign w:val="bottom"/>
            <w:hideMark/>
          </w:tcPr>
          <w:p w:rsidR="003E3038" w:rsidRPr="00912C55" w:rsidRDefault="003E3038" w:rsidP="00912C55">
            <w:pPr>
              <w:pStyle w:val="SingleTxtG"/>
              <w:spacing w:before="80" w:after="80" w:line="200" w:lineRule="exact"/>
              <w:ind w:left="0" w:right="0"/>
              <w:jc w:val="left"/>
              <w:rPr>
                <w:bCs/>
                <w:i/>
                <w:sz w:val="16"/>
              </w:rPr>
            </w:pPr>
            <w:r w:rsidRPr="00912C55">
              <w:rPr>
                <w:i/>
                <w:sz w:val="16"/>
              </w:rPr>
              <w:t xml:space="preserve">Concepto </w:t>
            </w:r>
          </w:p>
        </w:tc>
        <w:tc>
          <w:tcPr>
            <w:tcW w:w="2016" w:type="dxa"/>
            <w:tcBorders>
              <w:top w:val="single" w:sz="4" w:space="0" w:color="auto"/>
              <w:bottom w:val="single" w:sz="12" w:space="0" w:color="auto"/>
            </w:tcBorders>
            <w:shd w:val="clear" w:color="auto" w:fill="auto"/>
            <w:vAlign w:val="bottom"/>
            <w:hideMark/>
          </w:tcPr>
          <w:p w:rsidR="003E3038" w:rsidRPr="00912C55" w:rsidRDefault="003E3038" w:rsidP="00912C55">
            <w:pPr>
              <w:pStyle w:val="SingleTxtG"/>
              <w:spacing w:before="80" w:after="80" w:line="200" w:lineRule="exact"/>
              <w:ind w:left="113" w:right="0"/>
              <w:jc w:val="right"/>
              <w:rPr>
                <w:bCs/>
                <w:i/>
                <w:sz w:val="16"/>
              </w:rPr>
            </w:pPr>
            <w:r w:rsidRPr="00912C55">
              <w:rPr>
                <w:i/>
                <w:sz w:val="16"/>
              </w:rPr>
              <w:t>Número</w:t>
            </w:r>
          </w:p>
        </w:tc>
      </w:tr>
      <w:tr w:rsidR="003E3038" w:rsidRPr="00912C55" w:rsidTr="00912C55">
        <w:trPr>
          <w:trHeight w:val="240"/>
        </w:trPr>
        <w:tc>
          <w:tcPr>
            <w:tcW w:w="7196" w:type="dxa"/>
            <w:tcBorders>
              <w:top w:val="single" w:sz="12" w:space="0" w:color="auto"/>
            </w:tcBorders>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Causas incoadas</w:t>
            </w:r>
          </w:p>
        </w:tc>
        <w:tc>
          <w:tcPr>
            <w:tcW w:w="2016" w:type="dxa"/>
            <w:tcBorders>
              <w:top w:val="single" w:sz="12" w:space="0" w:color="auto"/>
            </w:tcBorders>
            <w:shd w:val="clear" w:color="auto" w:fill="auto"/>
            <w:vAlign w:val="bottom"/>
            <w:hideMark/>
          </w:tcPr>
          <w:p w:rsidR="003E3038" w:rsidRPr="00912C55" w:rsidRDefault="00912C55" w:rsidP="00912C55">
            <w:pPr>
              <w:pStyle w:val="SingleTxtG"/>
              <w:spacing w:before="40" w:after="40" w:line="220" w:lineRule="exact"/>
              <w:ind w:left="113" w:right="0"/>
              <w:jc w:val="right"/>
              <w:rPr>
                <w:sz w:val="18"/>
              </w:rPr>
            </w:pPr>
            <w:r>
              <w:rPr>
                <w:sz w:val="18"/>
              </w:rPr>
              <w:t xml:space="preserve">2 </w:t>
            </w:r>
            <w:r w:rsidR="003E3038" w:rsidRPr="00912C55">
              <w:rPr>
                <w:sz w:val="18"/>
              </w:rPr>
              <w:t>414</w:t>
            </w:r>
          </w:p>
        </w:tc>
      </w:tr>
      <w:tr w:rsidR="003E3038" w:rsidRPr="00912C55" w:rsidTr="00912C55">
        <w:trPr>
          <w:trHeight w:val="240"/>
        </w:trPr>
        <w:tc>
          <w:tcPr>
            <w:tcW w:w="7196"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Imputados</w:t>
            </w:r>
          </w:p>
        </w:tc>
        <w:tc>
          <w:tcPr>
            <w:tcW w:w="2016" w:type="dxa"/>
            <w:shd w:val="clear" w:color="auto" w:fill="auto"/>
            <w:vAlign w:val="bottom"/>
            <w:hideMark/>
          </w:tcPr>
          <w:p w:rsidR="003E3038" w:rsidRPr="00912C55" w:rsidRDefault="00912C55" w:rsidP="00912C55">
            <w:pPr>
              <w:pStyle w:val="SingleTxtG"/>
              <w:spacing w:before="40" w:after="40" w:line="220" w:lineRule="exact"/>
              <w:ind w:left="113" w:right="0"/>
              <w:jc w:val="right"/>
              <w:rPr>
                <w:sz w:val="18"/>
              </w:rPr>
            </w:pPr>
            <w:r>
              <w:rPr>
                <w:sz w:val="18"/>
              </w:rPr>
              <w:t xml:space="preserve">3 </w:t>
            </w:r>
            <w:r w:rsidR="003E3038" w:rsidRPr="00912C55">
              <w:rPr>
                <w:sz w:val="18"/>
              </w:rPr>
              <w:t>962</w:t>
            </w:r>
          </w:p>
        </w:tc>
      </w:tr>
      <w:tr w:rsidR="003E3038" w:rsidRPr="00912C55" w:rsidTr="00912C55">
        <w:trPr>
          <w:trHeight w:val="240"/>
        </w:trPr>
        <w:tc>
          <w:tcPr>
            <w:tcW w:w="7196"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Causas remitidas al tribunal penal</w:t>
            </w:r>
          </w:p>
        </w:tc>
        <w:tc>
          <w:tcPr>
            <w:tcW w:w="2016"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594</w:t>
            </w:r>
          </w:p>
        </w:tc>
      </w:tr>
      <w:tr w:rsidR="003E3038" w:rsidRPr="00912C55" w:rsidTr="00912C55">
        <w:trPr>
          <w:trHeight w:val="240"/>
        </w:trPr>
        <w:tc>
          <w:tcPr>
            <w:tcW w:w="7196"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Causas remitidas a la sala correccional</w:t>
            </w:r>
          </w:p>
        </w:tc>
        <w:tc>
          <w:tcPr>
            <w:tcW w:w="2016"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757</w:t>
            </w:r>
          </w:p>
        </w:tc>
      </w:tr>
      <w:tr w:rsidR="003E3038" w:rsidRPr="00912C55" w:rsidTr="00912C55">
        <w:trPr>
          <w:trHeight w:val="240"/>
        </w:trPr>
        <w:tc>
          <w:tcPr>
            <w:tcW w:w="7196"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Causas concluidas con el cierre de la instrucción</w:t>
            </w:r>
          </w:p>
        </w:tc>
        <w:tc>
          <w:tcPr>
            <w:tcW w:w="2016" w:type="dxa"/>
            <w:shd w:val="clear" w:color="auto" w:fill="auto"/>
            <w:vAlign w:val="bottom"/>
            <w:hideMark/>
          </w:tcPr>
          <w:p w:rsidR="003E3038" w:rsidRPr="00912C55" w:rsidRDefault="00912C55" w:rsidP="00912C55">
            <w:pPr>
              <w:pStyle w:val="SingleTxtG"/>
              <w:spacing w:before="40" w:after="40" w:line="220" w:lineRule="exact"/>
              <w:ind w:left="113" w:right="0"/>
              <w:jc w:val="right"/>
              <w:rPr>
                <w:sz w:val="18"/>
              </w:rPr>
            </w:pPr>
            <w:r>
              <w:rPr>
                <w:sz w:val="18"/>
              </w:rPr>
              <w:t xml:space="preserve">1 </w:t>
            </w:r>
            <w:r w:rsidR="003E3038" w:rsidRPr="00912C55">
              <w:rPr>
                <w:sz w:val="18"/>
              </w:rPr>
              <w:t>395</w:t>
            </w:r>
          </w:p>
        </w:tc>
      </w:tr>
      <w:tr w:rsidR="003E3038" w:rsidRPr="00912C55" w:rsidTr="00912C55">
        <w:trPr>
          <w:trHeight w:val="240"/>
        </w:trPr>
        <w:tc>
          <w:tcPr>
            <w:tcW w:w="7196"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Órdenes de ingreso en prisión</w:t>
            </w:r>
          </w:p>
        </w:tc>
        <w:tc>
          <w:tcPr>
            <w:tcW w:w="2016" w:type="dxa"/>
            <w:shd w:val="clear" w:color="auto" w:fill="auto"/>
            <w:vAlign w:val="bottom"/>
            <w:hideMark/>
          </w:tcPr>
          <w:p w:rsidR="003E3038" w:rsidRPr="00912C55" w:rsidRDefault="00912C55" w:rsidP="00912C55">
            <w:pPr>
              <w:pStyle w:val="SingleTxtG"/>
              <w:spacing w:before="40" w:after="40" w:line="220" w:lineRule="exact"/>
              <w:ind w:left="113" w:right="0"/>
              <w:jc w:val="right"/>
              <w:rPr>
                <w:sz w:val="18"/>
              </w:rPr>
            </w:pPr>
            <w:r>
              <w:rPr>
                <w:sz w:val="18"/>
              </w:rPr>
              <w:t xml:space="preserve">1 </w:t>
            </w:r>
            <w:r w:rsidR="003E3038" w:rsidRPr="00912C55">
              <w:rPr>
                <w:sz w:val="18"/>
              </w:rPr>
              <w:t>579</w:t>
            </w:r>
          </w:p>
        </w:tc>
      </w:tr>
      <w:tr w:rsidR="003E3038" w:rsidRPr="00912C55" w:rsidTr="00912C55">
        <w:trPr>
          <w:trHeight w:val="240"/>
        </w:trPr>
        <w:tc>
          <w:tcPr>
            <w:tcW w:w="7196"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Órdenes de puesta en libertad</w:t>
            </w:r>
          </w:p>
        </w:tc>
        <w:tc>
          <w:tcPr>
            <w:tcW w:w="2016"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421</w:t>
            </w:r>
          </w:p>
        </w:tc>
      </w:tr>
      <w:tr w:rsidR="003E3038" w:rsidRPr="00912C55" w:rsidTr="00912C55">
        <w:trPr>
          <w:trHeight w:val="240"/>
        </w:trPr>
        <w:tc>
          <w:tcPr>
            <w:tcW w:w="7196"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Órdenes de control judicial</w:t>
            </w:r>
          </w:p>
        </w:tc>
        <w:tc>
          <w:tcPr>
            <w:tcW w:w="2016"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915</w:t>
            </w:r>
          </w:p>
        </w:tc>
      </w:tr>
      <w:tr w:rsidR="003E3038" w:rsidRPr="00912C55" w:rsidTr="00912C55">
        <w:trPr>
          <w:trHeight w:val="240"/>
        </w:trPr>
        <w:tc>
          <w:tcPr>
            <w:tcW w:w="7196"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Autos de sobreseimiento</w:t>
            </w:r>
          </w:p>
        </w:tc>
        <w:tc>
          <w:tcPr>
            <w:tcW w:w="2016"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140</w:t>
            </w:r>
          </w:p>
        </w:tc>
      </w:tr>
      <w:tr w:rsidR="003E3038" w:rsidRPr="00912C55" w:rsidTr="00912C55">
        <w:trPr>
          <w:trHeight w:val="240"/>
        </w:trPr>
        <w:tc>
          <w:tcPr>
            <w:tcW w:w="7196"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Actas de conciliación</w:t>
            </w:r>
          </w:p>
        </w:tc>
        <w:tc>
          <w:tcPr>
            <w:tcW w:w="2016"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364</w:t>
            </w:r>
          </w:p>
        </w:tc>
      </w:tr>
      <w:tr w:rsidR="003E3038" w:rsidRPr="00912C55" w:rsidTr="00912C55">
        <w:trPr>
          <w:trHeight w:val="240"/>
        </w:trPr>
        <w:tc>
          <w:tcPr>
            <w:tcW w:w="7196"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Fianzas</w:t>
            </w:r>
          </w:p>
        </w:tc>
        <w:tc>
          <w:tcPr>
            <w:tcW w:w="2016"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440</w:t>
            </w:r>
          </w:p>
        </w:tc>
      </w:tr>
      <w:tr w:rsidR="003E3038" w:rsidRPr="00912C55" w:rsidTr="00912C55">
        <w:trPr>
          <w:trHeight w:val="240"/>
        </w:trPr>
        <w:tc>
          <w:tcPr>
            <w:tcW w:w="7196"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Visitas a las penitenciarías</w:t>
            </w:r>
          </w:p>
        </w:tc>
        <w:tc>
          <w:tcPr>
            <w:tcW w:w="2016"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689</w:t>
            </w:r>
          </w:p>
        </w:tc>
      </w:tr>
      <w:tr w:rsidR="003E3038" w:rsidRPr="00912C55" w:rsidTr="00912C55">
        <w:trPr>
          <w:trHeight w:val="240"/>
        </w:trPr>
        <w:tc>
          <w:tcPr>
            <w:tcW w:w="7196"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Exhortos</w:t>
            </w:r>
          </w:p>
        </w:tc>
        <w:tc>
          <w:tcPr>
            <w:tcW w:w="2016"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145</w:t>
            </w:r>
          </w:p>
        </w:tc>
      </w:tr>
      <w:tr w:rsidR="003E3038" w:rsidRPr="00912C55" w:rsidTr="00912C55">
        <w:trPr>
          <w:trHeight w:val="240"/>
        </w:trPr>
        <w:tc>
          <w:tcPr>
            <w:tcW w:w="7196"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Decisiones de libertad bajo fianza</w:t>
            </w:r>
          </w:p>
        </w:tc>
        <w:tc>
          <w:tcPr>
            <w:tcW w:w="2016"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43</w:t>
            </w:r>
          </w:p>
        </w:tc>
      </w:tr>
      <w:tr w:rsidR="003E3038" w:rsidRPr="00912C55" w:rsidTr="00912C55">
        <w:trPr>
          <w:trHeight w:val="240"/>
        </w:trPr>
        <w:tc>
          <w:tcPr>
            <w:tcW w:w="7196"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Pruebas periciales</w:t>
            </w:r>
          </w:p>
        </w:tc>
        <w:tc>
          <w:tcPr>
            <w:tcW w:w="2016"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63</w:t>
            </w:r>
          </w:p>
        </w:tc>
      </w:tr>
      <w:tr w:rsidR="003E3038" w:rsidRPr="00912C55" w:rsidTr="00912C55">
        <w:trPr>
          <w:trHeight w:val="240"/>
        </w:trPr>
        <w:tc>
          <w:tcPr>
            <w:tcW w:w="7196" w:type="dxa"/>
            <w:tcBorders>
              <w:bottom w:val="single" w:sz="12" w:space="0" w:color="auto"/>
            </w:tcBorders>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Órdenes de detención</w:t>
            </w:r>
          </w:p>
        </w:tc>
        <w:tc>
          <w:tcPr>
            <w:tcW w:w="2016" w:type="dxa"/>
            <w:tcBorders>
              <w:bottom w:val="single" w:sz="12" w:space="0" w:color="auto"/>
            </w:tcBorders>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297</w:t>
            </w:r>
          </w:p>
        </w:tc>
      </w:tr>
    </w:tbl>
    <w:p w:rsidR="003E3038" w:rsidRPr="003E3038" w:rsidRDefault="003E3038" w:rsidP="00912C55">
      <w:pPr>
        <w:pStyle w:val="SingleTxtG"/>
        <w:spacing w:before="240"/>
        <w:rPr>
          <w:b/>
        </w:rPr>
      </w:pPr>
      <w:r w:rsidRPr="003E3038">
        <w:rPr>
          <w:b/>
        </w:rPr>
        <w:lastRenderedPageBreak/>
        <w:t>Estadísticas de la Fiscalía de Nuakchot (2012)</w:t>
      </w:r>
    </w:p>
    <w:p w:rsidR="003E3038" w:rsidRPr="003E3038" w:rsidRDefault="003E3038" w:rsidP="003E3038">
      <w:pPr>
        <w:pStyle w:val="SingleTxtG"/>
        <w:rPr>
          <w:b/>
        </w:rPr>
      </w:pPr>
      <w:r w:rsidRPr="003E3038">
        <w:rPr>
          <w:b/>
        </w:rPr>
        <w:t>Estadísticas de delitos (2012)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94"/>
        <w:gridCol w:w="1676"/>
      </w:tblGrid>
      <w:tr w:rsidR="003E3038" w:rsidRPr="00912C55" w:rsidTr="00912C55">
        <w:trPr>
          <w:trHeight w:val="240"/>
          <w:tblHeader/>
        </w:trPr>
        <w:tc>
          <w:tcPr>
            <w:tcW w:w="5694" w:type="dxa"/>
            <w:tcBorders>
              <w:top w:val="single" w:sz="4" w:space="0" w:color="auto"/>
              <w:bottom w:val="single" w:sz="12" w:space="0" w:color="auto"/>
            </w:tcBorders>
            <w:shd w:val="clear" w:color="auto" w:fill="auto"/>
            <w:vAlign w:val="bottom"/>
            <w:hideMark/>
          </w:tcPr>
          <w:p w:rsidR="003E3038" w:rsidRPr="00912C55" w:rsidRDefault="003E3038" w:rsidP="00912C55">
            <w:pPr>
              <w:pStyle w:val="SingleTxtG"/>
              <w:spacing w:before="80" w:after="80" w:line="200" w:lineRule="exact"/>
              <w:ind w:left="0" w:right="0"/>
              <w:jc w:val="left"/>
              <w:rPr>
                <w:bCs/>
                <w:i/>
                <w:sz w:val="16"/>
              </w:rPr>
            </w:pPr>
            <w:r w:rsidRPr="00912C55">
              <w:rPr>
                <w:i/>
                <w:sz w:val="16"/>
              </w:rPr>
              <w:t>Categoría</w:t>
            </w:r>
          </w:p>
        </w:tc>
        <w:tc>
          <w:tcPr>
            <w:tcW w:w="1676" w:type="dxa"/>
            <w:tcBorders>
              <w:top w:val="single" w:sz="4" w:space="0" w:color="auto"/>
              <w:bottom w:val="single" w:sz="12" w:space="0" w:color="auto"/>
            </w:tcBorders>
            <w:shd w:val="clear" w:color="auto" w:fill="auto"/>
            <w:vAlign w:val="bottom"/>
            <w:hideMark/>
          </w:tcPr>
          <w:p w:rsidR="003E3038" w:rsidRPr="00912C55" w:rsidRDefault="003E3038" w:rsidP="00912C55">
            <w:pPr>
              <w:pStyle w:val="SingleTxtG"/>
              <w:spacing w:before="80" w:after="80" w:line="200" w:lineRule="exact"/>
              <w:ind w:left="113" w:right="0"/>
              <w:jc w:val="right"/>
              <w:rPr>
                <w:bCs/>
                <w:i/>
                <w:sz w:val="16"/>
              </w:rPr>
            </w:pPr>
            <w:r w:rsidRPr="00912C55">
              <w:rPr>
                <w:i/>
                <w:sz w:val="16"/>
              </w:rPr>
              <w:t>Número</w:t>
            </w:r>
          </w:p>
        </w:tc>
      </w:tr>
      <w:tr w:rsidR="003E3038" w:rsidRPr="00912C55" w:rsidTr="00912C55">
        <w:trPr>
          <w:trHeight w:val="240"/>
        </w:trPr>
        <w:tc>
          <w:tcPr>
            <w:tcW w:w="5694" w:type="dxa"/>
            <w:tcBorders>
              <w:top w:val="single" w:sz="12" w:space="0" w:color="auto"/>
            </w:tcBorders>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 xml:space="preserve">Robo </w:t>
            </w:r>
          </w:p>
        </w:tc>
        <w:tc>
          <w:tcPr>
            <w:tcW w:w="1676" w:type="dxa"/>
            <w:tcBorders>
              <w:top w:val="single" w:sz="12" w:space="0" w:color="auto"/>
            </w:tcBorders>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156</w:t>
            </w:r>
          </w:p>
        </w:tc>
      </w:tr>
      <w:tr w:rsidR="003E3038" w:rsidRPr="00912C55" w:rsidTr="00912C55">
        <w:trPr>
          <w:trHeight w:val="240"/>
        </w:trPr>
        <w:tc>
          <w:tcPr>
            <w:tcW w:w="5694"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Violación</w:t>
            </w:r>
          </w:p>
        </w:tc>
        <w:tc>
          <w:tcPr>
            <w:tcW w:w="1676"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49</w:t>
            </w:r>
          </w:p>
        </w:tc>
      </w:tr>
      <w:tr w:rsidR="003E3038" w:rsidRPr="00912C55" w:rsidTr="00912C55">
        <w:trPr>
          <w:trHeight w:val="240"/>
        </w:trPr>
        <w:tc>
          <w:tcPr>
            <w:tcW w:w="5694"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Posesión, venta e importación de drogas</w:t>
            </w:r>
          </w:p>
        </w:tc>
        <w:tc>
          <w:tcPr>
            <w:tcW w:w="1676"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56</w:t>
            </w:r>
          </w:p>
        </w:tc>
      </w:tr>
      <w:tr w:rsidR="003E3038" w:rsidRPr="00912C55" w:rsidTr="00912C55">
        <w:trPr>
          <w:trHeight w:val="240"/>
        </w:trPr>
        <w:tc>
          <w:tcPr>
            <w:tcW w:w="5694"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Venta de alcohol</w:t>
            </w:r>
          </w:p>
        </w:tc>
        <w:tc>
          <w:tcPr>
            <w:tcW w:w="1676"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52</w:t>
            </w:r>
          </w:p>
        </w:tc>
      </w:tr>
      <w:tr w:rsidR="003E3038" w:rsidRPr="00912C55" w:rsidTr="00912C55">
        <w:trPr>
          <w:trHeight w:val="240"/>
        </w:trPr>
        <w:tc>
          <w:tcPr>
            <w:tcW w:w="5694"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Zina</w:t>
            </w:r>
          </w:p>
        </w:tc>
        <w:tc>
          <w:tcPr>
            <w:tcW w:w="1676"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12</w:t>
            </w:r>
          </w:p>
        </w:tc>
      </w:tr>
      <w:tr w:rsidR="003E3038" w:rsidRPr="00912C55" w:rsidTr="00912C55">
        <w:trPr>
          <w:trHeight w:val="240"/>
        </w:trPr>
        <w:tc>
          <w:tcPr>
            <w:tcW w:w="5694"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Homicidio intencional</w:t>
            </w:r>
          </w:p>
        </w:tc>
        <w:tc>
          <w:tcPr>
            <w:tcW w:w="1676"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22</w:t>
            </w:r>
          </w:p>
        </w:tc>
      </w:tr>
      <w:tr w:rsidR="003E3038" w:rsidRPr="00912C55" w:rsidTr="00912C55">
        <w:trPr>
          <w:trHeight w:val="240"/>
        </w:trPr>
        <w:tc>
          <w:tcPr>
            <w:tcW w:w="5694"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Falsificación y uso de falsificaciones</w:t>
            </w:r>
          </w:p>
        </w:tc>
        <w:tc>
          <w:tcPr>
            <w:tcW w:w="1676"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21</w:t>
            </w:r>
          </w:p>
        </w:tc>
      </w:tr>
      <w:tr w:rsidR="003E3038" w:rsidRPr="00912C55" w:rsidTr="00912C55">
        <w:trPr>
          <w:trHeight w:val="240"/>
        </w:trPr>
        <w:tc>
          <w:tcPr>
            <w:tcW w:w="5694"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Destrucción de bienes ajenos</w:t>
            </w:r>
          </w:p>
        </w:tc>
        <w:tc>
          <w:tcPr>
            <w:tcW w:w="1676"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36</w:t>
            </w:r>
          </w:p>
        </w:tc>
      </w:tr>
      <w:tr w:rsidR="003E3038" w:rsidRPr="00912C55" w:rsidTr="00912C55">
        <w:trPr>
          <w:trHeight w:val="240"/>
        </w:trPr>
        <w:tc>
          <w:tcPr>
            <w:tcW w:w="5694"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Amenaza de muerte</w:t>
            </w:r>
          </w:p>
        </w:tc>
        <w:tc>
          <w:tcPr>
            <w:tcW w:w="1676"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15</w:t>
            </w:r>
          </w:p>
        </w:tc>
      </w:tr>
      <w:tr w:rsidR="003E3038" w:rsidRPr="00912C55" w:rsidTr="00912C55">
        <w:trPr>
          <w:trHeight w:val="240"/>
        </w:trPr>
        <w:tc>
          <w:tcPr>
            <w:tcW w:w="5694"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Agresión intencional</w:t>
            </w:r>
          </w:p>
        </w:tc>
        <w:tc>
          <w:tcPr>
            <w:tcW w:w="1676"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47</w:t>
            </w:r>
          </w:p>
        </w:tc>
      </w:tr>
      <w:tr w:rsidR="003E3038" w:rsidRPr="00912C55" w:rsidTr="00912C55">
        <w:trPr>
          <w:trHeight w:val="240"/>
        </w:trPr>
        <w:tc>
          <w:tcPr>
            <w:tcW w:w="5694" w:type="dxa"/>
            <w:tcBorders>
              <w:bottom w:val="single" w:sz="12" w:space="0" w:color="auto"/>
            </w:tcBorders>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Terrorismo</w:t>
            </w:r>
          </w:p>
        </w:tc>
        <w:tc>
          <w:tcPr>
            <w:tcW w:w="1676" w:type="dxa"/>
            <w:tcBorders>
              <w:bottom w:val="single" w:sz="12" w:space="0" w:color="auto"/>
            </w:tcBorders>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7</w:t>
            </w:r>
          </w:p>
        </w:tc>
      </w:tr>
    </w:tbl>
    <w:p w:rsidR="003E3038" w:rsidRPr="003E3038" w:rsidRDefault="003E3038" w:rsidP="00912C55">
      <w:pPr>
        <w:pStyle w:val="SingleTxtG"/>
        <w:spacing w:before="240"/>
        <w:rPr>
          <w:b/>
        </w:rPr>
      </w:pPr>
      <w:r w:rsidRPr="003E3038">
        <w:rPr>
          <w:b/>
        </w:rPr>
        <w:t>Delitos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69"/>
        <w:gridCol w:w="1701"/>
      </w:tblGrid>
      <w:tr w:rsidR="003E3038" w:rsidRPr="00912C55" w:rsidTr="00912C55">
        <w:trPr>
          <w:trHeight w:val="240"/>
          <w:tblHeader/>
        </w:trPr>
        <w:tc>
          <w:tcPr>
            <w:tcW w:w="5669" w:type="dxa"/>
            <w:tcBorders>
              <w:top w:val="single" w:sz="4" w:space="0" w:color="auto"/>
              <w:bottom w:val="single" w:sz="12" w:space="0" w:color="auto"/>
            </w:tcBorders>
            <w:shd w:val="clear" w:color="auto" w:fill="auto"/>
            <w:vAlign w:val="bottom"/>
            <w:hideMark/>
          </w:tcPr>
          <w:p w:rsidR="003E3038" w:rsidRPr="00912C55" w:rsidRDefault="003E3038" w:rsidP="00912C55">
            <w:pPr>
              <w:pStyle w:val="SingleTxtG"/>
              <w:spacing w:before="80" w:after="80" w:line="200" w:lineRule="exact"/>
              <w:ind w:left="0" w:right="0"/>
              <w:jc w:val="left"/>
              <w:rPr>
                <w:bCs/>
                <w:i/>
                <w:sz w:val="16"/>
              </w:rPr>
            </w:pPr>
            <w:r w:rsidRPr="00912C55">
              <w:rPr>
                <w:i/>
                <w:sz w:val="16"/>
              </w:rPr>
              <w:t>Categoría</w:t>
            </w:r>
          </w:p>
        </w:tc>
        <w:tc>
          <w:tcPr>
            <w:tcW w:w="1701" w:type="dxa"/>
            <w:tcBorders>
              <w:top w:val="single" w:sz="4" w:space="0" w:color="auto"/>
              <w:bottom w:val="single" w:sz="12" w:space="0" w:color="auto"/>
            </w:tcBorders>
            <w:shd w:val="clear" w:color="auto" w:fill="auto"/>
            <w:vAlign w:val="bottom"/>
            <w:hideMark/>
          </w:tcPr>
          <w:p w:rsidR="003E3038" w:rsidRPr="00912C55" w:rsidRDefault="003E3038" w:rsidP="00912C55">
            <w:pPr>
              <w:pStyle w:val="SingleTxtG"/>
              <w:spacing w:before="80" w:after="80" w:line="200" w:lineRule="exact"/>
              <w:ind w:left="113" w:right="0"/>
              <w:jc w:val="right"/>
              <w:rPr>
                <w:bCs/>
                <w:i/>
                <w:sz w:val="16"/>
              </w:rPr>
            </w:pPr>
            <w:r w:rsidRPr="00912C55">
              <w:rPr>
                <w:i/>
                <w:sz w:val="16"/>
              </w:rPr>
              <w:t>Número</w:t>
            </w:r>
          </w:p>
        </w:tc>
      </w:tr>
      <w:tr w:rsidR="003E3038" w:rsidRPr="00912C55" w:rsidTr="00912C55">
        <w:trPr>
          <w:trHeight w:val="240"/>
        </w:trPr>
        <w:tc>
          <w:tcPr>
            <w:tcW w:w="5669" w:type="dxa"/>
            <w:tcBorders>
              <w:top w:val="single" w:sz="12" w:space="0" w:color="auto"/>
            </w:tcBorders>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Robo</w:t>
            </w:r>
          </w:p>
        </w:tc>
        <w:tc>
          <w:tcPr>
            <w:tcW w:w="1701" w:type="dxa"/>
            <w:tcBorders>
              <w:top w:val="single" w:sz="12" w:space="0" w:color="auto"/>
            </w:tcBorders>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445</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Ataque y lesiones</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104</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Lesiones no intencionales</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105</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Homicidio no intencional</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73</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Fraude</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89</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Abuso de confianza</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67</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Consumo de drogas</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49</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Consumo de psicotrópicos</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65</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 xml:space="preserve">Falsificación y uso de falsificaciones </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21</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Cheques sin fondos</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106</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Obstrucción de la ejecución de las decisiones judiciales</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10</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Desobediencia a los padres</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12</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Atentado a la moral</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22</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Corrupción</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10</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Amenaza de agresión</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15</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Hechicería y charlatanería</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15</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Juegos de azar</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4</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Secuestro</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1</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Vagancia</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3</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Importación de armas</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2</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Conducción sin licencia</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21</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Conducción sin seguro</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27</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Usurpación de profesión</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13</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Deserción</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12</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Evasión</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4</w:t>
            </w:r>
          </w:p>
        </w:tc>
      </w:tr>
      <w:tr w:rsidR="003E3038" w:rsidRPr="00912C55" w:rsidTr="00912C55">
        <w:trPr>
          <w:trHeight w:val="240"/>
        </w:trPr>
        <w:tc>
          <w:tcPr>
            <w:tcW w:w="5669" w:type="dxa"/>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Incendio del domicilio</w:t>
            </w:r>
          </w:p>
        </w:tc>
        <w:tc>
          <w:tcPr>
            <w:tcW w:w="1701" w:type="dxa"/>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1</w:t>
            </w:r>
          </w:p>
        </w:tc>
      </w:tr>
      <w:tr w:rsidR="003E3038" w:rsidRPr="00912C55" w:rsidTr="00912C55">
        <w:trPr>
          <w:trHeight w:val="240"/>
        </w:trPr>
        <w:tc>
          <w:tcPr>
            <w:tcW w:w="5669" w:type="dxa"/>
            <w:tcBorders>
              <w:bottom w:val="single" w:sz="12" w:space="0" w:color="auto"/>
            </w:tcBorders>
            <w:shd w:val="clear" w:color="auto" w:fill="auto"/>
            <w:hideMark/>
          </w:tcPr>
          <w:p w:rsidR="003E3038" w:rsidRPr="00912C55" w:rsidRDefault="003E3038" w:rsidP="00912C55">
            <w:pPr>
              <w:pStyle w:val="SingleTxtG"/>
              <w:spacing w:before="40" w:after="40" w:line="220" w:lineRule="exact"/>
              <w:ind w:left="0" w:right="0"/>
              <w:jc w:val="left"/>
              <w:rPr>
                <w:sz w:val="18"/>
              </w:rPr>
            </w:pPr>
            <w:r w:rsidRPr="00912C55">
              <w:rPr>
                <w:sz w:val="18"/>
              </w:rPr>
              <w:t>Otros delitos</w:t>
            </w:r>
          </w:p>
        </w:tc>
        <w:tc>
          <w:tcPr>
            <w:tcW w:w="1701" w:type="dxa"/>
            <w:tcBorders>
              <w:bottom w:val="single" w:sz="12" w:space="0" w:color="auto"/>
            </w:tcBorders>
            <w:shd w:val="clear" w:color="auto" w:fill="auto"/>
            <w:vAlign w:val="bottom"/>
            <w:hideMark/>
          </w:tcPr>
          <w:p w:rsidR="003E3038" w:rsidRPr="00912C55" w:rsidRDefault="003E3038" w:rsidP="00912C55">
            <w:pPr>
              <w:pStyle w:val="SingleTxtG"/>
              <w:spacing w:before="40" w:after="40" w:line="220" w:lineRule="exact"/>
              <w:ind w:left="113" w:right="0"/>
              <w:jc w:val="right"/>
              <w:rPr>
                <w:sz w:val="18"/>
              </w:rPr>
            </w:pPr>
            <w:r w:rsidRPr="00912C55">
              <w:rPr>
                <w:sz w:val="18"/>
              </w:rPr>
              <w:t>16</w:t>
            </w:r>
          </w:p>
        </w:tc>
      </w:tr>
    </w:tbl>
    <w:p w:rsidR="003E3038" w:rsidRPr="003E3038" w:rsidRDefault="00912C55" w:rsidP="008C0658">
      <w:pPr>
        <w:pStyle w:val="H1G"/>
      </w:pPr>
      <w:bookmarkStart w:id="26" w:name="_Toc454388701"/>
      <w:bookmarkStart w:id="27" w:name="_Toc453672862"/>
      <w:bookmarkStart w:id="28" w:name="_Toc455360514"/>
      <w:bookmarkStart w:id="29" w:name="_Toc455364118"/>
      <w:r>
        <w:lastRenderedPageBreak/>
        <w:tab/>
      </w:r>
      <w:r w:rsidR="003E3038" w:rsidRPr="003E3038">
        <w:t>C.</w:t>
      </w:r>
      <w:r w:rsidR="003E3038" w:rsidRPr="003E3038">
        <w:tab/>
        <w:t xml:space="preserve">Marco General de Promoción y Protección de los Derechos </w:t>
      </w:r>
      <w:r w:rsidR="008C0658">
        <w:br/>
      </w:r>
      <w:r w:rsidR="003E3038" w:rsidRPr="003E3038">
        <w:t>Humanos</w:t>
      </w:r>
      <w:bookmarkEnd w:id="26"/>
      <w:bookmarkEnd w:id="27"/>
      <w:bookmarkEnd w:id="28"/>
      <w:bookmarkEnd w:id="29"/>
    </w:p>
    <w:p w:rsidR="003E3038" w:rsidRPr="003E3038" w:rsidRDefault="00912C55" w:rsidP="00912C55">
      <w:pPr>
        <w:pStyle w:val="H23G"/>
      </w:pPr>
      <w:bookmarkStart w:id="30" w:name="_Toc453672863"/>
      <w:bookmarkStart w:id="31" w:name="_Toc455364119"/>
      <w:r>
        <w:tab/>
      </w:r>
      <w:r w:rsidR="003E3038" w:rsidRPr="003E3038">
        <w:t>1.</w:t>
      </w:r>
      <w:r w:rsidR="003E3038" w:rsidRPr="003E3038">
        <w:tab/>
        <w:t>Aceptación de las normas internacionales de derechos humanos</w:t>
      </w:r>
      <w:bookmarkEnd w:id="30"/>
      <w:bookmarkEnd w:id="31"/>
    </w:p>
    <w:p w:rsidR="003E3038" w:rsidRPr="003E3038" w:rsidRDefault="00912C55" w:rsidP="00912C55">
      <w:pPr>
        <w:pStyle w:val="SingleTxtG"/>
        <w:spacing w:after="0"/>
        <w:ind w:left="0" w:right="0"/>
      </w:pPr>
      <w:r>
        <w:t>Cuadro 3</w:t>
      </w:r>
    </w:p>
    <w:p w:rsidR="003E3038" w:rsidRPr="003E3038" w:rsidRDefault="003E3038" w:rsidP="00912C55">
      <w:pPr>
        <w:pStyle w:val="SingleTxtG"/>
        <w:ind w:left="0" w:right="0"/>
        <w:rPr>
          <w:b/>
          <w:bCs/>
        </w:rPr>
      </w:pPr>
      <w:r w:rsidRPr="003E3038">
        <w:rPr>
          <w:b/>
        </w:rPr>
        <w:t>Principales instrumentos internacionales de derechos humanos ratificados por Mauritania</w:t>
      </w:r>
    </w:p>
    <w:tbl>
      <w:tblPr>
        <w:tblW w:w="5000" w:type="pct"/>
        <w:tblBorders>
          <w:top w:val="single" w:sz="4" w:space="0" w:color="auto"/>
        </w:tblBorders>
        <w:tblCellMar>
          <w:left w:w="0" w:type="dxa"/>
          <w:right w:w="113" w:type="dxa"/>
        </w:tblCellMar>
        <w:tblLook w:val="04A0" w:firstRow="1" w:lastRow="0" w:firstColumn="1" w:lastColumn="0" w:noHBand="0" w:noVBand="1"/>
      </w:tblPr>
      <w:tblGrid>
        <w:gridCol w:w="716"/>
        <w:gridCol w:w="3113"/>
        <w:gridCol w:w="1558"/>
        <w:gridCol w:w="1562"/>
        <w:gridCol w:w="2802"/>
      </w:tblGrid>
      <w:tr w:rsidR="00912C55" w:rsidRPr="00912C55" w:rsidTr="002E43DD">
        <w:trPr>
          <w:trHeight w:val="240"/>
          <w:tblHeader/>
        </w:trPr>
        <w:tc>
          <w:tcPr>
            <w:tcW w:w="367" w:type="pct"/>
            <w:tcBorders>
              <w:top w:val="single" w:sz="4" w:space="0" w:color="auto"/>
              <w:bottom w:val="single" w:sz="12" w:space="0" w:color="auto"/>
            </w:tcBorders>
            <w:shd w:val="clear" w:color="auto" w:fill="auto"/>
            <w:vAlign w:val="bottom"/>
            <w:hideMark/>
          </w:tcPr>
          <w:p w:rsidR="003E3038" w:rsidRPr="00912C55" w:rsidRDefault="003E3038" w:rsidP="00912C55">
            <w:pPr>
              <w:pStyle w:val="SingleTxtG"/>
              <w:spacing w:before="80" w:after="80" w:line="200" w:lineRule="exact"/>
              <w:ind w:left="0" w:right="0"/>
              <w:jc w:val="left"/>
              <w:rPr>
                <w:bCs/>
                <w:i/>
                <w:sz w:val="16"/>
              </w:rPr>
            </w:pPr>
            <w:r w:rsidRPr="00912C55">
              <w:rPr>
                <w:i/>
                <w:sz w:val="16"/>
              </w:rPr>
              <w:t>Núm</w:t>
            </w:r>
            <w:r w:rsidR="00912C55">
              <w:rPr>
                <w:i/>
                <w:sz w:val="16"/>
              </w:rPr>
              <w:t>ero</w:t>
            </w:r>
          </w:p>
        </w:tc>
        <w:tc>
          <w:tcPr>
            <w:tcW w:w="1596" w:type="pct"/>
            <w:tcBorders>
              <w:top w:val="single" w:sz="4" w:space="0" w:color="auto"/>
              <w:bottom w:val="single" w:sz="12" w:space="0" w:color="auto"/>
            </w:tcBorders>
            <w:shd w:val="clear" w:color="auto" w:fill="auto"/>
            <w:vAlign w:val="bottom"/>
            <w:hideMark/>
          </w:tcPr>
          <w:p w:rsidR="003E3038" w:rsidRPr="00912C55" w:rsidRDefault="003E3038" w:rsidP="00912C55">
            <w:pPr>
              <w:pStyle w:val="SingleTxtG"/>
              <w:spacing w:before="80" w:after="80" w:line="200" w:lineRule="exact"/>
              <w:ind w:left="0" w:right="0"/>
              <w:jc w:val="left"/>
              <w:rPr>
                <w:bCs/>
                <w:i/>
                <w:sz w:val="16"/>
              </w:rPr>
            </w:pPr>
            <w:r w:rsidRPr="00912C55">
              <w:rPr>
                <w:i/>
                <w:sz w:val="16"/>
              </w:rPr>
              <w:t>Instrumento</w:t>
            </w:r>
          </w:p>
        </w:tc>
        <w:tc>
          <w:tcPr>
            <w:tcW w:w="799" w:type="pct"/>
            <w:tcBorders>
              <w:top w:val="single" w:sz="4" w:space="0" w:color="auto"/>
              <w:bottom w:val="single" w:sz="12" w:space="0" w:color="auto"/>
            </w:tcBorders>
            <w:shd w:val="clear" w:color="auto" w:fill="auto"/>
            <w:vAlign w:val="bottom"/>
            <w:hideMark/>
          </w:tcPr>
          <w:p w:rsidR="003E3038" w:rsidRPr="00912C55" w:rsidRDefault="003E3038" w:rsidP="00912C55">
            <w:pPr>
              <w:pStyle w:val="SingleTxtG"/>
              <w:spacing w:before="80" w:after="80" w:line="200" w:lineRule="exact"/>
              <w:ind w:left="0" w:right="0"/>
              <w:jc w:val="left"/>
              <w:rPr>
                <w:bCs/>
                <w:i/>
                <w:sz w:val="16"/>
              </w:rPr>
            </w:pPr>
            <w:r w:rsidRPr="00912C55">
              <w:rPr>
                <w:i/>
                <w:sz w:val="16"/>
              </w:rPr>
              <w:t>Fecha de aprobación</w:t>
            </w:r>
          </w:p>
        </w:tc>
        <w:tc>
          <w:tcPr>
            <w:tcW w:w="801" w:type="pct"/>
            <w:tcBorders>
              <w:top w:val="single" w:sz="4" w:space="0" w:color="auto"/>
              <w:bottom w:val="single" w:sz="12" w:space="0" w:color="auto"/>
            </w:tcBorders>
            <w:shd w:val="clear" w:color="auto" w:fill="auto"/>
            <w:vAlign w:val="bottom"/>
            <w:hideMark/>
          </w:tcPr>
          <w:p w:rsidR="003E3038" w:rsidRPr="00912C55" w:rsidRDefault="003E3038" w:rsidP="00912C55">
            <w:pPr>
              <w:pStyle w:val="SingleTxtG"/>
              <w:spacing w:before="80" w:after="80" w:line="200" w:lineRule="exact"/>
              <w:ind w:left="0" w:right="0"/>
              <w:jc w:val="left"/>
              <w:rPr>
                <w:bCs/>
                <w:i/>
                <w:sz w:val="16"/>
              </w:rPr>
            </w:pPr>
            <w:r w:rsidRPr="00912C55">
              <w:rPr>
                <w:i/>
                <w:sz w:val="16"/>
              </w:rPr>
              <w:t>Fecha de ratificación</w:t>
            </w:r>
          </w:p>
        </w:tc>
        <w:tc>
          <w:tcPr>
            <w:tcW w:w="1437" w:type="pct"/>
            <w:tcBorders>
              <w:top w:val="single" w:sz="4" w:space="0" w:color="auto"/>
              <w:bottom w:val="single" w:sz="12" w:space="0" w:color="auto"/>
            </w:tcBorders>
            <w:shd w:val="clear" w:color="auto" w:fill="auto"/>
            <w:vAlign w:val="bottom"/>
            <w:hideMark/>
          </w:tcPr>
          <w:p w:rsidR="003E3038" w:rsidRPr="00912C55" w:rsidRDefault="003E3038" w:rsidP="00912C55">
            <w:pPr>
              <w:pStyle w:val="SingleTxtG"/>
              <w:spacing w:before="80" w:after="80" w:line="200" w:lineRule="exact"/>
              <w:ind w:left="0" w:right="0"/>
              <w:jc w:val="left"/>
              <w:rPr>
                <w:bCs/>
                <w:i/>
                <w:sz w:val="16"/>
              </w:rPr>
            </w:pPr>
            <w:r w:rsidRPr="00912C55">
              <w:rPr>
                <w:i/>
                <w:sz w:val="16"/>
              </w:rPr>
              <w:t>Reservas u observaciones</w:t>
            </w:r>
          </w:p>
        </w:tc>
      </w:tr>
      <w:tr w:rsidR="00912C55" w:rsidRPr="00912C55" w:rsidTr="002E43DD">
        <w:trPr>
          <w:trHeight w:val="240"/>
        </w:trPr>
        <w:tc>
          <w:tcPr>
            <w:tcW w:w="367" w:type="pct"/>
            <w:tcBorders>
              <w:top w:val="single" w:sz="12" w:space="0" w:color="auto"/>
            </w:tcBorders>
            <w:shd w:val="clear" w:color="auto" w:fill="auto"/>
            <w:hideMark/>
          </w:tcPr>
          <w:p w:rsidR="003E3038" w:rsidRPr="00912C55" w:rsidRDefault="003E3038" w:rsidP="00912C55">
            <w:pPr>
              <w:pStyle w:val="SingleTxtG"/>
              <w:spacing w:before="40"/>
              <w:ind w:left="0" w:right="0"/>
              <w:jc w:val="left"/>
            </w:pPr>
            <w:r w:rsidRPr="00912C55">
              <w:t>1</w:t>
            </w:r>
          </w:p>
        </w:tc>
        <w:tc>
          <w:tcPr>
            <w:tcW w:w="1596" w:type="pct"/>
            <w:tcBorders>
              <w:top w:val="single" w:sz="12" w:space="0" w:color="auto"/>
            </w:tcBorders>
            <w:shd w:val="clear" w:color="auto" w:fill="auto"/>
            <w:hideMark/>
          </w:tcPr>
          <w:p w:rsidR="003E3038" w:rsidRPr="00912C55" w:rsidRDefault="003E3038" w:rsidP="00912C55">
            <w:pPr>
              <w:pStyle w:val="SingleTxtG"/>
              <w:spacing w:before="40"/>
              <w:ind w:left="0" w:right="0"/>
              <w:jc w:val="left"/>
            </w:pPr>
            <w:r w:rsidRPr="00912C55">
              <w:t>Declaración Universal de Derechos Humanos</w:t>
            </w:r>
          </w:p>
        </w:tc>
        <w:tc>
          <w:tcPr>
            <w:tcW w:w="799" w:type="pct"/>
            <w:tcBorders>
              <w:top w:val="single" w:sz="12" w:space="0" w:color="auto"/>
            </w:tcBorders>
            <w:shd w:val="clear" w:color="auto" w:fill="auto"/>
            <w:hideMark/>
          </w:tcPr>
          <w:p w:rsidR="003E3038" w:rsidRPr="00912C55" w:rsidRDefault="003E3038" w:rsidP="00912C55">
            <w:pPr>
              <w:pStyle w:val="SingleTxtG"/>
              <w:spacing w:before="40"/>
              <w:ind w:left="0" w:right="0"/>
              <w:jc w:val="left"/>
            </w:pPr>
            <w:r w:rsidRPr="00912C55">
              <w:t>1948</w:t>
            </w:r>
          </w:p>
        </w:tc>
        <w:tc>
          <w:tcPr>
            <w:tcW w:w="801" w:type="pct"/>
            <w:tcBorders>
              <w:top w:val="single" w:sz="12" w:space="0" w:color="auto"/>
            </w:tcBorders>
            <w:shd w:val="clear" w:color="auto" w:fill="auto"/>
            <w:hideMark/>
          </w:tcPr>
          <w:p w:rsidR="003E3038" w:rsidRPr="00912C55" w:rsidRDefault="003E3038" w:rsidP="002E43DD">
            <w:pPr>
              <w:pStyle w:val="SingleTxtG"/>
              <w:spacing w:before="40"/>
              <w:ind w:left="0" w:right="0"/>
              <w:jc w:val="left"/>
            </w:pPr>
            <w:r w:rsidRPr="00912C55">
              <w:t>Preámbulo de la Constitución de</w:t>
            </w:r>
            <w:r w:rsidR="002E43DD">
              <w:t> 20 de julio de </w:t>
            </w:r>
            <w:r w:rsidRPr="00912C55">
              <w:t>1991</w:t>
            </w:r>
          </w:p>
        </w:tc>
        <w:tc>
          <w:tcPr>
            <w:tcW w:w="1437" w:type="pct"/>
            <w:tcBorders>
              <w:top w:val="single" w:sz="12" w:space="0" w:color="auto"/>
            </w:tcBorders>
            <w:shd w:val="clear" w:color="auto" w:fill="auto"/>
            <w:hideMark/>
          </w:tcPr>
          <w:p w:rsidR="003E3038" w:rsidRPr="00912C55" w:rsidRDefault="003E3038" w:rsidP="002E43DD">
            <w:pPr>
              <w:pStyle w:val="SingleTxtG"/>
              <w:spacing w:before="40"/>
              <w:ind w:left="0" w:right="0"/>
              <w:jc w:val="left"/>
            </w:pPr>
            <w:r w:rsidRPr="00912C55">
              <w:t>Incorporada en el preámbulo de la Constitución de 20 de julio de</w:t>
            </w:r>
            <w:r w:rsidR="002E43DD">
              <w:t> </w:t>
            </w:r>
            <w:r w:rsidRPr="00912C55">
              <w:t>1991</w:t>
            </w:r>
          </w:p>
        </w:tc>
      </w:tr>
      <w:tr w:rsidR="002E43DD" w:rsidRPr="00912C55" w:rsidTr="002E43DD">
        <w:trPr>
          <w:trHeight w:val="240"/>
        </w:trPr>
        <w:tc>
          <w:tcPr>
            <w:tcW w:w="367" w:type="pct"/>
            <w:shd w:val="clear" w:color="auto" w:fill="auto"/>
            <w:hideMark/>
          </w:tcPr>
          <w:p w:rsidR="003E3038" w:rsidRPr="00912C55" w:rsidRDefault="003E3038" w:rsidP="00912C55">
            <w:pPr>
              <w:pStyle w:val="SingleTxtG"/>
              <w:spacing w:before="40"/>
              <w:ind w:left="0" w:right="0"/>
              <w:jc w:val="left"/>
            </w:pPr>
            <w:r w:rsidRPr="00912C55">
              <w:t>2</w:t>
            </w:r>
          </w:p>
        </w:tc>
        <w:tc>
          <w:tcPr>
            <w:tcW w:w="1596" w:type="pct"/>
            <w:shd w:val="clear" w:color="auto" w:fill="auto"/>
            <w:hideMark/>
          </w:tcPr>
          <w:p w:rsidR="003E3038" w:rsidRPr="00912C55" w:rsidRDefault="003E3038" w:rsidP="00912C55">
            <w:pPr>
              <w:pStyle w:val="SingleTxtG"/>
              <w:spacing w:before="40"/>
              <w:ind w:left="0" w:right="0"/>
              <w:jc w:val="left"/>
            </w:pPr>
            <w:r w:rsidRPr="00912C55">
              <w:t>Convención de las Naciones Unidas contra la Corrupción</w:t>
            </w:r>
          </w:p>
        </w:tc>
        <w:tc>
          <w:tcPr>
            <w:tcW w:w="799" w:type="pct"/>
            <w:shd w:val="clear" w:color="auto" w:fill="auto"/>
            <w:hideMark/>
          </w:tcPr>
          <w:p w:rsidR="003E3038" w:rsidRPr="00912C55" w:rsidRDefault="003E3038" w:rsidP="00912C55">
            <w:pPr>
              <w:pStyle w:val="SingleTxtG"/>
              <w:spacing w:before="40"/>
              <w:ind w:left="0" w:right="0"/>
              <w:jc w:val="left"/>
            </w:pPr>
            <w:r w:rsidRPr="00912C55">
              <w:t>2003</w:t>
            </w:r>
          </w:p>
        </w:tc>
        <w:tc>
          <w:tcPr>
            <w:tcW w:w="801" w:type="pct"/>
            <w:shd w:val="clear" w:color="auto" w:fill="auto"/>
          </w:tcPr>
          <w:p w:rsidR="003E3038" w:rsidRPr="00912C55" w:rsidRDefault="003E3038" w:rsidP="00912C55">
            <w:pPr>
              <w:pStyle w:val="SingleTxtG"/>
              <w:spacing w:before="40"/>
              <w:ind w:left="0" w:right="0"/>
              <w:jc w:val="left"/>
            </w:pPr>
          </w:p>
        </w:tc>
        <w:tc>
          <w:tcPr>
            <w:tcW w:w="1437" w:type="pct"/>
            <w:shd w:val="clear" w:color="auto" w:fill="auto"/>
          </w:tcPr>
          <w:p w:rsidR="003E3038" w:rsidRPr="00912C55" w:rsidRDefault="003E3038" w:rsidP="00912C55">
            <w:pPr>
              <w:pStyle w:val="SingleTxtG"/>
              <w:spacing w:before="40"/>
              <w:ind w:left="0" w:right="0"/>
              <w:jc w:val="left"/>
            </w:pPr>
          </w:p>
        </w:tc>
      </w:tr>
      <w:tr w:rsidR="002E43DD" w:rsidRPr="00912C55" w:rsidTr="002E43DD">
        <w:trPr>
          <w:trHeight w:val="240"/>
        </w:trPr>
        <w:tc>
          <w:tcPr>
            <w:tcW w:w="367" w:type="pct"/>
            <w:shd w:val="clear" w:color="auto" w:fill="auto"/>
          </w:tcPr>
          <w:p w:rsidR="003E3038" w:rsidRPr="00912C55" w:rsidRDefault="003E3038" w:rsidP="00912C55">
            <w:pPr>
              <w:pStyle w:val="SingleTxtG"/>
              <w:spacing w:before="40"/>
              <w:ind w:left="0" w:right="0"/>
              <w:jc w:val="left"/>
            </w:pPr>
            <w:r w:rsidRPr="00912C55">
              <w:t>3</w:t>
            </w:r>
          </w:p>
        </w:tc>
        <w:tc>
          <w:tcPr>
            <w:tcW w:w="1596" w:type="pct"/>
            <w:shd w:val="clear" w:color="auto" w:fill="auto"/>
          </w:tcPr>
          <w:p w:rsidR="003E3038" w:rsidRPr="00912C55" w:rsidRDefault="003E3038" w:rsidP="00912C55">
            <w:pPr>
              <w:pStyle w:val="SingleTxtG"/>
              <w:spacing w:before="40"/>
              <w:ind w:left="0" w:right="0"/>
              <w:jc w:val="left"/>
            </w:pPr>
            <w:r w:rsidRPr="00912C55">
              <w:t>Convención Internacional sobre la Eliminación de Todas las Formas de Discriminación Racial</w:t>
            </w:r>
          </w:p>
        </w:tc>
        <w:tc>
          <w:tcPr>
            <w:tcW w:w="799" w:type="pct"/>
            <w:shd w:val="clear" w:color="auto" w:fill="auto"/>
          </w:tcPr>
          <w:p w:rsidR="003E3038" w:rsidRPr="00912C55" w:rsidRDefault="003E3038" w:rsidP="00912C55">
            <w:pPr>
              <w:pStyle w:val="SingleTxtG"/>
              <w:spacing w:before="40"/>
              <w:ind w:left="0" w:right="0"/>
              <w:jc w:val="left"/>
            </w:pPr>
            <w:r w:rsidRPr="00912C55">
              <w:t>1965</w:t>
            </w:r>
          </w:p>
        </w:tc>
        <w:tc>
          <w:tcPr>
            <w:tcW w:w="801" w:type="pct"/>
            <w:shd w:val="clear" w:color="auto" w:fill="auto"/>
          </w:tcPr>
          <w:p w:rsidR="003E3038" w:rsidRPr="00912C55" w:rsidRDefault="003E3038" w:rsidP="00912C55">
            <w:pPr>
              <w:pStyle w:val="SingleTxtG"/>
              <w:spacing w:before="40"/>
              <w:ind w:left="0" w:right="0"/>
              <w:jc w:val="left"/>
            </w:pPr>
            <w:r w:rsidRPr="00912C55">
              <w:t>1988</w:t>
            </w:r>
          </w:p>
        </w:tc>
        <w:tc>
          <w:tcPr>
            <w:tcW w:w="1437" w:type="pct"/>
            <w:shd w:val="clear" w:color="auto" w:fill="auto"/>
            <w:hideMark/>
          </w:tcPr>
          <w:p w:rsidR="003E3038" w:rsidRPr="00912C55" w:rsidRDefault="002E43DD" w:rsidP="00912C55">
            <w:pPr>
              <w:pStyle w:val="SingleTxtG"/>
              <w:spacing w:before="40"/>
              <w:ind w:left="0" w:right="0"/>
              <w:jc w:val="left"/>
            </w:pPr>
            <w:r>
              <w:t>Reserva: a</w:t>
            </w:r>
            <w:r w:rsidR="003E3038" w:rsidRPr="00912C55">
              <w:t>rt. 14</w:t>
            </w:r>
          </w:p>
          <w:p w:rsidR="003E3038" w:rsidRPr="00912C55" w:rsidRDefault="003E3038" w:rsidP="00912C55">
            <w:pPr>
              <w:pStyle w:val="SingleTxtG"/>
              <w:spacing w:before="40"/>
              <w:ind w:left="0" w:right="0"/>
              <w:jc w:val="left"/>
            </w:pPr>
            <w:r w:rsidRPr="00912C55">
              <w:t xml:space="preserve">Mauritania no ha hecho la declaración por la que reconoce la competencia del Comité para recibir denuncias individuales, prevista en el artículo 14 de la Convención </w:t>
            </w:r>
          </w:p>
        </w:tc>
      </w:tr>
      <w:tr w:rsidR="002E43DD" w:rsidRPr="00912C55" w:rsidTr="002E43DD">
        <w:trPr>
          <w:trHeight w:val="240"/>
        </w:trPr>
        <w:tc>
          <w:tcPr>
            <w:tcW w:w="367" w:type="pct"/>
            <w:shd w:val="clear" w:color="auto" w:fill="auto"/>
            <w:hideMark/>
          </w:tcPr>
          <w:p w:rsidR="003E3038" w:rsidRPr="00912C55" w:rsidRDefault="003E3038" w:rsidP="00912C55">
            <w:pPr>
              <w:pStyle w:val="SingleTxtG"/>
              <w:spacing w:before="40"/>
              <w:ind w:left="0" w:right="0"/>
              <w:jc w:val="left"/>
            </w:pPr>
            <w:r w:rsidRPr="00912C55">
              <w:t>4</w:t>
            </w:r>
          </w:p>
        </w:tc>
        <w:tc>
          <w:tcPr>
            <w:tcW w:w="1596" w:type="pct"/>
            <w:shd w:val="clear" w:color="auto" w:fill="auto"/>
            <w:hideMark/>
          </w:tcPr>
          <w:p w:rsidR="003E3038" w:rsidRPr="00912C55" w:rsidRDefault="003E3038" w:rsidP="00912C55">
            <w:pPr>
              <w:pStyle w:val="SingleTxtG"/>
              <w:spacing w:before="40"/>
              <w:ind w:left="0" w:right="0"/>
              <w:jc w:val="left"/>
            </w:pPr>
            <w:r w:rsidRPr="00912C55">
              <w:t>Convención sobre la Eliminación de Todas las Formas de Discriminación contra la Mujer</w:t>
            </w:r>
          </w:p>
        </w:tc>
        <w:tc>
          <w:tcPr>
            <w:tcW w:w="799" w:type="pct"/>
            <w:shd w:val="clear" w:color="auto" w:fill="auto"/>
            <w:hideMark/>
          </w:tcPr>
          <w:p w:rsidR="003E3038" w:rsidRPr="00912C55" w:rsidRDefault="003E3038" w:rsidP="00912C55">
            <w:pPr>
              <w:pStyle w:val="SingleTxtG"/>
              <w:spacing w:before="40"/>
              <w:ind w:left="0" w:right="0"/>
              <w:jc w:val="left"/>
            </w:pPr>
            <w:r w:rsidRPr="00912C55">
              <w:t>1979</w:t>
            </w:r>
          </w:p>
        </w:tc>
        <w:tc>
          <w:tcPr>
            <w:tcW w:w="801" w:type="pct"/>
            <w:shd w:val="clear" w:color="auto" w:fill="auto"/>
            <w:hideMark/>
          </w:tcPr>
          <w:p w:rsidR="003E3038" w:rsidRPr="00912C55" w:rsidRDefault="003E3038" w:rsidP="00912C55">
            <w:pPr>
              <w:pStyle w:val="SingleTxtG"/>
              <w:spacing w:before="40"/>
              <w:ind w:left="0" w:right="0"/>
              <w:jc w:val="left"/>
            </w:pPr>
            <w:r w:rsidRPr="00912C55">
              <w:t>1990</w:t>
            </w:r>
          </w:p>
        </w:tc>
        <w:tc>
          <w:tcPr>
            <w:tcW w:w="1437" w:type="pct"/>
            <w:shd w:val="clear" w:color="auto" w:fill="auto"/>
            <w:hideMark/>
          </w:tcPr>
          <w:p w:rsidR="003E3038" w:rsidRPr="00912C55" w:rsidRDefault="003E3038" w:rsidP="00912C55">
            <w:pPr>
              <w:pStyle w:val="SingleTxtG"/>
              <w:spacing w:before="40"/>
              <w:ind w:left="0" w:right="0"/>
              <w:jc w:val="left"/>
            </w:pPr>
            <w:r w:rsidRPr="00912C55">
              <w:t xml:space="preserve">Reservas: </w:t>
            </w:r>
            <w:r w:rsidR="002E43DD">
              <w:t xml:space="preserve">art. 13, párr. </w:t>
            </w:r>
            <w:r w:rsidRPr="00912C55">
              <w:t>a)</w:t>
            </w:r>
          </w:p>
          <w:p w:rsidR="003E3038" w:rsidRPr="00912C55" w:rsidRDefault="003E3038" w:rsidP="00912C55">
            <w:pPr>
              <w:pStyle w:val="SingleTxtG"/>
              <w:spacing w:before="40"/>
              <w:ind w:left="0" w:right="0"/>
              <w:jc w:val="left"/>
            </w:pPr>
            <w:r w:rsidRPr="00912C55">
              <w:t>Art. 16</w:t>
            </w:r>
          </w:p>
        </w:tc>
      </w:tr>
      <w:tr w:rsidR="002E43DD" w:rsidRPr="00912C55" w:rsidTr="002E43DD">
        <w:trPr>
          <w:trHeight w:val="240"/>
        </w:trPr>
        <w:tc>
          <w:tcPr>
            <w:tcW w:w="367" w:type="pct"/>
            <w:shd w:val="clear" w:color="auto" w:fill="auto"/>
            <w:hideMark/>
          </w:tcPr>
          <w:p w:rsidR="003E3038" w:rsidRPr="00912C55" w:rsidRDefault="003E3038" w:rsidP="00912C55">
            <w:pPr>
              <w:pStyle w:val="SingleTxtG"/>
              <w:spacing w:before="40"/>
              <w:ind w:left="0" w:right="0"/>
              <w:jc w:val="left"/>
            </w:pPr>
            <w:r w:rsidRPr="00912C55">
              <w:t>5</w:t>
            </w:r>
          </w:p>
        </w:tc>
        <w:tc>
          <w:tcPr>
            <w:tcW w:w="1596" w:type="pct"/>
            <w:shd w:val="clear" w:color="auto" w:fill="auto"/>
            <w:hideMark/>
          </w:tcPr>
          <w:p w:rsidR="003E3038" w:rsidRPr="00912C55" w:rsidRDefault="003E3038" w:rsidP="00912C55">
            <w:pPr>
              <w:pStyle w:val="SingleTxtG"/>
              <w:spacing w:before="40"/>
              <w:ind w:left="0" w:right="0"/>
              <w:jc w:val="left"/>
            </w:pPr>
            <w:r w:rsidRPr="00912C55">
              <w:t>Convención Internacional sobre la Protección de los Derechos de Todos los Trabajadores Migratorios y de sus Familiares</w:t>
            </w:r>
          </w:p>
        </w:tc>
        <w:tc>
          <w:tcPr>
            <w:tcW w:w="799" w:type="pct"/>
            <w:shd w:val="clear" w:color="auto" w:fill="auto"/>
            <w:hideMark/>
          </w:tcPr>
          <w:p w:rsidR="003E3038" w:rsidRPr="00912C55" w:rsidRDefault="003E3038" w:rsidP="00912C55">
            <w:pPr>
              <w:pStyle w:val="SingleTxtG"/>
              <w:spacing w:before="40"/>
              <w:ind w:left="0" w:right="0"/>
              <w:jc w:val="left"/>
            </w:pPr>
            <w:r w:rsidRPr="00912C55">
              <w:t>1990</w:t>
            </w:r>
          </w:p>
        </w:tc>
        <w:tc>
          <w:tcPr>
            <w:tcW w:w="801" w:type="pct"/>
            <w:shd w:val="clear" w:color="auto" w:fill="auto"/>
            <w:hideMark/>
          </w:tcPr>
          <w:p w:rsidR="003E3038" w:rsidRPr="00912C55" w:rsidRDefault="003E3038" w:rsidP="00912C55">
            <w:pPr>
              <w:pStyle w:val="SingleTxtG"/>
              <w:spacing w:before="40"/>
              <w:ind w:left="0" w:right="0"/>
              <w:jc w:val="left"/>
            </w:pPr>
            <w:r w:rsidRPr="00912C55">
              <w:t>2003</w:t>
            </w:r>
          </w:p>
        </w:tc>
        <w:tc>
          <w:tcPr>
            <w:tcW w:w="1437" w:type="pct"/>
            <w:shd w:val="clear" w:color="auto" w:fill="auto"/>
          </w:tcPr>
          <w:p w:rsidR="003E3038" w:rsidRPr="00912C55" w:rsidRDefault="003E3038" w:rsidP="00912C55">
            <w:pPr>
              <w:pStyle w:val="SingleTxtG"/>
              <w:spacing w:before="40"/>
              <w:ind w:left="0" w:right="0"/>
              <w:jc w:val="left"/>
            </w:pPr>
          </w:p>
        </w:tc>
      </w:tr>
      <w:tr w:rsidR="002E43DD" w:rsidRPr="00912C55" w:rsidTr="002E43DD">
        <w:trPr>
          <w:trHeight w:val="240"/>
        </w:trPr>
        <w:tc>
          <w:tcPr>
            <w:tcW w:w="367" w:type="pct"/>
            <w:shd w:val="clear" w:color="auto" w:fill="auto"/>
          </w:tcPr>
          <w:p w:rsidR="003E3038" w:rsidRPr="00912C55" w:rsidRDefault="003E3038" w:rsidP="00912C55">
            <w:pPr>
              <w:pStyle w:val="SingleTxtG"/>
              <w:spacing w:before="40"/>
              <w:ind w:left="0" w:right="0"/>
              <w:jc w:val="left"/>
            </w:pPr>
            <w:r w:rsidRPr="00912C55">
              <w:t>6</w:t>
            </w:r>
          </w:p>
        </w:tc>
        <w:tc>
          <w:tcPr>
            <w:tcW w:w="1596" w:type="pct"/>
            <w:shd w:val="clear" w:color="auto" w:fill="auto"/>
          </w:tcPr>
          <w:p w:rsidR="003E3038" w:rsidRPr="00912C55" w:rsidRDefault="003E3038" w:rsidP="00912C55">
            <w:pPr>
              <w:pStyle w:val="SingleTxtG"/>
              <w:spacing w:before="40"/>
              <w:ind w:left="0" w:right="0"/>
              <w:jc w:val="left"/>
            </w:pPr>
            <w:r w:rsidRPr="00912C55">
              <w:t>Convención sobre los Derechos del Niño</w:t>
            </w:r>
          </w:p>
        </w:tc>
        <w:tc>
          <w:tcPr>
            <w:tcW w:w="799" w:type="pct"/>
            <w:shd w:val="clear" w:color="auto" w:fill="auto"/>
          </w:tcPr>
          <w:p w:rsidR="003E3038" w:rsidRPr="00912C55" w:rsidRDefault="003E3038" w:rsidP="00912C55">
            <w:pPr>
              <w:pStyle w:val="SingleTxtG"/>
              <w:spacing w:before="40"/>
              <w:ind w:left="0" w:right="0"/>
              <w:jc w:val="left"/>
            </w:pPr>
            <w:r w:rsidRPr="00912C55">
              <w:t>1989</w:t>
            </w:r>
          </w:p>
        </w:tc>
        <w:tc>
          <w:tcPr>
            <w:tcW w:w="801" w:type="pct"/>
            <w:shd w:val="clear" w:color="auto" w:fill="auto"/>
          </w:tcPr>
          <w:p w:rsidR="003E3038" w:rsidRPr="00912C55" w:rsidRDefault="003E3038" w:rsidP="00912C55">
            <w:pPr>
              <w:pStyle w:val="SingleTxtG"/>
              <w:spacing w:before="40"/>
              <w:ind w:left="0" w:right="0"/>
              <w:jc w:val="left"/>
            </w:pPr>
            <w:r w:rsidRPr="00912C55">
              <w:t>1990</w:t>
            </w:r>
          </w:p>
        </w:tc>
        <w:tc>
          <w:tcPr>
            <w:tcW w:w="1437" w:type="pct"/>
            <w:shd w:val="clear" w:color="auto" w:fill="auto"/>
            <w:hideMark/>
          </w:tcPr>
          <w:p w:rsidR="003E3038" w:rsidRPr="00912C55" w:rsidRDefault="003E3038" w:rsidP="00912C55">
            <w:pPr>
              <w:pStyle w:val="SingleTxtG"/>
              <w:spacing w:before="40"/>
              <w:ind w:left="0" w:right="0"/>
              <w:jc w:val="left"/>
            </w:pPr>
            <w:r w:rsidRPr="00912C55">
              <w:t>Reserva: Convención aprobada en todas y cada una de las partes que no son contrarias al derecho islámico.</w:t>
            </w:r>
          </w:p>
        </w:tc>
      </w:tr>
      <w:tr w:rsidR="002E43DD" w:rsidRPr="00912C55" w:rsidTr="002E43DD">
        <w:trPr>
          <w:trHeight w:val="240"/>
        </w:trPr>
        <w:tc>
          <w:tcPr>
            <w:tcW w:w="367" w:type="pct"/>
            <w:shd w:val="clear" w:color="auto" w:fill="auto"/>
            <w:hideMark/>
          </w:tcPr>
          <w:p w:rsidR="003E3038" w:rsidRPr="00912C55" w:rsidRDefault="003E3038" w:rsidP="00912C55">
            <w:pPr>
              <w:pStyle w:val="SingleTxtG"/>
              <w:spacing w:before="40"/>
              <w:ind w:left="0" w:right="0"/>
              <w:jc w:val="left"/>
            </w:pPr>
            <w:r w:rsidRPr="00912C55">
              <w:t>7</w:t>
            </w:r>
          </w:p>
        </w:tc>
        <w:tc>
          <w:tcPr>
            <w:tcW w:w="1596" w:type="pct"/>
            <w:shd w:val="clear" w:color="auto" w:fill="auto"/>
            <w:hideMark/>
          </w:tcPr>
          <w:p w:rsidR="003E3038" w:rsidRPr="00912C55" w:rsidRDefault="003E3038" w:rsidP="00912C55">
            <w:pPr>
              <w:pStyle w:val="SingleTxtG"/>
              <w:spacing w:before="40"/>
              <w:ind w:left="0" w:right="0"/>
              <w:jc w:val="left"/>
            </w:pPr>
            <w:r w:rsidRPr="00912C55">
              <w:t>Convención sobre los Derechos de las Personas con Discapacidad</w:t>
            </w:r>
          </w:p>
        </w:tc>
        <w:tc>
          <w:tcPr>
            <w:tcW w:w="799" w:type="pct"/>
            <w:shd w:val="clear" w:color="auto" w:fill="auto"/>
            <w:hideMark/>
          </w:tcPr>
          <w:p w:rsidR="003E3038" w:rsidRPr="00912C55" w:rsidRDefault="003E3038" w:rsidP="00912C55">
            <w:pPr>
              <w:pStyle w:val="SingleTxtG"/>
              <w:spacing w:before="40"/>
              <w:ind w:left="0" w:right="0"/>
              <w:jc w:val="left"/>
            </w:pPr>
            <w:r w:rsidRPr="00912C55">
              <w:t>2006</w:t>
            </w:r>
          </w:p>
        </w:tc>
        <w:tc>
          <w:tcPr>
            <w:tcW w:w="801" w:type="pct"/>
            <w:shd w:val="clear" w:color="auto" w:fill="auto"/>
            <w:hideMark/>
          </w:tcPr>
          <w:p w:rsidR="003E3038" w:rsidRPr="00912C55" w:rsidRDefault="003E3038" w:rsidP="00912C55">
            <w:pPr>
              <w:pStyle w:val="SingleTxtG"/>
              <w:spacing w:before="40"/>
              <w:ind w:left="0" w:right="0"/>
              <w:jc w:val="left"/>
            </w:pPr>
            <w:r w:rsidRPr="00912C55">
              <w:t>2010</w:t>
            </w:r>
          </w:p>
        </w:tc>
        <w:tc>
          <w:tcPr>
            <w:tcW w:w="1437" w:type="pct"/>
            <w:shd w:val="clear" w:color="auto" w:fill="auto"/>
          </w:tcPr>
          <w:p w:rsidR="003E3038" w:rsidRPr="00912C55" w:rsidRDefault="003E3038" w:rsidP="00912C55">
            <w:pPr>
              <w:pStyle w:val="SingleTxtG"/>
              <w:spacing w:before="40"/>
              <w:ind w:left="0" w:right="0"/>
              <w:jc w:val="left"/>
            </w:pPr>
          </w:p>
        </w:tc>
      </w:tr>
      <w:tr w:rsidR="002E43DD" w:rsidRPr="00912C55" w:rsidTr="002E43DD">
        <w:trPr>
          <w:trHeight w:val="240"/>
        </w:trPr>
        <w:tc>
          <w:tcPr>
            <w:tcW w:w="367" w:type="pct"/>
            <w:shd w:val="clear" w:color="auto" w:fill="auto"/>
            <w:hideMark/>
          </w:tcPr>
          <w:p w:rsidR="003E3038" w:rsidRPr="00912C55" w:rsidRDefault="003E3038" w:rsidP="00912C55">
            <w:pPr>
              <w:pStyle w:val="SingleTxtG"/>
              <w:spacing w:before="40"/>
              <w:ind w:left="0" w:right="0"/>
              <w:jc w:val="left"/>
            </w:pPr>
            <w:r w:rsidRPr="00912C55">
              <w:t>8</w:t>
            </w:r>
          </w:p>
        </w:tc>
        <w:tc>
          <w:tcPr>
            <w:tcW w:w="1596" w:type="pct"/>
            <w:shd w:val="clear" w:color="auto" w:fill="auto"/>
            <w:hideMark/>
          </w:tcPr>
          <w:p w:rsidR="003E3038" w:rsidRPr="00912C55" w:rsidRDefault="003E3038" w:rsidP="00912C55">
            <w:pPr>
              <w:pStyle w:val="SingleTxtG"/>
              <w:spacing w:before="40"/>
              <w:ind w:left="0" w:right="0"/>
              <w:jc w:val="left"/>
            </w:pPr>
            <w:r w:rsidRPr="00912C55">
              <w:t>Convención Internacional para la Protección de Todas las Personas contra las Desapariciones Forzadas</w:t>
            </w:r>
          </w:p>
        </w:tc>
        <w:tc>
          <w:tcPr>
            <w:tcW w:w="799" w:type="pct"/>
            <w:shd w:val="clear" w:color="auto" w:fill="auto"/>
            <w:hideMark/>
          </w:tcPr>
          <w:p w:rsidR="003E3038" w:rsidRPr="00912C55" w:rsidRDefault="003E3038" w:rsidP="00912C55">
            <w:pPr>
              <w:pStyle w:val="SingleTxtG"/>
              <w:spacing w:before="40"/>
              <w:ind w:left="0" w:right="0"/>
              <w:jc w:val="left"/>
            </w:pPr>
            <w:r w:rsidRPr="00912C55">
              <w:t>2006</w:t>
            </w:r>
          </w:p>
        </w:tc>
        <w:tc>
          <w:tcPr>
            <w:tcW w:w="801" w:type="pct"/>
            <w:shd w:val="clear" w:color="auto" w:fill="auto"/>
            <w:hideMark/>
          </w:tcPr>
          <w:p w:rsidR="003E3038" w:rsidRPr="00912C55" w:rsidRDefault="003E3038" w:rsidP="00912C55">
            <w:pPr>
              <w:pStyle w:val="SingleTxtG"/>
              <w:spacing w:before="40"/>
              <w:ind w:left="0" w:right="0"/>
              <w:jc w:val="left"/>
            </w:pPr>
            <w:r w:rsidRPr="00912C55">
              <w:t>2012</w:t>
            </w:r>
          </w:p>
        </w:tc>
        <w:tc>
          <w:tcPr>
            <w:tcW w:w="1437" w:type="pct"/>
            <w:shd w:val="clear" w:color="auto" w:fill="auto"/>
          </w:tcPr>
          <w:p w:rsidR="003E3038" w:rsidRPr="00912C55" w:rsidRDefault="003E3038" w:rsidP="00912C55">
            <w:pPr>
              <w:pStyle w:val="SingleTxtG"/>
              <w:spacing w:before="40"/>
              <w:ind w:left="0" w:right="0"/>
              <w:jc w:val="left"/>
            </w:pPr>
          </w:p>
        </w:tc>
      </w:tr>
      <w:tr w:rsidR="002E43DD" w:rsidRPr="00912C55" w:rsidTr="002E43DD">
        <w:trPr>
          <w:trHeight w:val="240"/>
        </w:trPr>
        <w:tc>
          <w:tcPr>
            <w:tcW w:w="367" w:type="pct"/>
            <w:shd w:val="clear" w:color="auto" w:fill="auto"/>
          </w:tcPr>
          <w:p w:rsidR="003E3038" w:rsidRPr="00912C55" w:rsidRDefault="003E3038" w:rsidP="00912C55">
            <w:pPr>
              <w:pStyle w:val="SingleTxtG"/>
              <w:spacing w:before="40"/>
              <w:ind w:left="0" w:right="0"/>
              <w:jc w:val="left"/>
            </w:pPr>
            <w:r w:rsidRPr="00912C55">
              <w:t>9</w:t>
            </w:r>
          </w:p>
        </w:tc>
        <w:tc>
          <w:tcPr>
            <w:tcW w:w="1596" w:type="pct"/>
            <w:shd w:val="clear" w:color="auto" w:fill="auto"/>
          </w:tcPr>
          <w:p w:rsidR="003E3038" w:rsidRPr="00912C55" w:rsidRDefault="003E3038" w:rsidP="00912C55">
            <w:pPr>
              <w:pStyle w:val="SingleTxtG"/>
              <w:spacing w:before="40"/>
              <w:ind w:left="0" w:right="0"/>
              <w:jc w:val="left"/>
            </w:pPr>
            <w:r w:rsidRPr="00912C55">
              <w:t>Pacto Internacional de Derechos Civiles y Políticos</w:t>
            </w:r>
          </w:p>
        </w:tc>
        <w:tc>
          <w:tcPr>
            <w:tcW w:w="799" w:type="pct"/>
            <w:shd w:val="clear" w:color="auto" w:fill="auto"/>
          </w:tcPr>
          <w:p w:rsidR="003E3038" w:rsidRPr="00912C55" w:rsidRDefault="003E3038" w:rsidP="00912C55">
            <w:pPr>
              <w:pStyle w:val="SingleTxtG"/>
              <w:spacing w:before="40"/>
              <w:ind w:left="0" w:right="0"/>
              <w:jc w:val="left"/>
            </w:pPr>
            <w:r w:rsidRPr="00912C55">
              <w:t>1966</w:t>
            </w:r>
          </w:p>
        </w:tc>
        <w:tc>
          <w:tcPr>
            <w:tcW w:w="801" w:type="pct"/>
            <w:shd w:val="clear" w:color="auto" w:fill="auto"/>
          </w:tcPr>
          <w:p w:rsidR="003E3038" w:rsidRPr="00912C55" w:rsidRDefault="003E3038" w:rsidP="00912C55">
            <w:pPr>
              <w:pStyle w:val="SingleTxtG"/>
              <w:spacing w:before="40"/>
              <w:ind w:left="0" w:right="0"/>
              <w:jc w:val="left"/>
            </w:pPr>
            <w:r w:rsidRPr="00912C55">
              <w:t>1999</w:t>
            </w:r>
          </w:p>
        </w:tc>
        <w:tc>
          <w:tcPr>
            <w:tcW w:w="1437" w:type="pct"/>
            <w:shd w:val="clear" w:color="auto" w:fill="auto"/>
            <w:hideMark/>
          </w:tcPr>
          <w:p w:rsidR="003E3038" w:rsidRPr="00912C55" w:rsidRDefault="003E3038" w:rsidP="00912C55">
            <w:pPr>
              <w:pStyle w:val="SingleTxtG"/>
              <w:spacing w:before="40"/>
              <w:ind w:left="0" w:right="0"/>
              <w:jc w:val="left"/>
            </w:pPr>
            <w:r w:rsidRPr="00912C55">
              <w:t xml:space="preserve">Reservas: </w:t>
            </w:r>
            <w:r w:rsidR="002E43DD">
              <w:t>a</w:t>
            </w:r>
            <w:r w:rsidRPr="00912C55">
              <w:t>rt. 18, párrs. 2 y 3 y art. 23, párr. 4</w:t>
            </w:r>
          </w:p>
          <w:p w:rsidR="003E3038" w:rsidRPr="00912C55" w:rsidRDefault="003E3038" w:rsidP="00912C55">
            <w:pPr>
              <w:pStyle w:val="SingleTxtG"/>
              <w:spacing w:before="40"/>
              <w:ind w:left="0" w:right="0"/>
              <w:jc w:val="left"/>
            </w:pPr>
            <w:r w:rsidRPr="00912C55">
              <w:t>El Gobierno de Mauritania declara que su aplicación se llevará a cabo sin perjuicio del derecho islámico</w:t>
            </w:r>
          </w:p>
        </w:tc>
      </w:tr>
      <w:tr w:rsidR="002E43DD" w:rsidRPr="00912C55" w:rsidTr="002E43DD">
        <w:trPr>
          <w:trHeight w:val="240"/>
        </w:trPr>
        <w:tc>
          <w:tcPr>
            <w:tcW w:w="367" w:type="pct"/>
            <w:shd w:val="clear" w:color="auto" w:fill="auto"/>
            <w:hideMark/>
          </w:tcPr>
          <w:p w:rsidR="003E3038" w:rsidRPr="00912C55" w:rsidRDefault="003E3038" w:rsidP="00912C55">
            <w:pPr>
              <w:pStyle w:val="SingleTxtG"/>
              <w:spacing w:before="40"/>
              <w:ind w:left="0" w:right="0"/>
              <w:jc w:val="left"/>
            </w:pPr>
            <w:r w:rsidRPr="00912C55">
              <w:t>10</w:t>
            </w:r>
          </w:p>
        </w:tc>
        <w:tc>
          <w:tcPr>
            <w:tcW w:w="1596" w:type="pct"/>
            <w:shd w:val="clear" w:color="auto" w:fill="auto"/>
            <w:hideMark/>
          </w:tcPr>
          <w:p w:rsidR="003E3038" w:rsidRPr="00912C55" w:rsidRDefault="003E3038" w:rsidP="00912C55">
            <w:pPr>
              <w:pStyle w:val="SingleTxtG"/>
              <w:spacing w:before="40"/>
              <w:ind w:left="0" w:right="0"/>
              <w:jc w:val="left"/>
            </w:pPr>
            <w:r w:rsidRPr="00912C55">
              <w:t>Pacto Internacional de Derechos Económicos, Sociales y Culturales</w:t>
            </w:r>
          </w:p>
        </w:tc>
        <w:tc>
          <w:tcPr>
            <w:tcW w:w="799" w:type="pct"/>
            <w:shd w:val="clear" w:color="auto" w:fill="auto"/>
            <w:hideMark/>
          </w:tcPr>
          <w:p w:rsidR="003E3038" w:rsidRPr="00912C55" w:rsidRDefault="003E3038" w:rsidP="00912C55">
            <w:pPr>
              <w:pStyle w:val="SingleTxtG"/>
              <w:spacing w:before="40"/>
              <w:ind w:left="0" w:right="0"/>
              <w:jc w:val="left"/>
            </w:pPr>
            <w:r w:rsidRPr="00912C55">
              <w:t>1966</w:t>
            </w:r>
          </w:p>
        </w:tc>
        <w:tc>
          <w:tcPr>
            <w:tcW w:w="801" w:type="pct"/>
            <w:shd w:val="clear" w:color="auto" w:fill="auto"/>
            <w:hideMark/>
          </w:tcPr>
          <w:p w:rsidR="003E3038" w:rsidRPr="00912C55" w:rsidRDefault="003E3038" w:rsidP="00912C55">
            <w:pPr>
              <w:pStyle w:val="SingleTxtG"/>
              <w:spacing w:before="40"/>
              <w:ind w:left="0" w:right="0"/>
              <w:jc w:val="left"/>
            </w:pPr>
            <w:r w:rsidRPr="00912C55">
              <w:t>1999</w:t>
            </w:r>
          </w:p>
        </w:tc>
        <w:tc>
          <w:tcPr>
            <w:tcW w:w="1437" w:type="pct"/>
            <w:shd w:val="clear" w:color="auto" w:fill="auto"/>
          </w:tcPr>
          <w:p w:rsidR="003E3038" w:rsidRPr="00912C55" w:rsidRDefault="003E3038" w:rsidP="00912C55">
            <w:pPr>
              <w:pStyle w:val="SingleTxtG"/>
              <w:spacing w:before="40"/>
              <w:ind w:left="0" w:right="0"/>
              <w:jc w:val="left"/>
            </w:pPr>
          </w:p>
        </w:tc>
      </w:tr>
      <w:tr w:rsidR="002E43DD" w:rsidRPr="00912C55" w:rsidTr="002E43DD">
        <w:trPr>
          <w:trHeight w:val="240"/>
        </w:trPr>
        <w:tc>
          <w:tcPr>
            <w:tcW w:w="367" w:type="pct"/>
            <w:shd w:val="clear" w:color="auto" w:fill="auto"/>
            <w:hideMark/>
          </w:tcPr>
          <w:p w:rsidR="003E3038" w:rsidRPr="00912C55" w:rsidRDefault="003E3038" w:rsidP="00912C55">
            <w:pPr>
              <w:pStyle w:val="SingleTxtG"/>
              <w:spacing w:before="40"/>
              <w:ind w:left="0" w:right="0"/>
              <w:jc w:val="left"/>
            </w:pPr>
            <w:r w:rsidRPr="00912C55">
              <w:t>11</w:t>
            </w:r>
          </w:p>
        </w:tc>
        <w:tc>
          <w:tcPr>
            <w:tcW w:w="1596" w:type="pct"/>
            <w:shd w:val="clear" w:color="auto" w:fill="auto"/>
            <w:hideMark/>
          </w:tcPr>
          <w:p w:rsidR="003E3038" w:rsidRPr="00912C55" w:rsidRDefault="003E3038" w:rsidP="00912C55">
            <w:pPr>
              <w:pStyle w:val="SingleTxtG"/>
              <w:spacing w:before="40"/>
              <w:ind w:left="0" w:right="0"/>
              <w:jc w:val="left"/>
            </w:pPr>
            <w:r w:rsidRPr="00912C55">
              <w:t>Protocolo Facultativo de la Convención contra la Tortura y Otros Tratos o Penas Crueles, Inhumanos o Degradantes</w:t>
            </w:r>
          </w:p>
        </w:tc>
        <w:tc>
          <w:tcPr>
            <w:tcW w:w="799" w:type="pct"/>
            <w:shd w:val="clear" w:color="auto" w:fill="auto"/>
          </w:tcPr>
          <w:p w:rsidR="003E3038" w:rsidRPr="00912C55" w:rsidRDefault="003E3038" w:rsidP="00912C55">
            <w:pPr>
              <w:pStyle w:val="SingleTxtG"/>
              <w:spacing w:before="40"/>
              <w:ind w:left="0" w:right="0"/>
              <w:jc w:val="left"/>
            </w:pPr>
          </w:p>
        </w:tc>
        <w:tc>
          <w:tcPr>
            <w:tcW w:w="801" w:type="pct"/>
            <w:shd w:val="clear" w:color="auto" w:fill="auto"/>
            <w:hideMark/>
          </w:tcPr>
          <w:p w:rsidR="003E3038" w:rsidRPr="00912C55" w:rsidRDefault="003E3038" w:rsidP="00912C55">
            <w:pPr>
              <w:pStyle w:val="SingleTxtG"/>
              <w:spacing w:before="40"/>
              <w:ind w:left="0" w:right="0"/>
              <w:jc w:val="left"/>
            </w:pPr>
            <w:r w:rsidRPr="00912C55">
              <w:t>2012</w:t>
            </w:r>
          </w:p>
        </w:tc>
        <w:tc>
          <w:tcPr>
            <w:tcW w:w="1437" w:type="pct"/>
            <w:shd w:val="clear" w:color="auto" w:fill="auto"/>
          </w:tcPr>
          <w:p w:rsidR="003E3038" w:rsidRPr="00912C55" w:rsidRDefault="003E3038" w:rsidP="00912C55">
            <w:pPr>
              <w:pStyle w:val="SingleTxtG"/>
              <w:spacing w:before="40"/>
              <w:ind w:left="0" w:right="0"/>
              <w:jc w:val="left"/>
            </w:pPr>
          </w:p>
        </w:tc>
      </w:tr>
      <w:tr w:rsidR="002E43DD" w:rsidRPr="00912C55" w:rsidTr="002E43DD">
        <w:trPr>
          <w:trHeight w:val="240"/>
        </w:trPr>
        <w:tc>
          <w:tcPr>
            <w:tcW w:w="367" w:type="pct"/>
            <w:shd w:val="clear" w:color="auto" w:fill="auto"/>
            <w:hideMark/>
          </w:tcPr>
          <w:p w:rsidR="003E3038" w:rsidRPr="00912C55" w:rsidRDefault="003E3038" w:rsidP="002E43DD">
            <w:pPr>
              <w:pStyle w:val="SingleTxtG"/>
              <w:keepNext/>
              <w:spacing w:before="40"/>
              <w:ind w:left="0" w:right="0"/>
              <w:jc w:val="left"/>
            </w:pPr>
            <w:r w:rsidRPr="00912C55">
              <w:lastRenderedPageBreak/>
              <w:t>12</w:t>
            </w:r>
          </w:p>
        </w:tc>
        <w:tc>
          <w:tcPr>
            <w:tcW w:w="1596" w:type="pct"/>
            <w:shd w:val="clear" w:color="auto" w:fill="auto"/>
            <w:hideMark/>
          </w:tcPr>
          <w:p w:rsidR="003E3038" w:rsidRPr="00912C55" w:rsidRDefault="003E3038" w:rsidP="002E43DD">
            <w:pPr>
              <w:pStyle w:val="SingleTxtG"/>
              <w:keepNext/>
              <w:spacing w:before="40"/>
              <w:ind w:left="0" w:right="0"/>
              <w:jc w:val="left"/>
            </w:pPr>
            <w:r w:rsidRPr="00912C55">
              <w:t>Protocolo Facultativo de la Convención sobre los Derechos de las Personas con Discapacidad</w:t>
            </w:r>
          </w:p>
        </w:tc>
        <w:tc>
          <w:tcPr>
            <w:tcW w:w="799" w:type="pct"/>
            <w:shd w:val="clear" w:color="auto" w:fill="auto"/>
            <w:hideMark/>
          </w:tcPr>
          <w:p w:rsidR="003E3038" w:rsidRPr="00912C55" w:rsidRDefault="003E3038" w:rsidP="002E43DD">
            <w:pPr>
              <w:pStyle w:val="SingleTxtG"/>
              <w:keepNext/>
              <w:spacing w:before="40"/>
              <w:ind w:left="0" w:right="0"/>
              <w:jc w:val="left"/>
            </w:pPr>
            <w:r w:rsidRPr="00912C55">
              <w:t>2006</w:t>
            </w:r>
          </w:p>
        </w:tc>
        <w:tc>
          <w:tcPr>
            <w:tcW w:w="801" w:type="pct"/>
            <w:shd w:val="clear" w:color="auto" w:fill="auto"/>
            <w:hideMark/>
          </w:tcPr>
          <w:p w:rsidR="003E3038" w:rsidRPr="00912C55" w:rsidRDefault="003E3038" w:rsidP="002E43DD">
            <w:pPr>
              <w:pStyle w:val="SingleTxtG"/>
              <w:keepNext/>
              <w:spacing w:before="40"/>
              <w:ind w:left="0" w:right="0"/>
              <w:jc w:val="left"/>
            </w:pPr>
            <w:r w:rsidRPr="00912C55">
              <w:t>2010</w:t>
            </w:r>
          </w:p>
        </w:tc>
        <w:tc>
          <w:tcPr>
            <w:tcW w:w="1437" w:type="pct"/>
            <w:shd w:val="clear" w:color="auto" w:fill="auto"/>
          </w:tcPr>
          <w:p w:rsidR="003E3038" w:rsidRPr="00912C55" w:rsidRDefault="003E3038" w:rsidP="002E43DD">
            <w:pPr>
              <w:pStyle w:val="SingleTxtG"/>
              <w:keepNext/>
              <w:spacing w:before="40"/>
              <w:ind w:left="0" w:right="0"/>
              <w:jc w:val="left"/>
            </w:pPr>
          </w:p>
        </w:tc>
      </w:tr>
      <w:tr w:rsidR="00912C55" w:rsidRPr="00912C55" w:rsidTr="002E43DD">
        <w:trPr>
          <w:trHeight w:val="240"/>
        </w:trPr>
        <w:tc>
          <w:tcPr>
            <w:tcW w:w="367" w:type="pct"/>
            <w:tcBorders>
              <w:bottom w:val="single" w:sz="12" w:space="0" w:color="auto"/>
            </w:tcBorders>
            <w:shd w:val="clear" w:color="auto" w:fill="auto"/>
          </w:tcPr>
          <w:p w:rsidR="003E3038" w:rsidRPr="00912C55" w:rsidRDefault="003E3038" w:rsidP="00912C55">
            <w:pPr>
              <w:pStyle w:val="SingleTxtG"/>
              <w:spacing w:before="40"/>
              <w:ind w:left="0" w:right="0"/>
              <w:jc w:val="left"/>
            </w:pPr>
            <w:r w:rsidRPr="00912C55">
              <w:t>13</w:t>
            </w:r>
          </w:p>
        </w:tc>
        <w:tc>
          <w:tcPr>
            <w:tcW w:w="1596" w:type="pct"/>
            <w:tcBorders>
              <w:bottom w:val="single" w:sz="12" w:space="0" w:color="auto"/>
            </w:tcBorders>
            <w:shd w:val="clear" w:color="auto" w:fill="auto"/>
          </w:tcPr>
          <w:p w:rsidR="003E3038" w:rsidRPr="00912C55" w:rsidRDefault="003E3038" w:rsidP="00912C55">
            <w:pPr>
              <w:pStyle w:val="SingleTxtG"/>
              <w:spacing w:before="40"/>
              <w:ind w:left="0" w:right="0"/>
              <w:jc w:val="left"/>
            </w:pPr>
            <w:r w:rsidRPr="00912C55">
              <w:t>Convención contra la Tortura y Otros Tratos o Penas Crueles, Inhumanos o Degradantes</w:t>
            </w:r>
          </w:p>
        </w:tc>
        <w:tc>
          <w:tcPr>
            <w:tcW w:w="799" w:type="pct"/>
            <w:tcBorders>
              <w:bottom w:val="single" w:sz="12" w:space="0" w:color="auto"/>
            </w:tcBorders>
            <w:shd w:val="clear" w:color="auto" w:fill="auto"/>
          </w:tcPr>
          <w:p w:rsidR="003E3038" w:rsidRPr="00912C55" w:rsidRDefault="003E3038" w:rsidP="00912C55">
            <w:pPr>
              <w:pStyle w:val="SingleTxtG"/>
              <w:spacing w:before="40"/>
              <w:ind w:left="0" w:right="0"/>
              <w:jc w:val="left"/>
            </w:pPr>
            <w:r w:rsidRPr="00912C55">
              <w:t>1984</w:t>
            </w:r>
          </w:p>
        </w:tc>
        <w:tc>
          <w:tcPr>
            <w:tcW w:w="801" w:type="pct"/>
            <w:tcBorders>
              <w:bottom w:val="single" w:sz="12" w:space="0" w:color="auto"/>
            </w:tcBorders>
            <w:shd w:val="clear" w:color="auto" w:fill="auto"/>
          </w:tcPr>
          <w:p w:rsidR="003E3038" w:rsidRPr="00912C55" w:rsidRDefault="003E3038" w:rsidP="00912C55">
            <w:pPr>
              <w:pStyle w:val="SingleTxtG"/>
              <w:spacing w:before="40"/>
              <w:ind w:left="0" w:right="0"/>
              <w:jc w:val="left"/>
            </w:pPr>
            <w:r w:rsidRPr="00912C55">
              <w:t>1999</w:t>
            </w:r>
          </w:p>
        </w:tc>
        <w:tc>
          <w:tcPr>
            <w:tcW w:w="1437" w:type="pct"/>
            <w:tcBorders>
              <w:bottom w:val="single" w:sz="12" w:space="0" w:color="auto"/>
            </w:tcBorders>
            <w:shd w:val="clear" w:color="auto" w:fill="auto"/>
            <w:hideMark/>
          </w:tcPr>
          <w:p w:rsidR="003E3038" w:rsidRPr="00912C55" w:rsidRDefault="00611AC9" w:rsidP="00912C55">
            <w:pPr>
              <w:pStyle w:val="SingleTxtG"/>
              <w:spacing w:before="40"/>
              <w:ind w:left="0" w:right="0"/>
              <w:jc w:val="left"/>
            </w:pPr>
            <w:r>
              <w:t>Reservas: a</w:t>
            </w:r>
            <w:r w:rsidR="003E3038" w:rsidRPr="00912C55">
              <w:t>rt. 20, párrs. 1, 2, 3, 4 y 5, sobre la competencia del Comité</w:t>
            </w:r>
          </w:p>
          <w:p w:rsidR="003E3038" w:rsidRPr="00912C55" w:rsidRDefault="003E3038" w:rsidP="00912C55">
            <w:pPr>
              <w:pStyle w:val="SingleTxtG"/>
              <w:spacing w:before="40"/>
              <w:ind w:left="0" w:right="0"/>
              <w:jc w:val="left"/>
            </w:pPr>
            <w:r w:rsidRPr="00912C55">
              <w:t>Art. 30, párr. 1, sobre la Corte Internacional de Justicia</w:t>
            </w:r>
          </w:p>
        </w:tc>
      </w:tr>
    </w:tbl>
    <w:p w:rsidR="003E3038" w:rsidRPr="003E3038" w:rsidRDefault="002E43DD" w:rsidP="002E43DD">
      <w:pPr>
        <w:pStyle w:val="H23G"/>
      </w:pPr>
      <w:bookmarkStart w:id="32" w:name="_Toc454388702"/>
      <w:bookmarkStart w:id="33" w:name="_Toc453672864"/>
      <w:bookmarkStart w:id="34" w:name="_Toc455360515"/>
      <w:bookmarkStart w:id="35" w:name="_Toc455364120"/>
      <w:r>
        <w:tab/>
      </w:r>
      <w:r w:rsidR="003E3038" w:rsidRPr="003E3038">
        <w:t>2.</w:t>
      </w:r>
      <w:r w:rsidR="003E3038" w:rsidRPr="003E3038">
        <w:tab/>
        <w:t>Naturaleza y alcance de las reservas</w:t>
      </w:r>
      <w:bookmarkEnd w:id="32"/>
      <w:bookmarkEnd w:id="33"/>
      <w:bookmarkEnd w:id="34"/>
      <w:bookmarkEnd w:id="35"/>
    </w:p>
    <w:p w:rsidR="003E3038" w:rsidRPr="003E3038" w:rsidRDefault="002E43DD" w:rsidP="002E43DD">
      <w:pPr>
        <w:pStyle w:val="H23G"/>
      </w:pPr>
      <w:bookmarkStart w:id="36" w:name="_Toc454388703"/>
      <w:bookmarkStart w:id="37" w:name="_Toc453672865"/>
      <w:bookmarkStart w:id="38" w:name="_Toc455364121"/>
      <w:r>
        <w:tab/>
      </w:r>
      <w:r w:rsidR="003E3038" w:rsidRPr="003E3038">
        <w:t>a)</w:t>
      </w:r>
      <w:r w:rsidR="003E3038" w:rsidRPr="003E3038">
        <w:tab/>
        <w:t>Alcance de las reservas</w:t>
      </w:r>
      <w:bookmarkEnd w:id="36"/>
      <w:bookmarkEnd w:id="37"/>
      <w:bookmarkEnd w:id="38"/>
    </w:p>
    <w:p w:rsidR="003E3038" w:rsidRPr="003E3038" w:rsidRDefault="003E3038" w:rsidP="003E3038">
      <w:pPr>
        <w:pStyle w:val="SingleTxtG"/>
      </w:pPr>
      <w:r w:rsidRPr="003E3038">
        <w:t>24.</w:t>
      </w:r>
      <w:r w:rsidRPr="003E3038">
        <w:tab/>
        <w:t xml:space="preserve">Mauritania ha formulado reservas generales o específicas en relación con las convenciones siguientes: </w:t>
      </w:r>
    </w:p>
    <w:p w:rsidR="003E3038" w:rsidRPr="003E3038" w:rsidRDefault="003E3038" w:rsidP="002E43DD">
      <w:pPr>
        <w:pStyle w:val="Bullet1G"/>
      </w:pPr>
      <w:r w:rsidRPr="003E3038">
        <w:t>Convención sobre la Eliminación de Todas las Formas de Discriminación contra la Mujer. Las reservas se refieren a los artículos 13, párrafo a), y 16.</w:t>
      </w:r>
    </w:p>
    <w:p w:rsidR="003E3038" w:rsidRPr="003E3038" w:rsidRDefault="003E3038" w:rsidP="002E43DD">
      <w:pPr>
        <w:pStyle w:val="Bullet1G"/>
      </w:pPr>
      <w:r w:rsidRPr="003E3038">
        <w:t>Convención sobre los Derechos del Niño.</w:t>
      </w:r>
    </w:p>
    <w:p w:rsidR="003E3038" w:rsidRPr="003E3038" w:rsidRDefault="003E3038" w:rsidP="002E43DD">
      <w:pPr>
        <w:pStyle w:val="SingleTxtG"/>
      </w:pPr>
      <w:r w:rsidRPr="003E3038">
        <w:t>25.</w:t>
      </w:r>
      <w:r w:rsidRPr="003E3038">
        <w:tab/>
        <w:t>Todas y cada una de las partes de esta Convención que no son contrarias al derecho islámico fueron aprobadas.</w:t>
      </w:r>
    </w:p>
    <w:p w:rsidR="003E3038" w:rsidRPr="003E3038" w:rsidRDefault="003E3038" w:rsidP="002E43DD">
      <w:pPr>
        <w:pStyle w:val="Bullet1G"/>
      </w:pPr>
      <w:r w:rsidRPr="003E3038">
        <w:t>Pacto Internacional de Derechos Civiles y Políticos.</w:t>
      </w:r>
    </w:p>
    <w:p w:rsidR="003E3038" w:rsidRPr="003E3038" w:rsidRDefault="003E3038" w:rsidP="002E43DD">
      <w:pPr>
        <w:pStyle w:val="SingleTxtG"/>
      </w:pPr>
      <w:r w:rsidRPr="003E3038">
        <w:t>26.</w:t>
      </w:r>
      <w:r w:rsidRPr="003E3038">
        <w:tab/>
        <w:t>Las reservas se refieren a los artículos 18, párrafos 2, 3 y 4, y 23, párrafo 4.</w:t>
      </w:r>
    </w:p>
    <w:p w:rsidR="003E3038" w:rsidRPr="003E3038" w:rsidRDefault="003E3038" w:rsidP="002E43DD">
      <w:pPr>
        <w:pStyle w:val="Bullet1G"/>
      </w:pPr>
      <w:r w:rsidRPr="003E3038">
        <w:t>Convención contra la Tortura y Otros Tratos o Penas Crueles, Inhumanos o Degradantes.</w:t>
      </w:r>
    </w:p>
    <w:p w:rsidR="003E3038" w:rsidRPr="003E3038" w:rsidRDefault="003E3038" w:rsidP="003E3038">
      <w:pPr>
        <w:pStyle w:val="SingleTxtG"/>
      </w:pPr>
      <w:r w:rsidRPr="003E3038">
        <w:t>27.</w:t>
      </w:r>
      <w:r w:rsidRPr="003E3038">
        <w:tab/>
        <w:t>Las reservas se refieren a los artículos 20, párrafos 1, 2, 3, 4 y 5, relativo a la competencia del Comité, y 30, párrafo 1, relativo a la Corte Penal Internacional.</w:t>
      </w:r>
    </w:p>
    <w:p w:rsidR="003E3038" w:rsidRPr="003E3038" w:rsidRDefault="002E43DD" w:rsidP="002E43DD">
      <w:pPr>
        <w:pStyle w:val="H23G"/>
      </w:pPr>
      <w:bookmarkStart w:id="39" w:name="_Toc454388704"/>
      <w:bookmarkStart w:id="40" w:name="_Toc453672866"/>
      <w:bookmarkStart w:id="41" w:name="_Toc455364122"/>
      <w:r>
        <w:tab/>
      </w:r>
      <w:r w:rsidR="003E3038" w:rsidRPr="003E3038">
        <w:t>b)</w:t>
      </w:r>
      <w:r w:rsidR="003E3038" w:rsidRPr="003E3038">
        <w:tab/>
        <w:t>Razón de las reservas</w:t>
      </w:r>
      <w:bookmarkEnd w:id="39"/>
      <w:bookmarkEnd w:id="40"/>
      <w:bookmarkEnd w:id="41"/>
    </w:p>
    <w:p w:rsidR="003E3038" w:rsidRPr="003E3038" w:rsidRDefault="003E3038" w:rsidP="003E3038">
      <w:pPr>
        <w:pStyle w:val="SingleTxtG"/>
      </w:pPr>
      <w:r w:rsidRPr="003E3038">
        <w:t>28.</w:t>
      </w:r>
      <w:r w:rsidRPr="003E3038">
        <w:tab/>
        <w:t>La razón por la que se consideró necesario formular esa</w:t>
      </w:r>
      <w:r w:rsidR="002E43DD">
        <w:t xml:space="preserve">s reservas es que tratan sobre </w:t>
      </w:r>
      <w:r w:rsidRPr="003E3038">
        <w:t>disposiciones contrari</w:t>
      </w:r>
      <w:r w:rsidR="00734DBC">
        <w:t xml:space="preserve">as al derecho islámico, que es </w:t>
      </w:r>
      <w:r w:rsidRPr="003E3038">
        <w:t>la única fuente de derecho con arreglo a la Constitución.</w:t>
      </w:r>
      <w:bookmarkStart w:id="42" w:name="_Toc453672867"/>
    </w:p>
    <w:p w:rsidR="003E3038" w:rsidRPr="003E3038" w:rsidRDefault="002E43DD" w:rsidP="002E43DD">
      <w:pPr>
        <w:pStyle w:val="H23G"/>
      </w:pPr>
      <w:bookmarkStart w:id="43" w:name="_Toc454388705"/>
      <w:bookmarkStart w:id="44" w:name="_Toc455364123"/>
      <w:r>
        <w:tab/>
      </w:r>
      <w:r w:rsidR="003E3038" w:rsidRPr="003E3038">
        <w:t>c)</w:t>
      </w:r>
      <w:r w:rsidR="003E3038" w:rsidRPr="003E3038">
        <w:tab/>
        <w:t>Efecto de las reservas</w:t>
      </w:r>
      <w:bookmarkEnd w:id="42"/>
      <w:bookmarkEnd w:id="43"/>
      <w:bookmarkEnd w:id="44"/>
    </w:p>
    <w:p w:rsidR="003E3038" w:rsidRPr="003E3038" w:rsidRDefault="003E3038" w:rsidP="003E3038">
      <w:pPr>
        <w:pStyle w:val="SingleTxtG"/>
      </w:pPr>
      <w:r w:rsidRPr="003E3038">
        <w:t>29.</w:t>
      </w:r>
      <w:r w:rsidRPr="003E3038">
        <w:tab/>
        <w:t xml:space="preserve">Las disposiciones que han sido objeto de reserva no son objeto de aplicación, las demás mantienen todos los efectos que se les confiere en virtud del artículo 80 de la Constitución. </w:t>
      </w:r>
    </w:p>
    <w:p w:rsidR="003E3038" w:rsidRPr="003E3038" w:rsidRDefault="002E43DD" w:rsidP="002E43DD">
      <w:pPr>
        <w:pStyle w:val="H23G"/>
      </w:pPr>
      <w:bookmarkStart w:id="45" w:name="_Toc454388706"/>
      <w:bookmarkStart w:id="46" w:name="_Toc455364124"/>
      <w:r>
        <w:tab/>
      </w:r>
      <w:r w:rsidR="003E3038" w:rsidRPr="003E3038">
        <w:t>d)</w:t>
      </w:r>
      <w:r w:rsidR="003E3038" w:rsidRPr="003E3038">
        <w:tab/>
        <w:t>Seguimiento de las declaraciones dimanantes de las conferencias</w:t>
      </w:r>
      <w:bookmarkEnd w:id="45"/>
      <w:bookmarkEnd w:id="46"/>
    </w:p>
    <w:p w:rsidR="003E3038" w:rsidRPr="003E3038" w:rsidRDefault="003E3038" w:rsidP="003E3038">
      <w:pPr>
        <w:pStyle w:val="SingleTxtG"/>
      </w:pPr>
      <w:r w:rsidRPr="003E3038">
        <w:t>30.</w:t>
      </w:r>
      <w:r w:rsidRPr="003E3038">
        <w:tab/>
        <w:t xml:space="preserve">Mauritania ha apoyado de manera eficiente con su participación las declaraciones, recomendaciones y compromisos que se han formulado en las conferencias internacionales sobre derechos humanos. </w:t>
      </w:r>
    </w:p>
    <w:p w:rsidR="003E3038" w:rsidRPr="003E3038" w:rsidRDefault="003E3038" w:rsidP="003E3038">
      <w:pPr>
        <w:pStyle w:val="SingleTxtG"/>
      </w:pPr>
      <w:r w:rsidRPr="003E3038">
        <w:t>31.</w:t>
      </w:r>
      <w:r w:rsidRPr="003E3038">
        <w:tab/>
        <w:t>De conformidad con las declaraciones y recomendaciones de las conferencias internacionales, en particular la Conferencia de Viena de 1993, Mauritania ha retirado y sustituido su reserva general a la Convención sobre la Eliminación de Todas las Formas de Discriminación contra la Mujer y tiene previsto proceder de igual manera con su reserva general a la Convención sobre los Derechos del Niño.</w:t>
      </w:r>
    </w:p>
    <w:p w:rsidR="003E3038" w:rsidRPr="003E3038" w:rsidRDefault="002E43DD" w:rsidP="002E43DD">
      <w:pPr>
        <w:pStyle w:val="H23G"/>
      </w:pPr>
      <w:bookmarkStart w:id="47" w:name="_Toc453672868"/>
      <w:bookmarkStart w:id="48" w:name="_Toc454388707"/>
      <w:bookmarkStart w:id="49" w:name="_Toc455364125"/>
      <w:r>
        <w:tab/>
      </w:r>
      <w:r w:rsidR="003E3038" w:rsidRPr="003E3038">
        <w:t>e)</w:t>
      </w:r>
      <w:r w:rsidR="003E3038" w:rsidRPr="003E3038">
        <w:tab/>
        <w:t>Exenciones, restricciones o limitaciones</w:t>
      </w:r>
      <w:bookmarkEnd w:id="47"/>
      <w:bookmarkEnd w:id="48"/>
      <w:bookmarkEnd w:id="49"/>
    </w:p>
    <w:p w:rsidR="003E3038" w:rsidRPr="003E3038" w:rsidRDefault="003E3038" w:rsidP="003E3038">
      <w:pPr>
        <w:pStyle w:val="SingleTxtG"/>
      </w:pPr>
      <w:r w:rsidRPr="003E3038">
        <w:t>32.</w:t>
      </w:r>
      <w:r w:rsidRPr="003E3038">
        <w:tab/>
        <w:t>A excepción de las reservas relativas a los instrumentos internacionales ratificados por el país, su aplicación no está sujeta a ninguna otra exención, restricción o limitación.</w:t>
      </w:r>
    </w:p>
    <w:p w:rsidR="003E3038" w:rsidRPr="003E3038" w:rsidRDefault="003E3038" w:rsidP="002E43DD">
      <w:pPr>
        <w:pStyle w:val="SingleTxtG"/>
        <w:spacing w:after="0"/>
        <w:ind w:left="0" w:right="0"/>
      </w:pPr>
      <w:r w:rsidRPr="003E3038">
        <w:lastRenderedPageBreak/>
        <w:t xml:space="preserve">Cuadro 4 </w:t>
      </w:r>
    </w:p>
    <w:p w:rsidR="003E3038" w:rsidRPr="003E3038" w:rsidRDefault="003E3038" w:rsidP="002E43DD">
      <w:pPr>
        <w:pStyle w:val="SingleTxtG"/>
        <w:ind w:left="0" w:right="0"/>
        <w:jc w:val="left"/>
        <w:rPr>
          <w:b/>
        </w:rPr>
      </w:pPr>
      <w:r w:rsidRPr="003E3038">
        <w:rPr>
          <w:b/>
        </w:rPr>
        <w:t>Convenios fundamentales de la Organización Internacional del Trabajo ratificados por Mauritania</w:t>
      </w:r>
    </w:p>
    <w:tbl>
      <w:tblPr>
        <w:tblW w:w="5000" w:type="pct"/>
        <w:tblBorders>
          <w:top w:val="single" w:sz="4" w:space="0" w:color="auto"/>
        </w:tblBorders>
        <w:tblCellMar>
          <w:left w:w="0" w:type="dxa"/>
          <w:right w:w="113" w:type="dxa"/>
        </w:tblCellMar>
        <w:tblLook w:val="04A0" w:firstRow="1" w:lastRow="0" w:firstColumn="1" w:lastColumn="0" w:noHBand="0" w:noVBand="1"/>
      </w:tblPr>
      <w:tblGrid>
        <w:gridCol w:w="736"/>
        <w:gridCol w:w="3754"/>
        <w:gridCol w:w="1036"/>
        <w:gridCol w:w="1703"/>
        <w:gridCol w:w="2522"/>
      </w:tblGrid>
      <w:tr w:rsidR="002E43DD" w:rsidRPr="002E43DD" w:rsidTr="00611AC9">
        <w:trPr>
          <w:trHeight w:val="240"/>
          <w:tblHeader/>
        </w:trPr>
        <w:tc>
          <w:tcPr>
            <w:tcW w:w="378" w:type="pct"/>
            <w:tcBorders>
              <w:top w:val="single" w:sz="4" w:space="0" w:color="auto"/>
              <w:bottom w:val="single" w:sz="12" w:space="0" w:color="auto"/>
            </w:tcBorders>
            <w:shd w:val="clear" w:color="auto" w:fill="auto"/>
            <w:vAlign w:val="bottom"/>
            <w:hideMark/>
          </w:tcPr>
          <w:p w:rsidR="003E3038" w:rsidRPr="002E43DD" w:rsidRDefault="003E3038" w:rsidP="002E43DD">
            <w:pPr>
              <w:pStyle w:val="SingleTxtG"/>
              <w:spacing w:before="80" w:after="80" w:line="200" w:lineRule="exact"/>
              <w:ind w:left="0" w:right="0"/>
              <w:jc w:val="left"/>
              <w:rPr>
                <w:bCs/>
                <w:i/>
                <w:sz w:val="16"/>
              </w:rPr>
            </w:pPr>
            <w:r w:rsidRPr="002E43DD">
              <w:rPr>
                <w:i/>
                <w:sz w:val="16"/>
              </w:rPr>
              <w:t>N</w:t>
            </w:r>
            <w:r w:rsidR="002E43DD">
              <w:rPr>
                <w:i/>
                <w:sz w:val="16"/>
              </w:rPr>
              <w:t>úmero</w:t>
            </w:r>
          </w:p>
        </w:tc>
        <w:tc>
          <w:tcPr>
            <w:tcW w:w="1925" w:type="pct"/>
            <w:tcBorders>
              <w:top w:val="single" w:sz="4" w:space="0" w:color="auto"/>
              <w:bottom w:val="single" w:sz="12" w:space="0" w:color="auto"/>
            </w:tcBorders>
            <w:shd w:val="clear" w:color="auto" w:fill="auto"/>
            <w:vAlign w:val="bottom"/>
            <w:hideMark/>
          </w:tcPr>
          <w:p w:rsidR="003E3038" w:rsidRPr="002E43DD" w:rsidRDefault="003E3038" w:rsidP="002E43DD">
            <w:pPr>
              <w:pStyle w:val="SingleTxtG"/>
              <w:spacing w:before="80" w:after="80" w:line="200" w:lineRule="exact"/>
              <w:ind w:left="0" w:right="0"/>
              <w:jc w:val="left"/>
              <w:rPr>
                <w:bCs/>
                <w:i/>
                <w:sz w:val="16"/>
              </w:rPr>
            </w:pPr>
            <w:r w:rsidRPr="002E43DD">
              <w:rPr>
                <w:i/>
                <w:sz w:val="16"/>
              </w:rPr>
              <w:t>Instrumentos</w:t>
            </w:r>
          </w:p>
        </w:tc>
        <w:tc>
          <w:tcPr>
            <w:tcW w:w="531" w:type="pct"/>
            <w:tcBorders>
              <w:top w:val="single" w:sz="4" w:space="0" w:color="auto"/>
              <w:bottom w:val="single" w:sz="12" w:space="0" w:color="auto"/>
            </w:tcBorders>
            <w:shd w:val="clear" w:color="auto" w:fill="auto"/>
            <w:vAlign w:val="bottom"/>
            <w:hideMark/>
          </w:tcPr>
          <w:p w:rsidR="003E3038" w:rsidRPr="002E43DD" w:rsidRDefault="003E3038" w:rsidP="002E43DD">
            <w:pPr>
              <w:pStyle w:val="SingleTxtG"/>
              <w:spacing w:before="80" w:after="80" w:line="200" w:lineRule="exact"/>
              <w:ind w:left="0" w:right="0"/>
              <w:jc w:val="left"/>
              <w:rPr>
                <w:bCs/>
                <w:i/>
                <w:sz w:val="16"/>
              </w:rPr>
            </w:pPr>
            <w:r w:rsidRPr="002E43DD">
              <w:rPr>
                <w:i/>
                <w:sz w:val="16"/>
              </w:rPr>
              <w:t>Fecha de aprobación</w:t>
            </w:r>
          </w:p>
        </w:tc>
        <w:tc>
          <w:tcPr>
            <w:tcW w:w="873" w:type="pct"/>
            <w:tcBorders>
              <w:top w:val="single" w:sz="4" w:space="0" w:color="auto"/>
              <w:bottom w:val="single" w:sz="12" w:space="0" w:color="auto"/>
            </w:tcBorders>
            <w:shd w:val="clear" w:color="auto" w:fill="auto"/>
            <w:vAlign w:val="bottom"/>
            <w:hideMark/>
          </w:tcPr>
          <w:p w:rsidR="003E3038" w:rsidRPr="002E43DD" w:rsidRDefault="003E3038" w:rsidP="002E43DD">
            <w:pPr>
              <w:pStyle w:val="SingleTxtG"/>
              <w:spacing w:before="80" w:after="80" w:line="200" w:lineRule="exact"/>
              <w:ind w:left="0" w:right="0"/>
              <w:jc w:val="left"/>
              <w:rPr>
                <w:bCs/>
                <w:i/>
                <w:sz w:val="16"/>
              </w:rPr>
            </w:pPr>
            <w:r w:rsidRPr="002E43DD">
              <w:rPr>
                <w:i/>
                <w:sz w:val="16"/>
              </w:rPr>
              <w:t>Fecha de ratificación</w:t>
            </w:r>
          </w:p>
        </w:tc>
        <w:tc>
          <w:tcPr>
            <w:tcW w:w="1293" w:type="pct"/>
            <w:tcBorders>
              <w:top w:val="single" w:sz="4" w:space="0" w:color="auto"/>
              <w:bottom w:val="single" w:sz="12" w:space="0" w:color="auto"/>
            </w:tcBorders>
            <w:shd w:val="clear" w:color="auto" w:fill="auto"/>
            <w:vAlign w:val="bottom"/>
            <w:hideMark/>
          </w:tcPr>
          <w:p w:rsidR="003E3038" w:rsidRPr="002E43DD" w:rsidRDefault="003E3038" w:rsidP="002E43DD">
            <w:pPr>
              <w:pStyle w:val="SingleTxtG"/>
              <w:spacing w:before="80" w:after="80" w:line="200" w:lineRule="exact"/>
              <w:ind w:left="0" w:right="0"/>
              <w:jc w:val="left"/>
              <w:rPr>
                <w:bCs/>
                <w:i/>
                <w:sz w:val="16"/>
              </w:rPr>
            </w:pPr>
            <w:r w:rsidRPr="002E43DD">
              <w:rPr>
                <w:i/>
                <w:sz w:val="16"/>
              </w:rPr>
              <w:t>Reservas u observaciones</w:t>
            </w:r>
          </w:p>
        </w:tc>
      </w:tr>
      <w:tr w:rsidR="003E3038" w:rsidRPr="002E43DD" w:rsidTr="00611AC9">
        <w:trPr>
          <w:trHeight w:val="240"/>
        </w:trPr>
        <w:tc>
          <w:tcPr>
            <w:tcW w:w="378" w:type="pct"/>
            <w:tcBorders>
              <w:top w:val="single" w:sz="12" w:space="0" w:color="auto"/>
            </w:tcBorders>
            <w:shd w:val="clear" w:color="auto" w:fill="auto"/>
            <w:hideMark/>
          </w:tcPr>
          <w:p w:rsidR="003E3038" w:rsidRPr="002E43DD" w:rsidRDefault="003E3038" w:rsidP="002E43DD">
            <w:pPr>
              <w:pStyle w:val="SingleTxtG"/>
              <w:spacing w:before="40"/>
              <w:ind w:left="0" w:right="0"/>
              <w:jc w:val="left"/>
            </w:pPr>
            <w:r w:rsidRPr="002E43DD">
              <w:t>1</w:t>
            </w:r>
          </w:p>
        </w:tc>
        <w:tc>
          <w:tcPr>
            <w:tcW w:w="1925" w:type="pct"/>
            <w:tcBorders>
              <w:top w:val="single" w:sz="12" w:space="0" w:color="auto"/>
            </w:tcBorders>
            <w:shd w:val="clear" w:color="auto" w:fill="auto"/>
            <w:hideMark/>
          </w:tcPr>
          <w:p w:rsidR="003E3038" w:rsidRPr="002E43DD" w:rsidRDefault="003E3038" w:rsidP="00503D80">
            <w:pPr>
              <w:pStyle w:val="SingleTxtG"/>
              <w:spacing w:before="40"/>
              <w:ind w:left="0" w:right="0"/>
              <w:jc w:val="left"/>
            </w:pPr>
            <w:r w:rsidRPr="002E43DD">
              <w:t xml:space="preserve">Convenio sobre la </w:t>
            </w:r>
            <w:r w:rsidR="00503D80">
              <w:t>D</w:t>
            </w:r>
            <w:r w:rsidRPr="002E43DD">
              <w:t>iscriminación (</w:t>
            </w:r>
            <w:r w:rsidR="00503D80">
              <w:t>E</w:t>
            </w:r>
            <w:r w:rsidRPr="002E43DD">
              <w:t xml:space="preserve">mpleo y </w:t>
            </w:r>
            <w:r w:rsidR="00503D80">
              <w:t>O</w:t>
            </w:r>
            <w:r w:rsidRPr="002E43DD">
              <w:t>cupación) (núm. 111)</w:t>
            </w:r>
          </w:p>
        </w:tc>
        <w:tc>
          <w:tcPr>
            <w:tcW w:w="531" w:type="pct"/>
            <w:tcBorders>
              <w:top w:val="single" w:sz="12" w:space="0" w:color="auto"/>
            </w:tcBorders>
            <w:shd w:val="clear" w:color="auto" w:fill="auto"/>
            <w:hideMark/>
          </w:tcPr>
          <w:p w:rsidR="003E3038" w:rsidRPr="002E43DD" w:rsidRDefault="003E3038" w:rsidP="002E43DD">
            <w:pPr>
              <w:pStyle w:val="SingleTxtG"/>
              <w:spacing w:before="40"/>
              <w:ind w:left="0" w:right="0"/>
              <w:jc w:val="left"/>
            </w:pPr>
            <w:r w:rsidRPr="002E43DD">
              <w:t>1958</w:t>
            </w:r>
          </w:p>
        </w:tc>
        <w:tc>
          <w:tcPr>
            <w:tcW w:w="873" w:type="pct"/>
            <w:tcBorders>
              <w:top w:val="single" w:sz="12" w:space="0" w:color="auto"/>
            </w:tcBorders>
            <w:shd w:val="clear" w:color="auto" w:fill="auto"/>
          </w:tcPr>
          <w:p w:rsidR="003E3038" w:rsidRPr="002E43DD" w:rsidRDefault="00611AC9" w:rsidP="00611AC9">
            <w:pPr>
              <w:pStyle w:val="SingleTxtG"/>
              <w:spacing w:before="40"/>
              <w:ind w:left="0" w:right="0"/>
              <w:jc w:val="left"/>
            </w:pPr>
            <w:r>
              <w:t>8 de noviembre de </w:t>
            </w:r>
            <w:r w:rsidR="003E3038" w:rsidRPr="002E43DD">
              <w:t>1963</w:t>
            </w:r>
          </w:p>
        </w:tc>
        <w:tc>
          <w:tcPr>
            <w:tcW w:w="1293" w:type="pct"/>
            <w:tcBorders>
              <w:top w:val="single" w:sz="12" w:space="0" w:color="auto"/>
            </w:tcBorders>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2</w:t>
            </w:r>
          </w:p>
        </w:tc>
        <w:tc>
          <w:tcPr>
            <w:tcW w:w="1925" w:type="pct"/>
            <w:shd w:val="clear" w:color="auto" w:fill="auto"/>
          </w:tcPr>
          <w:p w:rsidR="003E3038" w:rsidRPr="002E43DD" w:rsidRDefault="003E3038" w:rsidP="00503D80">
            <w:pPr>
              <w:pStyle w:val="SingleTxtG"/>
              <w:spacing w:before="40"/>
              <w:ind w:left="0" w:right="0"/>
              <w:jc w:val="left"/>
            </w:pPr>
            <w:r w:rsidRPr="002E43DD">
              <w:t xml:space="preserve">Convenio sobre la </w:t>
            </w:r>
            <w:r w:rsidR="00503D80">
              <w:t>I</w:t>
            </w:r>
            <w:r w:rsidRPr="002E43DD">
              <w:t xml:space="preserve">gualdad de </w:t>
            </w:r>
            <w:r w:rsidR="00503D80">
              <w:t>T</w:t>
            </w:r>
            <w:r w:rsidRPr="002E43DD">
              <w:t>rato (</w:t>
            </w:r>
            <w:r w:rsidR="00503D80">
              <w:t>A</w:t>
            </w:r>
            <w:r w:rsidRPr="002E43DD">
              <w:t xml:space="preserve">ccidentes del </w:t>
            </w:r>
            <w:r w:rsidR="00503D80">
              <w:t>T</w:t>
            </w:r>
            <w:r w:rsidRPr="002E43DD">
              <w:t>rabajo) (núm. 19)</w:t>
            </w:r>
          </w:p>
        </w:tc>
        <w:tc>
          <w:tcPr>
            <w:tcW w:w="531" w:type="pct"/>
            <w:shd w:val="clear" w:color="auto" w:fill="auto"/>
            <w:hideMark/>
          </w:tcPr>
          <w:p w:rsidR="003E3038" w:rsidRPr="002E43DD" w:rsidRDefault="003E3038" w:rsidP="002E43DD">
            <w:pPr>
              <w:pStyle w:val="SingleTxtG"/>
              <w:spacing w:before="40"/>
              <w:ind w:left="0" w:right="0"/>
              <w:jc w:val="left"/>
            </w:pPr>
            <w:r w:rsidRPr="002E43DD">
              <w:t>1925</w:t>
            </w:r>
          </w:p>
        </w:tc>
        <w:tc>
          <w:tcPr>
            <w:tcW w:w="873" w:type="pct"/>
            <w:shd w:val="clear" w:color="auto" w:fill="auto"/>
          </w:tcPr>
          <w:p w:rsidR="003E3038" w:rsidRPr="002E43DD" w:rsidRDefault="00611AC9" w:rsidP="002E43DD">
            <w:pPr>
              <w:pStyle w:val="SingleTxtG"/>
              <w:spacing w:before="40"/>
              <w:ind w:left="0" w:right="0"/>
              <w:jc w:val="left"/>
            </w:pPr>
            <w:r>
              <w:t>8 de noviembre de </w:t>
            </w:r>
            <w:r w:rsidRPr="002E43DD">
              <w:t>1963</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3</w:t>
            </w:r>
          </w:p>
        </w:tc>
        <w:tc>
          <w:tcPr>
            <w:tcW w:w="1925" w:type="pct"/>
            <w:shd w:val="clear" w:color="auto" w:fill="auto"/>
          </w:tcPr>
          <w:p w:rsidR="003E3038" w:rsidRPr="002E43DD" w:rsidRDefault="00503D80" w:rsidP="00503D80">
            <w:pPr>
              <w:pStyle w:val="SingleTxtG"/>
              <w:spacing w:before="40"/>
              <w:ind w:left="0" w:right="0"/>
              <w:jc w:val="left"/>
            </w:pPr>
            <w:r>
              <w:t>Convenio sobre I</w:t>
            </w:r>
            <w:r w:rsidR="003E3038" w:rsidRPr="002E43DD">
              <w:t xml:space="preserve">gualdad de </w:t>
            </w:r>
            <w:r>
              <w:t>R</w:t>
            </w:r>
            <w:r w:rsidR="003E3038" w:rsidRPr="002E43DD">
              <w:t xml:space="preserve">emuneración </w:t>
            </w:r>
            <w:r>
              <w:t>M</w:t>
            </w:r>
            <w:r w:rsidR="003E3038" w:rsidRPr="002E43DD">
              <w:t>ínima (</w:t>
            </w:r>
            <w:r>
              <w:t>A</w:t>
            </w:r>
            <w:r w:rsidR="003E3038" w:rsidRPr="002E43DD">
              <w:t>gricultura) (núm. 100)</w:t>
            </w:r>
          </w:p>
        </w:tc>
        <w:tc>
          <w:tcPr>
            <w:tcW w:w="531" w:type="pct"/>
            <w:shd w:val="clear" w:color="auto" w:fill="auto"/>
            <w:hideMark/>
          </w:tcPr>
          <w:p w:rsidR="003E3038" w:rsidRPr="002E43DD" w:rsidRDefault="003E3038" w:rsidP="002E43DD">
            <w:pPr>
              <w:pStyle w:val="SingleTxtG"/>
              <w:spacing w:before="40"/>
              <w:ind w:left="0" w:right="0"/>
              <w:jc w:val="left"/>
            </w:pPr>
            <w:r w:rsidRPr="002E43DD">
              <w:t>1951</w:t>
            </w:r>
          </w:p>
        </w:tc>
        <w:tc>
          <w:tcPr>
            <w:tcW w:w="873" w:type="pct"/>
            <w:shd w:val="clear" w:color="auto" w:fill="auto"/>
          </w:tcPr>
          <w:p w:rsidR="003E3038" w:rsidRPr="002E43DD" w:rsidRDefault="003E3038" w:rsidP="00611AC9">
            <w:pPr>
              <w:pStyle w:val="SingleTxtG"/>
              <w:spacing w:before="40"/>
              <w:ind w:left="0" w:right="0"/>
              <w:jc w:val="left"/>
            </w:pPr>
            <w:r w:rsidRPr="002E43DD">
              <w:t>3</w:t>
            </w:r>
            <w:r w:rsidR="00611AC9">
              <w:t xml:space="preserve"> de diciembre de </w:t>
            </w:r>
            <w:r w:rsidRPr="002E43DD">
              <w:t>2001</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4</w:t>
            </w:r>
          </w:p>
        </w:tc>
        <w:tc>
          <w:tcPr>
            <w:tcW w:w="1925" w:type="pct"/>
            <w:shd w:val="clear" w:color="auto" w:fill="auto"/>
          </w:tcPr>
          <w:p w:rsidR="003E3038" w:rsidRPr="002E43DD" w:rsidRDefault="003E3038" w:rsidP="00503D80">
            <w:pPr>
              <w:pStyle w:val="SingleTxtG"/>
              <w:spacing w:before="40"/>
              <w:ind w:left="0" w:right="0"/>
              <w:jc w:val="left"/>
            </w:pPr>
            <w:r w:rsidRPr="002E43DD">
              <w:t xml:space="preserve">Convenio sobre la </w:t>
            </w:r>
            <w:r w:rsidR="00503D80">
              <w:t>I</w:t>
            </w:r>
            <w:r w:rsidRPr="002E43DD">
              <w:t xml:space="preserve">gualdad de </w:t>
            </w:r>
            <w:r w:rsidR="00503D80">
              <w:t>T</w:t>
            </w:r>
            <w:r w:rsidRPr="002E43DD">
              <w:t>rato (</w:t>
            </w:r>
            <w:r w:rsidR="00503D80">
              <w:t>S</w:t>
            </w:r>
            <w:r w:rsidRPr="002E43DD">
              <w:t xml:space="preserve">eguridad </w:t>
            </w:r>
            <w:r w:rsidR="00503D80">
              <w:t>S</w:t>
            </w:r>
            <w:r w:rsidRPr="002E43DD">
              <w:t>ocial) (núm. 118)</w:t>
            </w:r>
          </w:p>
        </w:tc>
        <w:tc>
          <w:tcPr>
            <w:tcW w:w="531" w:type="pct"/>
            <w:shd w:val="clear" w:color="auto" w:fill="auto"/>
            <w:hideMark/>
          </w:tcPr>
          <w:p w:rsidR="003E3038" w:rsidRPr="002E43DD" w:rsidRDefault="003E3038" w:rsidP="002E43DD">
            <w:pPr>
              <w:pStyle w:val="SingleTxtG"/>
              <w:spacing w:before="40"/>
              <w:ind w:left="0" w:right="0"/>
              <w:jc w:val="left"/>
            </w:pPr>
            <w:r w:rsidRPr="002E43DD">
              <w:t>1962</w:t>
            </w:r>
          </w:p>
        </w:tc>
        <w:tc>
          <w:tcPr>
            <w:tcW w:w="873" w:type="pct"/>
            <w:shd w:val="clear" w:color="auto" w:fill="auto"/>
          </w:tcPr>
          <w:p w:rsidR="003E3038" w:rsidRPr="002E43DD" w:rsidRDefault="003E3038" w:rsidP="00611AC9">
            <w:pPr>
              <w:pStyle w:val="SingleTxtG"/>
              <w:spacing w:before="40"/>
              <w:ind w:left="0" w:right="0"/>
              <w:jc w:val="left"/>
            </w:pPr>
            <w:r w:rsidRPr="002E43DD">
              <w:t>15</w:t>
            </w:r>
            <w:r w:rsidR="00611AC9">
              <w:t xml:space="preserve"> de julio de </w:t>
            </w:r>
            <w:r w:rsidRPr="002E43DD">
              <w:t>1968</w:t>
            </w:r>
          </w:p>
        </w:tc>
        <w:tc>
          <w:tcPr>
            <w:tcW w:w="1293" w:type="pct"/>
            <w:shd w:val="clear" w:color="auto" w:fill="auto"/>
          </w:tcPr>
          <w:p w:rsidR="003E3038" w:rsidRPr="002E43DD" w:rsidRDefault="003E3038" w:rsidP="002E43DD">
            <w:pPr>
              <w:pStyle w:val="SingleTxtG"/>
              <w:spacing w:before="40"/>
              <w:ind w:left="0" w:right="0"/>
              <w:jc w:val="left"/>
            </w:pPr>
            <w:r w:rsidRPr="002E43DD">
              <w:t>Se aceptaron las ramas de la seguridad social d) a g) e i)</w:t>
            </w: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5</w:t>
            </w:r>
          </w:p>
        </w:tc>
        <w:tc>
          <w:tcPr>
            <w:tcW w:w="1925" w:type="pct"/>
            <w:shd w:val="clear" w:color="auto" w:fill="auto"/>
          </w:tcPr>
          <w:p w:rsidR="003E3038" w:rsidRPr="002E43DD" w:rsidRDefault="003E3038" w:rsidP="00503D80">
            <w:pPr>
              <w:pStyle w:val="SingleTxtG"/>
              <w:spacing w:before="40"/>
              <w:ind w:left="0" w:right="0"/>
              <w:jc w:val="left"/>
            </w:pPr>
            <w:r w:rsidRPr="002E43DD">
              <w:t xml:space="preserve">Convenio sobre la </w:t>
            </w:r>
            <w:r w:rsidR="00503D80">
              <w:t>A</w:t>
            </w:r>
            <w:r w:rsidRPr="002E43DD">
              <w:t xml:space="preserve">bolición del </w:t>
            </w:r>
            <w:r w:rsidR="00503D80">
              <w:t>T</w:t>
            </w:r>
            <w:r w:rsidRPr="002E43DD">
              <w:t xml:space="preserve">rabajo </w:t>
            </w:r>
            <w:r w:rsidR="00503D80">
              <w:t>F</w:t>
            </w:r>
            <w:r w:rsidRPr="002E43DD">
              <w:t>orzoso (núm. 105)</w:t>
            </w:r>
          </w:p>
        </w:tc>
        <w:tc>
          <w:tcPr>
            <w:tcW w:w="531" w:type="pct"/>
            <w:shd w:val="clear" w:color="auto" w:fill="auto"/>
            <w:hideMark/>
          </w:tcPr>
          <w:p w:rsidR="003E3038" w:rsidRPr="002E43DD" w:rsidRDefault="003E3038" w:rsidP="002E43DD">
            <w:pPr>
              <w:pStyle w:val="SingleTxtG"/>
              <w:spacing w:before="40"/>
              <w:ind w:left="0" w:right="0"/>
              <w:jc w:val="left"/>
            </w:pPr>
            <w:r w:rsidRPr="002E43DD">
              <w:t>1957</w:t>
            </w:r>
          </w:p>
        </w:tc>
        <w:tc>
          <w:tcPr>
            <w:tcW w:w="873" w:type="pct"/>
            <w:shd w:val="clear" w:color="auto" w:fill="auto"/>
          </w:tcPr>
          <w:p w:rsidR="003E3038" w:rsidRPr="002E43DD" w:rsidRDefault="003E3038" w:rsidP="00611AC9">
            <w:pPr>
              <w:pStyle w:val="SingleTxtG"/>
              <w:spacing w:before="40"/>
              <w:ind w:left="0" w:right="0"/>
              <w:jc w:val="left"/>
            </w:pPr>
            <w:r w:rsidRPr="002E43DD">
              <w:t>3</w:t>
            </w:r>
            <w:r w:rsidR="00611AC9">
              <w:t xml:space="preserve"> de abril de </w:t>
            </w:r>
            <w:r w:rsidRPr="002E43DD">
              <w:t>1997</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6</w:t>
            </w:r>
          </w:p>
        </w:tc>
        <w:tc>
          <w:tcPr>
            <w:tcW w:w="1925" w:type="pct"/>
            <w:shd w:val="clear" w:color="auto" w:fill="auto"/>
          </w:tcPr>
          <w:p w:rsidR="003E3038" w:rsidRPr="002E43DD" w:rsidRDefault="003E3038" w:rsidP="00503D80">
            <w:pPr>
              <w:pStyle w:val="SingleTxtG"/>
              <w:spacing w:before="40"/>
              <w:ind w:left="0" w:right="0"/>
              <w:jc w:val="left"/>
            </w:pPr>
            <w:r w:rsidRPr="002E43DD">
              <w:t xml:space="preserve">Convenio sobre el </w:t>
            </w:r>
            <w:r w:rsidR="00503D80">
              <w:t>T</w:t>
            </w:r>
            <w:r w:rsidRPr="002E43DD">
              <w:t xml:space="preserve">rabajo </w:t>
            </w:r>
            <w:r w:rsidR="00503D80">
              <w:t>F</w:t>
            </w:r>
            <w:r w:rsidRPr="002E43DD">
              <w:t>orzoso (núm.</w:t>
            </w:r>
            <w:r w:rsidR="00503D80">
              <w:t> </w:t>
            </w:r>
            <w:r w:rsidRPr="002E43DD">
              <w:t>29)</w:t>
            </w:r>
          </w:p>
        </w:tc>
        <w:tc>
          <w:tcPr>
            <w:tcW w:w="531" w:type="pct"/>
            <w:shd w:val="clear" w:color="auto" w:fill="auto"/>
            <w:hideMark/>
          </w:tcPr>
          <w:p w:rsidR="003E3038" w:rsidRPr="002E43DD" w:rsidRDefault="003E3038" w:rsidP="002E43DD">
            <w:pPr>
              <w:pStyle w:val="SingleTxtG"/>
              <w:spacing w:before="40"/>
              <w:ind w:left="0" w:right="0"/>
              <w:jc w:val="left"/>
            </w:pPr>
            <w:r w:rsidRPr="002E43DD">
              <w:t>1930</w:t>
            </w:r>
          </w:p>
        </w:tc>
        <w:tc>
          <w:tcPr>
            <w:tcW w:w="873" w:type="pct"/>
            <w:shd w:val="clear" w:color="auto" w:fill="auto"/>
          </w:tcPr>
          <w:p w:rsidR="003E3038" w:rsidRPr="002E43DD" w:rsidRDefault="003E3038" w:rsidP="00611AC9">
            <w:pPr>
              <w:pStyle w:val="SingleTxtG"/>
              <w:spacing w:before="40"/>
              <w:ind w:left="0" w:right="0"/>
              <w:jc w:val="left"/>
            </w:pPr>
            <w:r w:rsidRPr="002E43DD">
              <w:t>20</w:t>
            </w:r>
            <w:r w:rsidR="00611AC9">
              <w:t xml:space="preserve"> de junio de </w:t>
            </w:r>
            <w:r w:rsidRPr="002E43DD">
              <w:t>1961</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7</w:t>
            </w:r>
          </w:p>
        </w:tc>
        <w:tc>
          <w:tcPr>
            <w:tcW w:w="1925" w:type="pct"/>
            <w:shd w:val="clear" w:color="auto" w:fill="auto"/>
          </w:tcPr>
          <w:p w:rsidR="003E3038" w:rsidRPr="002E43DD" w:rsidRDefault="003E3038" w:rsidP="00503D80">
            <w:pPr>
              <w:pStyle w:val="SingleTxtG"/>
              <w:spacing w:before="40"/>
              <w:ind w:left="0" w:right="0"/>
              <w:jc w:val="left"/>
            </w:pPr>
            <w:r w:rsidRPr="002E43DD">
              <w:t xml:space="preserve">Convenio sobre la </w:t>
            </w:r>
            <w:r w:rsidR="00503D80">
              <w:t>P</w:t>
            </w:r>
            <w:r w:rsidRPr="002E43DD">
              <w:t xml:space="preserve">rotección de la </w:t>
            </w:r>
            <w:r w:rsidR="00503D80">
              <w:t>M</w:t>
            </w:r>
            <w:r w:rsidRPr="002E43DD">
              <w:t>aternidad (núm. 3)</w:t>
            </w:r>
          </w:p>
        </w:tc>
        <w:tc>
          <w:tcPr>
            <w:tcW w:w="531" w:type="pct"/>
            <w:shd w:val="clear" w:color="auto" w:fill="auto"/>
            <w:hideMark/>
          </w:tcPr>
          <w:p w:rsidR="003E3038" w:rsidRPr="002E43DD" w:rsidRDefault="003E3038" w:rsidP="002E43DD">
            <w:pPr>
              <w:pStyle w:val="SingleTxtG"/>
              <w:spacing w:before="40"/>
              <w:ind w:left="0" w:right="0"/>
              <w:jc w:val="left"/>
            </w:pPr>
            <w:r w:rsidRPr="002E43DD">
              <w:t>1919</w:t>
            </w:r>
          </w:p>
        </w:tc>
        <w:tc>
          <w:tcPr>
            <w:tcW w:w="873" w:type="pct"/>
            <w:shd w:val="clear" w:color="auto" w:fill="auto"/>
          </w:tcPr>
          <w:p w:rsidR="003E3038" w:rsidRPr="002E43DD" w:rsidRDefault="003E3038" w:rsidP="00611AC9">
            <w:pPr>
              <w:pStyle w:val="SingleTxtG"/>
              <w:spacing w:before="40"/>
              <w:ind w:left="0" w:right="0"/>
              <w:jc w:val="left"/>
            </w:pPr>
            <w:r w:rsidRPr="002E43DD">
              <w:t>8</w:t>
            </w:r>
            <w:r w:rsidR="00611AC9">
              <w:t xml:space="preserve"> de noviembre de </w:t>
            </w:r>
            <w:r w:rsidRPr="002E43DD">
              <w:t>1963</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8</w:t>
            </w:r>
          </w:p>
        </w:tc>
        <w:tc>
          <w:tcPr>
            <w:tcW w:w="1925" w:type="pct"/>
            <w:shd w:val="clear" w:color="auto" w:fill="auto"/>
          </w:tcPr>
          <w:p w:rsidR="003E3038" w:rsidRPr="002E43DD" w:rsidRDefault="003E3038" w:rsidP="00503D80">
            <w:pPr>
              <w:pStyle w:val="SingleTxtG"/>
              <w:spacing w:before="40"/>
              <w:ind w:left="0" w:right="0"/>
              <w:jc w:val="left"/>
            </w:pPr>
            <w:r w:rsidRPr="002E43DD">
              <w:t xml:space="preserve">Convenio sobre el </w:t>
            </w:r>
            <w:r w:rsidR="00503D80">
              <w:t>T</w:t>
            </w:r>
            <w:r w:rsidRPr="002E43DD">
              <w:t xml:space="preserve">rabajo </w:t>
            </w:r>
            <w:r w:rsidR="00503D80">
              <w:t>N</w:t>
            </w:r>
            <w:r w:rsidRPr="002E43DD">
              <w:t>octurno (</w:t>
            </w:r>
            <w:r w:rsidR="00503D80">
              <w:t>M</w:t>
            </w:r>
            <w:r w:rsidRPr="002E43DD">
              <w:t>ujeres) (núm. 4)</w:t>
            </w:r>
          </w:p>
        </w:tc>
        <w:tc>
          <w:tcPr>
            <w:tcW w:w="531" w:type="pct"/>
            <w:shd w:val="clear" w:color="auto" w:fill="auto"/>
            <w:hideMark/>
          </w:tcPr>
          <w:p w:rsidR="003E3038" w:rsidRPr="002E43DD" w:rsidRDefault="003E3038" w:rsidP="002E43DD">
            <w:pPr>
              <w:pStyle w:val="SingleTxtG"/>
              <w:spacing w:before="40"/>
              <w:ind w:left="0" w:right="0"/>
              <w:jc w:val="left"/>
            </w:pPr>
            <w:r w:rsidRPr="002E43DD">
              <w:t>1919</w:t>
            </w:r>
          </w:p>
        </w:tc>
        <w:tc>
          <w:tcPr>
            <w:tcW w:w="873" w:type="pct"/>
            <w:shd w:val="clear" w:color="auto" w:fill="auto"/>
          </w:tcPr>
          <w:p w:rsidR="003E3038" w:rsidRPr="002E43DD" w:rsidRDefault="00611AC9" w:rsidP="002E43DD">
            <w:pPr>
              <w:pStyle w:val="SingleTxtG"/>
              <w:spacing w:before="40"/>
              <w:ind w:left="0" w:right="0"/>
              <w:jc w:val="left"/>
            </w:pPr>
            <w:r w:rsidRPr="002E43DD">
              <w:t>20</w:t>
            </w:r>
            <w:r>
              <w:t xml:space="preserve"> de junio de </w:t>
            </w:r>
            <w:r w:rsidRPr="002E43DD">
              <w:t>1961</w:t>
            </w:r>
          </w:p>
        </w:tc>
        <w:tc>
          <w:tcPr>
            <w:tcW w:w="1293" w:type="pct"/>
            <w:shd w:val="clear" w:color="auto" w:fill="auto"/>
          </w:tcPr>
          <w:p w:rsidR="003E3038" w:rsidRPr="002E43DD" w:rsidRDefault="003E3038" w:rsidP="002E43DD">
            <w:pPr>
              <w:pStyle w:val="SingleTxtG"/>
              <w:spacing w:before="40"/>
              <w:ind w:left="0" w:right="0"/>
              <w:jc w:val="left"/>
            </w:pPr>
            <w:r w:rsidRPr="002E43DD">
              <w:t>Denunciado por la República Islámica de Mauritania el 2 de agosto de 1965</w:t>
            </w: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9</w:t>
            </w:r>
          </w:p>
        </w:tc>
        <w:tc>
          <w:tcPr>
            <w:tcW w:w="1925" w:type="pct"/>
            <w:shd w:val="clear" w:color="auto" w:fill="auto"/>
          </w:tcPr>
          <w:p w:rsidR="003E3038" w:rsidRPr="002E43DD" w:rsidRDefault="003E3038" w:rsidP="00503D80">
            <w:pPr>
              <w:pStyle w:val="SingleTxtG"/>
              <w:spacing w:before="40"/>
              <w:ind w:left="0" w:right="0"/>
              <w:jc w:val="left"/>
            </w:pPr>
            <w:r w:rsidRPr="002E43DD">
              <w:t xml:space="preserve">Convenio sobre el </w:t>
            </w:r>
            <w:r w:rsidR="00503D80">
              <w:t>T</w:t>
            </w:r>
            <w:r w:rsidRPr="002E43DD">
              <w:t xml:space="preserve">rabajo </w:t>
            </w:r>
            <w:r w:rsidR="00503D80">
              <w:t>N</w:t>
            </w:r>
            <w:r w:rsidRPr="002E43DD">
              <w:t>octurno (</w:t>
            </w:r>
            <w:r w:rsidR="00503D80">
              <w:t>M</w:t>
            </w:r>
            <w:r w:rsidRPr="002E43DD">
              <w:t>ujeres) (núm. 41)</w:t>
            </w:r>
          </w:p>
        </w:tc>
        <w:tc>
          <w:tcPr>
            <w:tcW w:w="531" w:type="pct"/>
            <w:shd w:val="clear" w:color="auto" w:fill="auto"/>
            <w:hideMark/>
          </w:tcPr>
          <w:p w:rsidR="003E3038" w:rsidRPr="002E43DD" w:rsidRDefault="003E3038" w:rsidP="002E43DD">
            <w:pPr>
              <w:pStyle w:val="SingleTxtG"/>
              <w:spacing w:before="40"/>
              <w:ind w:left="0" w:right="0"/>
              <w:jc w:val="left"/>
            </w:pPr>
            <w:r w:rsidRPr="002E43DD">
              <w:t>1934</w:t>
            </w:r>
          </w:p>
        </w:tc>
        <w:tc>
          <w:tcPr>
            <w:tcW w:w="873" w:type="pct"/>
            <w:shd w:val="clear" w:color="auto" w:fill="auto"/>
          </w:tcPr>
          <w:p w:rsidR="003E3038" w:rsidRPr="002E43DD" w:rsidRDefault="00611AC9" w:rsidP="002E43DD">
            <w:pPr>
              <w:pStyle w:val="SingleTxtG"/>
              <w:spacing w:before="40"/>
              <w:ind w:left="0" w:right="0"/>
              <w:jc w:val="left"/>
            </w:pPr>
            <w:r w:rsidRPr="002E43DD">
              <w:t>20</w:t>
            </w:r>
            <w:r>
              <w:t xml:space="preserve"> de junio de </w:t>
            </w:r>
            <w:r w:rsidRPr="002E43DD">
              <w:t>1961</w:t>
            </w:r>
          </w:p>
        </w:tc>
        <w:tc>
          <w:tcPr>
            <w:tcW w:w="1293" w:type="pct"/>
            <w:shd w:val="clear" w:color="auto" w:fill="auto"/>
          </w:tcPr>
          <w:p w:rsidR="003E3038" w:rsidRPr="002E43DD" w:rsidRDefault="003E3038" w:rsidP="002E43DD">
            <w:pPr>
              <w:pStyle w:val="SingleTxtG"/>
              <w:spacing w:before="40"/>
              <w:ind w:left="0" w:right="0"/>
              <w:jc w:val="left"/>
            </w:pPr>
            <w:r w:rsidRPr="002E43DD">
              <w:t>Denunciado a raíz de la ratificación del Convenio núm. 89</w:t>
            </w: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10</w:t>
            </w:r>
          </w:p>
        </w:tc>
        <w:tc>
          <w:tcPr>
            <w:tcW w:w="1925" w:type="pct"/>
            <w:shd w:val="clear" w:color="auto" w:fill="auto"/>
          </w:tcPr>
          <w:p w:rsidR="003E3038" w:rsidRPr="002E43DD" w:rsidRDefault="003E3038" w:rsidP="00503D80">
            <w:pPr>
              <w:pStyle w:val="SingleTxtG"/>
              <w:spacing w:before="40"/>
              <w:ind w:left="0" w:right="0"/>
              <w:jc w:val="left"/>
            </w:pPr>
            <w:r w:rsidRPr="002E43DD">
              <w:t xml:space="preserve">Convenio sobre el </w:t>
            </w:r>
            <w:r w:rsidR="00503D80">
              <w:t>T</w:t>
            </w:r>
            <w:r w:rsidRPr="002E43DD">
              <w:t xml:space="preserve">rabajo </w:t>
            </w:r>
            <w:r w:rsidR="00503D80">
              <w:t>N</w:t>
            </w:r>
            <w:r w:rsidRPr="002E43DD">
              <w:t>octurno (</w:t>
            </w:r>
            <w:r w:rsidR="00503D80">
              <w:t>M</w:t>
            </w:r>
            <w:r w:rsidRPr="002E43DD">
              <w:t>ujeres) (núm. 89)</w:t>
            </w:r>
          </w:p>
        </w:tc>
        <w:tc>
          <w:tcPr>
            <w:tcW w:w="531" w:type="pct"/>
            <w:shd w:val="clear" w:color="auto" w:fill="auto"/>
          </w:tcPr>
          <w:p w:rsidR="003E3038" w:rsidRPr="002E43DD" w:rsidRDefault="003E3038" w:rsidP="002E43DD">
            <w:pPr>
              <w:pStyle w:val="SingleTxtG"/>
              <w:spacing w:before="40"/>
              <w:ind w:left="0" w:right="0"/>
              <w:jc w:val="left"/>
            </w:pPr>
            <w:r w:rsidRPr="002E43DD">
              <w:t>1948</w:t>
            </w:r>
          </w:p>
        </w:tc>
        <w:tc>
          <w:tcPr>
            <w:tcW w:w="873" w:type="pct"/>
            <w:shd w:val="clear" w:color="auto" w:fill="auto"/>
          </w:tcPr>
          <w:p w:rsidR="003E3038" w:rsidRPr="002E43DD" w:rsidRDefault="00611AC9" w:rsidP="00611AC9">
            <w:pPr>
              <w:pStyle w:val="SingleTxtG"/>
              <w:spacing w:before="40"/>
              <w:ind w:left="0" w:right="0"/>
              <w:jc w:val="left"/>
            </w:pPr>
            <w:r>
              <w:t>8 de noviembre de </w:t>
            </w:r>
            <w:r w:rsidRPr="002E43DD">
              <w:t>1963</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11</w:t>
            </w:r>
          </w:p>
        </w:tc>
        <w:tc>
          <w:tcPr>
            <w:tcW w:w="1925" w:type="pct"/>
            <w:shd w:val="clear" w:color="auto" w:fill="auto"/>
          </w:tcPr>
          <w:p w:rsidR="003E3038" w:rsidRPr="002E43DD" w:rsidRDefault="003E3038" w:rsidP="00503D80">
            <w:pPr>
              <w:pStyle w:val="SingleTxtG"/>
              <w:spacing w:before="40"/>
              <w:ind w:left="0" w:right="0"/>
              <w:jc w:val="left"/>
            </w:pPr>
            <w:r w:rsidRPr="002E43DD">
              <w:t xml:space="preserve">Convenio sobre la </w:t>
            </w:r>
            <w:r w:rsidR="00503D80">
              <w:t>P</w:t>
            </w:r>
            <w:r w:rsidRPr="002E43DD">
              <w:t xml:space="preserve">rohibición de las </w:t>
            </w:r>
            <w:r w:rsidR="00503D80">
              <w:t>P</w:t>
            </w:r>
            <w:r w:rsidRPr="002E43DD">
              <w:t xml:space="preserve">eores </w:t>
            </w:r>
            <w:r w:rsidR="00503D80">
              <w:t>F</w:t>
            </w:r>
            <w:r w:rsidRPr="002E43DD">
              <w:t xml:space="preserve">ormas de </w:t>
            </w:r>
            <w:r w:rsidR="00503D80">
              <w:t>T</w:t>
            </w:r>
            <w:r w:rsidRPr="002E43DD">
              <w:t xml:space="preserve">rabajo </w:t>
            </w:r>
            <w:r w:rsidR="00503D80">
              <w:t>I</w:t>
            </w:r>
            <w:r w:rsidRPr="002E43DD">
              <w:t>nfantil (núm. 182)</w:t>
            </w:r>
          </w:p>
        </w:tc>
        <w:tc>
          <w:tcPr>
            <w:tcW w:w="531" w:type="pct"/>
            <w:shd w:val="clear" w:color="auto" w:fill="auto"/>
            <w:hideMark/>
          </w:tcPr>
          <w:p w:rsidR="003E3038" w:rsidRPr="002E43DD" w:rsidRDefault="003E3038" w:rsidP="002E43DD">
            <w:pPr>
              <w:pStyle w:val="SingleTxtG"/>
              <w:spacing w:before="40"/>
              <w:ind w:left="0" w:right="0"/>
              <w:jc w:val="left"/>
            </w:pPr>
            <w:r w:rsidRPr="002E43DD">
              <w:t>1999</w:t>
            </w:r>
          </w:p>
        </w:tc>
        <w:tc>
          <w:tcPr>
            <w:tcW w:w="873" w:type="pct"/>
            <w:shd w:val="clear" w:color="auto" w:fill="auto"/>
          </w:tcPr>
          <w:p w:rsidR="003E3038" w:rsidRPr="002E43DD" w:rsidRDefault="00611AC9" w:rsidP="002E43DD">
            <w:pPr>
              <w:pStyle w:val="SingleTxtG"/>
              <w:spacing w:before="40"/>
              <w:ind w:left="0" w:right="0"/>
              <w:jc w:val="left"/>
            </w:pPr>
            <w:r w:rsidRPr="002E43DD">
              <w:t>3</w:t>
            </w:r>
            <w:r>
              <w:t xml:space="preserve"> de diciembre de </w:t>
            </w:r>
            <w:r w:rsidRPr="002E43DD">
              <w:t>2001</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12</w:t>
            </w:r>
          </w:p>
        </w:tc>
        <w:tc>
          <w:tcPr>
            <w:tcW w:w="1925" w:type="pct"/>
            <w:shd w:val="clear" w:color="auto" w:fill="auto"/>
          </w:tcPr>
          <w:p w:rsidR="003E3038" w:rsidRPr="002E43DD" w:rsidRDefault="003E3038" w:rsidP="00503D80">
            <w:pPr>
              <w:pStyle w:val="SingleTxtG"/>
              <w:spacing w:before="40"/>
              <w:ind w:left="0" w:right="0"/>
              <w:jc w:val="left"/>
            </w:pPr>
            <w:r w:rsidRPr="002E43DD">
              <w:t xml:space="preserve">Convenio sobre la </w:t>
            </w:r>
            <w:r w:rsidR="00503D80">
              <w:t>E</w:t>
            </w:r>
            <w:r w:rsidRPr="002E43DD">
              <w:t xml:space="preserve">dad </w:t>
            </w:r>
            <w:r w:rsidR="00503D80">
              <w:t>M</w:t>
            </w:r>
            <w:r w:rsidRPr="002E43DD">
              <w:t>ínima (</w:t>
            </w:r>
            <w:r w:rsidR="00503D80">
              <w:t>I</w:t>
            </w:r>
            <w:r w:rsidRPr="002E43DD">
              <w:t>ndustria) (núm. 5)</w:t>
            </w:r>
          </w:p>
        </w:tc>
        <w:tc>
          <w:tcPr>
            <w:tcW w:w="531" w:type="pct"/>
            <w:shd w:val="clear" w:color="auto" w:fill="auto"/>
            <w:hideMark/>
          </w:tcPr>
          <w:p w:rsidR="003E3038" w:rsidRPr="002E43DD" w:rsidRDefault="003E3038" w:rsidP="002E43DD">
            <w:pPr>
              <w:pStyle w:val="SingleTxtG"/>
              <w:spacing w:before="40"/>
              <w:ind w:left="0" w:right="0"/>
              <w:jc w:val="left"/>
            </w:pPr>
            <w:r w:rsidRPr="002E43DD">
              <w:t>1919</w:t>
            </w:r>
          </w:p>
        </w:tc>
        <w:tc>
          <w:tcPr>
            <w:tcW w:w="873" w:type="pct"/>
            <w:shd w:val="clear" w:color="auto" w:fill="auto"/>
          </w:tcPr>
          <w:p w:rsidR="003E3038" w:rsidRPr="002E43DD" w:rsidRDefault="00611AC9" w:rsidP="002E43DD">
            <w:pPr>
              <w:pStyle w:val="SingleTxtG"/>
              <w:spacing w:before="40"/>
              <w:ind w:left="0" w:right="0"/>
              <w:jc w:val="left"/>
            </w:pPr>
            <w:r w:rsidRPr="002E43DD">
              <w:t>20</w:t>
            </w:r>
            <w:r>
              <w:t xml:space="preserve"> de junio de </w:t>
            </w:r>
            <w:r w:rsidRPr="002E43DD">
              <w:t>1961</w:t>
            </w:r>
          </w:p>
        </w:tc>
        <w:tc>
          <w:tcPr>
            <w:tcW w:w="1293" w:type="pct"/>
            <w:shd w:val="clear" w:color="auto" w:fill="auto"/>
          </w:tcPr>
          <w:p w:rsidR="003E3038" w:rsidRPr="002E43DD" w:rsidRDefault="003E3038" w:rsidP="002E43DD">
            <w:pPr>
              <w:pStyle w:val="SingleTxtG"/>
              <w:spacing w:before="40"/>
              <w:ind w:left="0" w:right="0"/>
              <w:jc w:val="left"/>
            </w:pPr>
            <w:r w:rsidRPr="002E43DD">
              <w:t>Denunciado a raíz de la ratificación del Convenio núm. 138</w:t>
            </w: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13</w:t>
            </w:r>
          </w:p>
        </w:tc>
        <w:tc>
          <w:tcPr>
            <w:tcW w:w="1925" w:type="pct"/>
            <w:shd w:val="clear" w:color="auto" w:fill="auto"/>
          </w:tcPr>
          <w:p w:rsidR="003E3038" w:rsidRPr="002E43DD" w:rsidRDefault="003E3038" w:rsidP="00503D80">
            <w:pPr>
              <w:pStyle w:val="SingleTxtG"/>
              <w:spacing w:before="40"/>
              <w:ind w:left="0" w:right="0"/>
              <w:jc w:val="left"/>
            </w:pPr>
            <w:r w:rsidRPr="002E43DD">
              <w:t xml:space="preserve">Convenio sobre el </w:t>
            </w:r>
            <w:r w:rsidR="00503D80">
              <w:t>T</w:t>
            </w:r>
            <w:r w:rsidRPr="002E43DD">
              <w:t xml:space="preserve">rabajo </w:t>
            </w:r>
            <w:r w:rsidR="00503D80">
              <w:t>N</w:t>
            </w:r>
            <w:r w:rsidRPr="002E43DD">
              <w:t xml:space="preserve">octurno de los </w:t>
            </w:r>
            <w:r w:rsidR="00503D80">
              <w:t>M</w:t>
            </w:r>
            <w:r w:rsidRPr="002E43DD">
              <w:t>enores (núm. 6)</w:t>
            </w:r>
          </w:p>
        </w:tc>
        <w:tc>
          <w:tcPr>
            <w:tcW w:w="531" w:type="pct"/>
            <w:shd w:val="clear" w:color="auto" w:fill="auto"/>
            <w:hideMark/>
          </w:tcPr>
          <w:p w:rsidR="003E3038" w:rsidRPr="002E43DD" w:rsidRDefault="003E3038" w:rsidP="002E43DD">
            <w:pPr>
              <w:pStyle w:val="SingleTxtG"/>
              <w:spacing w:before="40"/>
              <w:ind w:left="0" w:right="0"/>
              <w:jc w:val="left"/>
            </w:pPr>
            <w:r w:rsidRPr="002E43DD">
              <w:t>1919</w:t>
            </w:r>
          </w:p>
        </w:tc>
        <w:tc>
          <w:tcPr>
            <w:tcW w:w="873" w:type="pct"/>
            <w:shd w:val="clear" w:color="auto" w:fill="auto"/>
          </w:tcPr>
          <w:p w:rsidR="003E3038" w:rsidRPr="002E43DD" w:rsidRDefault="00611AC9" w:rsidP="002E43DD">
            <w:pPr>
              <w:pStyle w:val="SingleTxtG"/>
              <w:spacing w:before="40"/>
              <w:ind w:left="0" w:right="0"/>
              <w:jc w:val="left"/>
            </w:pPr>
            <w:r w:rsidRPr="002E43DD">
              <w:t>20</w:t>
            </w:r>
            <w:r>
              <w:t xml:space="preserve"> de junio de </w:t>
            </w:r>
            <w:r w:rsidRPr="002E43DD">
              <w:t>1961</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14</w:t>
            </w:r>
          </w:p>
        </w:tc>
        <w:tc>
          <w:tcPr>
            <w:tcW w:w="1925" w:type="pct"/>
            <w:shd w:val="clear" w:color="auto" w:fill="auto"/>
          </w:tcPr>
          <w:p w:rsidR="003E3038" w:rsidRPr="002E43DD" w:rsidRDefault="003E3038" w:rsidP="00503D80">
            <w:pPr>
              <w:pStyle w:val="SingleTxtG"/>
              <w:spacing w:before="40"/>
              <w:ind w:left="0" w:right="0"/>
              <w:jc w:val="left"/>
            </w:pPr>
            <w:r w:rsidRPr="002E43DD">
              <w:t xml:space="preserve">Convenio sobre la </w:t>
            </w:r>
            <w:r w:rsidR="00503D80">
              <w:t>E</w:t>
            </w:r>
            <w:r w:rsidRPr="002E43DD">
              <w:t xml:space="preserve">dad </w:t>
            </w:r>
            <w:r w:rsidR="00503D80">
              <w:t>M</w:t>
            </w:r>
            <w:r w:rsidRPr="002E43DD">
              <w:t>ínima (</w:t>
            </w:r>
            <w:r w:rsidR="00503D80">
              <w:t>P</w:t>
            </w:r>
            <w:r w:rsidRPr="002E43DD">
              <w:t xml:space="preserve">añoleros y </w:t>
            </w:r>
            <w:r w:rsidR="00503D80">
              <w:t>F</w:t>
            </w:r>
            <w:r w:rsidRPr="002E43DD">
              <w:t>ogoneros) (núm. 15)</w:t>
            </w:r>
          </w:p>
        </w:tc>
        <w:tc>
          <w:tcPr>
            <w:tcW w:w="531" w:type="pct"/>
            <w:shd w:val="clear" w:color="auto" w:fill="auto"/>
            <w:hideMark/>
          </w:tcPr>
          <w:p w:rsidR="003E3038" w:rsidRPr="002E43DD" w:rsidRDefault="003E3038" w:rsidP="002E43DD">
            <w:pPr>
              <w:pStyle w:val="SingleTxtG"/>
              <w:spacing w:before="40"/>
              <w:ind w:left="0" w:right="0"/>
              <w:jc w:val="left"/>
            </w:pPr>
            <w:r w:rsidRPr="002E43DD">
              <w:t>1921</w:t>
            </w:r>
          </w:p>
        </w:tc>
        <w:tc>
          <w:tcPr>
            <w:tcW w:w="873" w:type="pct"/>
            <w:shd w:val="clear" w:color="auto" w:fill="auto"/>
          </w:tcPr>
          <w:p w:rsidR="003E3038" w:rsidRPr="002E43DD" w:rsidRDefault="00611AC9" w:rsidP="002E43DD">
            <w:pPr>
              <w:pStyle w:val="SingleTxtG"/>
              <w:spacing w:before="40"/>
              <w:ind w:left="0" w:right="0"/>
              <w:jc w:val="left"/>
            </w:pPr>
            <w:r>
              <w:t>8 de noviembre de </w:t>
            </w:r>
            <w:r w:rsidRPr="002E43DD">
              <w:t>1963</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15</w:t>
            </w:r>
          </w:p>
        </w:tc>
        <w:tc>
          <w:tcPr>
            <w:tcW w:w="1925" w:type="pct"/>
            <w:shd w:val="clear" w:color="auto" w:fill="auto"/>
          </w:tcPr>
          <w:p w:rsidR="003E3038" w:rsidRPr="002E43DD" w:rsidRDefault="003E3038" w:rsidP="00503D80">
            <w:pPr>
              <w:pStyle w:val="SingleTxtG"/>
              <w:spacing w:before="40"/>
              <w:ind w:left="0" w:right="0"/>
              <w:jc w:val="left"/>
            </w:pPr>
            <w:r w:rsidRPr="002E43DD">
              <w:t xml:space="preserve">Convenio sobre la </w:t>
            </w:r>
            <w:r w:rsidR="00503D80">
              <w:t>E</w:t>
            </w:r>
            <w:r w:rsidRPr="002E43DD">
              <w:t xml:space="preserve">dad </w:t>
            </w:r>
            <w:r w:rsidR="00503D80">
              <w:t>M</w:t>
            </w:r>
            <w:r w:rsidRPr="002E43DD">
              <w:t>ínima (</w:t>
            </w:r>
            <w:r w:rsidR="00503D80">
              <w:t>T</w:t>
            </w:r>
            <w:r w:rsidRPr="002E43DD">
              <w:t xml:space="preserve">rabajos no </w:t>
            </w:r>
            <w:r w:rsidR="00503D80">
              <w:t>I</w:t>
            </w:r>
            <w:r w:rsidRPr="002E43DD">
              <w:t>ndustriales) (núm. 33)</w:t>
            </w:r>
          </w:p>
        </w:tc>
        <w:tc>
          <w:tcPr>
            <w:tcW w:w="531" w:type="pct"/>
            <w:shd w:val="clear" w:color="auto" w:fill="auto"/>
            <w:hideMark/>
          </w:tcPr>
          <w:p w:rsidR="003E3038" w:rsidRPr="002E43DD" w:rsidRDefault="003E3038" w:rsidP="002E43DD">
            <w:pPr>
              <w:pStyle w:val="SingleTxtG"/>
              <w:spacing w:before="40"/>
              <w:ind w:left="0" w:right="0"/>
              <w:jc w:val="left"/>
            </w:pPr>
            <w:r w:rsidRPr="002E43DD">
              <w:t>1932</w:t>
            </w:r>
          </w:p>
        </w:tc>
        <w:tc>
          <w:tcPr>
            <w:tcW w:w="873" w:type="pct"/>
            <w:shd w:val="clear" w:color="auto" w:fill="auto"/>
          </w:tcPr>
          <w:p w:rsidR="003E3038" w:rsidRPr="002E43DD" w:rsidRDefault="00611AC9" w:rsidP="002E43DD">
            <w:pPr>
              <w:pStyle w:val="SingleTxtG"/>
              <w:spacing w:before="40"/>
              <w:ind w:left="0" w:right="0"/>
              <w:jc w:val="left"/>
            </w:pPr>
            <w:r w:rsidRPr="002E43DD">
              <w:t>20</w:t>
            </w:r>
            <w:r>
              <w:t xml:space="preserve"> de junio de </w:t>
            </w:r>
            <w:r w:rsidRPr="002E43DD">
              <w:t>1961</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16</w:t>
            </w:r>
          </w:p>
        </w:tc>
        <w:tc>
          <w:tcPr>
            <w:tcW w:w="1925" w:type="pct"/>
            <w:shd w:val="clear" w:color="auto" w:fill="auto"/>
            <w:hideMark/>
          </w:tcPr>
          <w:p w:rsidR="003E3038" w:rsidRPr="002E43DD" w:rsidRDefault="00734DBC" w:rsidP="00503D80">
            <w:pPr>
              <w:pStyle w:val="SingleTxtG"/>
              <w:spacing w:before="40"/>
              <w:ind w:left="0" w:right="0"/>
              <w:jc w:val="left"/>
            </w:pPr>
            <w:r>
              <w:t xml:space="preserve">Convenio </w:t>
            </w:r>
            <w:r w:rsidR="003E3038" w:rsidRPr="002E43DD">
              <w:t xml:space="preserve">sobre la </w:t>
            </w:r>
            <w:r w:rsidR="00503D80">
              <w:t>E</w:t>
            </w:r>
            <w:r w:rsidR="003E3038" w:rsidRPr="002E43DD">
              <w:t xml:space="preserve">dad </w:t>
            </w:r>
            <w:r w:rsidR="00503D80">
              <w:t>M</w:t>
            </w:r>
            <w:r w:rsidR="003E3038" w:rsidRPr="002E43DD">
              <w:t>ínima (</w:t>
            </w:r>
            <w:r w:rsidR="00503D80">
              <w:t>T</w:t>
            </w:r>
            <w:r w:rsidR="003E3038" w:rsidRPr="002E43DD">
              <w:t xml:space="preserve">rabajo </w:t>
            </w:r>
            <w:r w:rsidR="00503D80">
              <w:t>M</w:t>
            </w:r>
            <w:r w:rsidR="003E3038" w:rsidRPr="002E43DD">
              <w:t>arítimo) (núm. 58)</w:t>
            </w:r>
          </w:p>
        </w:tc>
        <w:tc>
          <w:tcPr>
            <w:tcW w:w="531" w:type="pct"/>
            <w:shd w:val="clear" w:color="auto" w:fill="auto"/>
            <w:hideMark/>
          </w:tcPr>
          <w:p w:rsidR="003E3038" w:rsidRPr="002E43DD" w:rsidRDefault="003E3038" w:rsidP="002E43DD">
            <w:pPr>
              <w:pStyle w:val="SingleTxtG"/>
              <w:spacing w:before="40"/>
              <w:ind w:left="0" w:right="0"/>
              <w:jc w:val="left"/>
            </w:pPr>
            <w:r w:rsidRPr="002E43DD">
              <w:t>1936</w:t>
            </w:r>
          </w:p>
        </w:tc>
        <w:tc>
          <w:tcPr>
            <w:tcW w:w="873" w:type="pct"/>
            <w:shd w:val="clear" w:color="auto" w:fill="auto"/>
          </w:tcPr>
          <w:p w:rsidR="003E3038" w:rsidRPr="002E43DD" w:rsidRDefault="00611AC9" w:rsidP="00611AC9">
            <w:pPr>
              <w:pStyle w:val="SingleTxtG"/>
              <w:spacing w:before="40"/>
              <w:ind w:left="0" w:right="0"/>
              <w:jc w:val="left"/>
            </w:pPr>
            <w:r>
              <w:t>8 de noviembre de </w:t>
            </w:r>
            <w:r w:rsidRPr="002E43DD">
              <w:t>1963</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17</w:t>
            </w:r>
          </w:p>
        </w:tc>
        <w:tc>
          <w:tcPr>
            <w:tcW w:w="1925" w:type="pct"/>
            <w:shd w:val="clear" w:color="auto" w:fill="auto"/>
          </w:tcPr>
          <w:p w:rsidR="003E3038" w:rsidRPr="002E43DD" w:rsidRDefault="003E3038" w:rsidP="00503D80">
            <w:pPr>
              <w:pStyle w:val="SingleTxtG"/>
              <w:spacing w:before="40"/>
              <w:ind w:left="0" w:right="0"/>
              <w:jc w:val="left"/>
            </w:pPr>
            <w:r w:rsidRPr="002E43DD">
              <w:t xml:space="preserve">Convenio sobre el </w:t>
            </w:r>
            <w:r w:rsidR="00503D80">
              <w:t>T</w:t>
            </w:r>
            <w:r w:rsidRPr="002E43DD">
              <w:t xml:space="preserve">rabajo </w:t>
            </w:r>
            <w:r w:rsidR="00503D80">
              <w:t>N</w:t>
            </w:r>
            <w:r w:rsidRPr="002E43DD">
              <w:t xml:space="preserve">octurno de los </w:t>
            </w:r>
            <w:r w:rsidR="00503D80">
              <w:t>M</w:t>
            </w:r>
            <w:r w:rsidRPr="002E43DD">
              <w:t>enores (</w:t>
            </w:r>
            <w:r w:rsidR="00503D80">
              <w:t>I</w:t>
            </w:r>
            <w:r w:rsidRPr="002E43DD">
              <w:t>ndustria) (núm. 90)</w:t>
            </w:r>
          </w:p>
        </w:tc>
        <w:tc>
          <w:tcPr>
            <w:tcW w:w="531" w:type="pct"/>
            <w:shd w:val="clear" w:color="auto" w:fill="auto"/>
            <w:hideMark/>
          </w:tcPr>
          <w:p w:rsidR="003E3038" w:rsidRPr="002E43DD" w:rsidRDefault="003E3038" w:rsidP="002E43DD">
            <w:pPr>
              <w:pStyle w:val="SingleTxtG"/>
              <w:spacing w:before="40"/>
              <w:ind w:left="0" w:right="0"/>
              <w:jc w:val="left"/>
            </w:pPr>
            <w:r w:rsidRPr="002E43DD">
              <w:t>1948</w:t>
            </w:r>
          </w:p>
        </w:tc>
        <w:tc>
          <w:tcPr>
            <w:tcW w:w="873" w:type="pct"/>
            <w:shd w:val="clear" w:color="auto" w:fill="auto"/>
          </w:tcPr>
          <w:p w:rsidR="003E3038" w:rsidRPr="002E43DD" w:rsidRDefault="00611AC9" w:rsidP="002E43DD">
            <w:pPr>
              <w:pStyle w:val="SingleTxtG"/>
              <w:spacing w:before="40"/>
              <w:ind w:left="0" w:right="0"/>
              <w:jc w:val="left"/>
            </w:pPr>
            <w:r>
              <w:t>8 de noviembre de </w:t>
            </w:r>
            <w:r w:rsidRPr="002E43DD">
              <w:t>1963</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18</w:t>
            </w:r>
          </w:p>
        </w:tc>
        <w:tc>
          <w:tcPr>
            <w:tcW w:w="1925" w:type="pct"/>
            <w:shd w:val="clear" w:color="auto" w:fill="auto"/>
          </w:tcPr>
          <w:p w:rsidR="003E3038" w:rsidRPr="002E43DD" w:rsidRDefault="003E3038" w:rsidP="00503D80">
            <w:pPr>
              <w:pStyle w:val="SingleTxtG"/>
              <w:spacing w:before="40"/>
              <w:ind w:left="0" w:right="0"/>
              <w:jc w:val="left"/>
            </w:pPr>
            <w:r w:rsidRPr="002E43DD">
              <w:t xml:space="preserve">Convenio sobre la </w:t>
            </w:r>
            <w:r w:rsidR="00503D80">
              <w:t>E</w:t>
            </w:r>
            <w:r w:rsidRPr="002E43DD">
              <w:t xml:space="preserve">dad </w:t>
            </w:r>
            <w:r w:rsidR="00503D80">
              <w:t>M</w:t>
            </w:r>
            <w:r w:rsidRPr="002E43DD">
              <w:t>ínima (</w:t>
            </w:r>
            <w:r w:rsidR="00503D80">
              <w:t>P</w:t>
            </w:r>
            <w:r w:rsidRPr="002E43DD">
              <w:t>escadores) (núm. 112)</w:t>
            </w:r>
          </w:p>
        </w:tc>
        <w:tc>
          <w:tcPr>
            <w:tcW w:w="531" w:type="pct"/>
            <w:shd w:val="clear" w:color="auto" w:fill="auto"/>
            <w:hideMark/>
          </w:tcPr>
          <w:p w:rsidR="003E3038" w:rsidRPr="002E43DD" w:rsidRDefault="003E3038" w:rsidP="002E43DD">
            <w:pPr>
              <w:pStyle w:val="SingleTxtG"/>
              <w:spacing w:before="40"/>
              <w:ind w:left="0" w:right="0"/>
              <w:jc w:val="left"/>
            </w:pPr>
            <w:r w:rsidRPr="002E43DD">
              <w:t>1957</w:t>
            </w:r>
          </w:p>
        </w:tc>
        <w:tc>
          <w:tcPr>
            <w:tcW w:w="873" w:type="pct"/>
            <w:shd w:val="clear" w:color="auto" w:fill="auto"/>
          </w:tcPr>
          <w:p w:rsidR="003E3038" w:rsidRPr="002E43DD" w:rsidRDefault="00611AC9" w:rsidP="002E43DD">
            <w:pPr>
              <w:pStyle w:val="SingleTxtG"/>
              <w:spacing w:before="40"/>
              <w:ind w:left="0" w:right="0"/>
              <w:jc w:val="left"/>
            </w:pPr>
            <w:r>
              <w:t>8 de noviembre de </w:t>
            </w:r>
            <w:r w:rsidRPr="002E43DD">
              <w:t>1963</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19</w:t>
            </w:r>
          </w:p>
        </w:tc>
        <w:tc>
          <w:tcPr>
            <w:tcW w:w="1925" w:type="pct"/>
            <w:shd w:val="clear" w:color="auto" w:fill="auto"/>
          </w:tcPr>
          <w:p w:rsidR="003E3038" w:rsidRPr="002E43DD" w:rsidRDefault="003E3038" w:rsidP="00503D80">
            <w:pPr>
              <w:pStyle w:val="SingleTxtG"/>
              <w:spacing w:before="40"/>
              <w:ind w:left="0" w:right="0"/>
              <w:jc w:val="left"/>
            </w:pPr>
            <w:r w:rsidRPr="002E43DD">
              <w:t xml:space="preserve">Convenio sobre la </w:t>
            </w:r>
            <w:r w:rsidR="00503D80">
              <w:t>E</w:t>
            </w:r>
            <w:r w:rsidRPr="002E43DD">
              <w:t xml:space="preserve">dad </w:t>
            </w:r>
            <w:r w:rsidR="00503D80">
              <w:t>M</w:t>
            </w:r>
            <w:r w:rsidRPr="002E43DD">
              <w:t>ínima (núm. 138)</w:t>
            </w:r>
          </w:p>
        </w:tc>
        <w:tc>
          <w:tcPr>
            <w:tcW w:w="531" w:type="pct"/>
            <w:shd w:val="clear" w:color="auto" w:fill="auto"/>
            <w:hideMark/>
          </w:tcPr>
          <w:p w:rsidR="003E3038" w:rsidRPr="002E43DD" w:rsidRDefault="003E3038" w:rsidP="002E43DD">
            <w:pPr>
              <w:pStyle w:val="SingleTxtG"/>
              <w:spacing w:before="40"/>
              <w:ind w:left="0" w:right="0"/>
              <w:jc w:val="left"/>
            </w:pPr>
            <w:r w:rsidRPr="002E43DD">
              <w:t>1973</w:t>
            </w:r>
          </w:p>
        </w:tc>
        <w:tc>
          <w:tcPr>
            <w:tcW w:w="873" w:type="pct"/>
            <w:shd w:val="clear" w:color="auto" w:fill="auto"/>
          </w:tcPr>
          <w:p w:rsidR="003E3038" w:rsidRPr="002E43DD" w:rsidRDefault="00611AC9" w:rsidP="002E43DD">
            <w:pPr>
              <w:pStyle w:val="SingleTxtG"/>
              <w:spacing w:before="40"/>
              <w:ind w:left="0" w:right="0"/>
              <w:jc w:val="left"/>
            </w:pPr>
            <w:r w:rsidRPr="002E43DD">
              <w:t>3</w:t>
            </w:r>
            <w:r>
              <w:t xml:space="preserve"> de diciembre de </w:t>
            </w:r>
            <w:r w:rsidRPr="002E43DD">
              <w:t>2001</w:t>
            </w:r>
          </w:p>
        </w:tc>
        <w:tc>
          <w:tcPr>
            <w:tcW w:w="1293" w:type="pct"/>
            <w:shd w:val="clear" w:color="auto" w:fill="auto"/>
          </w:tcPr>
          <w:p w:rsidR="003E3038" w:rsidRPr="002E43DD" w:rsidRDefault="003E3038" w:rsidP="002E43DD">
            <w:pPr>
              <w:pStyle w:val="SingleTxtG"/>
              <w:spacing w:before="40"/>
              <w:ind w:left="0" w:right="0"/>
              <w:jc w:val="left"/>
            </w:pPr>
            <w:r w:rsidRPr="002E43DD">
              <w:t>Edad mínima especificada: 14 años</w:t>
            </w:r>
          </w:p>
        </w:tc>
      </w:tr>
      <w:tr w:rsidR="00611AC9" w:rsidRPr="002E43DD" w:rsidTr="00611AC9">
        <w:trPr>
          <w:trHeight w:val="240"/>
        </w:trPr>
        <w:tc>
          <w:tcPr>
            <w:tcW w:w="378" w:type="pct"/>
            <w:shd w:val="clear" w:color="auto" w:fill="auto"/>
            <w:hideMark/>
          </w:tcPr>
          <w:p w:rsidR="00611AC9" w:rsidRPr="002E43DD" w:rsidRDefault="00611AC9" w:rsidP="00503D80">
            <w:pPr>
              <w:pStyle w:val="SingleTxtG"/>
              <w:keepNext/>
              <w:spacing w:before="40"/>
              <w:ind w:left="0" w:right="0"/>
              <w:jc w:val="left"/>
            </w:pPr>
            <w:r w:rsidRPr="002E43DD">
              <w:lastRenderedPageBreak/>
              <w:t>20</w:t>
            </w:r>
          </w:p>
        </w:tc>
        <w:tc>
          <w:tcPr>
            <w:tcW w:w="1925" w:type="pct"/>
            <w:shd w:val="clear" w:color="auto" w:fill="auto"/>
          </w:tcPr>
          <w:p w:rsidR="00611AC9" w:rsidRPr="002E43DD" w:rsidRDefault="00611AC9" w:rsidP="00503D80">
            <w:pPr>
              <w:pStyle w:val="SingleTxtG"/>
              <w:keepNext/>
              <w:spacing w:before="40"/>
              <w:ind w:left="0" w:right="0"/>
              <w:jc w:val="left"/>
            </w:pPr>
            <w:r w:rsidRPr="002E43DD">
              <w:t xml:space="preserve">Convenio sobre las </w:t>
            </w:r>
            <w:r w:rsidR="00503D80">
              <w:t>V</w:t>
            </w:r>
            <w:r w:rsidRPr="002E43DD">
              <w:t xml:space="preserve">acaciones </w:t>
            </w:r>
            <w:r w:rsidR="00503D80">
              <w:t>P</w:t>
            </w:r>
            <w:r w:rsidRPr="002E43DD">
              <w:t>agadas (núm. 52)</w:t>
            </w:r>
          </w:p>
        </w:tc>
        <w:tc>
          <w:tcPr>
            <w:tcW w:w="531" w:type="pct"/>
            <w:shd w:val="clear" w:color="auto" w:fill="auto"/>
            <w:hideMark/>
          </w:tcPr>
          <w:p w:rsidR="00611AC9" w:rsidRPr="002E43DD" w:rsidRDefault="00611AC9" w:rsidP="00503D80">
            <w:pPr>
              <w:pStyle w:val="SingleTxtG"/>
              <w:keepNext/>
              <w:spacing w:before="40"/>
              <w:ind w:left="0" w:right="0"/>
              <w:jc w:val="left"/>
            </w:pPr>
            <w:r w:rsidRPr="002E43DD">
              <w:t>1936</w:t>
            </w:r>
          </w:p>
        </w:tc>
        <w:tc>
          <w:tcPr>
            <w:tcW w:w="873" w:type="pct"/>
            <w:shd w:val="clear" w:color="auto" w:fill="auto"/>
          </w:tcPr>
          <w:p w:rsidR="00611AC9" w:rsidRDefault="00611AC9" w:rsidP="00503D80">
            <w:pPr>
              <w:keepNext/>
            </w:pPr>
            <w:r w:rsidRPr="00113181">
              <w:t>8 de noviembre de</w:t>
            </w:r>
            <w:r>
              <w:t> </w:t>
            </w:r>
            <w:r w:rsidRPr="00113181">
              <w:t>1963</w:t>
            </w:r>
          </w:p>
        </w:tc>
        <w:tc>
          <w:tcPr>
            <w:tcW w:w="1293" w:type="pct"/>
            <w:shd w:val="clear" w:color="auto" w:fill="auto"/>
          </w:tcPr>
          <w:p w:rsidR="00611AC9" w:rsidRPr="002E43DD" w:rsidRDefault="00611AC9" w:rsidP="00503D80">
            <w:pPr>
              <w:pStyle w:val="SingleTxtG"/>
              <w:keepNext/>
              <w:spacing w:before="40"/>
              <w:ind w:left="0" w:right="0"/>
              <w:jc w:val="left"/>
            </w:pPr>
          </w:p>
        </w:tc>
      </w:tr>
      <w:tr w:rsidR="00611AC9" w:rsidRPr="002E43DD" w:rsidTr="00611AC9">
        <w:trPr>
          <w:trHeight w:val="240"/>
        </w:trPr>
        <w:tc>
          <w:tcPr>
            <w:tcW w:w="378" w:type="pct"/>
            <w:shd w:val="clear" w:color="auto" w:fill="auto"/>
            <w:hideMark/>
          </w:tcPr>
          <w:p w:rsidR="00611AC9" w:rsidRPr="002E43DD" w:rsidRDefault="00611AC9" w:rsidP="00611AC9">
            <w:pPr>
              <w:pStyle w:val="SingleTxtG"/>
              <w:spacing w:before="40"/>
              <w:ind w:left="0" w:right="0"/>
              <w:jc w:val="left"/>
            </w:pPr>
            <w:r w:rsidRPr="002E43DD">
              <w:t>21</w:t>
            </w:r>
          </w:p>
        </w:tc>
        <w:tc>
          <w:tcPr>
            <w:tcW w:w="1925" w:type="pct"/>
            <w:shd w:val="clear" w:color="auto" w:fill="auto"/>
            <w:hideMark/>
          </w:tcPr>
          <w:p w:rsidR="00611AC9" w:rsidRPr="002E43DD" w:rsidRDefault="00611AC9" w:rsidP="00503D80">
            <w:pPr>
              <w:pStyle w:val="SingleTxtG"/>
              <w:spacing w:before="40"/>
              <w:ind w:left="0" w:right="0"/>
              <w:jc w:val="left"/>
            </w:pPr>
            <w:r w:rsidRPr="002E43DD">
              <w:t xml:space="preserve">Convenio sobre las </w:t>
            </w:r>
            <w:r w:rsidR="00503D80">
              <w:t>V</w:t>
            </w:r>
            <w:r w:rsidRPr="002E43DD">
              <w:t xml:space="preserve">acaciones </w:t>
            </w:r>
            <w:r w:rsidR="00503D80">
              <w:t>P</w:t>
            </w:r>
            <w:r w:rsidRPr="002E43DD">
              <w:t xml:space="preserve">agadas de la </w:t>
            </w:r>
            <w:r w:rsidR="00503D80">
              <w:t>G</w:t>
            </w:r>
            <w:r w:rsidRPr="002E43DD">
              <w:t xml:space="preserve">ente de </w:t>
            </w:r>
            <w:r w:rsidR="00503D80">
              <w:t>M</w:t>
            </w:r>
            <w:r w:rsidRPr="002E43DD">
              <w:t>ar (núm. 91)</w:t>
            </w:r>
          </w:p>
        </w:tc>
        <w:tc>
          <w:tcPr>
            <w:tcW w:w="531" w:type="pct"/>
            <w:shd w:val="clear" w:color="auto" w:fill="auto"/>
            <w:hideMark/>
          </w:tcPr>
          <w:p w:rsidR="00611AC9" w:rsidRPr="002E43DD" w:rsidRDefault="00611AC9" w:rsidP="00611AC9">
            <w:pPr>
              <w:pStyle w:val="SingleTxtG"/>
              <w:spacing w:before="40"/>
              <w:ind w:left="0" w:right="0"/>
              <w:jc w:val="left"/>
            </w:pPr>
            <w:r w:rsidRPr="002E43DD">
              <w:t>1949</w:t>
            </w:r>
          </w:p>
        </w:tc>
        <w:tc>
          <w:tcPr>
            <w:tcW w:w="873" w:type="pct"/>
            <w:shd w:val="clear" w:color="auto" w:fill="auto"/>
          </w:tcPr>
          <w:p w:rsidR="00611AC9" w:rsidRDefault="00611AC9" w:rsidP="00611AC9">
            <w:r w:rsidRPr="00113181">
              <w:t>8 de noviembre de</w:t>
            </w:r>
            <w:r>
              <w:t> </w:t>
            </w:r>
            <w:r w:rsidRPr="00113181">
              <w:t>1963</w:t>
            </w:r>
          </w:p>
        </w:tc>
        <w:tc>
          <w:tcPr>
            <w:tcW w:w="1293" w:type="pct"/>
            <w:shd w:val="clear" w:color="auto" w:fill="auto"/>
          </w:tcPr>
          <w:p w:rsidR="00611AC9" w:rsidRPr="002E43DD" w:rsidRDefault="00611AC9" w:rsidP="00611AC9">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22</w:t>
            </w:r>
          </w:p>
        </w:tc>
        <w:tc>
          <w:tcPr>
            <w:tcW w:w="1925" w:type="pct"/>
            <w:shd w:val="clear" w:color="auto" w:fill="auto"/>
            <w:hideMark/>
          </w:tcPr>
          <w:p w:rsidR="003E3038" w:rsidRPr="002E43DD" w:rsidRDefault="003E3038" w:rsidP="00503D80">
            <w:pPr>
              <w:pStyle w:val="SingleTxtG"/>
              <w:spacing w:before="40"/>
              <w:ind w:left="0" w:right="0"/>
              <w:jc w:val="left"/>
            </w:pPr>
            <w:r w:rsidRPr="002E43DD">
              <w:t xml:space="preserve">Convenio sobre el </w:t>
            </w:r>
            <w:r w:rsidR="00503D80">
              <w:t>D</w:t>
            </w:r>
            <w:r w:rsidRPr="002E43DD">
              <w:t xml:space="preserve">erecho de </w:t>
            </w:r>
            <w:r w:rsidR="00503D80">
              <w:t>S</w:t>
            </w:r>
            <w:r w:rsidRPr="002E43DD">
              <w:t xml:space="preserve">indicación y de </w:t>
            </w:r>
            <w:r w:rsidR="00503D80">
              <w:t>N</w:t>
            </w:r>
            <w:r w:rsidRPr="002E43DD">
              <w:t xml:space="preserve">egociación </w:t>
            </w:r>
            <w:r w:rsidR="00503D80">
              <w:t>C</w:t>
            </w:r>
            <w:r w:rsidRPr="002E43DD">
              <w:t>olectiva (núm. 98)</w:t>
            </w:r>
          </w:p>
        </w:tc>
        <w:tc>
          <w:tcPr>
            <w:tcW w:w="531" w:type="pct"/>
            <w:shd w:val="clear" w:color="auto" w:fill="auto"/>
            <w:hideMark/>
          </w:tcPr>
          <w:p w:rsidR="003E3038" w:rsidRPr="002E43DD" w:rsidRDefault="003E3038" w:rsidP="002E43DD">
            <w:pPr>
              <w:pStyle w:val="SingleTxtG"/>
              <w:spacing w:before="40"/>
              <w:ind w:left="0" w:right="0"/>
              <w:jc w:val="left"/>
            </w:pPr>
            <w:r w:rsidRPr="002E43DD">
              <w:t>1949</w:t>
            </w:r>
          </w:p>
        </w:tc>
        <w:tc>
          <w:tcPr>
            <w:tcW w:w="873" w:type="pct"/>
            <w:shd w:val="clear" w:color="auto" w:fill="auto"/>
          </w:tcPr>
          <w:p w:rsidR="003E3038" w:rsidRPr="002E43DD" w:rsidRDefault="00611AC9" w:rsidP="002E43DD">
            <w:pPr>
              <w:pStyle w:val="SingleTxtG"/>
              <w:spacing w:before="40"/>
              <w:ind w:left="0" w:right="0"/>
              <w:jc w:val="left"/>
            </w:pPr>
            <w:r w:rsidRPr="002E43DD">
              <w:t>3</w:t>
            </w:r>
            <w:r>
              <w:t xml:space="preserve"> de diciembre de </w:t>
            </w:r>
            <w:r w:rsidRPr="002E43DD">
              <w:t>2001</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23</w:t>
            </w:r>
          </w:p>
        </w:tc>
        <w:tc>
          <w:tcPr>
            <w:tcW w:w="1925" w:type="pct"/>
            <w:shd w:val="clear" w:color="auto" w:fill="auto"/>
          </w:tcPr>
          <w:p w:rsidR="003E3038" w:rsidRPr="002E43DD" w:rsidRDefault="003E3038" w:rsidP="00503D80">
            <w:pPr>
              <w:pStyle w:val="SingleTxtG"/>
              <w:spacing w:before="40"/>
              <w:ind w:left="0" w:right="0"/>
              <w:jc w:val="left"/>
            </w:pPr>
            <w:r w:rsidRPr="002E43DD">
              <w:t xml:space="preserve">Convenio sobre las </w:t>
            </w:r>
            <w:r w:rsidR="00503D80">
              <w:t>V</w:t>
            </w:r>
            <w:r w:rsidRPr="002E43DD">
              <w:t xml:space="preserve">acaciones </w:t>
            </w:r>
            <w:r w:rsidR="00503D80">
              <w:t>P</w:t>
            </w:r>
            <w:r w:rsidRPr="002E43DD">
              <w:t>agadas (</w:t>
            </w:r>
            <w:r w:rsidR="00503D80">
              <w:t>A</w:t>
            </w:r>
            <w:r w:rsidRPr="002E43DD">
              <w:t>gricultura) (núm. 101)</w:t>
            </w:r>
          </w:p>
        </w:tc>
        <w:tc>
          <w:tcPr>
            <w:tcW w:w="531" w:type="pct"/>
            <w:shd w:val="clear" w:color="auto" w:fill="auto"/>
            <w:hideMark/>
          </w:tcPr>
          <w:p w:rsidR="003E3038" w:rsidRPr="002E43DD" w:rsidRDefault="003E3038" w:rsidP="002E43DD">
            <w:pPr>
              <w:pStyle w:val="SingleTxtG"/>
              <w:spacing w:before="40"/>
              <w:ind w:left="0" w:right="0"/>
              <w:jc w:val="left"/>
            </w:pPr>
            <w:r w:rsidRPr="002E43DD">
              <w:t>1952</w:t>
            </w:r>
          </w:p>
        </w:tc>
        <w:tc>
          <w:tcPr>
            <w:tcW w:w="873" w:type="pct"/>
            <w:shd w:val="clear" w:color="auto" w:fill="auto"/>
          </w:tcPr>
          <w:p w:rsidR="003E3038" w:rsidRPr="002E43DD" w:rsidRDefault="00611AC9" w:rsidP="002E43DD">
            <w:pPr>
              <w:pStyle w:val="SingleTxtG"/>
              <w:spacing w:before="40"/>
              <w:ind w:left="0" w:right="0"/>
              <w:jc w:val="left"/>
            </w:pPr>
            <w:r>
              <w:t>8 de noviembre de </w:t>
            </w:r>
            <w:r w:rsidRPr="002E43DD">
              <w:t>1963</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24</w:t>
            </w:r>
          </w:p>
        </w:tc>
        <w:tc>
          <w:tcPr>
            <w:tcW w:w="1925" w:type="pct"/>
            <w:shd w:val="clear" w:color="auto" w:fill="auto"/>
          </w:tcPr>
          <w:p w:rsidR="003E3038" w:rsidRPr="002E43DD" w:rsidRDefault="003E3038" w:rsidP="00471F4D">
            <w:pPr>
              <w:pStyle w:val="SingleTxtG"/>
              <w:spacing w:before="40"/>
              <w:ind w:left="0" w:right="0"/>
              <w:jc w:val="left"/>
            </w:pPr>
            <w:r w:rsidRPr="002E43DD">
              <w:t xml:space="preserve">Convenio sobre la </w:t>
            </w:r>
            <w:r w:rsidR="00471F4D">
              <w:t>S</w:t>
            </w:r>
            <w:r w:rsidRPr="002E43DD">
              <w:t xml:space="preserve">eguridad </w:t>
            </w:r>
            <w:r w:rsidR="00471F4D">
              <w:t>S</w:t>
            </w:r>
            <w:r w:rsidRPr="002E43DD">
              <w:t>ocial (</w:t>
            </w:r>
            <w:r w:rsidR="00471F4D">
              <w:t>N</w:t>
            </w:r>
            <w:r w:rsidRPr="002E43DD">
              <w:t xml:space="preserve">orma </w:t>
            </w:r>
            <w:r w:rsidR="00471F4D">
              <w:t>M</w:t>
            </w:r>
            <w:r w:rsidRPr="002E43DD">
              <w:t>ínima) (núm. 102)</w:t>
            </w:r>
          </w:p>
        </w:tc>
        <w:tc>
          <w:tcPr>
            <w:tcW w:w="531" w:type="pct"/>
            <w:shd w:val="clear" w:color="auto" w:fill="auto"/>
            <w:hideMark/>
          </w:tcPr>
          <w:p w:rsidR="003E3038" w:rsidRPr="002E43DD" w:rsidRDefault="003E3038" w:rsidP="002E43DD">
            <w:pPr>
              <w:pStyle w:val="SingleTxtG"/>
              <w:spacing w:before="40"/>
              <w:ind w:left="0" w:right="0"/>
              <w:jc w:val="left"/>
            </w:pPr>
            <w:r w:rsidRPr="002E43DD">
              <w:t>1952</w:t>
            </w:r>
          </w:p>
        </w:tc>
        <w:tc>
          <w:tcPr>
            <w:tcW w:w="873" w:type="pct"/>
            <w:shd w:val="clear" w:color="auto" w:fill="auto"/>
          </w:tcPr>
          <w:p w:rsidR="003E3038" w:rsidRPr="002E43DD" w:rsidRDefault="00503D80" w:rsidP="00503D80">
            <w:pPr>
              <w:pStyle w:val="SingleTxtG"/>
              <w:spacing w:before="40"/>
              <w:ind w:left="0" w:right="0"/>
              <w:jc w:val="left"/>
            </w:pPr>
            <w:r>
              <w:t>15 de julio de 1</w:t>
            </w:r>
            <w:r w:rsidR="003E3038" w:rsidRPr="002E43DD">
              <w:t>968</w:t>
            </w:r>
          </w:p>
        </w:tc>
        <w:tc>
          <w:tcPr>
            <w:tcW w:w="1293" w:type="pct"/>
            <w:shd w:val="clear" w:color="auto" w:fill="auto"/>
          </w:tcPr>
          <w:p w:rsidR="003E3038" w:rsidRPr="002E43DD" w:rsidRDefault="003E3038" w:rsidP="002E43DD">
            <w:pPr>
              <w:pStyle w:val="SingleTxtG"/>
              <w:spacing w:before="40"/>
              <w:ind w:left="0" w:right="0"/>
              <w:jc w:val="left"/>
            </w:pPr>
            <w:r w:rsidRPr="002E43DD">
              <w:t>Se aceptaron las partes V a VII, IX y X.</w:t>
            </w: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25</w:t>
            </w:r>
          </w:p>
        </w:tc>
        <w:tc>
          <w:tcPr>
            <w:tcW w:w="1925" w:type="pct"/>
            <w:shd w:val="clear" w:color="auto" w:fill="auto"/>
          </w:tcPr>
          <w:p w:rsidR="003E3038" w:rsidRPr="002E43DD" w:rsidRDefault="003E3038" w:rsidP="00471F4D">
            <w:pPr>
              <w:pStyle w:val="SingleTxtG"/>
              <w:spacing w:before="40"/>
              <w:ind w:left="0" w:right="0"/>
              <w:jc w:val="left"/>
            </w:pPr>
            <w:r w:rsidRPr="002E43DD">
              <w:t xml:space="preserve">Convenio sobre la </w:t>
            </w:r>
            <w:r w:rsidR="00471F4D">
              <w:t>C</w:t>
            </w:r>
            <w:r w:rsidRPr="002E43DD">
              <w:t>erusa (</w:t>
            </w:r>
            <w:r w:rsidR="00471F4D">
              <w:t>P</w:t>
            </w:r>
            <w:r w:rsidRPr="002E43DD">
              <w:t>intura) (núm.</w:t>
            </w:r>
            <w:r w:rsidR="00471F4D">
              <w:t> </w:t>
            </w:r>
            <w:r w:rsidRPr="002E43DD">
              <w:t>13)</w:t>
            </w:r>
          </w:p>
        </w:tc>
        <w:tc>
          <w:tcPr>
            <w:tcW w:w="531" w:type="pct"/>
            <w:shd w:val="clear" w:color="auto" w:fill="auto"/>
          </w:tcPr>
          <w:p w:rsidR="003E3038" w:rsidRPr="002E43DD" w:rsidRDefault="003E3038" w:rsidP="002E43DD">
            <w:pPr>
              <w:pStyle w:val="SingleTxtG"/>
              <w:spacing w:before="40"/>
              <w:ind w:left="0" w:right="0"/>
              <w:jc w:val="left"/>
            </w:pPr>
            <w:r w:rsidRPr="002E43DD">
              <w:t>1921</w:t>
            </w:r>
          </w:p>
        </w:tc>
        <w:tc>
          <w:tcPr>
            <w:tcW w:w="873" w:type="pct"/>
            <w:shd w:val="clear" w:color="auto" w:fill="auto"/>
          </w:tcPr>
          <w:p w:rsidR="003E3038" w:rsidRPr="002E43DD" w:rsidRDefault="00611AC9" w:rsidP="002E43DD">
            <w:pPr>
              <w:pStyle w:val="SingleTxtG"/>
              <w:spacing w:before="40"/>
              <w:ind w:left="0" w:right="0"/>
              <w:jc w:val="left"/>
            </w:pPr>
            <w:r w:rsidRPr="002E43DD">
              <w:t>20</w:t>
            </w:r>
            <w:r>
              <w:t xml:space="preserve"> de junio de </w:t>
            </w:r>
            <w:r w:rsidRPr="002E43DD">
              <w:t>1961</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26</w:t>
            </w:r>
          </w:p>
        </w:tc>
        <w:tc>
          <w:tcPr>
            <w:tcW w:w="1925" w:type="pct"/>
            <w:shd w:val="clear" w:color="auto" w:fill="auto"/>
          </w:tcPr>
          <w:p w:rsidR="003E3038" w:rsidRPr="002E43DD" w:rsidRDefault="003E3038" w:rsidP="00471F4D">
            <w:pPr>
              <w:pStyle w:val="SingleTxtG"/>
              <w:spacing w:before="40"/>
              <w:ind w:left="0" w:right="0"/>
              <w:jc w:val="left"/>
            </w:pPr>
            <w:r w:rsidRPr="002E43DD">
              <w:t xml:space="preserve">Convenio sobre el </w:t>
            </w:r>
            <w:r w:rsidR="00471F4D">
              <w:t>D</w:t>
            </w:r>
            <w:r w:rsidRPr="002E43DD">
              <w:t xml:space="preserve">escanso </w:t>
            </w:r>
            <w:r w:rsidR="00471F4D">
              <w:t>S</w:t>
            </w:r>
            <w:r w:rsidRPr="002E43DD">
              <w:t>emanal (</w:t>
            </w:r>
            <w:r w:rsidR="00471F4D">
              <w:t>I</w:t>
            </w:r>
            <w:r w:rsidRPr="002E43DD">
              <w:t>ndustria) (núm. 14)</w:t>
            </w:r>
          </w:p>
        </w:tc>
        <w:tc>
          <w:tcPr>
            <w:tcW w:w="531" w:type="pct"/>
            <w:shd w:val="clear" w:color="auto" w:fill="auto"/>
            <w:hideMark/>
          </w:tcPr>
          <w:p w:rsidR="003E3038" w:rsidRPr="002E43DD" w:rsidRDefault="003E3038" w:rsidP="002E43DD">
            <w:pPr>
              <w:pStyle w:val="SingleTxtG"/>
              <w:spacing w:before="40"/>
              <w:ind w:left="0" w:right="0"/>
              <w:jc w:val="left"/>
            </w:pPr>
            <w:r w:rsidRPr="002E43DD">
              <w:t>1921</w:t>
            </w:r>
          </w:p>
        </w:tc>
        <w:tc>
          <w:tcPr>
            <w:tcW w:w="873" w:type="pct"/>
            <w:shd w:val="clear" w:color="auto" w:fill="auto"/>
          </w:tcPr>
          <w:p w:rsidR="003E3038" w:rsidRPr="002E43DD" w:rsidRDefault="00611AC9" w:rsidP="002E43DD">
            <w:pPr>
              <w:pStyle w:val="SingleTxtG"/>
              <w:spacing w:before="40"/>
              <w:ind w:left="0" w:right="0"/>
              <w:jc w:val="left"/>
            </w:pPr>
            <w:r w:rsidRPr="002E43DD">
              <w:t>20</w:t>
            </w:r>
            <w:r>
              <w:t xml:space="preserve"> de junio de </w:t>
            </w:r>
            <w:r w:rsidRPr="002E43DD">
              <w:t>1961</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27</w:t>
            </w:r>
          </w:p>
        </w:tc>
        <w:tc>
          <w:tcPr>
            <w:tcW w:w="1925" w:type="pct"/>
            <w:shd w:val="clear" w:color="auto" w:fill="auto"/>
          </w:tcPr>
          <w:p w:rsidR="003E3038" w:rsidRPr="002E43DD" w:rsidRDefault="003E3038" w:rsidP="00471F4D">
            <w:pPr>
              <w:pStyle w:val="SingleTxtG"/>
              <w:spacing w:before="40"/>
              <w:ind w:left="0" w:right="0"/>
              <w:jc w:val="left"/>
            </w:pPr>
            <w:r w:rsidRPr="002E43DD">
              <w:t xml:space="preserve">Convenio sobre la </w:t>
            </w:r>
            <w:r w:rsidR="00471F4D">
              <w:t>I</w:t>
            </w:r>
            <w:r w:rsidRPr="002E43DD">
              <w:t xml:space="preserve">ndemnización por </w:t>
            </w:r>
            <w:r w:rsidR="00471F4D">
              <w:t>A</w:t>
            </w:r>
            <w:r w:rsidRPr="002E43DD">
              <w:t xml:space="preserve">ccidentes del </w:t>
            </w:r>
            <w:r w:rsidR="00471F4D">
              <w:t>T</w:t>
            </w:r>
            <w:r w:rsidRPr="002E43DD">
              <w:t>rabajo (núm. 17)</w:t>
            </w:r>
          </w:p>
        </w:tc>
        <w:tc>
          <w:tcPr>
            <w:tcW w:w="531" w:type="pct"/>
            <w:shd w:val="clear" w:color="auto" w:fill="auto"/>
            <w:hideMark/>
          </w:tcPr>
          <w:p w:rsidR="003E3038" w:rsidRPr="002E43DD" w:rsidRDefault="003E3038" w:rsidP="002E43DD">
            <w:pPr>
              <w:pStyle w:val="SingleTxtG"/>
              <w:spacing w:before="40"/>
              <w:ind w:left="0" w:right="0"/>
              <w:jc w:val="left"/>
            </w:pPr>
            <w:r w:rsidRPr="002E43DD">
              <w:t>1925</w:t>
            </w:r>
          </w:p>
        </w:tc>
        <w:tc>
          <w:tcPr>
            <w:tcW w:w="873" w:type="pct"/>
            <w:shd w:val="clear" w:color="auto" w:fill="auto"/>
          </w:tcPr>
          <w:p w:rsidR="003E3038" w:rsidRPr="002E43DD" w:rsidRDefault="003E3038" w:rsidP="00503D80">
            <w:pPr>
              <w:pStyle w:val="SingleTxtG"/>
              <w:spacing w:before="40"/>
              <w:ind w:left="0" w:right="0"/>
              <w:jc w:val="left"/>
            </w:pPr>
            <w:r w:rsidRPr="002E43DD">
              <w:t>8</w:t>
            </w:r>
            <w:r w:rsidR="00503D80">
              <w:t xml:space="preserve"> de enero de </w:t>
            </w:r>
            <w:r w:rsidRPr="002E43DD">
              <w:t>1963</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28</w:t>
            </w:r>
          </w:p>
        </w:tc>
        <w:tc>
          <w:tcPr>
            <w:tcW w:w="1925" w:type="pct"/>
            <w:shd w:val="clear" w:color="auto" w:fill="auto"/>
          </w:tcPr>
          <w:p w:rsidR="003E3038" w:rsidRPr="002E43DD" w:rsidRDefault="003E3038" w:rsidP="00471F4D">
            <w:pPr>
              <w:pStyle w:val="SingleTxtG"/>
              <w:spacing w:before="40"/>
              <w:ind w:left="0" w:right="0"/>
              <w:jc w:val="left"/>
            </w:pPr>
            <w:r w:rsidRPr="002E43DD">
              <w:t xml:space="preserve">Convenio sobre </w:t>
            </w:r>
            <w:r w:rsidR="00471F4D">
              <w:t>las E</w:t>
            </w:r>
            <w:r w:rsidRPr="002E43DD">
              <w:t xml:space="preserve">nfermedades </w:t>
            </w:r>
            <w:r w:rsidR="00471F4D">
              <w:t>P</w:t>
            </w:r>
            <w:r w:rsidRPr="002E43DD">
              <w:t>rofesionales (núm. 18)</w:t>
            </w:r>
          </w:p>
        </w:tc>
        <w:tc>
          <w:tcPr>
            <w:tcW w:w="531" w:type="pct"/>
            <w:shd w:val="clear" w:color="auto" w:fill="auto"/>
            <w:hideMark/>
          </w:tcPr>
          <w:p w:rsidR="003E3038" w:rsidRPr="002E43DD" w:rsidRDefault="003E3038" w:rsidP="002E43DD">
            <w:pPr>
              <w:pStyle w:val="SingleTxtG"/>
              <w:spacing w:before="40"/>
              <w:ind w:left="0" w:right="0"/>
              <w:jc w:val="left"/>
            </w:pPr>
            <w:r w:rsidRPr="002E43DD">
              <w:t>1925</w:t>
            </w:r>
          </w:p>
        </w:tc>
        <w:tc>
          <w:tcPr>
            <w:tcW w:w="873" w:type="pct"/>
            <w:shd w:val="clear" w:color="auto" w:fill="auto"/>
          </w:tcPr>
          <w:p w:rsidR="003E3038" w:rsidRPr="002E43DD" w:rsidRDefault="00611AC9" w:rsidP="002E43DD">
            <w:pPr>
              <w:pStyle w:val="SingleTxtG"/>
              <w:spacing w:before="40"/>
              <w:ind w:left="0" w:right="0"/>
              <w:jc w:val="left"/>
            </w:pPr>
            <w:r w:rsidRPr="002E43DD">
              <w:t>20</w:t>
            </w:r>
            <w:r>
              <w:t xml:space="preserve"> de junio de </w:t>
            </w:r>
            <w:r w:rsidRPr="002E43DD">
              <w:t>1961</w:t>
            </w:r>
          </w:p>
        </w:tc>
        <w:tc>
          <w:tcPr>
            <w:tcW w:w="1293" w:type="pct"/>
            <w:shd w:val="clear" w:color="auto" w:fill="auto"/>
          </w:tcPr>
          <w:p w:rsidR="003E3038" w:rsidRPr="002E43DD" w:rsidRDefault="003E3038" w:rsidP="002E43DD">
            <w:pPr>
              <w:pStyle w:val="SingleTxtG"/>
              <w:spacing w:before="40"/>
              <w:ind w:left="0" w:right="0"/>
              <w:jc w:val="left"/>
            </w:pPr>
          </w:p>
        </w:tc>
      </w:tr>
      <w:tr w:rsidR="00611AC9" w:rsidRPr="002E43DD" w:rsidTr="00611AC9">
        <w:trPr>
          <w:trHeight w:val="240"/>
        </w:trPr>
        <w:tc>
          <w:tcPr>
            <w:tcW w:w="378" w:type="pct"/>
            <w:shd w:val="clear" w:color="auto" w:fill="auto"/>
            <w:hideMark/>
          </w:tcPr>
          <w:p w:rsidR="00611AC9" w:rsidRPr="002E43DD" w:rsidRDefault="00611AC9" w:rsidP="00611AC9">
            <w:pPr>
              <w:pStyle w:val="SingleTxtG"/>
              <w:spacing w:before="40"/>
              <w:ind w:left="0" w:right="0"/>
              <w:jc w:val="left"/>
            </w:pPr>
            <w:r w:rsidRPr="002E43DD">
              <w:t>29</w:t>
            </w:r>
          </w:p>
        </w:tc>
        <w:tc>
          <w:tcPr>
            <w:tcW w:w="1925" w:type="pct"/>
            <w:shd w:val="clear" w:color="auto" w:fill="auto"/>
          </w:tcPr>
          <w:p w:rsidR="00611AC9" w:rsidRPr="002E43DD" w:rsidRDefault="00611AC9" w:rsidP="00471F4D">
            <w:pPr>
              <w:pStyle w:val="SingleTxtG"/>
              <w:spacing w:before="40"/>
              <w:ind w:left="0" w:right="0"/>
              <w:jc w:val="left"/>
            </w:pPr>
            <w:r w:rsidRPr="002E43DD">
              <w:t xml:space="preserve">Convenio sobre el </w:t>
            </w:r>
            <w:r w:rsidR="00471F4D">
              <w:t>C</w:t>
            </w:r>
            <w:r w:rsidRPr="002E43DD">
              <w:t xml:space="preserve">ontrato de </w:t>
            </w:r>
            <w:r w:rsidR="00471F4D">
              <w:t>E</w:t>
            </w:r>
            <w:r w:rsidRPr="002E43DD">
              <w:t xml:space="preserve">nrolamiento de la </w:t>
            </w:r>
            <w:r w:rsidR="00471F4D">
              <w:t>G</w:t>
            </w:r>
            <w:r w:rsidRPr="002E43DD">
              <w:t xml:space="preserve">ente de </w:t>
            </w:r>
            <w:r w:rsidR="00471F4D">
              <w:t>M</w:t>
            </w:r>
            <w:r w:rsidRPr="002E43DD">
              <w:t>ar (núm. 22)</w:t>
            </w:r>
          </w:p>
        </w:tc>
        <w:tc>
          <w:tcPr>
            <w:tcW w:w="531" w:type="pct"/>
            <w:shd w:val="clear" w:color="auto" w:fill="auto"/>
            <w:hideMark/>
          </w:tcPr>
          <w:p w:rsidR="00611AC9" w:rsidRPr="002E43DD" w:rsidRDefault="00611AC9" w:rsidP="00611AC9">
            <w:pPr>
              <w:pStyle w:val="SingleTxtG"/>
              <w:spacing w:before="40"/>
              <w:ind w:left="0" w:right="0"/>
              <w:jc w:val="left"/>
            </w:pPr>
            <w:r w:rsidRPr="002E43DD">
              <w:t>1926</w:t>
            </w:r>
          </w:p>
        </w:tc>
        <w:tc>
          <w:tcPr>
            <w:tcW w:w="873" w:type="pct"/>
            <w:shd w:val="clear" w:color="auto" w:fill="auto"/>
          </w:tcPr>
          <w:p w:rsidR="00611AC9" w:rsidRDefault="00611AC9" w:rsidP="00611AC9">
            <w:r w:rsidRPr="00C45257">
              <w:t>8 de noviembre de</w:t>
            </w:r>
            <w:r w:rsidR="00503D80">
              <w:t> </w:t>
            </w:r>
            <w:r w:rsidRPr="00C45257">
              <w:t>1963</w:t>
            </w:r>
          </w:p>
        </w:tc>
        <w:tc>
          <w:tcPr>
            <w:tcW w:w="1293" w:type="pct"/>
            <w:shd w:val="clear" w:color="auto" w:fill="auto"/>
          </w:tcPr>
          <w:p w:rsidR="00611AC9" w:rsidRPr="002E43DD" w:rsidRDefault="00611AC9" w:rsidP="00611AC9">
            <w:pPr>
              <w:pStyle w:val="SingleTxtG"/>
              <w:spacing w:before="40"/>
              <w:ind w:left="0" w:right="0"/>
              <w:jc w:val="left"/>
            </w:pPr>
          </w:p>
        </w:tc>
      </w:tr>
      <w:tr w:rsidR="00611AC9" w:rsidRPr="002E43DD" w:rsidTr="00611AC9">
        <w:trPr>
          <w:trHeight w:val="240"/>
        </w:trPr>
        <w:tc>
          <w:tcPr>
            <w:tcW w:w="378" w:type="pct"/>
            <w:shd w:val="clear" w:color="auto" w:fill="auto"/>
            <w:hideMark/>
          </w:tcPr>
          <w:p w:rsidR="00611AC9" w:rsidRPr="002E43DD" w:rsidRDefault="00611AC9" w:rsidP="00611AC9">
            <w:pPr>
              <w:pStyle w:val="SingleTxtG"/>
              <w:spacing w:before="40"/>
              <w:ind w:left="0" w:right="0"/>
              <w:jc w:val="left"/>
            </w:pPr>
            <w:r w:rsidRPr="002E43DD">
              <w:t>30</w:t>
            </w:r>
          </w:p>
        </w:tc>
        <w:tc>
          <w:tcPr>
            <w:tcW w:w="1925" w:type="pct"/>
            <w:shd w:val="clear" w:color="auto" w:fill="auto"/>
          </w:tcPr>
          <w:p w:rsidR="00611AC9" w:rsidRPr="002E43DD" w:rsidRDefault="00611AC9" w:rsidP="00471F4D">
            <w:pPr>
              <w:pStyle w:val="SingleTxtG"/>
              <w:spacing w:before="40"/>
              <w:ind w:left="0" w:right="0"/>
              <w:jc w:val="left"/>
            </w:pPr>
            <w:r w:rsidRPr="002E43DD">
              <w:t xml:space="preserve">Convenio sobre la </w:t>
            </w:r>
            <w:r w:rsidR="00471F4D">
              <w:t>R</w:t>
            </w:r>
            <w:r w:rsidRPr="002E43DD">
              <w:t xml:space="preserve">epatriación de la </w:t>
            </w:r>
            <w:r w:rsidR="00471F4D">
              <w:t>G</w:t>
            </w:r>
            <w:r w:rsidRPr="002E43DD">
              <w:t xml:space="preserve">ente de </w:t>
            </w:r>
            <w:r w:rsidR="00471F4D">
              <w:t>M</w:t>
            </w:r>
            <w:r w:rsidRPr="002E43DD">
              <w:t>ar (núm. 23)</w:t>
            </w:r>
          </w:p>
        </w:tc>
        <w:tc>
          <w:tcPr>
            <w:tcW w:w="531" w:type="pct"/>
            <w:shd w:val="clear" w:color="auto" w:fill="auto"/>
            <w:hideMark/>
          </w:tcPr>
          <w:p w:rsidR="00611AC9" w:rsidRPr="002E43DD" w:rsidRDefault="00611AC9" w:rsidP="00611AC9">
            <w:pPr>
              <w:pStyle w:val="SingleTxtG"/>
              <w:spacing w:before="40"/>
              <w:ind w:left="0" w:right="0"/>
              <w:jc w:val="left"/>
            </w:pPr>
            <w:r w:rsidRPr="002E43DD">
              <w:t>1926</w:t>
            </w:r>
          </w:p>
        </w:tc>
        <w:tc>
          <w:tcPr>
            <w:tcW w:w="873" w:type="pct"/>
            <w:shd w:val="clear" w:color="auto" w:fill="auto"/>
          </w:tcPr>
          <w:p w:rsidR="00611AC9" w:rsidRDefault="00611AC9" w:rsidP="00503D80">
            <w:r w:rsidRPr="00C45257">
              <w:t>8 de noviembre de</w:t>
            </w:r>
            <w:r w:rsidR="00503D80">
              <w:t> </w:t>
            </w:r>
            <w:r w:rsidRPr="00C45257">
              <w:t>1963</w:t>
            </w:r>
          </w:p>
        </w:tc>
        <w:tc>
          <w:tcPr>
            <w:tcW w:w="1293" w:type="pct"/>
            <w:shd w:val="clear" w:color="auto" w:fill="auto"/>
          </w:tcPr>
          <w:p w:rsidR="00611AC9" w:rsidRPr="002E43DD" w:rsidRDefault="00611AC9" w:rsidP="00611AC9">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31</w:t>
            </w:r>
          </w:p>
        </w:tc>
        <w:tc>
          <w:tcPr>
            <w:tcW w:w="1925" w:type="pct"/>
            <w:shd w:val="clear" w:color="auto" w:fill="auto"/>
          </w:tcPr>
          <w:p w:rsidR="003E3038" w:rsidRPr="002E43DD" w:rsidRDefault="003E3038" w:rsidP="00471F4D">
            <w:pPr>
              <w:pStyle w:val="SingleTxtG"/>
              <w:spacing w:before="40"/>
              <w:ind w:left="0" w:right="0"/>
              <w:jc w:val="left"/>
            </w:pPr>
            <w:r w:rsidRPr="002E43DD">
              <w:t xml:space="preserve">Convenio sobre los </w:t>
            </w:r>
            <w:r w:rsidR="00471F4D">
              <w:t>M</w:t>
            </w:r>
            <w:r w:rsidRPr="002E43DD">
              <w:t xml:space="preserve">étodos para la </w:t>
            </w:r>
            <w:r w:rsidR="00471F4D">
              <w:t>F</w:t>
            </w:r>
            <w:r w:rsidRPr="002E43DD">
              <w:t xml:space="preserve">ijación de </w:t>
            </w:r>
            <w:r w:rsidR="00471F4D">
              <w:t>S</w:t>
            </w:r>
            <w:r w:rsidRPr="002E43DD">
              <w:t xml:space="preserve">alarios </w:t>
            </w:r>
            <w:r w:rsidR="00471F4D">
              <w:t>M</w:t>
            </w:r>
            <w:r w:rsidRPr="002E43DD">
              <w:t>ínimos (núm. 26)</w:t>
            </w:r>
          </w:p>
        </w:tc>
        <w:tc>
          <w:tcPr>
            <w:tcW w:w="531" w:type="pct"/>
            <w:shd w:val="clear" w:color="auto" w:fill="auto"/>
            <w:hideMark/>
          </w:tcPr>
          <w:p w:rsidR="003E3038" w:rsidRPr="002E43DD" w:rsidRDefault="003E3038" w:rsidP="002E43DD">
            <w:pPr>
              <w:pStyle w:val="SingleTxtG"/>
              <w:spacing w:before="40"/>
              <w:ind w:left="0" w:right="0"/>
              <w:jc w:val="left"/>
            </w:pPr>
            <w:r w:rsidRPr="002E43DD">
              <w:t>1928</w:t>
            </w:r>
          </w:p>
        </w:tc>
        <w:tc>
          <w:tcPr>
            <w:tcW w:w="873" w:type="pct"/>
            <w:shd w:val="clear" w:color="auto" w:fill="auto"/>
          </w:tcPr>
          <w:p w:rsidR="003E3038" w:rsidRPr="002E43DD" w:rsidRDefault="00611AC9" w:rsidP="002E43DD">
            <w:pPr>
              <w:pStyle w:val="SingleTxtG"/>
              <w:spacing w:before="40"/>
              <w:ind w:left="0" w:right="0"/>
              <w:jc w:val="left"/>
            </w:pPr>
            <w:r w:rsidRPr="002E43DD">
              <w:t>20</w:t>
            </w:r>
            <w:r>
              <w:t xml:space="preserve"> de junio de </w:t>
            </w:r>
            <w:r w:rsidRPr="002E43DD">
              <w:t>1961</w:t>
            </w:r>
          </w:p>
        </w:tc>
        <w:tc>
          <w:tcPr>
            <w:tcW w:w="1293" w:type="pct"/>
            <w:shd w:val="clear" w:color="auto" w:fill="auto"/>
          </w:tcPr>
          <w:p w:rsidR="003E3038" w:rsidRPr="002E43DD" w:rsidRDefault="003E3038" w:rsidP="002E43DD">
            <w:pPr>
              <w:pStyle w:val="SingleTxtG"/>
              <w:spacing w:before="40"/>
              <w:ind w:left="0" w:right="0"/>
              <w:jc w:val="left"/>
            </w:pPr>
          </w:p>
        </w:tc>
      </w:tr>
      <w:tr w:rsidR="00611AC9" w:rsidRPr="002E43DD" w:rsidTr="00611AC9">
        <w:trPr>
          <w:trHeight w:val="240"/>
        </w:trPr>
        <w:tc>
          <w:tcPr>
            <w:tcW w:w="378" w:type="pct"/>
            <w:shd w:val="clear" w:color="auto" w:fill="auto"/>
            <w:hideMark/>
          </w:tcPr>
          <w:p w:rsidR="00611AC9" w:rsidRPr="002E43DD" w:rsidRDefault="00611AC9" w:rsidP="00611AC9">
            <w:pPr>
              <w:pStyle w:val="SingleTxtG"/>
              <w:spacing w:before="40"/>
              <w:ind w:left="0" w:right="0"/>
              <w:jc w:val="left"/>
            </w:pPr>
            <w:r w:rsidRPr="002E43DD">
              <w:t>32</w:t>
            </w:r>
          </w:p>
        </w:tc>
        <w:tc>
          <w:tcPr>
            <w:tcW w:w="1925" w:type="pct"/>
            <w:shd w:val="clear" w:color="auto" w:fill="auto"/>
          </w:tcPr>
          <w:p w:rsidR="00611AC9" w:rsidRPr="002E43DD" w:rsidRDefault="00611AC9" w:rsidP="00471F4D">
            <w:pPr>
              <w:pStyle w:val="SingleTxtG"/>
              <w:spacing w:before="40"/>
              <w:ind w:left="0" w:right="0"/>
              <w:jc w:val="left"/>
            </w:pPr>
            <w:r w:rsidRPr="002E43DD">
              <w:t xml:space="preserve">Convenio sobre los </w:t>
            </w:r>
            <w:r w:rsidR="00471F4D">
              <w:t>C</w:t>
            </w:r>
            <w:r w:rsidRPr="002E43DD">
              <w:t xml:space="preserve">ertificados de </w:t>
            </w:r>
            <w:r w:rsidR="00471F4D">
              <w:t>C</w:t>
            </w:r>
            <w:r w:rsidRPr="002E43DD">
              <w:t xml:space="preserve">apacidad de los </w:t>
            </w:r>
            <w:r w:rsidR="00471F4D">
              <w:t>O</w:t>
            </w:r>
            <w:r w:rsidRPr="002E43DD">
              <w:t>ficiales (núm. 53)</w:t>
            </w:r>
          </w:p>
        </w:tc>
        <w:tc>
          <w:tcPr>
            <w:tcW w:w="531" w:type="pct"/>
            <w:shd w:val="clear" w:color="auto" w:fill="auto"/>
            <w:hideMark/>
          </w:tcPr>
          <w:p w:rsidR="00611AC9" w:rsidRPr="002E43DD" w:rsidRDefault="00611AC9" w:rsidP="00611AC9">
            <w:pPr>
              <w:pStyle w:val="SingleTxtG"/>
              <w:spacing w:before="40"/>
              <w:ind w:left="0" w:right="0"/>
              <w:jc w:val="left"/>
            </w:pPr>
            <w:r w:rsidRPr="002E43DD">
              <w:t>1936</w:t>
            </w:r>
          </w:p>
        </w:tc>
        <w:tc>
          <w:tcPr>
            <w:tcW w:w="873" w:type="pct"/>
            <w:shd w:val="clear" w:color="auto" w:fill="auto"/>
          </w:tcPr>
          <w:p w:rsidR="00611AC9" w:rsidRDefault="00611AC9" w:rsidP="00503D80">
            <w:r w:rsidRPr="00532BE8">
              <w:t>8 de noviembre de</w:t>
            </w:r>
            <w:r w:rsidR="00503D80">
              <w:t> </w:t>
            </w:r>
            <w:r w:rsidRPr="00532BE8">
              <w:t>1963</w:t>
            </w:r>
          </w:p>
        </w:tc>
        <w:tc>
          <w:tcPr>
            <w:tcW w:w="1293" w:type="pct"/>
            <w:shd w:val="clear" w:color="auto" w:fill="auto"/>
          </w:tcPr>
          <w:p w:rsidR="00611AC9" w:rsidRPr="002E43DD" w:rsidRDefault="00611AC9" w:rsidP="00611AC9">
            <w:pPr>
              <w:pStyle w:val="SingleTxtG"/>
              <w:spacing w:before="40"/>
              <w:ind w:left="0" w:right="0"/>
              <w:jc w:val="left"/>
            </w:pPr>
          </w:p>
        </w:tc>
      </w:tr>
      <w:tr w:rsidR="00611AC9" w:rsidRPr="002E43DD" w:rsidTr="00611AC9">
        <w:trPr>
          <w:trHeight w:val="240"/>
        </w:trPr>
        <w:tc>
          <w:tcPr>
            <w:tcW w:w="378" w:type="pct"/>
            <w:shd w:val="clear" w:color="auto" w:fill="auto"/>
            <w:hideMark/>
          </w:tcPr>
          <w:p w:rsidR="00611AC9" w:rsidRPr="002E43DD" w:rsidRDefault="00611AC9" w:rsidP="00611AC9">
            <w:pPr>
              <w:pStyle w:val="SingleTxtG"/>
              <w:spacing w:before="40"/>
              <w:ind w:left="0" w:right="0"/>
              <w:jc w:val="left"/>
            </w:pPr>
            <w:r w:rsidRPr="002E43DD">
              <w:t>33</w:t>
            </w:r>
          </w:p>
        </w:tc>
        <w:tc>
          <w:tcPr>
            <w:tcW w:w="1925" w:type="pct"/>
            <w:shd w:val="clear" w:color="auto" w:fill="auto"/>
          </w:tcPr>
          <w:p w:rsidR="00611AC9" w:rsidRPr="002E43DD" w:rsidRDefault="00611AC9" w:rsidP="00471F4D">
            <w:pPr>
              <w:pStyle w:val="SingleTxtG"/>
              <w:spacing w:before="40"/>
              <w:ind w:left="0" w:right="0"/>
              <w:jc w:val="left"/>
            </w:pPr>
            <w:r w:rsidRPr="002E43DD">
              <w:t xml:space="preserve">Convenio sobre las </w:t>
            </w:r>
            <w:r w:rsidR="00471F4D">
              <w:t>P</w:t>
            </w:r>
            <w:r w:rsidRPr="002E43DD">
              <w:t xml:space="preserve">rescripciones de </w:t>
            </w:r>
            <w:r w:rsidR="00471F4D">
              <w:t>S</w:t>
            </w:r>
            <w:r w:rsidRPr="002E43DD">
              <w:t>eguridad (</w:t>
            </w:r>
            <w:r w:rsidR="00471F4D">
              <w:t>E</w:t>
            </w:r>
            <w:r w:rsidRPr="002E43DD">
              <w:t>dificación) (núm. 62)</w:t>
            </w:r>
          </w:p>
        </w:tc>
        <w:tc>
          <w:tcPr>
            <w:tcW w:w="531" w:type="pct"/>
            <w:shd w:val="clear" w:color="auto" w:fill="auto"/>
            <w:hideMark/>
          </w:tcPr>
          <w:p w:rsidR="00611AC9" w:rsidRPr="002E43DD" w:rsidRDefault="00611AC9" w:rsidP="00611AC9">
            <w:pPr>
              <w:pStyle w:val="SingleTxtG"/>
              <w:spacing w:before="40"/>
              <w:ind w:left="0" w:right="0"/>
              <w:jc w:val="left"/>
            </w:pPr>
            <w:r w:rsidRPr="002E43DD">
              <w:t>1937</w:t>
            </w:r>
          </w:p>
        </w:tc>
        <w:tc>
          <w:tcPr>
            <w:tcW w:w="873" w:type="pct"/>
            <w:shd w:val="clear" w:color="auto" w:fill="auto"/>
          </w:tcPr>
          <w:p w:rsidR="00611AC9" w:rsidRDefault="00611AC9" w:rsidP="00611AC9">
            <w:r w:rsidRPr="00532BE8">
              <w:t>8 de noviembre de</w:t>
            </w:r>
            <w:r w:rsidR="00503D80">
              <w:t> </w:t>
            </w:r>
            <w:r w:rsidRPr="00532BE8">
              <w:t>1963</w:t>
            </w:r>
          </w:p>
        </w:tc>
        <w:tc>
          <w:tcPr>
            <w:tcW w:w="1293" w:type="pct"/>
            <w:shd w:val="clear" w:color="auto" w:fill="auto"/>
          </w:tcPr>
          <w:p w:rsidR="00611AC9" w:rsidRPr="002E43DD" w:rsidRDefault="00611AC9" w:rsidP="00611AC9">
            <w:pPr>
              <w:pStyle w:val="SingleTxtG"/>
              <w:spacing w:before="40"/>
              <w:ind w:left="0" w:right="0"/>
              <w:jc w:val="left"/>
            </w:pPr>
          </w:p>
        </w:tc>
      </w:tr>
      <w:tr w:rsidR="00611AC9" w:rsidRPr="002E43DD" w:rsidTr="00611AC9">
        <w:trPr>
          <w:trHeight w:val="240"/>
        </w:trPr>
        <w:tc>
          <w:tcPr>
            <w:tcW w:w="378" w:type="pct"/>
            <w:shd w:val="clear" w:color="auto" w:fill="auto"/>
            <w:hideMark/>
          </w:tcPr>
          <w:p w:rsidR="00611AC9" w:rsidRPr="002E43DD" w:rsidRDefault="00611AC9" w:rsidP="00611AC9">
            <w:pPr>
              <w:pStyle w:val="SingleTxtG"/>
              <w:spacing w:before="40"/>
              <w:ind w:left="0" w:right="0"/>
              <w:jc w:val="left"/>
            </w:pPr>
            <w:r w:rsidRPr="002E43DD">
              <w:t>34</w:t>
            </w:r>
          </w:p>
        </w:tc>
        <w:tc>
          <w:tcPr>
            <w:tcW w:w="1925" w:type="pct"/>
            <w:shd w:val="clear" w:color="auto" w:fill="auto"/>
          </w:tcPr>
          <w:p w:rsidR="00611AC9" w:rsidRPr="002E43DD" w:rsidRDefault="00611AC9" w:rsidP="00471F4D">
            <w:pPr>
              <w:pStyle w:val="SingleTxtG"/>
              <w:spacing w:before="40"/>
              <w:ind w:left="0" w:right="0"/>
              <w:jc w:val="left"/>
            </w:pPr>
            <w:r w:rsidRPr="002E43DD">
              <w:t xml:space="preserve">Convenio sobre la </w:t>
            </w:r>
            <w:r w:rsidR="00471F4D">
              <w:t>I</w:t>
            </w:r>
            <w:r w:rsidRPr="002E43DD">
              <w:t xml:space="preserve">nspección del </w:t>
            </w:r>
            <w:r w:rsidR="00471F4D">
              <w:t>T</w:t>
            </w:r>
            <w:r w:rsidRPr="002E43DD">
              <w:t>rabajo (núm. 81)</w:t>
            </w:r>
          </w:p>
        </w:tc>
        <w:tc>
          <w:tcPr>
            <w:tcW w:w="531" w:type="pct"/>
            <w:shd w:val="clear" w:color="auto" w:fill="auto"/>
            <w:hideMark/>
          </w:tcPr>
          <w:p w:rsidR="00611AC9" w:rsidRPr="002E43DD" w:rsidRDefault="00611AC9" w:rsidP="00611AC9">
            <w:pPr>
              <w:pStyle w:val="SingleTxtG"/>
              <w:spacing w:before="40"/>
              <w:ind w:left="0" w:right="0"/>
              <w:jc w:val="left"/>
            </w:pPr>
            <w:r w:rsidRPr="002E43DD">
              <w:t>1947</w:t>
            </w:r>
          </w:p>
        </w:tc>
        <w:tc>
          <w:tcPr>
            <w:tcW w:w="873" w:type="pct"/>
            <w:shd w:val="clear" w:color="auto" w:fill="auto"/>
          </w:tcPr>
          <w:p w:rsidR="00611AC9" w:rsidRDefault="00611AC9" w:rsidP="00611AC9">
            <w:r w:rsidRPr="00532BE8">
              <w:t>8 de noviembre de</w:t>
            </w:r>
            <w:r w:rsidR="00503D80">
              <w:t> </w:t>
            </w:r>
            <w:r w:rsidRPr="00532BE8">
              <w:t>1963</w:t>
            </w:r>
          </w:p>
        </w:tc>
        <w:tc>
          <w:tcPr>
            <w:tcW w:w="1293" w:type="pct"/>
            <w:shd w:val="clear" w:color="auto" w:fill="auto"/>
          </w:tcPr>
          <w:p w:rsidR="00611AC9" w:rsidRPr="002E43DD" w:rsidRDefault="00611AC9" w:rsidP="00611AC9">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35</w:t>
            </w:r>
          </w:p>
        </w:tc>
        <w:tc>
          <w:tcPr>
            <w:tcW w:w="1925" w:type="pct"/>
            <w:shd w:val="clear" w:color="auto" w:fill="auto"/>
          </w:tcPr>
          <w:p w:rsidR="003E3038" w:rsidRPr="002E43DD" w:rsidRDefault="003E3038" w:rsidP="00471F4D">
            <w:pPr>
              <w:pStyle w:val="SingleTxtG"/>
              <w:spacing w:before="40"/>
              <w:ind w:left="0" w:right="0"/>
              <w:jc w:val="left"/>
            </w:pPr>
            <w:r w:rsidRPr="002E43DD">
              <w:t xml:space="preserve">Convenio sobre la </w:t>
            </w:r>
            <w:r w:rsidR="00471F4D">
              <w:t>L</w:t>
            </w:r>
            <w:r w:rsidRPr="002E43DD">
              <w:t xml:space="preserve">ibertad </w:t>
            </w:r>
            <w:r w:rsidR="00471F4D">
              <w:t>S</w:t>
            </w:r>
            <w:r w:rsidRPr="002E43DD">
              <w:t xml:space="preserve">indical y la </w:t>
            </w:r>
            <w:r w:rsidR="00471F4D">
              <w:t>P</w:t>
            </w:r>
            <w:r w:rsidRPr="002E43DD">
              <w:t xml:space="preserve">rotección del </w:t>
            </w:r>
            <w:r w:rsidR="00471F4D">
              <w:t>D</w:t>
            </w:r>
            <w:r w:rsidRPr="002E43DD">
              <w:t xml:space="preserve">erecho de </w:t>
            </w:r>
            <w:r w:rsidR="00471F4D">
              <w:t>S</w:t>
            </w:r>
            <w:r w:rsidRPr="002E43DD">
              <w:t>indicación (núm.</w:t>
            </w:r>
            <w:r w:rsidR="00471F4D">
              <w:t> </w:t>
            </w:r>
            <w:r w:rsidRPr="002E43DD">
              <w:t>87)</w:t>
            </w:r>
          </w:p>
        </w:tc>
        <w:tc>
          <w:tcPr>
            <w:tcW w:w="531" w:type="pct"/>
            <w:shd w:val="clear" w:color="auto" w:fill="auto"/>
            <w:hideMark/>
          </w:tcPr>
          <w:p w:rsidR="003E3038" w:rsidRPr="002E43DD" w:rsidRDefault="003E3038" w:rsidP="002E43DD">
            <w:pPr>
              <w:pStyle w:val="SingleTxtG"/>
              <w:spacing w:before="40"/>
              <w:ind w:left="0" w:right="0"/>
              <w:jc w:val="left"/>
            </w:pPr>
            <w:r w:rsidRPr="002E43DD">
              <w:t>1948</w:t>
            </w:r>
          </w:p>
        </w:tc>
        <w:tc>
          <w:tcPr>
            <w:tcW w:w="873" w:type="pct"/>
            <w:shd w:val="clear" w:color="auto" w:fill="auto"/>
          </w:tcPr>
          <w:p w:rsidR="003E3038" w:rsidRPr="002E43DD" w:rsidRDefault="00611AC9" w:rsidP="002E43DD">
            <w:pPr>
              <w:pStyle w:val="SingleTxtG"/>
              <w:spacing w:before="40"/>
              <w:ind w:left="0" w:right="0"/>
              <w:jc w:val="left"/>
            </w:pPr>
            <w:r w:rsidRPr="002E43DD">
              <w:t>20</w:t>
            </w:r>
            <w:r>
              <w:t xml:space="preserve"> de junio de </w:t>
            </w:r>
            <w:r w:rsidRPr="002E43DD">
              <w:t>1961</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36</w:t>
            </w:r>
          </w:p>
        </w:tc>
        <w:tc>
          <w:tcPr>
            <w:tcW w:w="1925" w:type="pct"/>
            <w:shd w:val="clear" w:color="auto" w:fill="auto"/>
          </w:tcPr>
          <w:p w:rsidR="003E3038" w:rsidRPr="002E43DD" w:rsidRDefault="003E3038" w:rsidP="00471F4D">
            <w:pPr>
              <w:pStyle w:val="SingleTxtG"/>
              <w:spacing w:before="40"/>
              <w:ind w:left="0" w:right="0"/>
              <w:jc w:val="left"/>
            </w:pPr>
            <w:r w:rsidRPr="002E43DD">
              <w:t xml:space="preserve">Convenio sobre las </w:t>
            </w:r>
            <w:r w:rsidR="00471F4D">
              <w:t>C</w:t>
            </w:r>
            <w:r w:rsidRPr="002E43DD">
              <w:t xml:space="preserve">láusulas de </w:t>
            </w:r>
            <w:r w:rsidR="00471F4D">
              <w:t>T</w:t>
            </w:r>
            <w:r w:rsidRPr="002E43DD">
              <w:t>rabajo (</w:t>
            </w:r>
            <w:r w:rsidR="00471F4D">
              <w:t>C</w:t>
            </w:r>
            <w:r w:rsidRPr="002E43DD">
              <w:t xml:space="preserve">ontratos </w:t>
            </w:r>
            <w:r w:rsidR="00471F4D">
              <w:t>P</w:t>
            </w:r>
            <w:r w:rsidRPr="002E43DD">
              <w:t>úblicos) (núm. 94)</w:t>
            </w:r>
          </w:p>
        </w:tc>
        <w:tc>
          <w:tcPr>
            <w:tcW w:w="531" w:type="pct"/>
            <w:shd w:val="clear" w:color="auto" w:fill="auto"/>
            <w:hideMark/>
          </w:tcPr>
          <w:p w:rsidR="003E3038" w:rsidRPr="002E43DD" w:rsidRDefault="003E3038" w:rsidP="002E43DD">
            <w:pPr>
              <w:pStyle w:val="SingleTxtG"/>
              <w:spacing w:before="40"/>
              <w:ind w:left="0" w:right="0"/>
              <w:jc w:val="left"/>
            </w:pPr>
            <w:r w:rsidRPr="002E43DD">
              <w:t>1949</w:t>
            </w:r>
          </w:p>
        </w:tc>
        <w:tc>
          <w:tcPr>
            <w:tcW w:w="873" w:type="pct"/>
            <w:shd w:val="clear" w:color="auto" w:fill="auto"/>
          </w:tcPr>
          <w:p w:rsidR="003E3038" w:rsidRPr="002E43DD" w:rsidRDefault="00611AC9" w:rsidP="002E43DD">
            <w:pPr>
              <w:pStyle w:val="SingleTxtG"/>
              <w:spacing w:before="40"/>
              <w:ind w:left="0" w:right="0"/>
              <w:jc w:val="left"/>
            </w:pPr>
            <w:r>
              <w:t>8 de noviembre de</w:t>
            </w:r>
            <w:r w:rsidR="00503D80">
              <w:t> </w:t>
            </w:r>
            <w:r w:rsidRPr="002E43DD">
              <w:t>1963</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37</w:t>
            </w:r>
          </w:p>
        </w:tc>
        <w:tc>
          <w:tcPr>
            <w:tcW w:w="1925" w:type="pct"/>
            <w:shd w:val="clear" w:color="auto" w:fill="auto"/>
          </w:tcPr>
          <w:p w:rsidR="003E3038" w:rsidRPr="002E43DD" w:rsidRDefault="003E3038" w:rsidP="00471F4D">
            <w:pPr>
              <w:pStyle w:val="SingleTxtG"/>
              <w:spacing w:before="40"/>
              <w:ind w:left="0" w:right="0"/>
              <w:jc w:val="left"/>
            </w:pPr>
            <w:r w:rsidRPr="002E43DD">
              <w:t xml:space="preserve">Convenio sobre la </w:t>
            </w:r>
            <w:r w:rsidR="00471F4D">
              <w:t>P</w:t>
            </w:r>
            <w:r w:rsidRPr="002E43DD">
              <w:t xml:space="preserve">rotección del </w:t>
            </w:r>
            <w:r w:rsidR="00471F4D">
              <w:t>S</w:t>
            </w:r>
            <w:r w:rsidRPr="002E43DD">
              <w:t>alario (núm. 95)</w:t>
            </w:r>
          </w:p>
        </w:tc>
        <w:tc>
          <w:tcPr>
            <w:tcW w:w="531" w:type="pct"/>
            <w:shd w:val="clear" w:color="auto" w:fill="auto"/>
            <w:hideMark/>
          </w:tcPr>
          <w:p w:rsidR="003E3038" w:rsidRPr="002E43DD" w:rsidRDefault="003E3038" w:rsidP="002E43DD">
            <w:pPr>
              <w:pStyle w:val="SingleTxtG"/>
              <w:spacing w:before="40"/>
              <w:ind w:left="0" w:right="0"/>
              <w:jc w:val="left"/>
            </w:pPr>
            <w:r w:rsidRPr="002E43DD">
              <w:t>1949</w:t>
            </w:r>
          </w:p>
        </w:tc>
        <w:tc>
          <w:tcPr>
            <w:tcW w:w="873" w:type="pct"/>
            <w:shd w:val="clear" w:color="auto" w:fill="auto"/>
          </w:tcPr>
          <w:p w:rsidR="003E3038" w:rsidRPr="002E43DD" w:rsidRDefault="00611AC9" w:rsidP="002E43DD">
            <w:pPr>
              <w:pStyle w:val="SingleTxtG"/>
              <w:spacing w:before="40"/>
              <w:ind w:left="0" w:right="0"/>
              <w:jc w:val="left"/>
            </w:pPr>
            <w:r w:rsidRPr="002E43DD">
              <w:t>20</w:t>
            </w:r>
            <w:r>
              <w:t xml:space="preserve"> de junio de </w:t>
            </w:r>
            <w:r w:rsidRPr="002E43DD">
              <w:t>1961</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38</w:t>
            </w:r>
          </w:p>
        </w:tc>
        <w:tc>
          <w:tcPr>
            <w:tcW w:w="1925" w:type="pct"/>
            <w:shd w:val="clear" w:color="auto" w:fill="auto"/>
            <w:hideMark/>
          </w:tcPr>
          <w:p w:rsidR="003E3038" w:rsidRPr="002E43DD" w:rsidRDefault="003E3038" w:rsidP="00471F4D">
            <w:pPr>
              <w:pStyle w:val="SingleTxtG"/>
              <w:spacing w:before="40"/>
              <w:ind w:left="0" w:right="0"/>
              <w:jc w:val="left"/>
            </w:pPr>
            <w:r w:rsidRPr="002E43DD">
              <w:t xml:space="preserve">Convenio sobre las </w:t>
            </w:r>
            <w:r w:rsidR="00471F4D">
              <w:t>A</w:t>
            </w:r>
            <w:r w:rsidRPr="002E43DD">
              <w:t>gen</w:t>
            </w:r>
            <w:r w:rsidR="00734DBC">
              <w:t xml:space="preserve">cias </w:t>
            </w:r>
            <w:r w:rsidR="00471F4D">
              <w:t>R</w:t>
            </w:r>
            <w:r w:rsidR="00734DBC">
              <w:t xml:space="preserve">etribuidas de </w:t>
            </w:r>
            <w:r w:rsidR="00471F4D">
              <w:t>C</w:t>
            </w:r>
            <w:r w:rsidR="00734DBC">
              <w:t xml:space="preserve">olocación </w:t>
            </w:r>
            <w:r w:rsidRPr="002E43DD">
              <w:t>(núm. 96)</w:t>
            </w:r>
          </w:p>
        </w:tc>
        <w:tc>
          <w:tcPr>
            <w:tcW w:w="531" w:type="pct"/>
            <w:shd w:val="clear" w:color="auto" w:fill="auto"/>
            <w:hideMark/>
          </w:tcPr>
          <w:p w:rsidR="003E3038" w:rsidRPr="002E43DD" w:rsidRDefault="003E3038" w:rsidP="002E43DD">
            <w:pPr>
              <w:pStyle w:val="SingleTxtG"/>
              <w:spacing w:before="40"/>
              <w:ind w:left="0" w:right="0"/>
              <w:jc w:val="left"/>
            </w:pPr>
            <w:r w:rsidRPr="002E43DD">
              <w:t>1949</w:t>
            </w:r>
          </w:p>
        </w:tc>
        <w:tc>
          <w:tcPr>
            <w:tcW w:w="873" w:type="pct"/>
            <w:shd w:val="clear" w:color="auto" w:fill="auto"/>
          </w:tcPr>
          <w:p w:rsidR="003E3038" w:rsidRPr="002E43DD" w:rsidRDefault="003E3038" w:rsidP="00503D80">
            <w:pPr>
              <w:pStyle w:val="SingleTxtG"/>
              <w:spacing w:before="40"/>
              <w:ind w:left="0" w:right="0"/>
              <w:jc w:val="left"/>
            </w:pPr>
            <w:r w:rsidRPr="002E43DD">
              <w:t>31</w:t>
            </w:r>
            <w:r w:rsidR="00503D80">
              <w:t xml:space="preserve"> de marzo de </w:t>
            </w:r>
            <w:r w:rsidRPr="002E43DD">
              <w:t>1964</w:t>
            </w:r>
          </w:p>
        </w:tc>
        <w:tc>
          <w:tcPr>
            <w:tcW w:w="1293" w:type="pct"/>
            <w:shd w:val="clear" w:color="auto" w:fill="auto"/>
          </w:tcPr>
          <w:p w:rsidR="003E3038" w:rsidRPr="002E43DD" w:rsidRDefault="003E3038" w:rsidP="002E43DD">
            <w:pPr>
              <w:pStyle w:val="SingleTxtG"/>
              <w:spacing w:before="40"/>
              <w:ind w:left="0" w:right="0"/>
              <w:jc w:val="left"/>
            </w:pPr>
            <w:r w:rsidRPr="002E43DD">
              <w:t>Se aceptaron las disposiciones de la parte II</w:t>
            </w:r>
          </w:p>
        </w:tc>
      </w:tr>
      <w:tr w:rsidR="003E3038" w:rsidRPr="002E43DD" w:rsidTr="00611AC9">
        <w:trPr>
          <w:trHeight w:val="240"/>
        </w:trPr>
        <w:tc>
          <w:tcPr>
            <w:tcW w:w="378" w:type="pct"/>
            <w:shd w:val="clear" w:color="auto" w:fill="auto"/>
            <w:hideMark/>
          </w:tcPr>
          <w:p w:rsidR="003E3038" w:rsidRPr="002E43DD" w:rsidRDefault="003E3038" w:rsidP="002E43DD">
            <w:pPr>
              <w:pStyle w:val="SingleTxtG"/>
              <w:spacing w:before="40"/>
              <w:ind w:left="0" w:right="0"/>
              <w:jc w:val="left"/>
            </w:pPr>
            <w:r w:rsidRPr="002E43DD">
              <w:t>39</w:t>
            </w:r>
          </w:p>
        </w:tc>
        <w:tc>
          <w:tcPr>
            <w:tcW w:w="1925" w:type="pct"/>
            <w:shd w:val="clear" w:color="auto" w:fill="auto"/>
          </w:tcPr>
          <w:p w:rsidR="003E3038" w:rsidRPr="002E43DD" w:rsidRDefault="003E3038" w:rsidP="00471F4D">
            <w:pPr>
              <w:pStyle w:val="SingleTxtG"/>
              <w:spacing w:before="40"/>
              <w:ind w:left="0" w:right="0"/>
              <w:jc w:val="left"/>
            </w:pPr>
            <w:r w:rsidRPr="002E43DD">
              <w:t xml:space="preserve">Convenio sobre el </w:t>
            </w:r>
            <w:r w:rsidR="00471F4D">
              <w:t>C</w:t>
            </w:r>
            <w:r w:rsidRPr="002E43DD">
              <w:t xml:space="preserve">ontrato de </w:t>
            </w:r>
            <w:r w:rsidR="00471F4D">
              <w:t>E</w:t>
            </w:r>
            <w:r w:rsidRPr="002E43DD">
              <w:t xml:space="preserve">nrolamiento de los </w:t>
            </w:r>
            <w:r w:rsidR="00471F4D">
              <w:t>P</w:t>
            </w:r>
            <w:r w:rsidRPr="002E43DD">
              <w:t>escadores (núm. 114)</w:t>
            </w:r>
          </w:p>
        </w:tc>
        <w:tc>
          <w:tcPr>
            <w:tcW w:w="531" w:type="pct"/>
            <w:shd w:val="clear" w:color="auto" w:fill="auto"/>
            <w:hideMark/>
          </w:tcPr>
          <w:p w:rsidR="003E3038" w:rsidRPr="002E43DD" w:rsidRDefault="003E3038" w:rsidP="002E43DD">
            <w:pPr>
              <w:pStyle w:val="SingleTxtG"/>
              <w:spacing w:before="40"/>
              <w:ind w:left="0" w:right="0"/>
              <w:jc w:val="left"/>
            </w:pPr>
            <w:r w:rsidRPr="002E43DD">
              <w:t>1959</w:t>
            </w:r>
          </w:p>
        </w:tc>
        <w:tc>
          <w:tcPr>
            <w:tcW w:w="873" w:type="pct"/>
            <w:shd w:val="clear" w:color="auto" w:fill="auto"/>
          </w:tcPr>
          <w:p w:rsidR="003E3038" w:rsidRPr="002E43DD" w:rsidRDefault="00611AC9" w:rsidP="002E43DD">
            <w:pPr>
              <w:pStyle w:val="SingleTxtG"/>
              <w:spacing w:before="40"/>
              <w:ind w:left="0" w:right="0"/>
              <w:jc w:val="left"/>
            </w:pPr>
            <w:r>
              <w:t>8 de noviembre de</w:t>
            </w:r>
            <w:r w:rsidR="00503D80">
              <w:t> </w:t>
            </w:r>
            <w:r w:rsidRPr="002E43DD">
              <w:t>1963</w:t>
            </w:r>
          </w:p>
        </w:tc>
        <w:tc>
          <w:tcPr>
            <w:tcW w:w="1293" w:type="pct"/>
            <w:shd w:val="clear" w:color="auto" w:fill="auto"/>
          </w:tcPr>
          <w:p w:rsidR="003E3038" w:rsidRPr="002E43DD" w:rsidRDefault="003E3038" w:rsidP="002E43DD">
            <w:pPr>
              <w:pStyle w:val="SingleTxtG"/>
              <w:spacing w:before="40"/>
              <w:ind w:left="0" w:right="0"/>
              <w:jc w:val="left"/>
            </w:pPr>
          </w:p>
        </w:tc>
      </w:tr>
      <w:tr w:rsidR="003E3038" w:rsidRPr="002E43DD" w:rsidTr="00611AC9">
        <w:trPr>
          <w:trHeight w:val="240"/>
        </w:trPr>
        <w:tc>
          <w:tcPr>
            <w:tcW w:w="378" w:type="pct"/>
            <w:shd w:val="clear" w:color="auto" w:fill="auto"/>
            <w:hideMark/>
          </w:tcPr>
          <w:p w:rsidR="003E3038" w:rsidRPr="002E43DD" w:rsidRDefault="003E3038" w:rsidP="004E0299">
            <w:pPr>
              <w:pStyle w:val="SingleTxtG"/>
              <w:keepNext/>
              <w:spacing w:before="40"/>
              <w:ind w:left="0" w:right="0"/>
              <w:jc w:val="left"/>
            </w:pPr>
            <w:r w:rsidRPr="002E43DD">
              <w:lastRenderedPageBreak/>
              <w:t>40</w:t>
            </w:r>
          </w:p>
        </w:tc>
        <w:tc>
          <w:tcPr>
            <w:tcW w:w="1925" w:type="pct"/>
            <w:shd w:val="clear" w:color="auto" w:fill="auto"/>
            <w:hideMark/>
          </w:tcPr>
          <w:p w:rsidR="003E3038" w:rsidRPr="002E43DD" w:rsidRDefault="003E3038" w:rsidP="00471F4D">
            <w:pPr>
              <w:pStyle w:val="SingleTxtG"/>
              <w:keepNext/>
              <w:spacing w:before="40"/>
              <w:ind w:left="0" w:right="0"/>
              <w:jc w:val="left"/>
            </w:pPr>
            <w:r w:rsidRPr="002E43DD">
              <w:t xml:space="preserve">Convenio sobre la </w:t>
            </w:r>
            <w:r w:rsidR="00471F4D">
              <w:t>R</w:t>
            </w:r>
            <w:r w:rsidRPr="002E43DD">
              <w:t xml:space="preserve">evisión de los </w:t>
            </w:r>
            <w:r w:rsidR="00471F4D">
              <w:t>A</w:t>
            </w:r>
            <w:r w:rsidRPr="002E43DD">
              <w:t xml:space="preserve">rtículos </w:t>
            </w:r>
            <w:r w:rsidR="00471F4D">
              <w:t>F</w:t>
            </w:r>
            <w:r w:rsidRPr="002E43DD">
              <w:t>inales (núm. 116)</w:t>
            </w:r>
          </w:p>
        </w:tc>
        <w:tc>
          <w:tcPr>
            <w:tcW w:w="531" w:type="pct"/>
            <w:shd w:val="clear" w:color="auto" w:fill="auto"/>
            <w:hideMark/>
          </w:tcPr>
          <w:p w:rsidR="003E3038" w:rsidRPr="002E43DD" w:rsidRDefault="003E3038" w:rsidP="004E0299">
            <w:pPr>
              <w:pStyle w:val="SingleTxtG"/>
              <w:keepNext/>
              <w:spacing w:before="40"/>
              <w:ind w:left="0" w:right="0"/>
              <w:jc w:val="left"/>
            </w:pPr>
            <w:r w:rsidRPr="002E43DD">
              <w:t>1961</w:t>
            </w:r>
          </w:p>
        </w:tc>
        <w:tc>
          <w:tcPr>
            <w:tcW w:w="873" w:type="pct"/>
            <w:shd w:val="clear" w:color="auto" w:fill="auto"/>
          </w:tcPr>
          <w:p w:rsidR="003E3038" w:rsidRPr="002E43DD" w:rsidRDefault="00611AC9" w:rsidP="004E0299">
            <w:pPr>
              <w:pStyle w:val="SingleTxtG"/>
              <w:keepNext/>
              <w:spacing w:before="40"/>
              <w:ind w:left="0" w:right="0"/>
              <w:jc w:val="left"/>
            </w:pPr>
            <w:r>
              <w:t>8 de noviembre de</w:t>
            </w:r>
            <w:r w:rsidR="00503D80">
              <w:t> </w:t>
            </w:r>
            <w:r w:rsidRPr="002E43DD">
              <w:t>1963</w:t>
            </w:r>
          </w:p>
        </w:tc>
        <w:tc>
          <w:tcPr>
            <w:tcW w:w="1293" w:type="pct"/>
            <w:shd w:val="clear" w:color="auto" w:fill="auto"/>
          </w:tcPr>
          <w:p w:rsidR="003E3038" w:rsidRPr="002E43DD" w:rsidRDefault="003E3038" w:rsidP="004E0299">
            <w:pPr>
              <w:pStyle w:val="SingleTxtG"/>
              <w:keepNext/>
              <w:spacing w:before="40"/>
              <w:ind w:left="0" w:right="0"/>
              <w:jc w:val="left"/>
            </w:pPr>
          </w:p>
        </w:tc>
      </w:tr>
      <w:tr w:rsidR="003E3038" w:rsidRPr="002E43DD" w:rsidTr="00611AC9">
        <w:trPr>
          <w:trHeight w:val="240"/>
        </w:trPr>
        <w:tc>
          <w:tcPr>
            <w:tcW w:w="378" w:type="pct"/>
            <w:tcBorders>
              <w:bottom w:val="single" w:sz="12" w:space="0" w:color="auto"/>
            </w:tcBorders>
            <w:shd w:val="clear" w:color="auto" w:fill="auto"/>
            <w:hideMark/>
          </w:tcPr>
          <w:p w:rsidR="003E3038" w:rsidRPr="002E43DD" w:rsidRDefault="003E3038" w:rsidP="002E43DD">
            <w:pPr>
              <w:pStyle w:val="SingleTxtG"/>
              <w:spacing w:before="40"/>
              <w:ind w:left="0" w:right="0"/>
              <w:jc w:val="left"/>
            </w:pPr>
            <w:r w:rsidRPr="002E43DD">
              <w:t>41</w:t>
            </w:r>
          </w:p>
        </w:tc>
        <w:tc>
          <w:tcPr>
            <w:tcW w:w="1925" w:type="pct"/>
            <w:tcBorders>
              <w:bottom w:val="single" w:sz="12" w:space="0" w:color="auto"/>
            </w:tcBorders>
            <w:shd w:val="clear" w:color="auto" w:fill="auto"/>
          </w:tcPr>
          <w:p w:rsidR="003E3038" w:rsidRPr="002E43DD" w:rsidRDefault="003E3038" w:rsidP="00471F4D">
            <w:pPr>
              <w:pStyle w:val="SingleTxtG"/>
              <w:spacing w:before="40"/>
              <w:ind w:left="0" w:right="0"/>
              <w:jc w:val="left"/>
            </w:pPr>
            <w:r w:rsidRPr="002E43DD">
              <w:t>Convenio</w:t>
            </w:r>
            <w:r w:rsidR="00503D80">
              <w:t xml:space="preserve"> sobre </w:t>
            </w:r>
            <w:r w:rsidR="00471F4D">
              <w:t>P</w:t>
            </w:r>
            <w:r w:rsidR="00503D80">
              <w:t xml:space="preserve">olítica de </w:t>
            </w:r>
            <w:r w:rsidR="00471F4D">
              <w:t>E</w:t>
            </w:r>
            <w:r w:rsidR="00503D80">
              <w:t>mpleo (núm. </w:t>
            </w:r>
            <w:r w:rsidRPr="002E43DD">
              <w:t>122)</w:t>
            </w:r>
          </w:p>
        </w:tc>
        <w:tc>
          <w:tcPr>
            <w:tcW w:w="531" w:type="pct"/>
            <w:tcBorders>
              <w:bottom w:val="single" w:sz="12" w:space="0" w:color="auto"/>
            </w:tcBorders>
            <w:shd w:val="clear" w:color="auto" w:fill="auto"/>
            <w:hideMark/>
          </w:tcPr>
          <w:p w:rsidR="003E3038" w:rsidRPr="002E43DD" w:rsidRDefault="003E3038" w:rsidP="002E43DD">
            <w:pPr>
              <w:pStyle w:val="SingleTxtG"/>
              <w:spacing w:before="40"/>
              <w:ind w:left="0" w:right="0"/>
              <w:jc w:val="left"/>
            </w:pPr>
            <w:r w:rsidRPr="002E43DD">
              <w:t>1964</w:t>
            </w:r>
          </w:p>
        </w:tc>
        <w:tc>
          <w:tcPr>
            <w:tcW w:w="873" w:type="pct"/>
            <w:tcBorders>
              <w:bottom w:val="single" w:sz="12" w:space="0" w:color="auto"/>
            </w:tcBorders>
            <w:shd w:val="clear" w:color="auto" w:fill="auto"/>
          </w:tcPr>
          <w:p w:rsidR="003E3038" w:rsidRPr="002E43DD" w:rsidRDefault="003E3038" w:rsidP="00503D80">
            <w:pPr>
              <w:pStyle w:val="SingleTxtG"/>
              <w:spacing w:before="40"/>
              <w:ind w:left="0" w:right="0"/>
              <w:jc w:val="left"/>
            </w:pPr>
            <w:r w:rsidRPr="002E43DD">
              <w:t>30</w:t>
            </w:r>
            <w:r w:rsidR="00503D80">
              <w:t xml:space="preserve"> de julio de </w:t>
            </w:r>
            <w:r w:rsidRPr="002E43DD">
              <w:t>1971</w:t>
            </w:r>
          </w:p>
        </w:tc>
        <w:tc>
          <w:tcPr>
            <w:tcW w:w="1293" w:type="pct"/>
            <w:tcBorders>
              <w:bottom w:val="single" w:sz="12" w:space="0" w:color="auto"/>
            </w:tcBorders>
            <w:shd w:val="clear" w:color="auto" w:fill="auto"/>
          </w:tcPr>
          <w:p w:rsidR="003E3038" w:rsidRPr="002E43DD" w:rsidRDefault="003E3038" w:rsidP="002E43DD">
            <w:pPr>
              <w:pStyle w:val="SingleTxtG"/>
              <w:spacing w:before="40"/>
              <w:ind w:left="0" w:right="0"/>
              <w:jc w:val="left"/>
            </w:pPr>
          </w:p>
        </w:tc>
      </w:tr>
    </w:tbl>
    <w:p w:rsidR="003E3038" w:rsidRPr="003E3038" w:rsidRDefault="003E3038" w:rsidP="004E0299">
      <w:pPr>
        <w:pStyle w:val="SingleTxtG"/>
        <w:spacing w:before="240" w:after="0"/>
        <w:ind w:left="0" w:right="0"/>
      </w:pPr>
      <w:r w:rsidRPr="003E3038">
        <w:t xml:space="preserve">Cuadro 5 </w:t>
      </w:r>
    </w:p>
    <w:p w:rsidR="003E3038" w:rsidRPr="003E3038" w:rsidRDefault="003E3038" w:rsidP="004E0299">
      <w:pPr>
        <w:pStyle w:val="SingleTxtG"/>
        <w:ind w:left="0" w:right="0"/>
        <w:rPr>
          <w:b/>
        </w:rPr>
      </w:pPr>
      <w:r w:rsidRPr="003E3038">
        <w:rPr>
          <w:b/>
        </w:rPr>
        <w:t>Ratificación de instrumentos relativos al derecho internacional humanitario y a los refugiados</w:t>
      </w:r>
    </w:p>
    <w:tbl>
      <w:tblPr>
        <w:tblW w:w="5000" w:type="pct"/>
        <w:tblBorders>
          <w:top w:val="single" w:sz="4" w:space="0" w:color="auto"/>
        </w:tblBorders>
        <w:tblCellMar>
          <w:left w:w="0" w:type="dxa"/>
          <w:right w:w="113" w:type="dxa"/>
        </w:tblCellMar>
        <w:tblLook w:val="04A0" w:firstRow="1" w:lastRow="0" w:firstColumn="1" w:lastColumn="0" w:noHBand="0" w:noVBand="1"/>
      </w:tblPr>
      <w:tblGrid>
        <w:gridCol w:w="767"/>
        <w:gridCol w:w="4054"/>
        <w:gridCol w:w="1558"/>
        <w:gridCol w:w="1558"/>
        <w:gridCol w:w="1814"/>
      </w:tblGrid>
      <w:tr w:rsidR="003E3038" w:rsidRPr="002E43DD" w:rsidTr="008C177A">
        <w:trPr>
          <w:trHeight w:val="240"/>
          <w:tblHeader/>
        </w:trPr>
        <w:tc>
          <w:tcPr>
            <w:tcW w:w="393" w:type="pct"/>
            <w:tcBorders>
              <w:top w:val="single" w:sz="4" w:space="0" w:color="auto"/>
              <w:bottom w:val="single" w:sz="12" w:space="0" w:color="auto"/>
            </w:tcBorders>
            <w:shd w:val="clear" w:color="auto" w:fill="auto"/>
            <w:vAlign w:val="bottom"/>
            <w:hideMark/>
          </w:tcPr>
          <w:p w:rsidR="003E3038" w:rsidRPr="002E43DD" w:rsidRDefault="003E3038" w:rsidP="004E0299">
            <w:pPr>
              <w:pStyle w:val="SingleTxtG"/>
              <w:spacing w:before="80" w:after="80" w:line="200" w:lineRule="exact"/>
              <w:ind w:left="0" w:right="0"/>
              <w:jc w:val="left"/>
              <w:rPr>
                <w:i/>
                <w:sz w:val="16"/>
              </w:rPr>
            </w:pPr>
            <w:r w:rsidRPr="002E43DD">
              <w:rPr>
                <w:i/>
                <w:sz w:val="16"/>
              </w:rPr>
              <w:t>Núm</w:t>
            </w:r>
            <w:r w:rsidR="004E0299">
              <w:rPr>
                <w:i/>
                <w:sz w:val="16"/>
              </w:rPr>
              <w:t>ero</w:t>
            </w:r>
          </w:p>
        </w:tc>
        <w:tc>
          <w:tcPr>
            <w:tcW w:w="2078" w:type="pct"/>
            <w:tcBorders>
              <w:top w:val="single" w:sz="4" w:space="0" w:color="auto"/>
              <w:bottom w:val="single" w:sz="12" w:space="0" w:color="auto"/>
            </w:tcBorders>
            <w:shd w:val="clear" w:color="auto" w:fill="auto"/>
            <w:vAlign w:val="bottom"/>
            <w:hideMark/>
          </w:tcPr>
          <w:p w:rsidR="003E3038" w:rsidRPr="002E43DD" w:rsidRDefault="003E3038" w:rsidP="002E43DD">
            <w:pPr>
              <w:pStyle w:val="SingleTxtG"/>
              <w:spacing w:before="80" w:after="80" w:line="200" w:lineRule="exact"/>
              <w:ind w:left="0" w:right="0"/>
              <w:jc w:val="left"/>
              <w:rPr>
                <w:bCs/>
                <w:i/>
                <w:sz w:val="16"/>
              </w:rPr>
            </w:pPr>
            <w:r w:rsidRPr="002E43DD">
              <w:rPr>
                <w:i/>
                <w:sz w:val="16"/>
              </w:rPr>
              <w:t>Instrumentos</w:t>
            </w:r>
          </w:p>
        </w:tc>
        <w:tc>
          <w:tcPr>
            <w:tcW w:w="799" w:type="pct"/>
            <w:tcBorders>
              <w:top w:val="single" w:sz="4" w:space="0" w:color="auto"/>
              <w:bottom w:val="single" w:sz="12" w:space="0" w:color="auto"/>
            </w:tcBorders>
            <w:shd w:val="clear" w:color="auto" w:fill="auto"/>
            <w:vAlign w:val="bottom"/>
            <w:hideMark/>
          </w:tcPr>
          <w:p w:rsidR="003E3038" w:rsidRPr="002E43DD" w:rsidRDefault="003E3038" w:rsidP="002E43DD">
            <w:pPr>
              <w:pStyle w:val="SingleTxtG"/>
              <w:spacing w:before="80" w:after="80" w:line="200" w:lineRule="exact"/>
              <w:ind w:left="0" w:right="0"/>
              <w:jc w:val="left"/>
              <w:rPr>
                <w:bCs/>
                <w:i/>
                <w:sz w:val="16"/>
              </w:rPr>
            </w:pPr>
            <w:r w:rsidRPr="002E43DD">
              <w:rPr>
                <w:i/>
                <w:sz w:val="16"/>
              </w:rPr>
              <w:t>Fecha de aprobación</w:t>
            </w:r>
          </w:p>
        </w:tc>
        <w:tc>
          <w:tcPr>
            <w:tcW w:w="799" w:type="pct"/>
            <w:tcBorders>
              <w:top w:val="single" w:sz="4" w:space="0" w:color="auto"/>
              <w:bottom w:val="single" w:sz="12" w:space="0" w:color="auto"/>
            </w:tcBorders>
            <w:shd w:val="clear" w:color="auto" w:fill="auto"/>
            <w:vAlign w:val="bottom"/>
            <w:hideMark/>
          </w:tcPr>
          <w:p w:rsidR="003E3038" w:rsidRPr="002E43DD" w:rsidRDefault="003E3038" w:rsidP="002E43DD">
            <w:pPr>
              <w:pStyle w:val="SingleTxtG"/>
              <w:spacing w:before="80" w:after="80" w:line="200" w:lineRule="exact"/>
              <w:ind w:left="0" w:right="0"/>
              <w:jc w:val="left"/>
              <w:rPr>
                <w:bCs/>
                <w:i/>
                <w:sz w:val="16"/>
              </w:rPr>
            </w:pPr>
            <w:r w:rsidRPr="002E43DD">
              <w:rPr>
                <w:i/>
                <w:sz w:val="16"/>
              </w:rPr>
              <w:t>Fecha de ratificación</w:t>
            </w:r>
          </w:p>
        </w:tc>
        <w:tc>
          <w:tcPr>
            <w:tcW w:w="930" w:type="pct"/>
            <w:tcBorders>
              <w:top w:val="single" w:sz="4" w:space="0" w:color="auto"/>
              <w:bottom w:val="single" w:sz="12" w:space="0" w:color="auto"/>
            </w:tcBorders>
            <w:shd w:val="clear" w:color="auto" w:fill="auto"/>
            <w:vAlign w:val="bottom"/>
            <w:hideMark/>
          </w:tcPr>
          <w:p w:rsidR="003E3038" w:rsidRPr="002E43DD" w:rsidRDefault="003E3038" w:rsidP="002E43DD">
            <w:pPr>
              <w:pStyle w:val="SingleTxtG"/>
              <w:spacing w:before="80" w:after="80" w:line="200" w:lineRule="exact"/>
              <w:ind w:left="0" w:right="0"/>
              <w:jc w:val="left"/>
              <w:rPr>
                <w:bCs/>
                <w:i/>
                <w:sz w:val="16"/>
              </w:rPr>
            </w:pPr>
            <w:r w:rsidRPr="002E43DD">
              <w:rPr>
                <w:i/>
                <w:sz w:val="16"/>
              </w:rPr>
              <w:t>Reservas u observaciones</w:t>
            </w:r>
          </w:p>
        </w:tc>
      </w:tr>
      <w:tr w:rsidR="003E3038" w:rsidRPr="002E43DD" w:rsidTr="008C177A">
        <w:trPr>
          <w:trHeight w:val="240"/>
        </w:trPr>
        <w:tc>
          <w:tcPr>
            <w:tcW w:w="393" w:type="pct"/>
            <w:tcBorders>
              <w:top w:val="single" w:sz="12" w:space="0" w:color="auto"/>
            </w:tcBorders>
            <w:shd w:val="clear" w:color="auto" w:fill="auto"/>
            <w:hideMark/>
          </w:tcPr>
          <w:p w:rsidR="003E3038" w:rsidRPr="002E43DD" w:rsidRDefault="003E3038" w:rsidP="002E43DD">
            <w:pPr>
              <w:pStyle w:val="SingleTxtG"/>
              <w:spacing w:before="40"/>
              <w:ind w:left="0" w:right="0"/>
              <w:jc w:val="left"/>
            </w:pPr>
            <w:r w:rsidRPr="002E43DD">
              <w:t>1</w:t>
            </w:r>
          </w:p>
        </w:tc>
        <w:tc>
          <w:tcPr>
            <w:tcW w:w="2078" w:type="pct"/>
            <w:tcBorders>
              <w:top w:val="single" w:sz="12" w:space="0" w:color="auto"/>
            </w:tcBorders>
            <w:shd w:val="clear" w:color="auto" w:fill="auto"/>
            <w:hideMark/>
          </w:tcPr>
          <w:p w:rsidR="003E3038" w:rsidRPr="002E43DD" w:rsidRDefault="003E3038" w:rsidP="002E43DD">
            <w:pPr>
              <w:pStyle w:val="SingleTxtG"/>
              <w:spacing w:before="40"/>
              <w:ind w:left="0" w:right="0"/>
              <w:jc w:val="left"/>
            </w:pPr>
            <w:r w:rsidRPr="002E43DD">
              <w:t>Convención sobre el Estatuto de los Refugiados</w:t>
            </w:r>
          </w:p>
        </w:tc>
        <w:tc>
          <w:tcPr>
            <w:tcW w:w="799" w:type="pct"/>
            <w:tcBorders>
              <w:top w:val="single" w:sz="12" w:space="0" w:color="auto"/>
            </w:tcBorders>
            <w:shd w:val="clear" w:color="auto" w:fill="auto"/>
            <w:hideMark/>
          </w:tcPr>
          <w:p w:rsidR="003E3038" w:rsidRPr="002E43DD" w:rsidRDefault="003E3038" w:rsidP="002E43DD">
            <w:pPr>
              <w:pStyle w:val="SingleTxtG"/>
              <w:spacing w:before="40"/>
              <w:ind w:left="0" w:right="0"/>
              <w:jc w:val="left"/>
            </w:pPr>
            <w:r w:rsidRPr="002E43DD">
              <w:t>1951</w:t>
            </w:r>
          </w:p>
        </w:tc>
        <w:tc>
          <w:tcPr>
            <w:tcW w:w="799" w:type="pct"/>
            <w:tcBorders>
              <w:top w:val="single" w:sz="12" w:space="0" w:color="auto"/>
            </w:tcBorders>
            <w:shd w:val="clear" w:color="auto" w:fill="auto"/>
            <w:hideMark/>
          </w:tcPr>
          <w:p w:rsidR="003E3038" w:rsidRPr="002E43DD" w:rsidRDefault="003E3038" w:rsidP="002E43DD">
            <w:pPr>
              <w:pStyle w:val="SingleTxtG"/>
              <w:spacing w:before="40"/>
              <w:ind w:left="0" w:right="0"/>
              <w:jc w:val="left"/>
            </w:pPr>
            <w:r w:rsidRPr="002E43DD">
              <w:t>1987</w:t>
            </w:r>
          </w:p>
        </w:tc>
        <w:tc>
          <w:tcPr>
            <w:tcW w:w="930" w:type="pct"/>
            <w:tcBorders>
              <w:top w:val="single" w:sz="12" w:space="0" w:color="auto"/>
            </w:tcBorders>
            <w:shd w:val="clear" w:color="auto" w:fill="auto"/>
          </w:tcPr>
          <w:p w:rsidR="003E3038" w:rsidRPr="002E43DD" w:rsidRDefault="003E3038" w:rsidP="002E43DD">
            <w:pPr>
              <w:pStyle w:val="SingleTxtG"/>
              <w:spacing w:before="40"/>
              <w:ind w:left="0" w:right="0"/>
              <w:jc w:val="left"/>
            </w:pPr>
          </w:p>
        </w:tc>
      </w:tr>
      <w:tr w:rsidR="003E3038" w:rsidRPr="002E43DD" w:rsidTr="008C177A">
        <w:trPr>
          <w:trHeight w:val="240"/>
        </w:trPr>
        <w:tc>
          <w:tcPr>
            <w:tcW w:w="393" w:type="pct"/>
            <w:shd w:val="clear" w:color="auto" w:fill="auto"/>
            <w:hideMark/>
          </w:tcPr>
          <w:p w:rsidR="003E3038" w:rsidRPr="002E43DD" w:rsidRDefault="003E3038" w:rsidP="002E43DD">
            <w:pPr>
              <w:pStyle w:val="SingleTxtG"/>
              <w:spacing w:before="40"/>
              <w:ind w:left="0" w:right="0"/>
              <w:jc w:val="left"/>
            </w:pPr>
            <w:r w:rsidRPr="002E43DD">
              <w:t>2</w:t>
            </w:r>
          </w:p>
        </w:tc>
        <w:tc>
          <w:tcPr>
            <w:tcW w:w="2078" w:type="pct"/>
            <w:shd w:val="clear" w:color="auto" w:fill="auto"/>
            <w:hideMark/>
          </w:tcPr>
          <w:p w:rsidR="003E3038" w:rsidRPr="002E43DD" w:rsidRDefault="003E3038" w:rsidP="002E43DD">
            <w:pPr>
              <w:pStyle w:val="SingleTxtG"/>
              <w:spacing w:before="40"/>
              <w:ind w:left="0" w:right="0"/>
              <w:jc w:val="left"/>
            </w:pPr>
            <w:r w:rsidRPr="002E43DD">
              <w:t>Convenio de Ginebra del 12 de agosto de 1949 para Aliviar la Suerte que Corren los Heridos y los Enfermos de las Fuerzas Armadas en Campaña</w:t>
            </w:r>
          </w:p>
        </w:tc>
        <w:tc>
          <w:tcPr>
            <w:tcW w:w="799" w:type="pct"/>
            <w:shd w:val="clear" w:color="auto" w:fill="auto"/>
            <w:hideMark/>
          </w:tcPr>
          <w:p w:rsidR="003E3038" w:rsidRPr="002E43DD" w:rsidRDefault="003E3038" w:rsidP="002E43DD">
            <w:pPr>
              <w:pStyle w:val="SingleTxtG"/>
              <w:spacing w:before="40"/>
              <w:ind w:left="0" w:right="0"/>
              <w:jc w:val="left"/>
            </w:pPr>
            <w:r w:rsidRPr="002E43DD">
              <w:t>1949</w:t>
            </w:r>
          </w:p>
        </w:tc>
        <w:tc>
          <w:tcPr>
            <w:tcW w:w="799" w:type="pct"/>
            <w:shd w:val="clear" w:color="auto" w:fill="auto"/>
            <w:hideMark/>
          </w:tcPr>
          <w:p w:rsidR="003E3038" w:rsidRPr="002E43DD" w:rsidRDefault="003E3038" w:rsidP="002E43DD">
            <w:pPr>
              <w:pStyle w:val="SingleTxtG"/>
              <w:spacing w:before="40"/>
              <w:ind w:left="0" w:right="0"/>
              <w:jc w:val="left"/>
            </w:pPr>
            <w:r w:rsidRPr="002E43DD">
              <w:t>1962</w:t>
            </w:r>
          </w:p>
        </w:tc>
        <w:tc>
          <w:tcPr>
            <w:tcW w:w="930" w:type="pct"/>
            <w:shd w:val="clear" w:color="auto" w:fill="auto"/>
          </w:tcPr>
          <w:p w:rsidR="003E3038" w:rsidRPr="002E43DD" w:rsidRDefault="003E3038" w:rsidP="002E43DD">
            <w:pPr>
              <w:pStyle w:val="SingleTxtG"/>
              <w:spacing w:before="40"/>
              <w:ind w:left="0" w:right="0"/>
              <w:jc w:val="left"/>
            </w:pPr>
          </w:p>
        </w:tc>
      </w:tr>
      <w:tr w:rsidR="003E3038" w:rsidRPr="002E43DD" w:rsidTr="008C177A">
        <w:trPr>
          <w:trHeight w:val="240"/>
        </w:trPr>
        <w:tc>
          <w:tcPr>
            <w:tcW w:w="393" w:type="pct"/>
            <w:shd w:val="clear" w:color="auto" w:fill="auto"/>
            <w:hideMark/>
          </w:tcPr>
          <w:p w:rsidR="003E3038" w:rsidRPr="002E43DD" w:rsidRDefault="003E3038" w:rsidP="002E43DD">
            <w:pPr>
              <w:pStyle w:val="SingleTxtG"/>
              <w:spacing w:before="40"/>
              <w:ind w:left="0" w:right="0"/>
              <w:jc w:val="left"/>
            </w:pPr>
            <w:r w:rsidRPr="002E43DD">
              <w:t>3</w:t>
            </w:r>
          </w:p>
        </w:tc>
        <w:tc>
          <w:tcPr>
            <w:tcW w:w="2078" w:type="pct"/>
            <w:shd w:val="clear" w:color="auto" w:fill="auto"/>
            <w:hideMark/>
          </w:tcPr>
          <w:p w:rsidR="003E3038" w:rsidRPr="002E43DD" w:rsidRDefault="003E3038" w:rsidP="002E43DD">
            <w:pPr>
              <w:pStyle w:val="SingleTxtG"/>
              <w:spacing w:before="40"/>
              <w:ind w:left="0" w:right="0"/>
              <w:jc w:val="left"/>
            </w:pPr>
            <w:r w:rsidRPr="002E43DD">
              <w:t>Convenio de Ginebra para Aliviar la Suerte que Corren los Heridos, los Enfermos y los Náufragos de las Fuerzas Armadas en el Mar</w:t>
            </w:r>
          </w:p>
        </w:tc>
        <w:tc>
          <w:tcPr>
            <w:tcW w:w="799" w:type="pct"/>
            <w:shd w:val="clear" w:color="auto" w:fill="auto"/>
            <w:hideMark/>
          </w:tcPr>
          <w:p w:rsidR="003E3038" w:rsidRPr="002E43DD" w:rsidRDefault="003E3038" w:rsidP="002E43DD">
            <w:pPr>
              <w:pStyle w:val="SingleTxtG"/>
              <w:spacing w:before="40"/>
              <w:ind w:left="0" w:right="0"/>
              <w:jc w:val="left"/>
            </w:pPr>
            <w:r w:rsidRPr="002E43DD">
              <w:t>1949</w:t>
            </w:r>
          </w:p>
        </w:tc>
        <w:tc>
          <w:tcPr>
            <w:tcW w:w="799" w:type="pct"/>
            <w:shd w:val="clear" w:color="auto" w:fill="auto"/>
            <w:hideMark/>
          </w:tcPr>
          <w:p w:rsidR="003E3038" w:rsidRPr="002E43DD" w:rsidRDefault="003E3038" w:rsidP="002E43DD">
            <w:pPr>
              <w:pStyle w:val="SingleTxtG"/>
              <w:spacing w:before="40"/>
              <w:ind w:left="0" w:right="0"/>
              <w:jc w:val="left"/>
            </w:pPr>
            <w:r w:rsidRPr="002E43DD">
              <w:t>1962</w:t>
            </w:r>
          </w:p>
        </w:tc>
        <w:tc>
          <w:tcPr>
            <w:tcW w:w="930" w:type="pct"/>
            <w:shd w:val="clear" w:color="auto" w:fill="auto"/>
          </w:tcPr>
          <w:p w:rsidR="003E3038" w:rsidRPr="002E43DD" w:rsidRDefault="003E3038" w:rsidP="002E43DD">
            <w:pPr>
              <w:pStyle w:val="SingleTxtG"/>
              <w:spacing w:before="40"/>
              <w:ind w:left="0" w:right="0"/>
              <w:jc w:val="left"/>
            </w:pPr>
          </w:p>
        </w:tc>
      </w:tr>
      <w:tr w:rsidR="003E3038" w:rsidRPr="002E43DD" w:rsidTr="008C177A">
        <w:trPr>
          <w:trHeight w:val="240"/>
        </w:trPr>
        <w:tc>
          <w:tcPr>
            <w:tcW w:w="393" w:type="pct"/>
            <w:shd w:val="clear" w:color="auto" w:fill="auto"/>
            <w:hideMark/>
          </w:tcPr>
          <w:p w:rsidR="003E3038" w:rsidRPr="002E43DD" w:rsidRDefault="003E3038" w:rsidP="002E43DD">
            <w:pPr>
              <w:pStyle w:val="SingleTxtG"/>
              <w:spacing w:before="40"/>
              <w:ind w:left="0" w:right="0"/>
              <w:jc w:val="left"/>
            </w:pPr>
            <w:r w:rsidRPr="002E43DD">
              <w:t>4</w:t>
            </w:r>
          </w:p>
        </w:tc>
        <w:tc>
          <w:tcPr>
            <w:tcW w:w="2078" w:type="pct"/>
            <w:shd w:val="clear" w:color="auto" w:fill="auto"/>
            <w:hideMark/>
          </w:tcPr>
          <w:p w:rsidR="003E3038" w:rsidRPr="002E43DD" w:rsidRDefault="003E3038" w:rsidP="002E43DD">
            <w:pPr>
              <w:pStyle w:val="SingleTxtG"/>
              <w:spacing w:before="40"/>
              <w:ind w:left="0" w:right="0"/>
              <w:jc w:val="left"/>
            </w:pPr>
            <w:r w:rsidRPr="002E43DD">
              <w:t>Convenio de Ginebra relativo al Trato Debido a los Prisioneros de Guerra</w:t>
            </w:r>
          </w:p>
        </w:tc>
        <w:tc>
          <w:tcPr>
            <w:tcW w:w="799" w:type="pct"/>
            <w:shd w:val="clear" w:color="auto" w:fill="auto"/>
            <w:hideMark/>
          </w:tcPr>
          <w:p w:rsidR="003E3038" w:rsidRPr="002E43DD" w:rsidRDefault="003E3038" w:rsidP="002E43DD">
            <w:pPr>
              <w:pStyle w:val="SingleTxtG"/>
              <w:spacing w:before="40"/>
              <w:ind w:left="0" w:right="0"/>
              <w:jc w:val="left"/>
            </w:pPr>
            <w:r w:rsidRPr="002E43DD">
              <w:t>1949</w:t>
            </w:r>
          </w:p>
        </w:tc>
        <w:tc>
          <w:tcPr>
            <w:tcW w:w="799" w:type="pct"/>
            <w:shd w:val="clear" w:color="auto" w:fill="auto"/>
            <w:hideMark/>
          </w:tcPr>
          <w:p w:rsidR="003E3038" w:rsidRPr="002E43DD" w:rsidRDefault="003E3038" w:rsidP="002E43DD">
            <w:pPr>
              <w:pStyle w:val="SingleTxtG"/>
              <w:spacing w:before="40"/>
              <w:ind w:left="0" w:right="0"/>
              <w:jc w:val="left"/>
            </w:pPr>
            <w:r w:rsidRPr="002E43DD">
              <w:t>1962</w:t>
            </w:r>
          </w:p>
        </w:tc>
        <w:tc>
          <w:tcPr>
            <w:tcW w:w="930" w:type="pct"/>
            <w:shd w:val="clear" w:color="auto" w:fill="auto"/>
          </w:tcPr>
          <w:p w:rsidR="003E3038" w:rsidRPr="002E43DD" w:rsidRDefault="003E3038" w:rsidP="002E43DD">
            <w:pPr>
              <w:pStyle w:val="SingleTxtG"/>
              <w:spacing w:before="40"/>
              <w:ind w:left="0" w:right="0"/>
              <w:jc w:val="left"/>
            </w:pPr>
          </w:p>
        </w:tc>
      </w:tr>
      <w:tr w:rsidR="003E3038" w:rsidRPr="002E43DD" w:rsidTr="008C177A">
        <w:trPr>
          <w:trHeight w:val="240"/>
        </w:trPr>
        <w:tc>
          <w:tcPr>
            <w:tcW w:w="393" w:type="pct"/>
            <w:shd w:val="clear" w:color="auto" w:fill="auto"/>
            <w:hideMark/>
          </w:tcPr>
          <w:p w:rsidR="003E3038" w:rsidRPr="002E43DD" w:rsidRDefault="003E3038" w:rsidP="002E43DD">
            <w:pPr>
              <w:pStyle w:val="SingleTxtG"/>
              <w:spacing w:before="40"/>
              <w:ind w:left="0" w:right="0"/>
              <w:jc w:val="left"/>
            </w:pPr>
            <w:r w:rsidRPr="002E43DD">
              <w:t>5</w:t>
            </w:r>
          </w:p>
        </w:tc>
        <w:tc>
          <w:tcPr>
            <w:tcW w:w="2078" w:type="pct"/>
            <w:shd w:val="clear" w:color="auto" w:fill="auto"/>
            <w:hideMark/>
          </w:tcPr>
          <w:p w:rsidR="003E3038" w:rsidRPr="002E43DD" w:rsidRDefault="003E3038" w:rsidP="002E43DD">
            <w:pPr>
              <w:pStyle w:val="SingleTxtG"/>
              <w:spacing w:before="40"/>
              <w:ind w:left="0" w:right="0"/>
              <w:jc w:val="left"/>
            </w:pPr>
            <w:r w:rsidRPr="002E43DD">
              <w:t>Convenio de Ginebra relativo a la Protección Debida a las Personas Civiles en Tiempo de Guerra</w:t>
            </w:r>
          </w:p>
        </w:tc>
        <w:tc>
          <w:tcPr>
            <w:tcW w:w="799" w:type="pct"/>
            <w:shd w:val="clear" w:color="auto" w:fill="auto"/>
            <w:hideMark/>
          </w:tcPr>
          <w:p w:rsidR="003E3038" w:rsidRPr="002E43DD" w:rsidRDefault="003E3038" w:rsidP="002E43DD">
            <w:pPr>
              <w:pStyle w:val="SingleTxtG"/>
              <w:spacing w:before="40"/>
              <w:ind w:left="0" w:right="0"/>
              <w:jc w:val="left"/>
            </w:pPr>
            <w:r w:rsidRPr="002E43DD">
              <w:t>1949</w:t>
            </w:r>
          </w:p>
        </w:tc>
        <w:tc>
          <w:tcPr>
            <w:tcW w:w="799" w:type="pct"/>
            <w:shd w:val="clear" w:color="auto" w:fill="auto"/>
            <w:hideMark/>
          </w:tcPr>
          <w:p w:rsidR="003E3038" w:rsidRPr="002E43DD" w:rsidRDefault="003E3038" w:rsidP="002E43DD">
            <w:pPr>
              <w:pStyle w:val="SingleTxtG"/>
              <w:spacing w:before="40"/>
              <w:ind w:left="0" w:right="0"/>
              <w:jc w:val="left"/>
            </w:pPr>
            <w:r w:rsidRPr="002E43DD">
              <w:t>1962</w:t>
            </w:r>
          </w:p>
        </w:tc>
        <w:tc>
          <w:tcPr>
            <w:tcW w:w="930" w:type="pct"/>
            <w:shd w:val="clear" w:color="auto" w:fill="auto"/>
          </w:tcPr>
          <w:p w:rsidR="003E3038" w:rsidRPr="002E43DD" w:rsidRDefault="003E3038" w:rsidP="002E43DD">
            <w:pPr>
              <w:pStyle w:val="SingleTxtG"/>
              <w:spacing w:before="40"/>
              <w:ind w:left="0" w:right="0"/>
              <w:jc w:val="left"/>
            </w:pPr>
          </w:p>
        </w:tc>
      </w:tr>
      <w:tr w:rsidR="003E3038" w:rsidRPr="002E43DD" w:rsidTr="008C177A">
        <w:trPr>
          <w:trHeight w:val="240"/>
        </w:trPr>
        <w:tc>
          <w:tcPr>
            <w:tcW w:w="393" w:type="pct"/>
            <w:shd w:val="clear" w:color="auto" w:fill="auto"/>
            <w:hideMark/>
          </w:tcPr>
          <w:p w:rsidR="003E3038" w:rsidRPr="002E43DD" w:rsidRDefault="003E3038" w:rsidP="002E43DD">
            <w:pPr>
              <w:pStyle w:val="SingleTxtG"/>
              <w:spacing w:before="40"/>
              <w:ind w:left="0" w:right="0"/>
              <w:jc w:val="left"/>
            </w:pPr>
            <w:r w:rsidRPr="002E43DD">
              <w:t>6</w:t>
            </w:r>
          </w:p>
        </w:tc>
        <w:tc>
          <w:tcPr>
            <w:tcW w:w="2078" w:type="pct"/>
            <w:shd w:val="clear" w:color="auto" w:fill="auto"/>
            <w:hideMark/>
          </w:tcPr>
          <w:p w:rsidR="003E3038" w:rsidRPr="002E43DD" w:rsidRDefault="003E3038" w:rsidP="002E43DD">
            <w:pPr>
              <w:pStyle w:val="SingleTxtG"/>
              <w:spacing w:before="40"/>
              <w:ind w:left="0" w:right="0"/>
              <w:jc w:val="left"/>
            </w:pPr>
            <w:r w:rsidRPr="002E43DD">
              <w:t>Protocolo Adicional a los Convenios de Ginebra del 12 de agosto de 1949 relativo a la Protección de las Víctimas de los Conflictos Armados Internacionales (Protocolo I)</w:t>
            </w:r>
          </w:p>
        </w:tc>
        <w:tc>
          <w:tcPr>
            <w:tcW w:w="799" w:type="pct"/>
            <w:shd w:val="clear" w:color="auto" w:fill="auto"/>
            <w:hideMark/>
          </w:tcPr>
          <w:p w:rsidR="003E3038" w:rsidRPr="002E43DD" w:rsidRDefault="003E3038" w:rsidP="002E43DD">
            <w:pPr>
              <w:pStyle w:val="SingleTxtG"/>
              <w:spacing w:before="40"/>
              <w:ind w:left="0" w:right="0"/>
              <w:jc w:val="left"/>
            </w:pPr>
            <w:r w:rsidRPr="002E43DD">
              <w:t>1977</w:t>
            </w:r>
          </w:p>
        </w:tc>
        <w:tc>
          <w:tcPr>
            <w:tcW w:w="799" w:type="pct"/>
            <w:shd w:val="clear" w:color="auto" w:fill="auto"/>
            <w:hideMark/>
          </w:tcPr>
          <w:p w:rsidR="003E3038" w:rsidRPr="002E43DD" w:rsidRDefault="003E3038" w:rsidP="002E43DD">
            <w:pPr>
              <w:pStyle w:val="SingleTxtG"/>
              <w:spacing w:before="40"/>
              <w:ind w:left="0" w:right="0"/>
              <w:jc w:val="left"/>
            </w:pPr>
            <w:r w:rsidRPr="002E43DD">
              <w:t>1980</w:t>
            </w:r>
          </w:p>
        </w:tc>
        <w:tc>
          <w:tcPr>
            <w:tcW w:w="930" w:type="pct"/>
            <w:shd w:val="clear" w:color="auto" w:fill="auto"/>
          </w:tcPr>
          <w:p w:rsidR="003E3038" w:rsidRPr="002E43DD" w:rsidRDefault="003E3038" w:rsidP="002E43DD">
            <w:pPr>
              <w:pStyle w:val="SingleTxtG"/>
              <w:spacing w:before="40"/>
              <w:ind w:left="0" w:right="0"/>
              <w:jc w:val="left"/>
            </w:pPr>
          </w:p>
        </w:tc>
      </w:tr>
      <w:tr w:rsidR="003E3038" w:rsidRPr="002E43DD" w:rsidTr="008C177A">
        <w:trPr>
          <w:trHeight w:val="240"/>
        </w:trPr>
        <w:tc>
          <w:tcPr>
            <w:tcW w:w="393" w:type="pct"/>
            <w:shd w:val="clear" w:color="auto" w:fill="auto"/>
            <w:hideMark/>
          </w:tcPr>
          <w:p w:rsidR="003E3038" w:rsidRPr="002E43DD" w:rsidRDefault="003E3038" w:rsidP="002E43DD">
            <w:pPr>
              <w:pStyle w:val="SingleTxtG"/>
              <w:spacing w:before="40"/>
              <w:ind w:left="0" w:right="0"/>
              <w:jc w:val="left"/>
            </w:pPr>
            <w:r w:rsidRPr="002E43DD">
              <w:t>7</w:t>
            </w:r>
          </w:p>
        </w:tc>
        <w:tc>
          <w:tcPr>
            <w:tcW w:w="2078" w:type="pct"/>
            <w:shd w:val="clear" w:color="auto" w:fill="auto"/>
            <w:hideMark/>
          </w:tcPr>
          <w:p w:rsidR="003E3038" w:rsidRPr="002E43DD" w:rsidRDefault="003E3038" w:rsidP="00471F4D">
            <w:pPr>
              <w:pStyle w:val="SingleTxtG"/>
              <w:spacing w:before="40"/>
              <w:ind w:left="0" w:right="0"/>
              <w:jc w:val="left"/>
            </w:pPr>
            <w:r w:rsidRPr="002E43DD">
              <w:t xml:space="preserve">Protocolo </w:t>
            </w:r>
            <w:r w:rsidR="00471F4D">
              <w:t>A</w:t>
            </w:r>
            <w:r w:rsidRPr="002E43DD">
              <w:t xml:space="preserve">dicional a los Convenios de Ginebra del 12 de agosto de 1949 relativo a la </w:t>
            </w:r>
            <w:r w:rsidR="00471F4D">
              <w:t>P</w:t>
            </w:r>
            <w:r w:rsidRPr="002E43DD">
              <w:t xml:space="preserve">rotección de las </w:t>
            </w:r>
            <w:r w:rsidR="00471F4D">
              <w:t>V</w:t>
            </w:r>
            <w:r w:rsidRPr="002E43DD">
              <w:t xml:space="preserve">íctimas de los </w:t>
            </w:r>
            <w:r w:rsidR="00471F4D">
              <w:t>C</w:t>
            </w:r>
            <w:r w:rsidRPr="002E43DD">
              <w:t xml:space="preserve">onflictos </w:t>
            </w:r>
            <w:r w:rsidR="00471F4D">
              <w:t>A</w:t>
            </w:r>
            <w:r w:rsidRPr="002E43DD">
              <w:t xml:space="preserve">rmados sin </w:t>
            </w:r>
            <w:r w:rsidR="00471F4D">
              <w:t>C</w:t>
            </w:r>
            <w:r w:rsidRPr="002E43DD">
              <w:t xml:space="preserve">arácter </w:t>
            </w:r>
            <w:r w:rsidR="00471F4D">
              <w:t>I</w:t>
            </w:r>
            <w:r w:rsidRPr="002E43DD">
              <w:t xml:space="preserve">nternacional </w:t>
            </w:r>
          </w:p>
        </w:tc>
        <w:tc>
          <w:tcPr>
            <w:tcW w:w="799" w:type="pct"/>
            <w:shd w:val="clear" w:color="auto" w:fill="auto"/>
            <w:hideMark/>
          </w:tcPr>
          <w:p w:rsidR="003E3038" w:rsidRPr="002E43DD" w:rsidRDefault="003E3038" w:rsidP="002E43DD">
            <w:pPr>
              <w:pStyle w:val="SingleTxtG"/>
              <w:spacing w:before="40"/>
              <w:ind w:left="0" w:right="0"/>
              <w:jc w:val="left"/>
            </w:pPr>
            <w:r w:rsidRPr="002E43DD">
              <w:t>1977</w:t>
            </w:r>
          </w:p>
        </w:tc>
        <w:tc>
          <w:tcPr>
            <w:tcW w:w="799" w:type="pct"/>
            <w:shd w:val="clear" w:color="auto" w:fill="auto"/>
            <w:hideMark/>
          </w:tcPr>
          <w:p w:rsidR="003E3038" w:rsidRPr="002E43DD" w:rsidRDefault="003E3038" w:rsidP="002E43DD">
            <w:pPr>
              <w:pStyle w:val="SingleTxtG"/>
              <w:spacing w:before="40"/>
              <w:ind w:left="0" w:right="0"/>
              <w:jc w:val="left"/>
            </w:pPr>
            <w:r w:rsidRPr="002E43DD">
              <w:t>1980</w:t>
            </w:r>
          </w:p>
        </w:tc>
        <w:tc>
          <w:tcPr>
            <w:tcW w:w="930" w:type="pct"/>
            <w:shd w:val="clear" w:color="auto" w:fill="auto"/>
          </w:tcPr>
          <w:p w:rsidR="003E3038" w:rsidRPr="002E43DD" w:rsidRDefault="003E3038" w:rsidP="002E43DD">
            <w:pPr>
              <w:pStyle w:val="SingleTxtG"/>
              <w:spacing w:before="40"/>
              <w:ind w:left="0" w:right="0"/>
              <w:jc w:val="left"/>
            </w:pPr>
          </w:p>
        </w:tc>
      </w:tr>
      <w:tr w:rsidR="003E3038" w:rsidRPr="002E43DD" w:rsidTr="008C177A">
        <w:trPr>
          <w:trHeight w:val="240"/>
        </w:trPr>
        <w:tc>
          <w:tcPr>
            <w:tcW w:w="393" w:type="pct"/>
            <w:shd w:val="clear" w:color="auto" w:fill="auto"/>
            <w:hideMark/>
          </w:tcPr>
          <w:p w:rsidR="003E3038" w:rsidRPr="002E43DD" w:rsidRDefault="003E3038" w:rsidP="002E43DD">
            <w:pPr>
              <w:pStyle w:val="SingleTxtG"/>
              <w:spacing w:before="40"/>
              <w:ind w:left="0" w:right="0"/>
              <w:jc w:val="left"/>
            </w:pPr>
            <w:r w:rsidRPr="002E43DD">
              <w:t>8</w:t>
            </w:r>
          </w:p>
        </w:tc>
        <w:tc>
          <w:tcPr>
            <w:tcW w:w="2078" w:type="pct"/>
            <w:shd w:val="clear" w:color="auto" w:fill="auto"/>
            <w:hideMark/>
          </w:tcPr>
          <w:p w:rsidR="003E3038" w:rsidRPr="002E43DD" w:rsidRDefault="003E3038" w:rsidP="002E43DD">
            <w:pPr>
              <w:pStyle w:val="SingleTxtG"/>
              <w:spacing w:before="40"/>
              <w:ind w:left="0" w:right="0"/>
              <w:jc w:val="left"/>
            </w:pPr>
            <w:r w:rsidRPr="002E43DD">
              <w:t>Convención sobre el Estatuto de los Refugiados</w:t>
            </w:r>
          </w:p>
        </w:tc>
        <w:tc>
          <w:tcPr>
            <w:tcW w:w="799" w:type="pct"/>
            <w:shd w:val="clear" w:color="auto" w:fill="auto"/>
            <w:hideMark/>
          </w:tcPr>
          <w:p w:rsidR="003E3038" w:rsidRPr="002E43DD" w:rsidRDefault="003E3038" w:rsidP="002E43DD">
            <w:pPr>
              <w:pStyle w:val="SingleTxtG"/>
              <w:spacing w:before="40"/>
              <w:ind w:left="0" w:right="0"/>
              <w:jc w:val="left"/>
            </w:pPr>
            <w:r w:rsidRPr="002E43DD">
              <w:t>1951</w:t>
            </w:r>
          </w:p>
        </w:tc>
        <w:tc>
          <w:tcPr>
            <w:tcW w:w="799" w:type="pct"/>
            <w:shd w:val="clear" w:color="auto" w:fill="auto"/>
            <w:hideMark/>
          </w:tcPr>
          <w:p w:rsidR="003E3038" w:rsidRPr="002E43DD" w:rsidRDefault="003E3038" w:rsidP="002E43DD">
            <w:pPr>
              <w:pStyle w:val="SingleTxtG"/>
              <w:spacing w:before="40"/>
              <w:ind w:left="0" w:right="0"/>
              <w:jc w:val="left"/>
            </w:pPr>
            <w:r w:rsidRPr="002E43DD">
              <w:t>1987</w:t>
            </w:r>
          </w:p>
        </w:tc>
        <w:tc>
          <w:tcPr>
            <w:tcW w:w="930" w:type="pct"/>
            <w:shd w:val="clear" w:color="auto" w:fill="auto"/>
          </w:tcPr>
          <w:p w:rsidR="003E3038" w:rsidRPr="002E43DD" w:rsidRDefault="003E3038" w:rsidP="002E43DD">
            <w:pPr>
              <w:pStyle w:val="SingleTxtG"/>
              <w:spacing w:before="40"/>
              <w:ind w:left="0" w:right="0"/>
              <w:jc w:val="left"/>
            </w:pPr>
          </w:p>
        </w:tc>
      </w:tr>
      <w:tr w:rsidR="003E3038" w:rsidRPr="002E43DD" w:rsidTr="008C177A">
        <w:trPr>
          <w:trHeight w:val="240"/>
        </w:trPr>
        <w:tc>
          <w:tcPr>
            <w:tcW w:w="393" w:type="pct"/>
            <w:shd w:val="clear" w:color="auto" w:fill="auto"/>
            <w:hideMark/>
          </w:tcPr>
          <w:p w:rsidR="003E3038" w:rsidRPr="002E43DD" w:rsidRDefault="003E3038" w:rsidP="002E43DD">
            <w:pPr>
              <w:pStyle w:val="SingleTxtG"/>
              <w:spacing w:before="40"/>
              <w:ind w:left="0" w:right="0"/>
              <w:jc w:val="left"/>
            </w:pPr>
            <w:r w:rsidRPr="002E43DD">
              <w:t>9</w:t>
            </w:r>
          </w:p>
        </w:tc>
        <w:tc>
          <w:tcPr>
            <w:tcW w:w="2078" w:type="pct"/>
            <w:shd w:val="clear" w:color="auto" w:fill="auto"/>
            <w:hideMark/>
          </w:tcPr>
          <w:p w:rsidR="003E3038" w:rsidRPr="002E43DD" w:rsidRDefault="003E3038" w:rsidP="002E43DD">
            <w:pPr>
              <w:pStyle w:val="SingleTxtG"/>
              <w:spacing w:before="40"/>
              <w:ind w:left="0" w:right="0"/>
              <w:jc w:val="left"/>
            </w:pPr>
            <w:r w:rsidRPr="002E43DD">
              <w:t>Convención de la OUA por la que se Regulan los Aspectos Específicos de los Problemas de los Refugiados en África</w:t>
            </w:r>
          </w:p>
        </w:tc>
        <w:tc>
          <w:tcPr>
            <w:tcW w:w="799" w:type="pct"/>
            <w:shd w:val="clear" w:color="auto" w:fill="auto"/>
            <w:hideMark/>
          </w:tcPr>
          <w:p w:rsidR="003E3038" w:rsidRPr="002E43DD" w:rsidRDefault="003E3038" w:rsidP="002E43DD">
            <w:pPr>
              <w:pStyle w:val="SingleTxtG"/>
              <w:spacing w:before="40"/>
              <w:ind w:left="0" w:right="0"/>
              <w:jc w:val="left"/>
            </w:pPr>
            <w:r w:rsidRPr="002E43DD">
              <w:t>1969</w:t>
            </w:r>
          </w:p>
        </w:tc>
        <w:tc>
          <w:tcPr>
            <w:tcW w:w="799" w:type="pct"/>
            <w:shd w:val="clear" w:color="auto" w:fill="auto"/>
            <w:hideMark/>
          </w:tcPr>
          <w:p w:rsidR="003E3038" w:rsidRPr="002E43DD" w:rsidRDefault="003E3038" w:rsidP="002E43DD">
            <w:pPr>
              <w:pStyle w:val="SingleTxtG"/>
              <w:spacing w:before="40"/>
              <w:ind w:left="0" w:right="0"/>
              <w:jc w:val="left"/>
            </w:pPr>
            <w:r w:rsidRPr="002E43DD">
              <w:t>1972</w:t>
            </w:r>
          </w:p>
        </w:tc>
        <w:tc>
          <w:tcPr>
            <w:tcW w:w="930" w:type="pct"/>
            <w:shd w:val="clear" w:color="auto" w:fill="auto"/>
          </w:tcPr>
          <w:p w:rsidR="003E3038" w:rsidRPr="002E43DD" w:rsidRDefault="003E3038" w:rsidP="002E43DD">
            <w:pPr>
              <w:pStyle w:val="SingleTxtG"/>
              <w:spacing w:before="40"/>
              <w:ind w:left="0" w:right="0"/>
              <w:jc w:val="left"/>
            </w:pPr>
          </w:p>
        </w:tc>
      </w:tr>
      <w:tr w:rsidR="003E3038" w:rsidRPr="002E43DD" w:rsidTr="008C177A">
        <w:trPr>
          <w:trHeight w:val="240"/>
        </w:trPr>
        <w:tc>
          <w:tcPr>
            <w:tcW w:w="393" w:type="pct"/>
            <w:shd w:val="clear" w:color="auto" w:fill="auto"/>
            <w:hideMark/>
          </w:tcPr>
          <w:p w:rsidR="003E3038" w:rsidRPr="002E43DD" w:rsidRDefault="003E3038" w:rsidP="002E43DD">
            <w:pPr>
              <w:pStyle w:val="SingleTxtG"/>
              <w:spacing w:before="40"/>
              <w:ind w:left="0" w:right="0"/>
              <w:jc w:val="left"/>
            </w:pPr>
            <w:r w:rsidRPr="002E43DD">
              <w:t>10</w:t>
            </w:r>
          </w:p>
        </w:tc>
        <w:tc>
          <w:tcPr>
            <w:tcW w:w="2078" w:type="pct"/>
            <w:shd w:val="clear" w:color="auto" w:fill="auto"/>
            <w:hideMark/>
          </w:tcPr>
          <w:p w:rsidR="003E3038" w:rsidRPr="002E43DD" w:rsidRDefault="003E3038" w:rsidP="002E43DD">
            <w:pPr>
              <w:pStyle w:val="SingleTxtG"/>
              <w:spacing w:before="40"/>
              <w:ind w:left="0" w:right="0"/>
              <w:jc w:val="left"/>
            </w:pPr>
            <w:r w:rsidRPr="002E43DD">
              <w:t>Protocolo sobre el Estatuto de los Refugiados</w:t>
            </w:r>
          </w:p>
        </w:tc>
        <w:tc>
          <w:tcPr>
            <w:tcW w:w="799" w:type="pct"/>
            <w:shd w:val="clear" w:color="auto" w:fill="auto"/>
            <w:hideMark/>
          </w:tcPr>
          <w:p w:rsidR="003E3038" w:rsidRPr="002E43DD" w:rsidRDefault="003E3038" w:rsidP="002E43DD">
            <w:pPr>
              <w:pStyle w:val="SingleTxtG"/>
              <w:spacing w:before="40"/>
              <w:ind w:left="0" w:right="0"/>
              <w:jc w:val="left"/>
            </w:pPr>
            <w:r w:rsidRPr="002E43DD">
              <w:t>1967</w:t>
            </w:r>
          </w:p>
        </w:tc>
        <w:tc>
          <w:tcPr>
            <w:tcW w:w="799" w:type="pct"/>
            <w:shd w:val="clear" w:color="auto" w:fill="auto"/>
            <w:hideMark/>
          </w:tcPr>
          <w:p w:rsidR="003E3038" w:rsidRPr="002E43DD" w:rsidRDefault="003E3038" w:rsidP="002E43DD">
            <w:pPr>
              <w:pStyle w:val="SingleTxtG"/>
              <w:spacing w:before="40"/>
              <w:ind w:left="0" w:right="0"/>
              <w:jc w:val="left"/>
            </w:pPr>
            <w:r w:rsidRPr="002E43DD">
              <w:t>1987</w:t>
            </w:r>
          </w:p>
        </w:tc>
        <w:tc>
          <w:tcPr>
            <w:tcW w:w="930" w:type="pct"/>
            <w:shd w:val="clear" w:color="auto" w:fill="auto"/>
          </w:tcPr>
          <w:p w:rsidR="003E3038" w:rsidRPr="002E43DD" w:rsidRDefault="003E3038" w:rsidP="002E43DD">
            <w:pPr>
              <w:pStyle w:val="SingleTxtG"/>
              <w:spacing w:before="40"/>
              <w:ind w:left="0" w:right="0"/>
              <w:jc w:val="left"/>
            </w:pPr>
          </w:p>
        </w:tc>
      </w:tr>
      <w:tr w:rsidR="003E3038" w:rsidRPr="002E43DD" w:rsidTr="008C177A">
        <w:trPr>
          <w:trHeight w:val="240"/>
        </w:trPr>
        <w:tc>
          <w:tcPr>
            <w:tcW w:w="393" w:type="pct"/>
            <w:tcBorders>
              <w:bottom w:val="single" w:sz="12" w:space="0" w:color="auto"/>
            </w:tcBorders>
            <w:shd w:val="clear" w:color="auto" w:fill="auto"/>
            <w:hideMark/>
          </w:tcPr>
          <w:p w:rsidR="003E3038" w:rsidRPr="002E43DD" w:rsidRDefault="003E3038" w:rsidP="002E43DD">
            <w:pPr>
              <w:pStyle w:val="SingleTxtG"/>
              <w:spacing w:before="40"/>
              <w:ind w:left="0" w:right="0"/>
              <w:jc w:val="left"/>
            </w:pPr>
            <w:r w:rsidRPr="002E43DD">
              <w:t>11</w:t>
            </w:r>
          </w:p>
        </w:tc>
        <w:tc>
          <w:tcPr>
            <w:tcW w:w="2078" w:type="pct"/>
            <w:tcBorders>
              <w:bottom w:val="single" w:sz="12" w:space="0" w:color="auto"/>
            </w:tcBorders>
            <w:shd w:val="clear" w:color="auto" w:fill="auto"/>
            <w:hideMark/>
          </w:tcPr>
          <w:p w:rsidR="003E3038" w:rsidRPr="002E43DD" w:rsidRDefault="003E3038" w:rsidP="002E43DD">
            <w:pPr>
              <w:pStyle w:val="SingleTxtG"/>
              <w:spacing w:before="40"/>
              <w:ind w:left="0" w:right="0"/>
              <w:jc w:val="left"/>
            </w:pPr>
            <w:r w:rsidRPr="002E43DD">
              <w:t>Convención sobre la Prohibición del Empleo, Almacenamiento, Producción y Transferencia de Minas Antipersonal y sobre su Destrucción</w:t>
            </w:r>
          </w:p>
        </w:tc>
        <w:tc>
          <w:tcPr>
            <w:tcW w:w="799" w:type="pct"/>
            <w:tcBorders>
              <w:bottom w:val="single" w:sz="12" w:space="0" w:color="auto"/>
            </w:tcBorders>
            <w:shd w:val="clear" w:color="auto" w:fill="auto"/>
            <w:hideMark/>
          </w:tcPr>
          <w:p w:rsidR="003E3038" w:rsidRPr="002E43DD" w:rsidRDefault="003E3038" w:rsidP="002E43DD">
            <w:pPr>
              <w:pStyle w:val="SingleTxtG"/>
              <w:spacing w:before="40"/>
              <w:ind w:left="0" w:right="0"/>
              <w:jc w:val="left"/>
            </w:pPr>
            <w:r w:rsidRPr="002E43DD">
              <w:t>1997</w:t>
            </w:r>
          </w:p>
        </w:tc>
        <w:tc>
          <w:tcPr>
            <w:tcW w:w="799" w:type="pct"/>
            <w:tcBorders>
              <w:bottom w:val="single" w:sz="12" w:space="0" w:color="auto"/>
            </w:tcBorders>
            <w:shd w:val="clear" w:color="auto" w:fill="auto"/>
            <w:hideMark/>
          </w:tcPr>
          <w:p w:rsidR="003E3038" w:rsidRPr="002E43DD" w:rsidRDefault="003E3038" w:rsidP="002E43DD">
            <w:pPr>
              <w:pStyle w:val="SingleTxtG"/>
              <w:spacing w:before="40"/>
              <w:ind w:left="0" w:right="0"/>
              <w:jc w:val="left"/>
            </w:pPr>
            <w:r w:rsidRPr="002E43DD">
              <w:t>2000</w:t>
            </w:r>
          </w:p>
        </w:tc>
        <w:tc>
          <w:tcPr>
            <w:tcW w:w="930" w:type="pct"/>
            <w:tcBorders>
              <w:bottom w:val="single" w:sz="12" w:space="0" w:color="auto"/>
            </w:tcBorders>
            <w:shd w:val="clear" w:color="auto" w:fill="auto"/>
          </w:tcPr>
          <w:p w:rsidR="003E3038" w:rsidRPr="002E43DD" w:rsidRDefault="003E3038" w:rsidP="002E43DD">
            <w:pPr>
              <w:pStyle w:val="SingleTxtG"/>
              <w:spacing w:before="40"/>
              <w:ind w:left="0" w:right="0"/>
              <w:jc w:val="left"/>
            </w:pPr>
          </w:p>
        </w:tc>
      </w:tr>
    </w:tbl>
    <w:p w:rsidR="003E3038" w:rsidRPr="003E3038" w:rsidRDefault="003E3038" w:rsidP="002A4E4A">
      <w:pPr>
        <w:pStyle w:val="SingleTxtG"/>
        <w:keepNext/>
        <w:spacing w:before="240" w:after="0"/>
        <w:ind w:left="0" w:right="0"/>
      </w:pPr>
      <w:r w:rsidRPr="003E3038">
        <w:lastRenderedPageBreak/>
        <w:t xml:space="preserve">Cuadro 6 </w:t>
      </w:r>
    </w:p>
    <w:p w:rsidR="003E3038" w:rsidRPr="003E3038" w:rsidRDefault="003E3038" w:rsidP="002A4E4A">
      <w:pPr>
        <w:pStyle w:val="SingleTxtG"/>
        <w:keepNext/>
        <w:ind w:left="0" w:right="0"/>
        <w:rPr>
          <w:b/>
        </w:rPr>
      </w:pPr>
      <w:r w:rsidRPr="003E3038">
        <w:rPr>
          <w:b/>
        </w:rPr>
        <w:t xml:space="preserve">Ratificación de instrumentos regionales de derechos humanos </w:t>
      </w:r>
    </w:p>
    <w:tbl>
      <w:tblPr>
        <w:tblW w:w="5000" w:type="pct"/>
        <w:tblBorders>
          <w:top w:val="single" w:sz="4" w:space="0" w:color="auto"/>
        </w:tblBorders>
        <w:tblCellMar>
          <w:left w:w="0" w:type="dxa"/>
          <w:right w:w="113" w:type="dxa"/>
        </w:tblCellMar>
        <w:tblLook w:val="04A0" w:firstRow="1" w:lastRow="0" w:firstColumn="1" w:lastColumn="0" w:noHBand="0" w:noVBand="1"/>
      </w:tblPr>
      <w:tblGrid>
        <w:gridCol w:w="749"/>
        <w:gridCol w:w="3362"/>
        <w:gridCol w:w="1560"/>
        <w:gridCol w:w="1558"/>
        <w:gridCol w:w="2522"/>
      </w:tblGrid>
      <w:tr w:rsidR="002A4E4A" w:rsidRPr="002A4E4A" w:rsidTr="008C177A">
        <w:trPr>
          <w:trHeight w:val="240"/>
          <w:tblHeader/>
        </w:trPr>
        <w:tc>
          <w:tcPr>
            <w:tcW w:w="384" w:type="pct"/>
            <w:tcBorders>
              <w:top w:val="single" w:sz="4" w:space="0" w:color="auto"/>
              <w:bottom w:val="single" w:sz="12" w:space="0" w:color="auto"/>
            </w:tcBorders>
            <w:shd w:val="clear" w:color="auto" w:fill="auto"/>
            <w:vAlign w:val="bottom"/>
            <w:hideMark/>
          </w:tcPr>
          <w:p w:rsidR="003E3038" w:rsidRPr="002A4E4A" w:rsidRDefault="002A4E4A" w:rsidP="008C177A">
            <w:pPr>
              <w:pStyle w:val="SingleTxtG"/>
              <w:keepNext/>
              <w:spacing w:before="80" w:after="80" w:line="200" w:lineRule="exact"/>
              <w:ind w:left="0" w:right="0"/>
              <w:jc w:val="left"/>
              <w:rPr>
                <w:i/>
                <w:sz w:val="16"/>
              </w:rPr>
            </w:pPr>
            <w:bookmarkStart w:id="50" w:name="_Toc454388708"/>
            <w:bookmarkStart w:id="51" w:name="_Toc454386658"/>
            <w:bookmarkStart w:id="52" w:name="_Toc454386589"/>
            <w:bookmarkStart w:id="53" w:name="_Toc453672869"/>
            <w:bookmarkStart w:id="54" w:name="_Toc455360516"/>
            <w:bookmarkStart w:id="55" w:name="_Toc455364126"/>
            <w:r>
              <w:rPr>
                <w:i/>
                <w:sz w:val="16"/>
              </w:rPr>
              <w:t>Número</w:t>
            </w:r>
          </w:p>
        </w:tc>
        <w:tc>
          <w:tcPr>
            <w:tcW w:w="1724" w:type="pct"/>
            <w:tcBorders>
              <w:top w:val="single" w:sz="4" w:space="0" w:color="auto"/>
              <w:bottom w:val="single" w:sz="12" w:space="0" w:color="auto"/>
            </w:tcBorders>
            <w:shd w:val="clear" w:color="auto" w:fill="auto"/>
            <w:vAlign w:val="bottom"/>
            <w:hideMark/>
          </w:tcPr>
          <w:p w:rsidR="003E3038" w:rsidRPr="002A4E4A" w:rsidRDefault="003E3038" w:rsidP="008C177A">
            <w:pPr>
              <w:pStyle w:val="SingleTxtG"/>
              <w:keepNext/>
              <w:spacing w:before="80" w:after="80" w:line="200" w:lineRule="exact"/>
              <w:ind w:left="0" w:right="0"/>
              <w:jc w:val="left"/>
              <w:rPr>
                <w:bCs/>
                <w:i/>
                <w:sz w:val="16"/>
              </w:rPr>
            </w:pPr>
            <w:r w:rsidRPr="002A4E4A">
              <w:rPr>
                <w:i/>
                <w:sz w:val="16"/>
              </w:rPr>
              <w:t>Instrumentos</w:t>
            </w:r>
          </w:p>
        </w:tc>
        <w:tc>
          <w:tcPr>
            <w:tcW w:w="800" w:type="pct"/>
            <w:tcBorders>
              <w:top w:val="single" w:sz="4" w:space="0" w:color="auto"/>
              <w:bottom w:val="single" w:sz="12" w:space="0" w:color="auto"/>
            </w:tcBorders>
            <w:shd w:val="clear" w:color="auto" w:fill="auto"/>
            <w:vAlign w:val="bottom"/>
            <w:hideMark/>
          </w:tcPr>
          <w:p w:rsidR="003E3038" w:rsidRPr="002A4E4A" w:rsidRDefault="003E3038" w:rsidP="008C177A">
            <w:pPr>
              <w:pStyle w:val="SingleTxtG"/>
              <w:keepNext/>
              <w:spacing w:before="80" w:after="80" w:line="200" w:lineRule="exact"/>
              <w:ind w:left="0" w:right="0"/>
              <w:jc w:val="left"/>
              <w:rPr>
                <w:bCs/>
                <w:i/>
                <w:sz w:val="16"/>
              </w:rPr>
            </w:pPr>
            <w:r w:rsidRPr="002A4E4A">
              <w:rPr>
                <w:i/>
                <w:sz w:val="16"/>
              </w:rPr>
              <w:t>Fecha de aprobación</w:t>
            </w:r>
          </w:p>
        </w:tc>
        <w:tc>
          <w:tcPr>
            <w:tcW w:w="799" w:type="pct"/>
            <w:tcBorders>
              <w:top w:val="single" w:sz="4" w:space="0" w:color="auto"/>
              <w:bottom w:val="single" w:sz="12" w:space="0" w:color="auto"/>
            </w:tcBorders>
            <w:shd w:val="clear" w:color="auto" w:fill="auto"/>
            <w:vAlign w:val="bottom"/>
            <w:hideMark/>
          </w:tcPr>
          <w:p w:rsidR="003E3038" w:rsidRPr="002A4E4A" w:rsidRDefault="003E3038" w:rsidP="008C177A">
            <w:pPr>
              <w:pStyle w:val="SingleTxtG"/>
              <w:keepNext/>
              <w:spacing w:before="80" w:after="80" w:line="200" w:lineRule="exact"/>
              <w:ind w:left="0" w:right="0"/>
              <w:jc w:val="left"/>
              <w:rPr>
                <w:bCs/>
                <w:i/>
                <w:sz w:val="16"/>
              </w:rPr>
            </w:pPr>
            <w:r w:rsidRPr="002A4E4A">
              <w:rPr>
                <w:i/>
                <w:sz w:val="16"/>
              </w:rPr>
              <w:t>Fecha de ratificación</w:t>
            </w:r>
          </w:p>
        </w:tc>
        <w:tc>
          <w:tcPr>
            <w:tcW w:w="1293" w:type="pct"/>
            <w:tcBorders>
              <w:top w:val="single" w:sz="4" w:space="0" w:color="auto"/>
              <w:bottom w:val="single" w:sz="12" w:space="0" w:color="auto"/>
            </w:tcBorders>
            <w:shd w:val="clear" w:color="auto" w:fill="auto"/>
            <w:vAlign w:val="bottom"/>
            <w:hideMark/>
          </w:tcPr>
          <w:p w:rsidR="003E3038" w:rsidRPr="002A4E4A" w:rsidRDefault="003E3038" w:rsidP="008C177A">
            <w:pPr>
              <w:pStyle w:val="SingleTxtG"/>
              <w:keepNext/>
              <w:spacing w:before="80" w:after="80" w:line="200" w:lineRule="exact"/>
              <w:ind w:left="0" w:right="0"/>
              <w:jc w:val="left"/>
              <w:rPr>
                <w:bCs/>
                <w:i/>
                <w:sz w:val="16"/>
              </w:rPr>
            </w:pPr>
            <w:r w:rsidRPr="002A4E4A">
              <w:rPr>
                <w:i/>
                <w:sz w:val="16"/>
              </w:rPr>
              <w:t>Reservas u observaciones</w:t>
            </w:r>
          </w:p>
        </w:tc>
      </w:tr>
      <w:tr w:rsidR="002A4E4A" w:rsidRPr="002A4E4A" w:rsidTr="008C177A">
        <w:trPr>
          <w:trHeight w:val="240"/>
        </w:trPr>
        <w:tc>
          <w:tcPr>
            <w:tcW w:w="384" w:type="pct"/>
            <w:tcBorders>
              <w:top w:val="single" w:sz="12" w:space="0" w:color="auto"/>
            </w:tcBorders>
            <w:shd w:val="clear" w:color="auto" w:fill="auto"/>
            <w:hideMark/>
          </w:tcPr>
          <w:p w:rsidR="003E3038" w:rsidRPr="002A4E4A" w:rsidRDefault="003E3038" w:rsidP="008C177A">
            <w:pPr>
              <w:pStyle w:val="SingleTxtG"/>
              <w:keepNext/>
              <w:spacing w:before="40"/>
              <w:ind w:left="0" w:right="0"/>
              <w:jc w:val="left"/>
            </w:pPr>
            <w:r w:rsidRPr="002A4E4A">
              <w:t>1</w:t>
            </w:r>
          </w:p>
        </w:tc>
        <w:tc>
          <w:tcPr>
            <w:tcW w:w="1724" w:type="pct"/>
            <w:tcBorders>
              <w:top w:val="single" w:sz="12" w:space="0" w:color="auto"/>
            </w:tcBorders>
            <w:shd w:val="clear" w:color="auto" w:fill="auto"/>
            <w:hideMark/>
          </w:tcPr>
          <w:p w:rsidR="003E3038" w:rsidRPr="002A4E4A" w:rsidRDefault="003E3038" w:rsidP="008C177A">
            <w:pPr>
              <w:pStyle w:val="SingleTxtG"/>
              <w:keepNext/>
              <w:spacing w:before="40"/>
              <w:ind w:left="0" w:right="0"/>
              <w:jc w:val="left"/>
            </w:pPr>
            <w:r w:rsidRPr="002A4E4A">
              <w:t>Carta Africana de Derechos Humanos y de los Pueblos</w:t>
            </w:r>
          </w:p>
        </w:tc>
        <w:tc>
          <w:tcPr>
            <w:tcW w:w="800" w:type="pct"/>
            <w:tcBorders>
              <w:top w:val="single" w:sz="12" w:space="0" w:color="auto"/>
            </w:tcBorders>
            <w:shd w:val="clear" w:color="auto" w:fill="auto"/>
            <w:hideMark/>
          </w:tcPr>
          <w:p w:rsidR="003E3038" w:rsidRPr="002A4E4A" w:rsidRDefault="003E3038" w:rsidP="008C177A">
            <w:pPr>
              <w:pStyle w:val="SingleTxtG"/>
              <w:keepNext/>
              <w:spacing w:before="40"/>
              <w:ind w:left="0" w:right="0"/>
              <w:jc w:val="left"/>
            </w:pPr>
            <w:r w:rsidRPr="002A4E4A">
              <w:t>1981</w:t>
            </w:r>
          </w:p>
        </w:tc>
        <w:tc>
          <w:tcPr>
            <w:tcW w:w="799" w:type="pct"/>
            <w:tcBorders>
              <w:top w:val="single" w:sz="12" w:space="0" w:color="auto"/>
            </w:tcBorders>
            <w:shd w:val="clear" w:color="auto" w:fill="auto"/>
            <w:hideMark/>
          </w:tcPr>
          <w:p w:rsidR="003E3038" w:rsidRPr="002A4E4A" w:rsidRDefault="003E3038" w:rsidP="008C177A">
            <w:pPr>
              <w:pStyle w:val="SingleTxtG"/>
              <w:keepNext/>
              <w:spacing w:before="40"/>
              <w:ind w:left="0" w:right="0"/>
              <w:jc w:val="left"/>
            </w:pPr>
            <w:r w:rsidRPr="002A4E4A">
              <w:t>1986</w:t>
            </w:r>
          </w:p>
        </w:tc>
        <w:tc>
          <w:tcPr>
            <w:tcW w:w="1293" w:type="pct"/>
            <w:tcBorders>
              <w:top w:val="single" w:sz="12" w:space="0" w:color="auto"/>
            </w:tcBorders>
            <w:shd w:val="clear" w:color="auto" w:fill="auto"/>
            <w:hideMark/>
          </w:tcPr>
          <w:p w:rsidR="003E3038" w:rsidRPr="002A4E4A" w:rsidRDefault="003E3038" w:rsidP="008C177A">
            <w:pPr>
              <w:pStyle w:val="SingleTxtG"/>
              <w:keepNext/>
              <w:spacing w:before="40"/>
              <w:ind w:left="0" w:right="0"/>
              <w:jc w:val="left"/>
            </w:pPr>
            <w:r w:rsidRPr="002A4E4A">
              <w:t>Incorporada en el preámbulo de la Constitución de 20 de julio 1991</w:t>
            </w:r>
          </w:p>
        </w:tc>
      </w:tr>
      <w:tr w:rsidR="002A4E4A" w:rsidRPr="002A4E4A" w:rsidTr="008C177A">
        <w:trPr>
          <w:trHeight w:val="240"/>
        </w:trPr>
        <w:tc>
          <w:tcPr>
            <w:tcW w:w="384" w:type="pct"/>
            <w:shd w:val="clear" w:color="auto" w:fill="auto"/>
            <w:hideMark/>
          </w:tcPr>
          <w:p w:rsidR="003E3038" w:rsidRPr="002A4E4A" w:rsidRDefault="003E3038" w:rsidP="002A4E4A">
            <w:pPr>
              <w:pStyle w:val="SingleTxtG"/>
              <w:spacing w:before="40"/>
              <w:ind w:left="0" w:right="0"/>
              <w:jc w:val="left"/>
            </w:pPr>
            <w:r w:rsidRPr="002A4E4A">
              <w:t>2</w:t>
            </w:r>
          </w:p>
        </w:tc>
        <w:tc>
          <w:tcPr>
            <w:tcW w:w="1724" w:type="pct"/>
            <w:shd w:val="clear" w:color="auto" w:fill="auto"/>
            <w:hideMark/>
          </w:tcPr>
          <w:p w:rsidR="003E3038" w:rsidRPr="002A4E4A" w:rsidRDefault="003E3038" w:rsidP="002A4E4A">
            <w:pPr>
              <w:pStyle w:val="SingleTxtG"/>
              <w:spacing w:before="40"/>
              <w:ind w:left="0" w:right="0"/>
              <w:jc w:val="left"/>
            </w:pPr>
            <w:r w:rsidRPr="002A4E4A">
              <w:t>Protocolo relativo al Establecimiento de la Corte Africana de Derechos Humanos y de los Pueblos</w:t>
            </w:r>
          </w:p>
        </w:tc>
        <w:tc>
          <w:tcPr>
            <w:tcW w:w="800" w:type="pct"/>
            <w:shd w:val="clear" w:color="auto" w:fill="auto"/>
            <w:hideMark/>
          </w:tcPr>
          <w:p w:rsidR="003E3038" w:rsidRPr="002A4E4A" w:rsidRDefault="003E3038" w:rsidP="002A4E4A">
            <w:pPr>
              <w:pStyle w:val="SingleTxtG"/>
              <w:spacing w:before="40"/>
              <w:ind w:left="0" w:right="0"/>
              <w:jc w:val="left"/>
            </w:pPr>
            <w:r w:rsidRPr="002A4E4A">
              <w:t>1988</w:t>
            </w:r>
          </w:p>
        </w:tc>
        <w:tc>
          <w:tcPr>
            <w:tcW w:w="799" w:type="pct"/>
            <w:shd w:val="clear" w:color="auto" w:fill="auto"/>
            <w:hideMark/>
          </w:tcPr>
          <w:p w:rsidR="003E3038" w:rsidRPr="002A4E4A" w:rsidRDefault="003E3038" w:rsidP="002A4E4A">
            <w:pPr>
              <w:pStyle w:val="SingleTxtG"/>
              <w:spacing w:before="40"/>
              <w:ind w:left="0" w:right="0"/>
              <w:jc w:val="left"/>
            </w:pPr>
            <w:r w:rsidRPr="002A4E4A">
              <w:t>2005</w:t>
            </w:r>
          </w:p>
        </w:tc>
        <w:tc>
          <w:tcPr>
            <w:tcW w:w="1293" w:type="pct"/>
            <w:shd w:val="clear" w:color="auto" w:fill="auto"/>
          </w:tcPr>
          <w:p w:rsidR="003E3038" w:rsidRPr="002A4E4A" w:rsidRDefault="003E3038" w:rsidP="002A4E4A">
            <w:pPr>
              <w:pStyle w:val="SingleTxtG"/>
              <w:spacing w:before="40"/>
              <w:ind w:left="0" w:right="0"/>
              <w:jc w:val="left"/>
            </w:pPr>
          </w:p>
        </w:tc>
      </w:tr>
      <w:tr w:rsidR="002A4E4A" w:rsidRPr="002A4E4A" w:rsidTr="008C177A">
        <w:trPr>
          <w:trHeight w:val="240"/>
        </w:trPr>
        <w:tc>
          <w:tcPr>
            <w:tcW w:w="384" w:type="pct"/>
            <w:shd w:val="clear" w:color="auto" w:fill="auto"/>
            <w:hideMark/>
          </w:tcPr>
          <w:p w:rsidR="003E3038" w:rsidRPr="002A4E4A" w:rsidRDefault="003E3038" w:rsidP="002A4E4A">
            <w:pPr>
              <w:pStyle w:val="SingleTxtG"/>
              <w:spacing w:before="40"/>
              <w:ind w:left="0" w:right="0"/>
              <w:jc w:val="left"/>
            </w:pPr>
            <w:r w:rsidRPr="002A4E4A">
              <w:t>3</w:t>
            </w:r>
          </w:p>
        </w:tc>
        <w:tc>
          <w:tcPr>
            <w:tcW w:w="1724" w:type="pct"/>
            <w:shd w:val="clear" w:color="auto" w:fill="auto"/>
            <w:hideMark/>
          </w:tcPr>
          <w:p w:rsidR="003E3038" w:rsidRPr="002A4E4A" w:rsidRDefault="003E3038" w:rsidP="002A4E4A">
            <w:pPr>
              <w:pStyle w:val="SingleTxtG"/>
              <w:spacing w:before="40"/>
              <w:ind w:left="0" w:right="0"/>
              <w:jc w:val="left"/>
            </w:pPr>
            <w:r w:rsidRPr="002A4E4A">
              <w:t>Carta Africana sobre los Derechos y el Bienestar del Niño</w:t>
            </w:r>
          </w:p>
        </w:tc>
        <w:tc>
          <w:tcPr>
            <w:tcW w:w="800" w:type="pct"/>
            <w:shd w:val="clear" w:color="auto" w:fill="auto"/>
            <w:hideMark/>
          </w:tcPr>
          <w:p w:rsidR="003E3038" w:rsidRPr="002A4E4A" w:rsidRDefault="003E3038" w:rsidP="002A4E4A">
            <w:pPr>
              <w:pStyle w:val="SingleTxtG"/>
              <w:spacing w:before="40"/>
              <w:ind w:left="0" w:right="0"/>
              <w:jc w:val="left"/>
            </w:pPr>
            <w:r w:rsidRPr="002A4E4A">
              <w:t>1990</w:t>
            </w:r>
          </w:p>
        </w:tc>
        <w:tc>
          <w:tcPr>
            <w:tcW w:w="799" w:type="pct"/>
            <w:shd w:val="clear" w:color="auto" w:fill="auto"/>
            <w:hideMark/>
          </w:tcPr>
          <w:p w:rsidR="003E3038" w:rsidRPr="002A4E4A" w:rsidRDefault="003E3038" w:rsidP="002A4E4A">
            <w:pPr>
              <w:pStyle w:val="SingleTxtG"/>
              <w:spacing w:before="40"/>
              <w:ind w:left="0" w:right="0"/>
              <w:jc w:val="left"/>
            </w:pPr>
            <w:r w:rsidRPr="002A4E4A">
              <w:t>2005</w:t>
            </w:r>
          </w:p>
        </w:tc>
        <w:tc>
          <w:tcPr>
            <w:tcW w:w="1293" w:type="pct"/>
            <w:shd w:val="clear" w:color="auto" w:fill="auto"/>
          </w:tcPr>
          <w:p w:rsidR="003E3038" w:rsidRPr="002A4E4A" w:rsidRDefault="003E3038" w:rsidP="002A4E4A">
            <w:pPr>
              <w:pStyle w:val="SingleTxtG"/>
              <w:spacing w:before="40"/>
              <w:ind w:left="0" w:right="0"/>
              <w:jc w:val="left"/>
            </w:pPr>
          </w:p>
        </w:tc>
      </w:tr>
      <w:tr w:rsidR="002A4E4A" w:rsidRPr="002A4E4A" w:rsidTr="008C177A">
        <w:trPr>
          <w:trHeight w:val="240"/>
        </w:trPr>
        <w:tc>
          <w:tcPr>
            <w:tcW w:w="384" w:type="pct"/>
            <w:shd w:val="clear" w:color="auto" w:fill="auto"/>
            <w:hideMark/>
          </w:tcPr>
          <w:p w:rsidR="003E3038" w:rsidRPr="002A4E4A" w:rsidRDefault="003E3038" w:rsidP="002A4E4A">
            <w:pPr>
              <w:pStyle w:val="SingleTxtG"/>
              <w:spacing w:before="40"/>
              <w:ind w:left="0" w:right="0"/>
              <w:jc w:val="left"/>
            </w:pPr>
            <w:r w:rsidRPr="002A4E4A">
              <w:t>4</w:t>
            </w:r>
          </w:p>
        </w:tc>
        <w:tc>
          <w:tcPr>
            <w:tcW w:w="1724" w:type="pct"/>
            <w:shd w:val="clear" w:color="auto" w:fill="auto"/>
            <w:hideMark/>
          </w:tcPr>
          <w:p w:rsidR="003E3038" w:rsidRPr="002A4E4A" w:rsidRDefault="003E3038" w:rsidP="002A4E4A">
            <w:pPr>
              <w:pStyle w:val="SingleTxtG"/>
              <w:spacing w:before="40"/>
              <w:ind w:left="0" w:right="0"/>
              <w:jc w:val="left"/>
            </w:pPr>
            <w:r w:rsidRPr="002A4E4A">
              <w:t>Protocolo de la Carta Africana de Derechos Humanos y de los Pueblos relativo a los Derechos de la Mujer en África</w:t>
            </w:r>
          </w:p>
        </w:tc>
        <w:tc>
          <w:tcPr>
            <w:tcW w:w="800" w:type="pct"/>
            <w:shd w:val="clear" w:color="auto" w:fill="auto"/>
            <w:hideMark/>
          </w:tcPr>
          <w:p w:rsidR="003E3038" w:rsidRPr="002A4E4A" w:rsidRDefault="003E3038" w:rsidP="002A4E4A">
            <w:pPr>
              <w:pStyle w:val="SingleTxtG"/>
              <w:spacing w:before="40"/>
              <w:ind w:left="0" w:right="0"/>
              <w:jc w:val="left"/>
            </w:pPr>
            <w:r w:rsidRPr="002A4E4A">
              <w:t>2003</w:t>
            </w:r>
          </w:p>
        </w:tc>
        <w:tc>
          <w:tcPr>
            <w:tcW w:w="799" w:type="pct"/>
            <w:shd w:val="clear" w:color="auto" w:fill="auto"/>
            <w:hideMark/>
          </w:tcPr>
          <w:p w:rsidR="003E3038" w:rsidRPr="002A4E4A" w:rsidRDefault="003E3038" w:rsidP="002A4E4A">
            <w:pPr>
              <w:pStyle w:val="SingleTxtG"/>
              <w:spacing w:before="40"/>
              <w:ind w:left="0" w:right="0"/>
              <w:jc w:val="left"/>
            </w:pPr>
            <w:r w:rsidRPr="002A4E4A">
              <w:t>2005</w:t>
            </w:r>
          </w:p>
        </w:tc>
        <w:tc>
          <w:tcPr>
            <w:tcW w:w="1293" w:type="pct"/>
            <w:shd w:val="clear" w:color="auto" w:fill="auto"/>
          </w:tcPr>
          <w:p w:rsidR="003E3038" w:rsidRPr="002A4E4A" w:rsidRDefault="003E3038" w:rsidP="002A4E4A">
            <w:pPr>
              <w:pStyle w:val="SingleTxtG"/>
              <w:spacing w:before="40"/>
              <w:ind w:left="0" w:right="0"/>
              <w:jc w:val="left"/>
            </w:pPr>
          </w:p>
        </w:tc>
      </w:tr>
      <w:tr w:rsidR="002A4E4A" w:rsidRPr="002A4E4A" w:rsidTr="008C177A">
        <w:trPr>
          <w:trHeight w:val="240"/>
        </w:trPr>
        <w:tc>
          <w:tcPr>
            <w:tcW w:w="384" w:type="pct"/>
            <w:shd w:val="clear" w:color="auto" w:fill="auto"/>
            <w:hideMark/>
          </w:tcPr>
          <w:p w:rsidR="003E3038" w:rsidRPr="002A4E4A" w:rsidRDefault="003E3038" w:rsidP="002A4E4A">
            <w:pPr>
              <w:pStyle w:val="SingleTxtG"/>
              <w:spacing w:before="40"/>
              <w:ind w:left="0" w:right="0"/>
              <w:jc w:val="left"/>
            </w:pPr>
            <w:r w:rsidRPr="002A4E4A">
              <w:t>5</w:t>
            </w:r>
          </w:p>
        </w:tc>
        <w:tc>
          <w:tcPr>
            <w:tcW w:w="1724" w:type="pct"/>
            <w:shd w:val="clear" w:color="auto" w:fill="auto"/>
            <w:hideMark/>
          </w:tcPr>
          <w:p w:rsidR="003E3038" w:rsidRPr="002A4E4A" w:rsidRDefault="003E3038" w:rsidP="002A4E4A">
            <w:pPr>
              <w:pStyle w:val="SingleTxtG"/>
              <w:spacing w:before="40"/>
              <w:ind w:left="0" w:right="0"/>
              <w:jc w:val="left"/>
            </w:pPr>
            <w:r w:rsidRPr="002A4E4A">
              <w:t>Carta Africana de la Democracia, las Elecciones y la Gobernanza</w:t>
            </w:r>
          </w:p>
        </w:tc>
        <w:tc>
          <w:tcPr>
            <w:tcW w:w="800" w:type="pct"/>
            <w:shd w:val="clear" w:color="auto" w:fill="auto"/>
            <w:hideMark/>
          </w:tcPr>
          <w:p w:rsidR="003E3038" w:rsidRPr="002A4E4A" w:rsidRDefault="003E3038" w:rsidP="002A4E4A">
            <w:pPr>
              <w:pStyle w:val="SingleTxtG"/>
              <w:spacing w:before="40"/>
              <w:ind w:left="0" w:right="0"/>
              <w:jc w:val="left"/>
            </w:pPr>
            <w:r w:rsidRPr="002A4E4A">
              <w:t>2011</w:t>
            </w:r>
          </w:p>
        </w:tc>
        <w:tc>
          <w:tcPr>
            <w:tcW w:w="799" w:type="pct"/>
            <w:shd w:val="clear" w:color="auto" w:fill="auto"/>
            <w:hideMark/>
          </w:tcPr>
          <w:p w:rsidR="003E3038" w:rsidRPr="002A4E4A" w:rsidRDefault="003E3038" w:rsidP="002A4E4A">
            <w:pPr>
              <w:pStyle w:val="SingleTxtG"/>
              <w:spacing w:before="40"/>
              <w:ind w:left="0" w:right="0"/>
              <w:jc w:val="left"/>
            </w:pPr>
            <w:r w:rsidRPr="002A4E4A">
              <w:t>2008</w:t>
            </w:r>
          </w:p>
        </w:tc>
        <w:tc>
          <w:tcPr>
            <w:tcW w:w="1293" w:type="pct"/>
            <w:shd w:val="clear" w:color="auto" w:fill="auto"/>
          </w:tcPr>
          <w:p w:rsidR="003E3038" w:rsidRPr="002A4E4A" w:rsidRDefault="003E3038" w:rsidP="002A4E4A">
            <w:pPr>
              <w:pStyle w:val="SingleTxtG"/>
              <w:spacing w:before="40"/>
              <w:ind w:left="0" w:right="0"/>
              <w:jc w:val="left"/>
            </w:pPr>
          </w:p>
        </w:tc>
      </w:tr>
      <w:tr w:rsidR="002A4E4A" w:rsidRPr="002A4E4A" w:rsidTr="008C177A">
        <w:trPr>
          <w:trHeight w:val="240"/>
        </w:trPr>
        <w:tc>
          <w:tcPr>
            <w:tcW w:w="384" w:type="pct"/>
            <w:shd w:val="clear" w:color="auto" w:fill="auto"/>
            <w:hideMark/>
          </w:tcPr>
          <w:p w:rsidR="003E3038" w:rsidRPr="002A4E4A" w:rsidRDefault="003E3038" w:rsidP="002A4E4A">
            <w:pPr>
              <w:pStyle w:val="SingleTxtG"/>
              <w:spacing w:before="40"/>
              <w:ind w:left="0" w:right="0"/>
              <w:jc w:val="left"/>
            </w:pPr>
            <w:r w:rsidRPr="002A4E4A">
              <w:t>6</w:t>
            </w:r>
          </w:p>
        </w:tc>
        <w:tc>
          <w:tcPr>
            <w:tcW w:w="1724" w:type="pct"/>
            <w:shd w:val="clear" w:color="auto" w:fill="auto"/>
            <w:hideMark/>
          </w:tcPr>
          <w:p w:rsidR="003E3038" w:rsidRPr="002A4E4A" w:rsidRDefault="003E3038" w:rsidP="002A4E4A">
            <w:pPr>
              <w:pStyle w:val="SingleTxtG"/>
              <w:spacing w:before="40"/>
              <w:ind w:left="0" w:right="0"/>
              <w:jc w:val="left"/>
            </w:pPr>
            <w:r w:rsidRPr="002A4E4A">
              <w:t>Protocolo de la Carta de Derechos Humanos y de los Pueblos relativo al Establecimiento de la Corte Africana de Derechos Humanos y de los Pueblos</w:t>
            </w:r>
          </w:p>
        </w:tc>
        <w:tc>
          <w:tcPr>
            <w:tcW w:w="800" w:type="pct"/>
            <w:shd w:val="clear" w:color="auto" w:fill="auto"/>
            <w:hideMark/>
          </w:tcPr>
          <w:p w:rsidR="003E3038" w:rsidRPr="002A4E4A" w:rsidRDefault="003E3038" w:rsidP="002A4E4A">
            <w:pPr>
              <w:pStyle w:val="SingleTxtG"/>
              <w:spacing w:before="40"/>
              <w:ind w:left="0" w:right="0"/>
              <w:jc w:val="left"/>
            </w:pPr>
            <w:r w:rsidRPr="002A4E4A">
              <w:t>1998</w:t>
            </w:r>
          </w:p>
        </w:tc>
        <w:tc>
          <w:tcPr>
            <w:tcW w:w="799" w:type="pct"/>
            <w:shd w:val="clear" w:color="auto" w:fill="auto"/>
            <w:hideMark/>
          </w:tcPr>
          <w:p w:rsidR="003E3038" w:rsidRPr="002A4E4A" w:rsidRDefault="003E3038" w:rsidP="002A4E4A">
            <w:pPr>
              <w:pStyle w:val="SingleTxtG"/>
              <w:spacing w:before="40"/>
              <w:ind w:left="0" w:right="0"/>
              <w:jc w:val="left"/>
            </w:pPr>
            <w:r w:rsidRPr="002A4E4A">
              <w:t>2005</w:t>
            </w:r>
          </w:p>
        </w:tc>
        <w:tc>
          <w:tcPr>
            <w:tcW w:w="1293" w:type="pct"/>
            <w:shd w:val="clear" w:color="auto" w:fill="auto"/>
          </w:tcPr>
          <w:p w:rsidR="003E3038" w:rsidRPr="002A4E4A" w:rsidRDefault="003E3038" w:rsidP="002A4E4A">
            <w:pPr>
              <w:pStyle w:val="SingleTxtG"/>
              <w:spacing w:before="40"/>
              <w:ind w:left="0" w:right="0"/>
              <w:jc w:val="left"/>
            </w:pPr>
          </w:p>
        </w:tc>
      </w:tr>
      <w:tr w:rsidR="002A4E4A" w:rsidRPr="002A4E4A" w:rsidTr="008C177A">
        <w:trPr>
          <w:trHeight w:val="240"/>
        </w:trPr>
        <w:tc>
          <w:tcPr>
            <w:tcW w:w="384" w:type="pct"/>
            <w:tcBorders>
              <w:bottom w:val="single" w:sz="12" w:space="0" w:color="auto"/>
            </w:tcBorders>
            <w:shd w:val="clear" w:color="auto" w:fill="auto"/>
            <w:hideMark/>
          </w:tcPr>
          <w:p w:rsidR="003E3038" w:rsidRPr="002A4E4A" w:rsidRDefault="003E3038" w:rsidP="002A4E4A">
            <w:pPr>
              <w:pStyle w:val="SingleTxtG"/>
              <w:spacing w:before="40"/>
              <w:ind w:left="0" w:right="0"/>
              <w:jc w:val="left"/>
            </w:pPr>
            <w:r w:rsidRPr="002A4E4A">
              <w:t>7</w:t>
            </w:r>
          </w:p>
        </w:tc>
        <w:tc>
          <w:tcPr>
            <w:tcW w:w="1724" w:type="pct"/>
            <w:tcBorders>
              <w:bottom w:val="single" w:sz="12" w:space="0" w:color="auto"/>
            </w:tcBorders>
            <w:shd w:val="clear" w:color="auto" w:fill="auto"/>
            <w:hideMark/>
          </w:tcPr>
          <w:p w:rsidR="003E3038" w:rsidRPr="002A4E4A" w:rsidRDefault="003E3038" w:rsidP="002A4E4A">
            <w:pPr>
              <w:pStyle w:val="SingleTxtG"/>
              <w:spacing w:before="40"/>
              <w:ind w:left="0" w:right="0"/>
              <w:jc w:val="left"/>
            </w:pPr>
            <w:r w:rsidRPr="002A4E4A">
              <w:t>Convención que Regula los Aspectos Específicos de los Problemas de los Refugiados en África</w:t>
            </w:r>
          </w:p>
        </w:tc>
        <w:tc>
          <w:tcPr>
            <w:tcW w:w="800" w:type="pct"/>
            <w:tcBorders>
              <w:bottom w:val="single" w:sz="12" w:space="0" w:color="auto"/>
            </w:tcBorders>
            <w:shd w:val="clear" w:color="auto" w:fill="auto"/>
            <w:hideMark/>
          </w:tcPr>
          <w:p w:rsidR="003E3038" w:rsidRPr="002A4E4A" w:rsidRDefault="003E3038" w:rsidP="002A4E4A">
            <w:pPr>
              <w:pStyle w:val="SingleTxtG"/>
              <w:spacing w:before="40"/>
              <w:ind w:left="0" w:right="0"/>
              <w:jc w:val="left"/>
            </w:pPr>
            <w:r w:rsidRPr="002A4E4A">
              <w:t>1969</w:t>
            </w:r>
          </w:p>
        </w:tc>
        <w:tc>
          <w:tcPr>
            <w:tcW w:w="799" w:type="pct"/>
            <w:tcBorders>
              <w:bottom w:val="single" w:sz="12" w:space="0" w:color="auto"/>
            </w:tcBorders>
            <w:shd w:val="clear" w:color="auto" w:fill="auto"/>
            <w:hideMark/>
          </w:tcPr>
          <w:p w:rsidR="003E3038" w:rsidRPr="002A4E4A" w:rsidRDefault="003E3038" w:rsidP="002A4E4A">
            <w:pPr>
              <w:pStyle w:val="SingleTxtG"/>
              <w:spacing w:before="40"/>
              <w:ind w:left="0" w:right="0"/>
              <w:jc w:val="left"/>
            </w:pPr>
            <w:r w:rsidRPr="002A4E4A">
              <w:t>1972</w:t>
            </w:r>
          </w:p>
        </w:tc>
        <w:tc>
          <w:tcPr>
            <w:tcW w:w="1293" w:type="pct"/>
            <w:tcBorders>
              <w:bottom w:val="single" w:sz="12" w:space="0" w:color="auto"/>
            </w:tcBorders>
            <w:shd w:val="clear" w:color="auto" w:fill="auto"/>
          </w:tcPr>
          <w:p w:rsidR="003E3038" w:rsidRPr="002A4E4A" w:rsidRDefault="003E3038" w:rsidP="002A4E4A">
            <w:pPr>
              <w:pStyle w:val="SingleTxtG"/>
              <w:spacing w:before="40"/>
              <w:ind w:left="0" w:right="0"/>
              <w:jc w:val="left"/>
            </w:pPr>
          </w:p>
        </w:tc>
      </w:tr>
    </w:tbl>
    <w:p w:rsidR="003E3038" w:rsidRPr="003E3038" w:rsidRDefault="002A4E4A" w:rsidP="002A4E4A">
      <w:pPr>
        <w:pStyle w:val="H23G"/>
      </w:pPr>
      <w:r>
        <w:tab/>
      </w:r>
      <w:r w:rsidR="003E3038" w:rsidRPr="003E3038">
        <w:t>3.</w:t>
      </w:r>
      <w:r w:rsidR="003E3038" w:rsidRPr="003E3038">
        <w:tab/>
        <w:t>Marco jurídico para la protección de los derechos humanos a nivel nacional</w:t>
      </w:r>
      <w:bookmarkEnd w:id="50"/>
      <w:bookmarkEnd w:id="51"/>
      <w:bookmarkEnd w:id="52"/>
      <w:bookmarkEnd w:id="53"/>
      <w:bookmarkEnd w:id="54"/>
      <w:bookmarkEnd w:id="55"/>
    </w:p>
    <w:p w:rsidR="003E3038" w:rsidRPr="003E3038" w:rsidRDefault="002A4E4A" w:rsidP="002A4E4A">
      <w:pPr>
        <w:pStyle w:val="H23G"/>
      </w:pPr>
      <w:bookmarkStart w:id="56" w:name="_Toc454388709"/>
      <w:bookmarkStart w:id="57" w:name="_Toc453672870"/>
      <w:bookmarkStart w:id="58" w:name="_Toc455364127"/>
      <w:r>
        <w:tab/>
      </w:r>
      <w:r w:rsidR="003E3038" w:rsidRPr="003E3038">
        <w:t>a)</w:t>
      </w:r>
      <w:r w:rsidR="003E3038" w:rsidRPr="003E3038">
        <w:tab/>
        <w:t xml:space="preserve">La consagración constitucional </w:t>
      </w:r>
      <w:bookmarkEnd w:id="56"/>
      <w:bookmarkEnd w:id="57"/>
      <w:bookmarkEnd w:id="58"/>
    </w:p>
    <w:p w:rsidR="003E3038" w:rsidRPr="003E3038" w:rsidRDefault="003E3038" w:rsidP="003E3038">
      <w:pPr>
        <w:pStyle w:val="SingleTxtG"/>
      </w:pPr>
      <w:r w:rsidRPr="003E3038">
        <w:t>33.</w:t>
      </w:r>
      <w:r w:rsidRPr="003E3038">
        <w:tab/>
        <w:t xml:space="preserve">La Constitución de la República Islámica de Mauritania consagra en su preámbulo los derechos humanos: </w:t>
      </w:r>
      <w:r w:rsidR="00734DBC">
        <w:t>“</w:t>
      </w:r>
      <w:r w:rsidRPr="003E3038">
        <w:t>El pueblo mauritano, inspirado en sus valores espirituales y el prestigio de su civilización, proclama solemnemente su adhesión al islam y a los principios de la democracia, tal como se definen en la Declaración Universal de Derechos Humanos, de 10 de diciembre de 1948, y en la Carta Africana de Derechos Humanos y de los Pueblos, de 28 de junio de 1981, así como en otros instrumentos internacionales que Mauritania ha suscrito</w:t>
      </w:r>
      <w:r w:rsidR="00734DBC">
        <w:t>”</w:t>
      </w:r>
      <w:r w:rsidRPr="003E3038">
        <w:t>. La Constitución protege todos los derechos y las libertades consagrados en los instrumentos en que Mauritania es parte.</w:t>
      </w:r>
      <w:bookmarkStart w:id="59" w:name="_Toc453672871"/>
    </w:p>
    <w:p w:rsidR="003E3038" w:rsidRPr="003E3038" w:rsidRDefault="002A4E4A" w:rsidP="002A4E4A">
      <w:pPr>
        <w:pStyle w:val="H23G"/>
      </w:pPr>
      <w:bookmarkStart w:id="60" w:name="_Toc454388710"/>
      <w:bookmarkStart w:id="61" w:name="_Toc455364128"/>
      <w:r>
        <w:tab/>
      </w:r>
      <w:r w:rsidR="003E3038" w:rsidRPr="003E3038">
        <w:t>b)</w:t>
      </w:r>
      <w:r w:rsidR="003E3038" w:rsidRPr="003E3038">
        <w:tab/>
        <w:t xml:space="preserve"> Incorporación de los instrumentos internacionales de derechos humanos</w:t>
      </w:r>
      <w:bookmarkEnd w:id="59"/>
      <w:bookmarkEnd w:id="60"/>
      <w:bookmarkEnd w:id="61"/>
    </w:p>
    <w:p w:rsidR="003E3038" w:rsidRPr="003E3038" w:rsidRDefault="003E3038" w:rsidP="003E3038">
      <w:pPr>
        <w:pStyle w:val="SingleTxtG"/>
      </w:pPr>
      <w:r w:rsidRPr="003E3038">
        <w:t>34.</w:t>
      </w:r>
      <w:r w:rsidRPr="003E3038">
        <w:tab/>
        <w:t xml:space="preserve">Dado que el país se rige por un sistema monista, los instrumentos internacionales de derechos humanos ratificados por Mauritania se incorporan en el ordenamiento jurídico nacional de conformidad con el artículo 80 de la Constitución. </w:t>
      </w:r>
    </w:p>
    <w:p w:rsidR="003E3038" w:rsidRPr="003E3038" w:rsidRDefault="00471F4D" w:rsidP="00471F4D">
      <w:pPr>
        <w:pStyle w:val="H23G"/>
      </w:pPr>
      <w:bookmarkStart w:id="62" w:name="_Toc453672872"/>
      <w:bookmarkStart w:id="63" w:name="_Toc455364129"/>
      <w:r>
        <w:tab/>
      </w:r>
      <w:r w:rsidR="003E3038" w:rsidRPr="003E3038">
        <w:t>c)</w:t>
      </w:r>
      <w:r w:rsidR="003E3038" w:rsidRPr="003E3038">
        <w:tab/>
        <w:t>Autoridades competentes en materia de derechos humanos</w:t>
      </w:r>
      <w:bookmarkEnd w:id="62"/>
      <w:bookmarkEnd w:id="63"/>
    </w:p>
    <w:p w:rsidR="003E3038" w:rsidRPr="003E3038" w:rsidRDefault="003E3038" w:rsidP="003E3038">
      <w:pPr>
        <w:pStyle w:val="SingleTxtG"/>
      </w:pPr>
      <w:r w:rsidRPr="003E3038">
        <w:t>35.</w:t>
      </w:r>
      <w:r w:rsidRPr="003E3038">
        <w:tab/>
        <w:t xml:space="preserve">El Consejo Constitucional, los tribunales, el Comisionado para los Derechos Humanos y la Asistencia Humanitaria, la Comisión Nacional de Derechos Humanos, los correspondientes organismos ministeriales, el Defensor del Pueblo, el Consejo Superior de la Fetua y los Recursos de Gracia y el Mecanismo Nacional de Prevención de la Tortura son las principales autoridades con jurisdicción nacional sobre los asuntos relacionados con sus respectivas funciones. </w:t>
      </w:r>
    </w:p>
    <w:p w:rsidR="003E3038" w:rsidRPr="003E3038" w:rsidRDefault="002A4E4A" w:rsidP="002A4E4A">
      <w:pPr>
        <w:pStyle w:val="H23G"/>
      </w:pPr>
      <w:bookmarkStart w:id="64" w:name="_Toc454388711"/>
      <w:bookmarkStart w:id="65" w:name="_Toc455364130"/>
      <w:r>
        <w:lastRenderedPageBreak/>
        <w:tab/>
      </w:r>
      <w:r w:rsidR="003E3038" w:rsidRPr="003E3038">
        <w:t>d)</w:t>
      </w:r>
      <w:r w:rsidR="003E3038" w:rsidRPr="003E3038">
        <w:tab/>
        <w:t>Invocación ante los tribunales</w:t>
      </w:r>
      <w:bookmarkEnd w:id="64"/>
      <w:bookmarkEnd w:id="65"/>
    </w:p>
    <w:p w:rsidR="003E3038" w:rsidRPr="003E3038" w:rsidRDefault="003E3038" w:rsidP="003E3038">
      <w:pPr>
        <w:pStyle w:val="SingleTxtG"/>
      </w:pPr>
      <w:r w:rsidRPr="003E3038">
        <w:t>36.</w:t>
      </w:r>
      <w:r w:rsidRPr="003E3038">
        <w:tab/>
        <w:t xml:space="preserve">Todas las disposiciones de las convenciones ratificadas por Mauritania pueden invocarse ante los tribunales y los jueces están obligados a aplicarlas. </w:t>
      </w:r>
    </w:p>
    <w:p w:rsidR="003E3038" w:rsidRPr="003E3038" w:rsidRDefault="002A4E4A" w:rsidP="002A4E4A">
      <w:pPr>
        <w:pStyle w:val="H23G"/>
      </w:pPr>
      <w:bookmarkStart w:id="66" w:name="_Toc453672873"/>
      <w:bookmarkStart w:id="67" w:name="_Toc454388712"/>
      <w:bookmarkStart w:id="68" w:name="_Toc455364131"/>
      <w:r>
        <w:tab/>
      </w:r>
      <w:r w:rsidR="003E3038" w:rsidRPr="003E3038">
        <w:t>e)</w:t>
      </w:r>
      <w:r w:rsidR="003E3038" w:rsidRPr="003E3038">
        <w:tab/>
        <w:t>Ejercicio de los recursos legales</w:t>
      </w:r>
      <w:bookmarkEnd w:id="66"/>
      <w:bookmarkEnd w:id="67"/>
      <w:bookmarkEnd w:id="68"/>
    </w:p>
    <w:p w:rsidR="003E3038" w:rsidRPr="003E3038" w:rsidRDefault="003E3038" w:rsidP="003E3038">
      <w:pPr>
        <w:pStyle w:val="SingleTxtG"/>
      </w:pPr>
      <w:r w:rsidRPr="003E3038">
        <w:t>37.</w:t>
      </w:r>
      <w:r w:rsidRPr="003E3038">
        <w:tab/>
        <w:t>Existen recursos administrativos y judiciales que pueden conducir a una reparación civil o la aplicación de sanciones administrativas y/o penales a su autor.</w:t>
      </w:r>
    </w:p>
    <w:p w:rsidR="003E3038" w:rsidRPr="003E3038" w:rsidRDefault="002A4E4A" w:rsidP="002A4E4A">
      <w:pPr>
        <w:pStyle w:val="H23G"/>
      </w:pPr>
      <w:bookmarkStart w:id="69" w:name="_Toc453672874"/>
      <w:bookmarkStart w:id="70" w:name="_Toc454388713"/>
      <w:bookmarkStart w:id="71" w:name="_Toc455364132"/>
      <w:r>
        <w:tab/>
      </w:r>
      <w:r w:rsidR="003E3038" w:rsidRPr="003E3038">
        <w:t>f)</w:t>
      </w:r>
      <w:r w:rsidR="003E3038" w:rsidRPr="003E3038">
        <w:tab/>
        <w:t xml:space="preserve">Mecanismos nacionales de protección y promoción de los derechos humanos </w:t>
      </w:r>
      <w:bookmarkEnd w:id="69"/>
      <w:bookmarkEnd w:id="70"/>
      <w:bookmarkEnd w:id="71"/>
    </w:p>
    <w:p w:rsidR="003E3038" w:rsidRPr="003E3038" w:rsidRDefault="003E3038" w:rsidP="003E3038">
      <w:pPr>
        <w:pStyle w:val="SingleTxtG"/>
      </w:pPr>
      <w:r w:rsidRPr="003E3038">
        <w:t>38.</w:t>
      </w:r>
      <w:r w:rsidRPr="003E3038">
        <w:tab/>
        <w:t>El Comisionado para los Derechos Humanos y la Acción Humanitaria se encarga de elaborar y aplicar la política nacional de promoción, defensa y protección de los derechos humanos.</w:t>
      </w:r>
    </w:p>
    <w:p w:rsidR="003E3038" w:rsidRPr="003E3038" w:rsidRDefault="003E3038" w:rsidP="003E3038">
      <w:pPr>
        <w:pStyle w:val="SingleTxtG"/>
      </w:pPr>
      <w:r w:rsidRPr="003E3038">
        <w:t>39.</w:t>
      </w:r>
      <w:r w:rsidRPr="003E3038">
        <w:tab/>
        <w:t>El Ministerio de Asuntos Sociales, Infancia y Familia se encarga principalmente de proponer proyectos y programas encaminados a garantizar el adelanto de la mujer, su integración en el proceso de desarrollo y la promoción y protección de los derechos del niño, de las personas con discapacidad y de las personas de edad.</w:t>
      </w:r>
    </w:p>
    <w:p w:rsidR="003E3038" w:rsidRPr="003E3038" w:rsidRDefault="003E3038" w:rsidP="003E3038">
      <w:pPr>
        <w:pStyle w:val="SingleTxtG"/>
      </w:pPr>
      <w:r w:rsidRPr="003E3038">
        <w:t>40.</w:t>
      </w:r>
      <w:r w:rsidRPr="003E3038">
        <w:tab/>
        <w:t xml:space="preserve">La Comisión Nacional de Derechos Humanos, de carácter independiente, se encarga de emitir, a instancias del Gobierno o por iniciativa propia, una opinión consultiva sobre las cuestiones de carácter general o específico que atañen a la promoción y protección de los derechos humanos y al respeto de las libertades individuales y colectivas. </w:t>
      </w:r>
    </w:p>
    <w:p w:rsidR="003E3038" w:rsidRPr="003E3038" w:rsidRDefault="003E3038" w:rsidP="003E3038">
      <w:pPr>
        <w:pStyle w:val="SingleTxtG"/>
      </w:pPr>
      <w:r w:rsidRPr="003E3038">
        <w:t>41.</w:t>
      </w:r>
      <w:r w:rsidRPr="003E3038">
        <w:tab/>
        <w:t>Reconocida desde mayo de 2011</w:t>
      </w:r>
      <w:r w:rsidR="00734DBC">
        <w:t xml:space="preserve"> </w:t>
      </w:r>
      <w:r w:rsidRPr="003E3038">
        <w:t>como institución nacional de derechos humanos de la categoría A por el Comité Internacional de Coordinación de las Instituciones Nacionales de Derechos Humanos, la Comisión pasó a considerarse institución constitucional en 2012.</w:t>
      </w:r>
    </w:p>
    <w:p w:rsidR="003E3038" w:rsidRPr="003E3038" w:rsidRDefault="003E3038" w:rsidP="003E3038">
      <w:pPr>
        <w:pStyle w:val="SingleTxtG"/>
      </w:pPr>
      <w:r w:rsidRPr="003E3038">
        <w:t>42.</w:t>
      </w:r>
      <w:r w:rsidRPr="003E3038">
        <w:tab/>
        <w:t>La Comisión está compuesta en su mayoría por representantes de organizaciones de la sociedad civil, asociaciones profesionales con derecho de voto y representantes de distintas entidades interesadas sin derecho de voto. La Comisión se financia con cargo a una partida específica del presupuesto del Estado.</w:t>
      </w:r>
    </w:p>
    <w:p w:rsidR="003E3038" w:rsidRPr="003E3038" w:rsidRDefault="003E3038" w:rsidP="003E3038">
      <w:pPr>
        <w:pStyle w:val="SingleTxtG"/>
      </w:pPr>
      <w:r w:rsidRPr="003E3038">
        <w:t>43.</w:t>
      </w:r>
      <w:r w:rsidRPr="003E3038">
        <w:tab/>
        <w:t>Los poderes públicos y las organizaciones de defensa de los derechos humanos recurren a la prensa y a talleres y otros medios de promoción</w:t>
      </w:r>
      <w:r w:rsidRPr="003E3038" w:rsidDel="00EE0ED7">
        <w:t xml:space="preserve"> </w:t>
      </w:r>
      <w:r w:rsidRPr="003E3038">
        <w:t>para divulgar los diferentes instrumentos y convenciones en los que Mauritania es parte, y los hace accesibles traduciéndolos a las diferentes lenguas nacionales cuando es preciso.</w:t>
      </w:r>
    </w:p>
    <w:p w:rsidR="003E3038" w:rsidRPr="003E3038" w:rsidRDefault="003E3038" w:rsidP="003E3038">
      <w:pPr>
        <w:pStyle w:val="SingleTxtG"/>
      </w:pPr>
      <w:r w:rsidRPr="003E3038">
        <w:t>44.</w:t>
      </w:r>
      <w:r w:rsidRPr="003E3038">
        <w:tab/>
        <w:t>El Parlamento legisla y armoniza la legislación nacional con las disposiciones de las normas internacionales ratificadas. El grupo parlamentario encargado de los derechos humanos vela por la promoción y difusión de los principios de derechos humanos y su protección.</w:t>
      </w:r>
    </w:p>
    <w:p w:rsidR="003E3038" w:rsidRPr="003E3038" w:rsidRDefault="003E3038" w:rsidP="003E3038">
      <w:pPr>
        <w:pStyle w:val="SingleTxtG"/>
      </w:pPr>
      <w:r w:rsidRPr="003E3038">
        <w:t>45.</w:t>
      </w:r>
      <w:r w:rsidRPr="003E3038">
        <w:tab/>
        <w:t>El Mecanismo Nacional de Prevención de la Tortura vela por el cumplimiento de la legislación vigente en ese ámbito.</w:t>
      </w:r>
    </w:p>
    <w:p w:rsidR="003E3038" w:rsidRPr="003E3038" w:rsidRDefault="003E3038" w:rsidP="003E3038">
      <w:pPr>
        <w:pStyle w:val="SingleTxtG"/>
      </w:pPr>
      <w:r w:rsidRPr="003E3038">
        <w:t>46.</w:t>
      </w:r>
      <w:r w:rsidRPr="003E3038">
        <w:tab/>
        <w:t>El Consejo Superior de la Fetua y los Recursos de Gracia también hace lo propio en su ámbito de competencia.</w:t>
      </w:r>
    </w:p>
    <w:p w:rsidR="003E3038" w:rsidRPr="003E3038" w:rsidRDefault="003E3038" w:rsidP="003E3038">
      <w:pPr>
        <w:pStyle w:val="SingleTxtG"/>
      </w:pPr>
      <w:r w:rsidRPr="003E3038">
        <w:t>47.</w:t>
      </w:r>
      <w:r w:rsidRPr="003E3038">
        <w:tab/>
        <w:t>Las asociacio</w:t>
      </w:r>
      <w:r w:rsidR="00471F4D">
        <w:t>nes se rigen por la Ley núm. 64</w:t>
      </w:r>
      <w:r w:rsidRPr="003E3038">
        <w:t xml:space="preserve">098, de 9 de junio 1964, modificada por las </w:t>
      </w:r>
      <w:r w:rsidR="00471F4D">
        <w:t>L</w:t>
      </w:r>
      <w:r w:rsidRPr="003E3038">
        <w:t>eyes núm. 73007, de 23 de junio de 1973, y núm. 73157, de 2 de julio de 1973. Más de 6.028 organizaciones no gubernamentales (ONG) nacionales y 57 internacionales ejercen su actividad en el país. El número de asociaciones ha aumentado considerablemente desde 2008, cuando solo había 1.106. Las asociaciones trabajan en ámbitos como los derechos humanos, el sector social, el desarrollo, la salud, el medio ambiente, la cultura, los deportes y las artes. Esas asociaciones pueden solicitar la aplicación de una exención fiscal respecto de la adquisición del material necesario para llevar a cabo sus actividades. La aplicación de esa exención es automática cuando la asociación es declarada de utilidad pública.</w:t>
      </w:r>
    </w:p>
    <w:p w:rsidR="003E3038" w:rsidRPr="003E3038" w:rsidRDefault="002A4E4A" w:rsidP="002A4E4A">
      <w:pPr>
        <w:pStyle w:val="H23G"/>
      </w:pPr>
      <w:bookmarkStart w:id="72" w:name="_Toc453672875"/>
      <w:bookmarkStart w:id="73" w:name="_Toc454388714"/>
      <w:bookmarkStart w:id="74" w:name="_Toc455364133"/>
      <w:r>
        <w:lastRenderedPageBreak/>
        <w:tab/>
      </w:r>
      <w:r w:rsidR="003E3038" w:rsidRPr="003E3038">
        <w:t>g)</w:t>
      </w:r>
      <w:r w:rsidR="003E3038" w:rsidRPr="003E3038">
        <w:tab/>
        <w:t xml:space="preserve">Reconocimiento de la competencia de un tribunal regional de derechos humanos </w:t>
      </w:r>
      <w:r>
        <w:br/>
      </w:r>
      <w:r w:rsidR="003E3038" w:rsidRPr="003E3038">
        <w:t xml:space="preserve">o de un mecanismo de esa índole </w:t>
      </w:r>
      <w:bookmarkEnd w:id="72"/>
      <w:bookmarkEnd w:id="73"/>
      <w:bookmarkEnd w:id="74"/>
    </w:p>
    <w:p w:rsidR="003E3038" w:rsidRPr="003E3038" w:rsidRDefault="003E3038" w:rsidP="003E3038">
      <w:pPr>
        <w:pStyle w:val="SingleTxtG"/>
      </w:pPr>
      <w:r w:rsidRPr="003E3038">
        <w:t>48.</w:t>
      </w:r>
      <w:r w:rsidRPr="003E3038">
        <w:tab/>
        <w:t xml:space="preserve">Mauritania ha reconocido la competencia de la Corte Africana de Derechos Humanos y de los Pueblos. </w:t>
      </w:r>
      <w:bookmarkStart w:id="75" w:name="_Toc453672876"/>
    </w:p>
    <w:p w:rsidR="003E3038" w:rsidRPr="003E3038" w:rsidRDefault="002A4E4A" w:rsidP="002A4E4A">
      <w:pPr>
        <w:pStyle w:val="H23G"/>
      </w:pPr>
      <w:bookmarkStart w:id="76" w:name="_Toc455364134"/>
      <w:r>
        <w:tab/>
      </w:r>
      <w:r w:rsidR="003E3038" w:rsidRPr="003E3038">
        <w:t>h)</w:t>
      </w:r>
      <w:r w:rsidR="003E3038" w:rsidRPr="003E3038">
        <w:tab/>
        <w:t>Difusión de los instrumentos de derechos humanos</w:t>
      </w:r>
      <w:bookmarkEnd w:id="75"/>
      <w:bookmarkEnd w:id="76"/>
    </w:p>
    <w:p w:rsidR="003E3038" w:rsidRPr="003E3038" w:rsidRDefault="003E3038" w:rsidP="003E3038">
      <w:pPr>
        <w:pStyle w:val="SingleTxtG"/>
      </w:pPr>
      <w:r w:rsidRPr="003E3038">
        <w:t>49.</w:t>
      </w:r>
      <w:r w:rsidRPr="003E3038">
        <w:tab/>
        <w:t>Varias convenciones han sido objeto de campañas de información y concienciación. Entre otras, cabe mencionar las siguient</w:t>
      </w:r>
      <w:r w:rsidR="00471F4D">
        <w:t>es.</w:t>
      </w:r>
    </w:p>
    <w:p w:rsidR="003E3038" w:rsidRPr="003E3038" w:rsidRDefault="003E3038" w:rsidP="003E3038">
      <w:pPr>
        <w:pStyle w:val="SingleTxtG"/>
      </w:pPr>
      <w:bookmarkStart w:id="77" w:name="_Toc454388715"/>
      <w:r w:rsidRPr="003E3038">
        <w:t>50.</w:t>
      </w:r>
      <w:r w:rsidRPr="003E3038">
        <w:tab/>
        <w:t>La Convención sobre la Eliminación de Todas las Formas de Discriminación contra la Mujer. La difusión de esta Convención se ha reflejado en:</w:t>
      </w:r>
      <w:bookmarkEnd w:id="77"/>
    </w:p>
    <w:p w:rsidR="003E3038" w:rsidRPr="003E3038" w:rsidRDefault="003E3038" w:rsidP="002A4E4A">
      <w:pPr>
        <w:pStyle w:val="Bullet1G"/>
      </w:pPr>
      <w:r w:rsidRPr="003E3038">
        <w:t xml:space="preserve">Su traducción </w:t>
      </w:r>
      <w:r w:rsidR="00471F4D">
        <w:t>a las cuatro lenguas nacionales;</w:t>
      </w:r>
    </w:p>
    <w:p w:rsidR="003E3038" w:rsidRPr="003E3038" w:rsidRDefault="003E3038" w:rsidP="002A4E4A">
      <w:pPr>
        <w:pStyle w:val="Bullet1G"/>
      </w:pPr>
      <w:r w:rsidRPr="003E3038">
        <w:t>Su simplificación mediante una guía y la organización de campañas de concienciación a gran escala, a través de los medios de comunicació</w:t>
      </w:r>
      <w:r w:rsidR="00471F4D">
        <w:t>n públicos (radio y televisión);</w:t>
      </w:r>
    </w:p>
    <w:p w:rsidR="003E3038" w:rsidRPr="003E3038" w:rsidRDefault="003E3038" w:rsidP="002A4E4A">
      <w:pPr>
        <w:pStyle w:val="Bullet1G"/>
      </w:pPr>
      <w:r w:rsidRPr="003E3038">
        <w:t>Campañas</w:t>
      </w:r>
      <w:r w:rsidR="00471F4D">
        <w:t xml:space="preserve"> locales realizadas por las ONG;</w:t>
      </w:r>
    </w:p>
    <w:p w:rsidR="003E3038" w:rsidRPr="003E3038" w:rsidRDefault="003E3038" w:rsidP="002A4E4A">
      <w:pPr>
        <w:pStyle w:val="Bullet1G"/>
      </w:pPr>
      <w:r w:rsidRPr="003E3038">
        <w:t>Otros programas supervisados por la dependencia de comunicación del Ministerio de Asuntos Sociales, Infancia y Familia a través de sus oficinas de coordinación regionales.</w:t>
      </w:r>
    </w:p>
    <w:p w:rsidR="003E3038" w:rsidRPr="003E3038" w:rsidRDefault="003E3038" w:rsidP="003E3038">
      <w:pPr>
        <w:pStyle w:val="SingleTxtG"/>
      </w:pPr>
      <w:bookmarkStart w:id="78" w:name="_Toc454388716"/>
      <w:r w:rsidRPr="003E3038">
        <w:t>51.</w:t>
      </w:r>
      <w:r w:rsidRPr="003E3038">
        <w:tab/>
        <w:t>La Convención sobre los Derechos del Niño. La difusión de este instrumento se llevó a cabo mediante:</w:t>
      </w:r>
      <w:bookmarkEnd w:id="78"/>
    </w:p>
    <w:p w:rsidR="003E3038" w:rsidRPr="003E3038" w:rsidRDefault="003E3038" w:rsidP="002A4E4A">
      <w:pPr>
        <w:pStyle w:val="Bullet1G"/>
      </w:pPr>
      <w:r w:rsidRPr="003E3038">
        <w:t>La elaboración y distribución de una guía s</w:t>
      </w:r>
      <w:r w:rsidR="00471F4D">
        <w:t>implificada sobre la Convención;</w:t>
      </w:r>
    </w:p>
    <w:p w:rsidR="003E3038" w:rsidRPr="003E3038" w:rsidRDefault="003E3038" w:rsidP="002A4E4A">
      <w:pPr>
        <w:pStyle w:val="Bullet1G"/>
      </w:pPr>
      <w:r w:rsidRPr="003E3038">
        <w:t>La creación en las regiones de movimientos en favor de los derechos del niño, integrados esencialmente por dependencias departamentales encargadas de</w:t>
      </w:r>
      <w:r w:rsidR="00471F4D">
        <w:t xml:space="preserve"> la promoción de esos derechos;</w:t>
      </w:r>
    </w:p>
    <w:p w:rsidR="003E3038" w:rsidRPr="003E3038" w:rsidRDefault="003E3038" w:rsidP="002A4E4A">
      <w:pPr>
        <w:pStyle w:val="Bullet1G"/>
      </w:pPr>
      <w:r w:rsidRPr="003E3038">
        <w:t>La organización anual de campañas de concienciación sobre los derechos del niño con motivo de la c</w:t>
      </w:r>
      <w:r w:rsidR="00471F4D">
        <w:t>elebración de los días del niño;</w:t>
      </w:r>
    </w:p>
    <w:p w:rsidR="003E3038" w:rsidRPr="003E3038" w:rsidRDefault="003E3038" w:rsidP="002A4E4A">
      <w:pPr>
        <w:pStyle w:val="Bullet1G"/>
      </w:pPr>
      <w:r w:rsidRPr="003E3038">
        <w:t>La capacitación de entidades de la sociedad civil sobre cuestiones relacionadas con los derechos del niño.</w:t>
      </w:r>
    </w:p>
    <w:p w:rsidR="003E3038" w:rsidRPr="003E3038" w:rsidRDefault="003E3038" w:rsidP="003E3038">
      <w:pPr>
        <w:pStyle w:val="SingleTxtG"/>
      </w:pPr>
      <w:bookmarkStart w:id="79" w:name="_Toc454388717"/>
      <w:r w:rsidRPr="003E3038">
        <w:t>52.</w:t>
      </w:r>
      <w:r w:rsidRPr="003E3038">
        <w:tab/>
        <w:t>La Convención Internacional sobre los Derechos de las Personas con Discapacidad. La difusión de esta Convención se llevó a cabo mediante:</w:t>
      </w:r>
      <w:bookmarkEnd w:id="79"/>
    </w:p>
    <w:p w:rsidR="003E3038" w:rsidRPr="003E3038" w:rsidRDefault="003E3038" w:rsidP="002A4E4A">
      <w:pPr>
        <w:pStyle w:val="Bullet1G"/>
      </w:pPr>
      <w:r w:rsidRPr="003E3038">
        <w:t xml:space="preserve">La organización de campañas en todas las </w:t>
      </w:r>
      <w:r w:rsidRPr="003E3038">
        <w:rPr>
          <w:i/>
        </w:rPr>
        <w:t>ouilayas</w:t>
      </w:r>
      <w:r w:rsidR="00471F4D">
        <w:t xml:space="preserve"> del país;</w:t>
      </w:r>
    </w:p>
    <w:p w:rsidR="003E3038" w:rsidRPr="003E3038" w:rsidRDefault="003E3038" w:rsidP="002A4E4A">
      <w:pPr>
        <w:pStyle w:val="Bullet1G"/>
      </w:pPr>
      <w:r w:rsidRPr="003E3038">
        <w:t>La elaboración de una guía simplificada sobre las</w:t>
      </w:r>
      <w:r w:rsidR="00471F4D">
        <w:t xml:space="preserve"> disposiciones de la Convención;</w:t>
      </w:r>
    </w:p>
    <w:p w:rsidR="003E3038" w:rsidRPr="003E3038" w:rsidRDefault="003E3038" w:rsidP="002A4E4A">
      <w:pPr>
        <w:pStyle w:val="Bullet1G"/>
      </w:pPr>
      <w:r w:rsidRPr="003E3038">
        <w:t>La creación de varias organizaciones de personas discapacitadas.</w:t>
      </w:r>
    </w:p>
    <w:p w:rsidR="003E3038" w:rsidRPr="003E3038" w:rsidRDefault="003E3038" w:rsidP="003E3038">
      <w:pPr>
        <w:pStyle w:val="SingleTxtG"/>
      </w:pPr>
      <w:bookmarkStart w:id="80" w:name="_Toc454388718"/>
      <w:r w:rsidRPr="003E3038">
        <w:t>53.</w:t>
      </w:r>
      <w:r w:rsidRPr="003E3038">
        <w:tab/>
        <w:t>La Convención contra la Tortura y Otros Tratos o Penas Crueles, Inhumanos o Degradantes. Se organizaron varias actividades de divulgación de esta Convención:</w:t>
      </w:r>
      <w:bookmarkEnd w:id="80"/>
    </w:p>
    <w:p w:rsidR="003E3038" w:rsidRPr="003E3038" w:rsidRDefault="003E3038" w:rsidP="002A4E4A">
      <w:pPr>
        <w:pStyle w:val="Bullet1G"/>
      </w:pPr>
      <w:r w:rsidRPr="003E3038">
        <w:t>Seminarios de capacitación y concienciación para el personal de las fuerzas del orden sobre la prohibición de la tortura y otros tratos o penas c</w:t>
      </w:r>
      <w:r w:rsidR="00471F4D">
        <w:t>rueles, inhumanos o degradantes;</w:t>
      </w:r>
    </w:p>
    <w:p w:rsidR="003E3038" w:rsidRPr="003E3038" w:rsidRDefault="003E3038" w:rsidP="002A4E4A">
      <w:pPr>
        <w:pStyle w:val="Bullet1G"/>
      </w:pPr>
      <w:r w:rsidRPr="003E3038">
        <w:t>Talleres para magistrados y agentes de la policía judicial sobre la detención policial y la lucha contra la tortura.</w:t>
      </w:r>
    </w:p>
    <w:p w:rsidR="003E3038" w:rsidRPr="003E3038" w:rsidRDefault="003E3038" w:rsidP="003E3038">
      <w:pPr>
        <w:pStyle w:val="SingleTxtG"/>
      </w:pPr>
      <w:r w:rsidRPr="003E3038">
        <w:t>54.</w:t>
      </w:r>
      <w:r w:rsidRPr="003E3038">
        <w:tab/>
        <w:t>Las autoridades administrativas y judiciales tienen la obligación de investigar sistemáticamente todas las denuncias de tortura.</w:t>
      </w:r>
    </w:p>
    <w:p w:rsidR="003E3038" w:rsidRPr="003E3038" w:rsidRDefault="003E3038" w:rsidP="003E3038">
      <w:pPr>
        <w:pStyle w:val="SingleTxtG"/>
      </w:pPr>
      <w:r w:rsidRPr="003E3038">
        <w:t>55.</w:t>
      </w:r>
      <w:r w:rsidRPr="003E3038">
        <w:tab/>
        <w:t xml:space="preserve">Las sanciones aplicables son las establecidas en la Ley núm. 2015.033 de Represión de la Tortura, de 10 de septiembre de 2015. </w:t>
      </w:r>
    </w:p>
    <w:p w:rsidR="003E3038" w:rsidRPr="003E3038" w:rsidRDefault="003E3038" w:rsidP="003E3038">
      <w:pPr>
        <w:pStyle w:val="SingleTxtG"/>
      </w:pPr>
      <w:r w:rsidRPr="003E3038">
        <w:t>56.</w:t>
      </w:r>
      <w:r w:rsidRPr="003E3038">
        <w:tab/>
        <w:t xml:space="preserve">Todos los instrumentos internacionales sujetos al control de órganos de tratados ratificados por Mauritania han sido publicados en el </w:t>
      </w:r>
      <w:r w:rsidRPr="00471F4D">
        <w:rPr>
          <w:i/>
        </w:rPr>
        <w:t>Diario Oficial</w:t>
      </w:r>
      <w:r w:rsidRPr="003E3038">
        <w:t xml:space="preserve">. </w:t>
      </w:r>
    </w:p>
    <w:p w:rsidR="003E3038" w:rsidRPr="003E3038" w:rsidRDefault="002A4E4A" w:rsidP="002A4E4A">
      <w:pPr>
        <w:pStyle w:val="H23G"/>
      </w:pPr>
      <w:bookmarkStart w:id="81" w:name="_Toc453672877"/>
      <w:bookmarkStart w:id="82" w:name="_Toc454388719"/>
      <w:bookmarkStart w:id="83" w:name="_Toc455364135"/>
      <w:r>
        <w:lastRenderedPageBreak/>
        <w:tab/>
      </w:r>
      <w:r w:rsidR="003E3038" w:rsidRPr="003E3038">
        <w:t>i)</w:t>
      </w:r>
      <w:r w:rsidR="003E3038" w:rsidRPr="003E3038">
        <w:tab/>
        <w:t xml:space="preserve">Medidas de concienciación de los funcionarios públicos y otros profesionales </w:t>
      </w:r>
      <w:r>
        <w:br/>
      </w:r>
      <w:r w:rsidR="003E3038" w:rsidRPr="003E3038">
        <w:t xml:space="preserve">del ámbito de los derechos humanos </w:t>
      </w:r>
      <w:bookmarkEnd w:id="81"/>
      <w:bookmarkEnd w:id="82"/>
      <w:bookmarkEnd w:id="83"/>
    </w:p>
    <w:p w:rsidR="003E3038" w:rsidRPr="003E3038" w:rsidRDefault="003E3038" w:rsidP="003E3038">
      <w:pPr>
        <w:pStyle w:val="SingleTxtG"/>
      </w:pPr>
      <w:r w:rsidRPr="003E3038">
        <w:t>57.</w:t>
      </w:r>
      <w:r w:rsidRPr="003E3038">
        <w:tab/>
        <w:t>Se han puesto en marcha planes de acción destinados a concienciar y formar a los funcionarios en el respeto de los derechos humanos. El Ministerio de Justicia, el Comisionado para los Derechos Humanos y la Acción Humanitaria y la Comisión Nacional de Derechos Humanos organizaron seminarios para los agentes de las fuerzas del orden con el apoyo técnico de la Oficina del Alto Comisionado de las Naciones Unidas para los Derechos Humanos (ACNUDH) y la Asociación para la Prevención de la Tortura.</w:t>
      </w:r>
    </w:p>
    <w:p w:rsidR="003E3038" w:rsidRPr="003E3038" w:rsidRDefault="002A4E4A" w:rsidP="002A4E4A">
      <w:pPr>
        <w:pStyle w:val="H23G"/>
      </w:pPr>
      <w:bookmarkStart w:id="84" w:name="_Toc455364136"/>
      <w:r>
        <w:tab/>
      </w:r>
      <w:r w:rsidR="003E3038" w:rsidRPr="003E3038">
        <w:t>j)</w:t>
      </w:r>
      <w:r w:rsidR="003E3038" w:rsidRPr="003E3038">
        <w:tab/>
        <w:t xml:space="preserve">Medidas de concienciación aplicadas a través de programas educativos y </w:t>
      </w:r>
      <w:r>
        <w:br/>
      </w:r>
      <w:r w:rsidR="003E3038" w:rsidRPr="003E3038">
        <w:t xml:space="preserve">de difusión de información por medio de los </w:t>
      </w:r>
      <w:r w:rsidR="00734DBC" w:rsidRPr="00734DBC">
        <w:t>“</w:t>
      </w:r>
      <w:r w:rsidR="003E3038" w:rsidRPr="003E3038">
        <w:t>Clubes de Higiene, Salud y Medioambiente</w:t>
      </w:r>
      <w:r w:rsidR="00734DBC">
        <w:t>”</w:t>
      </w:r>
      <w:r w:rsidR="003E3038" w:rsidRPr="003E3038">
        <w:t>.</w:t>
      </w:r>
      <w:bookmarkEnd w:id="84"/>
    </w:p>
    <w:p w:rsidR="003E3038" w:rsidRPr="003E3038" w:rsidRDefault="003E3038" w:rsidP="003E3038">
      <w:pPr>
        <w:pStyle w:val="SingleTxtG"/>
      </w:pPr>
      <w:r w:rsidRPr="003E3038">
        <w:t>58.</w:t>
      </w:r>
      <w:r w:rsidRPr="003E3038">
        <w:tab/>
        <w:t xml:space="preserve">Una capacitación inicial (Escuela Normal de Magisterio; Escuela Normal Superior). </w:t>
      </w:r>
    </w:p>
    <w:p w:rsidR="003E3038" w:rsidRPr="003E3038" w:rsidRDefault="003E3038" w:rsidP="003E3038">
      <w:pPr>
        <w:pStyle w:val="SingleTxtG"/>
      </w:pPr>
      <w:r w:rsidRPr="003E3038">
        <w:t>59.</w:t>
      </w:r>
      <w:r w:rsidRPr="003E3038">
        <w:tab/>
        <w:t>Una capacitación continua (campañas de concienciación y módulos sobre temas específicos).</w:t>
      </w:r>
    </w:p>
    <w:p w:rsidR="003E3038" w:rsidRPr="003E3038" w:rsidRDefault="002A4E4A" w:rsidP="002A4E4A">
      <w:pPr>
        <w:pStyle w:val="H23G"/>
      </w:pPr>
      <w:bookmarkStart w:id="85" w:name="_Toc454388720"/>
      <w:bookmarkStart w:id="86" w:name="_Toc455360517"/>
      <w:bookmarkStart w:id="87" w:name="_Toc455364137"/>
      <w:bookmarkStart w:id="88" w:name="_Toc453672879"/>
      <w:r>
        <w:tab/>
      </w:r>
      <w:r w:rsidR="003E3038" w:rsidRPr="003E3038">
        <w:t>k)</w:t>
      </w:r>
      <w:r w:rsidR="003E3038" w:rsidRPr="003E3038">
        <w:tab/>
        <w:t xml:space="preserve">Actividades de concienciación en materia de derechos humanos a través de los </w:t>
      </w:r>
      <w:r>
        <w:br/>
      </w:r>
      <w:r w:rsidR="003E3038" w:rsidRPr="003E3038">
        <w:t xml:space="preserve">medios de comunicación </w:t>
      </w:r>
      <w:bookmarkEnd w:id="85"/>
      <w:bookmarkEnd w:id="86"/>
      <w:bookmarkEnd w:id="87"/>
      <w:bookmarkEnd w:id="88"/>
    </w:p>
    <w:p w:rsidR="003E3038" w:rsidRPr="003E3038" w:rsidRDefault="003E3038" w:rsidP="003E3038">
      <w:pPr>
        <w:pStyle w:val="SingleTxtG"/>
      </w:pPr>
      <w:r w:rsidRPr="003E3038">
        <w:t>60.</w:t>
      </w:r>
      <w:r w:rsidRPr="003E3038">
        <w:tab/>
        <w:t>Los medios de comunicación públicos y privados contribuyen a dar una difusión nacional a las actividades de promoción y protección de los derechos humanos. Periódicamente se programan emisiones de radio y televisión sobre cuestiones relacionadas con los derechos humanos.</w:t>
      </w:r>
      <w:bookmarkStart w:id="89" w:name="_Toc453672880"/>
    </w:p>
    <w:p w:rsidR="003E3038" w:rsidRPr="003E3038" w:rsidRDefault="002A4E4A" w:rsidP="002A4E4A">
      <w:pPr>
        <w:pStyle w:val="H23G"/>
      </w:pPr>
      <w:bookmarkStart w:id="90" w:name="_Toc455364138"/>
      <w:r>
        <w:tab/>
      </w:r>
      <w:r w:rsidR="003E3038" w:rsidRPr="003E3038">
        <w:t>l)</w:t>
      </w:r>
      <w:r w:rsidR="003E3038" w:rsidRPr="003E3038">
        <w:tab/>
        <w:t>Papel de la sociedad civil</w:t>
      </w:r>
      <w:bookmarkEnd w:id="89"/>
      <w:bookmarkEnd w:id="90"/>
    </w:p>
    <w:p w:rsidR="003E3038" w:rsidRPr="003E3038" w:rsidRDefault="003E3038" w:rsidP="003E3038">
      <w:pPr>
        <w:pStyle w:val="SingleTxtG"/>
      </w:pPr>
      <w:r w:rsidRPr="003E3038">
        <w:t>61.</w:t>
      </w:r>
      <w:r w:rsidRPr="003E3038">
        <w:tab/>
        <w:t xml:space="preserve">La sociedad civil, en colaboración con las autoridades, lleva a cabo programas de concienciación sobre los derechos humanos dirigidos al público en general. </w:t>
      </w:r>
      <w:bookmarkStart w:id="91" w:name="_Toc453672881"/>
    </w:p>
    <w:p w:rsidR="003E3038" w:rsidRPr="003E3038" w:rsidRDefault="002A4E4A" w:rsidP="002A4E4A">
      <w:pPr>
        <w:pStyle w:val="H23G"/>
      </w:pPr>
      <w:bookmarkStart w:id="92" w:name="_Toc454388721"/>
      <w:bookmarkStart w:id="93" w:name="_Toc455360518"/>
      <w:bookmarkStart w:id="94" w:name="_Toc455364139"/>
      <w:r>
        <w:tab/>
      </w:r>
      <w:r w:rsidR="003E3038" w:rsidRPr="003E3038">
        <w:t>m)</w:t>
      </w:r>
      <w:r w:rsidR="003E3038" w:rsidRPr="003E3038">
        <w:tab/>
        <w:t>Asignación de créditos presupuestarios y evolución de la cuestión</w:t>
      </w:r>
      <w:bookmarkEnd w:id="91"/>
      <w:bookmarkEnd w:id="92"/>
      <w:bookmarkEnd w:id="93"/>
      <w:bookmarkEnd w:id="94"/>
    </w:p>
    <w:p w:rsidR="003E3038" w:rsidRPr="003E3038" w:rsidRDefault="003E3038" w:rsidP="003E3038">
      <w:pPr>
        <w:pStyle w:val="SingleTxtG"/>
      </w:pPr>
      <w:r w:rsidRPr="003E3038">
        <w:t>62.</w:t>
      </w:r>
      <w:r w:rsidRPr="003E3038">
        <w:tab/>
        <w:t>Los organismos ministeriales, las instituciones y otras estructuras u ONG que trabajan en el ámbito de los derechos humanos reciben asignaciones anuales con cargo al presupuesto del Estado.</w:t>
      </w:r>
    </w:p>
    <w:p w:rsidR="003E3038" w:rsidRPr="003E3038" w:rsidRDefault="002A4E4A" w:rsidP="002A4E4A">
      <w:pPr>
        <w:pStyle w:val="H23G"/>
      </w:pPr>
      <w:bookmarkStart w:id="95" w:name="_Toc453672882"/>
      <w:bookmarkStart w:id="96" w:name="_Toc455364140"/>
      <w:r>
        <w:tab/>
      </w:r>
      <w:r w:rsidR="003E3038" w:rsidRPr="003E3038">
        <w:t>n)</w:t>
      </w:r>
      <w:r w:rsidR="003E3038" w:rsidRPr="003E3038">
        <w:tab/>
        <w:t xml:space="preserve">Cooperación y asistencia en materia de desarrollo </w:t>
      </w:r>
      <w:bookmarkEnd w:id="95"/>
      <w:bookmarkEnd w:id="96"/>
    </w:p>
    <w:p w:rsidR="003E3038" w:rsidRPr="003E3038" w:rsidRDefault="003E3038" w:rsidP="003E3038">
      <w:pPr>
        <w:pStyle w:val="SingleTxtG"/>
      </w:pPr>
      <w:r w:rsidRPr="003E3038">
        <w:t>63.</w:t>
      </w:r>
      <w:r w:rsidRPr="003E3038">
        <w:tab/>
        <w:t>El ACNUDH, el Programa de las Naciones Unidas para el Desarrollo, el Fondo de las Naciones Unidas para la Infancia, el Fondo de Población de las Naciones Unidas y otros asociados prestan asistencia técnica en materia de promoción y protección de los derechos humanos.</w:t>
      </w:r>
      <w:bookmarkStart w:id="97" w:name="_Toc453672883"/>
    </w:p>
    <w:p w:rsidR="003E3038" w:rsidRPr="003E3038" w:rsidRDefault="002A4E4A" w:rsidP="002A4E4A">
      <w:pPr>
        <w:pStyle w:val="H1G"/>
      </w:pPr>
      <w:bookmarkStart w:id="98" w:name="_Toc454388722"/>
      <w:bookmarkStart w:id="99" w:name="_Toc455360519"/>
      <w:bookmarkStart w:id="100" w:name="_Toc455364141"/>
      <w:r>
        <w:tab/>
      </w:r>
      <w:r w:rsidR="003E3038" w:rsidRPr="003E3038">
        <w:t>D.</w:t>
      </w:r>
      <w:r w:rsidR="003E3038" w:rsidRPr="003E3038">
        <w:tab/>
        <w:t>Factores que dificultan el cumplimiento de las obligaciones internacionales en materia de derechos humanos</w:t>
      </w:r>
      <w:bookmarkEnd w:id="97"/>
      <w:bookmarkEnd w:id="98"/>
      <w:bookmarkEnd w:id="99"/>
      <w:bookmarkEnd w:id="100"/>
    </w:p>
    <w:p w:rsidR="003E3038" w:rsidRPr="003E3038" w:rsidRDefault="003E3038" w:rsidP="003E3038">
      <w:pPr>
        <w:pStyle w:val="SingleTxtG"/>
      </w:pPr>
      <w:r w:rsidRPr="003E3038">
        <w:t>64.</w:t>
      </w:r>
      <w:r w:rsidRPr="003E3038">
        <w:tab/>
        <w:t>Las principales dificultades a las que se enfrenta el país en relación con el pleno disfrute de los derechos humanos son:</w:t>
      </w:r>
    </w:p>
    <w:p w:rsidR="003E3038" w:rsidRPr="003E3038" w:rsidRDefault="003E3038" w:rsidP="003E3038">
      <w:pPr>
        <w:pStyle w:val="SingleTxtG"/>
      </w:pPr>
      <w:r w:rsidRPr="003E3038">
        <w:t>65.</w:t>
      </w:r>
      <w:r w:rsidRPr="003E3038">
        <w:tab/>
        <w:t xml:space="preserve">La escasez de recursos humanos y financieros de las instituciones y organizaciones de defensa de los derechos humanos. </w:t>
      </w:r>
    </w:p>
    <w:p w:rsidR="003E3038" w:rsidRPr="003E3038" w:rsidRDefault="003E3038" w:rsidP="003E3038">
      <w:pPr>
        <w:pStyle w:val="SingleTxtG"/>
      </w:pPr>
      <w:r w:rsidRPr="003E3038">
        <w:t>66.</w:t>
      </w:r>
      <w:r w:rsidRPr="003E3038">
        <w:tab/>
        <w:t>La escasa especialización de las entidades que se ocupan de los derechos humanos.</w:t>
      </w:r>
    </w:p>
    <w:p w:rsidR="003E3038" w:rsidRPr="003E3038" w:rsidRDefault="002A4E4A" w:rsidP="002A4E4A">
      <w:pPr>
        <w:pStyle w:val="H1G"/>
      </w:pPr>
      <w:bookmarkStart w:id="101" w:name="_Toc454388723"/>
      <w:bookmarkStart w:id="102" w:name="_Toc454386659"/>
      <w:bookmarkStart w:id="103" w:name="_Toc454386590"/>
      <w:bookmarkStart w:id="104" w:name="_Toc453672884"/>
      <w:bookmarkStart w:id="105" w:name="_Toc455360520"/>
      <w:bookmarkStart w:id="106" w:name="_Toc455364142"/>
      <w:r>
        <w:lastRenderedPageBreak/>
        <w:tab/>
      </w:r>
      <w:r w:rsidR="003E3038" w:rsidRPr="003E3038">
        <w:t>E.</w:t>
      </w:r>
      <w:r w:rsidR="003E3038" w:rsidRPr="003E3038">
        <w:tab/>
        <w:t>Proceso de elaboración de informes</w:t>
      </w:r>
      <w:bookmarkEnd w:id="101"/>
      <w:bookmarkEnd w:id="102"/>
      <w:bookmarkEnd w:id="103"/>
      <w:bookmarkEnd w:id="104"/>
      <w:bookmarkEnd w:id="105"/>
      <w:bookmarkEnd w:id="106"/>
    </w:p>
    <w:p w:rsidR="003E3038" w:rsidRPr="003E3038" w:rsidRDefault="002A4E4A" w:rsidP="002A4E4A">
      <w:pPr>
        <w:pStyle w:val="H23G"/>
        <w:rPr>
          <w:rtl/>
        </w:rPr>
      </w:pPr>
      <w:bookmarkStart w:id="107" w:name="_Toc454388724"/>
      <w:bookmarkStart w:id="108" w:name="_Toc454386660"/>
      <w:bookmarkStart w:id="109" w:name="_Toc454386591"/>
      <w:bookmarkStart w:id="110" w:name="_Toc455360521"/>
      <w:bookmarkStart w:id="111" w:name="_Toc455364143"/>
      <w:bookmarkStart w:id="112" w:name="_Toc453672885"/>
      <w:r>
        <w:tab/>
      </w:r>
      <w:r w:rsidR="003E3038" w:rsidRPr="003E3038">
        <w:t>1.</w:t>
      </w:r>
      <w:r w:rsidR="003E3038" w:rsidRPr="003E3038">
        <w:tab/>
        <w:t xml:space="preserve">Comité Técnico Interministerial encargado de la elaboración de informes </w:t>
      </w:r>
      <w:r>
        <w:br/>
      </w:r>
      <w:r w:rsidR="003E3038" w:rsidRPr="003E3038">
        <w:t xml:space="preserve">estatales relativos a los instrumentos jurídicos internacionales en el ámbito </w:t>
      </w:r>
      <w:r>
        <w:br/>
      </w:r>
      <w:r w:rsidR="003E3038" w:rsidRPr="003E3038">
        <w:t xml:space="preserve">de los derechos humanos </w:t>
      </w:r>
      <w:bookmarkEnd w:id="107"/>
      <w:bookmarkEnd w:id="108"/>
      <w:bookmarkEnd w:id="109"/>
      <w:bookmarkEnd w:id="110"/>
      <w:bookmarkEnd w:id="111"/>
      <w:bookmarkEnd w:id="112"/>
    </w:p>
    <w:p w:rsidR="003E3038" w:rsidRPr="003E3038" w:rsidRDefault="003E3038" w:rsidP="003E3038">
      <w:pPr>
        <w:pStyle w:val="SingleTxtG"/>
      </w:pPr>
      <w:r w:rsidRPr="003E3038">
        <w:t>67.</w:t>
      </w:r>
      <w:r w:rsidRPr="003E3038">
        <w:tab/>
        <w:t xml:space="preserve">El Gobierno ha creado un Comité Técnico Interministerial que se encarga de la elaboración de informes y del seguimiento de la aplicación de las recomendaciones de los órganos creados en virtud de los tratados y del examen periódico universal. Ese Comité está integrado por todos los organismos ministeriales, la Comisión Nacional de Derechos Humanos y el Defensor del Pueblo. La oficina del ACNUDH en Mauritania participa en calidad de observadora. </w:t>
      </w:r>
    </w:p>
    <w:p w:rsidR="003E3038" w:rsidRPr="003E3038" w:rsidRDefault="002A4E4A" w:rsidP="002A4E4A">
      <w:pPr>
        <w:pStyle w:val="H23G"/>
      </w:pPr>
      <w:bookmarkStart w:id="113" w:name="_Toc453672886"/>
      <w:bookmarkStart w:id="114" w:name="_Toc454388725"/>
      <w:bookmarkStart w:id="115" w:name="_Toc455360522"/>
      <w:bookmarkStart w:id="116" w:name="_Toc455364144"/>
      <w:r>
        <w:tab/>
      </w:r>
      <w:r w:rsidR="003E3038" w:rsidRPr="003E3038">
        <w:t>2.</w:t>
      </w:r>
      <w:r w:rsidR="003E3038" w:rsidRPr="003E3038">
        <w:tab/>
        <w:t xml:space="preserve">Envío de los informes a las partes interesadas antes de su presentación a los </w:t>
      </w:r>
      <w:r>
        <w:br/>
      </w:r>
      <w:r w:rsidR="003E3038" w:rsidRPr="003E3038">
        <w:t xml:space="preserve">órganos de los tratados </w:t>
      </w:r>
      <w:bookmarkEnd w:id="113"/>
      <w:bookmarkEnd w:id="114"/>
      <w:bookmarkEnd w:id="115"/>
      <w:bookmarkEnd w:id="116"/>
    </w:p>
    <w:p w:rsidR="003E3038" w:rsidRPr="003E3038" w:rsidRDefault="003E3038" w:rsidP="003E3038">
      <w:pPr>
        <w:pStyle w:val="SingleTxtG"/>
      </w:pPr>
      <w:r w:rsidRPr="003E3038">
        <w:t>68.</w:t>
      </w:r>
      <w:r w:rsidRPr="003E3038">
        <w:tab/>
        <w:t xml:space="preserve">El informe nacional, presentado de acuerdo con el procedimiento del examen periódico universal, fue remitido a los órganos parlamentarios para que formularan observaciones o comentarios antes de su presentación al correspondiente grupo de trabajo. Esa práctica se aplica a todos los informes que han de presentarse a los órganos de los tratados. </w:t>
      </w:r>
    </w:p>
    <w:p w:rsidR="003E3038" w:rsidRPr="003E3038" w:rsidRDefault="002A4E4A" w:rsidP="002A4E4A">
      <w:pPr>
        <w:pStyle w:val="H23G"/>
      </w:pPr>
      <w:bookmarkStart w:id="117" w:name="_Toc454388726"/>
      <w:bookmarkStart w:id="118" w:name="_Toc455360523"/>
      <w:bookmarkStart w:id="119" w:name="_Toc455364145"/>
      <w:r>
        <w:tab/>
      </w:r>
      <w:r w:rsidR="003E3038" w:rsidRPr="003E3038">
        <w:t>3.</w:t>
      </w:r>
      <w:r w:rsidR="003E3038" w:rsidRPr="003E3038">
        <w:tab/>
        <w:t xml:space="preserve">Participación de entidades no gubernamentales u organismos independientes </w:t>
      </w:r>
      <w:bookmarkEnd w:id="117"/>
      <w:bookmarkEnd w:id="118"/>
      <w:bookmarkEnd w:id="119"/>
    </w:p>
    <w:p w:rsidR="003E3038" w:rsidRPr="003E3038" w:rsidRDefault="003E3038" w:rsidP="003E3038">
      <w:pPr>
        <w:pStyle w:val="SingleTxtG"/>
      </w:pPr>
      <w:r w:rsidRPr="003E3038">
        <w:t>69.</w:t>
      </w:r>
      <w:r w:rsidRPr="003E3038">
        <w:tab/>
        <w:t>Los informes se validan teniendo en cuenta las recomendaciones formuladas en las reuniones de concertación y diálogo con la sociedad civil y los órganos parlamentarios.</w:t>
      </w:r>
      <w:bookmarkStart w:id="120" w:name="_Toc453672887"/>
    </w:p>
    <w:p w:rsidR="003E3038" w:rsidRPr="003E3038" w:rsidRDefault="002A4E4A" w:rsidP="002A4E4A">
      <w:pPr>
        <w:pStyle w:val="H1G"/>
      </w:pPr>
      <w:bookmarkStart w:id="121" w:name="_Toc454388727"/>
      <w:bookmarkStart w:id="122" w:name="_Toc455360524"/>
      <w:bookmarkStart w:id="123" w:name="_Toc455364146"/>
      <w:r>
        <w:tab/>
      </w:r>
      <w:r w:rsidR="003E3038" w:rsidRPr="003E3038">
        <w:t>F.</w:t>
      </w:r>
      <w:r w:rsidR="003E3038" w:rsidRPr="003E3038">
        <w:tab/>
        <w:t>Seguimiento de las conclusiones o las observaciones finales de los órganos creados en virtud de los tratados de derechos humanos</w:t>
      </w:r>
      <w:bookmarkEnd w:id="120"/>
      <w:bookmarkEnd w:id="121"/>
      <w:bookmarkEnd w:id="122"/>
      <w:bookmarkEnd w:id="123"/>
    </w:p>
    <w:p w:rsidR="003E3038" w:rsidRPr="003E3038" w:rsidRDefault="003E3038" w:rsidP="003E3038">
      <w:pPr>
        <w:pStyle w:val="SingleTxtG"/>
      </w:pPr>
      <w:r w:rsidRPr="003E3038">
        <w:t>70.</w:t>
      </w:r>
      <w:r w:rsidRPr="003E3038">
        <w:tab/>
        <w:t xml:space="preserve">Las diversas observaciones y recomendaciones son objeto de debate y examen en reuniones de trabajo cuyas conclusiones se transmiten a las autoridades competentes. Esa es la manera de proceder con las recomendaciones finales del Comité para la Eliminación de Todas las Formas de Discriminación contra la Mujer, el Comité para la Eliminación de la Discriminación Racial, el Comité de los Derechos del Niño, el Comité contra la Tortura, el Comité de Derechos Humanos y el Comité de Derechos Económicos, Sociales y Culturales. Para la aplicación de las recomendaciones formuladas por esos Comités se están ejecutando planes de acción sectoriales, y para la aplicación de las recomendaciones de los órganos de los tratados y el examen periódico universal se está elaborando un plan de acción nacional en colaboración con el ACNUDH. </w:t>
      </w:r>
      <w:bookmarkStart w:id="124" w:name="_Toc453672888"/>
    </w:p>
    <w:p w:rsidR="003E3038" w:rsidRPr="003E3038" w:rsidRDefault="002A4E4A" w:rsidP="002A4E4A">
      <w:pPr>
        <w:pStyle w:val="H1G"/>
      </w:pPr>
      <w:bookmarkStart w:id="125" w:name="_Toc454388728"/>
      <w:bookmarkStart w:id="126" w:name="_Toc455360525"/>
      <w:bookmarkStart w:id="127" w:name="_Toc455364147"/>
      <w:r>
        <w:tab/>
      </w:r>
      <w:r w:rsidR="003E3038" w:rsidRPr="003E3038">
        <w:t>G.</w:t>
      </w:r>
      <w:r w:rsidR="003E3038" w:rsidRPr="003E3038">
        <w:tab/>
        <w:t xml:space="preserve">Medidas para garantizar una amplia difusión de las observaciones o recomendaciones aprobadas por los órganos de los tratados después </w:t>
      </w:r>
      <w:r>
        <w:br/>
      </w:r>
      <w:r w:rsidR="003E3038" w:rsidRPr="003E3038">
        <w:t>de examinar el informe del Estado parte</w:t>
      </w:r>
      <w:bookmarkEnd w:id="124"/>
      <w:bookmarkEnd w:id="125"/>
      <w:bookmarkEnd w:id="126"/>
      <w:bookmarkEnd w:id="127"/>
    </w:p>
    <w:p w:rsidR="003E3038" w:rsidRPr="003E3038" w:rsidRDefault="003E3038" w:rsidP="003E3038">
      <w:pPr>
        <w:pStyle w:val="SingleTxtG"/>
      </w:pPr>
      <w:r w:rsidRPr="003E3038">
        <w:t>71.</w:t>
      </w:r>
      <w:r w:rsidRPr="003E3038">
        <w:tab/>
        <w:t>El Comité Técnico Interministerial que elabora los informes se encarga de remitirlos a los miembros del Parlamento, junto con las recomendaciones finales de los órganos de los tratados y del examen periódico universal. Los medios de comunicación también contribuyen a su difusión.</w:t>
      </w:r>
    </w:p>
    <w:p w:rsidR="003E3038" w:rsidRPr="003E3038" w:rsidRDefault="002A4E4A" w:rsidP="002A4E4A">
      <w:pPr>
        <w:pStyle w:val="H23G"/>
      </w:pPr>
      <w:bookmarkStart w:id="128" w:name="_Toc454388729"/>
      <w:bookmarkStart w:id="129" w:name="_Toc453672890"/>
      <w:bookmarkStart w:id="130" w:name="_Toc455360526"/>
      <w:bookmarkStart w:id="131" w:name="_Toc455364148"/>
      <w:bookmarkStart w:id="132" w:name="_Toc453672889"/>
      <w:r>
        <w:tab/>
      </w:r>
      <w:r w:rsidR="003E3038" w:rsidRPr="003E3038">
        <w:t>1.</w:t>
      </w:r>
      <w:r w:rsidR="003E3038" w:rsidRPr="003E3038">
        <w:tab/>
        <w:t>Seguimiento de las conferencias internacionales</w:t>
      </w:r>
      <w:bookmarkEnd w:id="128"/>
      <w:bookmarkEnd w:id="129"/>
      <w:bookmarkEnd w:id="130"/>
      <w:bookmarkEnd w:id="131"/>
    </w:p>
    <w:bookmarkEnd w:id="132"/>
    <w:p w:rsidR="003E3038" w:rsidRPr="003E3038" w:rsidRDefault="003E3038" w:rsidP="003E3038">
      <w:pPr>
        <w:pStyle w:val="SingleTxtG"/>
      </w:pPr>
      <w:r w:rsidRPr="003E3038">
        <w:t>72.</w:t>
      </w:r>
      <w:r w:rsidRPr="003E3038">
        <w:tab/>
        <w:t>Mauritania hace un seguimiento periódico de las declaraciones formuladas con ocasión de las distintas conferencias mundiales. Cabe señalar especialmente la Conferencia Mundial de Viena de 1993; la de Durban de 2001; la de Beijing de 1995, Cuarta Conferencia Mundial sobre la Mujer; y la 21ª Conferencia de las Partes en la Convención Marco de las Naciones Unidas sobre el Cambio Climático. El Gobierno está aplicando, a través de los distintos organismos ministeriales e instituciones, los compromisos contraídos en el marco de estas conferencias.</w:t>
      </w:r>
      <w:bookmarkStart w:id="133" w:name="_Toc454388730"/>
      <w:bookmarkStart w:id="134" w:name="_Toc454386662"/>
      <w:bookmarkStart w:id="135" w:name="_Toc454386593"/>
      <w:bookmarkStart w:id="136" w:name="_Toc453672891"/>
    </w:p>
    <w:p w:rsidR="003E3038" w:rsidRPr="003E3038" w:rsidRDefault="002A4E4A" w:rsidP="002A4E4A">
      <w:pPr>
        <w:pStyle w:val="H23G"/>
      </w:pPr>
      <w:bookmarkStart w:id="137" w:name="_Toc455360527"/>
      <w:bookmarkStart w:id="138" w:name="_Toc455364149"/>
      <w:r>
        <w:lastRenderedPageBreak/>
        <w:tab/>
      </w:r>
      <w:r w:rsidR="003E3038" w:rsidRPr="003E3038">
        <w:t>2.</w:t>
      </w:r>
      <w:r w:rsidR="003E3038" w:rsidRPr="003E3038">
        <w:tab/>
        <w:t xml:space="preserve">Información sobre la no discriminación, la igualdad y los recursos </w:t>
      </w:r>
      <w:bookmarkEnd w:id="133"/>
      <w:bookmarkEnd w:id="134"/>
      <w:bookmarkEnd w:id="135"/>
      <w:bookmarkEnd w:id="136"/>
      <w:bookmarkEnd w:id="137"/>
      <w:bookmarkEnd w:id="138"/>
      <w:r w:rsidR="003E3038" w:rsidRPr="003E3038">
        <w:t>efectivos</w:t>
      </w:r>
    </w:p>
    <w:p w:rsidR="003E3038" w:rsidRPr="003E3038" w:rsidRDefault="002A4E4A" w:rsidP="002A4E4A">
      <w:pPr>
        <w:pStyle w:val="H23G"/>
      </w:pPr>
      <w:bookmarkStart w:id="139" w:name="_Toc454388731"/>
      <w:bookmarkStart w:id="140" w:name="_Toc453672892"/>
      <w:bookmarkStart w:id="141" w:name="_Toc455364150"/>
      <w:r>
        <w:tab/>
      </w:r>
      <w:r w:rsidR="003E3038" w:rsidRPr="003E3038">
        <w:t>a)</w:t>
      </w:r>
      <w:r w:rsidR="003E3038" w:rsidRPr="003E3038">
        <w:tab/>
        <w:t>No discriminación e igualdad</w:t>
      </w:r>
      <w:bookmarkEnd w:id="139"/>
      <w:bookmarkEnd w:id="140"/>
      <w:bookmarkEnd w:id="141"/>
    </w:p>
    <w:p w:rsidR="003E3038" w:rsidRPr="003E3038" w:rsidRDefault="003E3038" w:rsidP="003E3038">
      <w:pPr>
        <w:pStyle w:val="SingleTxtG"/>
      </w:pPr>
      <w:r w:rsidRPr="003E3038">
        <w:t>73.</w:t>
      </w:r>
      <w:r w:rsidRPr="003E3038">
        <w:tab/>
        <w:t>La Constitución garantiza el principio de no discriminación. Ese principio se reafirma en la legislación y se refleja en varios aspectos, como la igualdad en materia tributaria, el acceso en pie de igualdad a la justicia y a los servicios públicos y la equiparación salarial.</w:t>
      </w:r>
    </w:p>
    <w:p w:rsidR="003E3038" w:rsidRPr="003E3038" w:rsidRDefault="003E3038" w:rsidP="003E3038">
      <w:pPr>
        <w:pStyle w:val="SingleTxtG"/>
      </w:pPr>
      <w:r w:rsidRPr="003E3038">
        <w:t>74.</w:t>
      </w:r>
      <w:r w:rsidRPr="003E3038">
        <w:tab/>
        <w:t>La Constitución garantiza a la mujer el derecho a participar en la vida política y pública. También le reconoce todos los derechos civiles, políticos, económicos, sociales y culturales consagrados en la Declaración Universal de Derechos Humanos de 1948 y en la Carta Africana de Derechos Humanos y de los Pueblos de 1981.</w:t>
      </w:r>
    </w:p>
    <w:p w:rsidR="003E3038" w:rsidRPr="003E3038" w:rsidRDefault="003E3038" w:rsidP="003E3038">
      <w:pPr>
        <w:pStyle w:val="SingleTxtG"/>
      </w:pPr>
      <w:r w:rsidRPr="003E3038">
        <w:t>75.</w:t>
      </w:r>
      <w:r w:rsidRPr="003E3038">
        <w:tab/>
        <w:t xml:space="preserve">En el párrafo 2 del artículo 1 de la Constitución se establece que </w:t>
      </w:r>
      <w:r w:rsidR="00734DBC">
        <w:t>“</w:t>
      </w:r>
      <w:r w:rsidRPr="003E3038">
        <w:t>La República garantiza a todos los ciudadanos la igualdad ante la ley, sin distinción por motivos de origen, raza, sexo o condición social</w:t>
      </w:r>
      <w:r w:rsidR="00734DBC">
        <w:t>”</w:t>
      </w:r>
      <w:r w:rsidRPr="003E3038">
        <w:t xml:space="preserve">, y en el artículo 12 se dispone que </w:t>
      </w:r>
      <w:r w:rsidR="00734DBC">
        <w:t>“</w:t>
      </w:r>
      <w:r w:rsidRPr="003E3038">
        <w:t>todos los ciudadanos pueden acceder a las funciones y empleos públicos sin más condiciones que las establecidas por la ley</w:t>
      </w:r>
      <w:r w:rsidR="00734DBC">
        <w:t>”</w:t>
      </w:r>
      <w:r w:rsidRPr="003E3038">
        <w:t xml:space="preserve">. </w:t>
      </w:r>
    </w:p>
    <w:p w:rsidR="003E3038" w:rsidRPr="003E3038" w:rsidRDefault="003E3038" w:rsidP="003E3038">
      <w:pPr>
        <w:pStyle w:val="SingleTxtG"/>
      </w:pPr>
      <w:r w:rsidRPr="003E3038">
        <w:t>76.</w:t>
      </w:r>
      <w:r w:rsidRPr="003E3038">
        <w:tab/>
        <w:t>En el ámbito de las elecciones y el desempeño de cargos electivos se han aplicado acciones afirmativas y medidas especiales de carácter temporal. La cuota reservada a las mujeres está aumentando de forma notoria. En todos los procesos de contratación se re</w:t>
      </w:r>
      <w:r w:rsidR="00471F4D">
        <w:t>servan puestos para las mujeres:</w:t>
      </w:r>
    </w:p>
    <w:p w:rsidR="003E3038" w:rsidRPr="003E3038" w:rsidRDefault="003E3038" w:rsidP="002A4E4A">
      <w:pPr>
        <w:pStyle w:val="Bullet1G"/>
      </w:pPr>
      <w:r w:rsidRPr="003E3038">
        <w:t xml:space="preserve">En el Código de Estatuto Personal de 2001 </w:t>
      </w:r>
      <w:r w:rsidR="00471F4D">
        <w:t xml:space="preserve">se </w:t>
      </w:r>
      <w:r w:rsidRPr="003E3038">
        <w:t>fija la edad para cont</w:t>
      </w:r>
      <w:r w:rsidR="00471F4D">
        <w:t>raer matrimonio en los 18 años;</w:t>
      </w:r>
    </w:p>
    <w:p w:rsidR="003E3038" w:rsidRPr="003E3038" w:rsidRDefault="003E3038" w:rsidP="002A4E4A">
      <w:pPr>
        <w:pStyle w:val="Bullet1G"/>
      </w:pPr>
      <w:r w:rsidRPr="003E3038">
        <w:t>En el Código de Protección Penal del Menor de 2005 se prohíbe y sanciona la mutilación genital femen</w:t>
      </w:r>
      <w:r w:rsidR="00471F4D">
        <w:t>ina (art. 12);</w:t>
      </w:r>
    </w:p>
    <w:p w:rsidR="003E3038" w:rsidRPr="003E3038" w:rsidRDefault="003E3038" w:rsidP="002A4E4A">
      <w:pPr>
        <w:pStyle w:val="Bullet1G"/>
      </w:pPr>
      <w:r w:rsidRPr="003E3038">
        <w:t xml:space="preserve">En la Ley de Educación Básica Obligatoria de 2001 se establece la escolarización obligatoria desde </w:t>
      </w:r>
      <w:r w:rsidR="00471F4D">
        <w:t>los 6 hasta los 14 años de edad;</w:t>
      </w:r>
    </w:p>
    <w:p w:rsidR="003E3038" w:rsidRPr="003E3038" w:rsidRDefault="003E3038" w:rsidP="002A4E4A">
      <w:pPr>
        <w:pStyle w:val="Bullet1G"/>
      </w:pPr>
      <w:r w:rsidRPr="003E3038">
        <w:t xml:space="preserve">En la Ordenanza por la que se promulga la Ley Orgánica sobre el Acceso de la Mujer a los Cargos Electivos y Mandatos Electorales </w:t>
      </w:r>
      <w:r w:rsidR="00471F4D">
        <w:t xml:space="preserve">se </w:t>
      </w:r>
      <w:r w:rsidRPr="003E3038">
        <w:t xml:space="preserve">establece una </w:t>
      </w:r>
      <w:r w:rsidR="00471F4D">
        <w:t>cuota del 20% para las mujeres;</w:t>
      </w:r>
    </w:p>
    <w:p w:rsidR="003E3038" w:rsidRPr="003E3038" w:rsidRDefault="003E3038" w:rsidP="002A4E4A">
      <w:pPr>
        <w:pStyle w:val="Bullet1G"/>
      </w:pPr>
      <w:r w:rsidRPr="003E3038">
        <w:t xml:space="preserve">En la Ley de Asistencia Judicial se contemplan beneficios </w:t>
      </w:r>
      <w:r w:rsidR="00471F4D">
        <w:t>para los encausados indigentes;</w:t>
      </w:r>
    </w:p>
    <w:p w:rsidR="003E3038" w:rsidRPr="003E3038" w:rsidRDefault="003E3038" w:rsidP="002A4E4A">
      <w:pPr>
        <w:pStyle w:val="Bullet1G"/>
      </w:pPr>
      <w:r w:rsidRPr="003E3038">
        <w:t xml:space="preserve">En la Ordenanza sobre la Protección y Promoción de los Derechos de las Personas con Discapacidad se establecen determinados privilegios </w:t>
      </w:r>
      <w:r w:rsidR="00471F4D">
        <w:t>para esta categoría de personas;</w:t>
      </w:r>
    </w:p>
    <w:p w:rsidR="003E3038" w:rsidRPr="003E3038" w:rsidRDefault="003E3038" w:rsidP="002A4E4A">
      <w:pPr>
        <w:pStyle w:val="Bullet1G"/>
      </w:pPr>
      <w:r w:rsidRPr="003E3038">
        <w:t>En el Código del Trabajo y la Ley por la que se Establece el Régimen de Pensiones Civiles de la Caja de Jubilaciones se autoriza el pago de la pensión a los beneficiarios de una funcionaria en igualdad de condiciones que en e</w:t>
      </w:r>
      <w:r w:rsidR="00471F4D">
        <w:t>l caso de un funcionario varón;</w:t>
      </w:r>
    </w:p>
    <w:p w:rsidR="003E3038" w:rsidRPr="003E3038" w:rsidRDefault="003E3038" w:rsidP="002A4E4A">
      <w:pPr>
        <w:pStyle w:val="Bullet1G"/>
      </w:pPr>
      <w:r w:rsidRPr="003E3038">
        <w:t>La concesión de la pensión a los beneficiari</w:t>
      </w:r>
      <w:r w:rsidR="00471F4D">
        <w:t>os de una funcionaria fallecida;</w:t>
      </w:r>
    </w:p>
    <w:p w:rsidR="003E3038" w:rsidRPr="003E3038" w:rsidRDefault="003E3038" w:rsidP="002A4E4A">
      <w:pPr>
        <w:pStyle w:val="Bullet1G"/>
      </w:pPr>
      <w:r w:rsidRPr="003E3038">
        <w:t>La armonización de la edad de jubilación a los 60 años para las mujeres trabajadoras cuya actividad laboral se rija por un convenio colectivo.</w:t>
      </w:r>
    </w:p>
    <w:p w:rsidR="003E3038" w:rsidRPr="003E3038" w:rsidRDefault="003E3038" w:rsidP="003E3038">
      <w:pPr>
        <w:pStyle w:val="SingleTxtG"/>
      </w:pPr>
      <w:r w:rsidRPr="003E3038">
        <w:t>77.</w:t>
      </w:r>
      <w:r w:rsidRPr="003E3038">
        <w:tab/>
        <w:t xml:space="preserve">Los poderes públicos han establecido un mecanismo institucional encargado de promover los derechos de la mujer e incorporar una perspectiva de género en las políticas públicas. En ese mecanismo participan: </w:t>
      </w:r>
    </w:p>
    <w:p w:rsidR="003E3038" w:rsidRPr="003E3038" w:rsidRDefault="003E3038" w:rsidP="002A4E4A">
      <w:pPr>
        <w:pStyle w:val="Bullet1G"/>
      </w:pPr>
      <w:r w:rsidRPr="003E3038">
        <w:t>El Ministerio de Asuntos Sociales, Infancia y Familia, cuya</w:t>
      </w:r>
      <w:r w:rsidR="002A4E4A">
        <w:t xml:space="preserve"> misión es promover y proteger </w:t>
      </w:r>
      <w:r w:rsidRPr="003E3038">
        <w:t>los derechos de las muj</w:t>
      </w:r>
      <w:r w:rsidR="00471F4D">
        <w:t>eres, las familias y los niños;</w:t>
      </w:r>
    </w:p>
    <w:p w:rsidR="003E3038" w:rsidRPr="003E3038" w:rsidRDefault="003E3038" w:rsidP="002A4E4A">
      <w:pPr>
        <w:pStyle w:val="Bullet1G"/>
      </w:pPr>
      <w:r w:rsidRPr="003E3038">
        <w:t>El grupo nacional y los grupos regionales encargados de la supervisi</w:t>
      </w:r>
      <w:r w:rsidR="00471F4D">
        <w:t>ón de las cuestiones de género;</w:t>
      </w:r>
    </w:p>
    <w:p w:rsidR="003E3038" w:rsidRPr="003E3038" w:rsidRDefault="003E3038" w:rsidP="002A4E4A">
      <w:pPr>
        <w:pStyle w:val="Bullet1G"/>
      </w:pPr>
      <w:r w:rsidRPr="003E3038">
        <w:t>La red de mujere</w:t>
      </w:r>
      <w:r w:rsidR="00471F4D">
        <w:t>s ministras y parlamentarias;</w:t>
      </w:r>
    </w:p>
    <w:p w:rsidR="003E3038" w:rsidRPr="003E3038" w:rsidRDefault="003E3038" w:rsidP="002A4E4A">
      <w:pPr>
        <w:pStyle w:val="Bullet1G"/>
      </w:pPr>
      <w:r w:rsidRPr="003E3038">
        <w:lastRenderedPageBreak/>
        <w:t>El Comité Nacional de Lucha Contra la Violencia de Género, Incluida</w:t>
      </w:r>
      <w:r w:rsidR="00471F4D">
        <w:t xml:space="preserve"> la Mutilación Genital Femenina;</w:t>
      </w:r>
    </w:p>
    <w:p w:rsidR="003E3038" w:rsidRPr="003E3038" w:rsidRDefault="003E3038" w:rsidP="002A4E4A">
      <w:pPr>
        <w:pStyle w:val="Bullet1G"/>
      </w:pPr>
      <w:r w:rsidRPr="003E3038">
        <w:t>Los comités regionales y departamentales de luch</w:t>
      </w:r>
      <w:r w:rsidR="00471F4D">
        <w:t>a contra la violencia de género;</w:t>
      </w:r>
    </w:p>
    <w:p w:rsidR="003E3038" w:rsidRPr="003E3038" w:rsidRDefault="003E3038" w:rsidP="002A4E4A">
      <w:pPr>
        <w:pStyle w:val="Bullet1G"/>
      </w:pPr>
      <w:r w:rsidRPr="003E3038">
        <w:t xml:space="preserve">Las unidades para el tratamiento y la solución de litigios familiares, el seguimiento de las recomendaciones de la Convención sobre la Eliminación de Todas las Formas de Discriminación contra la Mujer y la promoción de los derechos humanos. </w:t>
      </w:r>
    </w:p>
    <w:p w:rsidR="003E3038" w:rsidRPr="003E3038" w:rsidRDefault="002A4E4A" w:rsidP="002A4E4A">
      <w:pPr>
        <w:pStyle w:val="H23G"/>
      </w:pPr>
      <w:bookmarkStart w:id="142" w:name="_Toc453672893"/>
      <w:bookmarkStart w:id="143" w:name="_Toc454388732"/>
      <w:bookmarkStart w:id="144" w:name="_Toc455364151"/>
      <w:r>
        <w:tab/>
      </w:r>
      <w:r w:rsidR="003E3038" w:rsidRPr="003E3038">
        <w:t>b)</w:t>
      </w:r>
      <w:r w:rsidR="003E3038" w:rsidRPr="003E3038">
        <w:tab/>
        <w:t xml:space="preserve">Medidas adoptadas para mejorar la participación de las mujeres en la política </w:t>
      </w:r>
      <w:r>
        <w:br/>
      </w:r>
      <w:r w:rsidR="003E3038" w:rsidRPr="003E3038">
        <w:t xml:space="preserve">y en la toma de decisiones </w:t>
      </w:r>
      <w:bookmarkEnd w:id="142"/>
      <w:bookmarkEnd w:id="143"/>
      <w:bookmarkEnd w:id="144"/>
    </w:p>
    <w:p w:rsidR="003E3038" w:rsidRPr="003E3038" w:rsidRDefault="003E3038" w:rsidP="002A4E4A">
      <w:pPr>
        <w:pStyle w:val="Bullet1G"/>
      </w:pPr>
      <w:r w:rsidRPr="003E3038">
        <w:t>La elaboración de una lista nacional de 20 mujeres pa</w:t>
      </w:r>
      <w:r w:rsidR="00471F4D">
        <w:t>ra las elecciones de diputados;</w:t>
      </w:r>
    </w:p>
    <w:p w:rsidR="003E3038" w:rsidRPr="003E3038" w:rsidRDefault="003E3038" w:rsidP="002A4E4A">
      <w:pPr>
        <w:pStyle w:val="Bullet1G"/>
      </w:pPr>
      <w:r w:rsidRPr="003E3038">
        <w:t>La elaboración de una lista nacional de 20 escaños y otra lista de 18 escaños en el</w:t>
      </w:r>
      <w:r w:rsidR="00471F4D">
        <w:t xml:space="preserve"> distrito electoral de Nuakchot;</w:t>
      </w:r>
    </w:p>
    <w:p w:rsidR="003E3038" w:rsidRPr="003E3038" w:rsidRDefault="003E3038" w:rsidP="002A4E4A">
      <w:pPr>
        <w:pStyle w:val="Bullet1G"/>
      </w:pPr>
      <w:r w:rsidRPr="003E3038">
        <w:t>El aumento del número de distritos electorales con tres escaños a cubrir mediante la aplicación del sistema proporcional</w:t>
      </w:r>
      <w:r w:rsidR="00471F4D">
        <w:t>;</w:t>
      </w:r>
      <w:r w:rsidRPr="003E3038">
        <w:t xml:space="preserve"> </w:t>
      </w:r>
    </w:p>
    <w:p w:rsidR="003E3038" w:rsidRPr="003E3038" w:rsidRDefault="003E3038" w:rsidP="002A4E4A">
      <w:pPr>
        <w:pStyle w:val="Bullet1G"/>
      </w:pPr>
      <w:r w:rsidRPr="003E3038">
        <w:t>La concesión de incentivos financieros a los partidos polític</w:t>
      </w:r>
      <w:r w:rsidR="00471F4D">
        <w:t>os que presenten a más mujeres;</w:t>
      </w:r>
    </w:p>
    <w:p w:rsidR="003E3038" w:rsidRPr="003E3038" w:rsidRDefault="003E3038" w:rsidP="002A4E4A">
      <w:pPr>
        <w:pStyle w:val="Bullet1G"/>
      </w:pPr>
      <w:r w:rsidRPr="003E3038">
        <w:t>La organización de un concurso específico que permitió el ingreso de 50 mujeres más en la Escuela Nacional de Administra</w:t>
      </w:r>
      <w:r w:rsidR="00471F4D">
        <w:t>ción, Periodismo y Magistratura;</w:t>
      </w:r>
    </w:p>
    <w:p w:rsidR="003E3038" w:rsidRPr="003E3038" w:rsidRDefault="003E3038" w:rsidP="002A4E4A">
      <w:pPr>
        <w:pStyle w:val="Bullet1G"/>
      </w:pPr>
      <w:r w:rsidRPr="003E3038">
        <w:t>La creación de ocho puestos para muj</w:t>
      </w:r>
      <w:r w:rsidR="00471F4D">
        <w:t>eres docentes en la universidad;</w:t>
      </w:r>
    </w:p>
    <w:p w:rsidR="003E3038" w:rsidRPr="003E3038" w:rsidRDefault="003E3038" w:rsidP="002A4E4A">
      <w:pPr>
        <w:pStyle w:val="Bullet1G"/>
      </w:pPr>
      <w:r w:rsidRPr="003E3038">
        <w:t xml:space="preserve">El aumento del cupo de becas para mujeres. </w:t>
      </w:r>
    </w:p>
    <w:p w:rsidR="003E3038" w:rsidRPr="003E3038" w:rsidRDefault="002A4E4A" w:rsidP="002A4E4A">
      <w:pPr>
        <w:pStyle w:val="H23G"/>
      </w:pPr>
      <w:bookmarkStart w:id="145" w:name="_Toc454388733"/>
      <w:bookmarkStart w:id="146" w:name="_Toc455364152"/>
      <w:r>
        <w:tab/>
      </w:r>
      <w:r w:rsidR="003E3038" w:rsidRPr="003E3038">
        <w:t>c)</w:t>
      </w:r>
      <w:r w:rsidR="003E3038" w:rsidRPr="003E3038">
        <w:tab/>
        <w:t>Principios de no discriminación y aplicación obligatoria</w:t>
      </w:r>
      <w:bookmarkEnd w:id="145"/>
      <w:bookmarkEnd w:id="146"/>
    </w:p>
    <w:p w:rsidR="003E3038" w:rsidRPr="003E3038" w:rsidRDefault="003E3038" w:rsidP="003E3038">
      <w:pPr>
        <w:pStyle w:val="SingleTxtG"/>
      </w:pPr>
      <w:r w:rsidRPr="003E3038">
        <w:t>78.</w:t>
      </w:r>
      <w:r w:rsidRPr="003E3038">
        <w:tab/>
        <w:t xml:space="preserve">En la Constitución de 1991, modificada en 2006 y 2012, se establece que: </w:t>
      </w:r>
      <w:r w:rsidR="00734DBC">
        <w:t>“</w:t>
      </w:r>
      <w:r w:rsidR="00471F4D">
        <w:t>la </w:t>
      </w:r>
      <w:r w:rsidRPr="003E3038">
        <w:t>libertad, la igualdad y la dignidad humanas solo pueden alcanzarse en el marco de una sociedad que consagre el estado de derecho</w:t>
      </w:r>
      <w:r w:rsidR="00734DBC">
        <w:t>”</w:t>
      </w:r>
      <w:r w:rsidRPr="003E3038">
        <w:t>. La Constitución garantiza también los principios fundamentales de la no discriminación.</w:t>
      </w:r>
      <w:bookmarkStart w:id="147" w:name="_Toc453672894"/>
    </w:p>
    <w:p w:rsidR="003E3038" w:rsidRPr="003E3038" w:rsidRDefault="002A4E4A" w:rsidP="002A4E4A">
      <w:pPr>
        <w:pStyle w:val="H23G"/>
      </w:pPr>
      <w:bookmarkStart w:id="148" w:name="_Toc455364153"/>
      <w:r>
        <w:tab/>
      </w:r>
      <w:r w:rsidR="003E3038" w:rsidRPr="003E3038">
        <w:t>d)</w:t>
      </w:r>
      <w:r w:rsidR="003E3038" w:rsidRPr="003E3038">
        <w:tab/>
        <w:t>Medidas adoptadas para prevenir y combatir todas las formas de discriminación</w:t>
      </w:r>
      <w:bookmarkEnd w:id="147"/>
      <w:bookmarkEnd w:id="148"/>
    </w:p>
    <w:p w:rsidR="003E3038" w:rsidRPr="003E3038" w:rsidRDefault="003E3038" w:rsidP="003E3038">
      <w:pPr>
        <w:pStyle w:val="SingleTxtG"/>
        <w:rPr>
          <w:rtl/>
        </w:rPr>
      </w:pPr>
      <w:r w:rsidRPr="003E3038">
        <w:t>79.</w:t>
      </w:r>
      <w:r w:rsidRPr="003E3038">
        <w:tab/>
        <w:t>Varias instituciones contribuyen a prevenir y combatir todas las formas de discriminación. Entre ellas cabe citar a los organismos ministeriales encargados de asuntos de derechos humanos, la Agencia Nacional Tadamoun para la Erradicación de las Secuelas de la Esclavitud, la Inserción y la Lucha contra la Pobreza, la Comisión Nacional de Derechos Humanos, el Mediador de la República, el Consejo Superior de la Fetua y los Recursos de Gracia y los tribunales.</w:t>
      </w:r>
    </w:p>
    <w:p w:rsidR="003E3038" w:rsidRPr="003E3038" w:rsidRDefault="002A4E4A" w:rsidP="002A4E4A">
      <w:pPr>
        <w:pStyle w:val="H23G"/>
      </w:pPr>
      <w:bookmarkStart w:id="149" w:name="_Toc454388734"/>
      <w:bookmarkStart w:id="150" w:name="_Toc455364154"/>
      <w:r>
        <w:tab/>
      </w:r>
      <w:r w:rsidR="003E3038" w:rsidRPr="003E3038">
        <w:t>e)</w:t>
      </w:r>
      <w:r w:rsidR="003E3038" w:rsidRPr="003E3038">
        <w:tab/>
        <w:t xml:space="preserve">Información general sobre la situación de los derechos humanos de las </w:t>
      </w:r>
      <w:r>
        <w:br/>
      </w:r>
      <w:r w:rsidR="003E3038" w:rsidRPr="003E3038">
        <w:t>personas pertenecientes a determinados grupos vulnerables</w:t>
      </w:r>
      <w:bookmarkEnd w:id="149"/>
      <w:bookmarkEnd w:id="150"/>
    </w:p>
    <w:p w:rsidR="003E3038" w:rsidRPr="003E3038" w:rsidRDefault="003E3038" w:rsidP="003E3038">
      <w:pPr>
        <w:pStyle w:val="SingleTxtG"/>
      </w:pPr>
      <w:r w:rsidRPr="003E3038">
        <w:t>80.</w:t>
      </w:r>
      <w:r w:rsidRPr="003E3038">
        <w:tab/>
        <w:t>La política de lucha contra la pobreza está concebida específicamente para prestar apoyo dedicado y sostenido a los sectores vulnerables de la población.</w:t>
      </w:r>
    </w:p>
    <w:p w:rsidR="003E3038" w:rsidRPr="003E3038" w:rsidRDefault="002A4E4A" w:rsidP="002A4E4A">
      <w:pPr>
        <w:pStyle w:val="H23G"/>
      </w:pPr>
      <w:bookmarkStart w:id="151" w:name="_Toc453672895"/>
      <w:bookmarkStart w:id="152" w:name="_Toc454388735"/>
      <w:bookmarkStart w:id="153" w:name="_Toc455360528"/>
      <w:bookmarkStart w:id="154" w:name="_Toc455364155"/>
      <w:r>
        <w:tab/>
      </w:r>
      <w:r w:rsidR="003E3038" w:rsidRPr="003E3038">
        <w:t>3.</w:t>
      </w:r>
      <w:r w:rsidR="003E3038" w:rsidRPr="003E3038">
        <w:tab/>
        <w:t xml:space="preserve">Medidas concretas para reducir las </w:t>
      </w:r>
      <w:bookmarkEnd w:id="151"/>
      <w:bookmarkEnd w:id="152"/>
      <w:bookmarkEnd w:id="153"/>
      <w:bookmarkEnd w:id="154"/>
      <w:r w:rsidR="003E3038" w:rsidRPr="003E3038">
        <w:t xml:space="preserve">desigualdades </w:t>
      </w:r>
    </w:p>
    <w:p w:rsidR="003E3038" w:rsidRPr="003E3038" w:rsidRDefault="003E3038" w:rsidP="003E3038">
      <w:pPr>
        <w:pStyle w:val="SingleTxtG"/>
      </w:pPr>
      <w:r w:rsidRPr="003E3038">
        <w:t>81.</w:t>
      </w:r>
      <w:r w:rsidRPr="003E3038">
        <w:tab/>
        <w:t xml:space="preserve">Se han previsto varias medidas para reducir las desigualdades económicas, sociales y geográficas, en particular las que afectan a las mujeres. Cabe destacar, entre otras, las siguientes: </w:t>
      </w:r>
    </w:p>
    <w:p w:rsidR="003E3038" w:rsidRPr="003E3038" w:rsidRDefault="003E3038" w:rsidP="002A4E4A">
      <w:pPr>
        <w:pStyle w:val="Bullet1G"/>
      </w:pPr>
      <w:r w:rsidRPr="003E3038">
        <w:t xml:space="preserve">La elaboración y aplicación del plan de acción nacional sobre la </w:t>
      </w:r>
      <w:r w:rsidR="00471F4D">
        <w:t>violencia de género (2015-2018);</w:t>
      </w:r>
    </w:p>
    <w:p w:rsidR="003E3038" w:rsidRPr="003E3038" w:rsidRDefault="003E3038" w:rsidP="002A4E4A">
      <w:pPr>
        <w:pStyle w:val="Bullet1G"/>
      </w:pPr>
      <w:r w:rsidRPr="003E3038">
        <w:t>El establecimiento de procedimientos operativos estándar para mejorar la respuesta y proporcionar una atención integral a las supervivie</w:t>
      </w:r>
      <w:r w:rsidR="00471F4D">
        <w:t>ntes de la violencia de género;</w:t>
      </w:r>
    </w:p>
    <w:p w:rsidR="003E3038" w:rsidRPr="003E3038" w:rsidRDefault="003E3038" w:rsidP="002A4E4A">
      <w:pPr>
        <w:pStyle w:val="Bullet1G"/>
      </w:pPr>
      <w:r w:rsidRPr="003E3038">
        <w:t xml:space="preserve">La aplicación de un plan de acción de abandono voluntario de la mutilación genital femenina en las </w:t>
      </w:r>
      <w:r w:rsidRPr="003E3038">
        <w:rPr>
          <w:i/>
        </w:rPr>
        <w:t>ouilayas</w:t>
      </w:r>
      <w:r w:rsidRPr="003E3038">
        <w:t xml:space="preserve"> don</w:t>
      </w:r>
      <w:r w:rsidR="00471F4D">
        <w:t>de esta práctica es más común;</w:t>
      </w:r>
    </w:p>
    <w:p w:rsidR="003E3038" w:rsidRPr="003E3038" w:rsidRDefault="003E3038" w:rsidP="002A4E4A">
      <w:pPr>
        <w:pStyle w:val="Bullet1G"/>
      </w:pPr>
      <w:r w:rsidRPr="003E3038">
        <w:lastRenderedPageBreak/>
        <w:t>La difusión en los medios de comunicación públicos y privados de una fetua (dictamen religioso) sobre la prohibición de</w:t>
      </w:r>
      <w:r w:rsidR="00471F4D">
        <w:t xml:space="preserve"> la mutilación genital femenina;</w:t>
      </w:r>
    </w:p>
    <w:p w:rsidR="003E3038" w:rsidRPr="003E3038" w:rsidRDefault="003E3038" w:rsidP="002A4E4A">
      <w:pPr>
        <w:pStyle w:val="Bullet1G"/>
      </w:pPr>
      <w:r w:rsidRPr="003E3038">
        <w:t>La organización de campañas contra los matrimonios infantiles.</w:t>
      </w:r>
    </w:p>
    <w:p w:rsidR="003E3038" w:rsidRPr="003E3038" w:rsidRDefault="003E3038" w:rsidP="003E3038">
      <w:pPr>
        <w:pStyle w:val="SingleTxtG"/>
      </w:pPr>
      <w:r w:rsidRPr="003E3038">
        <w:t>82.</w:t>
      </w:r>
      <w:r w:rsidRPr="003E3038">
        <w:tab/>
        <w:t>También se han adoptado medidas para informar y crear conciencia sobre los estereotipos y las prácticas que afectan negativamente a la mujer. A saber:</w:t>
      </w:r>
    </w:p>
    <w:p w:rsidR="003E3038" w:rsidRPr="003E3038" w:rsidRDefault="003E3038" w:rsidP="002A4E4A">
      <w:pPr>
        <w:pStyle w:val="Bullet1G"/>
      </w:pPr>
      <w:r w:rsidRPr="003E3038">
        <w:t>La conmemoración del Día de Tolerancia Cero de</w:t>
      </w:r>
      <w:r w:rsidR="00471F4D">
        <w:t xml:space="preserve"> la Mutilación Genital Femenina;</w:t>
      </w:r>
    </w:p>
    <w:p w:rsidR="003E3038" w:rsidRPr="003E3038" w:rsidRDefault="003E3038" w:rsidP="002A4E4A">
      <w:pPr>
        <w:pStyle w:val="Bullet1G"/>
      </w:pPr>
      <w:r w:rsidRPr="003E3038">
        <w:t xml:space="preserve">La ejecución de un programa de abandono de </w:t>
      </w:r>
      <w:r w:rsidR="00471F4D">
        <w:t>la mutilación genital femenina;</w:t>
      </w:r>
    </w:p>
    <w:p w:rsidR="003E3038" w:rsidRPr="003E3038" w:rsidRDefault="003E3038" w:rsidP="002A4E4A">
      <w:pPr>
        <w:pStyle w:val="Bullet1G"/>
      </w:pPr>
      <w:r w:rsidRPr="003E3038">
        <w:t xml:space="preserve">La aprobación de un proyecto de ley en virtud del cual se penaliza </w:t>
      </w:r>
      <w:r w:rsidR="00471F4D">
        <w:t>la mutilación genital femenina;</w:t>
      </w:r>
    </w:p>
    <w:p w:rsidR="003E3038" w:rsidRPr="003E3038" w:rsidRDefault="003E3038" w:rsidP="002A4E4A">
      <w:pPr>
        <w:pStyle w:val="Bullet1G"/>
      </w:pPr>
      <w:r w:rsidRPr="003E3038">
        <w:t>La organización de varias campañas de concienciación respecto de otras prácticas nocivas (la obesidad forzad</w:t>
      </w:r>
      <w:r w:rsidR="00471F4D">
        <w:t>a</w:t>
      </w:r>
      <w:r w:rsidRPr="003E3038">
        <w:t xml:space="preserve">, el matrimonio forzado y precoz, etc.). </w:t>
      </w:r>
    </w:p>
    <w:p w:rsidR="003E3038" w:rsidRPr="003E3038" w:rsidRDefault="002A4E4A" w:rsidP="002A4E4A">
      <w:pPr>
        <w:pStyle w:val="H23G"/>
      </w:pPr>
      <w:bookmarkStart w:id="155" w:name="_Toc454388736"/>
      <w:bookmarkStart w:id="156" w:name="_Toc453672896"/>
      <w:bookmarkStart w:id="157" w:name="_Toc455360529"/>
      <w:bookmarkStart w:id="158" w:name="_Toc455364156"/>
      <w:r>
        <w:tab/>
      </w:r>
      <w:r w:rsidR="003E3038" w:rsidRPr="003E3038">
        <w:t>4.</w:t>
      </w:r>
      <w:r w:rsidR="003E3038" w:rsidRPr="003E3038">
        <w:tab/>
        <w:t xml:space="preserve">Igualdad ante la ley e igual protección de la ley </w:t>
      </w:r>
      <w:bookmarkEnd w:id="155"/>
      <w:bookmarkEnd w:id="156"/>
      <w:bookmarkEnd w:id="157"/>
      <w:bookmarkEnd w:id="158"/>
    </w:p>
    <w:p w:rsidR="003E3038" w:rsidRPr="003E3038" w:rsidRDefault="003E3038" w:rsidP="003E3038">
      <w:pPr>
        <w:pStyle w:val="SingleTxtG"/>
      </w:pPr>
      <w:r w:rsidRPr="003E3038">
        <w:t>83.</w:t>
      </w:r>
      <w:r w:rsidRPr="003E3038">
        <w:tab/>
        <w:t>Mauritania ha establecido un sistema judicial basado en la doble instancia y facilita el acceso a la justicia mediante la prestación de asistencia letrada.</w:t>
      </w:r>
      <w:bookmarkStart w:id="159" w:name="_Toc454388737"/>
      <w:bookmarkStart w:id="160" w:name="_Toc453672897"/>
    </w:p>
    <w:p w:rsidR="003E3038" w:rsidRPr="003E3038" w:rsidRDefault="002A4E4A" w:rsidP="002A4E4A">
      <w:pPr>
        <w:pStyle w:val="H23G"/>
      </w:pPr>
      <w:bookmarkStart w:id="161" w:name="_Toc455360530"/>
      <w:bookmarkStart w:id="162" w:name="_Toc455364157"/>
      <w:r>
        <w:tab/>
      </w:r>
      <w:r w:rsidR="003E3038" w:rsidRPr="003E3038">
        <w:t>5.</w:t>
      </w:r>
      <w:r w:rsidR="003E3038" w:rsidRPr="003E3038">
        <w:tab/>
        <w:t xml:space="preserve">Recursos </w:t>
      </w:r>
      <w:bookmarkEnd w:id="159"/>
      <w:bookmarkEnd w:id="160"/>
      <w:bookmarkEnd w:id="161"/>
      <w:bookmarkEnd w:id="162"/>
      <w:r w:rsidR="003E3038" w:rsidRPr="003E3038">
        <w:t>efectivos</w:t>
      </w:r>
    </w:p>
    <w:p w:rsidR="003E3038" w:rsidRPr="003E3038" w:rsidRDefault="003E3038" w:rsidP="003E3038">
      <w:pPr>
        <w:pStyle w:val="SingleTxtG"/>
      </w:pPr>
      <w:r w:rsidRPr="003E3038">
        <w:t>84.</w:t>
      </w:r>
      <w:r w:rsidRPr="003E3038">
        <w:tab/>
        <w:t>Los instrumentos internacionales de derechos humanos ratificados se incorporan en la legislación nacional de conformidad con lo establecido en el artículo 80 de la Constitución. Conforme a lo dispuesto en ese artículo, todas las disposiciones relativas a los derechos humanos dimanantes de instrumentos ratificados por Mauritania pueden invocarse ante los tribunales y el juez está obligado a aplicarlas.</w:t>
      </w:r>
    </w:p>
    <w:p w:rsidR="003E3038" w:rsidRPr="003E3038" w:rsidRDefault="002A4E4A" w:rsidP="00BD0C12">
      <w:pPr>
        <w:pStyle w:val="HChG"/>
      </w:pPr>
      <w:r>
        <w:tab/>
      </w:r>
      <w:r w:rsidR="003E3038" w:rsidRPr="003E3038">
        <w:tab/>
        <w:t>Parte II</w:t>
      </w:r>
      <w:r>
        <w:br/>
      </w:r>
      <w:r w:rsidR="003E3038" w:rsidRPr="003E3038">
        <w:t>Aplicación de las disposiciones de la Convención</w:t>
      </w:r>
    </w:p>
    <w:p w:rsidR="003E3038" w:rsidRPr="003E3038" w:rsidRDefault="003E3038" w:rsidP="003E3038">
      <w:pPr>
        <w:pStyle w:val="SingleTxtG"/>
      </w:pPr>
      <w:r w:rsidRPr="003E3038">
        <w:t>85.</w:t>
      </w:r>
      <w:r w:rsidRPr="003E3038">
        <w:tab/>
        <w:t>Esta parte se refiere a la aplicación de las disposiciones de la Convención y las recomendaciones formuladas por el Comité en 2004.</w:t>
      </w:r>
    </w:p>
    <w:p w:rsidR="003E3038" w:rsidRPr="003E3038" w:rsidRDefault="005D5DC0" w:rsidP="005D5DC0">
      <w:pPr>
        <w:pStyle w:val="H1G"/>
      </w:pPr>
      <w:r>
        <w:tab/>
      </w:r>
      <w:r w:rsidR="003E3038" w:rsidRPr="003E3038">
        <w:tab/>
        <w:t>Artículo 1</w:t>
      </w:r>
    </w:p>
    <w:p w:rsidR="003E3038" w:rsidRPr="003E3038" w:rsidRDefault="003E3038" w:rsidP="003E3038">
      <w:pPr>
        <w:pStyle w:val="SingleTxtG"/>
      </w:pPr>
      <w:r w:rsidRPr="003E3038">
        <w:t>86.</w:t>
      </w:r>
      <w:r w:rsidRPr="003E3038">
        <w:tab/>
        <w:t>En el artículo 1, párrafo 2, de la Constitución de 20 de julio de 1991, revisada en 2006 y 2012, se proclama que la República garantiza a todos los ciudadanos la igualdad ante la ley, sin distinciones basadas en el origen, la raza, el sexo o la condición social.</w:t>
      </w:r>
    </w:p>
    <w:p w:rsidR="003E3038" w:rsidRPr="003E3038" w:rsidRDefault="003E3038" w:rsidP="003E3038">
      <w:pPr>
        <w:pStyle w:val="SingleTxtG"/>
      </w:pPr>
      <w:r w:rsidRPr="003E3038">
        <w:t>87.</w:t>
      </w:r>
      <w:r w:rsidRPr="003E3038">
        <w:tab/>
        <w:t>En el artículo 1, párrafo 3, de la Constitución se proscribe la propaganda supremacista de carácter racial o étnico.</w:t>
      </w:r>
    </w:p>
    <w:p w:rsidR="003E3038" w:rsidRPr="003E3038" w:rsidRDefault="003E3038" w:rsidP="003E3038">
      <w:pPr>
        <w:pStyle w:val="SingleTxtG"/>
      </w:pPr>
      <w:r w:rsidRPr="003E3038">
        <w:t>88.</w:t>
      </w:r>
      <w:r w:rsidRPr="003E3038">
        <w:tab/>
        <w:t xml:space="preserve">Todo ciudadano extranjero que se halle en el territorio nacional goza de la protección de la ley para su persona y sus bienes y solo podrá ser extraditado en virtud de las leyes y convenciones en vigor. </w:t>
      </w:r>
    </w:p>
    <w:p w:rsidR="003E3038" w:rsidRPr="003E3038" w:rsidRDefault="003E3038" w:rsidP="003E3038">
      <w:pPr>
        <w:pStyle w:val="SingleTxtG"/>
      </w:pPr>
      <w:r w:rsidRPr="003E3038">
        <w:t>89.</w:t>
      </w:r>
      <w:r w:rsidRPr="003E3038">
        <w:tab/>
        <w:t xml:space="preserve">Con respecto a la composición étnica del país, Mauritania es un país multiétnico y multicultural, como se destaca en el documento básico común. Su población es predominantemente árabe e incluye las minorías </w:t>
      </w:r>
      <w:r w:rsidRPr="00471F4D">
        <w:t>pulaar, soninké y wolof</w:t>
      </w:r>
      <w:r w:rsidRPr="003E3038">
        <w:t xml:space="preserve">. Según el censo de 2013, el país tiene 3.537.628 habitantes. La población árabe es un grupo homogéneo en igualdad de condiciones con los demás grupos étnicos. La población comparte las mismas características culturales y lingüísticas. </w:t>
      </w:r>
    </w:p>
    <w:p w:rsidR="003E3038" w:rsidRPr="003E3038" w:rsidRDefault="005D5DC0" w:rsidP="005D5DC0">
      <w:pPr>
        <w:pStyle w:val="H1G"/>
      </w:pPr>
      <w:r>
        <w:tab/>
      </w:r>
      <w:r w:rsidR="003E3038" w:rsidRPr="003E3038">
        <w:tab/>
        <w:t>Artículo 2</w:t>
      </w:r>
    </w:p>
    <w:p w:rsidR="003E3038" w:rsidRPr="003E3038" w:rsidRDefault="003E3038" w:rsidP="003E3038">
      <w:pPr>
        <w:pStyle w:val="SingleTxtG"/>
      </w:pPr>
      <w:r w:rsidRPr="003E3038">
        <w:t>90.</w:t>
      </w:r>
      <w:r w:rsidRPr="003E3038">
        <w:tab/>
        <w:t>A fin de fortalecer la cohesión nacional, en la ordenanza sobre los partidos políticos se prohíbe que los grupos políticos se identifiquen con una raza, etnia, religión, tribu, sexo o cofradía determinados.</w:t>
      </w:r>
    </w:p>
    <w:p w:rsidR="003E3038" w:rsidRPr="003E3038" w:rsidRDefault="003E3038" w:rsidP="003E3038">
      <w:pPr>
        <w:pStyle w:val="SingleTxtG"/>
      </w:pPr>
      <w:r w:rsidRPr="003E3038">
        <w:lastRenderedPageBreak/>
        <w:t>91.</w:t>
      </w:r>
      <w:r w:rsidRPr="003E3038">
        <w:tab/>
        <w:t>Hay 103 partidos políticos y 5.707 asociaciones que llevan a cabo libremente sus actividades de conformidad con el espíritu del artículo 4 a) y b) de la Convención. Esos partidos y asociaciones reflejan la diversidad de la sociedad mauritana dentro de un espíritu de tolerancia y consolidan la unidad nacional.</w:t>
      </w:r>
    </w:p>
    <w:p w:rsidR="003E3038" w:rsidRPr="003E3038" w:rsidRDefault="003E3038" w:rsidP="003E3038">
      <w:pPr>
        <w:pStyle w:val="SingleTxtG"/>
      </w:pPr>
      <w:r w:rsidRPr="003E3038">
        <w:t>92.</w:t>
      </w:r>
      <w:r w:rsidRPr="003E3038">
        <w:tab/>
        <w:t xml:space="preserve">Las asociaciones se rigen por la Ley núm. 64098, de 9 de junio 1964, modificada por la Ley núm. 73007, de 23 de junio de 1973, y la Ley núm. 73157, de 2 de julio de 1973. En esos instrumentos legislativos se establece un sistema de autorización para las asociaciones y se asigna esa competencia al Ministerio del Interior. De ese modo, para poder llevar a cabo sus actividades legalmente, las asociaciones deben recibir una autorización previa del Ministerio del Interior. </w:t>
      </w:r>
    </w:p>
    <w:p w:rsidR="003E3038" w:rsidRPr="003E3038" w:rsidRDefault="003E3038" w:rsidP="003E3038">
      <w:pPr>
        <w:pStyle w:val="SingleTxtG"/>
      </w:pPr>
      <w:r w:rsidRPr="003E3038">
        <w:t>93.</w:t>
      </w:r>
      <w:r w:rsidRPr="003E3038">
        <w:tab/>
        <w:t xml:space="preserve">Mediante este sistema se han reconocido 5.707 asociaciones nacionales y se ha concedido el registro de actividad a 57 ONG internacionales. El número de asociaciones ha aumentado desde 1.106 en 2008 hasta 5.707 en 2016. Ese crecimiento se ha reflejado no solo en el número, sino también en la forma (80 redes y 51 fundaciones), así como en la diversificación de sus actividades. Las asociaciones llevan a cabo sus actividades en los ámbitos de: los derechos humanos, el sector social, el desarrollo, la salud, el medio ambiente, la cultura, los deportes, el arte, etc. Toda asociación que respete los procedimientos normativos recibe el reconocimiento inmediatamente. Un año después de la comparecencia de Mauritania ante el Comité, se procedió al reconocimiento oficial de todas las ONG que formaban parte del Foro Nacional de Derechos Humanos. </w:t>
      </w:r>
    </w:p>
    <w:p w:rsidR="003E3038" w:rsidRPr="003E3038" w:rsidRDefault="003E3038" w:rsidP="003E3038">
      <w:pPr>
        <w:pStyle w:val="SingleTxtG"/>
      </w:pPr>
      <w:r w:rsidRPr="003E3038">
        <w:t>94.</w:t>
      </w:r>
      <w:r w:rsidRPr="003E3038">
        <w:tab/>
        <w:t xml:space="preserve">La ley dispone que todos los ciudadanos de Mauritania gozan de todas las libertades para establecer y dirigir partidos políticos. La Constitución prohíbe toda referencia al origen étnico o la raza. Hay 103 partidos políticos que llevan a cabo libremente sus actividades de conformidad con el espíritu del artículo 4 a) y b) de la Convención. </w:t>
      </w:r>
    </w:p>
    <w:p w:rsidR="003E3038" w:rsidRPr="003E3038" w:rsidRDefault="005D5DC0" w:rsidP="005D5DC0">
      <w:pPr>
        <w:pStyle w:val="H1G"/>
      </w:pPr>
      <w:r>
        <w:tab/>
      </w:r>
      <w:r w:rsidR="003E3038" w:rsidRPr="003E3038">
        <w:tab/>
        <w:t>Artículo 3</w:t>
      </w:r>
    </w:p>
    <w:p w:rsidR="003E3038" w:rsidRPr="003E3038" w:rsidRDefault="003E3038" w:rsidP="003E3038">
      <w:pPr>
        <w:pStyle w:val="SingleTxtG"/>
      </w:pPr>
      <w:r w:rsidRPr="003E3038">
        <w:t>95.</w:t>
      </w:r>
      <w:r w:rsidRPr="003E3038">
        <w:tab/>
        <w:t>En el ordenamiento jurídico nacional se consagra la prohibición de todas las formas de discriminación. El establecimiento de una institución independiente de derechos humanos compatible con los Principios de París y la aprobación de la ley en la que se tipifican como delitos la esclavitud y las prácticas análogas, la ley sobre la represión de la trata de personas, la ley en la que se tipifica la tortura como delito y se establece un mecanismo nacional de prevención de la tortura representan una enérgica condena de cualquier segregación.</w:t>
      </w:r>
    </w:p>
    <w:p w:rsidR="003E3038" w:rsidRPr="003E3038" w:rsidRDefault="003E3038" w:rsidP="003E3038">
      <w:pPr>
        <w:pStyle w:val="SingleTxtG"/>
      </w:pPr>
      <w:r w:rsidRPr="003E3038">
        <w:t>96.</w:t>
      </w:r>
      <w:r w:rsidRPr="003E3038">
        <w:tab/>
        <w:t>En la Constitución se prohíbe toda discriminación racial o étnica y se reconocen los derechos civiles y políticos y los derechos económicos y sociales de los ciudadanos.</w:t>
      </w:r>
    </w:p>
    <w:p w:rsidR="003E3038" w:rsidRPr="003E3038" w:rsidRDefault="003E3038" w:rsidP="003E3038">
      <w:pPr>
        <w:pStyle w:val="SingleTxtG"/>
      </w:pPr>
      <w:r w:rsidRPr="003E3038">
        <w:t>97.</w:t>
      </w:r>
      <w:r w:rsidRPr="003E3038">
        <w:tab/>
        <w:t xml:space="preserve">En un proyecto de ley sujeto a la aprobación del Gobierno se penaliza ese fenómeno, y en su artículo </w:t>
      </w:r>
      <w:r w:rsidR="00471F4D">
        <w:t xml:space="preserve">1 </w:t>
      </w:r>
      <w:r w:rsidRPr="003E3038">
        <w:t xml:space="preserve">se dispone que </w:t>
      </w:r>
      <w:r w:rsidR="00734DBC">
        <w:t>“</w:t>
      </w:r>
      <w:r w:rsidRPr="003E3038">
        <w:t>se entiende por discriminación cualquier distinción, exclusión, restricción o preferencia que tenga o pueda tener por objeto o efecto anular, comprometer o limitar el reconocimiento, el disfrute o el ejercicio en pie de igualdad de los derechos humanos y las libertades fundamentales en los ámbitos político, económico, social o cultural o en cualquier otra esfera de la vida social</w:t>
      </w:r>
      <w:r w:rsidR="00734DBC">
        <w:t>”</w:t>
      </w:r>
      <w:r w:rsidRPr="003E3038">
        <w:t>.</w:t>
      </w:r>
    </w:p>
    <w:p w:rsidR="003E3038" w:rsidRPr="003E3038" w:rsidRDefault="003E3038" w:rsidP="003E3038">
      <w:pPr>
        <w:pStyle w:val="SingleTxtG"/>
      </w:pPr>
      <w:r w:rsidRPr="003E3038">
        <w:t>98.</w:t>
      </w:r>
      <w:r w:rsidRPr="003E3038">
        <w:tab/>
        <w:t>Mauritania mantiene su compromiso con los principios y valores que orientan la lucha de la comunidad internacional contra el racismo, la discriminación racial, la xenofobia y las formas conexas de intolerancia.</w:t>
      </w:r>
    </w:p>
    <w:p w:rsidR="003E3038" w:rsidRPr="003E3038" w:rsidRDefault="003E3038" w:rsidP="003E3038">
      <w:pPr>
        <w:pStyle w:val="SingleTxtG"/>
      </w:pPr>
      <w:r w:rsidRPr="003E3038">
        <w:t>99.</w:t>
      </w:r>
      <w:r w:rsidRPr="003E3038">
        <w:tab/>
        <w:t>La legislación de Mauritania prohíbe toda incitación a cometer actos de discriminación racial. También contiene una serie de disposiciones que permiten considerar como un delito penal toda difusión de ideas basadas en la superioridad o el odio raciales, toda incitación a la discriminación racial y todo acto de violencia o de instigación contra cualquier raza o grupo de personas en razón al diferente color de la piel u origen étnico, así como toda ayuda prestada a la comisión de actos racistas.</w:t>
      </w:r>
    </w:p>
    <w:p w:rsidR="003E3038" w:rsidRPr="003E3038" w:rsidRDefault="003E3038" w:rsidP="003E3038">
      <w:pPr>
        <w:pStyle w:val="SingleTxtG"/>
      </w:pPr>
      <w:r w:rsidRPr="003E3038">
        <w:t>100.</w:t>
      </w:r>
      <w:r w:rsidRPr="003E3038">
        <w:tab/>
        <w:t>La legislación relativa a la libertad de prensa prohíbe a los medios de comunicación toda publicación o discurso que suponga una incitación al odio y los prejuicios étnicos y regionalistas.</w:t>
      </w:r>
    </w:p>
    <w:p w:rsidR="003E3038" w:rsidRPr="003E3038" w:rsidRDefault="003E3038" w:rsidP="003E3038">
      <w:pPr>
        <w:pStyle w:val="SingleTxtG"/>
      </w:pPr>
      <w:r w:rsidRPr="003E3038">
        <w:lastRenderedPageBreak/>
        <w:t>101.</w:t>
      </w:r>
      <w:r w:rsidRPr="003E3038">
        <w:tab/>
        <w:t>El la Ley de Partidos Políticos se les conmina a que se abstengan de cualquier incitación a la intolerancia y la violencia y de toda propaganda dirigida a socavar la integridad territorial o la unidad nacional.</w:t>
      </w:r>
    </w:p>
    <w:p w:rsidR="003E3038" w:rsidRPr="003E3038" w:rsidRDefault="003E3038" w:rsidP="003E3038">
      <w:pPr>
        <w:pStyle w:val="SingleTxtG"/>
      </w:pPr>
      <w:r w:rsidRPr="003E3038">
        <w:t>102.</w:t>
      </w:r>
      <w:r w:rsidRPr="003E3038">
        <w:tab/>
        <w:t>En el marco de las reformas jurídicas, Mauritania adoptará las disposiciones pertinentes para tomar en consideración esta recomendación.</w:t>
      </w:r>
    </w:p>
    <w:p w:rsidR="003E3038" w:rsidRPr="003E3038" w:rsidRDefault="003E3038" w:rsidP="003E3038">
      <w:pPr>
        <w:pStyle w:val="SingleTxtG"/>
      </w:pPr>
      <w:r w:rsidRPr="003E3038">
        <w:t>103.</w:t>
      </w:r>
      <w:r w:rsidRPr="003E3038">
        <w:tab/>
        <w:t xml:space="preserve">En virtud de las disposiciones que figuran en la sección del Código Penal titulada </w:t>
      </w:r>
      <w:r w:rsidR="00734DBC">
        <w:t>“</w:t>
      </w:r>
      <w:r w:rsidRPr="003E3038">
        <w:t>Crímenes y delitos contra las personas</w:t>
      </w:r>
      <w:r w:rsidR="00734DBC">
        <w:t>”</w:t>
      </w:r>
      <w:r w:rsidRPr="003E3038">
        <w:t>, se otorga al juez la facultad de imponer una serie de sanciones penales para castigar toda práctica racista en función de su gravedad. En las reformas jurídicas en curso se tiene en cuenta esta recomendación.</w:t>
      </w:r>
    </w:p>
    <w:p w:rsidR="003E3038" w:rsidRPr="003E3038" w:rsidRDefault="003E3038" w:rsidP="005D5DC0">
      <w:pPr>
        <w:pStyle w:val="H1G"/>
      </w:pPr>
      <w:r w:rsidRPr="003E3038">
        <w:tab/>
      </w:r>
      <w:r w:rsidR="005D5DC0">
        <w:tab/>
      </w:r>
      <w:r w:rsidRPr="003E3038">
        <w:t>Artículo 4</w:t>
      </w:r>
    </w:p>
    <w:p w:rsidR="003E3038" w:rsidRPr="003E3038" w:rsidRDefault="003E3038" w:rsidP="003E3038">
      <w:pPr>
        <w:pStyle w:val="SingleTxtG"/>
      </w:pPr>
      <w:r w:rsidRPr="003E3038">
        <w:t>104.</w:t>
      </w:r>
      <w:r w:rsidRPr="003E3038">
        <w:tab/>
        <w:t>El Estado ha adoptado disposiciones legislativas y normativas para luchar contra la discriminación mediante:</w:t>
      </w:r>
    </w:p>
    <w:p w:rsidR="003E3038" w:rsidRPr="003E3038" w:rsidRDefault="003E3038" w:rsidP="005D5DC0">
      <w:pPr>
        <w:pStyle w:val="Bullet1G"/>
      </w:pPr>
      <w:r w:rsidRPr="003E3038">
        <w:t>La aprobación de la Ley de Lucha contra la Escl</w:t>
      </w:r>
      <w:r w:rsidR="00471F4D">
        <w:t>avitud y las Prácticas Análogas;</w:t>
      </w:r>
    </w:p>
    <w:p w:rsidR="003E3038" w:rsidRPr="003E3038" w:rsidRDefault="003E3038" w:rsidP="005D5DC0">
      <w:pPr>
        <w:pStyle w:val="Bullet1G"/>
      </w:pPr>
      <w:r w:rsidRPr="003E3038">
        <w:t xml:space="preserve">La aprobación de la hoja de ruta y su plan de acción para erradicar las formas </w:t>
      </w:r>
      <w:r w:rsidR="00471F4D">
        <w:t>contemporáneas de la esclavitud;</w:t>
      </w:r>
    </w:p>
    <w:p w:rsidR="003E3038" w:rsidRPr="003E3038" w:rsidRDefault="003E3038" w:rsidP="005D5DC0">
      <w:pPr>
        <w:pStyle w:val="Bullet1G"/>
      </w:pPr>
      <w:r w:rsidRPr="003E3038">
        <w:t>La aprobación de la Ley de Asistencia Jurídica y la elaboración de una estrategia nacional de acceso a la justic</w:t>
      </w:r>
      <w:r w:rsidR="00471F4D">
        <w:t>ia para facilitar su aplicación;</w:t>
      </w:r>
    </w:p>
    <w:p w:rsidR="003E3038" w:rsidRPr="003E3038" w:rsidRDefault="003E3038" w:rsidP="005D5DC0">
      <w:pPr>
        <w:pStyle w:val="Bullet1G"/>
      </w:pPr>
      <w:r w:rsidRPr="003E3038">
        <w:t>La tipificación de la tortura como delito y el establecimiento de un m</w:t>
      </w:r>
      <w:r w:rsidR="00471F4D">
        <w:t>ecanismo nacional de prevención;</w:t>
      </w:r>
    </w:p>
    <w:p w:rsidR="003E3038" w:rsidRPr="003E3038" w:rsidRDefault="003E3038" w:rsidP="005D5DC0">
      <w:pPr>
        <w:pStyle w:val="Bullet1G"/>
      </w:pPr>
      <w:r w:rsidRPr="003E3038">
        <w:t>La aplicación del acuerdo tripartito para la repatriación de los refugiados mauritanos aco</w:t>
      </w:r>
      <w:r w:rsidR="00471F4D">
        <w:t>gidos en el Senegal (2009</w:t>
      </w:r>
      <w:r w:rsidR="00471F4D">
        <w:noBreakHyphen/>
        <w:t>2012);</w:t>
      </w:r>
    </w:p>
    <w:p w:rsidR="003E3038" w:rsidRPr="003E3038" w:rsidRDefault="003E3038" w:rsidP="005D5DC0">
      <w:pPr>
        <w:pStyle w:val="Bullet1G"/>
      </w:pPr>
      <w:r w:rsidRPr="003E3038">
        <w:t>La puesta en funcionamiento de la Comisión Nacional de Derechos Humanos, compatible con los Principios de París</w:t>
      </w:r>
      <w:r w:rsidR="00471F4D">
        <w:t>;</w:t>
      </w:r>
    </w:p>
    <w:p w:rsidR="003E3038" w:rsidRPr="003E3038" w:rsidRDefault="003E3038" w:rsidP="005D5DC0">
      <w:pPr>
        <w:pStyle w:val="Bullet1G"/>
      </w:pPr>
      <w:r w:rsidRPr="003E3038">
        <w:t>La aplicación de la Convención contra la Tortura y su Protocolo Facultativo</w:t>
      </w:r>
      <w:r w:rsidR="00471F4D">
        <w:t>;</w:t>
      </w:r>
    </w:p>
    <w:p w:rsidR="003E3038" w:rsidRPr="003E3038" w:rsidRDefault="003E3038" w:rsidP="005D5DC0">
      <w:pPr>
        <w:pStyle w:val="Bullet1G"/>
      </w:pPr>
      <w:r w:rsidRPr="003E3038">
        <w:t>La supresión de todas las restricciones a la libertad de asociación, en particular el reconocimiento de las organizaciones miembros del Fo</w:t>
      </w:r>
      <w:r w:rsidR="00471F4D">
        <w:t>ro Nacional de Derechos Humanos;</w:t>
      </w:r>
    </w:p>
    <w:p w:rsidR="003E3038" w:rsidRPr="003E3038" w:rsidRDefault="005D5DC0" w:rsidP="005D5DC0">
      <w:pPr>
        <w:pStyle w:val="Bullet1G"/>
      </w:pPr>
      <w:r>
        <w:t>L</w:t>
      </w:r>
      <w:r w:rsidR="003E3038" w:rsidRPr="003E3038">
        <w:t>a despenali</w:t>
      </w:r>
      <w:r w:rsidR="00471F4D">
        <w:t>zación de los delitos de prensa;</w:t>
      </w:r>
    </w:p>
    <w:p w:rsidR="003E3038" w:rsidRPr="003E3038" w:rsidRDefault="003E3038" w:rsidP="005D5DC0">
      <w:pPr>
        <w:pStyle w:val="Bullet1G"/>
      </w:pPr>
      <w:r w:rsidRPr="003E3038">
        <w:t>La armonización de las disposicio</w:t>
      </w:r>
      <w:r w:rsidR="00471F4D">
        <w:t>nes relativas a la nacionalidad;</w:t>
      </w:r>
    </w:p>
    <w:p w:rsidR="003E3038" w:rsidRPr="003E3038" w:rsidRDefault="003E3038" w:rsidP="005D5DC0">
      <w:pPr>
        <w:pStyle w:val="Bullet1G"/>
      </w:pPr>
      <w:r w:rsidRPr="003E3038">
        <w:t>La prohibición de la discriminación en el acceso a la función pública y el empleo.</w:t>
      </w:r>
    </w:p>
    <w:p w:rsidR="003E3038" w:rsidRPr="003E3038" w:rsidRDefault="003E3038" w:rsidP="003E3038">
      <w:pPr>
        <w:pStyle w:val="SingleTxtG"/>
      </w:pPr>
      <w:r w:rsidRPr="003E3038">
        <w:t>105.</w:t>
      </w:r>
      <w:r w:rsidRPr="003E3038">
        <w:tab/>
        <w:t xml:space="preserve">Mauritania ha incorporado en su estrategia de lucha contra la discriminación las recomendaciones del Comité para la Eliminación de la Discriminación Racial, así como las del Relator Especial de las Naciones Unidas sobre la discriminación. </w:t>
      </w:r>
    </w:p>
    <w:p w:rsidR="003E3038" w:rsidRPr="003E3038" w:rsidRDefault="003E3038" w:rsidP="003E3038">
      <w:pPr>
        <w:pStyle w:val="SingleTxtG"/>
      </w:pPr>
      <w:r w:rsidRPr="003E3038">
        <w:t>106.</w:t>
      </w:r>
      <w:r w:rsidRPr="003E3038">
        <w:tab/>
        <w:t>En 2009, el Gobierno puso en marcha un Programa Nacional de Prevención de los Conflictos y Fortalecimiento de la Cohesión Social cuyo objetivo es desarrollar la cultura ciudadana, el reparto equitativo de los recursos en beneficio de las personas que pertenecen a grupos vulnerables, en particular los mauritanos repatriados del Senegal y las poblaciones afectadas por las secuelas de la esclavitud.</w:t>
      </w:r>
    </w:p>
    <w:p w:rsidR="003E3038" w:rsidRPr="003E3038" w:rsidRDefault="003E3038" w:rsidP="003E3038">
      <w:pPr>
        <w:pStyle w:val="SingleTxtG"/>
      </w:pPr>
      <w:r w:rsidRPr="003E3038">
        <w:t>107.</w:t>
      </w:r>
      <w:r w:rsidRPr="003E3038">
        <w:tab/>
        <w:t>En el Código del Trabajo se consagra la no discriminación y se establece expresamente la igualdad de acceso al empleo. También se prohíbe cualquier discriminación, distinción, exclusión o preferencia por motivos de raza, origen nacional o social, color, sexo, religión u opinión política.</w:t>
      </w:r>
    </w:p>
    <w:p w:rsidR="003E3038" w:rsidRPr="003E3038" w:rsidRDefault="003E3038" w:rsidP="003E3038">
      <w:pPr>
        <w:pStyle w:val="SingleTxtG"/>
      </w:pPr>
      <w:r w:rsidRPr="003E3038">
        <w:t>108.</w:t>
      </w:r>
      <w:r w:rsidRPr="003E3038">
        <w:tab/>
        <w:t xml:space="preserve">El derecho mauritano prohíbe la incitación a actos de discriminación racial y étnica y contiene una serie de disposiciones que penalizan la difusión de ideas basadas en el odio o la superioridad racial, la incitación a la discriminación racial y los actos de violencia o provocación contra las personas de cualquier raza o que pertenezcan a un grupo de color u origen étnico diferente. </w:t>
      </w:r>
    </w:p>
    <w:p w:rsidR="003E3038" w:rsidRPr="003E3038" w:rsidRDefault="003E3038" w:rsidP="003E3038">
      <w:pPr>
        <w:pStyle w:val="SingleTxtG"/>
      </w:pPr>
      <w:r w:rsidRPr="003E3038">
        <w:lastRenderedPageBreak/>
        <w:t>109.</w:t>
      </w:r>
      <w:r w:rsidRPr="003E3038">
        <w:tab/>
        <w:t>Las autoridades públicas no apoyan ni toleran ningún acto de discriminación racial. El funcionamiento del Estado y las instituciones públicas se rige por la Constitución, que prohíbe la discriminación racial, tipificada como delito. Esa prohibición está consagrada en la Ley del Estatuto General de la Administración Pública, el texto principal por el que se rige el funcionamiento de la administración pública en Mauritania.</w:t>
      </w:r>
    </w:p>
    <w:p w:rsidR="003E3038" w:rsidRPr="003E3038" w:rsidRDefault="003E3038" w:rsidP="003E3038">
      <w:pPr>
        <w:pStyle w:val="SingleTxtG"/>
      </w:pPr>
      <w:r w:rsidRPr="003E3038">
        <w:t>110.</w:t>
      </w:r>
      <w:r w:rsidRPr="003E3038">
        <w:tab/>
        <w:t>Las convenciones internacionales sobre los derechos humanos ratificadas por Mauritania obligan a las instituciones públicas a prohibir y combatir la discriminación.</w:t>
      </w:r>
    </w:p>
    <w:p w:rsidR="003E3038" w:rsidRPr="003E3038" w:rsidRDefault="003E3038" w:rsidP="003E3038">
      <w:pPr>
        <w:pStyle w:val="SingleTxtG"/>
      </w:pPr>
      <w:r w:rsidRPr="003E3038">
        <w:t>111.</w:t>
      </w:r>
      <w:r w:rsidRPr="003E3038">
        <w:tab/>
        <w:t xml:space="preserve">La discriminación se aborda en la sección II del Código Penal, que trata sobre los crímenes y delitos contra las personas. En virtud de lo establecido en el capítulo 1, titulado </w:t>
      </w:r>
      <w:r w:rsidR="00734DBC">
        <w:t>“</w:t>
      </w:r>
      <w:r w:rsidRPr="003E3038">
        <w:t>Crímenes y delitos contra las personas</w:t>
      </w:r>
      <w:r w:rsidR="00734DBC">
        <w:t>”</w:t>
      </w:r>
      <w:r w:rsidRPr="003E3038">
        <w:t>, los jueces pueden aplicar una amplia gama de sanciones penales a las prácticas racistas en función de su gravedad.</w:t>
      </w:r>
    </w:p>
    <w:p w:rsidR="003E3038" w:rsidRPr="003E3038" w:rsidRDefault="003E3038" w:rsidP="003E3038">
      <w:pPr>
        <w:pStyle w:val="SingleTxtG"/>
      </w:pPr>
      <w:r w:rsidRPr="003E3038">
        <w:t>112.</w:t>
      </w:r>
      <w:r w:rsidRPr="003E3038">
        <w:tab/>
        <w:t xml:space="preserve">Las acusaciones que figuran en la sexta recomendación del Comité son infundadas. Los criterios y condiciones para acceder a la función pública y a los cargos civiles y militares se rigen por el reglamento en vigor, que no hace ninguna distinción entre los ciudadanos de Mauritania. </w:t>
      </w:r>
    </w:p>
    <w:p w:rsidR="003E3038" w:rsidRPr="003E3038" w:rsidRDefault="005D5DC0" w:rsidP="005D5DC0">
      <w:pPr>
        <w:pStyle w:val="H1G"/>
      </w:pPr>
      <w:r>
        <w:tab/>
      </w:r>
      <w:r w:rsidR="003E3038" w:rsidRPr="003E3038">
        <w:tab/>
        <w:t xml:space="preserve">Artículo 5 </w:t>
      </w:r>
    </w:p>
    <w:p w:rsidR="003E3038" w:rsidRPr="003E3038" w:rsidRDefault="003E3038" w:rsidP="003E3038">
      <w:pPr>
        <w:pStyle w:val="SingleTxtG"/>
      </w:pPr>
      <w:r w:rsidRPr="003E3038">
        <w:t>113.</w:t>
      </w:r>
      <w:r w:rsidRPr="003E3038">
        <w:tab/>
        <w:t xml:space="preserve">El Gobierno ha presentado un proyecto de ley por el que se incorpora el delito racista y se establecen las sanciones correspondientes y ha establecido mecanismos de asistencia jurídica para facilitar a todos los ciudadanos el acceso a la justicia. </w:t>
      </w:r>
    </w:p>
    <w:p w:rsidR="003E3038" w:rsidRPr="003E3038" w:rsidRDefault="003E3038" w:rsidP="003E3038">
      <w:pPr>
        <w:pStyle w:val="SingleTxtG"/>
      </w:pPr>
      <w:r w:rsidRPr="003E3038">
        <w:t>114.</w:t>
      </w:r>
      <w:r w:rsidRPr="003E3038">
        <w:tab/>
        <w:t>El Gobierno, el Parlamento, los partidos políticos, las asociaciones profesionales y las autoridades locales dan prioridad al ejercicio y el disfrute de los derechos civiles y políticos y las libertades individuales y colectivas en condiciones de igualdad y sin discriminación.</w:t>
      </w:r>
    </w:p>
    <w:p w:rsidR="003E3038" w:rsidRPr="003E3038" w:rsidRDefault="003E3038" w:rsidP="003E3038">
      <w:pPr>
        <w:pStyle w:val="SingleTxtG"/>
      </w:pPr>
      <w:r w:rsidRPr="003E3038">
        <w:t>115.</w:t>
      </w:r>
      <w:r w:rsidRPr="003E3038">
        <w:tab/>
        <w:t>Se ha adoptado una política migratoria que favorece la entrada, la residencia y el empleo de extranjeros en el territorio nacional.</w:t>
      </w:r>
    </w:p>
    <w:p w:rsidR="003E3038" w:rsidRPr="003E3038" w:rsidRDefault="003E3038" w:rsidP="003E3038">
      <w:pPr>
        <w:pStyle w:val="SingleTxtG"/>
      </w:pPr>
      <w:r w:rsidRPr="003E3038">
        <w:t>116.</w:t>
      </w:r>
      <w:r w:rsidRPr="003E3038">
        <w:tab/>
        <w:t>En el Código Penal se contempla la protección y la seguridad de las personas contra todo acto de violencia o agresión cometido por funcionarios públicos o cualquier individuo o grupo. Las sanciones previstas van desde la privación de los derechos civiles a las penas de prisión, pasando por una multa cuya cuantía varía según la gravedad del delito.</w:t>
      </w:r>
    </w:p>
    <w:p w:rsidR="003E3038" w:rsidRPr="003E3038" w:rsidRDefault="003E3038" w:rsidP="003E3038">
      <w:pPr>
        <w:pStyle w:val="SingleTxtG"/>
      </w:pPr>
      <w:r w:rsidRPr="003E3038">
        <w:t>117.</w:t>
      </w:r>
      <w:r w:rsidRPr="003E3038">
        <w:tab/>
        <w:t xml:space="preserve">La erradicación de las secuelas y las formas contemporáneas de la esclavitud es una prioridad de la acción del Gobierno. Para ello, el 6 de marzo de 2014 se aprobó una hoja de ruta para la erradicación de las formas contemporáneas de la esclavitud y se establecieron un comité interministerial, presidido por el Primer Ministro, encargado de aplicar las recomendaciones de dicha hoja de ruta y una comisión técnica de seguimiento. </w:t>
      </w:r>
    </w:p>
    <w:p w:rsidR="003E3038" w:rsidRPr="003E3038" w:rsidRDefault="003E3038" w:rsidP="003E3038">
      <w:pPr>
        <w:pStyle w:val="SingleTxtG"/>
      </w:pPr>
      <w:r w:rsidRPr="003E3038">
        <w:t>118.</w:t>
      </w:r>
      <w:r w:rsidRPr="003E3038">
        <w:tab/>
        <w:t>Dicha comisión está compuesta por representantes de los ministerios, la Comisión Nacional de Derechos Humanos, las organizaciones de la sociedad civil y la oficina del ACNUDH en Mauritania en calidad de observadora.</w:t>
      </w:r>
    </w:p>
    <w:p w:rsidR="003E3038" w:rsidRPr="003E3038" w:rsidRDefault="003E3038" w:rsidP="003E3038">
      <w:pPr>
        <w:pStyle w:val="SingleTxtG"/>
      </w:pPr>
      <w:r w:rsidRPr="003E3038">
        <w:t>119.</w:t>
      </w:r>
      <w:r w:rsidRPr="003E3038">
        <w:tab/>
        <w:t xml:space="preserve">El 30 de septiembre de 2014 se aprobó un plan de acción para la aplicación de la hoja de ruta y se adoptaron las medidas siguientes: </w:t>
      </w:r>
    </w:p>
    <w:p w:rsidR="003E3038" w:rsidRPr="003E3038" w:rsidRDefault="003E3038" w:rsidP="005D5DC0">
      <w:pPr>
        <w:pStyle w:val="Bullet1G"/>
      </w:pPr>
      <w:r w:rsidRPr="003E3038">
        <w:t>La aprobación de la Ley núm. 2015-031, de 10 de septiembre de 2015, por la que se derogó y sustituyó la Ley núm. 048/2007, se tipificó como delito la esclavitud y se sancionaron las prácticas</w:t>
      </w:r>
      <w:r w:rsidR="00471F4D">
        <w:t xml:space="preserve"> esclavistas. En virtud de esa L</w:t>
      </w:r>
      <w:r w:rsidRPr="003E3038">
        <w:t xml:space="preserve">ey, se reconoce a las ONG el derecho a constituirse en parte civil. </w:t>
      </w:r>
    </w:p>
    <w:p w:rsidR="003E3038" w:rsidRPr="003E3038" w:rsidRDefault="003E3038" w:rsidP="005D5DC0">
      <w:pPr>
        <w:pStyle w:val="Bullet1G"/>
      </w:pPr>
      <w:r w:rsidRPr="003E3038">
        <w:t>La institucionalización del 6 de marzo de cada año como Día Nacional contra las Secuelas de la Esclavitud.</w:t>
      </w:r>
    </w:p>
    <w:p w:rsidR="003E3038" w:rsidRPr="003E3038" w:rsidRDefault="003E3038" w:rsidP="005D5DC0">
      <w:pPr>
        <w:pStyle w:val="Bullet1G"/>
      </w:pPr>
      <w:r w:rsidRPr="003E3038">
        <w:t>El establecimiento de transferencias en efectivo para la escolarización de los niños en edad escolar a fin de ayudar a las familias pobres o afectadas por las secuelas de la esclavitud.</w:t>
      </w:r>
    </w:p>
    <w:p w:rsidR="003E3038" w:rsidRPr="003E3038" w:rsidRDefault="003E3038" w:rsidP="005D5DC0">
      <w:pPr>
        <w:pStyle w:val="Bullet1G"/>
      </w:pPr>
      <w:r w:rsidRPr="003E3038">
        <w:t>La aprobación de un plan de acción contra el trabajo infantil.</w:t>
      </w:r>
    </w:p>
    <w:p w:rsidR="003E3038" w:rsidRPr="003E3038" w:rsidRDefault="003E3038" w:rsidP="005D5DC0">
      <w:pPr>
        <w:pStyle w:val="Bullet1G"/>
      </w:pPr>
      <w:r w:rsidRPr="003E3038">
        <w:lastRenderedPageBreak/>
        <w:t>La construcción de infraestructuras escolares (como escuelas, comedores, etc.) en las zonas de enseñanza prioritarias.</w:t>
      </w:r>
    </w:p>
    <w:p w:rsidR="003E3038" w:rsidRPr="003E3038" w:rsidRDefault="003E3038" w:rsidP="005D5DC0">
      <w:pPr>
        <w:pStyle w:val="Bullet1G"/>
      </w:pPr>
      <w:r w:rsidRPr="003E3038">
        <w:t xml:space="preserve">La organización de campañas de concienciación acerca de la </w:t>
      </w:r>
      <w:r w:rsidR="00734DBC">
        <w:t>“</w:t>
      </w:r>
      <w:r w:rsidRPr="003E3038">
        <w:t>deslegitimación</w:t>
      </w:r>
      <w:r w:rsidR="00734DBC">
        <w:t>”</w:t>
      </w:r>
      <w:r w:rsidRPr="003E3038">
        <w:t xml:space="preserve"> de la esclavitud.</w:t>
      </w:r>
    </w:p>
    <w:p w:rsidR="003E3038" w:rsidRPr="003E3038" w:rsidRDefault="003E3038" w:rsidP="005D5DC0">
      <w:pPr>
        <w:pStyle w:val="Bullet1G"/>
      </w:pPr>
      <w:r w:rsidRPr="003E3038">
        <w:t xml:space="preserve">La celebración de talleres para las organizaciones de la sociedad civil y los medios de comunicación sobre la legislación de lucha contra la esclavitud. </w:t>
      </w:r>
    </w:p>
    <w:p w:rsidR="003E3038" w:rsidRPr="003E3038" w:rsidRDefault="003E3038" w:rsidP="005D5DC0">
      <w:pPr>
        <w:pStyle w:val="Bullet1G"/>
      </w:pPr>
      <w:r w:rsidRPr="003E3038">
        <w:t>La promulgación de una fetua el 27 de marzo de 2015 por la Asociación de Ulemas (líderes religiosos) sobre la ilegitimidad de la práctica de la esclavitud.</w:t>
      </w:r>
    </w:p>
    <w:p w:rsidR="003E3038" w:rsidRPr="003E3038" w:rsidRDefault="003E3038" w:rsidP="005D5DC0">
      <w:pPr>
        <w:pStyle w:val="Bullet1G"/>
      </w:pPr>
      <w:r w:rsidRPr="003E3038">
        <w:t>La elaboración de proyectos de generación de ingresos en beneficio de las poblaciones afectadas por las secuelas de la esclavitud.</w:t>
      </w:r>
    </w:p>
    <w:p w:rsidR="003E3038" w:rsidRPr="003E3038" w:rsidRDefault="003E3038" w:rsidP="005D5DC0">
      <w:pPr>
        <w:pStyle w:val="Bullet1G"/>
      </w:pPr>
      <w:r w:rsidRPr="003E3038">
        <w:t xml:space="preserve">Concesión al Organismo Nacional </w:t>
      </w:r>
      <w:r w:rsidR="00734DBC">
        <w:t>“</w:t>
      </w:r>
      <w:r w:rsidRPr="003E3038">
        <w:t>TADAMOUN</w:t>
      </w:r>
      <w:r w:rsidR="00734DBC">
        <w:t>”</w:t>
      </w:r>
      <w:r w:rsidRPr="003E3038">
        <w:t xml:space="preserve"> de un paquete financiero anual con cargo al presupuesto del Estado de 2.800 millones de uguiyas, unos 9,7 millones de dólares de los Estados Unidos, para la ejecución de sus programas. </w:t>
      </w:r>
    </w:p>
    <w:p w:rsidR="003E3038" w:rsidRPr="003E3038" w:rsidRDefault="003E3038" w:rsidP="003E3038">
      <w:pPr>
        <w:pStyle w:val="SingleTxtG"/>
      </w:pPr>
      <w:r w:rsidRPr="003E3038">
        <w:t>120.</w:t>
      </w:r>
      <w:r w:rsidRPr="003E3038">
        <w:tab/>
        <w:t xml:space="preserve">Esa financiación permitió la ejecución de proyectos relativos a la educación, la formación profesional, la salud, el abastecimiento de agua, la agricultura, la ganadería, la pesca, el medio ambiente, la vivienda social y los pequeños oficios, principalmente en las zonas prioritarias. Además, esa institución está facultada para constituirse en parte civil en las causas judiciales relacionadas con la esclavitud. </w:t>
      </w:r>
    </w:p>
    <w:p w:rsidR="003E3038" w:rsidRPr="003E3038" w:rsidRDefault="003E3038" w:rsidP="003E3038">
      <w:pPr>
        <w:pStyle w:val="SingleTxtG"/>
      </w:pPr>
      <w:r w:rsidRPr="003E3038">
        <w:t>121.</w:t>
      </w:r>
      <w:r w:rsidRPr="003E3038">
        <w:tab/>
        <w:t>En 2016, el Organismo Nacional TADAMOUN llevó a cabo las siguientes actividades clave en el marco de la erradicación de</w:t>
      </w:r>
      <w:r w:rsidR="00471F4D">
        <w:t xml:space="preserve"> las secuelas de la esclavitud.</w:t>
      </w:r>
    </w:p>
    <w:p w:rsidR="003E3038" w:rsidRPr="003E3038" w:rsidRDefault="003E3038" w:rsidP="003E3038">
      <w:pPr>
        <w:pStyle w:val="SingleTxtG"/>
        <w:rPr>
          <w:b/>
        </w:rPr>
      </w:pPr>
      <w:r w:rsidRPr="003E3038">
        <w:rPr>
          <w:b/>
        </w:rPr>
        <w:t>Construcción de escuelas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968"/>
        <w:gridCol w:w="3402"/>
      </w:tblGrid>
      <w:tr w:rsidR="003E3038" w:rsidRPr="005D5DC0" w:rsidTr="005D5DC0">
        <w:trPr>
          <w:trHeight w:val="240"/>
          <w:tblHeader/>
        </w:trPr>
        <w:tc>
          <w:tcPr>
            <w:tcW w:w="3969" w:type="dxa"/>
            <w:tcBorders>
              <w:top w:val="single" w:sz="4" w:space="0" w:color="auto"/>
              <w:bottom w:val="single" w:sz="12" w:space="0" w:color="auto"/>
            </w:tcBorders>
            <w:shd w:val="clear" w:color="auto" w:fill="auto"/>
            <w:vAlign w:val="bottom"/>
          </w:tcPr>
          <w:p w:rsidR="003E3038" w:rsidRPr="005D5DC0" w:rsidRDefault="003E3038" w:rsidP="005D5DC0">
            <w:pPr>
              <w:pStyle w:val="SingleTxtG"/>
              <w:spacing w:before="80" w:after="80" w:line="200" w:lineRule="exact"/>
              <w:ind w:left="0" w:right="0"/>
              <w:jc w:val="left"/>
              <w:rPr>
                <w:bCs/>
                <w:i/>
                <w:sz w:val="16"/>
              </w:rPr>
            </w:pPr>
            <w:r w:rsidRPr="005D5DC0">
              <w:rPr>
                <w:i/>
                <w:sz w:val="16"/>
              </w:rPr>
              <w:t>Tipo</w:t>
            </w:r>
          </w:p>
        </w:tc>
        <w:tc>
          <w:tcPr>
            <w:tcW w:w="3402" w:type="dxa"/>
            <w:tcBorders>
              <w:top w:val="single" w:sz="4" w:space="0" w:color="auto"/>
              <w:bottom w:val="single" w:sz="12" w:space="0" w:color="auto"/>
            </w:tcBorders>
            <w:shd w:val="clear" w:color="auto" w:fill="auto"/>
            <w:vAlign w:val="bottom"/>
          </w:tcPr>
          <w:p w:rsidR="003E3038" w:rsidRPr="005D5DC0" w:rsidRDefault="003E3038" w:rsidP="005D5DC0">
            <w:pPr>
              <w:pStyle w:val="SingleTxtG"/>
              <w:spacing w:before="80" w:after="80" w:line="200" w:lineRule="exact"/>
              <w:ind w:left="0" w:right="0"/>
              <w:jc w:val="left"/>
              <w:rPr>
                <w:bCs/>
                <w:i/>
                <w:sz w:val="16"/>
              </w:rPr>
            </w:pPr>
            <w:r w:rsidRPr="005D5DC0">
              <w:rPr>
                <w:i/>
                <w:sz w:val="16"/>
              </w:rPr>
              <w:t>Ubicación</w:t>
            </w:r>
          </w:p>
        </w:tc>
      </w:tr>
      <w:tr w:rsidR="003E3038" w:rsidRPr="005D5DC0" w:rsidTr="005D5DC0">
        <w:trPr>
          <w:trHeight w:val="240"/>
        </w:trPr>
        <w:tc>
          <w:tcPr>
            <w:tcW w:w="3969" w:type="dxa"/>
            <w:tcBorders>
              <w:top w:val="single" w:sz="12" w:space="0" w:color="auto"/>
            </w:tcBorders>
            <w:shd w:val="clear" w:color="auto" w:fill="auto"/>
          </w:tcPr>
          <w:p w:rsidR="003E3038" w:rsidRPr="005D5DC0" w:rsidRDefault="003E3038" w:rsidP="005D5DC0">
            <w:pPr>
              <w:pStyle w:val="SingleTxtG"/>
              <w:spacing w:before="40"/>
              <w:ind w:left="0" w:right="0"/>
              <w:jc w:val="left"/>
            </w:pPr>
            <w:r w:rsidRPr="005D5DC0">
              <w:t>Una escuela primaria completa</w:t>
            </w:r>
          </w:p>
        </w:tc>
        <w:tc>
          <w:tcPr>
            <w:tcW w:w="3402" w:type="dxa"/>
            <w:tcBorders>
              <w:top w:val="single" w:sz="12" w:space="0" w:color="auto"/>
            </w:tcBorders>
            <w:shd w:val="clear" w:color="auto" w:fill="auto"/>
          </w:tcPr>
          <w:p w:rsidR="003E3038" w:rsidRPr="005D5DC0" w:rsidRDefault="003E3038" w:rsidP="005D5DC0">
            <w:pPr>
              <w:pStyle w:val="SingleTxtG"/>
              <w:spacing w:before="40"/>
              <w:ind w:left="0" w:right="0"/>
              <w:jc w:val="left"/>
            </w:pPr>
            <w:r w:rsidRPr="005D5DC0">
              <w:t>Laoussi, municipio de Barkéoul, Assaba</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Escuela primaria completa en Jrana</w:t>
            </w:r>
          </w:p>
        </w:tc>
        <w:tc>
          <w:tcPr>
            <w:tcW w:w="3402" w:type="dxa"/>
            <w:shd w:val="clear" w:color="auto" w:fill="auto"/>
          </w:tcPr>
          <w:p w:rsidR="003E3038" w:rsidRPr="005D5DC0" w:rsidRDefault="003E3038" w:rsidP="005D5DC0">
            <w:pPr>
              <w:pStyle w:val="SingleTxtG"/>
              <w:spacing w:before="40"/>
              <w:ind w:left="0" w:right="0"/>
              <w:jc w:val="left"/>
            </w:pPr>
            <w:r w:rsidRPr="005D5DC0">
              <w:t>Municipio de Adelbagrou, H. Chargui</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Complejo escolar en Touymiret Lemarid</w:t>
            </w:r>
          </w:p>
        </w:tc>
        <w:tc>
          <w:tcPr>
            <w:tcW w:w="3402" w:type="dxa"/>
            <w:shd w:val="clear" w:color="auto" w:fill="auto"/>
          </w:tcPr>
          <w:p w:rsidR="003E3038" w:rsidRPr="005D5DC0" w:rsidRDefault="003E3038" w:rsidP="005D5DC0">
            <w:pPr>
              <w:pStyle w:val="SingleTxtG"/>
              <w:spacing w:before="40"/>
              <w:ind w:left="0" w:right="0"/>
              <w:jc w:val="left"/>
            </w:pPr>
            <w:r w:rsidRPr="005D5DC0">
              <w:t>Municipio de Bougadoum, H.Chargui</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Escuela primaria completa en Yengui leksar</w:t>
            </w:r>
          </w:p>
        </w:tc>
        <w:tc>
          <w:tcPr>
            <w:tcW w:w="3402" w:type="dxa"/>
            <w:shd w:val="clear" w:color="auto" w:fill="auto"/>
          </w:tcPr>
          <w:p w:rsidR="003E3038" w:rsidRPr="005D5DC0" w:rsidRDefault="003E3038" w:rsidP="005D5DC0">
            <w:pPr>
              <w:pStyle w:val="SingleTxtG"/>
              <w:spacing w:before="40"/>
              <w:ind w:left="0" w:right="0"/>
              <w:jc w:val="left"/>
            </w:pPr>
            <w:r w:rsidRPr="005D5DC0">
              <w:t>Municipio de Koumbisaleh, H.Chargui</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 xml:space="preserve">Escuela primaria completa en la localidad de Afodiar Nouazir, municipio de Bokol </w:t>
            </w:r>
          </w:p>
        </w:tc>
        <w:tc>
          <w:tcPr>
            <w:tcW w:w="3402" w:type="dxa"/>
            <w:shd w:val="clear" w:color="auto" w:fill="auto"/>
          </w:tcPr>
          <w:p w:rsidR="003E3038" w:rsidRPr="005D5DC0" w:rsidRDefault="003E3038" w:rsidP="005D5DC0">
            <w:pPr>
              <w:pStyle w:val="SingleTxtG"/>
              <w:spacing w:before="40"/>
              <w:ind w:left="0" w:right="0"/>
              <w:jc w:val="left"/>
            </w:pPr>
            <w:r w:rsidRPr="000410CF">
              <w:rPr>
                <w:i/>
              </w:rPr>
              <w:t>Moughataa</w:t>
            </w:r>
            <w:r w:rsidRPr="005D5DC0">
              <w:t xml:space="preserve"> de Monguel, Gorgol</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Escuela primaria completa en la localidad de Elmachra (</w:t>
            </w:r>
            <w:r w:rsidR="005D5DC0">
              <w:t>f</w:t>
            </w:r>
            <w:r w:rsidRPr="005D5DC0">
              <w:t xml:space="preserve">ase 1) </w:t>
            </w:r>
          </w:p>
        </w:tc>
        <w:tc>
          <w:tcPr>
            <w:tcW w:w="3402" w:type="dxa"/>
            <w:shd w:val="clear" w:color="auto" w:fill="auto"/>
          </w:tcPr>
          <w:p w:rsidR="003E3038" w:rsidRPr="005D5DC0" w:rsidRDefault="003E3038" w:rsidP="005D5DC0">
            <w:pPr>
              <w:pStyle w:val="SingleTxtG"/>
              <w:spacing w:before="40"/>
              <w:ind w:left="0" w:right="0"/>
              <w:jc w:val="left"/>
            </w:pPr>
            <w:r w:rsidRPr="005D5DC0">
              <w:t xml:space="preserve">Municipio de Tamouret Enaj, </w:t>
            </w:r>
            <w:r w:rsidR="000F0F34">
              <w:rPr>
                <w:i/>
              </w:rPr>
              <w:t>m</w:t>
            </w:r>
            <w:r w:rsidRPr="000410CF">
              <w:rPr>
                <w:i/>
              </w:rPr>
              <w:t>oughataa</w:t>
            </w:r>
            <w:r w:rsidRPr="005D5DC0">
              <w:t xml:space="preserve"> de Moudjeria, Tagant</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Escuela completa en Akneikir, municipio de Tamouret Enaj (</w:t>
            </w:r>
            <w:r w:rsidR="005D5DC0">
              <w:t>f</w:t>
            </w:r>
            <w:r w:rsidRPr="005D5DC0">
              <w:t xml:space="preserve">ase 2) </w:t>
            </w:r>
          </w:p>
        </w:tc>
        <w:tc>
          <w:tcPr>
            <w:tcW w:w="3402" w:type="dxa"/>
            <w:shd w:val="clear" w:color="auto" w:fill="auto"/>
          </w:tcPr>
          <w:p w:rsidR="003E3038" w:rsidRPr="005D5DC0" w:rsidRDefault="003E3038" w:rsidP="005D5DC0">
            <w:pPr>
              <w:pStyle w:val="SingleTxtG"/>
              <w:spacing w:before="40"/>
              <w:ind w:left="0" w:right="0"/>
              <w:jc w:val="left"/>
            </w:pPr>
            <w:r w:rsidRPr="000410CF">
              <w:rPr>
                <w:i/>
              </w:rPr>
              <w:t>Moughataa</w:t>
            </w:r>
            <w:r w:rsidRPr="005D5DC0">
              <w:t xml:space="preserve"> de Moudjeria, Tagant</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Escuela completa en Medina, municipio de Touil (</w:t>
            </w:r>
            <w:r w:rsidR="005D5DC0">
              <w:t>f</w:t>
            </w:r>
            <w:r w:rsidRPr="005D5DC0">
              <w:t>ase 1)</w:t>
            </w:r>
          </w:p>
        </w:tc>
        <w:tc>
          <w:tcPr>
            <w:tcW w:w="3402" w:type="dxa"/>
            <w:shd w:val="clear" w:color="auto" w:fill="auto"/>
          </w:tcPr>
          <w:p w:rsidR="003E3038" w:rsidRPr="005D5DC0" w:rsidRDefault="003E3038" w:rsidP="005D5DC0">
            <w:pPr>
              <w:pStyle w:val="SingleTxtG"/>
              <w:spacing w:before="40"/>
              <w:ind w:left="0" w:right="0"/>
              <w:jc w:val="left"/>
            </w:pPr>
            <w:r w:rsidRPr="000410CF">
              <w:rPr>
                <w:i/>
              </w:rPr>
              <w:t xml:space="preserve">Moughataa </w:t>
            </w:r>
            <w:r w:rsidRPr="005D5DC0">
              <w:t>de Tintane, H.Gharbi</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Escuela comple</w:t>
            </w:r>
            <w:r w:rsidR="005D5DC0">
              <w:t>ta en SET, municipio de Touil (f</w:t>
            </w:r>
            <w:r w:rsidRPr="005D5DC0">
              <w:t>ase 1)</w:t>
            </w:r>
          </w:p>
        </w:tc>
        <w:tc>
          <w:tcPr>
            <w:tcW w:w="3402" w:type="dxa"/>
            <w:shd w:val="clear" w:color="auto" w:fill="auto"/>
          </w:tcPr>
          <w:p w:rsidR="003E3038" w:rsidRPr="005D5DC0" w:rsidRDefault="003E3038" w:rsidP="005D5DC0">
            <w:pPr>
              <w:pStyle w:val="SingleTxtG"/>
              <w:spacing w:before="40"/>
              <w:ind w:left="0" w:right="0"/>
              <w:jc w:val="left"/>
            </w:pPr>
            <w:r w:rsidRPr="000410CF">
              <w:rPr>
                <w:i/>
              </w:rPr>
              <w:t xml:space="preserve">Moughataa </w:t>
            </w:r>
            <w:r w:rsidRPr="005D5DC0">
              <w:t>de Tintane, H.Gharbi</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Escuela completa en Breima, municipio de Touil (</w:t>
            </w:r>
            <w:r w:rsidR="005D5DC0">
              <w:t>f</w:t>
            </w:r>
            <w:r w:rsidRPr="005D5DC0">
              <w:t>ase 2)</w:t>
            </w:r>
          </w:p>
        </w:tc>
        <w:tc>
          <w:tcPr>
            <w:tcW w:w="3402" w:type="dxa"/>
            <w:shd w:val="clear" w:color="auto" w:fill="auto"/>
          </w:tcPr>
          <w:p w:rsidR="003E3038" w:rsidRPr="005D5DC0" w:rsidRDefault="003E3038" w:rsidP="005D5DC0">
            <w:pPr>
              <w:pStyle w:val="SingleTxtG"/>
              <w:spacing w:before="40"/>
              <w:ind w:left="0" w:right="0"/>
              <w:jc w:val="left"/>
            </w:pPr>
            <w:r w:rsidRPr="000410CF">
              <w:rPr>
                <w:i/>
              </w:rPr>
              <w:t xml:space="preserve">Moughataa </w:t>
            </w:r>
            <w:r w:rsidRPr="005D5DC0">
              <w:t>de Tintane, H.Gharbi</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Escuela completa en Kerkerate, municipio de Voulaniya (</w:t>
            </w:r>
            <w:r w:rsidR="005D5DC0">
              <w:t>f</w:t>
            </w:r>
            <w:r w:rsidRPr="005D5DC0">
              <w:t>ase 4)</w:t>
            </w:r>
          </w:p>
        </w:tc>
        <w:tc>
          <w:tcPr>
            <w:tcW w:w="3402" w:type="dxa"/>
            <w:shd w:val="clear" w:color="auto" w:fill="auto"/>
          </w:tcPr>
          <w:p w:rsidR="003E3038" w:rsidRPr="005D5DC0" w:rsidRDefault="003E3038" w:rsidP="005D5DC0">
            <w:pPr>
              <w:pStyle w:val="SingleTxtG"/>
              <w:spacing w:before="40"/>
              <w:ind w:left="0" w:right="0"/>
              <w:jc w:val="left"/>
            </w:pPr>
            <w:r w:rsidRPr="000410CF">
              <w:rPr>
                <w:i/>
              </w:rPr>
              <w:t xml:space="preserve">Moughataa </w:t>
            </w:r>
            <w:r w:rsidRPr="005D5DC0">
              <w:t>de Koubeni, H.Gharbi</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Escuela completa en Gogui Zemal, municipio de Koubeni (</w:t>
            </w:r>
            <w:r w:rsidR="005D5DC0">
              <w:t>f</w:t>
            </w:r>
            <w:r w:rsidRPr="005D5DC0">
              <w:t>ase 4)</w:t>
            </w:r>
          </w:p>
        </w:tc>
        <w:tc>
          <w:tcPr>
            <w:tcW w:w="3402" w:type="dxa"/>
            <w:shd w:val="clear" w:color="auto" w:fill="auto"/>
          </w:tcPr>
          <w:p w:rsidR="003E3038" w:rsidRPr="005D5DC0" w:rsidRDefault="003E3038" w:rsidP="005D5DC0">
            <w:pPr>
              <w:pStyle w:val="SingleTxtG"/>
              <w:spacing w:before="40"/>
              <w:ind w:left="0" w:right="0"/>
              <w:jc w:val="left"/>
            </w:pPr>
            <w:r w:rsidRPr="000410CF">
              <w:rPr>
                <w:i/>
              </w:rPr>
              <w:t xml:space="preserve">Moughataa </w:t>
            </w:r>
            <w:r w:rsidRPr="005D5DC0">
              <w:t>de Koubeni, H.Gharbi</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Escuela completa en Koussane, municipio de Vassala</w:t>
            </w:r>
          </w:p>
        </w:tc>
        <w:tc>
          <w:tcPr>
            <w:tcW w:w="3402" w:type="dxa"/>
            <w:shd w:val="clear" w:color="auto" w:fill="auto"/>
          </w:tcPr>
          <w:p w:rsidR="003E3038" w:rsidRPr="005D5DC0" w:rsidRDefault="003E3038" w:rsidP="005D5DC0">
            <w:pPr>
              <w:pStyle w:val="SingleTxtG"/>
              <w:spacing w:before="40"/>
              <w:ind w:left="0" w:right="0"/>
              <w:jc w:val="left"/>
            </w:pPr>
            <w:r w:rsidRPr="000410CF">
              <w:rPr>
                <w:i/>
              </w:rPr>
              <w:t xml:space="preserve">Moughataa </w:t>
            </w:r>
            <w:r w:rsidRPr="005D5DC0">
              <w:t>de Bassiknou, H.Charghi</w:t>
            </w:r>
          </w:p>
        </w:tc>
      </w:tr>
      <w:tr w:rsidR="003E3038" w:rsidRPr="005D5DC0" w:rsidTr="005D5DC0">
        <w:trPr>
          <w:trHeight w:val="240"/>
        </w:trPr>
        <w:tc>
          <w:tcPr>
            <w:tcW w:w="3969" w:type="dxa"/>
            <w:shd w:val="clear" w:color="auto" w:fill="auto"/>
          </w:tcPr>
          <w:p w:rsidR="003E3038" w:rsidRPr="005D5DC0" w:rsidRDefault="003E3038" w:rsidP="005D5DC0">
            <w:pPr>
              <w:pStyle w:val="SingleTxtG"/>
              <w:keepNext/>
              <w:spacing w:before="40"/>
              <w:ind w:left="0" w:right="0"/>
              <w:jc w:val="left"/>
            </w:pPr>
            <w:r w:rsidRPr="005D5DC0">
              <w:lastRenderedPageBreak/>
              <w:t>Escuela completa en Terwen, municipio de Atar</w:t>
            </w:r>
          </w:p>
        </w:tc>
        <w:tc>
          <w:tcPr>
            <w:tcW w:w="3402" w:type="dxa"/>
            <w:shd w:val="clear" w:color="auto" w:fill="auto"/>
          </w:tcPr>
          <w:p w:rsidR="003E3038" w:rsidRPr="005D5DC0" w:rsidRDefault="003E3038" w:rsidP="005D5DC0">
            <w:pPr>
              <w:pStyle w:val="SingleTxtG"/>
              <w:keepNext/>
              <w:spacing w:before="40"/>
              <w:ind w:left="0" w:right="0"/>
              <w:jc w:val="left"/>
            </w:pPr>
            <w:r w:rsidRPr="000410CF">
              <w:rPr>
                <w:i/>
              </w:rPr>
              <w:t xml:space="preserve">Moughataa </w:t>
            </w:r>
            <w:r w:rsidRPr="005D5DC0">
              <w:t>de Atar, Adrar</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Escuela completa en Kindierle, municipio de Vassala</w:t>
            </w:r>
          </w:p>
        </w:tc>
        <w:tc>
          <w:tcPr>
            <w:tcW w:w="3402" w:type="dxa"/>
            <w:shd w:val="clear" w:color="auto" w:fill="auto"/>
          </w:tcPr>
          <w:p w:rsidR="003E3038" w:rsidRPr="005D5DC0" w:rsidRDefault="003E3038" w:rsidP="005D5DC0">
            <w:pPr>
              <w:pStyle w:val="SingleTxtG"/>
              <w:spacing w:before="40"/>
              <w:ind w:left="0" w:right="0"/>
              <w:jc w:val="left"/>
            </w:pPr>
            <w:r w:rsidRPr="000410CF">
              <w:rPr>
                <w:i/>
              </w:rPr>
              <w:t xml:space="preserve">Moughataa </w:t>
            </w:r>
            <w:r w:rsidRPr="005D5DC0">
              <w:t>de Bassiknou, H.Charghi</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Escuela completa en Likhdeima, municipio de Tamourt Naaj</w:t>
            </w:r>
          </w:p>
        </w:tc>
        <w:tc>
          <w:tcPr>
            <w:tcW w:w="3402" w:type="dxa"/>
            <w:shd w:val="clear" w:color="auto" w:fill="auto"/>
          </w:tcPr>
          <w:p w:rsidR="003E3038" w:rsidRPr="005D5DC0" w:rsidRDefault="003E3038" w:rsidP="005D5DC0">
            <w:pPr>
              <w:pStyle w:val="SingleTxtG"/>
              <w:spacing w:before="40"/>
              <w:ind w:left="0" w:right="0"/>
              <w:jc w:val="left"/>
            </w:pPr>
            <w:r w:rsidRPr="000410CF">
              <w:rPr>
                <w:i/>
              </w:rPr>
              <w:t xml:space="preserve">Moughataa </w:t>
            </w:r>
            <w:r w:rsidRPr="005D5DC0">
              <w:t>de Moudjéria, Tagant</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Escuela completa en Ouad Naga, municipio de Ouad Naga</w:t>
            </w:r>
          </w:p>
        </w:tc>
        <w:tc>
          <w:tcPr>
            <w:tcW w:w="3402" w:type="dxa"/>
            <w:shd w:val="clear" w:color="auto" w:fill="auto"/>
          </w:tcPr>
          <w:p w:rsidR="003E3038" w:rsidRPr="005D5DC0" w:rsidRDefault="003E3038" w:rsidP="005D5DC0">
            <w:pPr>
              <w:pStyle w:val="SingleTxtG"/>
              <w:spacing w:before="40"/>
              <w:ind w:left="0" w:right="0"/>
              <w:jc w:val="left"/>
            </w:pPr>
            <w:r w:rsidRPr="000410CF">
              <w:rPr>
                <w:i/>
              </w:rPr>
              <w:t xml:space="preserve">Moughataa </w:t>
            </w:r>
            <w:r w:rsidRPr="005D5DC0">
              <w:t>de Ouad Naga, Trarza</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Escuela completa en Ouad Naga, municipio de Ouad Naga</w:t>
            </w:r>
          </w:p>
        </w:tc>
        <w:tc>
          <w:tcPr>
            <w:tcW w:w="3402" w:type="dxa"/>
            <w:shd w:val="clear" w:color="auto" w:fill="auto"/>
          </w:tcPr>
          <w:p w:rsidR="003E3038" w:rsidRPr="005D5DC0" w:rsidRDefault="003E3038" w:rsidP="005D5DC0">
            <w:pPr>
              <w:pStyle w:val="SingleTxtG"/>
              <w:spacing w:before="40"/>
              <w:ind w:left="0" w:right="0"/>
              <w:jc w:val="left"/>
            </w:pP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2 escuelas completas en Bouratt</w:t>
            </w:r>
          </w:p>
        </w:tc>
        <w:tc>
          <w:tcPr>
            <w:tcW w:w="3402" w:type="dxa"/>
            <w:shd w:val="clear" w:color="auto" w:fill="auto"/>
          </w:tcPr>
          <w:p w:rsidR="003E3038" w:rsidRPr="005D5DC0" w:rsidRDefault="003E3038" w:rsidP="005D5DC0">
            <w:pPr>
              <w:pStyle w:val="SingleTxtG"/>
              <w:spacing w:before="40"/>
              <w:ind w:left="0" w:right="0"/>
              <w:jc w:val="left"/>
            </w:pPr>
            <w:r w:rsidRPr="005D5DC0">
              <w:t>Reagrupamiento Bouratt, Brakna</w:t>
            </w:r>
          </w:p>
        </w:tc>
      </w:tr>
      <w:tr w:rsidR="003E3038" w:rsidRPr="005D5DC0" w:rsidTr="005D5DC0">
        <w:trPr>
          <w:trHeight w:val="240"/>
        </w:trPr>
        <w:tc>
          <w:tcPr>
            <w:tcW w:w="3969" w:type="dxa"/>
            <w:shd w:val="clear" w:color="auto" w:fill="auto"/>
          </w:tcPr>
          <w:p w:rsidR="003E3038" w:rsidRPr="005D5DC0" w:rsidRDefault="003E3038" w:rsidP="00471F4D">
            <w:pPr>
              <w:pStyle w:val="SingleTxtG"/>
              <w:spacing w:before="40"/>
              <w:ind w:left="0" w:right="0"/>
              <w:jc w:val="left"/>
            </w:pPr>
            <w:r w:rsidRPr="005D5DC0">
              <w:t xml:space="preserve">4 clases + </w:t>
            </w:r>
            <w:r w:rsidR="00471F4D">
              <w:t>d</w:t>
            </w:r>
            <w:r w:rsidRPr="005D5DC0">
              <w:t>espacho Director + 3 letrinas + 1 muro perimetral en Niaylia</w:t>
            </w:r>
          </w:p>
        </w:tc>
        <w:tc>
          <w:tcPr>
            <w:tcW w:w="3402" w:type="dxa"/>
            <w:shd w:val="clear" w:color="auto" w:fill="auto"/>
          </w:tcPr>
          <w:p w:rsidR="003E3038" w:rsidRPr="005D5DC0" w:rsidRDefault="003E3038" w:rsidP="005D5DC0">
            <w:pPr>
              <w:pStyle w:val="SingleTxtG"/>
              <w:spacing w:before="40"/>
              <w:ind w:left="0" w:right="0"/>
              <w:jc w:val="left"/>
            </w:pPr>
            <w:r w:rsidRPr="005D5DC0">
              <w:t>Niaylia, Touil, Hodh El Gharbi</w:t>
            </w:r>
          </w:p>
        </w:tc>
      </w:tr>
      <w:tr w:rsidR="003E3038" w:rsidRPr="005D5DC0" w:rsidTr="00471F4D">
        <w:trPr>
          <w:trHeight w:val="240"/>
        </w:trPr>
        <w:tc>
          <w:tcPr>
            <w:tcW w:w="3969" w:type="dxa"/>
            <w:tcBorders>
              <w:bottom w:val="single" w:sz="4" w:space="0" w:color="auto"/>
            </w:tcBorders>
            <w:shd w:val="clear" w:color="auto" w:fill="auto"/>
          </w:tcPr>
          <w:p w:rsidR="003E3038" w:rsidRPr="005D5DC0" w:rsidRDefault="003E3038" w:rsidP="00471F4D">
            <w:pPr>
              <w:pStyle w:val="SingleTxtG"/>
              <w:spacing w:before="40"/>
              <w:ind w:left="0" w:right="0"/>
              <w:jc w:val="left"/>
            </w:pPr>
            <w:r w:rsidRPr="005D5DC0">
              <w:t xml:space="preserve">4 clases + </w:t>
            </w:r>
            <w:r w:rsidR="00471F4D">
              <w:t>d</w:t>
            </w:r>
            <w:r w:rsidRPr="005D5DC0">
              <w:t>espacho Director + 3 letrinas + 1 muro perimetral en Hreijat ehel Cheikh Ahmed</w:t>
            </w:r>
          </w:p>
        </w:tc>
        <w:tc>
          <w:tcPr>
            <w:tcW w:w="3402" w:type="dxa"/>
            <w:tcBorders>
              <w:bottom w:val="single" w:sz="4" w:space="0" w:color="auto"/>
            </w:tcBorders>
            <w:shd w:val="clear" w:color="auto" w:fill="auto"/>
          </w:tcPr>
          <w:p w:rsidR="003E3038" w:rsidRPr="005D5DC0" w:rsidRDefault="003E3038" w:rsidP="005D5DC0">
            <w:pPr>
              <w:pStyle w:val="SingleTxtG"/>
              <w:spacing w:before="40"/>
              <w:ind w:left="0" w:right="0"/>
              <w:jc w:val="left"/>
            </w:pPr>
            <w:r w:rsidRPr="005D5DC0">
              <w:t>Hreijat Ehel Cheikh Ahmed, Touil, Hodh El Gharbi</w:t>
            </w:r>
          </w:p>
        </w:tc>
      </w:tr>
      <w:tr w:rsidR="003E3038" w:rsidRPr="005D5DC0" w:rsidTr="00471F4D">
        <w:trPr>
          <w:trHeight w:val="240"/>
        </w:trPr>
        <w:tc>
          <w:tcPr>
            <w:tcW w:w="3402" w:type="dxa"/>
            <w:gridSpan w:val="2"/>
            <w:tcBorders>
              <w:top w:val="single" w:sz="4" w:space="0" w:color="auto"/>
              <w:bottom w:val="single" w:sz="12" w:space="0" w:color="auto"/>
            </w:tcBorders>
            <w:shd w:val="clear" w:color="auto" w:fill="auto"/>
          </w:tcPr>
          <w:p w:rsidR="003E3038" w:rsidRPr="005D5DC0" w:rsidRDefault="003E3038" w:rsidP="00471F4D">
            <w:pPr>
              <w:pStyle w:val="SingleTxtG"/>
              <w:spacing w:before="80" w:after="80"/>
              <w:ind w:left="0" w:right="0"/>
              <w:jc w:val="left"/>
              <w:rPr>
                <w:b/>
              </w:rPr>
            </w:pPr>
            <w:r w:rsidRPr="005D5DC0">
              <w:rPr>
                <w:b/>
              </w:rPr>
              <w:t>Número: 22 escuelas</w:t>
            </w:r>
          </w:p>
        </w:tc>
      </w:tr>
    </w:tbl>
    <w:p w:rsidR="003E3038" w:rsidRPr="003E3038" w:rsidRDefault="003E3038" w:rsidP="005D5DC0">
      <w:pPr>
        <w:pStyle w:val="SingleTxtG"/>
        <w:spacing w:before="240"/>
        <w:rPr>
          <w:b/>
        </w:rPr>
      </w:pPr>
      <w:r w:rsidRPr="003E3038">
        <w:rPr>
          <w:b/>
        </w:rPr>
        <w:t>Construcción de aulas como complemento de las escuelas existentes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968"/>
        <w:gridCol w:w="3402"/>
      </w:tblGrid>
      <w:tr w:rsidR="003E3038" w:rsidRPr="005D5DC0" w:rsidTr="005D5DC0">
        <w:trPr>
          <w:trHeight w:val="240"/>
          <w:tblHeader/>
        </w:trPr>
        <w:tc>
          <w:tcPr>
            <w:tcW w:w="3969" w:type="dxa"/>
            <w:tcBorders>
              <w:top w:val="single" w:sz="4" w:space="0" w:color="auto"/>
              <w:bottom w:val="single" w:sz="12" w:space="0" w:color="auto"/>
            </w:tcBorders>
            <w:shd w:val="clear" w:color="auto" w:fill="auto"/>
            <w:vAlign w:val="bottom"/>
          </w:tcPr>
          <w:p w:rsidR="003E3038" w:rsidRPr="005D5DC0" w:rsidRDefault="003E3038" w:rsidP="005D5DC0">
            <w:pPr>
              <w:pStyle w:val="SingleTxtG"/>
              <w:spacing w:before="80" w:after="80" w:line="200" w:lineRule="exact"/>
              <w:ind w:left="0" w:right="0"/>
              <w:jc w:val="left"/>
              <w:rPr>
                <w:bCs/>
                <w:i/>
                <w:sz w:val="16"/>
              </w:rPr>
            </w:pPr>
            <w:r w:rsidRPr="005D5DC0">
              <w:rPr>
                <w:i/>
                <w:sz w:val="16"/>
              </w:rPr>
              <w:t>Descripción</w:t>
            </w:r>
          </w:p>
        </w:tc>
        <w:tc>
          <w:tcPr>
            <w:tcW w:w="3402" w:type="dxa"/>
            <w:tcBorders>
              <w:top w:val="single" w:sz="4" w:space="0" w:color="auto"/>
              <w:bottom w:val="single" w:sz="12" w:space="0" w:color="auto"/>
            </w:tcBorders>
            <w:shd w:val="clear" w:color="auto" w:fill="auto"/>
            <w:vAlign w:val="bottom"/>
          </w:tcPr>
          <w:p w:rsidR="003E3038" w:rsidRPr="005D5DC0" w:rsidRDefault="003E3038" w:rsidP="005D5DC0">
            <w:pPr>
              <w:pStyle w:val="SingleTxtG"/>
              <w:spacing w:before="80" w:after="80" w:line="200" w:lineRule="exact"/>
              <w:ind w:left="0" w:right="0"/>
              <w:jc w:val="left"/>
              <w:rPr>
                <w:bCs/>
                <w:i/>
                <w:sz w:val="16"/>
              </w:rPr>
            </w:pPr>
            <w:r w:rsidRPr="005D5DC0">
              <w:rPr>
                <w:i/>
                <w:sz w:val="16"/>
              </w:rPr>
              <w:t>Ubicación</w:t>
            </w:r>
          </w:p>
        </w:tc>
      </w:tr>
      <w:tr w:rsidR="003E3038" w:rsidRPr="005D5DC0" w:rsidTr="005D5DC0">
        <w:trPr>
          <w:trHeight w:val="240"/>
        </w:trPr>
        <w:tc>
          <w:tcPr>
            <w:tcW w:w="3969" w:type="dxa"/>
            <w:tcBorders>
              <w:top w:val="single" w:sz="12" w:space="0" w:color="auto"/>
            </w:tcBorders>
            <w:shd w:val="clear" w:color="auto" w:fill="auto"/>
          </w:tcPr>
          <w:p w:rsidR="003E3038" w:rsidRPr="005D5DC0" w:rsidRDefault="00471F4D" w:rsidP="00471F4D">
            <w:pPr>
              <w:pStyle w:val="SingleTxtG"/>
              <w:spacing w:before="40"/>
              <w:ind w:left="0" w:right="0"/>
              <w:jc w:val="left"/>
            </w:pPr>
            <w:r>
              <w:t>3 aulas + c</w:t>
            </w:r>
            <w:r w:rsidR="003E3038" w:rsidRPr="005D5DC0">
              <w:t xml:space="preserve">ierre + </w:t>
            </w:r>
            <w:r>
              <w:t>l</w:t>
            </w:r>
            <w:r w:rsidR="003E3038" w:rsidRPr="005D5DC0">
              <w:t>etrina en Daghveg, municipio de Daghveg</w:t>
            </w:r>
          </w:p>
        </w:tc>
        <w:tc>
          <w:tcPr>
            <w:tcW w:w="3402" w:type="dxa"/>
            <w:tcBorders>
              <w:top w:val="single" w:sz="12" w:space="0" w:color="auto"/>
            </w:tcBorders>
            <w:shd w:val="clear" w:color="auto" w:fill="auto"/>
          </w:tcPr>
          <w:p w:rsidR="003E3038" w:rsidRPr="005D5DC0" w:rsidRDefault="003E3038" w:rsidP="005D5DC0">
            <w:pPr>
              <w:pStyle w:val="SingleTxtG"/>
              <w:spacing w:before="40"/>
              <w:ind w:left="0" w:right="0"/>
              <w:jc w:val="left"/>
            </w:pPr>
            <w:r w:rsidRPr="000410CF">
              <w:rPr>
                <w:i/>
              </w:rPr>
              <w:t xml:space="preserve">Moughataa </w:t>
            </w:r>
            <w:r w:rsidRPr="005D5DC0">
              <w:t>de Barkéol, Assaba</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3 aulas en Daghveg, municipio de Boghé</w:t>
            </w:r>
          </w:p>
        </w:tc>
        <w:tc>
          <w:tcPr>
            <w:tcW w:w="3402" w:type="dxa"/>
            <w:shd w:val="clear" w:color="auto" w:fill="auto"/>
          </w:tcPr>
          <w:p w:rsidR="003E3038" w:rsidRPr="005D5DC0" w:rsidRDefault="003E3038" w:rsidP="005D5DC0">
            <w:pPr>
              <w:pStyle w:val="SingleTxtG"/>
              <w:spacing w:before="40"/>
              <w:ind w:left="0" w:right="0"/>
              <w:jc w:val="left"/>
            </w:pPr>
            <w:r w:rsidRPr="000410CF">
              <w:rPr>
                <w:i/>
              </w:rPr>
              <w:t xml:space="preserve">Moughataa </w:t>
            </w:r>
            <w:r w:rsidRPr="005D5DC0">
              <w:t>de Boghé, Brakna</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2 aulas en Bassinguidi, municipio de Male</w:t>
            </w:r>
          </w:p>
        </w:tc>
        <w:tc>
          <w:tcPr>
            <w:tcW w:w="3402" w:type="dxa"/>
            <w:shd w:val="clear" w:color="auto" w:fill="auto"/>
          </w:tcPr>
          <w:p w:rsidR="003E3038" w:rsidRPr="005D5DC0" w:rsidRDefault="003E3038" w:rsidP="005D5DC0">
            <w:pPr>
              <w:pStyle w:val="SingleTxtG"/>
              <w:spacing w:before="40"/>
              <w:ind w:left="0" w:right="0"/>
              <w:jc w:val="left"/>
            </w:pPr>
            <w:r w:rsidRPr="000410CF">
              <w:rPr>
                <w:i/>
              </w:rPr>
              <w:t xml:space="preserve">Moughataa </w:t>
            </w:r>
            <w:r w:rsidRPr="005D5DC0">
              <w:t>de Magtaa Lahjar, Brakna</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3 aulas en Tendel, municipio de Dionaba</w:t>
            </w:r>
          </w:p>
        </w:tc>
        <w:tc>
          <w:tcPr>
            <w:tcW w:w="3402" w:type="dxa"/>
            <w:shd w:val="clear" w:color="auto" w:fill="auto"/>
          </w:tcPr>
          <w:p w:rsidR="003E3038" w:rsidRPr="005D5DC0" w:rsidRDefault="003E3038" w:rsidP="005D5DC0">
            <w:pPr>
              <w:pStyle w:val="SingleTxtG"/>
              <w:spacing w:before="40"/>
              <w:ind w:left="0" w:right="0"/>
              <w:jc w:val="left"/>
            </w:pPr>
            <w:r w:rsidRPr="000410CF">
              <w:rPr>
                <w:i/>
              </w:rPr>
              <w:t xml:space="preserve">Moughataa </w:t>
            </w:r>
            <w:r w:rsidRPr="005D5DC0">
              <w:t>de Magtaa Lahjar, Brakna</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3 aulas en El Wassaa, municipio de Dionaba</w:t>
            </w:r>
          </w:p>
        </w:tc>
        <w:tc>
          <w:tcPr>
            <w:tcW w:w="3402" w:type="dxa"/>
            <w:shd w:val="clear" w:color="auto" w:fill="auto"/>
          </w:tcPr>
          <w:p w:rsidR="003E3038" w:rsidRPr="005D5DC0" w:rsidRDefault="003E3038" w:rsidP="005D5DC0">
            <w:pPr>
              <w:pStyle w:val="SingleTxtG"/>
              <w:spacing w:before="40"/>
              <w:ind w:left="0" w:right="0"/>
              <w:jc w:val="left"/>
            </w:pPr>
            <w:r w:rsidRPr="000410CF">
              <w:rPr>
                <w:i/>
              </w:rPr>
              <w:t xml:space="preserve">Moughataa </w:t>
            </w:r>
            <w:r w:rsidRPr="005D5DC0">
              <w:t>de Magtaa Lahjar, Brakna</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3 aulas en Mohamed Zein, municipio de Dionaba</w:t>
            </w:r>
          </w:p>
        </w:tc>
        <w:tc>
          <w:tcPr>
            <w:tcW w:w="3402" w:type="dxa"/>
            <w:shd w:val="clear" w:color="auto" w:fill="auto"/>
          </w:tcPr>
          <w:p w:rsidR="003E3038" w:rsidRPr="005D5DC0" w:rsidRDefault="003E3038" w:rsidP="005D5DC0">
            <w:pPr>
              <w:pStyle w:val="SingleTxtG"/>
              <w:spacing w:before="40"/>
              <w:ind w:left="0" w:right="0"/>
              <w:jc w:val="left"/>
            </w:pPr>
            <w:r w:rsidRPr="000410CF">
              <w:t>Moughataa</w:t>
            </w:r>
            <w:r w:rsidRPr="000410CF">
              <w:rPr>
                <w:i/>
              </w:rPr>
              <w:t xml:space="preserve"> </w:t>
            </w:r>
            <w:r w:rsidRPr="005D5DC0">
              <w:t>de Magtaa Lahjar, Brakna</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 xml:space="preserve">2 aulas en Zreigatt, municipio de Hassi chegar </w:t>
            </w:r>
          </w:p>
        </w:tc>
        <w:tc>
          <w:tcPr>
            <w:tcW w:w="3402" w:type="dxa"/>
            <w:shd w:val="clear" w:color="auto" w:fill="auto"/>
          </w:tcPr>
          <w:p w:rsidR="003E3038" w:rsidRPr="005D5DC0" w:rsidRDefault="003E3038" w:rsidP="005D5DC0">
            <w:pPr>
              <w:pStyle w:val="SingleTxtG"/>
              <w:spacing w:before="40"/>
              <w:ind w:left="0" w:right="0"/>
              <w:jc w:val="left"/>
            </w:pPr>
            <w:r w:rsidRPr="000410CF">
              <w:rPr>
                <w:i/>
              </w:rPr>
              <w:t>Moughataa</w:t>
            </w:r>
            <w:r w:rsidRPr="005D5DC0">
              <w:t xml:space="preserve"> de Sélibaby, Guidimaka</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 xml:space="preserve">2 bloques de 2 aulas en Hassi Sidi, comuna de Tachot </w:t>
            </w:r>
          </w:p>
        </w:tc>
        <w:tc>
          <w:tcPr>
            <w:tcW w:w="3402" w:type="dxa"/>
            <w:shd w:val="clear" w:color="auto" w:fill="auto"/>
          </w:tcPr>
          <w:p w:rsidR="003E3038" w:rsidRPr="005D5DC0" w:rsidRDefault="003E3038" w:rsidP="005D5DC0">
            <w:pPr>
              <w:pStyle w:val="SingleTxtG"/>
              <w:spacing w:before="40"/>
              <w:ind w:left="0" w:right="0"/>
              <w:jc w:val="left"/>
            </w:pPr>
            <w:r w:rsidRPr="000410CF">
              <w:rPr>
                <w:i/>
              </w:rPr>
              <w:t>Moughataa</w:t>
            </w:r>
            <w:r w:rsidRPr="005D5DC0">
              <w:t xml:space="preserve"> de Sélibaby, Guidimaka</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 xml:space="preserve">2 bloques de 3 aulas de la Escuela Superior de Monguel, municipio de Monguel </w:t>
            </w:r>
          </w:p>
        </w:tc>
        <w:tc>
          <w:tcPr>
            <w:tcW w:w="3402" w:type="dxa"/>
            <w:shd w:val="clear" w:color="auto" w:fill="auto"/>
          </w:tcPr>
          <w:p w:rsidR="003E3038" w:rsidRPr="005D5DC0" w:rsidRDefault="003E3038" w:rsidP="005D5DC0">
            <w:pPr>
              <w:pStyle w:val="SingleTxtG"/>
              <w:spacing w:before="40"/>
              <w:ind w:left="0" w:right="0"/>
              <w:jc w:val="left"/>
            </w:pPr>
            <w:r w:rsidRPr="000410CF">
              <w:rPr>
                <w:i/>
              </w:rPr>
              <w:t>Moughataa</w:t>
            </w:r>
            <w:r w:rsidRPr="005D5DC0">
              <w:t xml:space="preserve"> de Mongueul, Gorgol</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 xml:space="preserve">2 aulas de reagrupamiento alrededor de Toungad, en el municipio de Aoujeft </w:t>
            </w:r>
          </w:p>
        </w:tc>
        <w:tc>
          <w:tcPr>
            <w:tcW w:w="3402" w:type="dxa"/>
            <w:shd w:val="clear" w:color="auto" w:fill="auto"/>
          </w:tcPr>
          <w:p w:rsidR="003E3038" w:rsidRPr="005D5DC0" w:rsidRDefault="003E3038" w:rsidP="005D5DC0">
            <w:pPr>
              <w:pStyle w:val="SingleTxtG"/>
              <w:spacing w:before="40"/>
              <w:ind w:left="0" w:right="0"/>
              <w:jc w:val="left"/>
            </w:pPr>
            <w:r w:rsidRPr="000410CF">
              <w:rPr>
                <w:i/>
              </w:rPr>
              <w:t>Moughataa</w:t>
            </w:r>
            <w:r w:rsidRPr="005D5DC0">
              <w:t xml:space="preserve"> de Aoujeft, Adrar</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 xml:space="preserve">3 aulas para la localidad de Tirebane, en el municipio de Aoujeft </w:t>
            </w:r>
          </w:p>
        </w:tc>
        <w:tc>
          <w:tcPr>
            <w:tcW w:w="3402" w:type="dxa"/>
            <w:shd w:val="clear" w:color="auto" w:fill="auto"/>
          </w:tcPr>
          <w:p w:rsidR="003E3038" w:rsidRPr="005D5DC0" w:rsidRDefault="003E3038" w:rsidP="005D5DC0">
            <w:pPr>
              <w:pStyle w:val="SingleTxtG"/>
              <w:spacing w:before="40"/>
              <w:ind w:left="0" w:right="0"/>
              <w:jc w:val="left"/>
            </w:pPr>
            <w:r w:rsidRPr="000410CF">
              <w:rPr>
                <w:i/>
              </w:rPr>
              <w:t>Moughataa</w:t>
            </w:r>
            <w:r w:rsidRPr="005D5DC0">
              <w:t xml:space="preserve"> de Aoujeft, Adrar</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3 aulas en Legned, municipio de Soudoud</w:t>
            </w:r>
          </w:p>
        </w:tc>
        <w:tc>
          <w:tcPr>
            <w:tcW w:w="3402" w:type="dxa"/>
            <w:shd w:val="clear" w:color="auto" w:fill="auto"/>
          </w:tcPr>
          <w:p w:rsidR="003E3038" w:rsidRPr="005D5DC0" w:rsidRDefault="003E3038" w:rsidP="005D5DC0">
            <w:pPr>
              <w:pStyle w:val="SingleTxtG"/>
              <w:spacing w:before="40"/>
              <w:ind w:left="0" w:right="0"/>
              <w:jc w:val="left"/>
            </w:pPr>
            <w:r w:rsidRPr="000410CF">
              <w:rPr>
                <w:i/>
              </w:rPr>
              <w:t>Moughataa</w:t>
            </w:r>
            <w:r w:rsidRPr="005D5DC0">
              <w:t xml:space="preserve"> de Moudjéria, Tagant</w:t>
            </w:r>
          </w:p>
        </w:tc>
      </w:tr>
      <w:tr w:rsidR="003E3038" w:rsidRPr="005D5DC0" w:rsidTr="005D5DC0">
        <w:trPr>
          <w:trHeight w:val="240"/>
        </w:trPr>
        <w:tc>
          <w:tcPr>
            <w:tcW w:w="3969" w:type="dxa"/>
            <w:shd w:val="clear" w:color="auto" w:fill="auto"/>
          </w:tcPr>
          <w:p w:rsidR="003E3038" w:rsidRPr="005D5DC0" w:rsidRDefault="003E3038" w:rsidP="005D5DC0">
            <w:pPr>
              <w:pStyle w:val="SingleTxtG"/>
              <w:spacing w:before="40"/>
              <w:ind w:left="0" w:right="0"/>
              <w:jc w:val="left"/>
            </w:pPr>
            <w:r w:rsidRPr="005D5DC0">
              <w:t>3 aulas en Kehmeit, municipio de Soudoud</w:t>
            </w:r>
          </w:p>
        </w:tc>
        <w:tc>
          <w:tcPr>
            <w:tcW w:w="3402" w:type="dxa"/>
            <w:shd w:val="clear" w:color="auto" w:fill="auto"/>
          </w:tcPr>
          <w:p w:rsidR="003E3038" w:rsidRPr="005D5DC0" w:rsidRDefault="003E3038" w:rsidP="005D5DC0">
            <w:pPr>
              <w:pStyle w:val="SingleTxtG"/>
              <w:spacing w:before="40"/>
              <w:ind w:left="0" w:right="0"/>
              <w:jc w:val="left"/>
            </w:pPr>
            <w:r w:rsidRPr="000410CF">
              <w:rPr>
                <w:i/>
              </w:rPr>
              <w:t>Moughataa</w:t>
            </w:r>
            <w:r w:rsidRPr="005D5DC0">
              <w:t xml:space="preserve"> de Moudjéria, Tagant</w:t>
            </w:r>
          </w:p>
        </w:tc>
      </w:tr>
      <w:tr w:rsidR="003E3038" w:rsidRPr="005D5DC0" w:rsidTr="00471F4D">
        <w:trPr>
          <w:trHeight w:val="240"/>
        </w:trPr>
        <w:tc>
          <w:tcPr>
            <w:tcW w:w="3969" w:type="dxa"/>
            <w:tcBorders>
              <w:bottom w:val="single" w:sz="4" w:space="0" w:color="auto"/>
            </w:tcBorders>
            <w:shd w:val="clear" w:color="auto" w:fill="auto"/>
          </w:tcPr>
          <w:p w:rsidR="003E3038" w:rsidRPr="005D5DC0" w:rsidRDefault="003E3038" w:rsidP="005D5DC0">
            <w:pPr>
              <w:pStyle w:val="SingleTxtG"/>
              <w:spacing w:before="40"/>
              <w:ind w:left="0" w:right="0"/>
              <w:jc w:val="left"/>
            </w:pPr>
            <w:r w:rsidRPr="005D5DC0">
              <w:t>3 aulas, Dakhlet Init</w:t>
            </w:r>
          </w:p>
        </w:tc>
        <w:tc>
          <w:tcPr>
            <w:tcW w:w="3402" w:type="dxa"/>
            <w:tcBorders>
              <w:bottom w:val="single" w:sz="4" w:space="0" w:color="auto"/>
            </w:tcBorders>
            <w:shd w:val="clear" w:color="auto" w:fill="auto"/>
          </w:tcPr>
          <w:p w:rsidR="003E3038" w:rsidRPr="005D5DC0" w:rsidRDefault="003E3038" w:rsidP="005D5DC0">
            <w:pPr>
              <w:pStyle w:val="SingleTxtG"/>
              <w:spacing w:before="40"/>
              <w:ind w:left="0" w:right="0"/>
              <w:jc w:val="left"/>
            </w:pPr>
            <w:r w:rsidRPr="005D5DC0">
              <w:t>Moudjeria, Tagant</w:t>
            </w:r>
          </w:p>
        </w:tc>
      </w:tr>
      <w:tr w:rsidR="003E3038" w:rsidRPr="00471F4D" w:rsidTr="00471F4D">
        <w:trPr>
          <w:trHeight w:val="240"/>
        </w:trPr>
        <w:tc>
          <w:tcPr>
            <w:tcW w:w="7371" w:type="dxa"/>
            <w:gridSpan w:val="2"/>
            <w:tcBorders>
              <w:top w:val="single" w:sz="4" w:space="0" w:color="auto"/>
              <w:bottom w:val="single" w:sz="12" w:space="0" w:color="auto"/>
            </w:tcBorders>
            <w:shd w:val="clear" w:color="auto" w:fill="auto"/>
          </w:tcPr>
          <w:p w:rsidR="003E3038" w:rsidRPr="00471F4D" w:rsidRDefault="003E3038" w:rsidP="00471F4D">
            <w:pPr>
              <w:pStyle w:val="SingleTxtG"/>
              <w:spacing w:before="80" w:after="80"/>
              <w:ind w:left="0" w:right="0"/>
              <w:jc w:val="left"/>
              <w:rPr>
                <w:b/>
              </w:rPr>
            </w:pPr>
            <w:r w:rsidRPr="00471F4D">
              <w:rPr>
                <w:b/>
              </w:rPr>
              <w:t xml:space="preserve">Número: 48 aulas que completan 15 escuelas </w:t>
            </w:r>
          </w:p>
        </w:tc>
      </w:tr>
    </w:tbl>
    <w:p w:rsidR="003E3038" w:rsidRPr="003E3038" w:rsidRDefault="005D5DC0" w:rsidP="005D5DC0">
      <w:pPr>
        <w:pStyle w:val="H23G"/>
      </w:pPr>
      <w:r>
        <w:lastRenderedPageBreak/>
        <w:tab/>
      </w:r>
      <w:r>
        <w:tab/>
      </w:r>
      <w:r w:rsidR="003E3038" w:rsidRPr="003E3038">
        <w:t>Sección Salud</w:t>
      </w:r>
    </w:p>
    <w:p w:rsidR="003E3038" w:rsidRPr="003E3038" w:rsidRDefault="005D5DC0" w:rsidP="005D5DC0">
      <w:pPr>
        <w:pStyle w:val="H4G"/>
      </w:pPr>
      <w:r>
        <w:tab/>
      </w:r>
      <w:r>
        <w:tab/>
      </w:r>
      <w:r w:rsidR="003E3038" w:rsidRPr="003E3038">
        <w:t xml:space="preserve">Puestos de salud creados: 20 </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968"/>
        <w:gridCol w:w="3402"/>
      </w:tblGrid>
      <w:tr w:rsidR="003E3038" w:rsidRPr="005D5DC0" w:rsidTr="005D5DC0">
        <w:trPr>
          <w:trHeight w:val="240"/>
          <w:tblHeader/>
        </w:trPr>
        <w:tc>
          <w:tcPr>
            <w:tcW w:w="3969" w:type="dxa"/>
            <w:tcBorders>
              <w:top w:val="single" w:sz="4" w:space="0" w:color="auto"/>
              <w:bottom w:val="single" w:sz="12" w:space="0" w:color="auto"/>
            </w:tcBorders>
            <w:shd w:val="clear" w:color="auto" w:fill="auto"/>
            <w:vAlign w:val="bottom"/>
          </w:tcPr>
          <w:p w:rsidR="003E3038" w:rsidRPr="005D5DC0" w:rsidRDefault="003E3038" w:rsidP="005D5DC0">
            <w:pPr>
              <w:pStyle w:val="SingleTxtG"/>
              <w:spacing w:before="80" w:after="80" w:line="200" w:lineRule="exact"/>
              <w:ind w:left="0" w:right="0"/>
              <w:jc w:val="left"/>
              <w:rPr>
                <w:i/>
                <w:sz w:val="16"/>
              </w:rPr>
            </w:pPr>
            <w:r w:rsidRPr="005D5DC0">
              <w:rPr>
                <w:i/>
                <w:sz w:val="16"/>
              </w:rPr>
              <w:t>Descripción</w:t>
            </w:r>
          </w:p>
        </w:tc>
        <w:tc>
          <w:tcPr>
            <w:tcW w:w="3402" w:type="dxa"/>
            <w:tcBorders>
              <w:top w:val="single" w:sz="4" w:space="0" w:color="auto"/>
              <w:bottom w:val="single" w:sz="12" w:space="0" w:color="auto"/>
            </w:tcBorders>
            <w:shd w:val="clear" w:color="auto" w:fill="auto"/>
            <w:vAlign w:val="bottom"/>
          </w:tcPr>
          <w:p w:rsidR="003E3038" w:rsidRPr="005D5DC0" w:rsidRDefault="003E3038" w:rsidP="005D5DC0">
            <w:pPr>
              <w:pStyle w:val="SingleTxtG"/>
              <w:spacing w:before="80" w:after="80" w:line="200" w:lineRule="exact"/>
              <w:ind w:left="0" w:right="0"/>
              <w:jc w:val="left"/>
              <w:rPr>
                <w:i/>
                <w:sz w:val="16"/>
              </w:rPr>
            </w:pPr>
            <w:r w:rsidRPr="005D5DC0">
              <w:rPr>
                <w:i/>
                <w:sz w:val="16"/>
              </w:rPr>
              <w:t>Ubicación</w:t>
            </w:r>
          </w:p>
        </w:tc>
      </w:tr>
      <w:tr w:rsidR="003E3038" w:rsidRPr="005D5DC0" w:rsidTr="005D5DC0">
        <w:trPr>
          <w:trHeight w:val="240"/>
        </w:trPr>
        <w:tc>
          <w:tcPr>
            <w:tcW w:w="3969" w:type="dxa"/>
            <w:tcBorders>
              <w:top w:val="single" w:sz="12" w:space="0" w:color="auto"/>
            </w:tcBorders>
            <w:shd w:val="clear" w:color="auto" w:fill="auto"/>
          </w:tcPr>
          <w:p w:rsidR="003E3038" w:rsidRPr="005D5DC0" w:rsidRDefault="003E3038" w:rsidP="001F3DFA">
            <w:pPr>
              <w:pStyle w:val="SingleTxtG"/>
              <w:spacing w:before="40" w:after="100"/>
              <w:ind w:left="0" w:right="0"/>
              <w:jc w:val="left"/>
            </w:pPr>
            <w:r w:rsidRPr="005D5DC0">
              <w:t>Puesto de salud en Ajar El Bouhli, en el municipio de Barkéol</w:t>
            </w:r>
          </w:p>
        </w:tc>
        <w:tc>
          <w:tcPr>
            <w:tcW w:w="3402" w:type="dxa"/>
            <w:tcBorders>
              <w:top w:val="single" w:sz="12" w:space="0" w:color="auto"/>
            </w:tcBorders>
            <w:shd w:val="clear" w:color="auto" w:fill="auto"/>
          </w:tcPr>
          <w:p w:rsidR="003E3038" w:rsidRPr="005D5DC0" w:rsidRDefault="003E3038" w:rsidP="001F3DFA">
            <w:pPr>
              <w:pStyle w:val="SingleTxtG"/>
              <w:spacing w:before="40" w:after="100"/>
              <w:ind w:left="0" w:right="0"/>
              <w:jc w:val="left"/>
            </w:pPr>
            <w:r w:rsidRPr="000410CF">
              <w:rPr>
                <w:i/>
              </w:rPr>
              <w:t>Moughataa</w:t>
            </w:r>
            <w:r w:rsidRPr="005D5DC0">
              <w:t xml:space="preserve"> de Barkéol, Assaba </w:t>
            </w:r>
          </w:p>
        </w:tc>
      </w:tr>
      <w:tr w:rsidR="003E3038" w:rsidRPr="005D5DC0" w:rsidTr="005D5DC0">
        <w:trPr>
          <w:trHeight w:val="240"/>
        </w:trPr>
        <w:tc>
          <w:tcPr>
            <w:tcW w:w="3969" w:type="dxa"/>
            <w:shd w:val="clear" w:color="auto" w:fill="auto"/>
          </w:tcPr>
          <w:p w:rsidR="003E3038" w:rsidRPr="005D5DC0" w:rsidRDefault="003E3038" w:rsidP="001F3DFA">
            <w:pPr>
              <w:pStyle w:val="SingleTxtG"/>
              <w:spacing w:before="40" w:after="100"/>
              <w:ind w:left="0" w:right="0"/>
              <w:jc w:val="left"/>
            </w:pPr>
            <w:r w:rsidRPr="005D5DC0">
              <w:t>Puesto de salud en Touymiret Lemarid, municipio de Bougadoum</w:t>
            </w:r>
          </w:p>
        </w:tc>
        <w:tc>
          <w:tcPr>
            <w:tcW w:w="3402" w:type="dxa"/>
            <w:shd w:val="clear" w:color="auto" w:fill="auto"/>
          </w:tcPr>
          <w:p w:rsidR="003E3038" w:rsidRPr="005D5DC0" w:rsidRDefault="003E3038" w:rsidP="001F3DFA">
            <w:pPr>
              <w:pStyle w:val="SingleTxtG"/>
              <w:spacing w:before="40" w:after="100"/>
              <w:ind w:left="0" w:right="0"/>
              <w:jc w:val="left"/>
            </w:pPr>
            <w:r w:rsidRPr="000410CF">
              <w:rPr>
                <w:i/>
              </w:rPr>
              <w:t>Moughataa</w:t>
            </w:r>
            <w:r w:rsidRPr="005D5DC0">
              <w:t xml:space="preserve"> de Amourj, H</w:t>
            </w:r>
            <w:r w:rsidR="00471F4D">
              <w:t>.</w:t>
            </w:r>
            <w:r w:rsidRPr="005D5DC0">
              <w:t xml:space="preserve"> Chargui </w:t>
            </w:r>
          </w:p>
        </w:tc>
      </w:tr>
      <w:tr w:rsidR="003E3038" w:rsidRPr="005D5DC0" w:rsidTr="005D5DC0">
        <w:trPr>
          <w:trHeight w:val="240"/>
        </w:trPr>
        <w:tc>
          <w:tcPr>
            <w:tcW w:w="3969" w:type="dxa"/>
            <w:shd w:val="clear" w:color="auto" w:fill="auto"/>
          </w:tcPr>
          <w:p w:rsidR="003E3038" w:rsidRPr="005D5DC0" w:rsidRDefault="003E3038" w:rsidP="001F3DFA">
            <w:pPr>
              <w:pStyle w:val="SingleTxtG"/>
              <w:spacing w:before="40" w:after="100"/>
              <w:ind w:left="0" w:right="0"/>
              <w:jc w:val="left"/>
            </w:pPr>
            <w:r w:rsidRPr="005D5DC0">
              <w:t>Puesto de salud en Nbeya Savra</w:t>
            </w:r>
          </w:p>
        </w:tc>
        <w:tc>
          <w:tcPr>
            <w:tcW w:w="3402" w:type="dxa"/>
            <w:shd w:val="clear" w:color="auto" w:fill="auto"/>
          </w:tcPr>
          <w:p w:rsidR="003E3038" w:rsidRPr="005D5DC0" w:rsidRDefault="003E3038" w:rsidP="001F3DFA">
            <w:pPr>
              <w:pStyle w:val="SingleTxtG"/>
              <w:spacing w:before="40" w:after="100"/>
              <w:ind w:left="0" w:right="0"/>
              <w:jc w:val="left"/>
            </w:pPr>
            <w:r w:rsidRPr="000410CF">
              <w:rPr>
                <w:i/>
              </w:rPr>
              <w:t>Moughataa</w:t>
            </w:r>
            <w:r w:rsidRPr="005D5DC0">
              <w:t xml:space="preserve"> de Timbedra, H.</w:t>
            </w:r>
            <w:r w:rsidR="00471F4D">
              <w:t xml:space="preserve"> </w:t>
            </w:r>
            <w:r w:rsidRPr="005D5DC0">
              <w:t>Chargui</w:t>
            </w:r>
          </w:p>
        </w:tc>
      </w:tr>
      <w:tr w:rsidR="003E3038" w:rsidRPr="005D5DC0" w:rsidTr="005D5DC0">
        <w:trPr>
          <w:trHeight w:val="240"/>
        </w:trPr>
        <w:tc>
          <w:tcPr>
            <w:tcW w:w="3969" w:type="dxa"/>
            <w:shd w:val="clear" w:color="auto" w:fill="auto"/>
          </w:tcPr>
          <w:p w:rsidR="003E3038" w:rsidRPr="005D5DC0" w:rsidRDefault="003E3038" w:rsidP="001F3DFA">
            <w:pPr>
              <w:pStyle w:val="SingleTxtG"/>
              <w:spacing w:before="40" w:after="100"/>
              <w:ind w:left="0" w:right="0"/>
              <w:jc w:val="left"/>
            </w:pPr>
            <w:r w:rsidRPr="005D5DC0">
              <w:t>Puesto de salud en Elmahrad, municipio de Ksar Barka</w:t>
            </w:r>
          </w:p>
        </w:tc>
        <w:tc>
          <w:tcPr>
            <w:tcW w:w="3402" w:type="dxa"/>
            <w:shd w:val="clear" w:color="auto" w:fill="auto"/>
          </w:tcPr>
          <w:p w:rsidR="003E3038" w:rsidRPr="005D5DC0" w:rsidRDefault="003E3038" w:rsidP="001F3DFA">
            <w:pPr>
              <w:pStyle w:val="SingleTxtG"/>
              <w:spacing w:before="40" w:after="100"/>
              <w:ind w:left="0" w:right="0"/>
              <w:jc w:val="left"/>
            </w:pPr>
            <w:r w:rsidRPr="000410CF">
              <w:rPr>
                <w:i/>
              </w:rPr>
              <w:t>Moughataa</w:t>
            </w:r>
            <w:r w:rsidRPr="005D5DC0">
              <w:t xml:space="preserve"> de Djiguenni; H</w:t>
            </w:r>
            <w:r w:rsidR="00471F4D">
              <w:t xml:space="preserve">. </w:t>
            </w:r>
            <w:r w:rsidRPr="005D5DC0">
              <w:t xml:space="preserve">Chargui </w:t>
            </w:r>
          </w:p>
        </w:tc>
      </w:tr>
      <w:tr w:rsidR="003E3038" w:rsidRPr="005D5DC0" w:rsidTr="005D5DC0">
        <w:trPr>
          <w:trHeight w:val="240"/>
        </w:trPr>
        <w:tc>
          <w:tcPr>
            <w:tcW w:w="3969" w:type="dxa"/>
            <w:shd w:val="clear" w:color="auto" w:fill="auto"/>
          </w:tcPr>
          <w:p w:rsidR="003E3038" w:rsidRPr="005D5DC0" w:rsidRDefault="003E3038" w:rsidP="001F3DFA">
            <w:pPr>
              <w:pStyle w:val="SingleTxtG"/>
              <w:spacing w:before="40" w:after="100"/>
              <w:ind w:left="0" w:right="0"/>
              <w:jc w:val="left"/>
            </w:pPr>
            <w:r w:rsidRPr="005D5DC0">
              <w:t xml:space="preserve">Puesto de salud en Koussana </w:t>
            </w:r>
          </w:p>
        </w:tc>
        <w:tc>
          <w:tcPr>
            <w:tcW w:w="3402" w:type="dxa"/>
            <w:shd w:val="clear" w:color="auto" w:fill="auto"/>
          </w:tcPr>
          <w:p w:rsidR="003E3038" w:rsidRPr="005D5DC0" w:rsidRDefault="003E3038" w:rsidP="001F3DFA">
            <w:pPr>
              <w:pStyle w:val="SingleTxtG"/>
              <w:spacing w:before="40" w:after="100"/>
              <w:ind w:left="0" w:right="0"/>
              <w:jc w:val="left"/>
            </w:pPr>
            <w:r w:rsidRPr="000410CF">
              <w:rPr>
                <w:i/>
              </w:rPr>
              <w:t>Moughataa</w:t>
            </w:r>
            <w:r w:rsidRPr="005D5DC0">
              <w:t xml:space="preserve"> de Bassiknou, H</w:t>
            </w:r>
            <w:r w:rsidR="00471F4D">
              <w:t xml:space="preserve">. </w:t>
            </w:r>
            <w:r w:rsidR="001F3DFA">
              <w:t>C</w:t>
            </w:r>
            <w:r w:rsidRPr="005D5DC0">
              <w:t>harghi</w:t>
            </w:r>
          </w:p>
        </w:tc>
      </w:tr>
      <w:tr w:rsidR="003E3038" w:rsidRPr="005D5DC0" w:rsidTr="005D5DC0">
        <w:trPr>
          <w:trHeight w:val="240"/>
        </w:trPr>
        <w:tc>
          <w:tcPr>
            <w:tcW w:w="3969" w:type="dxa"/>
            <w:shd w:val="clear" w:color="auto" w:fill="auto"/>
          </w:tcPr>
          <w:p w:rsidR="003E3038" w:rsidRPr="005D5DC0" w:rsidRDefault="003E3038" w:rsidP="001F3DFA">
            <w:pPr>
              <w:pStyle w:val="SingleTxtG"/>
              <w:spacing w:before="40" w:after="100"/>
              <w:ind w:left="0" w:right="0"/>
              <w:jc w:val="left"/>
            </w:pPr>
            <w:r w:rsidRPr="005D5DC0">
              <w:t xml:space="preserve">Construcción puesto de salud en Voulaniya Hodh Gharby </w:t>
            </w:r>
          </w:p>
        </w:tc>
        <w:tc>
          <w:tcPr>
            <w:tcW w:w="3402" w:type="dxa"/>
            <w:shd w:val="clear" w:color="auto" w:fill="auto"/>
          </w:tcPr>
          <w:p w:rsidR="003E3038" w:rsidRPr="005D5DC0" w:rsidRDefault="003E3038" w:rsidP="001F3DFA">
            <w:pPr>
              <w:pStyle w:val="SingleTxtG"/>
              <w:spacing w:before="40" w:after="100"/>
              <w:ind w:left="0" w:right="0"/>
              <w:jc w:val="left"/>
            </w:pPr>
            <w:r w:rsidRPr="000410CF">
              <w:rPr>
                <w:i/>
              </w:rPr>
              <w:t>Moughataa</w:t>
            </w:r>
            <w:r w:rsidRPr="005D5DC0">
              <w:t xml:space="preserve"> de Touil, H. El Gharbi</w:t>
            </w:r>
          </w:p>
        </w:tc>
      </w:tr>
      <w:tr w:rsidR="003E3038" w:rsidRPr="005D5DC0" w:rsidTr="005D5DC0">
        <w:trPr>
          <w:trHeight w:val="240"/>
        </w:trPr>
        <w:tc>
          <w:tcPr>
            <w:tcW w:w="3969" w:type="dxa"/>
            <w:shd w:val="clear" w:color="auto" w:fill="auto"/>
          </w:tcPr>
          <w:p w:rsidR="003E3038" w:rsidRPr="005D5DC0" w:rsidRDefault="003E3038" w:rsidP="001F3DFA">
            <w:pPr>
              <w:pStyle w:val="SingleTxtG"/>
              <w:spacing w:before="40" w:after="100"/>
              <w:ind w:left="0" w:right="0"/>
              <w:jc w:val="left"/>
            </w:pPr>
            <w:r w:rsidRPr="005D5DC0">
              <w:t>Puesto de salud en la localidad de Teichet, en el municipio de Touil</w:t>
            </w:r>
          </w:p>
        </w:tc>
        <w:tc>
          <w:tcPr>
            <w:tcW w:w="3402" w:type="dxa"/>
            <w:shd w:val="clear" w:color="auto" w:fill="auto"/>
          </w:tcPr>
          <w:p w:rsidR="003E3038" w:rsidRPr="005D5DC0" w:rsidRDefault="003E3038" w:rsidP="001F3DFA">
            <w:pPr>
              <w:pStyle w:val="SingleTxtG"/>
              <w:spacing w:before="40" w:after="100"/>
              <w:ind w:left="0" w:right="0"/>
              <w:jc w:val="left"/>
            </w:pPr>
            <w:r w:rsidRPr="000410CF">
              <w:rPr>
                <w:i/>
              </w:rPr>
              <w:t>Moughataa</w:t>
            </w:r>
            <w:r w:rsidR="000F0F34">
              <w:t xml:space="preserve"> de Tintane</w:t>
            </w:r>
            <w:r w:rsidRPr="005D5DC0">
              <w:t>; H</w:t>
            </w:r>
            <w:r w:rsidR="00471F4D">
              <w:t xml:space="preserve">. </w:t>
            </w:r>
            <w:r w:rsidRPr="005D5DC0">
              <w:t xml:space="preserve">Gharbi </w:t>
            </w:r>
          </w:p>
        </w:tc>
      </w:tr>
      <w:tr w:rsidR="003E3038" w:rsidRPr="005D5DC0" w:rsidTr="005D5DC0">
        <w:trPr>
          <w:trHeight w:val="240"/>
        </w:trPr>
        <w:tc>
          <w:tcPr>
            <w:tcW w:w="3969" w:type="dxa"/>
            <w:shd w:val="clear" w:color="auto" w:fill="auto"/>
          </w:tcPr>
          <w:p w:rsidR="003E3038" w:rsidRPr="005D5DC0" w:rsidRDefault="003E3038" w:rsidP="001F3DFA">
            <w:pPr>
              <w:pStyle w:val="SingleTxtG"/>
              <w:spacing w:before="40" w:after="100"/>
              <w:ind w:left="0" w:right="0"/>
              <w:jc w:val="left"/>
            </w:pPr>
            <w:r w:rsidRPr="005D5DC0">
              <w:t>Puesto de salud para el reagrupamiento Breima, de Bghawa y de N’Baizir</w:t>
            </w:r>
          </w:p>
        </w:tc>
        <w:tc>
          <w:tcPr>
            <w:tcW w:w="3402" w:type="dxa"/>
            <w:shd w:val="clear" w:color="auto" w:fill="auto"/>
          </w:tcPr>
          <w:p w:rsidR="003E3038" w:rsidRPr="005D5DC0" w:rsidRDefault="003E3038" w:rsidP="001F3DFA">
            <w:pPr>
              <w:pStyle w:val="SingleTxtG"/>
              <w:spacing w:before="40" w:after="100"/>
              <w:ind w:left="0" w:right="0"/>
              <w:jc w:val="left"/>
            </w:pPr>
            <w:r w:rsidRPr="005D5DC0">
              <w:t>Municipio</w:t>
            </w:r>
            <w:r w:rsidR="001F3DFA">
              <w:t xml:space="preserve"> de Touil, </w:t>
            </w:r>
            <w:r w:rsidR="000410CF">
              <w:rPr>
                <w:i/>
              </w:rPr>
              <w:t>m</w:t>
            </w:r>
            <w:r w:rsidR="001F3DFA" w:rsidRPr="000410CF">
              <w:rPr>
                <w:i/>
              </w:rPr>
              <w:t>oughataa</w:t>
            </w:r>
            <w:r w:rsidR="001F3DFA">
              <w:t xml:space="preserve"> de Tintane</w:t>
            </w:r>
            <w:r w:rsidRPr="005D5DC0">
              <w:t>; H</w:t>
            </w:r>
            <w:r w:rsidR="001F3DFA">
              <w:t xml:space="preserve">. </w:t>
            </w:r>
            <w:r w:rsidRPr="005D5DC0">
              <w:t xml:space="preserve">Gharbi </w:t>
            </w:r>
          </w:p>
        </w:tc>
      </w:tr>
      <w:tr w:rsidR="003E3038" w:rsidRPr="005D5DC0" w:rsidTr="005D5DC0">
        <w:trPr>
          <w:trHeight w:val="240"/>
        </w:trPr>
        <w:tc>
          <w:tcPr>
            <w:tcW w:w="3969" w:type="dxa"/>
            <w:shd w:val="clear" w:color="auto" w:fill="auto"/>
          </w:tcPr>
          <w:p w:rsidR="003E3038" w:rsidRPr="005D5DC0" w:rsidRDefault="003E3038" w:rsidP="001F3DFA">
            <w:pPr>
              <w:pStyle w:val="SingleTxtG"/>
              <w:spacing w:before="40" w:after="100"/>
              <w:ind w:left="0" w:right="0"/>
              <w:jc w:val="left"/>
            </w:pPr>
            <w:r w:rsidRPr="005D5DC0">
              <w:t>Un puesto de salud para la localidad de Niayliya</w:t>
            </w:r>
          </w:p>
        </w:tc>
        <w:tc>
          <w:tcPr>
            <w:tcW w:w="3402" w:type="dxa"/>
            <w:shd w:val="clear" w:color="auto" w:fill="auto"/>
          </w:tcPr>
          <w:p w:rsidR="003E3038" w:rsidRPr="005D5DC0" w:rsidRDefault="003E3038" w:rsidP="000410CF">
            <w:pPr>
              <w:pStyle w:val="SingleTxtG"/>
              <w:spacing w:before="40" w:after="100"/>
              <w:ind w:left="0" w:right="0"/>
              <w:jc w:val="left"/>
            </w:pPr>
            <w:r w:rsidRPr="005D5DC0">
              <w:t xml:space="preserve">Municipio de Lehraijat, </w:t>
            </w:r>
            <w:r w:rsidR="000410CF" w:rsidRPr="000410CF">
              <w:rPr>
                <w:i/>
              </w:rPr>
              <w:t>m</w:t>
            </w:r>
            <w:r w:rsidRPr="000410CF">
              <w:rPr>
                <w:i/>
              </w:rPr>
              <w:t>oughataa</w:t>
            </w:r>
            <w:r w:rsidRPr="005D5DC0">
              <w:t xml:space="preserve"> de Tintane; H</w:t>
            </w:r>
            <w:r w:rsidR="001F3DFA">
              <w:t xml:space="preserve">. </w:t>
            </w:r>
            <w:r w:rsidRPr="005D5DC0">
              <w:t xml:space="preserve">Gharbi </w:t>
            </w:r>
          </w:p>
        </w:tc>
      </w:tr>
      <w:tr w:rsidR="003E3038" w:rsidRPr="005D5DC0" w:rsidTr="005D5DC0">
        <w:trPr>
          <w:trHeight w:val="240"/>
        </w:trPr>
        <w:tc>
          <w:tcPr>
            <w:tcW w:w="3969" w:type="dxa"/>
            <w:shd w:val="clear" w:color="auto" w:fill="auto"/>
          </w:tcPr>
          <w:p w:rsidR="003E3038" w:rsidRPr="005D5DC0" w:rsidRDefault="003E3038" w:rsidP="001F3DFA">
            <w:pPr>
              <w:pStyle w:val="SingleTxtG"/>
              <w:spacing w:before="40" w:after="100"/>
              <w:ind w:left="0" w:right="0"/>
              <w:jc w:val="left"/>
            </w:pPr>
            <w:r w:rsidRPr="005D5DC0">
              <w:t>Un puesto de salud para reagrupar las localidades de Galb El Kheir</w:t>
            </w:r>
          </w:p>
        </w:tc>
        <w:tc>
          <w:tcPr>
            <w:tcW w:w="3402" w:type="dxa"/>
            <w:shd w:val="clear" w:color="auto" w:fill="auto"/>
          </w:tcPr>
          <w:p w:rsidR="003E3038" w:rsidRPr="005D5DC0" w:rsidRDefault="003E3038" w:rsidP="000410CF">
            <w:pPr>
              <w:pStyle w:val="SingleTxtG"/>
              <w:spacing w:before="40" w:after="100"/>
              <w:ind w:left="0" w:right="0"/>
              <w:jc w:val="left"/>
            </w:pPr>
            <w:r w:rsidRPr="005D5DC0">
              <w:t xml:space="preserve">Municipio de Ain Varba, </w:t>
            </w:r>
            <w:r w:rsidR="000410CF" w:rsidRPr="000410CF">
              <w:rPr>
                <w:i/>
              </w:rPr>
              <w:t>m</w:t>
            </w:r>
            <w:r w:rsidRPr="000410CF">
              <w:rPr>
                <w:i/>
              </w:rPr>
              <w:t>oughataa</w:t>
            </w:r>
            <w:r w:rsidRPr="005D5DC0">
              <w:t xml:space="preserve"> de Tintane; H</w:t>
            </w:r>
            <w:r w:rsidR="001F3DFA">
              <w:t xml:space="preserve">. </w:t>
            </w:r>
            <w:r w:rsidRPr="005D5DC0">
              <w:t xml:space="preserve">Gharbi </w:t>
            </w:r>
          </w:p>
        </w:tc>
      </w:tr>
      <w:tr w:rsidR="003E3038" w:rsidRPr="005D5DC0" w:rsidTr="005D5DC0">
        <w:trPr>
          <w:trHeight w:val="240"/>
        </w:trPr>
        <w:tc>
          <w:tcPr>
            <w:tcW w:w="3969" w:type="dxa"/>
            <w:shd w:val="clear" w:color="auto" w:fill="auto"/>
          </w:tcPr>
          <w:p w:rsidR="003E3038" w:rsidRPr="005D5DC0" w:rsidRDefault="003E3038" w:rsidP="001F3DFA">
            <w:pPr>
              <w:pStyle w:val="SingleTxtG"/>
              <w:spacing w:before="40" w:after="100"/>
              <w:ind w:left="0" w:right="0"/>
              <w:jc w:val="left"/>
            </w:pPr>
            <w:r w:rsidRPr="005D5DC0">
              <w:t>Un puesto de salud para el reagrupamiento de Hassi Lekwar</w:t>
            </w:r>
          </w:p>
        </w:tc>
        <w:tc>
          <w:tcPr>
            <w:tcW w:w="3402" w:type="dxa"/>
            <w:shd w:val="clear" w:color="auto" w:fill="auto"/>
          </w:tcPr>
          <w:p w:rsidR="003E3038" w:rsidRPr="005D5DC0" w:rsidRDefault="003E3038" w:rsidP="001F3DFA">
            <w:pPr>
              <w:pStyle w:val="SingleTxtG"/>
              <w:spacing w:before="40" w:after="100"/>
              <w:ind w:left="0" w:right="0"/>
              <w:jc w:val="left"/>
            </w:pPr>
            <w:r w:rsidRPr="005D5DC0">
              <w:t>Municipio de Lehraijat, Tintane; H</w:t>
            </w:r>
            <w:r w:rsidR="001F3DFA">
              <w:t>. </w:t>
            </w:r>
            <w:r w:rsidRPr="005D5DC0">
              <w:t xml:space="preserve">Gharbi </w:t>
            </w:r>
          </w:p>
        </w:tc>
      </w:tr>
      <w:tr w:rsidR="003E3038" w:rsidRPr="005D5DC0" w:rsidTr="005D5DC0">
        <w:trPr>
          <w:trHeight w:val="240"/>
        </w:trPr>
        <w:tc>
          <w:tcPr>
            <w:tcW w:w="3969" w:type="dxa"/>
            <w:shd w:val="clear" w:color="auto" w:fill="auto"/>
          </w:tcPr>
          <w:p w:rsidR="003E3038" w:rsidRPr="005D5DC0" w:rsidRDefault="003E3038" w:rsidP="001F3DFA">
            <w:pPr>
              <w:pStyle w:val="SingleTxtG"/>
              <w:spacing w:before="40" w:after="100"/>
              <w:ind w:left="0" w:right="0"/>
              <w:jc w:val="left"/>
            </w:pPr>
            <w:r w:rsidRPr="005D5DC0">
              <w:t xml:space="preserve">Puesto de salud en la localidad de Afodiar Nouazir </w:t>
            </w:r>
          </w:p>
        </w:tc>
        <w:tc>
          <w:tcPr>
            <w:tcW w:w="3402" w:type="dxa"/>
            <w:shd w:val="clear" w:color="auto" w:fill="auto"/>
          </w:tcPr>
          <w:p w:rsidR="003E3038" w:rsidRPr="005D5DC0" w:rsidRDefault="003E3038" w:rsidP="001F3DFA">
            <w:pPr>
              <w:pStyle w:val="SingleTxtG"/>
              <w:spacing w:before="40" w:after="100"/>
              <w:ind w:left="0" w:right="0"/>
              <w:jc w:val="left"/>
            </w:pPr>
            <w:r w:rsidRPr="005D5DC0">
              <w:t xml:space="preserve">Municipio de Bokol, Mounguel, Gorgol </w:t>
            </w:r>
          </w:p>
        </w:tc>
      </w:tr>
      <w:tr w:rsidR="003E3038" w:rsidRPr="005D5DC0" w:rsidTr="005D5DC0">
        <w:trPr>
          <w:trHeight w:val="240"/>
        </w:trPr>
        <w:tc>
          <w:tcPr>
            <w:tcW w:w="3969" w:type="dxa"/>
            <w:shd w:val="clear" w:color="auto" w:fill="auto"/>
          </w:tcPr>
          <w:p w:rsidR="003E3038" w:rsidRPr="005D5DC0" w:rsidRDefault="003E3038" w:rsidP="001F3DFA">
            <w:pPr>
              <w:pStyle w:val="SingleTxtG"/>
              <w:spacing w:before="40" w:after="100"/>
              <w:ind w:left="0" w:right="0"/>
              <w:jc w:val="left"/>
            </w:pPr>
            <w:r w:rsidRPr="005D5DC0">
              <w:t>Puesto de salud en el municipio de Zguelim</w:t>
            </w:r>
          </w:p>
        </w:tc>
        <w:tc>
          <w:tcPr>
            <w:tcW w:w="3402" w:type="dxa"/>
            <w:shd w:val="clear" w:color="auto" w:fill="auto"/>
          </w:tcPr>
          <w:p w:rsidR="003E3038" w:rsidRPr="005D5DC0" w:rsidRDefault="003E3038" w:rsidP="001F3DFA">
            <w:pPr>
              <w:pStyle w:val="SingleTxtG"/>
              <w:spacing w:before="40" w:after="100"/>
              <w:ind w:left="0" w:right="0"/>
              <w:jc w:val="left"/>
            </w:pPr>
            <w:r w:rsidRPr="000410CF">
              <w:rPr>
                <w:i/>
              </w:rPr>
              <w:t>Moughataa</w:t>
            </w:r>
            <w:r w:rsidRPr="005D5DC0">
              <w:t xml:space="preserve"> de Monguel, Gorgol </w:t>
            </w:r>
          </w:p>
        </w:tc>
      </w:tr>
      <w:tr w:rsidR="003E3038" w:rsidRPr="005D5DC0" w:rsidTr="005D5DC0">
        <w:trPr>
          <w:trHeight w:val="240"/>
        </w:trPr>
        <w:tc>
          <w:tcPr>
            <w:tcW w:w="3969" w:type="dxa"/>
            <w:shd w:val="clear" w:color="auto" w:fill="auto"/>
          </w:tcPr>
          <w:p w:rsidR="003E3038" w:rsidRPr="005D5DC0" w:rsidRDefault="003E3038" w:rsidP="001F3DFA">
            <w:pPr>
              <w:pStyle w:val="SingleTxtG"/>
              <w:spacing w:before="40" w:after="100"/>
              <w:ind w:left="0" w:right="0"/>
              <w:jc w:val="left"/>
            </w:pPr>
            <w:r w:rsidRPr="005D5DC0">
              <w:t>Puesto de salud en Daghveg</w:t>
            </w:r>
          </w:p>
        </w:tc>
        <w:tc>
          <w:tcPr>
            <w:tcW w:w="3402" w:type="dxa"/>
            <w:shd w:val="clear" w:color="auto" w:fill="auto"/>
          </w:tcPr>
          <w:p w:rsidR="003E3038" w:rsidRPr="005D5DC0" w:rsidRDefault="003E3038" w:rsidP="001F3DFA">
            <w:pPr>
              <w:pStyle w:val="SingleTxtG"/>
              <w:spacing w:before="40" w:after="100"/>
              <w:ind w:left="0" w:right="0"/>
              <w:jc w:val="left"/>
            </w:pPr>
            <w:r w:rsidRPr="000410CF">
              <w:rPr>
                <w:i/>
              </w:rPr>
              <w:t>Moughataa</w:t>
            </w:r>
            <w:r w:rsidRPr="005D5DC0">
              <w:t xml:space="preserve"> de Boghé, Brakna </w:t>
            </w:r>
          </w:p>
        </w:tc>
      </w:tr>
      <w:tr w:rsidR="003E3038" w:rsidRPr="005D5DC0" w:rsidTr="005D5DC0">
        <w:trPr>
          <w:trHeight w:val="240"/>
        </w:trPr>
        <w:tc>
          <w:tcPr>
            <w:tcW w:w="3969" w:type="dxa"/>
            <w:shd w:val="clear" w:color="auto" w:fill="auto"/>
          </w:tcPr>
          <w:p w:rsidR="003E3038" w:rsidRPr="005D5DC0" w:rsidRDefault="003E3038" w:rsidP="001F3DFA">
            <w:pPr>
              <w:pStyle w:val="SingleTxtG"/>
              <w:spacing w:before="40" w:after="100"/>
              <w:ind w:left="0" w:right="0"/>
              <w:jc w:val="left"/>
            </w:pPr>
            <w:r w:rsidRPr="005D5DC0">
              <w:t>Puesto de salud en la localidad de Bassinguidi, municipio de Male</w:t>
            </w:r>
          </w:p>
        </w:tc>
        <w:tc>
          <w:tcPr>
            <w:tcW w:w="3402" w:type="dxa"/>
            <w:shd w:val="clear" w:color="auto" w:fill="auto"/>
          </w:tcPr>
          <w:p w:rsidR="003E3038" w:rsidRPr="005D5DC0" w:rsidRDefault="003E3038" w:rsidP="001F3DFA">
            <w:pPr>
              <w:pStyle w:val="SingleTxtG"/>
              <w:spacing w:before="40" w:after="100"/>
              <w:ind w:left="0" w:right="0"/>
              <w:jc w:val="left"/>
            </w:pPr>
            <w:r w:rsidRPr="000410CF">
              <w:rPr>
                <w:i/>
              </w:rPr>
              <w:t>Moughataa</w:t>
            </w:r>
            <w:r w:rsidRPr="005D5DC0">
              <w:t xml:space="preserve"> de Mahta Lahjar, Brakna </w:t>
            </w:r>
          </w:p>
        </w:tc>
      </w:tr>
      <w:tr w:rsidR="003E3038" w:rsidRPr="005D5DC0" w:rsidTr="005D5DC0">
        <w:trPr>
          <w:trHeight w:val="240"/>
        </w:trPr>
        <w:tc>
          <w:tcPr>
            <w:tcW w:w="3969" w:type="dxa"/>
            <w:shd w:val="clear" w:color="auto" w:fill="auto"/>
          </w:tcPr>
          <w:p w:rsidR="003E3038" w:rsidRPr="005D5DC0" w:rsidRDefault="003E3038" w:rsidP="001F3DFA">
            <w:pPr>
              <w:pStyle w:val="SingleTxtG"/>
              <w:spacing w:before="40" w:after="100"/>
              <w:ind w:left="0" w:right="0"/>
              <w:jc w:val="left"/>
            </w:pPr>
            <w:r w:rsidRPr="005D5DC0">
              <w:t>Puesto de salud en el municipio de Tendel</w:t>
            </w:r>
          </w:p>
        </w:tc>
        <w:tc>
          <w:tcPr>
            <w:tcW w:w="3402" w:type="dxa"/>
            <w:shd w:val="clear" w:color="auto" w:fill="auto"/>
          </w:tcPr>
          <w:p w:rsidR="003E3038" w:rsidRPr="005D5DC0" w:rsidRDefault="003E3038" w:rsidP="000410CF">
            <w:pPr>
              <w:pStyle w:val="SingleTxtG"/>
              <w:spacing w:before="40" w:after="100"/>
              <w:ind w:left="0" w:right="0"/>
              <w:jc w:val="left"/>
            </w:pPr>
            <w:r w:rsidRPr="005D5DC0">
              <w:t xml:space="preserve">Municipio de Dionaba, </w:t>
            </w:r>
            <w:r w:rsidR="000410CF" w:rsidRPr="000410CF">
              <w:rPr>
                <w:i/>
              </w:rPr>
              <w:t>m</w:t>
            </w:r>
            <w:r w:rsidRPr="000410CF">
              <w:rPr>
                <w:i/>
              </w:rPr>
              <w:t>oughataa</w:t>
            </w:r>
            <w:r w:rsidRPr="005D5DC0">
              <w:t xml:space="preserve"> de Mahta lahjar, Brakna </w:t>
            </w:r>
          </w:p>
        </w:tc>
      </w:tr>
      <w:tr w:rsidR="003E3038" w:rsidRPr="005D5DC0" w:rsidTr="005D5DC0">
        <w:trPr>
          <w:trHeight w:val="240"/>
        </w:trPr>
        <w:tc>
          <w:tcPr>
            <w:tcW w:w="3969" w:type="dxa"/>
            <w:shd w:val="clear" w:color="auto" w:fill="auto"/>
          </w:tcPr>
          <w:p w:rsidR="003E3038" w:rsidRPr="005D5DC0" w:rsidRDefault="003E3038" w:rsidP="001F3DFA">
            <w:pPr>
              <w:pStyle w:val="SingleTxtG"/>
              <w:spacing w:before="40" w:after="100"/>
              <w:ind w:left="0" w:right="0"/>
              <w:jc w:val="left"/>
            </w:pPr>
            <w:r w:rsidRPr="005D5DC0">
              <w:t>Construcción puesto de salud en Nteichit, Trarza</w:t>
            </w:r>
          </w:p>
        </w:tc>
        <w:tc>
          <w:tcPr>
            <w:tcW w:w="3402" w:type="dxa"/>
            <w:shd w:val="clear" w:color="auto" w:fill="auto"/>
          </w:tcPr>
          <w:p w:rsidR="003E3038" w:rsidRPr="005D5DC0" w:rsidRDefault="003E3038" w:rsidP="001F3DFA">
            <w:pPr>
              <w:pStyle w:val="SingleTxtG"/>
              <w:spacing w:before="40" w:after="100"/>
              <w:ind w:left="0" w:right="0"/>
              <w:jc w:val="left"/>
            </w:pPr>
            <w:r w:rsidRPr="000410CF">
              <w:rPr>
                <w:i/>
              </w:rPr>
              <w:t>Moughataa</w:t>
            </w:r>
            <w:r w:rsidRPr="005D5DC0">
              <w:t xml:space="preserve"> de Boutilimit, Trarza</w:t>
            </w:r>
          </w:p>
        </w:tc>
      </w:tr>
      <w:tr w:rsidR="003E3038" w:rsidRPr="005D5DC0" w:rsidTr="005D5DC0">
        <w:trPr>
          <w:trHeight w:val="240"/>
        </w:trPr>
        <w:tc>
          <w:tcPr>
            <w:tcW w:w="3969" w:type="dxa"/>
            <w:shd w:val="clear" w:color="auto" w:fill="auto"/>
          </w:tcPr>
          <w:p w:rsidR="003E3038" w:rsidRPr="005D5DC0" w:rsidRDefault="003E3038" w:rsidP="001F3DFA">
            <w:pPr>
              <w:pStyle w:val="SingleTxtG"/>
              <w:spacing w:before="40" w:after="100"/>
              <w:ind w:left="0" w:right="0"/>
              <w:jc w:val="left"/>
            </w:pPr>
            <w:r w:rsidRPr="005D5DC0">
              <w:t>Construcción puesto de salud en Jidr Mohguen, Trarza</w:t>
            </w:r>
          </w:p>
        </w:tc>
        <w:tc>
          <w:tcPr>
            <w:tcW w:w="3402" w:type="dxa"/>
            <w:shd w:val="clear" w:color="auto" w:fill="auto"/>
          </w:tcPr>
          <w:p w:rsidR="003E3038" w:rsidRPr="005D5DC0" w:rsidRDefault="003E3038" w:rsidP="001F3DFA">
            <w:pPr>
              <w:pStyle w:val="SingleTxtG"/>
              <w:spacing w:before="40" w:after="100"/>
              <w:ind w:left="0" w:right="0"/>
              <w:jc w:val="left"/>
            </w:pPr>
            <w:r w:rsidRPr="000410CF">
              <w:rPr>
                <w:i/>
              </w:rPr>
              <w:t>Moughataa</w:t>
            </w:r>
            <w:r w:rsidRPr="005D5DC0">
              <w:t xml:space="preserve"> de Rosso, Trarza</w:t>
            </w:r>
          </w:p>
        </w:tc>
      </w:tr>
      <w:tr w:rsidR="003E3038" w:rsidRPr="005D5DC0" w:rsidTr="005D5DC0">
        <w:trPr>
          <w:trHeight w:val="240"/>
        </w:trPr>
        <w:tc>
          <w:tcPr>
            <w:tcW w:w="3969" w:type="dxa"/>
            <w:shd w:val="clear" w:color="auto" w:fill="auto"/>
          </w:tcPr>
          <w:p w:rsidR="003E3038" w:rsidRPr="005D5DC0" w:rsidRDefault="003E3038" w:rsidP="001F3DFA">
            <w:pPr>
              <w:pStyle w:val="SingleTxtG"/>
              <w:spacing w:before="40" w:after="100"/>
              <w:ind w:left="0" w:right="0"/>
              <w:jc w:val="left"/>
            </w:pPr>
            <w:r w:rsidRPr="005D5DC0">
              <w:t>Puesto de salud en ZIRA, en el municipio de Atar</w:t>
            </w:r>
          </w:p>
        </w:tc>
        <w:tc>
          <w:tcPr>
            <w:tcW w:w="3402" w:type="dxa"/>
            <w:shd w:val="clear" w:color="auto" w:fill="auto"/>
          </w:tcPr>
          <w:p w:rsidR="003E3038" w:rsidRPr="005D5DC0" w:rsidRDefault="003E3038" w:rsidP="001F3DFA">
            <w:pPr>
              <w:pStyle w:val="SingleTxtG"/>
              <w:spacing w:before="40" w:after="100"/>
              <w:ind w:left="0" w:right="0"/>
              <w:jc w:val="left"/>
            </w:pPr>
            <w:r w:rsidRPr="000410CF">
              <w:rPr>
                <w:i/>
              </w:rPr>
              <w:t>Moughataa</w:t>
            </w:r>
            <w:r w:rsidRPr="005D5DC0">
              <w:t xml:space="preserve"> de Atar, Adrar </w:t>
            </w:r>
          </w:p>
        </w:tc>
      </w:tr>
      <w:tr w:rsidR="003E3038" w:rsidRPr="005D5DC0" w:rsidTr="005D5DC0">
        <w:trPr>
          <w:trHeight w:val="240"/>
        </w:trPr>
        <w:tc>
          <w:tcPr>
            <w:tcW w:w="3969" w:type="dxa"/>
            <w:shd w:val="clear" w:color="auto" w:fill="auto"/>
          </w:tcPr>
          <w:p w:rsidR="003E3038" w:rsidRPr="005D5DC0" w:rsidRDefault="003E3038" w:rsidP="001F3DFA">
            <w:pPr>
              <w:pStyle w:val="SingleTxtG"/>
              <w:spacing w:before="40" w:after="100"/>
              <w:ind w:left="0" w:right="0"/>
              <w:jc w:val="left"/>
            </w:pPr>
            <w:r w:rsidRPr="005D5DC0">
              <w:t xml:space="preserve">Puesto de salud en la localidad de Daber </w:t>
            </w:r>
          </w:p>
        </w:tc>
        <w:tc>
          <w:tcPr>
            <w:tcW w:w="3402" w:type="dxa"/>
            <w:shd w:val="clear" w:color="auto" w:fill="auto"/>
          </w:tcPr>
          <w:p w:rsidR="003E3038" w:rsidRPr="005D5DC0" w:rsidRDefault="003E3038" w:rsidP="001F3DFA">
            <w:pPr>
              <w:pStyle w:val="SingleTxtG"/>
              <w:spacing w:before="40" w:after="100"/>
              <w:ind w:left="0" w:right="0"/>
              <w:jc w:val="left"/>
            </w:pPr>
            <w:r w:rsidRPr="000410CF">
              <w:rPr>
                <w:i/>
              </w:rPr>
              <w:t>Moughataa</w:t>
            </w:r>
            <w:r w:rsidRPr="005D5DC0">
              <w:t xml:space="preserve"> de Moudjeria, Tagant</w:t>
            </w:r>
          </w:p>
        </w:tc>
      </w:tr>
      <w:tr w:rsidR="003E3038" w:rsidRPr="005D5DC0" w:rsidTr="001F3DFA">
        <w:trPr>
          <w:trHeight w:val="240"/>
        </w:trPr>
        <w:tc>
          <w:tcPr>
            <w:tcW w:w="3969" w:type="dxa"/>
            <w:tcBorders>
              <w:bottom w:val="single" w:sz="4" w:space="0" w:color="auto"/>
            </w:tcBorders>
            <w:shd w:val="clear" w:color="auto" w:fill="auto"/>
          </w:tcPr>
          <w:p w:rsidR="003E3038" w:rsidRPr="005D5DC0" w:rsidRDefault="003E3038" w:rsidP="001F3DFA">
            <w:pPr>
              <w:pStyle w:val="SingleTxtG"/>
              <w:spacing w:before="40" w:after="100"/>
              <w:ind w:left="0" w:right="0"/>
              <w:jc w:val="left"/>
            </w:pPr>
            <w:r w:rsidRPr="005D5DC0">
              <w:t xml:space="preserve">Puesto de salud en la localidad de Timbreihim </w:t>
            </w:r>
          </w:p>
        </w:tc>
        <w:tc>
          <w:tcPr>
            <w:tcW w:w="3402" w:type="dxa"/>
            <w:tcBorders>
              <w:bottom w:val="single" w:sz="4" w:space="0" w:color="auto"/>
            </w:tcBorders>
            <w:shd w:val="clear" w:color="auto" w:fill="auto"/>
          </w:tcPr>
          <w:p w:rsidR="003E3038" w:rsidRPr="005D5DC0" w:rsidRDefault="003E3038" w:rsidP="000410CF">
            <w:pPr>
              <w:pStyle w:val="SingleTxtG"/>
              <w:spacing w:before="40" w:after="100"/>
              <w:ind w:left="0" w:right="0"/>
              <w:jc w:val="left"/>
            </w:pPr>
            <w:r w:rsidRPr="005D5DC0">
              <w:t xml:space="preserve">Distrito de El Ghoudiya, </w:t>
            </w:r>
            <w:r w:rsidR="000410CF" w:rsidRPr="000410CF">
              <w:rPr>
                <w:i/>
              </w:rPr>
              <w:t>m</w:t>
            </w:r>
            <w:r w:rsidRPr="000410CF">
              <w:rPr>
                <w:i/>
              </w:rPr>
              <w:t>oughataa</w:t>
            </w:r>
            <w:r w:rsidRPr="005D5DC0">
              <w:t xml:space="preserve"> de Moudjeria, Tagant</w:t>
            </w:r>
          </w:p>
        </w:tc>
      </w:tr>
      <w:tr w:rsidR="003E3038" w:rsidRPr="001F3DFA" w:rsidTr="001F3DFA">
        <w:trPr>
          <w:trHeight w:val="240"/>
        </w:trPr>
        <w:tc>
          <w:tcPr>
            <w:tcW w:w="7371" w:type="dxa"/>
            <w:gridSpan w:val="2"/>
            <w:tcBorders>
              <w:top w:val="single" w:sz="4" w:space="0" w:color="auto"/>
              <w:bottom w:val="single" w:sz="12" w:space="0" w:color="auto"/>
            </w:tcBorders>
            <w:shd w:val="clear" w:color="auto" w:fill="auto"/>
          </w:tcPr>
          <w:p w:rsidR="003E3038" w:rsidRPr="001F3DFA" w:rsidRDefault="003E3038" w:rsidP="001F3DFA">
            <w:pPr>
              <w:pStyle w:val="SingleTxtG"/>
              <w:spacing w:before="80" w:after="80"/>
              <w:ind w:left="0" w:right="0"/>
              <w:jc w:val="left"/>
              <w:rPr>
                <w:b/>
              </w:rPr>
            </w:pPr>
            <w:r w:rsidRPr="001F3DFA">
              <w:rPr>
                <w:b/>
              </w:rPr>
              <w:t>Número : 20 puestos de salud</w:t>
            </w:r>
          </w:p>
        </w:tc>
      </w:tr>
    </w:tbl>
    <w:p w:rsidR="003E3038" w:rsidRPr="003E3038" w:rsidRDefault="003E3038" w:rsidP="001F3DFA">
      <w:pPr>
        <w:pStyle w:val="SingleTxtG"/>
        <w:spacing w:before="120"/>
      </w:pPr>
      <w:r w:rsidRPr="003E3038">
        <w:t>Número de pozos de explotación excavados: 39</w:t>
      </w:r>
    </w:p>
    <w:p w:rsidR="003E3038" w:rsidRPr="003E3038" w:rsidRDefault="003E3038" w:rsidP="003E3038">
      <w:pPr>
        <w:pStyle w:val="SingleTxtG"/>
      </w:pPr>
      <w:r w:rsidRPr="003E3038">
        <w:t>Número de instalaciones de abastecimiento de agua potable (AAP) construidas: 18</w:t>
      </w:r>
    </w:p>
    <w:p w:rsidR="003E3038" w:rsidRPr="003E3038" w:rsidRDefault="005D5DC0" w:rsidP="005D5DC0">
      <w:pPr>
        <w:pStyle w:val="H23G"/>
      </w:pPr>
      <w:r>
        <w:lastRenderedPageBreak/>
        <w:tab/>
      </w:r>
      <w:r w:rsidR="001F3DFA">
        <w:tab/>
        <w:t>Sección pozos</w:t>
      </w:r>
    </w:p>
    <w:p w:rsidR="003E3038" w:rsidRPr="003E3038" w:rsidRDefault="003E3038" w:rsidP="003E3038">
      <w:pPr>
        <w:pStyle w:val="SingleTxtG"/>
      </w:pPr>
      <w:r w:rsidRPr="003E3038">
        <w:t>122.</w:t>
      </w:r>
      <w:r w:rsidRPr="003E3038">
        <w:tab/>
        <w:t>39 pozos de explotación excavados:</w:t>
      </w:r>
    </w:p>
    <w:p w:rsidR="003E3038" w:rsidRPr="003E3038" w:rsidRDefault="003E3038" w:rsidP="005D5DC0">
      <w:pPr>
        <w:pStyle w:val="Bullet1G"/>
      </w:pPr>
      <w:r w:rsidRPr="003E3038">
        <w:t>3 en Brakna, incluida la instalación de AAP (en Tendel 3,5 m</w:t>
      </w:r>
      <w:r w:rsidRPr="003E3038">
        <w:rPr>
          <w:vertAlign w:val="superscript"/>
        </w:rPr>
        <w:t>3</w:t>
      </w:r>
      <w:r w:rsidR="001F3DFA">
        <w:t>/h, SED GADEL 4 </w:t>
      </w:r>
      <w:r w:rsidRPr="003E3038">
        <w:t>m</w:t>
      </w:r>
      <w:r w:rsidRPr="003E3038">
        <w:rPr>
          <w:vertAlign w:val="superscript"/>
        </w:rPr>
        <w:t>3</w:t>
      </w:r>
      <w:r w:rsidRPr="003E3038">
        <w:t>/h, Agmeimine 4 m</w:t>
      </w:r>
      <w:r w:rsidRPr="003E3038">
        <w:rPr>
          <w:vertAlign w:val="superscript"/>
        </w:rPr>
        <w:t>3</w:t>
      </w:r>
      <w:r w:rsidRPr="003E3038">
        <w:t>/h).</w:t>
      </w:r>
    </w:p>
    <w:p w:rsidR="003E3038" w:rsidRPr="003E3038" w:rsidRDefault="003E3038" w:rsidP="005D5DC0">
      <w:pPr>
        <w:pStyle w:val="Bullet1G"/>
      </w:pPr>
      <w:r w:rsidRPr="003E3038">
        <w:t>2 en Hodh El Gharbi (en Bounya (10 m</w:t>
      </w:r>
      <w:r w:rsidRPr="003E3038">
        <w:rPr>
          <w:vertAlign w:val="superscript"/>
        </w:rPr>
        <w:t>3</w:t>
      </w:r>
      <w:r w:rsidRPr="003E3038">
        <w:t>/h) y Hassi Lekwar (14 m</w:t>
      </w:r>
      <w:r w:rsidRPr="003E3038">
        <w:rPr>
          <w:vertAlign w:val="superscript"/>
        </w:rPr>
        <w:t>3</w:t>
      </w:r>
      <w:r w:rsidRPr="003E3038">
        <w:t>/h).</w:t>
      </w:r>
    </w:p>
    <w:p w:rsidR="003E3038" w:rsidRPr="003E3038" w:rsidRDefault="003E3038" w:rsidP="005D5DC0">
      <w:pPr>
        <w:pStyle w:val="Bullet1G"/>
      </w:pPr>
      <w:r w:rsidRPr="003E3038">
        <w:t>2 en Gorgol con captación superficial incluida (reagrupación Afodiar, Mounguel); con los caudales de explotación respectivos de 3 m</w:t>
      </w:r>
      <w:r w:rsidRPr="003E3038">
        <w:rPr>
          <w:vertAlign w:val="superscript"/>
        </w:rPr>
        <w:t>3</w:t>
      </w:r>
      <w:r w:rsidRPr="003E3038">
        <w:t>/h y 7,5 m</w:t>
      </w:r>
      <w:r w:rsidRPr="003E3038">
        <w:rPr>
          <w:vertAlign w:val="superscript"/>
        </w:rPr>
        <w:t>3</w:t>
      </w:r>
      <w:r w:rsidRPr="003E3038">
        <w:t>/h, y otros 2 pozos en la misma localidad de Afodiar respectivamente de 7 m</w:t>
      </w:r>
      <w:r w:rsidRPr="003E3038">
        <w:rPr>
          <w:vertAlign w:val="superscript"/>
        </w:rPr>
        <w:t>3</w:t>
      </w:r>
      <w:r w:rsidRPr="003E3038">
        <w:t>/h y de 2,8 m</w:t>
      </w:r>
      <w:r w:rsidRPr="003E3038">
        <w:rPr>
          <w:vertAlign w:val="superscript"/>
        </w:rPr>
        <w:t>3</w:t>
      </w:r>
      <w:r w:rsidRPr="003E3038">
        <w:t>/h.</w:t>
      </w:r>
    </w:p>
    <w:p w:rsidR="003E3038" w:rsidRPr="003E3038" w:rsidRDefault="003E3038" w:rsidP="005D5DC0">
      <w:pPr>
        <w:pStyle w:val="Bullet1G"/>
      </w:pPr>
      <w:r w:rsidRPr="003E3038">
        <w:t>6 pozos en Hodh El Gharbi en las localidades de Tegowdit, caudal 5 m</w:t>
      </w:r>
      <w:r w:rsidRPr="003E3038">
        <w:rPr>
          <w:vertAlign w:val="superscript"/>
        </w:rPr>
        <w:t>3</w:t>
      </w:r>
      <w:r w:rsidRPr="003E3038">
        <w:t>/h (Touil), Lighatha, caudal 5 m</w:t>
      </w:r>
      <w:r w:rsidRPr="003E3038">
        <w:rPr>
          <w:vertAlign w:val="superscript"/>
        </w:rPr>
        <w:t>3</w:t>
      </w:r>
      <w:r w:rsidRPr="003E3038">
        <w:t>/h (Touil), Messiel Gourvave, caudal 10 m</w:t>
      </w:r>
      <w:r w:rsidRPr="003E3038">
        <w:rPr>
          <w:vertAlign w:val="superscript"/>
        </w:rPr>
        <w:t>3</w:t>
      </w:r>
      <w:r w:rsidRPr="003E3038">
        <w:t>/h (Touil), Lehreija, caudal 6 m</w:t>
      </w:r>
      <w:r w:rsidRPr="003E3038">
        <w:rPr>
          <w:vertAlign w:val="superscript"/>
        </w:rPr>
        <w:t>3</w:t>
      </w:r>
      <w:r w:rsidRPr="003E3038">
        <w:t>/h (Touil), Lembeidie, caudal 10 m</w:t>
      </w:r>
      <w:r w:rsidRPr="003E3038">
        <w:rPr>
          <w:vertAlign w:val="superscript"/>
        </w:rPr>
        <w:t>3</w:t>
      </w:r>
      <w:r w:rsidRPr="003E3038">
        <w:t>/h (Touil), Baghdad Négatif (Touil).</w:t>
      </w:r>
    </w:p>
    <w:p w:rsidR="003E3038" w:rsidRPr="003E3038" w:rsidRDefault="003E3038" w:rsidP="005D5DC0">
      <w:pPr>
        <w:pStyle w:val="Bullet1G"/>
      </w:pPr>
      <w:r w:rsidRPr="003E3038">
        <w:t>1 pozo en Assaba (Gdemballa) con un caudal de explotación de 5 m</w:t>
      </w:r>
      <w:r w:rsidRPr="003E3038">
        <w:rPr>
          <w:vertAlign w:val="superscript"/>
        </w:rPr>
        <w:t>3</w:t>
      </w:r>
      <w:r w:rsidRPr="003E3038">
        <w:t>/h.</w:t>
      </w:r>
    </w:p>
    <w:p w:rsidR="003E3038" w:rsidRPr="003E3038" w:rsidRDefault="003E3038" w:rsidP="005D5DC0">
      <w:pPr>
        <w:pStyle w:val="Bullet1G"/>
      </w:pPr>
      <w:r w:rsidRPr="003E3038">
        <w:t>2 pozos para la reagrupación de Tenkarra, munici</w:t>
      </w:r>
      <w:r w:rsidR="001F3DFA">
        <w:t>pio de Radhi, Tamchekett, H. El </w:t>
      </w:r>
      <w:r w:rsidRPr="003E3038">
        <w:t>Gharbi en las localidades de Reyoug y Nichane. El pozo de Reyoug duplicaba el suministro con la Agencia de Promoción del Acceso Universal a los Servicios. Caudales de explotación Reyoug (7 m</w:t>
      </w:r>
      <w:r w:rsidRPr="003E3038">
        <w:rPr>
          <w:vertAlign w:val="superscript"/>
        </w:rPr>
        <w:t>3</w:t>
      </w:r>
      <w:r w:rsidRPr="003E3038">
        <w:t>/h) y Nichane (5 m</w:t>
      </w:r>
      <w:r w:rsidRPr="003E3038">
        <w:rPr>
          <w:vertAlign w:val="superscript"/>
        </w:rPr>
        <w:t>3</w:t>
      </w:r>
      <w:r w:rsidRPr="003E3038">
        <w:t>/h).</w:t>
      </w:r>
    </w:p>
    <w:p w:rsidR="003E3038" w:rsidRPr="003E3038" w:rsidRDefault="003E3038" w:rsidP="005D5DC0">
      <w:pPr>
        <w:pStyle w:val="Bullet1G"/>
      </w:pPr>
      <w:r w:rsidRPr="003E3038">
        <w:t>2 pozos de explotación en las localidades de Tendewali 1 (18 m</w:t>
      </w:r>
      <w:r w:rsidRPr="003E3038">
        <w:rPr>
          <w:vertAlign w:val="superscript"/>
        </w:rPr>
        <w:t>3</w:t>
      </w:r>
      <w:r w:rsidR="001F3DFA">
        <w:t>/h) y Tendewali 2 (7 </w:t>
      </w:r>
      <w:r w:rsidRPr="003E3038">
        <w:t>m</w:t>
      </w:r>
      <w:r w:rsidRPr="003E3038">
        <w:rPr>
          <w:vertAlign w:val="superscript"/>
        </w:rPr>
        <w:t>3</w:t>
      </w:r>
      <w:r w:rsidRPr="003E3038">
        <w:t>/h) en la ciudad de Chinguitty.</w:t>
      </w:r>
    </w:p>
    <w:p w:rsidR="003E3038" w:rsidRPr="003E3038" w:rsidRDefault="003E3038" w:rsidP="005D5DC0">
      <w:pPr>
        <w:pStyle w:val="Bullet1G"/>
      </w:pPr>
      <w:r w:rsidRPr="003E3038">
        <w:t>4 pozos para los pastores en las localidades de Tagant.</w:t>
      </w:r>
    </w:p>
    <w:p w:rsidR="003E3038" w:rsidRPr="003E3038" w:rsidRDefault="003E3038" w:rsidP="005D5DC0">
      <w:pPr>
        <w:pStyle w:val="Bullet1G"/>
      </w:pPr>
      <w:r w:rsidRPr="003E3038">
        <w:t>2 pozos de explotación para reforzar el campo de captación de la ciudad de Tidjikja a cuenta de la Sociedad Nacional del Agua.</w:t>
      </w:r>
    </w:p>
    <w:p w:rsidR="003E3038" w:rsidRPr="003E3038" w:rsidRDefault="003E3038" w:rsidP="005D5DC0">
      <w:pPr>
        <w:pStyle w:val="Bullet1G"/>
      </w:pPr>
      <w:r w:rsidRPr="003E3038">
        <w:t xml:space="preserve">2 pozos de explotación en las localidades de Binihmik (Ghoudiya) y de Guelaga, municipio de Soudoud, </w:t>
      </w:r>
      <w:r w:rsidRPr="003E3038">
        <w:rPr>
          <w:i/>
        </w:rPr>
        <w:t>moughataa</w:t>
      </w:r>
      <w:r w:rsidRPr="003E3038">
        <w:t xml:space="preserve"> de Moudjéria en Tagant.</w:t>
      </w:r>
    </w:p>
    <w:p w:rsidR="003E3038" w:rsidRPr="003E3038" w:rsidRDefault="003E3038" w:rsidP="005D5DC0">
      <w:pPr>
        <w:pStyle w:val="Bullet1G"/>
      </w:pPr>
      <w:r w:rsidRPr="003E3038">
        <w:t xml:space="preserve">10 pozos de explotación en las </w:t>
      </w:r>
      <w:r w:rsidRPr="003E3038">
        <w:rPr>
          <w:i/>
        </w:rPr>
        <w:t>ouilayas</w:t>
      </w:r>
      <w:r w:rsidRPr="003E3038">
        <w:t xml:space="preserve"> de los dos Hodhs, Tagant, Brakna y Guidimagha repartidos como se indica a continuación:</w:t>
      </w:r>
    </w:p>
    <w:p w:rsidR="003E3038" w:rsidRPr="003E3038" w:rsidRDefault="003E3038" w:rsidP="005D5DC0">
      <w:pPr>
        <w:pStyle w:val="Bullet2G"/>
      </w:pPr>
      <w:r w:rsidRPr="003E3038">
        <w:t>1 en la localidad de Assaba (Benbisala, 6,5 m</w:t>
      </w:r>
      <w:r w:rsidRPr="003E3038">
        <w:rPr>
          <w:vertAlign w:val="superscript"/>
        </w:rPr>
        <w:t>3</w:t>
      </w:r>
      <w:r w:rsidR="000F0F34">
        <w:t>/h);</w:t>
      </w:r>
    </w:p>
    <w:p w:rsidR="003E3038" w:rsidRPr="003E3038" w:rsidRDefault="003E3038" w:rsidP="005D5DC0">
      <w:pPr>
        <w:pStyle w:val="Bullet2G"/>
      </w:pPr>
      <w:r w:rsidRPr="003E3038">
        <w:t>5 en las localidades de Hodh El Gharbi (Jhavia, Tamchekett, 18 m</w:t>
      </w:r>
      <w:r w:rsidRPr="003E3038">
        <w:rPr>
          <w:vertAlign w:val="superscript"/>
        </w:rPr>
        <w:t>3</w:t>
      </w:r>
      <w:r w:rsidRPr="003E3038">
        <w:t xml:space="preserve">/h, Manbouya </w:t>
      </w:r>
      <w:r w:rsidR="001F3DFA">
        <w:t>–</w:t>
      </w:r>
      <w:r w:rsidRPr="003E3038">
        <w:t xml:space="preserve"> Agadir, Touil, 17 m</w:t>
      </w:r>
      <w:r w:rsidRPr="003E3038">
        <w:rPr>
          <w:vertAlign w:val="superscript"/>
        </w:rPr>
        <w:t>3</w:t>
      </w:r>
      <w:r w:rsidRPr="003E3038">
        <w:t xml:space="preserve">/h, Niaylia </w:t>
      </w:r>
      <w:r w:rsidR="001F3DFA">
        <w:t>–</w:t>
      </w:r>
      <w:r w:rsidRPr="003E3038">
        <w:t xml:space="preserve"> Sbeat, Touil, 20 m</w:t>
      </w:r>
      <w:r w:rsidRPr="003E3038">
        <w:rPr>
          <w:vertAlign w:val="superscript"/>
        </w:rPr>
        <w:t>3</w:t>
      </w:r>
      <w:r w:rsidR="001F3DFA">
        <w:t>/h; Set</w:t>
      </w:r>
      <w:r w:rsidR="001F3DFA">
        <w:noBreakHyphen/>
      </w:r>
      <w:r w:rsidRPr="003E3038">
        <w:t>Teichett, Touil, 60 m</w:t>
      </w:r>
      <w:r w:rsidRPr="003E3038">
        <w:rPr>
          <w:vertAlign w:val="superscript"/>
        </w:rPr>
        <w:t>3</w:t>
      </w:r>
      <w:r w:rsidRPr="003E3038">
        <w:t>/h, Arghaghin, Gougui Zemal, 3,5 m</w:t>
      </w:r>
      <w:r w:rsidRPr="003E3038">
        <w:rPr>
          <w:vertAlign w:val="superscript"/>
        </w:rPr>
        <w:t>3</w:t>
      </w:r>
      <w:r w:rsidR="000F0F34">
        <w:t>/h);</w:t>
      </w:r>
    </w:p>
    <w:p w:rsidR="003E3038" w:rsidRPr="003E3038" w:rsidRDefault="003E3038" w:rsidP="005D5DC0">
      <w:pPr>
        <w:pStyle w:val="Bullet2G"/>
      </w:pPr>
      <w:r w:rsidRPr="003E3038">
        <w:t>1 en la localidad de Brakna (El Gharga, Wad Amour, Brakna, 13 m</w:t>
      </w:r>
      <w:r w:rsidRPr="003E3038">
        <w:rPr>
          <w:vertAlign w:val="superscript"/>
        </w:rPr>
        <w:t>3</w:t>
      </w:r>
      <w:r w:rsidR="000F0F34">
        <w:t>/h);</w:t>
      </w:r>
    </w:p>
    <w:p w:rsidR="003E3038" w:rsidRPr="003E3038" w:rsidRDefault="003E3038" w:rsidP="005D5DC0">
      <w:pPr>
        <w:pStyle w:val="Bullet2G"/>
      </w:pPr>
      <w:r w:rsidRPr="003E3038">
        <w:t>1 en la localidad de Hodh Charghi (Ferenny, Djiguenny, 20 m</w:t>
      </w:r>
      <w:r w:rsidRPr="003E3038">
        <w:rPr>
          <w:vertAlign w:val="superscript"/>
        </w:rPr>
        <w:t>3</w:t>
      </w:r>
      <w:r w:rsidR="000F0F34">
        <w:t>/h);</w:t>
      </w:r>
    </w:p>
    <w:p w:rsidR="003E3038" w:rsidRPr="003E3038" w:rsidRDefault="003E3038" w:rsidP="005D5DC0">
      <w:pPr>
        <w:pStyle w:val="Bullet2G"/>
      </w:pPr>
      <w:r w:rsidRPr="003E3038">
        <w:t>1 en la localidad de Tagant (Graret Namous, Tamour Naaj, 7,5 m</w:t>
      </w:r>
      <w:r w:rsidRPr="003E3038">
        <w:rPr>
          <w:vertAlign w:val="superscript"/>
        </w:rPr>
        <w:t>3</w:t>
      </w:r>
      <w:r w:rsidR="000F0F34">
        <w:t>/h);</w:t>
      </w:r>
    </w:p>
    <w:p w:rsidR="003E3038" w:rsidRPr="003E3038" w:rsidRDefault="003E3038" w:rsidP="005D5DC0">
      <w:pPr>
        <w:pStyle w:val="Bullet2G"/>
      </w:pPr>
      <w:r w:rsidRPr="003E3038">
        <w:t>1 en la localidad de Guidimagha (Zreigatt, municipio de Hassi Cheggar, Sélibaby, 5 m</w:t>
      </w:r>
      <w:r w:rsidRPr="003E3038">
        <w:rPr>
          <w:vertAlign w:val="superscript"/>
        </w:rPr>
        <w:t>3</w:t>
      </w:r>
      <w:r w:rsidR="000F0F34">
        <w:t>/h);</w:t>
      </w:r>
    </w:p>
    <w:p w:rsidR="003E3038" w:rsidRPr="003E3038" w:rsidRDefault="003E3038" w:rsidP="005D5DC0">
      <w:pPr>
        <w:pStyle w:val="Bullet2G"/>
      </w:pPr>
      <w:r w:rsidRPr="003E3038">
        <w:t>1 pozo de explotación en la localidad de Ajouer (8 m</w:t>
      </w:r>
      <w:r w:rsidRPr="003E3038">
        <w:rPr>
          <w:vertAlign w:val="superscript"/>
        </w:rPr>
        <w:t>3</w:t>
      </w:r>
      <w:r w:rsidRPr="003E3038">
        <w:t>/h), Boutilimit, Trarza.</w:t>
      </w:r>
    </w:p>
    <w:p w:rsidR="003E3038" w:rsidRPr="003E3038" w:rsidRDefault="003E3038" w:rsidP="005D5DC0">
      <w:pPr>
        <w:pStyle w:val="H23G"/>
      </w:pPr>
      <w:r w:rsidRPr="003E3038">
        <w:tab/>
      </w:r>
      <w:r w:rsidR="005D5DC0">
        <w:tab/>
      </w:r>
      <w:r w:rsidRPr="003E3038">
        <w:t>Sección relativa a la</w:t>
      </w:r>
      <w:r w:rsidR="001F3DFA">
        <w:t>s instalaciones de agua potable</w:t>
      </w:r>
    </w:p>
    <w:p w:rsidR="003E3038" w:rsidRPr="003E3038" w:rsidRDefault="005D5DC0" w:rsidP="005D5DC0">
      <w:pPr>
        <w:pStyle w:val="H4G"/>
      </w:pPr>
      <w:r>
        <w:tab/>
      </w:r>
      <w:r w:rsidR="003E3038" w:rsidRPr="003E3038">
        <w:tab/>
        <w:t>Instalaciones de AAP construidas</w:t>
      </w:r>
    </w:p>
    <w:p w:rsidR="003E3038" w:rsidRPr="003E3038" w:rsidRDefault="003E3038" w:rsidP="005D5DC0">
      <w:pPr>
        <w:pStyle w:val="Bullet1G"/>
      </w:pPr>
      <w:r w:rsidRPr="003E3038">
        <w:t>Red de AAP en la localid</w:t>
      </w:r>
      <w:r w:rsidR="001F3DFA">
        <w:t>ad de Afodiar, Mounguel, Gorgol;</w:t>
      </w:r>
    </w:p>
    <w:p w:rsidR="003E3038" w:rsidRPr="003E3038" w:rsidRDefault="003E3038" w:rsidP="005D5DC0">
      <w:pPr>
        <w:pStyle w:val="Bullet1G"/>
      </w:pPr>
      <w:r w:rsidRPr="003E3038">
        <w:t xml:space="preserve">Redes de AAP de las localidades de Agmamine, Sad Gadel y Tendel, </w:t>
      </w:r>
      <w:r w:rsidRPr="003E3038">
        <w:rPr>
          <w:i/>
        </w:rPr>
        <w:t>moughataa</w:t>
      </w:r>
      <w:r w:rsidR="001F3DFA">
        <w:t xml:space="preserve"> de Maghta Lahjar en Brakna;</w:t>
      </w:r>
    </w:p>
    <w:p w:rsidR="003E3038" w:rsidRPr="003E3038" w:rsidRDefault="003E3038" w:rsidP="005D5DC0">
      <w:pPr>
        <w:pStyle w:val="Bullet1G"/>
      </w:pPr>
      <w:r w:rsidRPr="003E3038">
        <w:t>Devolución a la Oficina Nacional de los Servicios</w:t>
      </w:r>
      <w:r w:rsidR="001F3DFA">
        <w:t xml:space="preserve"> de Agua en el Medio Rural de 3 </w:t>
      </w:r>
      <w:r w:rsidRPr="003E3038">
        <w:t>instalaciones de AAP realizadas en el marco del Programa de Lehdada, en las localidades de Blajmil (Guidimagha), Lemen (H</w:t>
      </w:r>
      <w:r w:rsidR="001F3DFA">
        <w:t>.</w:t>
      </w:r>
      <w:r w:rsidRPr="003E3038">
        <w:t xml:space="preserve"> El </w:t>
      </w:r>
      <w:r w:rsidR="001F3DFA">
        <w:t>Gharbi) y Samassak (H. Echarghi);</w:t>
      </w:r>
    </w:p>
    <w:p w:rsidR="003E3038" w:rsidRPr="003E3038" w:rsidRDefault="003E3038" w:rsidP="005D5DC0">
      <w:pPr>
        <w:pStyle w:val="Bullet1G"/>
      </w:pPr>
      <w:r w:rsidRPr="003E3038">
        <w:lastRenderedPageBreak/>
        <w:t>Construcción de una torre-depósito de agua con una capacidad de 150 m</w:t>
      </w:r>
      <w:r w:rsidRPr="003E3038">
        <w:rPr>
          <w:vertAlign w:val="superscript"/>
        </w:rPr>
        <w:t>3</w:t>
      </w:r>
      <w:r w:rsidR="001F3DFA">
        <w:t xml:space="preserve"> en Moudjéria;</w:t>
      </w:r>
    </w:p>
    <w:p w:rsidR="003E3038" w:rsidRPr="003E3038" w:rsidRDefault="003E3038" w:rsidP="005D5DC0">
      <w:pPr>
        <w:pStyle w:val="Bullet1G"/>
      </w:pPr>
      <w:r w:rsidRPr="003E3038">
        <w:t>Red de AAP de Guedmballa 2</w:t>
      </w:r>
      <w:r w:rsidR="001F3DFA">
        <w:t>, municipio de Leweissi, Assaba;</w:t>
      </w:r>
    </w:p>
    <w:p w:rsidR="003E3038" w:rsidRPr="003E3038" w:rsidRDefault="003E3038" w:rsidP="005D5DC0">
      <w:pPr>
        <w:pStyle w:val="Bullet1G"/>
      </w:pPr>
      <w:r w:rsidRPr="003E3038">
        <w:t xml:space="preserve">Red de AAP </w:t>
      </w:r>
      <w:r w:rsidR="001F3DFA">
        <w:t>de Tegowdit, Touil, H. El Gharbi;</w:t>
      </w:r>
    </w:p>
    <w:p w:rsidR="003E3038" w:rsidRPr="003E3038" w:rsidRDefault="003E3038" w:rsidP="005D5DC0">
      <w:pPr>
        <w:pStyle w:val="Bullet1G"/>
      </w:pPr>
      <w:r w:rsidRPr="003E3038">
        <w:t xml:space="preserve">Red de AAP </w:t>
      </w:r>
      <w:r w:rsidR="001F3DFA">
        <w:t>de Lihreija, Touil, H. El Gharbi;</w:t>
      </w:r>
    </w:p>
    <w:p w:rsidR="003E3038" w:rsidRPr="003E3038" w:rsidRDefault="003E3038" w:rsidP="005D5DC0">
      <w:pPr>
        <w:pStyle w:val="Bullet1G"/>
      </w:pPr>
      <w:r w:rsidRPr="003E3038">
        <w:t>Red de AAP de El Bounya, Ain Varba, H</w:t>
      </w:r>
      <w:r w:rsidR="001F3DFA">
        <w:t>.</w:t>
      </w:r>
      <w:r w:rsidRPr="003E3038">
        <w:t xml:space="preserve"> El Gharbi</w:t>
      </w:r>
      <w:r w:rsidR="001F3DFA">
        <w:t>;</w:t>
      </w:r>
    </w:p>
    <w:p w:rsidR="003E3038" w:rsidRPr="003E3038" w:rsidRDefault="003E3038" w:rsidP="005D5DC0">
      <w:pPr>
        <w:pStyle w:val="Bullet1G"/>
      </w:pPr>
      <w:r w:rsidRPr="003E3038">
        <w:t>Red de AAP de Reyoug 2, municipio de Ra</w:t>
      </w:r>
      <w:r w:rsidR="001F3DFA">
        <w:t>dhi, Tamchekett, Hodh El Gharbi;</w:t>
      </w:r>
    </w:p>
    <w:p w:rsidR="003E3038" w:rsidRPr="003E3038" w:rsidRDefault="003E3038" w:rsidP="005D5DC0">
      <w:pPr>
        <w:pStyle w:val="Bullet1G"/>
      </w:pPr>
      <w:r w:rsidRPr="003E3038">
        <w:t>Red de AAP de Nichane, municipio de Ra</w:t>
      </w:r>
      <w:r w:rsidR="001F3DFA">
        <w:t>dhi, Tamchekett, Hodh El Gharbi;</w:t>
      </w:r>
    </w:p>
    <w:p w:rsidR="003E3038" w:rsidRPr="003E3038" w:rsidRDefault="003E3038" w:rsidP="005D5DC0">
      <w:pPr>
        <w:pStyle w:val="Bullet1G"/>
      </w:pPr>
      <w:r w:rsidRPr="003E3038">
        <w:t>Red de AAP de Lighatha, Touil, H</w:t>
      </w:r>
      <w:r w:rsidR="001F3DFA">
        <w:t>. El Gharbi;</w:t>
      </w:r>
    </w:p>
    <w:p w:rsidR="003E3038" w:rsidRPr="003E3038" w:rsidRDefault="003E3038" w:rsidP="005D5DC0">
      <w:pPr>
        <w:pStyle w:val="Bullet1G"/>
      </w:pPr>
      <w:r w:rsidRPr="003E3038">
        <w:t>Red de AAP de Messiel Guervave, Touil, H</w:t>
      </w:r>
      <w:r w:rsidR="001F3DFA">
        <w:t>.</w:t>
      </w:r>
      <w:r w:rsidRPr="003E3038">
        <w:t xml:space="preserve"> El Gharbi</w:t>
      </w:r>
      <w:r w:rsidR="001F3DFA">
        <w:t>;</w:t>
      </w:r>
    </w:p>
    <w:p w:rsidR="003E3038" w:rsidRPr="003E3038" w:rsidRDefault="003E3038" w:rsidP="005D5DC0">
      <w:pPr>
        <w:pStyle w:val="Bullet1G"/>
      </w:pPr>
      <w:r w:rsidRPr="003E3038">
        <w:t>Red de AAP de Hassi Lekwar, Ain Varba, H</w:t>
      </w:r>
      <w:r w:rsidR="001F3DFA">
        <w:t>.</w:t>
      </w:r>
      <w:r w:rsidRPr="003E3038">
        <w:t xml:space="preserve"> El Gharbi</w:t>
      </w:r>
      <w:r w:rsidR="001F3DFA">
        <w:t>;</w:t>
      </w:r>
    </w:p>
    <w:p w:rsidR="003E3038" w:rsidRPr="003E3038" w:rsidRDefault="003E3038" w:rsidP="005D5DC0">
      <w:pPr>
        <w:pStyle w:val="Bullet1G"/>
      </w:pPr>
      <w:r w:rsidRPr="003E3038">
        <w:t>Red de AAP de Lembedie, Touil, H</w:t>
      </w:r>
      <w:r w:rsidR="001F3DFA">
        <w:t>. El Gharbi.</w:t>
      </w:r>
    </w:p>
    <w:p w:rsidR="003E3038" w:rsidRPr="003E3038" w:rsidRDefault="003E3038" w:rsidP="003E3038">
      <w:pPr>
        <w:pStyle w:val="SingleTxtG"/>
      </w:pPr>
      <w:r w:rsidRPr="003E3038">
        <w:tab/>
        <w:t>Número de instalaciones de AAP construidas: 18</w:t>
      </w:r>
    </w:p>
    <w:p w:rsidR="003E3038" w:rsidRPr="003E3038" w:rsidRDefault="005D5DC0" w:rsidP="005D5DC0">
      <w:pPr>
        <w:pStyle w:val="H4G"/>
      </w:pPr>
      <w:r>
        <w:tab/>
      </w:r>
      <w:r w:rsidR="003E3038" w:rsidRPr="003E3038">
        <w:tab/>
        <w:t>Presas construidas</w:t>
      </w:r>
    </w:p>
    <w:p w:rsidR="003E3038" w:rsidRPr="003E3038" w:rsidRDefault="003E3038" w:rsidP="005D5DC0">
      <w:pPr>
        <w:pStyle w:val="Bullet1G"/>
      </w:pPr>
      <w:r w:rsidRPr="003E3038">
        <w:t>Presa de Legned, municipio</w:t>
      </w:r>
      <w:r w:rsidR="001F3DFA">
        <w:t xml:space="preserve"> de Male, Maghta Lahjar, Brakna;</w:t>
      </w:r>
    </w:p>
    <w:p w:rsidR="003E3038" w:rsidRPr="003E3038" w:rsidRDefault="001F3DFA" w:rsidP="005D5DC0">
      <w:pPr>
        <w:pStyle w:val="Bullet1G"/>
      </w:pPr>
      <w:r>
        <w:t>Jikh, Mounguel en Gorgol;</w:t>
      </w:r>
    </w:p>
    <w:p w:rsidR="003E3038" w:rsidRPr="003E3038" w:rsidRDefault="003E3038" w:rsidP="005D5DC0">
      <w:pPr>
        <w:pStyle w:val="Bullet1G"/>
      </w:pPr>
      <w:r w:rsidRPr="003E3038">
        <w:t xml:space="preserve">Daber, municipio de Soudoud, </w:t>
      </w:r>
      <w:r w:rsidRPr="003E3038">
        <w:rPr>
          <w:i/>
        </w:rPr>
        <w:t>moughataa</w:t>
      </w:r>
      <w:r w:rsidR="001F3DFA">
        <w:t xml:space="preserve"> de Moudjéria, Tagant;</w:t>
      </w:r>
    </w:p>
    <w:p w:rsidR="003E3038" w:rsidRPr="003E3038" w:rsidRDefault="003E3038" w:rsidP="005D5DC0">
      <w:pPr>
        <w:pStyle w:val="Bullet1G"/>
      </w:pPr>
      <w:r w:rsidRPr="003E3038">
        <w:t xml:space="preserve">Akneikir, municipio de Tamourt Naaj, </w:t>
      </w:r>
      <w:r w:rsidRPr="003E3038">
        <w:rPr>
          <w:i/>
        </w:rPr>
        <w:t>moughataa</w:t>
      </w:r>
      <w:r w:rsidRPr="003E3038">
        <w:t xml:space="preserve"> de Moudjéria en Tagant</w:t>
      </w:r>
      <w:r w:rsidR="001F3DFA">
        <w:t>;</w:t>
      </w:r>
    </w:p>
    <w:p w:rsidR="003E3038" w:rsidRPr="003E3038" w:rsidRDefault="003E3038" w:rsidP="005D5DC0">
      <w:pPr>
        <w:pStyle w:val="Bullet1G"/>
      </w:pPr>
      <w:r w:rsidRPr="003E3038">
        <w:t xml:space="preserve">Chlakh Lihmir, </w:t>
      </w:r>
      <w:r w:rsidRPr="003E3038">
        <w:rPr>
          <w:i/>
        </w:rPr>
        <w:t>moughataa</w:t>
      </w:r>
      <w:r w:rsidR="001F3DFA">
        <w:t xml:space="preserve"> de Maghtaa Lahjar, en Brakna;</w:t>
      </w:r>
    </w:p>
    <w:p w:rsidR="003E3038" w:rsidRPr="003E3038" w:rsidRDefault="001F3DFA" w:rsidP="005D5DC0">
      <w:pPr>
        <w:pStyle w:val="Bullet1G"/>
      </w:pPr>
      <w:r>
        <w:t>Louebda, Akjoujt.</w:t>
      </w:r>
    </w:p>
    <w:p w:rsidR="003E3038" w:rsidRPr="003E3038" w:rsidRDefault="003E3038" w:rsidP="003E3038">
      <w:pPr>
        <w:pStyle w:val="SingleTxtG"/>
      </w:pPr>
      <w:r w:rsidRPr="003E3038">
        <w:tab/>
        <w:t>Número de presas construidas: 6</w:t>
      </w:r>
    </w:p>
    <w:p w:rsidR="003E3038" w:rsidRPr="003E3038" w:rsidRDefault="005D5DC0" w:rsidP="005D5DC0">
      <w:pPr>
        <w:pStyle w:val="H4G"/>
      </w:pPr>
      <w:r>
        <w:tab/>
      </w:r>
      <w:r w:rsidR="003E3038" w:rsidRPr="003E3038">
        <w:tab/>
        <w:t>Ordenaciones agrícolas realizadas</w:t>
      </w:r>
    </w:p>
    <w:p w:rsidR="003E3038" w:rsidRPr="003E3038" w:rsidRDefault="003E3038" w:rsidP="005D5DC0">
      <w:pPr>
        <w:pStyle w:val="Bullet1G"/>
      </w:pPr>
      <w:r w:rsidRPr="003E3038">
        <w:t>Ordenación de Debaye Mbeynik, 80 ha, mun</w:t>
      </w:r>
      <w:r w:rsidR="001F3DFA">
        <w:t>icipio de Ntekane, Rkiz, Trarza;</w:t>
      </w:r>
    </w:p>
    <w:p w:rsidR="003E3038" w:rsidRPr="003E3038" w:rsidRDefault="003E3038" w:rsidP="005D5DC0">
      <w:pPr>
        <w:pStyle w:val="Bullet1G"/>
      </w:pPr>
      <w:r w:rsidRPr="003E3038">
        <w:t xml:space="preserve">Ordenación agrícola de Mbotto, 81 ha, municipio de Mbagne, </w:t>
      </w:r>
      <w:r w:rsidRPr="003E3038">
        <w:rPr>
          <w:i/>
        </w:rPr>
        <w:t>moughataa</w:t>
      </w:r>
      <w:r w:rsidR="001F3DFA">
        <w:t xml:space="preserve"> de Mbagne, Brakna;</w:t>
      </w:r>
    </w:p>
    <w:p w:rsidR="003E3038" w:rsidRPr="003E3038" w:rsidRDefault="003E3038" w:rsidP="005D5DC0">
      <w:pPr>
        <w:pStyle w:val="Bullet1G"/>
      </w:pPr>
      <w:r w:rsidRPr="003E3038">
        <w:t xml:space="preserve">Ordenación agrícola de Ngourdiane, 70 ha, municipio de Dar El Barka; </w:t>
      </w:r>
      <w:r w:rsidRPr="003E3038">
        <w:rPr>
          <w:i/>
        </w:rPr>
        <w:t>moughataa</w:t>
      </w:r>
      <w:r w:rsidRPr="003E3038">
        <w:t xml:space="preserve"> de Boghé en Brakna</w:t>
      </w:r>
      <w:r w:rsidR="001F3DFA">
        <w:t>;</w:t>
      </w:r>
    </w:p>
    <w:p w:rsidR="003E3038" w:rsidRPr="003E3038" w:rsidRDefault="003E3038" w:rsidP="005D5DC0">
      <w:pPr>
        <w:pStyle w:val="Bullet1G"/>
      </w:pPr>
      <w:r w:rsidRPr="003E3038">
        <w:t xml:space="preserve">Ordenación agrícola de Thinguelèl, 40 ha, municipio de Mbagne; </w:t>
      </w:r>
      <w:r w:rsidRPr="003E3038">
        <w:rPr>
          <w:i/>
        </w:rPr>
        <w:t>moughataa</w:t>
      </w:r>
      <w:r w:rsidR="001F3DFA">
        <w:t xml:space="preserve"> de Mbagne en Brakna;</w:t>
      </w:r>
    </w:p>
    <w:p w:rsidR="003E3038" w:rsidRPr="003E3038" w:rsidRDefault="003E3038" w:rsidP="005D5DC0">
      <w:pPr>
        <w:pStyle w:val="Bullet1G"/>
      </w:pPr>
      <w:r w:rsidRPr="003E3038">
        <w:t xml:space="preserve">Ordenación agrícola de Sénékouna/Medina, 40 ha, municipio de Aéré Mbar; </w:t>
      </w:r>
      <w:r w:rsidRPr="003E3038">
        <w:rPr>
          <w:i/>
        </w:rPr>
        <w:t>moughataa</w:t>
      </w:r>
      <w:r w:rsidRPr="003E3038">
        <w:t xml:space="preserve"> de Bababé en Brakna</w:t>
      </w:r>
      <w:r w:rsidR="001F3DFA">
        <w:t>;</w:t>
      </w:r>
    </w:p>
    <w:p w:rsidR="003E3038" w:rsidRPr="003E3038" w:rsidRDefault="003E3038" w:rsidP="005D5DC0">
      <w:pPr>
        <w:pStyle w:val="Bullet1G"/>
      </w:pPr>
      <w:r w:rsidRPr="003E3038">
        <w:t xml:space="preserve">Ordenación agrícola de Ndiorol, 60 ha, municipio de Dar El Avia; </w:t>
      </w:r>
      <w:r w:rsidRPr="003E3038">
        <w:rPr>
          <w:i/>
        </w:rPr>
        <w:t>moughataa</w:t>
      </w:r>
      <w:r w:rsidRPr="003E3038">
        <w:t xml:space="preserve"> de Boghé en Brakna.</w:t>
      </w:r>
    </w:p>
    <w:p w:rsidR="003E3038" w:rsidRPr="003E3038" w:rsidRDefault="003E3038" w:rsidP="003E3038">
      <w:pPr>
        <w:pStyle w:val="SingleTxtG"/>
      </w:pPr>
      <w:r w:rsidRPr="003E3038">
        <w:tab/>
        <w:t>Número de perímetros agrícolas construidos: 6</w:t>
      </w:r>
    </w:p>
    <w:p w:rsidR="003E3038" w:rsidRPr="003E3038" w:rsidRDefault="003E3038" w:rsidP="003E3038">
      <w:pPr>
        <w:pStyle w:val="SingleTxtG"/>
      </w:pPr>
      <w:r w:rsidRPr="003E3038">
        <w:t>123.</w:t>
      </w:r>
      <w:r w:rsidRPr="003E3038">
        <w:tab/>
        <w:t>En noviembre de 2007, el Senegal, la Oficina del Alto Comisionado de las Naciones Unidas para los Refugiados (ACNUR) y Mauritania alcanzaron un acuerdo tripartito sobre el proceso de repatriación de los refugiados mauritanos en el Senegal.</w:t>
      </w:r>
    </w:p>
    <w:p w:rsidR="003E3038" w:rsidRPr="003E3038" w:rsidRDefault="003E3038" w:rsidP="003E3038">
      <w:pPr>
        <w:pStyle w:val="SingleTxtG"/>
      </w:pPr>
      <w:r w:rsidRPr="003E3038">
        <w:t>124.</w:t>
      </w:r>
      <w:r w:rsidRPr="003E3038">
        <w:tab/>
        <w:t>Mauritania organizó la repatriación voluntaria y la integración de todos los refugiados que aceptaron regresar al país.</w:t>
      </w:r>
    </w:p>
    <w:p w:rsidR="003E3038" w:rsidRPr="003E3038" w:rsidRDefault="003E3038" w:rsidP="003E3038">
      <w:pPr>
        <w:pStyle w:val="SingleTxtG"/>
      </w:pPr>
      <w:r w:rsidRPr="003E3038">
        <w:t>125.</w:t>
      </w:r>
      <w:r w:rsidRPr="003E3038">
        <w:tab/>
        <w:t>El Senegal facilitó esa repatriación y aceptó conceder la nacionalidad senegalesa a los refugiados que optaron por no regresar.</w:t>
      </w:r>
    </w:p>
    <w:p w:rsidR="003E3038" w:rsidRPr="003E3038" w:rsidRDefault="003E3038" w:rsidP="003E3038">
      <w:pPr>
        <w:pStyle w:val="SingleTxtG"/>
      </w:pPr>
      <w:r w:rsidRPr="003E3038">
        <w:t>126.</w:t>
      </w:r>
      <w:r w:rsidRPr="003E3038">
        <w:tab/>
        <w:t>El ACNUR coordinó la repatriación y movilizó los recursos necesarios para la realización de las operaciones pertinentes.</w:t>
      </w:r>
    </w:p>
    <w:p w:rsidR="003E3038" w:rsidRPr="003E3038" w:rsidRDefault="003E3038" w:rsidP="003E3038">
      <w:pPr>
        <w:pStyle w:val="SingleTxtG"/>
      </w:pPr>
      <w:r w:rsidRPr="003E3038">
        <w:lastRenderedPageBreak/>
        <w:t>127.</w:t>
      </w:r>
      <w:r w:rsidRPr="003E3038">
        <w:tab/>
        <w:t xml:space="preserve">Mauritania ha creado estructuras para la organización y realización de las operaciones de repatriación e integración de los refugiados. En el marco de ese dispositivo se organizaron 106 convoyes y se hizo posible el regreso de 24.536 personas, distribuidas en 5.817 familias, a 118 emplazamientos en 5 </w:t>
      </w:r>
      <w:r w:rsidRPr="003E3038">
        <w:rPr>
          <w:i/>
        </w:rPr>
        <w:t>ouilayas</w:t>
      </w:r>
      <w:r w:rsidRPr="003E3038">
        <w:t xml:space="preserve"> del país (Trarza, Brakna, Gorgol, Guidimakha y Assaba).</w:t>
      </w:r>
    </w:p>
    <w:p w:rsidR="003E3038" w:rsidRPr="003E3038" w:rsidRDefault="003E3038" w:rsidP="003E3038">
      <w:pPr>
        <w:pStyle w:val="SingleTxtG"/>
      </w:pPr>
      <w:r w:rsidRPr="003E3038">
        <w:t>128.</w:t>
      </w:r>
      <w:r w:rsidRPr="003E3038">
        <w:tab/>
        <w:t>La operación de repatriación se cerró el 25 de marzo de 2012 en una ceremonia celebrada en Rosso con la presencia del Presidente de la República y el Alto Comisionado de las Naciones Unidas para los Refugiados.</w:t>
      </w:r>
    </w:p>
    <w:p w:rsidR="003E3038" w:rsidRPr="003E3038" w:rsidRDefault="003E3038" w:rsidP="003E3038">
      <w:pPr>
        <w:pStyle w:val="SingleTxtG"/>
      </w:pPr>
      <w:r w:rsidRPr="003E3038">
        <w:t>129.</w:t>
      </w:r>
      <w:r w:rsidRPr="003E3038">
        <w:tab/>
        <w:t>El Estado ha adoptado medidas para facilitar la reinserción de los repatriados en el tejido económico y social.</w:t>
      </w:r>
    </w:p>
    <w:p w:rsidR="003E3038" w:rsidRPr="003E3038" w:rsidRDefault="003E3038" w:rsidP="003E3038">
      <w:pPr>
        <w:pStyle w:val="SingleTxtG"/>
      </w:pPr>
      <w:r w:rsidRPr="003E3038">
        <w:t>130.</w:t>
      </w:r>
      <w:r w:rsidRPr="003E3038">
        <w:tab/>
        <w:t>El Organismo Nacional TADAMOUN se ocupa ahora de los programas emprendidos por la antigua Agencia Nacional para la Acogida e Integración de Refugiados.</w:t>
      </w:r>
    </w:p>
    <w:p w:rsidR="003E3038" w:rsidRPr="003E3038" w:rsidRDefault="003E3038" w:rsidP="003E3038">
      <w:pPr>
        <w:pStyle w:val="SingleTxtG"/>
      </w:pPr>
      <w:r w:rsidRPr="003E3038">
        <w:t>131.</w:t>
      </w:r>
      <w:r w:rsidRPr="003E3038">
        <w:tab/>
        <w:t>En el marco del registro de los refugiados, la Agencia Nacional de Registro de la Población y de Documentos de Seguridad adoptó las medidas siguientes:</w:t>
      </w:r>
    </w:p>
    <w:p w:rsidR="003E3038" w:rsidRPr="003E3038" w:rsidRDefault="003E3038" w:rsidP="005D5DC0">
      <w:pPr>
        <w:pStyle w:val="Bullet1G"/>
      </w:pPr>
      <w:r w:rsidRPr="003E3038">
        <w:t xml:space="preserve">La apertura de centros de acogida de ciudadanos, dirigidos para los repatriados en las </w:t>
      </w:r>
      <w:r w:rsidRPr="003E3038">
        <w:rPr>
          <w:i/>
        </w:rPr>
        <w:t>ouilayas</w:t>
      </w:r>
      <w:r w:rsidRPr="003E3038">
        <w:t xml:space="preserve"> de Trarza, Gorg</w:t>
      </w:r>
      <w:r w:rsidR="001F3DFA">
        <w:t>ol, Brakna, Guidimakha y Assaba;</w:t>
      </w:r>
    </w:p>
    <w:p w:rsidR="003E3038" w:rsidRPr="003E3038" w:rsidRDefault="003E3038" w:rsidP="005D5DC0">
      <w:pPr>
        <w:pStyle w:val="Bullet1G"/>
      </w:pPr>
      <w:r w:rsidRPr="003E3038">
        <w:t>La entrega de certificados de nacimiento emitidos por el Censo Administrativo del Registro Civil.</w:t>
      </w:r>
    </w:p>
    <w:p w:rsidR="003E3038" w:rsidRPr="003E3038" w:rsidRDefault="003E3038" w:rsidP="003E3038">
      <w:pPr>
        <w:pStyle w:val="SingleTxtG"/>
      </w:pPr>
      <w:r w:rsidRPr="003E3038">
        <w:t>132.</w:t>
      </w:r>
      <w:r w:rsidRPr="003E3038">
        <w:tab/>
        <w:t>Gracias a ese dispositivo ha sido posible:</w:t>
      </w:r>
    </w:p>
    <w:p w:rsidR="003E3038" w:rsidRPr="003E3038" w:rsidRDefault="003E3038" w:rsidP="005D5DC0">
      <w:pPr>
        <w:pStyle w:val="Bullet1G"/>
      </w:pPr>
      <w:r w:rsidRPr="003E3038">
        <w:t>Crear una base de da</w:t>
      </w:r>
      <w:r w:rsidR="001F3DFA">
        <w:t>tos;</w:t>
      </w:r>
    </w:p>
    <w:p w:rsidR="003E3038" w:rsidRPr="003E3038" w:rsidRDefault="003E3038" w:rsidP="005D5DC0">
      <w:pPr>
        <w:pStyle w:val="Bullet1G"/>
      </w:pPr>
      <w:r w:rsidRPr="003E3038">
        <w:t>Entregar documentos emitidos por el Regi</w:t>
      </w:r>
      <w:r w:rsidR="001F3DFA">
        <w:t>stro Civil a 21.960 repatriados;</w:t>
      </w:r>
    </w:p>
    <w:p w:rsidR="003E3038" w:rsidRPr="003E3038" w:rsidRDefault="003E3038" w:rsidP="005D5DC0">
      <w:pPr>
        <w:pStyle w:val="Bullet1G"/>
      </w:pPr>
      <w:r w:rsidRPr="003E3038">
        <w:t>Crear una comisión integrada por representantes de los repatriados para pronunciarse sobre los casos pendientes.</w:t>
      </w:r>
    </w:p>
    <w:p w:rsidR="003E3038" w:rsidRPr="003E3038" w:rsidRDefault="003E3038" w:rsidP="003E3038">
      <w:pPr>
        <w:pStyle w:val="SingleTxtG"/>
      </w:pPr>
      <w:r w:rsidRPr="003E3038">
        <w:t>133.</w:t>
      </w:r>
      <w:r w:rsidRPr="003E3038">
        <w:tab/>
        <w:t>En la Ley núm. 061-112, de 12 de junio de 1961, sobre el Código de la Nacionalidad Mauritana y</w:t>
      </w:r>
      <w:r w:rsidR="001F3DFA">
        <w:t xml:space="preserve"> sus textos modificativos (las L</w:t>
      </w:r>
      <w:r w:rsidRPr="003E3038">
        <w:t>eyes núm. 07</w:t>
      </w:r>
      <w:r w:rsidR="001F3DFA">
        <w:t>3-010, de 23 enero de 1973; 073</w:t>
      </w:r>
      <w:r w:rsidR="001F3DFA">
        <w:noBreakHyphen/>
      </w:r>
      <w:r w:rsidRPr="003E3038">
        <w:t>186, de 30 de julio de 1973; 076-207, de 30 de julio de 1976; 076-207, de 9 julio de 1976, el Decreto núm. 082-028, de 26 de marzo de 1982</w:t>
      </w:r>
      <w:r w:rsidR="001F3DFA">
        <w:t xml:space="preserve"> y</w:t>
      </w:r>
      <w:r w:rsidRPr="003E3038">
        <w:t xml:space="preserve"> la Ley núm. 2010-028, de 11 de febrero de 2010, por las que se derogan determinadas d</w:t>
      </w:r>
      <w:r w:rsidR="000F0F34">
        <w:t>isposiciones de la Ley núm. 061</w:t>
      </w:r>
      <w:r w:rsidR="000F0F34">
        <w:noBreakHyphen/>
      </w:r>
      <w:r w:rsidRPr="003E3038">
        <w:t>112) se garantizan para todos el acceso, la conservación y la privación de la nacionalidad en las mismas condiciones, sin discriminación, por ejemplo, por motivos de género:</w:t>
      </w:r>
    </w:p>
    <w:p w:rsidR="003E3038" w:rsidRPr="003E3038" w:rsidRDefault="003E3038" w:rsidP="005D5DC0">
      <w:pPr>
        <w:pStyle w:val="Bullet1G"/>
      </w:pPr>
      <w:r w:rsidRPr="003E3038">
        <w:t xml:space="preserve">En esa </w:t>
      </w:r>
      <w:r w:rsidR="001F3DFA">
        <w:t>L</w:t>
      </w:r>
      <w:r w:rsidRPr="003E3038">
        <w:t>ey se definen las condiciones de acceso a la nacionalidad. También se prevé el derecho a la nacionalidad de todo</w:t>
      </w:r>
      <w:r w:rsidR="001F3DFA">
        <w:t xml:space="preserve"> hijo nacido de padre mauritano;</w:t>
      </w:r>
    </w:p>
    <w:p w:rsidR="003E3038" w:rsidRPr="003E3038" w:rsidRDefault="001F3DFA" w:rsidP="005D5DC0">
      <w:pPr>
        <w:pStyle w:val="Bullet1G"/>
      </w:pPr>
      <w:r>
        <w:t>En la L</w:t>
      </w:r>
      <w:r w:rsidR="003E3038" w:rsidRPr="003E3038">
        <w:t>ey se prevé también el acceso a la nacionalidad mauritana por naturalización. Puede acogerse a la naturalización cualquier persona que cumpla las condiciones establecidas para ello, sin discriminación alguna.</w:t>
      </w:r>
    </w:p>
    <w:p w:rsidR="003E3038" w:rsidRPr="003E3038" w:rsidRDefault="003E3038" w:rsidP="003E3038">
      <w:pPr>
        <w:pStyle w:val="SingleTxtG"/>
      </w:pPr>
      <w:r w:rsidRPr="003E3038">
        <w:t>134.</w:t>
      </w:r>
      <w:r w:rsidRPr="003E3038">
        <w:tab/>
        <w:t xml:space="preserve">El Gobierno ha aprobado una ley marco de lucha contra la violencia de género y ha puesto en marcha un plan de acción para la eliminación voluntaria de la mutilación genital femenina en las </w:t>
      </w:r>
      <w:r w:rsidRPr="003E3038">
        <w:rPr>
          <w:i/>
        </w:rPr>
        <w:t>ouilayas</w:t>
      </w:r>
      <w:r w:rsidRPr="003E3038">
        <w:t xml:space="preserve"> con altas tasas de esta práctica.</w:t>
      </w:r>
    </w:p>
    <w:p w:rsidR="003E3038" w:rsidRPr="003E3038" w:rsidRDefault="003E3038" w:rsidP="003E3038">
      <w:pPr>
        <w:pStyle w:val="SingleTxtG"/>
      </w:pPr>
      <w:r w:rsidRPr="003E3038">
        <w:t>135.</w:t>
      </w:r>
      <w:r w:rsidRPr="003E3038">
        <w:tab/>
        <w:t>También ha puesto en práctica la Estrategia Nacional para la Eliminación de la Mutilación Genital Femenina, que tiene por objeto:</w:t>
      </w:r>
    </w:p>
    <w:p w:rsidR="003E3038" w:rsidRPr="003E3038" w:rsidRDefault="003E3038" w:rsidP="005D5DC0">
      <w:pPr>
        <w:pStyle w:val="Bullet1G"/>
      </w:pPr>
      <w:r w:rsidRPr="003E3038">
        <w:t>Crear un entorno institucional propicio para la promoción de la eliminación voluntaria y solemne de la ablac</w:t>
      </w:r>
      <w:r w:rsidR="001F3DFA">
        <w:t>ión/mutilación genital femenina;</w:t>
      </w:r>
    </w:p>
    <w:p w:rsidR="003E3038" w:rsidRPr="003E3038" w:rsidRDefault="003E3038" w:rsidP="005D5DC0">
      <w:pPr>
        <w:pStyle w:val="Bullet1G"/>
      </w:pPr>
      <w:r w:rsidRPr="003E3038">
        <w:t>Fortalecer la capacid</w:t>
      </w:r>
      <w:r w:rsidR="001F3DFA">
        <w:t>ad de los actores involucrados;</w:t>
      </w:r>
    </w:p>
    <w:p w:rsidR="003E3038" w:rsidRPr="003E3038" w:rsidRDefault="003E3038" w:rsidP="005D5DC0">
      <w:pPr>
        <w:pStyle w:val="Bullet1G"/>
      </w:pPr>
      <w:r w:rsidRPr="003E3038">
        <w:t>Concebir un plan integrado de comunicación para erradicar</w:t>
      </w:r>
      <w:r w:rsidR="001F3DFA">
        <w:t xml:space="preserve"> la mutilación genital femenina;</w:t>
      </w:r>
    </w:p>
    <w:p w:rsidR="003E3038" w:rsidRPr="003E3038" w:rsidRDefault="003E3038" w:rsidP="005D5DC0">
      <w:pPr>
        <w:pStyle w:val="Bullet1G"/>
      </w:pPr>
      <w:r w:rsidRPr="003E3038">
        <w:t>Promover la investigación orientada a la acción, a fin de elaborar y aplicar medidas más específicas.</w:t>
      </w:r>
    </w:p>
    <w:p w:rsidR="003E3038" w:rsidRPr="003E3038" w:rsidRDefault="003E3038" w:rsidP="003E3038">
      <w:pPr>
        <w:pStyle w:val="SingleTxtG"/>
      </w:pPr>
      <w:r w:rsidRPr="003E3038">
        <w:lastRenderedPageBreak/>
        <w:t>136.</w:t>
      </w:r>
      <w:r w:rsidRPr="003E3038">
        <w:tab/>
        <w:t>La asociación de los Ulemas (líderes religiosos) ha publicado una fetua por la que se prohíbe la práctica de la mutilación genital femenina.</w:t>
      </w:r>
    </w:p>
    <w:p w:rsidR="003E3038" w:rsidRPr="003E3038" w:rsidRDefault="003E3038" w:rsidP="003E3038">
      <w:pPr>
        <w:pStyle w:val="SingleTxtG"/>
      </w:pPr>
      <w:r w:rsidRPr="003E3038">
        <w:t>137.</w:t>
      </w:r>
      <w:r w:rsidRPr="003E3038">
        <w:tab/>
        <w:t>La Comisión Nacional de Derechos Humanos, de carácter independiente, se encarga de emitir, a instancias del Gobierno o por iniciativa propia, una opinión consultiva sobre las cuestiones de carácter general o específico que atañen a la promoción y protección de los derechos humanos y al respeto de las libertades individuales y colectivas.</w:t>
      </w:r>
    </w:p>
    <w:p w:rsidR="003E3038" w:rsidRPr="003E3038" w:rsidRDefault="003E3038" w:rsidP="003E3038">
      <w:pPr>
        <w:pStyle w:val="SingleTxtG"/>
      </w:pPr>
      <w:r w:rsidRPr="003E3038">
        <w:t>138.</w:t>
      </w:r>
      <w:r w:rsidRPr="003E3038">
        <w:tab/>
        <w:t>Reconocida desde mayo de 2011como institución nacional de derechos humanos de la categoría A por el Comité Internacional de Coordinación de las Instituciones Nacionales de Derechos Humanos, la Comisión pasó a considerarse institución constitucional en 2012.</w:t>
      </w:r>
    </w:p>
    <w:p w:rsidR="003E3038" w:rsidRPr="003E3038" w:rsidRDefault="003E3038" w:rsidP="003E3038">
      <w:pPr>
        <w:pStyle w:val="SingleTxtG"/>
      </w:pPr>
      <w:r w:rsidRPr="003E3038">
        <w:t>139.</w:t>
      </w:r>
      <w:r w:rsidRPr="003E3038">
        <w:tab/>
        <w:t>La Comisión está compuesta en su mayoría por representantes de organizaciones de la sociedad civil, asociaciones profesionales con derecho de voto y representantes de distintas entidades interesadas sin derecho de voto. La Comisión se financia con cargo a una partida específica del presupuesto del Estado.</w:t>
      </w:r>
    </w:p>
    <w:p w:rsidR="003E3038" w:rsidRPr="003E3038" w:rsidRDefault="005D5DC0" w:rsidP="005D5DC0">
      <w:pPr>
        <w:pStyle w:val="H1G"/>
      </w:pPr>
      <w:r>
        <w:tab/>
      </w:r>
      <w:r w:rsidR="003E3038" w:rsidRPr="003E3038">
        <w:tab/>
        <w:t>Artículo 6</w:t>
      </w:r>
    </w:p>
    <w:p w:rsidR="003E3038" w:rsidRPr="003E3038" w:rsidRDefault="003E3038" w:rsidP="003E3038">
      <w:pPr>
        <w:pStyle w:val="SingleTxtG"/>
      </w:pPr>
      <w:r w:rsidRPr="003E3038">
        <w:t>140.</w:t>
      </w:r>
      <w:r w:rsidRPr="003E3038">
        <w:tab/>
        <w:t xml:space="preserve">El sistema judicial está basado en el principio de la doble instancia. Este principio permite que toda persona que considere que sus derechos han sido violados pueda acudir a los tribunales de primera instancia (Tribunal de </w:t>
      </w:r>
      <w:r w:rsidR="001F3DFA" w:rsidRPr="001F3DFA">
        <w:t>M</w:t>
      </w:r>
      <w:r w:rsidRPr="001F3DFA">
        <w:t>oughataa y Tribunal de Ouilaya</w:t>
      </w:r>
      <w:r w:rsidRPr="003E3038">
        <w:t xml:space="preserve">). </w:t>
      </w:r>
    </w:p>
    <w:p w:rsidR="003E3038" w:rsidRPr="003E3038" w:rsidRDefault="003E3038" w:rsidP="003E3038">
      <w:pPr>
        <w:pStyle w:val="SingleTxtG"/>
      </w:pPr>
      <w:r w:rsidRPr="003E3038">
        <w:t>141.</w:t>
      </w:r>
      <w:r w:rsidRPr="003E3038">
        <w:tab/>
        <w:t>Un procedimiento determinado de antemano</w:t>
      </w:r>
      <w:r w:rsidRPr="003E3038">
        <w:rPr>
          <w:b/>
          <w:bCs/>
        </w:rPr>
        <w:t xml:space="preserve"> </w:t>
      </w:r>
      <w:r w:rsidRPr="003E3038">
        <w:t xml:space="preserve">permite recurrir a jueces especializados según la naturaleza del hecho y la gravedad del delito. La misión de estos jueces es pronunciarse sobre las alegaciones del demandante o del demandado. </w:t>
      </w:r>
    </w:p>
    <w:p w:rsidR="003E3038" w:rsidRPr="003E3038" w:rsidRDefault="003E3038" w:rsidP="003E3038">
      <w:pPr>
        <w:pStyle w:val="SingleTxtG"/>
      </w:pPr>
      <w:r w:rsidRPr="003E3038">
        <w:t>142.</w:t>
      </w:r>
      <w:r w:rsidRPr="003E3038">
        <w:tab/>
        <w:t xml:space="preserve">Si los demandantes no están de acuerdo con la decisión de los tribunales de primera instancia, pueden recurrir al Tribunal de Apelación, que constituye la segunda instancia, para que vuelva a juzgar su caso y decida sobre sus reclamaciones. Con ello se obtiene otra garantía de una justicia adecuada destinada a proteger los derechos de las personas. </w:t>
      </w:r>
    </w:p>
    <w:p w:rsidR="003E3038" w:rsidRPr="003E3038" w:rsidRDefault="003E3038" w:rsidP="003E3038">
      <w:pPr>
        <w:pStyle w:val="SingleTxtG"/>
      </w:pPr>
      <w:r w:rsidRPr="003E3038">
        <w:t>143.</w:t>
      </w:r>
      <w:r w:rsidRPr="003E3038">
        <w:tab/>
        <w:t>El Tribunal Supremo representa otra garantía de ese sistema jurídico. Los demandantes pueden acudir a ese tribunal, que solo se pronunciará sobre la aplicación de la ley y no entrará a considerar la apreciación independiente y soberana de los hechos realizada por los magistrados de segundo grado.</w:t>
      </w:r>
    </w:p>
    <w:p w:rsidR="003E3038" w:rsidRPr="003E3038" w:rsidRDefault="003E3038" w:rsidP="003E3038">
      <w:pPr>
        <w:pStyle w:val="SingleTxtG"/>
      </w:pPr>
      <w:r w:rsidRPr="003E3038">
        <w:t>144.</w:t>
      </w:r>
      <w:r w:rsidRPr="003E3038">
        <w:tab/>
        <w:t xml:space="preserve">La ley reconoce a los extranjeros que viven en Mauritania los mismos derechos que a los nacionales en los siguientes instrumentos: </w:t>
      </w:r>
    </w:p>
    <w:p w:rsidR="003E3038" w:rsidRPr="003E3038" w:rsidRDefault="003E3038" w:rsidP="005D5DC0">
      <w:pPr>
        <w:pStyle w:val="Bullet1G"/>
      </w:pPr>
      <w:r w:rsidRPr="003E3038">
        <w:t>La legislación penal relativa al sistema de i</w:t>
      </w:r>
      <w:r w:rsidR="001F3DFA">
        <w:t>nmigración;</w:t>
      </w:r>
    </w:p>
    <w:p w:rsidR="003E3038" w:rsidRPr="003E3038" w:rsidRDefault="003E3038" w:rsidP="005D5DC0">
      <w:pPr>
        <w:pStyle w:val="Bullet1G"/>
      </w:pPr>
      <w:r w:rsidRPr="003E3038">
        <w:t xml:space="preserve">La legislación en la que se tipifica como delito </w:t>
      </w:r>
      <w:r w:rsidR="001F3DFA">
        <w:t>el tráfico ilícito de migrantes;</w:t>
      </w:r>
    </w:p>
    <w:p w:rsidR="003E3038" w:rsidRPr="003E3038" w:rsidRDefault="003E3038" w:rsidP="005D5DC0">
      <w:pPr>
        <w:pStyle w:val="Bullet1G"/>
      </w:pPr>
      <w:r w:rsidRPr="003E3038">
        <w:t>El decreto rel</w:t>
      </w:r>
      <w:r w:rsidR="001F3DFA">
        <w:t>ativo al sistema de inmigración;</w:t>
      </w:r>
    </w:p>
    <w:p w:rsidR="003E3038" w:rsidRPr="003E3038" w:rsidRDefault="003E3038" w:rsidP="005D5DC0">
      <w:pPr>
        <w:pStyle w:val="Bullet1G"/>
      </w:pPr>
      <w:r w:rsidRPr="003E3038">
        <w:t>El decreto por el que se establecen los permisos de trabajo para los trabajadores extranjeros.</w:t>
      </w:r>
    </w:p>
    <w:p w:rsidR="003E3038" w:rsidRPr="003E3038" w:rsidRDefault="003E3038" w:rsidP="003E3038">
      <w:pPr>
        <w:pStyle w:val="SingleTxtG"/>
      </w:pPr>
      <w:r w:rsidRPr="003E3038">
        <w:t>145.</w:t>
      </w:r>
      <w:r w:rsidRPr="003E3038">
        <w:tab/>
        <w:t xml:space="preserve">Para promover los derechos fundamentales de los migrantes, los refugiados y los solicitantes de asilo, se ha reforzado la capacidad de las autoridades para tramitar las solicitudes de asilo mediante la organización de campañas de información y concienciación, en colaboración con las ONG, sobre la realidad migratoria y las actividades de capacitación encaminadas a luchar contra la trata de niños migrantes. </w:t>
      </w:r>
    </w:p>
    <w:p w:rsidR="003E3038" w:rsidRPr="003E3038" w:rsidRDefault="003E3038" w:rsidP="003E3038">
      <w:pPr>
        <w:pStyle w:val="SingleTxtG"/>
      </w:pPr>
      <w:r w:rsidRPr="003E3038">
        <w:t>146.</w:t>
      </w:r>
      <w:r w:rsidRPr="003E3038">
        <w:tab/>
        <w:t xml:space="preserve">Los tribunales nacionales han juzgado 32 casos de prácticas análogas a la esclavitud, 8 en Nuakchot y 24 en otras </w:t>
      </w:r>
      <w:r w:rsidRPr="003E3038">
        <w:rPr>
          <w:i/>
        </w:rPr>
        <w:t>ouilayas</w:t>
      </w:r>
      <w:r w:rsidRPr="003E3038">
        <w:t xml:space="preserve"> del país. Los fallos relacionados con esos casos dieron lugar a condenas firmes de prisión, medidas cautelares, multas y reparación civil a las víctimas.</w:t>
      </w:r>
    </w:p>
    <w:p w:rsidR="003E3038" w:rsidRPr="003E3038" w:rsidRDefault="003E3038" w:rsidP="003E3038">
      <w:pPr>
        <w:pStyle w:val="SingleTxtG"/>
      </w:pPr>
      <w:r w:rsidRPr="003E3038">
        <w:t>147.</w:t>
      </w:r>
      <w:r w:rsidRPr="003E3038">
        <w:tab/>
        <w:t xml:space="preserve">Se organizaron varias sesiones de capacitación para los jueces, auxiliares de la administración de justicia y abogados sobre la legislación contra la esclavitud. Se crearon tribunales especiales dedicados a la lucha contra las prácticas análogas a la esclavitud y se impartió formación especializada a sus jueces. </w:t>
      </w:r>
    </w:p>
    <w:p w:rsidR="003E3038" w:rsidRPr="003E3038" w:rsidRDefault="003E3038" w:rsidP="005D5DC0">
      <w:pPr>
        <w:pStyle w:val="H1G"/>
      </w:pPr>
      <w:r w:rsidRPr="003E3038">
        <w:lastRenderedPageBreak/>
        <w:tab/>
      </w:r>
      <w:r w:rsidR="005D5DC0">
        <w:tab/>
      </w:r>
      <w:r w:rsidRPr="003E3038">
        <w:t>Artículo 7</w:t>
      </w:r>
    </w:p>
    <w:p w:rsidR="003E3038" w:rsidRPr="003E3038" w:rsidRDefault="003E3038" w:rsidP="003E3038">
      <w:pPr>
        <w:pStyle w:val="SingleTxtG"/>
      </w:pPr>
      <w:r w:rsidRPr="003E3038">
        <w:t>148.</w:t>
      </w:r>
      <w:r w:rsidRPr="003E3038">
        <w:tab/>
        <w:t xml:space="preserve">Mauritania ha iniciado la tramitación de un proyecto de ley en cuyas disposiciones se prohíben todas las formas de discriminación mediante la incorporación de una definición apropiada de los delitos de carácter racista. </w:t>
      </w:r>
    </w:p>
    <w:p w:rsidR="003E3038" w:rsidRPr="003E3038" w:rsidRDefault="003E3038" w:rsidP="003E3038">
      <w:pPr>
        <w:pStyle w:val="SingleTxtG"/>
      </w:pPr>
      <w:r w:rsidRPr="003E3038">
        <w:t>149.</w:t>
      </w:r>
      <w:r w:rsidRPr="003E3038">
        <w:tab/>
        <w:t>Desde el punto de vista económico, la reducción de las desigualdades, el reparto equitativo de los recursos nacionales y la participación de todos los ciudadanos en la gestión pública contribuyen a fortalecer la cohesión social.</w:t>
      </w:r>
    </w:p>
    <w:p w:rsidR="003E3038" w:rsidRPr="003E3038" w:rsidRDefault="003E3038" w:rsidP="003E3038">
      <w:pPr>
        <w:pStyle w:val="SingleTxtG"/>
      </w:pPr>
      <w:r w:rsidRPr="003E3038">
        <w:t>150.</w:t>
      </w:r>
      <w:r w:rsidRPr="003E3038">
        <w:tab/>
        <w:t>Desde el punto de vista social, se han adoptado medidas adecuadas para promover los derechos de las mujeres, los niños, las personas con discapacidad y las personas de edad.</w:t>
      </w:r>
    </w:p>
    <w:p w:rsidR="003E3038" w:rsidRPr="003E3038" w:rsidRDefault="003E3038" w:rsidP="003E3038">
      <w:pPr>
        <w:pStyle w:val="SingleTxtG"/>
      </w:pPr>
      <w:r w:rsidRPr="003E3038">
        <w:t>151.</w:t>
      </w:r>
      <w:r w:rsidRPr="003E3038">
        <w:tab/>
        <w:t xml:space="preserve">En cuanto a los migrantes, una estrategia nacional de gestión de la migración ha contribuido a organizar la acogida y el respeto del derecho de asilo. </w:t>
      </w:r>
    </w:p>
    <w:p w:rsidR="003E3038" w:rsidRPr="003E3038" w:rsidRDefault="003E3038" w:rsidP="003E3038">
      <w:pPr>
        <w:pStyle w:val="SingleTxtG"/>
      </w:pPr>
      <w:r w:rsidRPr="003E3038">
        <w:t>152.</w:t>
      </w:r>
      <w:r w:rsidRPr="003E3038">
        <w:tab/>
        <w:t xml:space="preserve">Se han movilizado recursos financieros para llevar a cabo esas actividades, cuyo seguimiento y evaluación corre a cargo de la Comisión Nacional de Derechos Humanos. </w:t>
      </w:r>
    </w:p>
    <w:p w:rsidR="003E3038" w:rsidRPr="003E3038" w:rsidRDefault="003E3038" w:rsidP="003E3038">
      <w:pPr>
        <w:pStyle w:val="SingleTxtG"/>
      </w:pPr>
      <w:r w:rsidRPr="003E3038">
        <w:t>153.</w:t>
      </w:r>
      <w:r w:rsidRPr="003E3038">
        <w:tab/>
        <w:t>Los interlocutores sociales participan en la promoción y aplicación de las disposiciones nacionales e internacionales de lucha contra la discriminación en el trabajo y el empleo al tiempo que garantizan los derechos de los trabajadores extranjeros y los migrantes.</w:t>
      </w:r>
    </w:p>
    <w:p w:rsidR="003E3038" w:rsidRPr="003E3038" w:rsidRDefault="003E3038" w:rsidP="003E3038">
      <w:pPr>
        <w:pStyle w:val="SingleTxtG"/>
      </w:pPr>
      <w:r w:rsidRPr="003E3038">
        <w:t>154.</w:t>
      </w:r>
      <w:r w:rsidRPr="003E3038">
        <w:tab/>
        <w:t>Mediante las políticas socioeconómicas se combaten las desigualdades gracias a un crecimiento acelerado y una prosperidad compartida.</w:t>
      </w:r>
    </w:p>
    <w:p w:rsidR="003E3038" w:rsidRPr="003E3038" w:rsidRDefault="003E3038" w:rsidP="003E3038">
      <w:pPr>
        <w:pStyle w:val="SingleTxtG"/>
      </w:pPr>
      <w:r w:rsidRPr="003E3038">
        <w:t>155.</w:t>
      </w:r>
      <w:r w:rsidRPr="003E3038">
        <w:tab/>
        <w:t xml:space="preserve">El Organismo </w:t>
      </w:r>
      <w:r w:rsidR="00734DBC">
        <w:t>“</w:t>
      </w:r>
      <w:r w:rsidRPr="003E3038">
        <w:t>TADAMOUN</w:t>
      </w:r>
      <w:r w:rsidR="00734DBC">
        <w:t>”</w:t>
      </w:r>
      <w:r w:rsidRPr="003E3038">
        <w:t xml:space="preserve"> se encarga de la reintegración de los repatriados. El plan de acción de la hoja de ruta para la erradicación de las formas contemporáneas de esclavitud se centra en las bolsas de pobreza. También contribuye a que las víctimas superen las secuelas y se alejen de esas formas de esclavitud. </w:t>
      </w:r>
    </w:p>
    <w:p w:rsidR="003E3038" w:rsidRPr="003E3038" w:rsidRDefault="003E3038" w:rsidP="003E3038">
      <w:pPr>
        <w:pStyle w:val="SingleTxtG"/>
      </w:pPr>
      <w:r w:rsidRPr="003E3038">
        <w:t>156.</w:t>
      </w:r>
      <w:r w:rsidRPr="003E3038">
        <w:tab/>
        <w:t>La educación básica y la enseñanza tradicional también contribuyen a la lucha contra la discriminación y las formas contemporáneas de la esclavitud.</w:t>
      </w:r>
    </w:p>
    <w:p w:rsidR="003E3038" w:rsidRPr="003E3038" w:rsidRDefault="003E3038" w:rsidP="003E3038">
      <w:pPr>
        <w:pStyle w:val="SingleTxtG"/>
      </w:pPr>
      <w:r w:rsidRPr="003E3038">
        <w:t>157.</w:t>
      </w:r>
      <w:r w:rsidRPr="003E3038">
        <w:tab/>
        <w:t>Los asociados para el desarrollo apoyan ese proceso aportando sus conocimientos especializados y el apoyo financiero y participan en su supervisión y evaluación.</w:t>
      </w:r>
    </w:p>
    <w:p w:rsidR="003E3038" w:rsidRPr="003E3038" w:rsidRDefault="003E3038" w:rsidP="003E3038">
      <w:pPr>
        <w:pStyle w:val="SingleTxtG"/>
      </w:pPr>
      <w:r w:rsidRPr="003E3038">
        <w:t>158.</w:t>
      </w:r>
      <w:r w:rsidRPr="003E3038">
        <w:tab/>
        <w:t>Mauritania ha experimentado una evolución constante en la promoción de la libertad de prensa y de expresión.</w:t>
      </w:r>
    </w:p>
    <w:p w:rsidR="003E3038" w:rsidRPr="003E3038" w:rsidRDefault="003E3038" w:rsidP="003E3038">
      <w:pPr>
        <w:pStyle w:val="SingleTxtG"/>
      </w:pPr>
      <w:r w:rsidRPr="003E3038">
        <w:t>159.</w:t>
      </w:r>
      <w:r w:rsidRPr="003E3038">
        <w:tab/>
        <w:t>El país se ha situado a la vanguardia del mundo árabe en materia de libertad de prensa y ocupa el puesto número 60 a nivel mundial. Ningún medio de comunicación ha sido objeto de medidas de presión o de prohibición.</w:t>
      </w:r>
    </w:p>
    <w:p w:rsidR="003E3038" w:rsidRPr="003E3038" w:rsidRDefault="003E3038" w:rsidP="003E3038">
      <w:pPr>
        <w:pStyle w:val="SingleTxtG"/>
      </w:pPr>
      <w:r w:rsidRPr="003E3038">
        <w:t>160.</w:t>
      </w:r>
      <w:r w:rsidRPr="003E3038">
        <w:tab/>
        <w:t xml:space="preserve">En la ordenanza sobre la libertad de prensa se dispone que </w:t>
      </w:r>
      <w:r w:rsidR="00734DBC">
        <w:t>“</w:t>
      </w:r>
      <w:r w:rsidRPr="003E3038">
        <w:t>el derecho a la información y la libertad de prensa, corolarios de la libertad de expresión, son derechos inalienables de los ciudadanos</w:t>
      </w:r>
      <w:r w:rsidR="00734DBC">
        <w:t>”</w:t>
      </w:r>
      <w:r w:rsidRPr="003E3038">
        <w:t>. Esas disposiciones se han traducido en políticas públicas que afianzan la libertad de la prensa y garantizan su independencia y el pluralismo en la expresión a través de los medios de comunicación.</w:t>
      </w:r>
    </w:p>
    <w:p w:rsidR="003E3038" w:rsidRPr="003E3038" w:rsidRDefault="003E3038" w:rsidP="003E3038">
      <w:pPr>
        <w:pStyle w:val="SingleTxtG"/>
      </w:pPr>
      <w:r w:rsidRPr="003E3038">
        <w:t>161.</w:t>
      </w:r>
      <w:r w:rsidRPr="003E3038">
        <w:tab/>
        <w:t xml:space="preserve">En virtud de la Ley de Liberalización de los Medios Audiovisuales se establecieron el pluralismo y la diversidad política, cultural, lingüística y geográfica a través de los medios de comunicación. La despenalización de los delitos de prensa ha puesto fin al encarcelamiento de periodistas. También se ha previsto una ayuda pública con carácter anual para la prensa privada, en particular para las empresas que contribuyen de manera eficaz a la información pública. Se aprobó un decreto por el que se organizaba la acreditación de la prensa y se establecía la identidad profesional de los periodistas. </w:t>
      </w:r>
    </w:p>
    <w:p w:rsidR="003E3038" w:rsidRPr="003E3038" w:rsidRDefault="003E3038" w:rsidP="003E3038">
      <w:pPr>
        <w:pStyle w:val="SingleTxtG"/>
      </w:pPr>
      <w:r w:rsidRPr="003E3038">
        <w:t>162.</w:t>
      </w:r>
      <w:r w:rsidRPr="003E3038">
        <w:tab/>
        <w:t xml:space="preserve">Los medios de comunicación oficiales se han transformado en un servicio público. Se ha creado la Sociedad de Televisión de Mauritania para garantizar la difusión de la información en todo el territorio nacional. </w:t>
      </w:r>
    </w:p>
    <w:p w:rsidR="003E3038" w:rsidRPr="003E3038" w:rsidRDefault="003E3038" w:rsidP="003E3038">
      <w:pPr>
        <w:pStyle w:val="SingleTxtG"/>
      </w:pPr>
      <w:r w:rsidRPr="003E3038">
        <w:t>163.</w:t>
      </w:r>
      <w:r w:rsidRPr="003E3038">
        <w:tab/>
        <w:t xml:space="preserve">El Estado ha creado la Autoridad Superior de la Prensa y el Sector Audiovisual que garantiza el respeto de la ley, la independencia y la libertad de información y </w:t>
      </w:r>
      <w:r w:rsidRPr="003E3038">
        <w:lastRenderedPageBreak/>
        <w:t>comunicación. El Gobierno considera a la prensa como un asociado indispensable para la promoción y protección de los derechos humanos.</w:t>
      </w:r>
    </w:p>
    <w:p w:rsidR="003E3038" w:rsidRPr="003E3038" w:rsidRDefault="003E3038" w:rsidP="003E3038">
      <w:pPr>
        <w:pStyle w:val="SingleTxtG"/>
      </w:pPr>
      <w:r w:rsidRPr="003E3038">
        <w:t>164.</w:t>
      </w:r>
      <w:r w:rsidRPr="003E3038">
        <w:tab/>
        <w:t>Ese entorno propicio para la libertad de prensa ha permitido dinamizar el panorama mediático. Radio-Mauritania se transformó en una sociedad anónima de servicio público con difusión nacional e internacional.</w:t>
      </w:r>
    </w:p>
    <w:p w:rsidR="003E3038" w:rsidRPr="003E3038" w:rsidRDefault="003E3038" w:rsidP="003E3038">
      <w:pPr>
        <w:pStyle w:val="SingleTxtG"/>
      </w:pPr>
      <w:r w:rsidRPr="003E3038">
        <w:t>165.</w:t>
      </w:r>
      <w:r w:rsidRPr="003E3038">
        <w:tab/>
        <w:t>Trece emisoras regionales de radio ofrecen información de servicio público. La Radio FM jeunesse Nouakchott, la Radio du Saint Coran y la TV Mahadra completan ese panorama.</w:t>
      </w:r>
    </w:p>
    <w:p w:rsidR="003E3038" w:rsidRPr="003E3038" w:rsidRDefault="003E3038" w:rsidP="003E3038">
      <w:pPr>
        <w:pStyle w:val="SingleTxtG"/>
      </w:pPr>
      <w:r w:rsidRPr="003E3038">
        <w:t>166.</w:t>
      </w:r>
      <w:r w:rsidRPr="003E3038">
        <w:tab/>
        <w:t xml:space="preserve">La Televisión de Mauritania (TVM) se ha transformado en una sociedad anónima de servicio público y sigue ocupando el primer puesto a escala nacional. TVM plus es la segunda cadena, que ofrece programas orientados a la diversidad lingüística y cultural y la juventud. </w:t>
      </w:r>
    </w:p>
    <w:p w:rsidR="003E3038" w:rsidRPr="003E3038" w:rsidRDefault="003E3038" w:rsidP="003E3038">
      <w:pPr>
        <w:pStyle w:val="SingleTxtG"/>
      </w:pPr>
      <w:r w:rsidRPr="003E3038">
        <w:t>167.</w:t>
      </w:r>
      <w:r w:rsidRPr="003E3038">
        <w:tab/>
        <w:t>Las cadenas privadas de radio y televisión estimulan la competencia entre los medios de comunicación. Existen cinco emisoras de radio privadas: Mauritania FM, Radio Nouakchott, Radio Tenwir, Radio Kobenni y Radio Saharamédia. Cinco canales de televisión privados cumplen la misma función en</w:t>
      </w:r>
      <w:r w:rsidR="001F3DFA">
        <w:t xml:space="preserve"> lo que respecta a la difusión.</w:t>
      </w:r>
    </w:p>
    <w:p w:rsidR="003E3038" w:rsidRPr="003E3038" w:rsidRDefault="003E3038" w:rsidP="003E3038">
      <w:pPr>
        <w:pStyle w:val="SingleTxtG"/>
      </w:pPr>
      <w:r w:rsidRPr="003E3038">
        <w:t>168.</w:t>
      </w:r>
      <w:r w:rsidRPr="003E3038">
        <w:tab/>
        <w:t>Los canales mencionados son Chinguitty TV, Almourabitoune TV, Sahel TV, Alwatania TV y Dava TV. Cientos de publicaciones (diarios, semanarios, publicaciones mensuales, periódicos, etc.) y sitios electrónicos completan el panorama de los medios de comunicación.</w:t>
      </w:r>
    </w:p>
    <w:p w:rsidR="003E3038" w:rsidRPr="003E3038" w:rsidRDefault="003E3038" w:rsidP="003E3038">
      <w:pPr>
        <w:pStyle w:val="SingleTxtG"/>
      </w:pPr>
      <w:r w:rsidRPr="003E3038">
        <w:t>169.</w:t>
      </w:r>
      <w:r w:rsidRPr="003E3038">
        <w:tab/>
        <w:t>Las asociaciones se rigen por la Ley núm. 64098, de 9 de junio 196</w:t>
      </w:r>
      <w:r w:rsidR="001F3DFA">
        <w:t>4, modificada por la Ley núm.73</w:t>
      </w:r>
      <w:r w:rsidRPr="003E3038">
        <w:t xml:space="preserve">007, de 23 de junio de 1973, y la Ley núm. 73157, de 2 de julio de 1973. En esos instrumentos legislativos se establece un sistema de autorización para las asociaciones y asigna esa competencia al Ministerio del Interior. </w:t>
      </w:r>
    </w:p>
    <w:p w:rsidR="003E3038" w:rsidRPr="003E3038" w:rsidRDefault="003E3038" w:rsidP="003E3038">
      <w:pPr>
        <w:pStyle w:val="SingleTxtG"/>
      </w:pPr>
      <w:r w:rsidRPr="003E3038">
        <w:t>170.</w:t>
      </w:r>
      <w:r w:rsidRPr="003E3038">
        <w:tab/>
        <w:t>En el ámbito educativo, las reformas adecuadas y una formación adaptada hacen que hoy en día la escuela sea un verdadero espacio de integración de los alumnos y estudiantes gracias a la promoción de la educación cívica, la ciudadanía y el patriotismo.</w:t>
      </w:r>
    </w:p>
    <w:p w:rsidR="003E3038" w:rsidRPr="003E3038" w:rsidRDefault="003E3038" w:rsidP="003E3038">
      <w:pPr>
        <w:pStyle w:val="SingleTxtG"/>
      </w:pPr>
      <w:r w:rsidRPr="003E3038">
        <w:t>171.</w:t>
      </w:r>
      <w:r w:rsidRPr="003E3038">
        <w:tab/>
        <w:t xml:space="preserve">Todos los ciudadanos tienen garantizado el derecho a la educación. Ese derecho se ejerce mediante el acceso a la educación y la asistencia a centros de enseñanza públicos y privados. La escuela es el marco para la creación, transmisión, construcción y desarrollo de los conocimientos. </w:t>
      </w:r>
    </w:p>
    <w:p w:rsidR="003E3038" w:rsidRPr="003E3038" w:rsidRDefault="003E3038" w:rsidP="003E3038">
      <w:pPr>
        <w:pStyle w:val="SingleTxtG"/>
      </w:pPr>
      <w:r w:rsidRPr="003E3038">
        <w:t>172.</w:t>
      </w:r>
      <w:r w:rsidRPr="003E3038">
        <w:tab/>
        <w:t xml:space="preserve">En ese sentido, su misión es educar, instruir, escolarizar y capacitar a las mujeres y los hombres para que puedan desarrollar su vida personal y colectiva, cívica y profesional. La educación es obligatoria en las condiciones que determina la ley. La educación pública es gratuita. </w:t>
      </w:r>
    </w:p>
    <w:p w:rsidR="003E3038" w:rsidRPr="003E3038" w:rsidRDefault="003E3038" w:rsidP="003E3038">
      <w:pPr>
        <w:pStyle w:val="SingleTxtG"/>
      </w:pPr>
      <w:r w:rsidRPr="003E3038">
        <w:t>173.</w:t>
      </w:r>
      <w:r w:rsidRPr="003E3038">
        <w:tab/>
        <w:t xml:space="preserve">Se reconoce la enseñanza privada, que se imparte en las condiciones que establece la ley. Los esfuerzos realizados desde el inicio de la aplicación del Programa Nacional de Desarrollo del Sector Educativo han contribuido a mejorar ese derecho inalienable. </w:t>
      </w:r>
    </w:p>
    <w:p w:rsidR="003E3038" w:rsidRPr="003E3038" w:rsidRDefault="003E3038" w:rsidP="003E3038">
      <w:pPr>
        <w:pStyle w:val="SingleTxtG"/>
      </w:pPr>
      <w:r w:rsidRPr="003E3038">
        <w:t>174.</w:t>
      </w:r>
      <w:r w:rsidRPr="003E3038">
        <w:tab/>
        <w:t>Los poderes públicos se han comprometido a que todos los niños y niñas dispongan de los medios necesarios para concluir un ciclo completo de estudios primarios. La tasa neta de escolarización ha alcanzado prácticamente el 85% y la proporción de alumnos que comienzan el primer curso de la educación primaria y llegan</w:t>
      </w:r>
      <w:r w:rsidR="001F3DFA">
        <w:t xml:space="preserve"> hasta el último fue del 81% en </w:t>
      </w:r>
      <w:r w:rsidRPr="003E3038">
        <w:t>2015.</w:t>
      </w:r>
    </w:p>
    <w:p w:rsidR="003E3038" w:rsidRPr="003E3038" w:rsidRDefault="003E3038" w:rsidP="003E3038">
      <w:pPr>
        <w:pStyle w:val="SingleTxtG"/>
      </w:pPr>
      <w:r w:rsidRPr="003E3038">
        <w:t>175.</w:t>
      </w:r>
      <w:r w:rsidRPr="003E3038">
        <w:tab/>
        <w:t>En el mismo período, la oferta de la educación secundaria también se ha desarrollado de manera significativa. El número de alumnos pasó de un total de 104.682 en el curso académico 2008/09 a 171.265 en el 2012/13, es decir, un aumento del 56% y una progresión anual media en ese período del 13%.</w:t>
      </w:r>
    </w:p>
    <w:p w:rsidR="003E3038" w:rsidRPr="003E3038" w:rsidRDefault="003E3038" w:rsidP="003E3038">
      <w:pPr>
        <w:pStyle w:val="SingleTxtG"/>
      </w:pPr>
      <w:r w:rsidRPr="003E3038">
        <w:t>176.</w:t>
      </w:r>
      <w:r w:rsidRPr="003E3038">
        <w:tab/>
        <w:t>En la enseñanza superior se han hecho esfuerzos considerables en el marco de la diversificación, la ampliación y la profesionalización de la oferta.</w:t>
      </w:r>
    </w:p>
    <w:p w:rsidR="003E3038" w:rsidRPr="003E3038" w:rsidRDefault="003E3038" w:rsidP="003E3038">
      <w:pPr>
        <w:pStyle w:val="SingleTxtG"/>
      </w:pPr>
      <w:r w:rsidRPr="003E3038">
        <w:t>177.</w:t>
      </w:r>
      <w:r w:rsidRPr="003E3038">
        <w:tab/>
        <w:t xml:space="preserve"> Se han creado nuevas especialidades en los diferentes centros de educación superior y la oferta de cursos de máster ha aumentado en consecuencia. La puesta en marcha del </w:t>
      </w:r>
      <w:r w:rsidRPr="003E3038">
        <w:lastRenderedPageBreak/>
        <w:t>nuevo campus universitario contribuirá sin duda a mejorar el desempeño y la eficacia del sistema.</w:t>
      </w:r>
    </w:p>
    <w:p w:rsidR="003E3038" w:rsidRPr="003E3038" w:rsidRDefault="003E3038" w:rsidP="003E3038">
      <w:pPr>
        <w:pStyle w:val="SingleTxtG"/>
      </w:pPr>
      <w:r w:rsidRPr="003E3038">
        <w:t>178.</w:t>
      </w:r>
      <w:r w:rsidRPr="003E3038">
        <w:tab/>
        <w:t xml:space="preserve">Mediante el Programa Zonas de Educación Prioritarias se ha logrado reducir las diferencias relacionadas con el género, el medio y las condiciones socioeconómicas y se ha facilitado que los niños que viven en los entornos más desfavorecidos (las </w:t>
      </w:r>
      <w:r w:rsidRPr="003E3038">
        <w:rPr>
          <w:i/>
          <w:iCs/>
        </w:rPr>
        <w:t>adwabas</w:t>
      </w:r>
      <w:r w:rsidRPr="003E3038">
        <w:t xml:space="preserve">) se beneficien de las mismas condiciones de escolarización que los demás alumnos. </w:t>
      </w:r>
    </w:p>
    <w:p w:rsidR="003E3038" w:rsidRPr="003E3038" w:rsidRDefault="003E3038" w:rsidP="003E3038">
      <w:pPr>
        <w:pStyle w:val="SingleTxtG"/>
      </w:pPr>
      <w:r w:rsidRPr="003E3038">
        <w:t>179.</w:t>
      </w:r>
      <w:r w:rsidRPr="003E3038">
        <w:tab/>
        <w:t xml:space="preserve">En cuanto al género, en el marco del Programa Nacional de Desarrollo del Sector Educativo se han adoptado medidas especiales en favor de la escolarización y la permanencia de las niñas en el sistema mediante la reducción de los obstáculos a los que se enfrentan durante su etapa educativa. </w:t>
      </w:r>
    </w:p>
    <w:p w:rsidR="003E3038" w:rsidRPr="003E3038" w:rsidRDefault="003E3038" w:rsidP="003E3038">
      <w:pPr>
        <w:pStyle w:val="SingleTxtG"/>
      </w:pPr>
      <w:r w:rsidRPr="003E3038">
        <w:t>180.</w:t>
      </w:r>
      <w:r w:rsidRPr="003E3038">
        <w:tab/>
        <w:t xml:space="preserve">En cuanto a la salud escolar, la estrategia en que enmarca ese Programa ha facilitado el fortalecimiento de las asociaciones entre los sectores educativo, sanitario y medioambiental, con el fin de que los alumnos se familiaricen con las principales cuestiones relativas a su integración cívica y social, la preservación de la salud y la conservación del medio ambiente en todas las etapas de la educación. </w:t>
      </w:r>
    </w:p>
    <w:p w:rsidR="003E3038" w:rsidRPr="003E3038" w:rsidRDefault="003E3038" w:rsidP="003E3038">
      <w:pPr>
        <w:pStyle w:val="SingleTxtG"/>
      </w:pPr>
      <w:r w:rsidRPr="003E3038">
        <w:t>181.</w:t>
      </w:r>
      <w:r w:rsidRPr="003E3038">
        <w:tab/>
        <w:t xml:space="preserve">La Constitución consagra el árabe, el </w:t>
      </w:r>
      <w:r w:rsidRPr="003E3038">
        <w:rPr>
          <w:i/>
        </w:rPr>
        <w:t>pulaar</w:t>
      </w:r>
      <w:r w:rsidRPr="003E3038">
        <w:t xml:space="preserve">, el </w:t>
      </w:r>
      <w:r w:rsidRPr="003E3038">
        <w:rPr>
          <w:i/>
        </w:rPr>
        <w:t>soninké</w:t>
      </w:r>
      <w:r w:rsidRPr="003E3038">
        <w:t xml:space="preserve"> y el </w:t>
      </w:r>
      <w:r w:rsidRPr="003E3038">
        <w:rPr>
          <w:i/>
        </w:rPr>
        <w:t>wolof</w:t>
      </w:r>
      <w:r w:rsidRPr="003E3038">
        <w:t xml:space="preserve"> como lenguas nacionales. Se ha creado un instituto nacional, dependiente de la Universidad, encargado de promover la escritura y la enseñanza de las lenguas nacionales. Los medios de comunicación oficiales y privados (radio y televisión) deben emitir espacios en las diferentes lenguas nacionales.</w:t>
      </w:r>
    </w:p>
    <w:p w:rsidR="003E3038" w:rsidRPr="003E3038" w:rsidRDefault="003E3038" w:rsidP="003E3038">
      <w:pPr>
        <w:pStyle w:val="SingleTxtG"/>
      </w:pPr>
      <w:r w:rsidRPr="003E3038">
        <w:t>182.</w:t>
      </w:r>
      <w:r w:rsidRPr="003E3038">
        <w:tab/>
        <w:t>Las estructuras de enseñanza privada ofrecen multitud de opciones a los padres, según el tipo de educación que deseen para sus hijos.</w:t>
      </w:r>
    </w:p>
    <w:p w:rsidR="003E3038" w:rsidRPr="003E3038" w:rsidRDefault="003E3038" w:rsidP="003E3038">
      <w:pPr>
        <w:pStyle w:val="SingleTxtG"/>
      </w:pPr>
      <w:r w:rsidRPr="003E3038">
        <w:t>183.</w:t>
      </w:r>
      <w:r w:rsidRPr="003E3038">
        <w:tab/>
        <w:t xml:space="preserve">Mauritania, orgullosa de su diversidad cultural y lingüística, vela por la preservación y la promoción de sus lenguas nacionales y su patrimonio cultural. </w:t>
      </w:r>
    </w:p>
    <w:p w:rsidR="003E3038" w:rsidRPr="003E3038" w:rsidRDefault="00BD0C12" w:rsidP="00BD0C12">
      <w:pPr>
        <w:pStyle w:val="H1G"/>
      </w:pPr>
      <w:r>
        <w:tab/>
      </w:r>
      <w:r w:rsidR="003E3038" w:rsidRPr="003E3038">
        <w:tab/>
        <w:t xml:space="preserve">Conclusión </w:t>
      </w:r>
    </w:p>
    <w:p w:rsidR="003E3038" w:rsidRPr="003E3038" w:rsidRDefault="003E3038" w:rsidP="003E3038">
      <w:pPr>
        <w:pStyle w:val="SingleTxtG"/>
      </w:pPr>
      <w:r w:rsidRPr="003E3038">
        <w:t>184.</w:t>
      </w:r>
      <w:r w:rsidRPr="003E3038">
        <w:tab/>
        <w:t xml:space="preserve">El Gobierno de la República Islámica de Mauritania reitera su compromiso con la aplicación de las disposiciones de la Convención Internacional sobre la Eliminación de Todas las Formas de Discriminación Racial y mantiene su disposición a entablar un diálogo constructivo con el Comité a fin de superar las deficiencias en la aplicación de ese instrumento que ha suscrito. </w:t>
      </w:r>
    </w:p>
    <w:p w:rsidR="003E3038" w:rsidRPr="003E3038" w:rsidRDefault="003E3038" w:rsidP="003E3038">
      <w:pPr>
        <w:pStyle w:val="SingleTxtG"/>
        <w:rPr>
          <w:b/>
          <w:u w:val="single"/>
        </w:rPr>
      </w:pPr>
      <w:r w:rsidRPr="003E3038">
        <w:t>185.</w:t>
      </w:r>
      <w:r w:rsidRPr="003E3038">
        <w:tab/>
        <w:t>Mauritania aprovecha la oportunidad para expresar su agradecimiento a todos sus asociados, que han apoyado la aplicación de sus políticas de lucha contra todas las formas de discriminación.</w:t>
      </w:r>
    </w:p>
    <w:p w:rsidR="003E3038" w:rsidRPr="005D5DC0" w:rsidRDefault="005D5DC0" w:rsidP="005D5DC0">
      <w:pPr>
        <w:pStyle w:val="SingleTxtG"/>
        <w:suppressAutoHyphens/>
        <w:spacing w:before="240" w:after="0"/>
        <w:jc w:val="center"/>
        <w:rPr>
          <w:u w:val="single"/>
        </w:rPr>
      </w:pPr>
      <w:r>
        <w:rPr>
          <w:u w:val="single"/>
        </w:rPr>
        <w:tab/>
      </w:r>
      <w:r>
        <w:rPr>
          <w:u w:val="single"/>
        </w:rPr>
        <w:tab/>
      </w:r>
      <w:r>
        <w:rPr>
          <w:u w:val="single"/>
        </w:rPr>
        <w:tab/>
      </w:r>
    </w:p>
    <w:sectPr w:rsidR="003E3038" w:rsidRPr="005D5DC0" w:rsidSect="003E303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F4D" w:rsidRPr="00D43FF0" w:rsidRDefault="00471F4D" w:rsidP="00D43FF0">
      <w:pPr>
        <w:pStyle w:val="Piedepgina"/>
      </w:pPr>
    </w:p>
  </w:endnote>
  <w:endnote w:type="continuationSeparator" w:id="0">
    <w:p w:rsidR="00471F4D" w:rsidRPr="00D43FF0" w:rsidRDefault="00471F4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F4D" w:rsidRPr="003E3038" w:rsidRDefault="00471F4D" w:rsidP="003E3038">
    <w:pPr>
      <w:pStyle w:val="Piedepgina"/>
      <w:tabs>
        <w:tab w:val="right" w:pos="9638"/>
      </w:tabs>
    </w:pPr>
    <w:r w:rsidRPr="003E3038">
      <w:rPr>
        <w:b/>
        <w:sz w:val="18"/>
      </w:rPr>
      <w:fldChar w:fldCharType="begin"/>
    </w:r>
    <w:r w:rsidRPr="003E3038">
      <w:rPr>
        <w:b/>
        <w:sz w:val="18"/>
      </w:rPr>
      <w:instrText xml:space="preserve"> PAGE  \* MERGEFORMAT </w:instrText>
    </w:r>
    <w:r w:rsidRPr="003E3038">
      <w:rPr>
        <w:b/>
        <w:sz w:val="18"/>
      </w:rPr>
      <w:fldChar w:fldCharType="separate"/>
    </w:r>
    <w:r w:rsidR="00723660">
      <w:rPr>
        <w:b/>
        <w:noProof/>
        <w:sz w:val="18"/>
      </w:rPr>
      <w:t>2</w:t>
    </w:r>
    <w:r w:rsidRPr="003E3038">
      <w:rPr>
        <w:b/>
        <w:sz w:val="18"/>
      </w:rPr>
      <w:fldChar w:fldCharType="end"/>
    </w:r>
    <w:r>
      <w:rPr>
        <w:b/>
        <w:sz w:val="18"/>
      </w:rPr>
      <w:tab/>
    </w:r>
    <w:r>
      <w:t>GE.17-02680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F4D" w:rsidRPr="003E3038" w:rsidRDefault="00471F4D" w:rsidP="003E3038">
    <w:pPr>
      <w:pStyle w:val="Piedepgina"/>
      <w:tabs>
        <w:tab w:val="right" w:pos="9638"/>
      </w:tabs>
      <w:rPr>
        <w:b/>
        <w:sz w:val="18"/>
      </w:rPr>
    </w:pPr>
    <w:r>
      <w:t>GE.17-02680</w:t>
    </w:r>
    <w:r>
      <w:tab/>
    </w:r>
    <w:r w:rsidRPr="003E3038">
      <w:rPr>
        <w:b/>
        <w:sz w:val="18"/>
      </w:rPr>
      <w:fldChar w:fldCharType="begin"/>
    </w:r>
    <w:r w:rsidRPr="003E3038">
      <w:rPr>
        <w:b/>
        <w:sz w:val="18"/>
      </w:rPr>
      <w:instrText xml:space="preserve"> PAGE  \* MERGEFORMAT </w:instrText>
    </w:r>
    <w:r w:rsidRPr="003E3038">
      <w:rPr>
        <w:b/>
        <w:sz w:val="18"/>
      </w:rPr>
      <w:fldChar w:fldCharType="separate"/>
    </w:r>
    <w:r w:rsidR="00723660">
      <w:rPr>
        <w:b/>
        <w:noProof/>
        <w:sz w:val="18"/>
      </w:rPr>
      <w:t>3</w:t>
    </w:r>
    <w:r w:rsidRPr="003E3038">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F4D" w:rsidRPr="003E3038" w:rsidRDefault="00471F4D" w:rsidP="003E3038">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17-02680  (S)    060417    1</w:t>
    </w:r>
    <w:r w:rsidR="00EE3748">
      <w:rPr>
        <w:sz w:val="20"/>
      </w:rPr>
      <w:t>2</w:t>
    </w:r>
    <w:r>
      <w:rPr>
        <w:sz w:val="20"/>
      </w:rPr>
      <w:t>0417</w:t>
    </w:r>
    <w:r>
      <w:rPr>
        <w:sz w:val="20"/>
      </w:rPr>
      <w:br/>
    </w:r>
    <w:r w:rsidRPr="003E3038">
      <w:rPr>
        <w:rFonts w:ascii="C39T30Lfz" w:hAnsi="C39T30Lfz"/>
        <w:sz w:val="56"/>
      </w:rPr>
      <w:t></w:t>
    </w:r>
    <w:r w:rsidRPr="003E3038">
      <w:rPr>
        <w:rFonts w:ascii="C39T30Lfz" w:hAnsi="C39T30Lfz"/>
        <w:sz w:val="56"/>
      </w:rPr>
      <w:t></w:t>
    </w:r>
    <w:r w:rsidRPr="003E3038">
      <w:rPr>
        <w:rFonts w:ascii="C39T30Lfz" w:hAnsi="C39T30Lfz"/>
        <w:sz w:val="56"/>
      </w:rPr>
      <w:t></w:t>
    </w:r>
    <w:r w:rsidRPr="003E3038">
      <w:rPr>
        <w:rFonts w:ascii="C39T30Lfz" w:hAnsi="C39T30Lfz"/>
        <w:sz w:val="56"/>
      </w:rPr>
      <w:t></w:t>
    </w:r>
    <w:r w:rsidRPr="003E3038">
      <w:rPr>
        <w:rFonts w:ascii="C39T30Lfz" w:hAnsi="C39T30Lfz"/>
        <w:sz w:val="56"/>
      </w:rPr>
      <w:t></w:t>
    </w:r>
    <w:r w:rsidRPr="003E3038">
      <w:rPr>
        <w:rFonts w:ascii="C39T30Lfz" w:hAnsi="C39T30Lfz"/>
        <w:sz w:val="56"/>
      </w:rPr>
      <w:t></w:t>
    </w:r>
    <w:r w:rsidRPr="003E3038">
      <w:rPr>
        <w:rFonts w:ascii="C39T30Lfz" w:hAnsi="C39T30Lfz"/>
        <w:sz w:val="56"/>
      </w:rPr>
      <w:t></w:t>
    </w:r>
    <w:r w:rsidRPr="003E3038">
      <w:rPr>
        <w:rFonts w:ascii="C39T30Lfz" w:hAnsi="C39T30Lfz"/>
        <w:sz w:val="56"/>
      </w:rPr>
      <w:t></w:t>
    </w:r>
    <w:r w:rsidRPr="003E3038">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ERD/C/MRT/8-1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MRT/8-1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F4D" w:rsidRPr="001075E9" w:rsidRDefault="00471F4D" w:rsidP="001075E9">
      <w:pPr>
        <w:tabs>
          <w:tab w:val="right" w:pos="2155"/>
        </w:tabs>
        <w:spacing w:after="80" w:line="240" w:lineRule="auto"/>
        <w:ind w:left="680"/>
        <w:rPr>
          <w:u w:val="single"/>
        </w:rPr>
      </w:pPr>
      <w:r>
        <w:rPr>
          <w:u w:val="single"/>
        </w:rPr>
        <w:tab/>
      </w:r>
    </w:p>
  </w:footnote>
  <w:footnote w:type="continuationSeparator" w:id="0">
    <w:p w:rsidR="00471F4D" w:rsidRDefault="00471F4D" w:rsidP="00D43FF0">
      <w:pPr>
        <w:tabs>
          <w:tab w:val="right" w:pos="2155"/>
        </w:tabs>
        <w:spacing w:after="80" w:line="240" w:lineRule="auto"/>
        <w:ind w:left="680"/>
        <w:rPr>
          <w:u w:val="single"/>
        </w:rPr>
      </w:pPr>
      <w:r>
        <w:rPr>
          <w:u w:val="single"/>
        </w:rPr>
        <w:tab/>
      </w:r>
    </w:p>
  </w:footnote>
  <w:footnote w:id="1">
    <w:p w:rsidR="00471F4D" w:rsidRPr="00E47DE3" w:rsidRDefault="00471F4D" w:rsidP="003E3038">
      <w:pPr>
        <w:pStyle w:val="Textonotapie"/>
      </w:pPr>
      <w:r w:rsidRPr="00E47DE3">
        <w:tab/>
      </w:r>
      <w:r w:rsidRPr="003E3038">
        <w:rPr>
          <w:sz w:val="20"/>
        </w:rPr>
        <w:t>*</w:t>
      </w:r>
      <w:r w:rsidRPr="00E47DE3">
        <w:tab/>
        <w:t>El presente documento se publica sin haber sido objeto de revisión editorial oficial.</w:t>
      </w:r>
    </w:p>
  </w:footnote>
  <w:footnote w:id="2">
    <w:p w:rsidR="00471F4D" w:rsidRPr="00E47DE3" w:rsidRDefault="00471F4D" w:rsidP="003E3038">
      <w:pPr>
        <w:pStyle w:val="Textonotapie"/>
      </w:pPr>
      <w:r w:rsidRPr="00E47DE3">
        <w:tab/>
      </w:r>
      <w:r w:rsidRPr="003E3038">
        <w:rPr>
          <w:rStyle w:val="Refdenotaalpie"/>
        </w:rPr>
        <w:footnoteRef/>
      </w:r>
      <w:r w:rsidRPr="00E47DE3">
        <w:tab/>
      </w:r>
      <w:r w:rsidRPr="00611AC9">
        <w:rPr>
          <w:i/>
        </w:rPr>
        <w:t>Fuente:</w:t>
      </w:r>
      <w:r w:rsidRPr="00E47DE3">
        <w:t xml:space="preserve"> Oficina Nacional de Estadística.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F4D" w:rsidRPr="003E3038" w:rsidRDefault="000551C4">
    <w:pPr>
      <w:pStyle w:val="Encabezado"/>
    </w:pPr>
    <w:fldSimple w:instr=" TITLE  \* MERGEFORMAT ">
      <w:r w:rsidR="00723660">
        <w:t>CERD/C/MRT/8-14</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F4D" w:rsidRPr="003E3038" w:rsidRDefault="000551C4" w:rsidP="003E3038">
    <w:pPr>
      <w:pStyle w:val="Encabezado"/>
      <w:jc w:val="right"/>
    </w:pPr>
    <w:fldSimple w:instr=" TITLE  \* MERGEFORMAT ">
      <w:r w:rsidR="00723660">
        <w:t>CERD/C/MRT/8-14</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BA3"/>
    <w:rsid w:val="00006BB9"/>
    <w:rsid w:val="000107A1"/>
    <w:rsid w:val="0002339D"/>
    <w:rsid w:val="00036733"/>
    <w:rsid w:val="000410CF"/>
    <w:rsid w:val="000551C4"/>
    <w:rsid w:val="000B57E7"/>
    <w:rsid w:val="000F09DF"/>
    <w:rsid w:val="000F0F34"/>
    <w:rsid w:val="000F61B2"/>
    <w:rsid w:val="00100EA7"/>
    <w:rsid w:val="00103A93"/>
    <w:rsid w:val="001075E9"/>
    <w:rsid w:val="00133DFF"/>
    <w:rsid w:val="00145F2F"/>
    <w:rsid w:val="00160FF7"/>
    <w:rsid w:val="00180183"/>
    <w:rsid w:val="00196389"/>
    <w:rsid w:val="001C7A89"/>
    <w:rsid w:val="001F3DFA"/>
    <w:rsid w:val="00201F1A"/>
    <w:rsid w:val="00213632"/>
    <w:rsid w:val="002433EC"/>
    <w:rsid w:val="0025226E"/>
    <w:rsid w:val="00281DDE"/>
    <w:rsid w:val="00283ED7"/>
    <w:rsid w:val="002A2EFC"/>
    <w:rsid w:val="002A4E4A"/>
    <w:rsid w:val="002C0E18"/>
    <w:rsid w:val="002C33BB"/>
    <w:rsid w:val="002D5AAC"/>
    <w:rsid w:val="002E43DD"/>
    <w:rsid w:val="00301299"/>
    <w:rsid w:val="00322004"/>
    <w:rsid w:val="003402C2"/>
    <w:rsid w:val="00381C24"/>
    <w:rsid w:val="003958D0"/>
    <w:rsid w:val="003E3038"/>
    <w:rsid w:val="004031F0"/>
    <w:rsid w:val="00444E85"/>
    <w:rsid w:val="00454E07"/>
    <w:rsid w:val="00471CB3"/>
    <w:rsid w:val="00471F4D"/>
    <w:rsid w:val="004E0299"/>
    <w:rsid w:val="0050108D"/>
    <w:rsid w:val="00503D80"/>
    <w:rsid w:val="0051740C"/>
    <w:rsid w:val="00572E19"/>
    <w:rsid w:val="005D5DC0"/>
    <w:rsid w:val="005F0B42"/>
    <w:rsid w:val="00611AC9"/>
    <w:rsid w:val="00634841"/>
    <w:rsid w:val="00655A21"/>
    <w:rsid w:val="0067198A"/>
    <w:rsid w:val="006725B3"/>
    <w:rsid w:val="006808A9"/>
    <w:rsid w:val="006D631C"/>
    <w:rsid w:val="006F35EE"/>
    <w:rsid w:val="007021FF"/>
    <w:rsid w:val="007076CB"/>
    <w:rsid w:val="00723660"/>
    <w:rsid w:val="00734DBC"/>
    <w:rsid w:val="007967DF"/>
    <w:rsid w:val="007F7236"/>
    <w:rsid w:val="00834B71"/>
    <w:rsid w:val="0086445C"/>
    <w:rsid w:val="00865A80"/>
    <w:rsid w:val="00865FAC"/>
    <w:rsid w:val="008728CD"/>
    <w:rsid w:val="008A08D7"/>
    <w:rsid w:val="008A13F9"/>
    <w:rsid w:val="008C0658"/>
    <w:rsid w:val="008C0F65"/>
    <w:rsid w:val="008C177A"/>
    <w:rsid w:val="008C29C4"/>
    <w:rsid w:val="00906890"/>
    <w:rsid w:val="00912C55"/>
    <w:rsid w:val="00951972"/>
    <w:rsid w:val="00954E65"/>
    <w:rsid w:val="00A17DFD"/>
    <w:rsid w:val="00A414EF"/>
    <w:rsid w:val="00A4674B"/>
    <w:rsid w:val="00A917B3"/>
    <w:rsid w:val="00AB4B51"/>
    <w:rsid w:val="00B066FC"/>
    <w:rsid w:val="00B10CC7"/>
    <w:rsid w:val="00B62458"/>
    <w:rsid w:val="00B778C8"/>
    <w:rsid w:val="00BA3587"/>
    <w:rsid w:val="00BB36EA"/>
    <w:rsid w:val="00BD0C12"/>
    <w:rsid w:val="00BD33EE"/>
    <w:rsid w:val="00C60F0C"/>
    <w:rsid w:val="00C63C2A"/>
    <w:rsid w:val="00C805C9"/>
    <w:rsid w:val="00C907F0"/>
    <w:rsid w:val="00CA1679"/>
    <w:rsid w:val="00CC15A3"/>
    <w:rsid w:val="00D05347"/>
    <w:rsid w:val="00D10D63"/>
    <w:rsid w:val="00D43FF0"/>
    <w:rsid w:val="00D90138"/>
    <w:rsid w:val="00DA26B8"/>
    <w:rsid w:val="00DA7FA7"/>
    <w:rsid w:val="00DD4E25"/>
    <w:rsid w:val="00E25BA3"/>
    <w:rsid w:val="00E2656E"/>
    <w:rsid w:val="00E73F76"/>
    <w:rsid w:val="00E905BE"/>
    <w:rsid w:val="00EA31D8"/>
    <w:rsid w:val="00EA5579"/>
    <w:rsid w:val="00EE3748"/>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FC98F9E7-DABB-443A-81D3-147AC190B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EA31D8"/>
    <w:pPr>
      <w:keepNext/>
      <w:spacing w:before="240" w:after="60"/>
      <w:outlineLvl w:val="3"/>
    </w:pPr>
    <w:rPr>
      <w:b/>
      <w:bCs/>
      <w:sz w:val="28"/>
      <w:szCs w:val="28"/>
    </w:rPr>
  </w:style>
  <w:style w:type="paragraph" w:styleId="Ttulo5">
    <w:name w:val="heading 5"/>
    <w:basedOn w:val="Normal"/>
    <w:next w:val="Normal"/>
    <w:link w:val="Ttulo5Car"/>
    <w:rsid w:val="00EA31D8"/>
    <w:pPr>
      <w:spacing w:before="240" w:after="60"/>
      <w:outlineLvl w:val="4"/>
    </w:pPr>
    <w:rPr>
      <w:b/>
      <w:bCs/>
      <w:i/>
      <w:iCs/>
      <w:sz w:val="26"/>
      <w:szCs w:val="26"/>
    </w:rPr>
  </w:style>
  <w:style w:type="paragraph" w:styleId="Ttulo6">
    <w:name w:val="heading 6"/>
    <w:basedOn w:val="Normal"/>
    <w:next w:val="Normal"/>
    <w:link w:val="Ttulo6Car"/>
    <w:rsid w:val="00EA31D8"/>
    <w:pPr>
      <w:spacing w:before="240" w:after="60"/>
      <w:outlineLvl w:val="5"/>
    </w:pPr>
    <w:rPr>
      <w:b/>
      <w:bCs/>
      <w:sz w:val="22"/>
      <w:szCs w:val="22"/>
    </w:rPr>
  </w:style>
  <w:style w:type="paragraph" w:styleId="Ttulo7">
    <w:name w:val="heading 7"/>
    <w:basedOn w:val="Normal"/>
    <w:next w:val="Normal"/>
    <w:link w:val="Ttulo7Car"/>
    <w:rsid w:val="00EA31D8"/>
    <w:pPr>
      <w:spacing w:before="240" w:after="60"/>
      <w:outlineLvl w:val="6"/>
    </w:pPr>
    <w:rPr>
      <w:sz w:val="24"/>
      <w:szCs w:val="24"/>
    </w:rPr>
  </w:style>
  <w:style w:type="paragraph" w:styleId="Ttulo8">
    <w:name w:val="heading 8"/>
    <w:basedOn w:val="Normal"/>
    <w:next w:val="Normal"/>
    <w:link w:val="Ttulo8Car"/>
    <w:rsid w:val="00EA31D8"/>
    <w:pPr>
      <w:spacing w:before="240" w:after="60"/>
      <w:outlineLvl w:val="7"/>
    </w:pPr>
    <w:rPr>
      <w:i/>
      <w:iCs/>
      <w:sz w:val="24"/>
      <w:szCs w:val="24"/>
    </w:rPr>
  </w:style>
  <w:style w:type="paragraph" w:styleId="Ttulo9">
    <w:name w:val="heading 9"/>
    <w:basedOn w:val="Normal"/>
    <w:next w:val="Normal"/>
    <w:link w:val="Ttulo9Car"/>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CC15A3"/>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3E3038"/>
    <w:rPr>
      <w:rFonts w:cs="Arial"/>
      <w:bCs/>
      <w:szCs w:val="32"/>
      <w:lang w:val="es-ES" w:eastAsia="es-ES"/>
    </w:rPr>
  </w:style>
  <w:style w:type="character" w:customStyle="1" w:styleId="Ttulo2Car">
    <w:name w:val="Título 2 Car"/>
    <w:basedOn w:val="Fuentedeprrafopredeter"/>
    <w:link w:val="Ttulo2"/>
    <w:rsid w:val="003E3038"/>
    <w:rPr>
      <w:rFonts w:cs="Arial"/>
      <w:bCs/>
      <w:iCs/>
      <w:szCs w:val="28"/>
      <w:lang w:val="es-ES" w:eastAsia="es-ES"/>
    </w:rPr>
  </w:style>
  <w:style w:type="character" w:customStyle="1" w:styleId="Ttulo3Car">
    <w:name w:val="Título 3 Car"/>
    <w:basedOn w:val="Fuentedeprrafopredeter"/>
    <w:link w:val="Ttulo3"/>
    <w:rsid w:val="003E3038"/>
    <w:rPr>
      <w:rFonts w:ascii="Arial" w:hAnsi="Arial" w:cs="Arial"/>
      <w:b/>
      <w:bCs/>
      <w:sz w:val="26"/>
      <w:szCs w:val="26"/>
      <w:lang w:val="es-ES" w:eastAsia="es-ES"/>
    </w:rPr>
  </w:style>
  <w:style w:type="character" w:customStyle="1" w:styleId="Ttulo4Car">
    <w:name w:val="Título 4 Car"/>
    <w:basedOn w:val="Fuentedeprrafopredeter"/>
    <w:link w:val="Ttulo4"/>
    <w:rsid w:val="003E3038"/>
    <w:rPr>
      <w:b/>
      <w:bCs/>
      <w:sz w:val="28"/>
      <w:szCs w:val="28"/>
      <w:lang w:val="es-ES" w:eastAsia="es-ES"/>
    </w:rPr>
  </w:style>
  <w:style w:type="character" w:customStyle="1" w:styleId="Ttulo5Car">
    <w:name w:val="Título 5 Car"/>
    <w:basedOn w:val="Fuentedeprrafopredeter"/>
    <w:link w:val="Ttulo5"/>
    <w:rsid w:val="003E3038"/>
    <w:rPr>
      <w:b/>
      <w:bCs/>
      <w:i/>
      <w:iCs/>
      <w:sz w:val="26"/>
      <w:szCs w:val="26"/>
      <w:lang w:val="es-ES" w:eastAsia="es-ES"/>
    </w:rPr>
  </w:style>
  <w:style w:type="character" w:customStyle="1" w:styleId="Ttulo6Car">
    <w:name w:val="Título 6 Car"/>
    <w:basedOn w:val="Fuentedeprrafopredeter"/>
    <w:link w:val="Ttulo6"/>
    <w:rsid w:val="003E3038"/>
    <w:rPr>
      <w:b/>
      <w:bCs/>
      <w:sz w:val="22"/>
      <w:szCs w:val="22"/>
      <w:lang w:val="es-ES" w:eastAsia="es-ES"/>
    </w:rPr>
  </w:style>
  <w:style w:type="character" w:customStyle="1" w:styleId="Ttulo7Car">
    <w:name w:val="Título 7 Car"/>
    <w:basedOn w:val="Fuentedeprrafopredeter"/>
    <w:link w:val="Ttulo7"/>
    <w:rsid w:val="003E3038"/>
    <w:rPr>
      <w:sz w:val="24"/>
      <w:szCs w:val="24"/>
      <w:lang w:val="es-ES" w:eastAsia="es-ES"/>
    </w:rPr>
  </w:style>
  <w:style w:type="character" w:customStyle="1" w:styleId="Ttulo8Car">
    <w:name w:val="Título 8 Car"/>
    <w:basedOn w:val="Fuentedeprrafopredeter"/>
    <w:link w:val="Ttulo8"/>
    <w:rsid w:val="003E3038"/>
    <w:rPr>
      <w:i/>
      <w:iCs/>
      <w:sz w:val="24"/>
      <w:szCs w:val="24"/>
      <w:lang w:val="es-ES" w:eastAsia="es-ES"/>
    </w:rPr>
  </w:style>
  <w:style w:type="character" w:customStyle="1" w:styleId="Ttulo9Car">
    <w:name w:val="Título 9 Car"/>
    <w:basedOn w:val="Fuentedeprrafopredeter"/>
    <w:link w:val="Ttulo9"/>
    <w:rsid w:val="003E3038"/>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3E3038"/>
    <w:rPr>
      <w:b/>
      <w:sz w:val="18"/>
      <w:lang w:val="es-ES" w:eastAsia="es-ES"/>
    </w:rPr>
  </w:style>
  <w:style w:type="character" w:customStyle="1" w:styleId="PiedepginaCar">
    <w:name w:val="Pie de página Car"/>
    <w:aliases w:val="3_G Car"/>
    <w:basedOn w:val="Fuentedeprrafopredeter"/>
    <w:link w:val="Piedepgina"/>
    <w:rsid w:val="003E3038"/>
    <w:rPr>
      <w:sz w:val="16"/>
      <w:lang w:val="es-ES" w:eastAsia="es-ES"/>
    </w:rPr>
  </w:style>
  <w:style w:type="character" w:customStyle="1" w:styleId="TextonotapieCar">
    <w:name w:val="Texto nota pie Car"/>
    <w:aliases w:val="5_G Car"/>
    <w:basedOn w:val="Fuentedeprrafopredeter"/>
    <w:link w:val="Textonotapie"/>
    <w:rsid w:val="003E3038"/>
    <w:rPr>
      <w:sz w:val="18"/>
      <w:lang w:val="es-ES" w:eastAsia="es-ES"/>
    </w:rPr>
  </w:style>
  <w:style w:type="character" w:customStyle="1" w:styleId="CierreCar">
    <w:name w:val="Cierre Car"/>
    <w:basedOn w:val="Fuentedeprrafopredeter"/>
    <w:link w:val="Cierre"/>
    <w:semiHidden/>
    <w:rsid w:val="003E3038"/>
    <w:rPr>
      <w:lang w:val="es-ES" w:eastAsia="es-ES"/>
    </w:rPr>
  </w:style>
  <w:style w:type="character" w:customStyle="1" w:styleId="DireccinHTMLCar">
    <w:name w:val="Dirección HTML Car"/>
    <w:basedOn w:val="Fuentedeprrafopredeter"/>
    <w:link w:val="DireccinHTML"/>
    <w:semiHidden/>
    <w:rsid w:val="003E3038"/>
    <w:rPr>
      <w:i/>
      <w:iCs/>
      <w:lang w:val="es-ES" w:eastAsia="es-ES"/>
    </w:rPr>
  </w:style>
  <w:style w:type="character" w:customStyle="1" w:styleId="EncabezadodemensajeCar">
    <w:name w:val="Encabezado de mensaje Car"/>
    <w:basedOn w:val="Fuentedeprrafopredeter"/>
    <w:link w:val="Encabezadodemensaje"/>
    <w:semiHidden/>
    <w:rsid w:val="003E303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3E3038"/>
    <w:rPr>
      <w:lang w:val="es-ES" w:eastAsia="es-ES"/>
    </w:rPr>
  </w:style>
  <w:style w:type="character" w:customStyle="1" w:styleId="FechaCar">
    <w:name w:val="Fecha Car"/>
    <w:basedOn w:val="Fuentedeprrafopredeter"/>
    <w:link w:val="Fecha"/>
    <w:semiHidden/>
    <w:rsid w:val="003E3038"/>
    <w:rPr>
      <w:lang w:val="es-ES" w:eastAsia="es-ES"/>
    </w:rPr>
  </w:style>
  <w:style w:type="character" w:customStyle="1" w:styleId="FirmaCar">
    <w:name w:val="Firma Car"/>
    <w:basedOn w:val="Fuentedeprrafopredeter"/>
    <w:link w:val="Firma"/>
    <w:semiHidden/>
    <w:rsid w:val="003E3038"/>
    <w:rPr>
      <w:lang w:val="es-ES" w:eastAsia="es-ES"/>
    </w:rPr>
  </w:style>
  <w:style w:type="character" w:customStyle="1" w:styleId="FirmadecorreoelectrnicoCar">
    <w:name w:val="Firma de correo electrónico Car"/>
    <w:basedOn w:val="Fuentedeprrafopredeter"/>
    <w:link w:val="Firmadecorreoelectrnico"/>
    <w:semiHidden/>
    <w:rsid w:val="003E3038"/>
    <w:rPr>
      <w:lang w:val="es-ES" w:eastAsia="es-ES"/>
    </w:rPr>
  </w:style>
  <w:style w:type="character" w:customStyle="1" w:styleId="HTMLconformatoprevioCar">
    <w:name w:val="HTML con formato previo Car"/>
    <w:basedOn w:val="Fuentedeprrafopredeter"/>
    <w:link w:val="HTMLconformatoprevio"/>
    <w:semiHidden/>
    <w:rsid w:val="003E3038"/>
    <w:rPr>
      <w:rFonts w:ascii="Courier New" w:hAnsi="Courier New" w:cs="Courier New"/>
      <w:lang w:val="es-ES" w:eastAsia="es-ES"/>
    </w:rPr>
  </w:style>
  <w:style w:type="character" w:customStyle="1" w:styleId="SaludoCar">
    <w:name w:val="Saludo Car"/>
    <w:basedOn w:val="Fuentedeprrafopredeter"/>
    <w:link w:val="Saludo"/>
    <w:semiHidden/>
    <w:rsid w:val="003E3038"/>
    <w:rPr>
      <w:lang w:val="es-ES" w:eastAsia="es-ES"/>
    </w:rPr>
  </w:style>
  <w:style w:type="character" w:customStyle="1" w:styleId="Sangra2detindependienteCar">
    <w:name w:val="Sangría 2 de t. independiente Car"/>
    <w:basedOn w:val="Fuentedeprrafopredeter"/>
    <w:link w:val="Sangra2detindependiente"/>
    <w:rsid w:val="003E3038"/>
    <w:rPr>
      <w:lang w:val="es-ES" w:eastAsia="es-ES"/>
    </w:rPr>
  </w:style>
  <w:style w:type="character" w:customStyle="1" w:styleId="Sangra3detindependienteCar">
    <w:name w:val="Sangría 3 de t. independiente Car"/>
    <w:basedOn w:val="Fuentedeprrafopredeter"/>
    <w:link w:val="Sangra3detindependiente"/>
    <w:semiHidden/>
    <w:rsid w:val="003E3038"/>
    <w:rPr>
      <w:sz w:val="16"/>
      <w:szCs w:val="16"/>
      <w:lang w:val="es-ES" w:eastAsia="es-ES"/>
    </w:rPr>
  </w:style>
  <w:style w:type="character" w:customStyle="1" w:styleId="SangradetextonormalCar">
    <w:name w:val="Sangría de texto normal Car"/>
    <w:basedOn w:val="Fuentedeprrafopredeter"/>
    <w:link w:val="Sangradetextonormal"/>
    <w:semiHidden/>
    <w:rsid w:val="003E3038"/>
    <w:rPr>
      <w:lang w:val="es-ES" w:eastAsia="es-ES"/>
    </w:rPr>
  </w:style>
  <w:style w:type="character" w:customStyle="1" w:styleId="SubttuloCar">
    <w:name w:val="Subtítulo Car"/>
    <w:basedOn w:val="Fuentedeprrafopredeter"/>
    <w:link w:val="Subttulo"/>
    <w:rsid w:val="003E303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3E3038"/>
    <w:rPr>
      <w:lang w:val="es-ES" w:eastAsia="es-ES"/>
    </w:rPr>
  </w:style>
  <w:style w:type="character" w:customStyle="1" w:styleId="Textoindependiente2Car">
    <w:name w:val="Texto independiente 2 Car"/>
    <w:basedOn w:val="Fuentedeprrafopredeter"/>
    <w:link w:val="Textoindependiente2"/>
    <w:semiHidden/>
    <w:rsid w:val="003E3038"/>
    <w:rPr>
      <w:lang w:val="es-ES" w:eastAsia="es-ES"/>
    </w:rPr>
  </w:style>
  <w:style w:type="character" w:customStyle="1" w:styleId="Textoindependiente3Car">
    <w:name w:val="Texto independiente 3 Car"/>
    <w:basedOn w:val="Fuentedeprrafopredeter"/>
    <w:link w:val="Textoindependiente3"/>
    <w:semiHidden/>
    <w:rsid w:val="003E303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3E303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3E3038"/>
    <w:rPr>
      <w:lang w:val="es-ES" w:eastAsia="es-ES"/>
    </w:rPr>
  </w:style>
  <w:style w:type="character" w:customStyle="1" w:styleId="TextonotaalfinalCar">
    <w:name w:val="Texto nota al final Car"/>
    <w:aliases w:val="2_G Car"/>
    <w:basedOn w:val="Fuentedeprrafopredeter"/>
    <w:link w:val="Textonotaalfinal"/>
    <w:rsid w:val="003E3038"/>
    <w:rPr>
      <w:sz w:val="18"/>
      <w:lang w:val="es-ES" w:eastAsia="es-ES"/>
    </w:rPr>
  </w:style>
  <w:style w:type="character" w:customStyle="1" w:styleId="TextosinformatoCar">
    <w:name w:val="Texto sin formato Car"/>
    <w:basedOn w:val="Fuentedeprrafopredeter"/>
    <w:link w:val="Textosinformato"/>
    <w:semiHidden/>
    <w:rsid w:val="003E3038"/>
    <w:rPr>
      <w:rFonts w:ascii="Courier New" w:hAnsi="Courier New" w:cs="Courier New"/>
      <w:lang w:val="es-ES" w:eastAsia="es-ES"/>
    </w:rPr>
  </w:style>
  <w:style w:type="character" w:customStyle="1" w:styleId="TtuloCar">
    <w:name w:val="Título Car"/>
    <w:basedOn w:val="Fuentedeprrafopredeter"/>
    <w:link w:val="Ttulo"/>
    <w:rsid w:val="003E3038"/>
    <w:rPr>
      <w:rFonts w:ascii="Arial" w:hAnsi="Arial" w:cs="Arial"/>
      <w:b/>
      <w:bCs/>
      <w:kern w:val="28"/>
      <w:sz w:val="32"/>
      <w:szCs w:val="32"/>
      <w:lang w:val="es-ES" w:eastAsia="es-ES"/>
    </w:rPr>
  </w:style>
  <w:style w:type="character" w:styleId="nfasisintenso">
    <w:name w:val="Intense Emphasis"/>
    <w:uiPriority w:val="21"/>
    <w:rsid w:val="003E3038"/>
    <w:rPr>
      <w:b/>
      <w:bCs/>
      <w:i/>
      <w:iCs/>
      <w:color w:val="4F81BD"/>
    </w:rPr>
  </w:style>
  <w:style w:type="paragraph" w:styleId="Citadestacada">
    <w:name w:val="Intense Quote"/>
    <w:basedOn w:val="Normal"/>
    <w:next w:val="Normal"/>
    <w:link w:val="CitadestacadaCar"/>
    <w:uiPriority w:val="30"/>
    <w:rsid w:val="003E303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3E3038"/>
    <w:rPr>
      <w:b/>
      <w:bCs/>
      <w:i/>
      <w:iCs/>
      <w:color w:val="4F81BD"/>
      <w:lang w:val="es-ES" w:eastAsia="es-ES"/>
    </w:rPr>
  </w:style>
  <w:style w:type="paragraph" w:styleId="Prrafodelista">
    <w:name w:val="List Paragraph"/>
    <w:basedOn w:val="Normal"/>
    <w:link w:val="PrrafodelistaCar"/>
    <w:uiPriority w:val="34"/>
    <w:qFormat/>
    <w:rsid w:val="003E3038"/>
    <w:pPr>
      <w:spacing w:after="200" w:line="276" w:lineRule="auto"/>
      <w:ind w:left="720"/>
      <w:contextualSpacing/>
    </w:pPr>
    <w:rPr>
      <w:rFonts w:ascii="Calibri" w:eastAsia="Calibri" w:hAnsi="Calibri"/>
      <w:sz w:val="22"/>
      <w:szCs w:val="22"/>
      <w:lang w:val="fr-FR" w:eastAsia="en-US"/>
    </w:rPr>
  </w:style>
  <w:style w:type="paragraph" w:styleId="Sinespaciado">
    <w:name w:val="No Spacing"/>
    <w:link w:val="SinespaciadoCar"/>
    <w:uiPriority w:val="1"/>
    <w:qFormat/>
    <w:rsid w:val="003E3038"/>
    <w:rPr>
      <w:rFonts w:ascii="Calibri" w:eastAsia="Calibri" w:hAnsi="Calibri"/>
      <w:sz w:val="22"/>
      <w:szCs w:val="22"/>
      <w:lang w:val="fr-FR" w:eastAsia="en-US"/>
    </w:rPr>
  </w:style>
  <w:style w:type="character" w:customStyle="1" w:styleId="SinespaciadoCar">
    <w:name w:val="Sin espaciado Car"/>
    <w:link w:val="Sinespaciado"/>
    <w:uiPriority w:val="1"/>
    <w:rsid w:val="003E3038"/>
    <w:rPr>
      <w:rFonts w:ascii="Calibri" w:eastAsia="Calibri" w:hAnsi="Calibri"/>
      <w:sz w:val="22"/>
      <w:szCs w:val="22"/>
      <w:lang w:val="fr-FR" w:eastAsia="en-US"/>
    </w:rPr>
  </w:style>
  <w:style w:type="paragraph" w:styleId="TDC2">
    <w:name w:val="toc 2"/>
    <w:basedOn w:val="Normal"/>
    <w:next w:val="Normal"/>
    <w:autoRedefine/>
    <w:uiPriority w:val="39"/>
    <w:unhideWhenUsed/>
    <w:qFormat/>
    <w:rsid w:val="003E3038"/>
    <w:pPr>
      <w:spacing w:line="240" w:lineRule="auto"/>
      <w:jc w:val="center"/>
    </w:pPr>
    <w:rPr>
      <w:rFonts w:ascii="Cambria" w:hAnsi="Cambria"/>
      <w:b/>
      <w:bCs/>
      <w:smallCaps/>
      <w:noProof/>
      <w:sz w:val="22"/>
      <w:szCs w:val="26"/>
      <w:lang w:val="fr-CH" w:eastAsia="fr-FR"/>
    </w:rPr>
  </w:style>
  <w:style w:type="paragraph" w:styleId="TDC1">
    <w:name w:val="toc 1"/>
    <w:basedOn w:val="Normal"/>
    <w:next w:val="Normal"/>
    <w:autoRedefine/>
    <w:uiPriority w:val="39"/>
    <w:unhideWhenUsed/>
    <w:qFormat/>
    <w:rsid w:val="003E3038"/>
    <w:pPr>
      <w:spacing w:before="360" w:after="360" w:line="240" w:lineRule="auto"/>
    </w:pPr>
    <w:rPr>
      <w:rFonts w:ascii="Calibri" w:hAnsi="Calibri"/>
      <w:b/>
      <w:bCs/>
      <w:caps/>
      <w:sz w:val="22"/>
      <w:szCs w:val="26"/>
      <w:u w:val="single"/>
      <w:lang w:val="fr-CH" w:eastAsia="en-US"/>
    </w:rPr>
  </w:style>
  <w:style w:type="paragraph" w:styleId="TDC4">
    <w:name w:val="toc 4"/>
    <w:basedOn w:val="Normal"/>
    <w:next w:val="Normal"/>
    <w:autoRedefine/>
    <w:uiPriority w:val="39"/>
    <w:unhideWhenUsed/>
    <w:rsid w:val="003E3038"/>
    <w:pPr>
      <w:spacing w:line="240" w:lineRule="auto"/>
    </w:pPr>
    <w:rPr>
      <w:rFonts w:ascii="Calibri" w:hAnsi="Calibri"/>
      <w:sz w:val="22"/>
      <w:szCs w:val="26"/>
      <w:lang w:val="fr-CH" w:eastAsia="en-US"/>
    </w:rPr>
  </w:style>
  <w:style w:type="paragraph" w:styleId="TtuloTDC">
    <w:name w:val="TOC Heading"/>
    <w:basedOn w:val="Ttulo1"/>
    <w:next w:val="Normal"/>
    <w:uiPriority w:val="39"/>
    <w:semiHidden/>
    <w:unhideWhenUsed/>
    <w:qFormat/>
    <w:rsid w:val="003E3038"/>
    <w:pPr>
      <w:keepLines/>
      <w:spacing w:before="480" w:line="276" w:lineRule="auto"/>
      <w:ind w:left="0" w:right="0"/>
      <w:jc w:val="left"/>
      <w:outlineLvl w:val="9"/>
    </w:pPr>
    <w:rPr>
      <w:rFonts w:ascii="Cambria" w:hAnsi="Cambria" w:cs="Times New Roman"/>
      <w:b/>
      <w:color w:val="365F91"/>
      <w:sz w:val="28"/>
      <w:szCs w:val="28"/>
      <w:lang w:val="fr-FR" w:eastAsia="en-US"/>
    </w:rPr>
  </w:style>
  <w:style w:type="paragraph" w:styleId="TDC3">
    <w:name w:val="toc 3"/>
    <w:basedOn w:val="Normal"/>
    <w:next w:val="Normal"/>
    <w:autoRedefine/>
    <w:uiPriority w:val="39"/>
    <w:unhideWhenUsed/>
    <w:qFormat/>
    <w:rsid w:val="003E3038"/>
    <w:pPr>
      <w:spacing w:line="240" w:lineRule="auto"/>
    </w:pPr>
    <w:rPr>
      <w:rFonts w:ascii="Calibri" w:hAnsi="Calibri"/>
      <w:smallCaps/>
      <w:sz w:val="22"/>
      <w:szCs w:val="26"/>
      <w:lang w:val="fr-CH" w:eastAsia="en-US"/>
    </w:rPr>
  </w:style>
  <w:style w:type="paragraph" w:styleId="TDC5">
    <w:name w:val="toc 5"/>
    <w:basedOn w:val="Normal"/>
    <w:next w:val="Normal"/>
    <w:autoRedefine/>
    <w:uiPriority w:val="39"/>
    <w:unhideWhenUsed/>
    <w:rsid w:val="003E3038"/>
    <w:pPr>
      <w:spacing w:line="240" w:lineRule="auto"/>
    </w:pPr>
    <w:rPr>
      <w:rFonts w:ascii="Calibri" w:hAnsi="Calibri"/>
      <w:sz w:val="22"/>
      <w:szCs w:val="26"/>
      <w:lang w:val="fr-CH" w:eastAsia="en-US"/>
    </w:rPr>
  </w:style>
  <w:style w:type="paragraph" w:styleId="TDC6">
    <w:name w:val="toc 6"/>
    <w:basedOn w:val="Normal"/>
    <w:next w:val="Normal"/>
    <w:autoRedefine/>
    <w:uiPriority w:val="39"/>
    <w:unhideWhenUsed/>
    <w:rsid w:val="003E3038"/>
    <w:pPr>
      <w:spacing w:line="240" w:lineRule="auto"/>
    </w:pPr>
    <w:rPr>
      <w:rFonts w:ascii="Calibri" w:hAnsi="Calibri"/>
      <w:sz w:val="22"/>
      <w:szCs w:val="26"/>
      <w:lang w:val="fr-CH" w:eastAsia="en-US"/>
    </w:rPr>
  </w:style>
  <w:style w:type="paragraph" w:styleId="TDC7">
    <w:name w:val="toc 7"/>
    <w:basedOn w:val="Normal"/>
    <w:next w:val="Normal"/>
    <w:autoRedefine/>
    <w:uiPriority w:val="39"/>
    <w:unhideWhenUsed/>
    <w:rsid w:val="003E3038"/>
    <w:pPr>
      <w:spacing w:line="240" w:lineRule="auto"/>
    </w:pPr>
    <w:rPr>
      <w:rFonts w:ascii="Calibri" w:hAnsi="Calibri"/>
      <w:sz w:val="22"/>
      <w:szCs w:val="26"/>
      <w:lang w:val="fr-CH" w:eastAsia="en-US"/>
    </w:rPr>
  </w:style>
  <w:style w:type="paragraph" w:styleId="TDC8">
    <w:name w:val="toc 8"/>
    <w:basedOn w:val="Normal"/>
    <w:next w:val="Normal"/>
    <w:autoRedefine/>
    <w:uiPriority w:val="39"/>
    <w:unhideWhenUsed/>
    <w:rsid w:val="003E3038"/>
    <w:pPr>
      <w:spacing w:line="240" w:lineRule="auto"/>
    </w:pPr>
    <w:rPr>
      <w:rFonts w:ascii="Calibri" w:hAnsi="Calibri"/>
      <w:sz w:val="22"/>
      <w:szCs w:val="26"/>
      <w:lang w:val="fr-CH" w:eastAsia="en-US"/>
    </w:rPr>
  </w:style>
  <w:style w:type="paragraph" w:styleId="TDC9">
    <w:name w:val="toc 9"/>
    <w:basedOn w:val="Normal"/>
    <w:next w:val="Normal"/>
    <w:autoRedefine/>
    <w:uiPriority w:val="39"/>
    <w:unhideWhenUsed/>
    <w:rsid w:val="003E3038"/>
    <w:pPr>
      <w:spacing w:line="240" w:lineRule="auto"/>
    </w:pPr>
    <w:rPr>
      <w:rFonts w:ascii="Calibri" w:hAnsi="Calibri"/>
      <w:sz w:val="22"/>
      <w:szCs w:val="26"/>
      <w:lang w:val="fr-CH" w:eastAsia="en-US"/>
    </w:rPr>
  </w:style>
  <w:style w:type="character" w:customStyle="1" w:styleId="PrrafodelistaCar">
    <w:name w:val="Párrafo de lista Car"/>
    <w:link w:val="Prrafodelista"/>
    <w:uiPriority w:val="34"/>
    <w:rsid w:val="003E3038"/>
    <w:rPr>
      <w:rFonts w:ascii="Calibri" w:eastAsia="Calibri" w:hAnsi="Calibri"/>
      <w:sz w:val="22"/>
      <w:szCs w:val="22"/>
      <w:lang w:val="fr-FR" w:eastAsia="en-US"/>
    </w:rPr>
  </w:style>
  <w:style w:type="paragraph" w:styleId="Textocomentario">
    <w:name w:val="annotation text"/>
    <w:basedOn w:val="Normal"/>
    <w:link w:val="TextocomentarioCar"/>
    <w:rsid w:val="003E3038"/>
    <w:pPr>
      <w:suppressAutoHyphens/>
      <w:spacing w:line="240" w:lineRule="auto"/>
    </w:pPr>
    <w:rPr>
      <w:lang w:val="fr-CH" w:eastAsia="en-US"/>
    </w:rPr>
  </w:style>
  <w:style w:type="character" w:customStyle="1" w:styleId="TextocomentarioCar">
    <w:name w:val="Texto comentario Car"/>
    <w:basedOn w:val="Fuentedeprrafopredeter"/>
    <w:link w:val="Textocomentario"/>
    <w:rsid w:val="003E3038"/>
    <w:rPr>
      <w:lang w:val="fr-CH" w:eastAsia="en-US"/>
    </w:rPr>
  </w:style>
  <w:style w:type="character" w:styleId="Refdecomentario">
    <w:name w:val="annotation reference"/>
    <w:basedOn w:val="Fuentedeprrafopredeter"/>
    <w:rsid w:val="003E3038"/>
    <w:rPr>
      <w:sz w:val="16"/>
      <w:szCs w:val="16"/>
    </w:rPr>
  </w:style>
  <w:style w:type="paragraph" w:styleId="Asuntodelcomentario">
    <w:name w:val="annotation subject"/>
    <w:basedOn w:val="Textocomentario"/>
    <w:next w:val="Textocomentario"/>
    <w:link w:val="AsuntodelcomentarioCar"/>
    <w:rsid w:val="003E3038"/>
    <w:rPr>
      <w:b/>
      <w:bCs/>
    </w:rPr>
  </w:style>
  <w:style w:type="character" w:customStyle="1" w:styleId="AsuntodelcomentarioCar">
    <w:name w:val="Asunto del comentario Car"/>
    <w:basedOn w:val="TextocomentarioCar"/>
    <w:link w:val="Asuntodelcomentario"/>
    <w:rsid w:val="003E3038"/>
    <w:rPr>
      <w:b/>
      <w:bCs/>
      <w:lang w:val="fr-CH" w:eastAsia="en-US"/>
    </w:rPr>
  </w:style>
  <w:style w:type="paragraph" w:styleId="Revisin">
    <w:name w:val="Revision"/>
    <w:hidden/>
    <w:uiPriority w:val="99"/>
    <w:semiHidden/>
    <w:rsid w:val="003E3038"/>
    <w:rPr>
      <w:lang w:val="fr-CH" w:eastAsia="en-US"/>
    </w:rPr>
  </w:style>
  <w:style w:type="character" w:customStyle="1" w:styleId="SingleTxtGChar">
    <w:name w:val="_ Single Txt_G Char"/>
    <w:link w:val="SingleTxtG"/>
    <w:rsid w:val="003E303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484509">
      <w:bodyDiv w:val="1"/>
      <w:marLeft w:val="0"/>
      <w:marRight w:val="0"/>
      <w:marTop w:val="0"/>
      <w:marBottom w:val="0"/>
      <w:divBdr>
        <w:top w:val="none" w:sz="0" w:space="0" w:color="auto"/>
        <w:left w:val="none" w:sz="0" w:space="0" w:color="auto"/>
        <w:bottom w:val="none" w:sz="0" w:space="0" w:color="auto"/>
        <w:right w:val="none" w:sz="0" w:space="0" w:color="auto"/>
      </w:divBdr>
    </w:div>
    <w:div w:id="683048443">
      <w:bodyDiv w:val="1"/>
      <w:marLeft w:val="0"/>
      <w:marRight w:val="0"/>
      <w:marTop w:val="0"/>
      <w:marBottom w:val="0"/>
      <w:divBdr>
        <w:top w:val="none" w:sz="0" w:space="0" w:color="auto"/>
        <w:left w:val="none" w:sz="0" w:space="0" w:color="auto"/>
        <w:bottom w:val="none" w:sz="0" w:space="0" w:color="auto"/>
        <w:right w:val="none" w:sz="0" w:space="0" w:color="auto"/>
      </w:divBdr>
    </w:div>
    <w:div w:id="977615129">
      <w:bodyDiv w:val="1"/>
      <w:marLeft w:val="0"/>
      <w:marRight w:val="0"/>
      <w:marTop w:val="0"/>
      <w:marBottom w:val="0"/>
      <w:divBdr>
        <w:top w:val="none" w:sz="0" w:space="0" w:color="auto"/>
        <w:left w:val="none" w:sz="0" w:space="0" w:color="auto"/>
        <w:bottom w:val="none" w:sz="0" w:space="0" w:color="auto"/>
        <w:right w:val="none" w:sz="0" w:space="0" w:color="auto"/>
      </w:divBdr>
    </w:div>
    <w:div w:id="1055472324">
      <w:bodyDiv w:val="1"/>
      <w:marLeft w:val="0"/>
      <w:marRight w:val="0"/>
      <w:marTop w:val="0"/>
      <w:marBottom w:val="0"/>
      <w:divBdr>
        <w:top w:val="none" w:sz="0" w:space="0" w:color="auto"/>
        <w:left w:val="none" w:sz="0" w:space="0" w:color="auto"/>
        <w:bottom w:val="none" w:sz="0" w:space="0" w:color="auto"/>
        <w:right w:val="none" w:sz="0" w:space="0" w:color="auto"/>
      </w:divBdr>
    </w:div>
    <w:div w:id="1079250160">
      <w:bodyDiv w:val="1"/>
      <w:marLeft w:val="0"/>
      <w:marRight w:val="0"/>
      <w:marTop w:val="0"/>
      <w:marBottom w:val="0"/>
      <w:divBdr>
        <w:top w:val="none" w:sz="0" w:space="0" w:color="auto"/>
        <w:left w:val="none" w:sz="0" w:space="0" w:color="auto"/>
        <w:bottom w:val="none" w:sz="0" w:space="0" w:color="auto"/>
        <w:right w:val="none" w:sz="0" w:space="0" w:color="auto"/>
      </w:divBdr>
    </w:div>
    <w:div w:id="1119228658">
      <w:bodyDiv w:val="1"/>
      <w:marLeft w:val="0"/>
      <w:marRight w:val="0"/>
      <w:marTop w:val="0"/>
      <w:marBottom w:val="0"/>
      <w:divBdr>
        <w:top w:val="none" w:sz="0" w:space="0" w:color="auto"/>
        <w:left w:val="none" w:sz="0" w:space="0" w:color="auto"/>
        <w:bottom w:val="none" w:sz="0" w:space="0" w:color="auto"/>
        <w:right w:val="none" w:sz="0" w:space="0" w:color="auto"/>
      </w:divBdr>
    </w:div>
    <w:div w:id="1328364216">
      <w:bodyDiv w:val="1"/>
      <w:marLeft w:val="0"/>
      <w:marRight w:val="0"/>
      <w:marTop w:val="0"/>
      <w:marBottom w:val="0"/>
      <w:divBdr>
        <w:top w:val="none" w:sz="0" w:space="0" w:color="auto"/>
        <w:left w:val="none" w:sz="0" w:space="0" w:color="auto"/>
        <w:bottom w:val="none" w:sz="0" w:space="0" w:color="auto"/>
        <w:right w:val="none" w:sz="0" w:space="0" w:color="auto"/>
      </w:divBdr>
    </w:div>
    <w:div w:id="1487546737">
      <w:bodyDiv w:val="1"/>
      <w:marLeft w:val="0"/>
      <w:marRight w:val="0"/>
      <w:marTop w:val="0"/>
      <w:marBottom w:val="0"/>
      <w:divBdr>
        <w:top w:val="none" w:sz="0" w:space="0" w:color="auto"/>
        <w:left w:val="none" w:sz="0" w:space="0" w:color="auto"/>
        <w:bottom w:val="none" w:sz="0" w:space="0" w:color="auto"/>
        <w:right w:val="none" w:sz="0" w:space="0" w:color="auto"/>
      </w:divBdr>
    </w:div>
    <w:div w:id="1649817441">
      <w:bodyDiv w:val="1"/>
      <w:marLeft w:val="0"/>
      <w:marRight w:val="0"/>
      <w:marTop w:val="0"/>
      <w:marBottom w:val="0"/>
      <w:divBdr>
        <w:top w:val="none" w:sz="0" w:space="0" w:color="auto"/>
        <w:left w:val="none" w:sz="0" w:space="0" w:color="auto"/>
        <w:bottom w:val="none" w:sz="0" w:space="0" w:color="auto"/>
        <w:right w:val="none" w:sz="0" w:space="0" w:color="auto"/>
      </w:divBdr>
    </w:div>
    <w:div w:id="1745302022">
      <w:bodyDiv w:val="1"/>
      <w:marLeft w:val="0"/>
      <w:marRight w:val="0"/>
      <w:marTop w:val="0"/>
      <w:marBottom w:val="0"/>
      <w:divBdr>
        <w:top w:val="none" w:sz="0" w:space="0" w:color="auto"/>
        <w:left w:val="none" w:sz="0" w:space="0" w:color="auto"/>
        <w:bottom w:val="none" w:sz="0" w:space="0" w:color="auto"/>
        <w:right w:val="none" w:sz="0" w:space="0" w:color="auto"/>
      </w:divBdr>
    </w:div>
    <w:div w:id="1797407390">
      <w:bodyDiv w:val="1"/>
      <w:marLeft w:val="0"/>
      <w:marRight w:val="0"/>
      <w:marTop w:val="0"/>
      <w:marBottom w:val="0"/>
      <w:divBdr>
        <w:top w:val="none" w:sz="0" w:space="0" w:color="auto"/>
        <w:left w:val="none" w:sz="0" w:space="0" w:color="auto"/>
        <w:bottom w:val="none" w:sz="0" w:space="0" w:color="auto"/>
        <w:right w:val="none" w:sz="0" w:space="0" w:color="auto"/>
      </w:divBdr>
    </w:div>
    <w:div w:id="1804425318">
      <w:bodyDiv w:val="1"/>
      <w:marLeft w:val="0"/>
      <w:marRight w:val="0"/>
      <w:marTop w:val="0"/>
      <w:marBottom w:val="0"/>
      <w:divBdr>
        <w:top w:val="none" w:sz="0" w:space="0" w:color="auto"/>
        <w:left w:val="none" w:sz="0" w:space="0" w:color="auto"/>
        <w:bottom w:val="none" w:sz="0" w:space="0" w:color="auto"/>
        <w:right w:val="none" w:sz="0" w:space="0" w:color="auto"/>
      </w:divBdr>
    </w:div>
    <w:div w:id="1811750181">
      <w:bodyDiv w:val="1"/>
      <w:marLeft w:val="0"/>
      <w:marRight w:val="0"/>
      <w:marTop w:val="0"/>
      <w:marBottom w:val="0"/>
      <w:divBdr>
        <w:top w:val="none" w:sz="0" w:space="0" w:color="auto"/>
        <w:left w:val="none" w:sz="0" w:space="0" w:color="auto"/>
        <w:bottom w:val="none" w:sz="0" w:space="0" w:color="auto"/>
        <w:right w:val="none" w:sz="0" w:space="0" w:color="auto"/>
      </w:divBdr>
    </w:div>
    <w:div w:id="1888369647">
      <w:bodyDiv w:val="1"/>
      <w:marLeft w:val="0"/>
      <w:marRight w:val="0"/>
      <w:marTop w:val="0"/>
      <w:marBottom w:val="0"/>
      <w:divBdr>
        <w:top w:val="none" w:sz="0" w:space="0" w:color="auto"/>
        <w:left w:val="none" w:sz="0" w:space="0" w:color="auto"/>
        <w:bottom w:val="none" w:sz="0" w:space="0" w:color="auto"/>
        <w:right w:val="none" w:sz="0" w:space="0" w:color="auto"/>
      </w:divBdr>
    </w:div>
    <w:div w:id="1904831181">
      <w:bodyDiv w:val="1"/>
      <w:marLeft w:val="0"/>
      <w:marRight w:val="0"/>
      <w:marTop w:val="0"/>
      <w:marBottom w:val="0"/>
      <w:divBdr>
        <w:top w:val="none" w:sz="0" w:space="0" w:color="auto"/>
        <w:left w:val="none" w:sz="0" w:space="0" w:color="auto"/>
        <w:bottom w:val="none" w:sz="0" w:space="0" w:color="auto"/>
        <w:right w:val="none" w:sz="0" w:space="0" w:color="auto"/>
      </w:divBdr>
    </w:div>
    <w:div w:id="1948656074">
      <w:bodyDiv w:val="1"/>
      <w:marLeft w:val="0"/>
      <w:marRight w:val="0"/>
      <w:marTop w:val="0"/>
      <w:marBottom w:val="0"/>
      <w:divBdr>
        <w:top w:val="none" w:sz="0" w:space="0" w:color="auto"/>
        <w:left w:val="none" w:sz="0" w:space="0" w:color="auto"/>
        <w:bottom w:val="none" w:sz="0" w:space="0" w:color="auto"/>
        <w:right w:val="none" w:sz="0" w:space="0" w:color="auto"/>
      </w:divBdr>
    </w:div>
    <w:div w:id="1958414487">
      <w:bodyDiv w:val="1"/>
      <w:marLeft w:val="0"/>
      <w:marRight w:val="0"/>
      <w:marTop w:val="0"/>
      <w:marBottom w:val="0"/>
      <w:divBdr>
        <w:top w:val="none" w:sz="0" w:space="0" w:color="auto"/>
        <w:left w:val="none" w:sz="0" w:space="0" w:color="auto"/>
        <w:bottom w:val="none" w:sz="0" w:space="0" w:color="auto"/>
        <w:right w:val="none" w:sz="0" w:space="0" w:color="auto"/>
      </w:divBdr>
    </w:div>
    <w:div w:id="2005426048">
      <w:bodyDiv w:val="1"/>
      <w:marLeft w:val="0"/>
      <w:marRight w:val="0"/>
      <w:marTop w:val="0"/>
      <w:marBottom w:val="0"/>
      <w:divBdr>
        <w:top w:val="none" w:sz="0" w:space="0" w:color="auto"/>
        <w:left w:val="none" w:sz="0" w:space="0" w:color="auto"/>
        <w:bottom w:val="none" w:sz="0" w:space="0" w:color="auto"/>
        <w:right w:val="none" w:sz="0" w:space="0" w:color="auto"/>
      </w:divBdr>
    </w:div>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DC0DD-DB27-401F-80B5-FEAD6E23E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34</Pages>
  <Words>13792</Words>
  <Characters>75856</Characters>
  <Application>Microsoft Office Word</Application>
  <DocSecurity>0</DocSecurity>
  <Lines>632</Lines>
  <Paragraphs>178</Paragraphs>
  <ScaleCrop>false</ScaleCrop>
  <HeadingPairs>
    <vt:vector size="2" baseType="variant">
      <vt:variant>
        <vt:lpstr>Título</vt:lpstr>
      </vt:variant>
      <vt:variant>
        <vt:i4>1</vt:i4>
      </vt:variant>
    </vt:vector>
  </HeadingPairs>
  <TitlesOfParts>
    <vt:vector size="1" baseType="lpstr">
      <vt:lpstr>CERD/C/MRT/8-14</vt:lpstr>
    </vt:vector>
  </TitlesOfParts>
  <Company/>
  <LinksUpToDate>false</LinksUpToDate>
  <CharactersWithSpaces>89470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CERD/C/MRT/8-14</dc:title>
  <dc:subject/>
  <dc:creator>Javier RODRIGUEZ PEREZ</dc:creator>
  <cp:keywords/>
  <cp:lastModifiedBy>Maria  DE LA PLAZA</cp:lastModifiedBy>
  <cp:revision>3</cp:revision>
  <cp:lastPrinted>2017-04-12T14:37:00Z</cp:lastPrinted>
  <dcterms:created xsi:type="dcterms:W3CDTF">2017-04-12T14:37:00Z</dcterms:created>
  <dcterms:modified xsi:type="dcterms:W3CDTF">2017-04-12T14:38:00Z</dcterms:modified>
</cp:coreProperties>
</file>