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1B8F">
      <w:pPr>
        <w:spacing w:line="60" w:lineRule="exact"/>
      </w:pPr>
      <w:r>
        <w:rPr>
          <w:rStyle w:val="CommentReference"/>
          <w:rFonts w:hint="eastAsia"/>
          <w:vanish/>
        </w:rPr>
        <w:commentReference w:id="0"/>
      </w:r>
    </w:p>
    <w:p w:rsidR="00000000" w:rsidRDefault="00821B8F">
      <w:pPr>
        <w:pStyle w:val="H1"/>
        <w:spacing w:after="120" w:line="320" w:lineRule="exact"/>
        <w:rPr>
          <w:rFonts w:hint="eastAsia"/>
          <w:sz w:val="22"/>
        </w:rPr>
      </w:pPr>
      <w:r>
        <w:rPr>
          <w:rFonts w:hint="eastAsia"/>
          <w:sz w:val="22"/>
        </w:rPr>
        <w:t>消除对妇女歧视委员会</w:t>
      </w:r>
    </w:p>
    <w:p w:rsidR="00000000" w:rsidRDefault="00821B8F">
      <w:pPr>
        <w:spacing w:line="480" w:lineRule="auto"/>
        <w:jc w:val="center"/>
        <w:rPr>
          <w:rFonts w:ascii="SimSun" w:hAnsi="STZhongsong"/>
          <w:sz w:val="28"/>
        </w:rPr>
      </w:pPr>
    </w:p>
    <w:p w:rsidR="00000000" w:rsidRDefault="00821B8F">
      <w:pPr>
        <w:spacing w:line="480" w:lineRule="auto"/>
        <w:jc w:val="center"/>
        <w:rPr>
          <w:rFonts w:ascii="SimSun" w:hAnsi="STZhongsong" w:hint="eastAsia"/>
          <w:sz w:val="28"/>
        </w:rPr>
      </w:pPr>
    </w:p>
    <w:p w:rsidR="00000000" w:rsidRDefault="00821B8F">
      <w:pPr>
        <w:pStyle w:val="HCh"/>
        <w:jc w:val="center"/>
        <w:rPr>
          <w:rFonts w:hint="eastAsia"/>
        </w:rPr>
      </w:pPr>
      <w:r>
        <w:rPr>
          <w:rFonts w:hint="eastAsia"/>
        </w:rPr>
        <w:t>审议缔约国根据《消除对妇女一切形式歧视公约》</w:t>
      </w:r>
      <w:r>
        <w:br/>
      </w:r>
      <w:r>
        <w:rPr>
          <w:rFonts w:hint="eastAsia"/>
        </w:rPr>
        <w:t>第</w:t>
      </w:r>
      <w:r>
        <w:rPr>
          <w:rFonts w:hint="eastAsia"/>
        </w:rPr>
        <w:t>18</w:t>
      </w:r>
      <w:r>
        <w:rPr>
          <w:rFonts w:hint="eastAsia"/>
        </w:rPr>
        <w:t>条提交的报告</w:t>
      </w:r>
    </w:p>
    <w:p w:rsidR="00000000" w:rsidRDefault="00821B8F">
      <w:pPr>
        <w:rPr>
          <w:rFonts w:hint="eastAsia"/>
        </w:rPr>
      </w:pPr>
    </w:p>
    <w:p w:rsidR="00000000" w:rsidRDefault="00821B8F">
      <w:pPr>
        <w:pStyle w:val="H1"/>
        <w:spacing w:before="120"/>
        <w:jc w:val="center"/>
        <w:rPr>
          <w:rFonts w:hint="eastAsia"/>
        </w:rPr>
      </w:pPr>
      <w:r>
        <w:rPr>
          <w:rFonts w:hint="eastAsia"/>
        </w:rPr>
        <w:t>缔约国第五和第六次合并定期报告</w:t>
      </w:r>
    </w:p>
    <w:p w:rsidR="00000000" w:rsidRDefault="00821B8F">
      <w:pPr>
        <w:rPr>
          <w:rFonts w:hint="eastAsia"/>
        </w:rPr>
      </w:pPr>
    </w:p>
    <w:p w:rsidR="00000000" w:rsidRDefault="00821B8F">
      <w:pPr>
        <w:rPr>
          <w:rFonts w:hint="eastAsia"/>
        </w:rPr>
      </w:pPr>
    </w:p>
    <w:p w:rsidR="00000000" w:rsidRDefault="00821B8F">
      <w:pPr>
        <w:pStyle w:val="HCh"/>
        <w:jc w:val="center"/>
        <w:rPr>
          <w:rFonts w:hint="eastAsia"/>
        </w:rPr>
      </w:pPr>
      <w:r>
        <w:rPr>
          <w:noProof/>
          <w:sz w:val="20"/>
        </w:rPr>
        <w:pict>
          <v:shapetype id="_x0000_t202" coordsize="21600,21600" o:spt="202" path="m,l,21600r21600,l21600,xe">
            <v:stroke joinstyle="miter"/>
            <v:path gradientshapeok="t" o:connecttype="rect"/>
          </v:shapetype>
          <v:shape id="_x0000_s1101" type="#_x0000_t202" style="position:absolute;left:0;text-align:left;margin-left:15.6pt;margin-top:184.5pt;width:476.4pt;height:62.4pt;z-index:1" filled="f" stroked="f">
            <v:textbox>
              <w:txbxContent>
                <w:p w:rsidR="00000000" w:rsidRDefault="00821B8F">
                  <w:pPr>
                    <w:spacing w:line="320" w:lineRule="exact"/>
                  </w:pPr>
                  <w:r>
                    <w:rPr>
                      <w:rFonts w:hint="eastAsia"/>
                      <w:sz w:val="18"/>
                    </w:rPr>
                    <w:t>菲律宾政府的初次报告，见</w:t>
                  </w:r>
                  <w:r>
                    <w:rPr>
                      <w:sz w:val="18"/>
                    </w:rPr>
                    <w:t>CEDAW/C/5/Add.6</w:t>
                  </w:r>
                  <w:r>
                    <w:rPr>
                      <w:rFonts w:hint="eastAsia"/>
                      <w:sz w:val="18"/>
                    </w:rPr>
                    <w:t>。委员会在其第三届会议上进行了审议。菲律宾政府的第二次定期报告，见</w:t>
                  </w:r>
                  <w:r>
                    <w:rPr>
                      <w:rFonts w:hint="eastAsia"/>
                      <w:sz w:val="18"/>
                    </w:rPr>
                    <w:t>CED</w:t>
                  </w:r>
                  <w:r>
                    <w:rPr>
                      <w:sz w:val="18"/>
                    </w:rPr>
                    <w:t>AW/C/13/Add.17</w:t>
                  </w:r>
                  <w:r>
                    <w:rPr>
                      <w:rFonts w:hint="eastAsia"/>
                      <w:sz w:val="18"/>
                    </w:rPr>
                    <w:t>，委员会在其第十届会议上进行了审议。菲律宾政府的第三次定期报告，见</w:t>
                  </w:r>
                  <w:r>
                    <w:rPr>
                      <w:sz w:val="18"/>
                    </w:rPr>
                    <w:t>CEDAW/C/PHI/3</w:t>
                  </w:r>
                  <w:r>
                    <w:rPr>
                      <w:rFonts w:hint="eastAsia"/>
                      <w:sz w:val="18"/>
                    </w:rPr>
                    <w:t>。菲律宾政府的第四次定期报告，见</w:t>
                  </w:r>
                  <w:r>
                    <w:rPr>
                      <w:sz w:val="18"/>
                    </w:rPr>
                    <w:t>CEDAW/C/PHI/4</w:t>
                  </w:r>
                  <w:r>
                    <w:rPr>
                      <w:rFonts w:hint="eastAsia"/>
                      <w:sz w:val="18"/>
                    </w:rPr>
                    <w:t>，委员会在其第十六届会议上进行了审议。</w:t>
                  </w:r>
                </w:p>
              </w:txbxContent>
            </v:textbox>
          </v:shape>
        </w:pict>
      </w:r>
      <w:r>
        <w:rPr>
          <w:rFonts w:hint="eastAsia"/>
        </w:rPr>
        <w:t>菲律宾</w:t>
      </w:r>
      <w:r>
        <w:rPr>
          <w:rStyle w:val="FootnoteReference"/>
        </w:rPr>
        <w:footnoteReference w:customMarkFollows="1" w:id="1"/>
        <w:t>*</w:t>
      </w:r>
    </w:p>
    <w:p w:rsidR="00000000" w:rsidRDefault="00821B8F">
      <w:pPr>
        <w:pStyle w:val="21"/>
        <w:adjustRightInd w:val="0"/>
        <w:spacing w:beforeLines="0" w:before="0" w:after="120" w:line="360" w:lineRule="atLeast"/>
        <w:textAlignment w:val="baseline"/>
        <w:rPr>
          <w:rFonts w:ascii="SimHei" w:eastAsia="SimHei" w:hAnsi="Times New Roman"/>
          <w:kern w:val="0"/>
          <w:szCs w:val="20"/>
          <w:lang w:val="en-US"/>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000000" w:rsidRDefault="00821B8F">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821B8F">
      <w:pPr>
        <w:spacing w:afterLines="50" w:after="120" w:line="360" w:lineRule="atLeast"/>
        <w:jc w:val="center"/>
        <w:rPr>
          <w:rFonts w:eastAsia="SimHei" w:hint="eastAsia"/>
          <w:bCs/>
          <w:color w:val="FF0000"/>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p>
    <w:p w:rsidR="00000000" w:rsidRDefault="00821B8F">
      <w:pPr>
        <w:wordWrap w:val="0"/>
        <w:spacing w:after="120" w:line="320" w:lineRule="atLeast"/>
        <w:jc w:val="right"/>
        <w:rPr>
          <w:rFonts w:eastAsia="KaiTi_GB2312" w:hint="eastAsia"/>
          <w:bCs/>
          <w:color w:val="0000FF"/>
          <w:szCs w:val="21"/>
        </w:rPr>
      </w:pPr>
      <w:r>
        <w:rPr>
          <w:rFonts w:eastAsia="KaiTi_GB2312" w:hint="eastAsia"/>
          <w:bCs/>
          <w:color w:val="0000FF"/>
          <w:szCs w:val="21"/>
        </w:rPr>
        <w:t>段</w:t>
      </w:r>
      <w:r>
        <w:rPr>
          <w:rFonts w:eastAsia="KaiTi_GB2312" w:hint="eastAsia"/>
          <w:bCs/>
          <w:color w:val="0000FF"/>
          <w:szCs w:val="21"/>
        </w:rPr>
        <w:t xml:space="preserve"> </w:t>
      </w:r>
      <w:r>
        <w:rPr>
          <w:rFonts w:eastAsia="KaiTi_GB2312" w:hint="eastAsia"/>
          <w:bCs/>
          <w:color w:val="0000FF"/>
          <w:szCs w:val="21"/>
        </w:rPr>
        <w:t>次</w:t>
      </w:r>
      <w:r>
        <w:rPr>
          <w:rFonts w:eastAsia="KaiTi_GB2312" w:hint="eastAsia"/>
          <w:bCs/>
          <w:color w:val="0000FF"/>
          <w:szCs w:val="21"/>
        </w:rPr>
        <w:t xml:space="preserve">    </w:t>
      </w:r>
      <w:r>
        <w:rPr>
          <w:rFonts w:eastAsia="KaiTi_GB2312" w:hint="eastAsia"/>
          <w:bCs/>
          <w:color w:val="0000FF"/>
          <w:szCs w:val="21"/>
        </w:rPr>
        <w:t>页</w:t>
      </w:r>
      <w:r>
        <w:rPr>
          <w:rFonts w:eastAsia="KaiTi_GB2312" w:hint="eastAsia"/>
          <w:bCs/>
          <w:color w:val="0000FF"/>
          <w:szCs w:val="21"/>
        </w:rPr>
        <w:t xml:space="preserve"> </w:t>
      </w:r>
      <w:r>
        <w:rPr>
          <w:rFonts w:eastAsia="KaiTi_GB2312" w:hint="eastAsia"/>
          <w:bCs/>
          <w:color w:val="0000FF"/>
          <w:szCs w:val="21"/>
        </w:rPr>
        <w:t>次</w:t>
      </w:r>
    </w:p>
    <w:p w:rsidR="00000000" w:rsidRDefault="00821B8F">
      <w:pPr>
        <w:tabs>
          <w:tab w:val="center" w:leader="dot" w:pos="9240"/>
          <w:tab w:val="right" w:pos="9840"/>
        </w:tabs>
        <w:spacing w:after="120" w:line="360" w:lineRule="exact"/>
        <w:rPr>
          <w:rFonts w:eastAsia="SimHei" w:hint="eastAsia"/>
          <w:bCs/>
          <w:color w:val="FF0000"/>
        </w:rPr>
      </w:pPr>
      <w:r>
        <w:rPr>
          <w:rFonts w:eastAsia="SimHei" w:hint="eastAsia"/>
          <w:bCs/>
          <w:color w:val="FF0000"/>
        </w:rPr>
        <w:t>统计表</w:t>
      </w:r>
    </w:p>
    <w:p w:rsidR="00000000" w:rsidRDefault="00821B8F">
      <w:pPr>
        <w:tabs>
          <w:tab w:val="center" w:leader="dot" w:pos="9240"/>
          <w:tab w:val="right" w:pos="9840"/>
        </w:tabs>
        <w:spacing w:after="120" w:line="360" w:lineRule="exact"/>
        <w:rPr>
          <w:rFonts w:hint="eastAsia"/>
          <w:bCs/>
        </w:rPr>
      </w:pPr>
      <w:r>
        <w:rPr>
          <w:rFonts w:eastAsia="SimHei" w:hint="eastAsia"/>
          <w:bCs/>
          <w:color w:val="FF0000"/>
        </w:rPr>
        <w:t>缩略语</w:t>
      </w:r>
      <w:r>
        <w:rPr>
          <w:bCs/>
        </w:rPr>
        <w:tab/>
      </w:r>
      <w:r>
        <w:rPr>
          <w:rFonts w:hint="eastAsia"/>
          <w:bCs/>
        </w:rPr>
        <w:tab/>
        <w:t>5</w:t>
      </w:r>
    </w:p>
    <w:p w:rsidR="00000000" w:rsidRDefault="00821B8F">
      <w:pPr>
        <w:tabs>
          <w:tab w:val="center" w:leader="dot" w:pos="9240"/>
          <w:tab w:val="right" w:pos="9840"/>
        </w:tabs>
        <w:spacing w:after="120" w:line="360" w:lineRule="exact"/>
        <w:rPr>
          <w:rFonts w:hint="eastAsia"/>
          <w:bCs/>
        </w:rPr>
      </w:pPr>
      <w:r>
        <w:rPr>
          <w:rFonts w:eastAsia="SimHei" w:hint="eastAsia"/>
          <w:bCs/>
          <w:color w:val="FF0000"/>
        </w:rPr>
        <w:t>感谢</w:t>
      </w:r>
      <w:r>
        <w:rPr>
          <w:bCs/>
        </w:rPr>
        <w:tab/>
      </w:r>
      <w:r>
        <w:rPr>
          <w:rFonts w:hint="eastAsia"/>
          <w:bCs/>
        </w:rPr>
        <w:tab/>
        <w:t>14</w:t>
      </w:r>
    </w:p>
    <w:p w:rsidR="00000000" w:rsidRDefault="00821B8F">
      <w:pPr>
        <w:tabs>
          <w:tab w:val="center" w:leader="dot" w:pos="9240"/>
          <w:tab w:val="right" w:pos="9840"/>
        </w:tabs>
        <w:spacing w:after="120" w:line="360" w:lineRule="exact"/>
        <w:rPr>
          <w:rFonts w:hint="eastAsia"/>
          <w:bCs/>
        </w:rPr>
      </w:pPr>
      <w:r>
        <w:rPr>
          <w:rFonts w:eastAsia="SimHei" w:hint="eastAsia"/>
          <w:bCs/>
          <w:color w:val="FF0000"/>
        </w:rPr>
        <w:t>导言</w:t>
      </w:r>
    </w:p>
    <w:p w:rsidR="00000000" w:rsidRDefault="00821B8F" w:rsidP="00821B8F">
      <w:pPr>
        <w:tabs>
          <w:tab w:val="center" w:leader="dot" w:pos="8640"/>
          <w:tab w:val="right" w:pos="9840"/>
        </w:tabs>
        <w:spacing w:after="120" w:line="360" w:lineRule="exact"/>
        <w:ind w:left="31680" w:hangingChars="200" w:firstLine="31680"/>
        <w:rPr>
          <w:bCs/>
        </w:rPr>
      </w:pPr>
      <w:r>
        <w:rPr>
          <w:rFonts w:eastAsia="SimHei" w:hint="eastAsia"/>
          <w:bCs/>
          <w:color w:val="FF0000"/>
        </w:rPr>
        <w:t>第一部分：为响应消除对妇女歧视委员会关于菲律宾第四次定期报告的结论性意见而制订的</w:t>
      </w:r>
      <w:r>
        <w:rPr>
          <w:bCs/>
        </w:rPr>
        <w:br/>
      </w:r>
      <w:r>
        <w:rPr>
          <w:rFonts w:eastAsia="SimHei" w:hint="eastAsia"/>
          <w:bCs/>
          <w:color w:val="FF0000"/>
        </w:rPr>
        <w:t>主要政策和方案</w:t>
      </w:r>
      <w:r>
        <w:rPr>
          <w:bCs/>
        </w:rPr>
        <w:tab/>
      </w:r>
      <w:r>
        <w:rPr>
          <w:rFonts w:hint="eastAsia"/>
          <w:bCs/>
        </w:rPr>
        <w:t>1-5</w:t>
      </w:r>
      <w:r>
        <w:rPr>
          <w:rFonts w:hint="eastAsia"/>
          <w:bCs/>
        </w:rPr>
        <w:tab/>
        <w:t>20</w:t>
      </w:r>
    </w:p>
    <w:p w:rsidR="00000000" w:rsidRDefault="00821B8F">
      <w:pPr>
        <w:tabs>
          <w:tab w:val="center" w:leader="dot" w:pos="8640"/>
          <w:tab w:val="right" w:pos="9840"/>
        </w:tabs>
        <w:spacing w:after="120" w:line="360" w:lineRule="exact"/>
        <w:ind w:left="210" w:firstLine="210"/>
        <w:rPr>
          <w:bCs/>
        </w:rPr>
      </w:pPr>
      <w:r>
        <w:rPr>
          <w:rFonts w:hint="eastAsia"/>
          <w:bCs/>
        </w:rPr>
        <w:t>采取政策为妇女创造安全及受到保护的工作岗位</w:t>
      </w:r>
      <w:r>
        <w:rPr>
          <w:bCs/>
        </w:rPr>
        <w:tab/>
      </w:r>
      <w:r>
        <w:rPr>
          <w:rFonts w:hint="eastAsia"/>
          <w:bCs/>
        </w:rPr>
        <w:t>6-14</w:t>
      </w:r>
      <w:r>
        <w:rPr>
          <w:rFonts w:hint="eastAsia"/>
          <w:bCs/>
        </w:rPr>
        <w:tab/>
        <w:t>21</w:t>
      </w:r>
    </w:p>
    <w:p w:rsidR="00000000" w:rsidRDefault="00821B8F">
      <w:pPr>
        <w:tabs>
          <w:tab w:val="center" w:leader="dot" w:pos="8640"/>
          <w:tab w:val="right" w:pos="9840"/>
        </w:tabs>
        <w:spacing w:after="120" w:line="360" w:lineRule="exact"/>
        <w:ind w:left="210" w:firstLine="210"/>
        <w:rPr>
          <w:bCs/>
        </w:rPr>
      </w:pPr>
      <w:r>
        <w:rPr>
          <w:rFonts w:hint="eastAsia"/>
          <w:bCs/>
        </w:rPr>
        <w:t>向海外女工提供信息和支助服务</w:t>
      </w:r>
      <w:r>
        <w:rPr>
          <w:bCs/>
        </w:rPr>
        <w:tab/>
      </w:r>
      <w:r>
        <w:rPr>
          <w:rFonts w:hint="eastAsia"/>
          <w:bCs/>
        </w:rPr>
        <w:t>15-18</w:t>
      </w:r>
      <w:r>
        <w:rPr>
          <w:rFonts w:hint="eastAsia"/>
          <w:bCs/>
        </w:rPr>
        <w:tab/>
        <w:t>23</w:t>
      </w:r>
    </w:p>
    <w:p w:rsidR="00000000" w:rsidRDefault="00821B8F">
      <w:pPr>
        <w:tabs>
          <w:tab w:val="center" w:leader="dot" w:pos="8640"/>
          <w:tab w:val="right" w:pos="9840"/>
        </w:tabs>
        <w:spacing w:after="120" w:line="360" w:lineRule="exact"/>
        <w:ind w:left="210" w:firstLine="210"/>
        <w:rPr>
          <w:bCs/>
        </w:rPr>
      </w:pPr>
      <w:r>
        <w:rPr>
          <w:rFonts w:hint="eastAsia"/>
          <w:bCs/>
        </w:rPr>
        <w:t>按照性别分列数据以及计量政府政策和方案的效果</w:t>
      </w:r>
      <w:r>
        <w:rPr>
          <w:bCs/>
        </w:rPr>
        <w:tab/>
      </w:r>
      <w:r>
        <w:rPr>
          <w:rFonts w:hint="eastAsia"/>
          <w:bCs/>
        </w:rPr>
        <w:t>19-25</w:t>
      </w:r>
      <w:r>
        <w:rPr>
          <w:rFonts w:hint="eastAsia"/>
          <w:bCs/>
        </w:rPr>
        <w:tab/>
        <w:t>24</w:t>
      </w:r>
    </w:p>
    <w:p w:rsidR="00000000" w:rsidRDefault="00821B8F">
      <w:pPr>
        <w:tabs>
          <w:tab w:val="center" w:leader="dot" w:pos="8640"/>
          <w:tab w:val="right" w:pos="9840"/>
        </w:tabs>
        <w:spacing w:after="120" w:line="360" w:lineRule="exact"/>
        <w:ind w:left="210" w:firstLine="210"/>
        <w:rPr>
          <w:bCs/>
        </w:rPr>
      </w:pPr>
      <w:r>
        <w:rPr>
          <w:rFonts w:hint="eastAsia"/>
          <w:bCs/>
        </w:rPr>
        <w:t>法律对</w:t>
      </w:r>
      <w:r>
        <w:rPr>
          <w:rFonts w:hint="eastAsia"/>
          <w:bCs/>
        </w:rPr>
        <w:t>卖淫的性别歧视以及妇女的备选工作机会</w:t>
      </w:r>
      <w:r>
        <w:rPr>
          <w:bCs/>
        </w:rPr>
        <w:tab/>
      </w:r>
      <w:r>
        <w:rPr>
          <w:rFonts w:hint="eastAsia"/>
          <w:bCs/>
        </w:rPr>
        <w:t>26-28</w:t>
      </w:r>
      <w:r>
        <w:rPr>
          <w:rFonts w:hint="eastAsia"/>
          <w:bCs/>
        </w:rPr>
        <w:tab/>
        <w:t>26</w:t>
      </w:r>
    </w:p>
    <w:p w:rsidR="00000000" w:rsidRDefault="00821B8F">
      <w:pPr>
        <w:tabs>
          <w:tab w:val="center" w:leader="dot" w:pos="8640"/>
          <w:tab w:val="right" w:pos="9840"/>
        </w:tabs>
        <w:spacing w:after="120" w:line="360" w:lineRule="exact"/>
        <w:ind w:left="210" w:firstLine="210"/>
        <w:rPr>
          <w:bCs/>
        </w:rPr>
      </w:pPr>
      <w:r>
        <w:rPr>
          <w:rFonts w:hint="eastAsia"/>
          <w:bCs/>
        </w:rPr>
        <w:t>对妇女的暴力</w:t>
      </w:r>
      <w:r>
        <w:rPr>
          <w:bCs/>
        </w:rPr>
        <w:tab/>
      </w:r>
      <w:r>
        <w:rPr>
          <w:rFonts w:hint="eastAsia"/>
          <w:bCs/>
        </w:rPr>
        <w:t>29-32</w:t>
      </w:r>
      <w:r>
        <w:rPr>
          <w:rFonts w:hint="eastAsia"/>
          <w:bCs/>
        </w:rPr>
        <w:tab/>
        <w:t>27</w:t>
      </w:r>
    </w:p>
    <w:p w:rsidR="00000000" w:rsidRDefault="00821B8F">
      <w:pPr>
        <w:tabs>
          <w:tab w:val="center" w:leader="dot" w:pos="8640"/>
          <w:tab w:val="right" w:pos="9840"/>
        </w:tabs>
        <w:spacing w:after="120" w:line="360" w:lineRule="exact"/>
        <w:ind w:left="210" w:firstLine="210"/>
        <w:rPr>
          <w:bCs/>
        </w:rPr>
      </w:pPr>
      <w:r>
        <w:rPr>
          <w:rFonts w:hint="eastAsia"/>
          <w:bCs/>
        </w:rPr>
        <w:t>向所有地区的所有妇女提供生殖保健和性保健服务</w:t>
      </w:r>
      <w:r>
        <w:rPr>
          <w:bCs/>
        </w:rPr>
        <w:tab/>
      </w:r>
      <w:r>
        <w:rPr>
          <w:rFonts w:hint="eastAsia"/>
          <w:bCs/>
        </w:rPr>
        <w:t>33-38</w:t>
      </w:r>
      <w:r>
        <w:rPr>
          <w:rFonts w:hint="eastAsia"/>
          <w:bCs/>
        </w:rPr>
        <w:tab/>
        <w:t>28</w:t>
      </w:r>
    </w:p>
    <w:p w:rsidR="00000000" w:rsidRDefault="00821B8F">
      <w:pPr>
        <w:tabs>
          <w:tab w:val="center" w:leader="dot" w:pos="8640"/>
          <w:tab w:val="right" w:pos="9840"/>
        </w:tabs>
        <w:spacing w:after="120" w:line="360" w:lineRule="exact"/>
        <w:ind w:left="210" w:firstLine="210"/>
        <w:rPr>
          <w:bCs/>
        </w:rPr>
      </w:pPr>
      <w:r>
        <w:rPr>
          <w:rFonts w:hint="eastAsia"/>
          <w:bCs/>
        </w:rPr>
        <w:t>需要加强妇女在政治和公共生活中的参与</w:t>
      </w:r>
      <w:r>
        <w:rPr>
          <w:bCs/>
        </w:rPr>
        <w:tab/>
      </w:r>
      <w:r>
        <w:rPr>
          <w:rFonts w:hint="eastAsia"/>
          <w:bCs/>
        </w:rPr>
        <w:t>39-45</w:t>
      </w:r>
      <w:r>
        <w:rPr>
          <w:rFonts w:hint="eastAsia"/>
          <w:bCs/>
        </w:rPr>
        <w:tab/>
        <w:t>29</w:t>
      </w:r>
    </w:p>
    <w:p w:rsidR="00000000" w:rsidRDefault="00821B8F">
      <w:pPr>
        <w:tabs>
          <w:tab w:val="center" w:leader="dot" w:pos="9240"/>
          <w:tab w:val="right" w:pos="9840"/>
        </w:tabs>
        <w:spacing w:after="120" w:line="360" w:lineRule="exact"/>
        <w:rPr>
          <w:rFonts w:hint="eastAsia"/>
          <w:bCs/>
        </w:rPr>
      </w:pPr>
      <w:r>
        <w:rPr>
          <w:rFonts w:eastAsia="SimHei" w:hint="eastAsia"/>
          <w:bCs/>
          <w:color w:val="FF0000"/>
        </w:rPr>
        <w:t>第二部分：进展情况综述</w:t>
      </w:r>
      <w:r>
        <w:rPr>
          <w:bCs/>
        </w:rPr>
        <w:tab/>
      </w:r>
      <w:r>
        <w:rPr>
          <w:rFonts w:hint="eastAsia"/>
          <w:bCs/>
        </w:rPr>
        <w:tab/>
        <w:t>30</w:t>
      </w:r>
    </w:p>
    <w:p w:rsidR="00000000" w:rsidRDefault="00821B8F">
      <w:pPr>
        <w:tabs>
          <w:tab w:val="center" w:leader="dot" w:pos="9240"/>
          <w:tab w:val="right" w:pos="9840"/>
        </w:tabs>
        <w:spacing w:after="120" w:line="360" w:lineRule="exact"/>
        <w:ind w:left="210" w:firstLine="210"/>
        <w:rPr>
          <w:rFonts w:hint="eastAsia"/>
          <w:bCs/>
        </w:rPr>
      </w:pPr>
      <w:r>
        <w:rPr>
          <w:rFonts w:hint="eastAsia"/>
          <w:bCs/>
        </w:rPr>
        <w:t>背景</w:t>
      </w:r>
      <w:r>
        <w:rPr>
          <w:bCs/>
        </w:rPr>
        <w:tab/>
      </w:r>
      <w:r>
        <w:rPr>
          <w:rFonts w:hint="eastAsia"/>
          <w:bCs/>
        </w:rPr>
        <w:tab/>
        <w:t>30</w:t>
      </w:r>
    </w:p>
    <w:p w:rsidR="00000000" w:rsidRDefault="00821B8F">
      <w:pPr>
        <w:tabs>
          <w:tab w:val="center" w:leader="dot" w:pos="8640"/>
          <w:tab w:val="right" w:pos="9840"/>
        </w:tabs>
        <w:spacing w:after="120" w:line="360" w:lineRule="exact"/>
        <w:ind w:left="210" w:firstLine="210"/>
        <w:rPr>
          <w:bCs/>
        </w:rPr>
      </w:pPr>
      <w:r>
        <w:rPr>
          <w:rFonts w:hint="eastAsia"/>
          <w:bCs/>
        </w:rPr>
        <w:t>一、政治、经济、社会和文化的总体发展情况</w:t>
      </w:r>
      <w:r>
        <w:rPr>
          <w:bCs/>
        </w:rPr>
        <w:tab/>
      </w:r>
      <w:r>
        <w:rPr>
          <w:rFonts w:hint="eastAsia"/>
          <w:bCs/>
        </w:rPr>
        <w:t>46-85</w:t>
      </w:r>
      <w:r>
        <w:rPr>
          <w:rFonts w:hint="eastAsia"/>
          <w:bCs/>
        </w:rPr>
        <w:tab/>
        <w:t>30</w:t>
      </w:r>
    </w:p>
    <w:p w:rsidR="00000000" w:rsidRDefault="00821B8F">
      <w:pPr>
        <w:tabs>
          <w:tab w:val="center" w:leader="dot" w:pos="8640"/>
          <w:tab w:val="right" w:pos="9840"/>
        </w:tabs>
        <w:spacing w:after="120" w:line="360" w:lineRule="exact"/>
        <w:ind w:left="210" w:firstLine="210"/>
        <w:rPr>
          <w:bCs/>
        </w:rPr>
      </w:pPr>
      <w:r>
        <w:rPr>
          <w:rFonts w:hint="eastAsia"/>
          <w:bCs/>
        </w:rPr>
        <w:t>二、妇女状况的改变</w:t>
      </w:r>
      <w:r>
        <w:rPr>
          <w:bCs/>
        </w:rPr>
        <w:tab/>
      </w:r>
      <w:r>
        <w:rPr>
          <w:rFonts w:hint="eastAsia"/>
          <w:bCs/>
        </w:rPr>
        <w:t>86-103</w:t>
      </w:r>
      <w:r>
        <w:rPr>
          <w:rFonts w:hint="eastAsia"/>
          <w:bCs/>
        </w:rPr>
        <w:tab/>
        <w:t>41</w:t>
      </w:r>
    </w:p>
    <w:p w:rsidR="00000000" w:rsidRDefault="00821B8F">
      <w:pPr>
        <w:tabs>
          <w:tab w:val="center" w:leader="dot" w:pos="8640"/>
          <w:tab w:val="right" w:pos="9840"/>
        </w:tabs>
        <w:spacing w:after="120" w:line="360" w:lineRule="exact"/>
        <w:ind w:left="210" w:firstLine="210"/>
        <w:rPr>
          <w:bCs/>
        </w:rPr>
      </w:pPr>
      <w:r>
        <w:rPr>
          <w:rFonts w:hint="eastAsia"/>
          <w:bCs/>
        </w:rPr>
        <w:t>三、政策和方案框架：将性别观点纳入主流</w:t>
      </w:r>
      <w:r>
        <w:rPr>
          <w:bCs/>
        </w:rPr>
        <w:tab/>
      </w:r>
      <w:r>
        <w:rPr>
          <w:rFonts w:hint="eastAsia"/>
          <w:bCs/>
        </w:rPr>
        <w:t>104-113</w:t>
      </w:r>
      <w:r>
        <w:rPr>
          <w:rFonts w:hint="eastAsia"/>
          <w:bCs/>
        </w:rPr>
        <w:tab/>
        <w:t>45</w:t>
      </w:r>
    </w:p>
    <w:p w:rsidR="00000000" w:rsidRDefault="00821B8F">
      <w:pPr>
        <w:tabs>
          <w:tab w:val="center" w:leader="dot" w:pos="8640"/>
          <w:tab w:val="right" w:pos="9840"/>
        </w:tabs>
        <w:spacing w:after="120" w:line="360" w:lineRule="exact"/>
        <w:ind w:left="210" w:firstLine="210"/>
        <w:rPr>
          <w:bCs/>
        </w:rPr>
      </w:pPr>
      <w:r>
        <w:rPr>
          <w:rFonts w:hint="eastAsia"/>
          <w:bCs/>
        </w:rPr>
        <w:t>四、未解决的问题和菲律宾妇女仍然面临的障碍</w:t>
      </w:r>
      <w:r>
        <w:rPr>
          <w:bCs/>
        </w:rPr>
        <w:tab/>
      </w:r>
      <w:r>
        <w:rPr>
          <w:rFonts w:hint="eastAsia"/>
          <w:bCs/>
        </w:rPr>
        <w:t>114</w:t>
      </w:r>
      <w:r>
        <w:rPr>
          <w:rFonts w:hint="eastAsia"/>
          <w:bCs/>
        </w:rPr>
        <w:tab/>
        <w:t>47</w:t>
      </w:r>
    </w:p>
    <w:p w:rsidR="00000000" w:rsidRDefault="00821B8F">
      <w:pPr>
        <w:tabs>
          <w:tab w:val="center" w:leader="dot" w:pos="9240"/>
          <w:tab w:val="right" w:pos="9840"/>
        </w:tabs>
        <w:spacing w:after="120" w:line="360" w:lineRule="exact"/>
        <w:rPr>
          <w:rFonts w:hint="eastAsia"/>
          <w:bCs/>
        </w:rPr>
      </w:pPr>
      <w:r>
        <w:rPr>
          <w:rFonts w:eastAsia="SimHei" w:hint="eastAsia"/>
          <w:bCs/>
          <w:color w:val="FF0000"/>
        </w:rPr>
        <w:t>第三部分：关于公约各条款的报告</w:t>
      </w:r>
      <w:r>
        <w:rPr>
          <w:bCs/>
        </w:rPr>
        <w:tab/>
      </w:r>
      <w:r>
        <w:rPr>
          <w:rFonts w:hint="eastAsia"/>
          <w:bCs/>
        </w:rPr>
        <w:tab/>
        <w:t>49</w:t>
      </w:r>
    </w:p>
    <w:p w:rsidR="00000000" w:rsidRDefault="00821B8F">
      <w:pPr>
        <w:tabs>
          <w:tab w:val="center" w:leader="dot" w:pos="8640"/>
          <w:tab w:val="right" w:pos="9840"/>
        </w:tabs>
        <w:spacing w:after="120" w:line="360" w:lineRule="exact"/>
        <w:ind w:left="210" w:firstLine="210"/>
        <w:rPr>
          <w:bCs/>
        </w:rPr>
      </w:pPr>
      <w:r>
        <w:rPr>
          <w:rFonts w:hint="eastAsia"/>
          <w:bCs/>
        </w:rPr>
        <w:t>第一条：对妇女歧视的定义</w:t>
      </w:r>
      <w:r>
        <w:rPr>
          <w:bCs/>
        </w:rPr>
        <w:tab/>
      </w:r>
      <w:r>
        <w:rPr>
          <w:rFonts w:hint="eastAsia"/>
          <w:bCs/>
        </w:rPr>
        <w:t>115-120</w:t>
      </w:r>
      <w:r>
        <w:rPr>
          <w:rFonts w:hint="eastAsia"/>
          <w:bCs/>
        </w:rPr>
        <w:tab/>
        <w:t>49</w:t>
      </w:r>
    </w:p>
    <w:p w:rsidR="00000000" w:rsidRDefault="00821B8F">
      <w:pPr>
        <w:tabs>
          <w:tab w:val="center" w:leader="dot" w:pos="8640"/>
          <w:tab w:val="right" w:pos="9840"/>
        </w:tabs>
        <w:spacing w:after="120" w:line="360" w:lineRule="exact"/>
        <w:ind w:left="210" w:firstLine="210"/>
        <w:rPr>
          <w:bCs/>
        </w:rPr>
      </w:pPr>
      <w:r>
        <w:rPr>
          <w:rFonts w:hint="eastAsia"/>
          <w:bCs/>
        </w:rPr>
        <w:t>第二条：消除歧视的义务</w:t>
      </w:r>
      <w:r>
        <w:rPr>
          <w:bCs/>
        </w:rPr>
        <w:tab/>
      </w:r>
      <w:r>
        <w:rPr>
          <w:rFonts w:hint="eastAsia"/>
          <w:bCs/>
        </w:rPr>
        <w:t>121-137</w:t>
      </w:r>
      <w:r>
        <w:rPr>
          <w:rFonts w:hint="eastAsia"/>
          <w:bCs/>
        </w:rPr>
        <w:tab/>
        <w:t>51</w:t>
      </w:r>
    </w:p>
    <w:p w:rsidR="00000000" w:rsidRDefault="00821B8F">
      <w:pPr>
        <w:spacing w:afterLines="50" w:after="120" w:line="360" w:lineRule="atLeast"/>
        <w:jc w:val="center"/>
        <w:rPr>
          <w:rFonts w:eastAsia="SimHei" w:hint="eastAsia"/>
          <w:bCs/>
          <w:color w:val="FF0000"/>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r>
        <w:rPr>
          <w:rFonts w:eastAsia="KaiTi_GB2312" w:hint="eastAsia"/>
          <w:bCs/>
          <w:color w:val="0000FF"/>
          <w:sz w:val="28"/>
        </w:rPr>
        <w:t>（续）</w:t>
      </w:r>
    </w:p>
    <w:p w:rsidR="00000000" w:rsidRDefault="00821B8F">
      <w:pPr>
        <w:wordWrap w:val="0"/>
        <w:spacing w:after="120" w:line="320" w:lineRule="atLeast"/>
        <w:jc w:val="right"/>
        <w:rPr>
          <w:rFonts w:eastAsia="KaiTi_GB2312" w:hint="eastAsia"/>
          <w:bCs/>
          <w:color w:val="0000FF"/>
          <w:szCs w:val="21"/>
        </w:rPr>
      </w:pPr>
      <w:r>
        <w:rPr>
          <w:rFonts w:eastAsia="KaiTi_GB2312" w:hint="eastAsia"/>
          <w:bCs/>
          <w:color w:val="0000FF"/>
          <w:szCs w:val="21"/>
        </w:rPr>
        <w:t>段</w:t>
      </w:r>
      <w:r>
        <w:rPr>
          <w:rFonts w:eastAsia="KaiTi_GB2312" w:hint="eastAsia"/>
          <w:bCs/>
          <w:color w:val="0000FF"/>
          <w:szCs w:val="21"/>
        </w:rPr>
        <w:t xml:space="preserve"> </w:t>
      </w:r>
      <w:r>
        <w:rPr>
          <w:rFonts w:eastAsia="KaiTi_GB2312" w:hint="eastAsia"/>
          <w:bCs/>
          <w:color w:val="0000FF"/>
          <w:szCs w:val="21"/>
        </w:rPr>
        <w:t>次</w:t>
      </w:r>
      <w:r>
        <w:rPr>
          <w:rFonts w:eastAsia="KaiTi_GB2312" w:hint="eastAsia"/>
          <w:bCs/>
          <w:color w:val="0000FF"/>
          <w:szCs w:val="21"/>
        </w:rPr>
        <w:t xml:space="preserve">    </w:t>
      </w:r>
      <w:r>
        <w:rPr>
          <w:rFonts w:eastAsia="KaiTi_GB2312" w:hint="eastAsia"/>
          <w:bCs/>
          <w:color w:val="0000FF"/>
          <w:szCs w:val="21"/>
        </w:rPr>
        <w:t>页</w:t>
      </w:r>
      <w:r>
        <w:rPr>
          <w:rFonts w:eastAsia="KaiTi_GB2312" w:hint="eastAsia"/>
          <w:bCs/>
          <w:color w:val="0000FF"/>
          <w:szCs w:val="21"/>
        </w:rPr>
        <w:t xml:space="preserve"> </w:t>
      </w:r>
      <w:r>
        <w:rPr>
          <w:rFonts w:eastAsia="KaiTi_GB2312" w:hint="eastAsia"/>
          <w:bCs/>
          <w:color w:val="0000FF"/>
          <w:szCs w:val="21"/>
        </w:rPr>
        <w:t>次</w:t>
      </w:r>
    </w:p>
    <w:p w:rsidR="00000000" w:rsidRDefault="00821B8F">
      <w:pPr>
        <w:tabs>
          <w:tab w:val="center" w:leader="dot" w:pos="8640"/>
          <w:tab w:val="right" w:pos="9840"/>
        </w:tabs>
        <w:spacing w:after="120" w:line="360" w:lineRule="exact"/>
        <w:ind w:left="210" w:firstLine="210"/>
        <w:rPr>
          <w:bCs/>
        </w:rPr>
      </w:pPr>
      <w:r>
        <w:rPr>
          <w:rFonts w:hint="eastAsia"/>
          <w:bCs/>
        </w:rPr>
        <w:t>第三条：妇女的发展与进步</w:t>
      </w:r>
      <w:r>
        <w:rPr>
          <w:bCs/>
        </w:rPr>
        <w:tab/>
      </w:r>
      <w:r>
        <w:rPr>
          <w:rFonts w:hint="eastAsia"/>
          <w:bCs/>
        </w:rPr>
        <w:t>138-149</w:t>
      </w:r>
      <w:r>
        <w:rPr>
          <w:rFonts w:hint="eastAsia"/>
          <w:bCs/>
        </w:rPr>
        <w:tab/>
        <w:t>54</w:t>
      </w:r>
    </w:p>
    <w:p w:rsidR="00000000" w:rsidRDefault="00821B8F">
      <w:pPr>
        <w:tabs>
          <w:tab w:val="center" w:leader="dot" w:pos="8640"/>
          <w:tab w:val="right" w:pos="9840"/>
        </w:tabs>
        <w:spacing w:after="120" w:line="360" w:lineRule="exact"/>
        <w:ind w:left="210" w:firstLine="210"/>
        <w:rPr>
          <w:bCs/>
        </w:rPr>
      </w:pPr>
      <w:r>
        <w:rPr>
          <w:rFonts w:hint="eastAsia"/>
          <w:bCs/>
        </w:rPr>
        <w:t>第四条：加速实现男女平等</w:t>
      </w:r>
      <w:r>
        <w:rPr>
          <w:bCs/>
        </w:rPr>
        <w:tab/>
      </w:r>
      <w:r>
        <w:rPr>
          <w:rFonts w:hint="eastAsia"/>
          <w:bCs/>
        </w:rPr>
        <w:t>150-156</w:t>
      </w:r>
      <w:r>
        <w:rPr>
          <w:rFonts w:hint="eastAsia"/>
          <w:bCs/>
        </w:rPr>
        <w:tab/>
        <w:t>57</w:t>
      </w:r>
    </w:p>
    <w:p w:rsidR="00000000" w:rsidRDefault="00821B8F">
      <w:pPr>
        <w:tabs>
          <w:tab w:val="center" w:leader="dot" w:pos="8640"/>
          <w:tab w:val="right" w:pos="9840"/>
        </w:tabs>
        <w:spacing w:after="120" w:line="360" w:lineRule="exact"/>
        <w:ind w:left="210" w:firstLine="210"/>
        <w:rPr>
          <w:bCs/>
        </w:rPr>
      </w:pPr>
      <w:r>
        <w:rPr>
          <w:rFonts w:hint="eastAsia"/>
          <w:bCs/>
        </w:rPr>
        <w:t>第五条：性别角色和陈规定型观念</w:t>
      </w:r>
      <w:r>
        <w:rPr>
          <w:bCs/>
        </w:rPr>
        <w:tab/>
      </w:r>
      <w:r>
        <w:rPr>
          <w:rFonts w:hint="eastAsia"/>
          <w:bCs/>
        </w:rPr>
        <w:t>157-179</w:t>
      </w:r>
      <w:r>
        <w:rPr>
          <w:rFonts w:hint="eastAsia"/>
          <w:bCs/>
        </w:rPr>
        <w:tab/>
        <w:t>59</w:t>
      </w:r>
    </w:p>
    <w:p w:rsidR="00000000" w:rsidRDefault="00821B8F">
      <w:pPr>
        <w:tabs>
          <w:tab w:val="center" w:leader="dot" w:pos="8640"/>
          <w:tab w:val="right" w:pos="9840"/>
        </w:tabs>
        <w:spacing w:after="120" w:line="360" w:lineRule="exact"/>
        <w:ind w:left="210" w:firstLine="210"/>
        <w:rPr>
          <w:bCs/>
        </w:rPr>
      </w:pPr>
      <w:r>
        <w:rPr>
          <w:rFonts w:hint="eastAsia"/>
          <w:bCs/>
        </w:rPr>
        <w:t>第六条：对妇女的剥削（包括关于对妇女的暴力问题的一般性建议第</w:t>
      </w:r>
      <w:r>
        <w:rPr>
          <w:rFonts w:hint="eastAsia"/>
          <w:bCs/>
        </w:rPr>
        <w:t>19</w:t>
      </w:r>
      <w:r>
        <w:rPr>
          <w:rFonts w:hint="eastAsia"/>
          <w:bCs/>
        </w:rPr>
        <w:t>条）</w:t>
      </w:r>
      <w:r>
        <w:rPr>
          <w:bCs/>
        </w:rPr>
        <w:tab/>
      </w:r>
      <w:r>
        <w:rPr>
          <w:rFonts w:hint="eastAsia"/>
          <w:bCs/>
        </w:rPr>
        <w:t>180-235</w:t>
      </w:r>
      <w:r>
        <w:rPr>
          <w:rFonts w:hint="eastAsia"/>
          <w:bCs/>
        </w:rPr>
        <w:tab/>
        <w:t>63</w:t>
      </w:r>
    </w:p>
    <w:p w:rsidR="00000000" w:rsidRDefault="00821B8F">
      <w:pPr>
        <w:tabs>
          <w:tab w:val="center" w:leader="dot" w:pos="8640"/>
          <w:tab w:val="right" w:pos="9840"/>
        </w:tabs>
        <w:spacing w:after="120" w:line="360" w:lineRule="exact"/>
        <w:ind w:left="210" w:firstLine="210"/>
        <w:rPr>
          <w:bCs/>
        </w:rPr>
      </w:pPr>
      <w:r>
        <w:rPr>
          <w:rFonts w:hint="eastAsia"/>
          <w:bCs/>
        </w:rPr>
        <w:t>第七条：政治和公共生活</w:t>
      </w:r>
      <w:r>
        <w:rPr>
          <w:bCs/>
        </w:rPr>
        <w:tab/>
      </w:r>
      <w:r>
        <w:rPr>
          <w:rFonts w:hint="eastAsia"/>
          <w:bCs/>
        </w:rPr>
        <w:t>236-261</w:t>
      </w:r>
      <w:r>
        <w:rPr>
          <w:rFonts w:hint="eastAsia"/>
          <w:bCs/>
        </w:rPr>
        <w:tab/>
        <w:t>75</w:t>
      </w:r>
    </w:p>
    <w:p w:rsidR="00000000" w:rsidRDefault="00821B8F">
      <w:pPr>
        <w:tabs>
          <w:tab w:val="center" w:leader="dot" w:pos="8640"/>
          <w:tab w:val="right" w:pos="9840"/>
        </w:tabs>
        <w:spacing w:after="120" w:line="360" w:lineRule="exact"/>
        <w:ind w:left="210" w:firstLine="210"/>
        <w:rPr>
          <w:bCs/>
        </w:rPr>
      </w:pPr>
      <w:r>
        <w:rPr>
          <w:rFonts w:hint="eastAsia"/>
          <w:bCs/>
        </w:rPr>
        <w:t>第八条：在国际上的代表和参与</w:t>
      </w:r>
      <w:r>
        <w:rPr>
          <w:bCs/>
        </w:rPr>
        <w:tab/>
      </w:r>
      <w:r>
        <w:rPr>
          <w:rFonts w:hint="eastAsia"/>
          <w:bCs/>
        </w:rPr>
        <w:t>262-274</w:t>
      </w:r>
      <w:r>
        <w:rPr>
          <w:rFonts w:hint="eastAsia"/>
          <w:bCs/>
        </w:rPr>
        <w:tab/>
        <w:t>80</w:t>
      </w:r>
    </w:p>
    <w:p w:rsidR="00000000" w:rsidRDefault="00821B8F">
      <w:pPr>
        <w:tabs>
          <w:tab w:val="center" w:leader="dot" w:pos="8640"/>
          <w:tab w:val="right" w:pos="9840"/>
        </w:tabs>
        <w:spacing w:after="120" w:line="360" w:lineRule="exact"/>
        <w:ind w:left="210" w:firstLine="210"/>
        <w:rPr>
          <w:bCs/>
        </w:rPr>
      </w:pPr>
      <w:r>
        <w:rPr>
          <w:rFonts w:hint="eastAsia"/>
          <w:bCs/>
        </w:rPr>
        <w:t>第九条：国籍</w:t>
      </w:r>
      <w:r>
        <w:rPr>
          <w:bCs/>
        </w:rPr>
        <w:tab/>
      </w:r>
      <w:r>
        <w:rPr>
          <w:rFonts w:hint="eastAsia"/>
          <w:bCs/>
        </w:rPr>
        <w:t>275-282</w:t>
      </w:r>
      <w:r>
        <w:rPr>
          <w:rFonts w:hint="eastAsia"/>
          <w:bCs/>
        </w:rPr>
        <w:tab/>
        <w:t>82</w:t>
      </w:r>
    </w:p>
    <w:p w:rsidR="00000000" w:rsidRDefault="00821B8F">
      <w:pPr>
        <w:tabs>
          <w:tab w:val="center" w:leader="dot" w:pos="8640"/>
          <w:tab w:val="right" w:pos="9840"/>
        </w:tabs>
        <w:spacing w:after="120" w:line="360" w:lineRule="exact"/>
        <w:ind w:left="210" w:firstLine="210"/>
        <w:rPr>
          <w:bCs/>
        </w:rPr>
      </w:pPr>
      <w:r>
        <w:rPr>
          <w:rFonts w:hint="eastAsia"/>
          <w:bCs/>
        </w:rPr>
        <w:t>第十</w:t>
      </w:r>
      <w:r>
        <w:rPr>
          <w:rFonts w:hint="eastAsia"/>
          <w:bCs/>
        </w:rPr>
        <w:t>条：教育</w:t>
      </w:r>
      <w:r>
        <w:rPr>
          <w:bCs/>
        </w:rPr>
        <w:tab/>
      </w:r>
      <w:r>
        <w:rPr>
          <w:rFonts w:hint="eastAsia"/>
          <w:bCs/>
        </w:rPr>
        <w:t>283-323</w:t>
      </w:r>
      <w:r>
        <w:rPr>
          <w:rFonts w:hint="eastAsia"/>
          <w:bCs/>
        </w:rPr>
        <w:tab/>
        <w:t>83</w:t>
      </w:r>
    </w:p>
    <w:p w:rsidR="00000000" w:rsidRDefault="00821B8F">
      <w:pPr>
        <w:tabs>
          <w:tab w:val="center" w:leader="dot" w:pos="8640"/>
          <w:tab w:val="right" w:pos="9840"/>
        </w:tabs>
        <w:spacing w:after="120" w:line="360" w:lineRule="exact"/>
        <w:ind w:left="210" w:firstLine="210"/>
        <w:rPr>
          <w:bCs/>
        </w:rPr>
      </w:pPr>
      <w:r>
        <w:rPr>
          <w:rFonts w:hint="eastAsia"/>
          <w:bCs/>
        </w:rPr>
        <w:t>第十一条：就业</w:t>
      </w:r>
      <w:r>
        <w:rPr>
          <w:bCs/>
        </w:rPr>
        <w:tab/>
      </w:r>
      <w:r>
        <w:rPr>
          <w:rFonts w:hint="eastAsia"/>
          <w:bCs/>
        </w:rPr>
        <w:t>324-429</w:t>
      </w:r>
      <w:r>
        <w:rPr>
          <w:rFonts w:hint="eastAsia"/>
          <w:bCs/>
        </w:rPr>
        <w:tab/>
        <w:t>91</w:t>
      </w:r>
    </w:p>
    <w:p w:rsidR="00000000" w:rsidRDefault="00821B8F">
      <w:pPr>
        <w:tabs>
          <w:tab w:val="center" w:leader="dot" w:pos="8640"/>
          <w:tab w:val="right" w:pos="9840"/>
        </w:tabs>
        <w:spacing w:after="120" w:line="360" w:lineRule="exact"/>
        <w:ind w:left="210" w:firstLine="210"/>
        <w:rPr>
          <w:bCs/>
        </w:rPr>
      </w:pPr>
      <w:r>
        <w:rPr>
          <w:rFonts w:hint="eastAsia"/>
          <w:bCs/>
        </w:rPr>
        <w:t>第十二条：平等享有健康</w:t>
      </w:r>
      <w:r>
        <w:rPr>
          <w:bCs/>
        </w:rPr>
        <w:tab/>
      </w:r>
      <w:r>
        <w:rPr>
          <w:rFonts w:hint="eastAsia"/>
          <w:bCs/>
        </w:rPr>
        <w:t>430-482</w:t>
      </w:r>
      <w:r>
        <w:rPr>
          <w:rFonts w:hint="eastAsia"/>
          <w:bCs/>
        </w:rPr>
        <w:tab/>
        <w:t>112</w:t>
      </w:r>
    </w:p>
    <w:p w:rsidR="00000000" w:rsidRDefault="00821B8F">
      <w:pPr>
        <w:tabs>
          <w:tab w:val="center" w:leader="dot" w:pos="8640"/>
          <w:tab w:val="right" w:pos="9840"/>
        </w:tabs>
        <w:spacing w:after="120" w:line="360" w:lineRule="exact"/>
        <w:ind w:left="210" w:firstLine="210"/>
        <w:rPr>
          <w:bCs/>
        </w:rPr>
      </w:pPr>
      <w:r>
        <w:rPr>
          <w:rFonts w:hint="eastAsia"/>
          <w:bCs/>
        </w:rPr>
        <w:t>第十三条：社会和经济福利</w:t>
      </w:r>
      <w:r>
        <w:rPr>
          <w:bCs/>
        </w:rPr>
        <w:tab/>
      </w:r>
      <w:r>
        <w:rPr>
          <w:rFonts w:hint="eastAsia"/>
          <w:bCs/>
        </w:rPr>
        <w:t>483-501</w:t>
      </w:r>
      <w:r>
        <w:rPr>
          <w:rFonts w:hint="eastAsia"/>
          <w:bCs/>
        </w:rPr>
        <w:tab/>
        <w:t>124</w:t>
      </w:r>
    </w:p>
    <w:p w:rsidR="00000000" w:rsidRDefault="00821B8F">
      <w:pPr>
        <w:tabs>
          <w:tab w:val="center" w:leader="dot" w:pos="8640"/>
          <w:tab w:val="right" w:pos="9840"/>
        </w:tabs>
        <w:spacing w:after="120" w:line="360" w:lineRule="exact"/>
        <w:ind w:left="210" w:firstLine="210"/>
        <w:rPr>
          <w:bCs/>
        </w:rPr>
      </w:pPr>
      <w:r>
        <w:rPr>
          <w:rFonts w:hint="eastAsia"/>
          <w:bCs/>
        </w:rPr>
        <w:t>第十四条：农村妇女</w:t>
      </w:r>
      <w:r>
        <w:rPr>
          <w:bCs/>
        </w:rPr>
        <w:tab/>
      </w:r>
      <w:r>
        <w:rPr>
          <w:rFonts w:hint="eastAsia"/>
          <w:bCs/>
        </w:rPr>
        <w:t>502-528</w:t>
      </w:r>
      <w:r>
        <w:rPr>
          <w:rFonts w:hint="eastAsia"/>
          <w:bCs/>
        </w:rPr>
        <w:tab/>
        <w:t>128</w:t>
      </w:r>
    </w:p>
    <w:p w:rsidR="00000000" w:rsidRDefault="00821B8F">
      <w:pPr>
        <w:tabs>
          <w:tab w:val="center" w:leader="dot" w:pos="8640"/>
          <w:tab w:val="right" w:pos="9840"/>
        </w:tabs>
        <w:spacing w:after="120" w:line="360" w:lineRule="exact"/>
        <w:ind w:left="210" w:firstLine="210"/>
        <w:rPr>
          <w:bCs/>
        </w:rPr>
      </w:pPr>
      <w:r>
        <w:rPr>
          <w:rFonts w:hint="eastAsia"/>
          <w:bCs/>
        </w:rPr>
        <w:t>第十五条：法律与民事事务中的平等</w:t>
      </w:r>
      <w:r>
        <w:rPr>
          <w:bCs/>
        </w:rPr>
        <w:tab/>
      </w:r>
      <w:r>
        <w:rPr>
          <w:rFonts w:hint="eastAsia"/>
          <w:bCs/>
        </w:rPr>
        <w:t>529-543</w:t>
      </w:r>
      <w:r>
        <w:rPr>
          <w:rFonts w:hint="eastAsia"/>
          <w:bCs/>
        </w:rPr>
        <w:tab/>
        <w:t>133</w:t>
      </w:r>
    </w:p>
    <w:p w:rsidR="00000000" w:rsidRDefault="00821B8F">
      <w:pPr>
        <w:tabs>
          <w:tab w:val="center" w:leader="dot" w:pos="8640"/>
          <w:tab w:val="right" w:pos="9840"/>
        </w:tabs>
        <w:spacing w:after="120" w:line="360" w:lineRule="exact"/>
        <w:ind w:left="210" w:firstLine="210"/>
        <w:rPr>
          <w:bCs/>
        </w:rPr>
      </w:pPr>
      <w:r>
        <w:rPr>
          <w:rFonts w:hint="eastAsia"/>
          <w:bCs/>
        </w:rPr>
        <w:t>第十六条：婚姻和家庭关系方面的平等</w:t>
      </w:r>
      <w:r>
        <w:rPr>
          <w:bCs/>
        </w:rPr>
        <w:tab/>
      </w:r>
      <w:r>
        <w:rPr>
          <w:rFonts w:hint="eastAsia"/>
          <w:bCs/>
        </w:rPr>
        <w:t>544-561</w:t>
      </w:r>
      <w:r>
        <w:rPr>
          <w:rFonts w:hint="eastAsia"/>
          <w:bCs/>
        </w:rPr>
        <w:tab/>
        <w:t>135</w:t>
      </w:r>
    </w:p>
    <w:p w:rsidR="00000000" w:rsidRDefault="00821B8F">
      <w:pPr>
        <w:tabs>
          <w:tab w:val="center" w:leader="dot" w:pos="9240"/>
          <w:tab w:val="right" w:pos="9840"/>
        </w:tabs>
        <w:spacing w:after="120" w:line="360" w:lineRule="exact"/>
        <w:rPr>
          <w:rFonts w:hint="eastAsia"/>
          <w:bCs/>
        </w:rPr>
      </w:pPr>
      <w:r>
        <w:rPr>
          <w:rFonts w:eastAsia="SimHei" w:hint="eastAsia"/>
          <w:bCs/>
          <w:color w:val="FF0000"/>
        </w:rPr>
        <w:t>参考文献</w:t>
      </w:r>
      <w:r>
        <w:rPr>
          <w:bCs/>
        </w:rPr>
        <w:tab/>
      </w:r>
      <w:r>
        <w:rPr>
          <w:rFonts w:hint="eastAsia"/>
          <w:bCs/>
        </w:rPr>
        <w:tab/>
        <w:t>139</w:t>
      </w:r>
    </w:p>
    <w:p w:rsidR="00000000" w:rsidRDefault="00821B8F">
      <w:pPr>
        <w:tabs>
          <w:tab w:val="center" w:leader="dot" w:pos="9240"/>
          <w:tab w:val="right" w:pos="9840"/>
        </w:tabs>
        <w:spacing w:after="120" w:line="360" w:lineRule="exact"/>
        <w:rPr>
          <w:rFonts w:hint="eastAsia"/>
          <w:bCs/>
        </w:rPr>
      </w:pPr>
      <w:r>
        <w:rPr>
          <w:rFonts w:eastAsia="SimHei" w:hint="eastAsia"/>
          <w:bCs/>
          <w:color w:val="FF0000"/>
        </w:rPr>
        <w:t>附件</w:t>
      </w:r>
      <w:r>
        <w:rPr>
          <w:bCs/>
        </w:rPr>
        <w:tab/>
      </w:r>
      <w:r>
        <w:rPr>
          <w:rFonts w:hint="eastAsia"/>
          <w:bCs/>
        </w:rPr>
        <w:tab/>
        <w:t>152</w:t>
      </w:r>
    </w:p>
    <w:p w:rsidR="00000000" w:rsidRDefault="00821B8F" w:rsidP="00821B8F">
      <w:pPr>
        <w:tabs>
          <w:tab w:val="center" w:leader="dot" w:pos="9240"/>
          <w:tab w:val="right" w:pos="9840"/>
        </w:tabs>
        <w:spacing w:after="120" w:line="360" w:lineRule="exact"/>
        <w:ind w:left="31680" w:hangingChars="200" w:firstLine="31680"/>
        <w:rPr>
          <w:rFonts w:hint="eastAsia"/>
          <w:bCs/>
        </w:rPr>
      </w:pPr>
      <w:r>
        <w:rPr>
          <w:rFonts w:hint="eastAsia"/>
          <w:bCs/>
        </w:rPr>
        <w:t>A</w:t>
      </w:r>
      <w:r>
        <w:rPr>
          <w:rFonts w:hint="eastAsia"/>
          <w:bCs/>
        </w:rPr>
        <w:t>–</w:t>
      </w:r>
      <w:r>
        <w:rPr>
          <w:rFonts w:hint="eastAsia"/>
          <w:bCs/>
        </w:rPr>
        <w:tab/>
      </w:r>
      <w:r>
        <w:rPr>
          <w:rFonts w:hint="eastAsia"/>
          <w:bCs/>
        </w:rPr>
        <w:t>正文附表</w:t>
      </w:r>
      <w:r>
        <w:rPr>
          <w:bCs/>
        </w:rPr>
        <w:tab/>
      </w:r>
      <w:r>
        <w:rPr>
          <w:rFonts w:hint="eastAsia"/>
          <w:bCs/>
        </w:rPr>
        <w:tab/>
        <w:t>152</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w:t>
      </w:r>
      <w:r>
        <w:rPr>
          <w:rFonts w:hint="eastAsia"/>
          <w:bCs/>
        </w:rPr>
        <w:t>–</w:t>
      </w:r>
      <w:r>
        <w:rPr>
          <w:rFonts w:hint="eastAsia"/>
          <w:bCs/>
        </w:rPr>
        <w:tab/>
      </w:r>
      <w:r>
        <w:rPr>
          <w:rFonts w:hint="eastAsia"/>
          <w:bCs/>
        </w:rPr>
        <w:t>菲律宾执行北京行动纲要的进展报告（</w:t>
      </w:r>
      <w:r>
        <w:rPr>
          <w:rFonts w:hint="eastAsia"/>
          <w:bCs/>
        </w:rPr>
        <w:t>2001-2003</w:t>
      </w:r>
      <w:r>
        <w:rPr>
          <w:rFonts w:hint="eastAsia"/>
          <w:bCs/>
        </w:rPr>
        <w:t>年）和成果文件</w:t>
      </w:r>
      <w:r>
        <w:rPr>
          <w:rFonts w:hint="eastAsia"/>
          <w:bCs/>
        </w:rPr>
        <w:tab/>
      </w:r>
      <w:r>
        <w:rPr>
          <w:rFonts w:hint="eastAsia"/>
          <w:bCs/>
        </w:rPr>
        <w:tab/>
        <w:t>160</w:t>
      </w:r>
    </w:p>
    <w:p w:rsidR="00000000" w:rsidRDefault="00821B8F" w:rsidP="00821B8F">
      <w:pPr>
        <w:tabs>
          <w:tab w:val="center" w:leader="dot" w:pos="8640"/>
          <w:tab w:val="right" w:pos="9840"/>
        </w:tabs>
        <w:spacing w:after="120" w:line="360" w:lineRule="exact"/>
        <w:ind w:left="31680" w:hangingChars="200" w:firstLine="31680"/>
        <w:rPr>
          <w:bCs/>
        </w:rPr>
      </w:pPr>
      <w:r>
        <w:rPr>
          <w:rFonts w:hint="eastAsia"/>
          <w:bCs/>
        </w:rPr>
        <w:t>说明：附件</w:t>
      </w:r>
      <w:r>
        <w:rPr>
          <w:rFonts w:hint="eastAsia"/>
          <w:bCs/>
        </w:rPr>
        <w:t>B</w:t>
      </w:r>
      <w:r>
        <w:rPr>
          <w:rFonts w:hint="eastAsia"/>
          <w:bCs/>
        </w:rPr>
        <w:t>提到的报告将以其收文时所</w:t>
      </w:r>
      <w:r>
        <w:rPr>
          <w:rFonts w:hint="eastAsia"/>
          <w:bCs/>
        </w:rPr>
        <w:t>用的语言发给委员会各位委员。</w:t>
      </w:r>
    </w:p>
    <w:p w:rsidR="00000000" w:rsidRDefault="00821B8F">
      <w:pPr>
        <w:tabs>
          <w:tab w:val="center" w:leader="dot" w:pos="9240"/>
          <w:tab w:val="right" w:pos="9840"/>
        </w:tabs>
        <w:spacing w:after="120" w:line="360" w:lineRule="exact"/>
        <w:jc w:val="center"/>
        <w:rPr>
          <w:rFonts w:eastAsia="SimHei"/>
          <w:bCs/>
          <w:color w:val="FF0000"/>
        </w:rPr>
      </w:pPr>
      <w:r>
        <w:rPr>
          <w:rFonts w:eastAsia="SimHei" w:hint="eastAsia"/>
          <w:bCs/>
          <w:color w:val="FF0000"/>
        </w:rPr>
        <w:t>附件</w:t>
      </w:r>
      <w:r>
        <w:rPr>
          <w:rFonts w:eastAsia="SimHei" w:hint="eastAsia"/>
          <w:bCs/>
          <w:color w:val="FF0000"/>
        </w:rPr>
        <w:t>A</w:t>
      </w:r>
      <w:r>
        <w:rPr>
          <w:rFonts w:eastAsia="SimHei" w:hint="eastAsia"/>
          <w:bCs/>
          <w:color w:val="FF0000"/>
        </w:rPr>
        <w:t>的表格目录</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B10</w:t>
      </w:r>
      <w:r>
        <w:rPr>
          <w:bCs/>
        </w:rPr>
        <w:t>.</w:t>
      </w:r>
      <w:r>
        <w:rPr>
          <w:rFonts w:hint="eastAsia"/>
          <w:bCs/>
        </w:rPr>
        <w:t>1</w:t>
      </w:r>
      <w:r>
        <w:rPr>
          <w:bCs/>
        </w:rPr>
        <w:t xml:space="preserve">. </w:t>
      </w:r>
      <w:r>
        <w:rPr>
          <w:rFonts w:hint="eastAsia"/>
          <w:bCs/>
        </w:rPr>
        <w:t xml:space="preserve"> </w:t>
      </w:r>
      <w:r>
        <w:rPr>
          <w:rFonts w:hint="eastAsia"/>
          <w:bCs/>
          <w:color w:val="000000"/>
          <w:szCs w:val="21"/>
        </w:rPr>
        <w:t>按受教育程度分列的男女儿童的净入学率和同侪保持率</w:t>
      </w:r>
      <w:r>
        <w:rPr>
          <w:rFonts w:hint="eastAsia"/>
          <w:bCs/>
        </w:rPr>
        <w:tab/>
      </w:r>
      <w:r>
        <w:rPr>
          <w:rFonts w:hint="eastAsia"/>
          <w:bCs/>
        </w:rPr>
        <w:tab/>
        <w:t>153</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B10</w:t>
      </w:r>
      <w:r>
        <w:rPr>
          <w:bCs/>
        </w:rPr>
        <w:t>.</w:t>
      </w:r>
      <w:r>
        <w:rPr>
          <w:rFonts w:hint="eastAsia"/>
          <w:bCs/>
        </w:rPr>
        <w:t>2</w:t>
      </w:r>
      <w:r>
        <w:rPr>
          <w:bCs/>
        </w:rPr>
        <w:t>.</w:t>
      </w:r>
      <w:r>
        <w:rPr>
          <w:rFonts w:hint="eastAsia"/>
          <w:bCs/>
        </w:rPr>
        <w:t xml:space="preserve">  </w:t>
      </w:r>
      <w:r>
        <w:rPr>
          <w:rFonts w:hint="eastAsia"/>
          <w:bCs/>
          <w:color w:val="000000"/>
          <w:szCs w:val="21"/>
        </w:rPr>
        <w:t>选定年份按性别分列的高等教育入学率</w:t>
      </w:r>
      <w:r>
        <w:rPr>
          <w:rFonts w:hint="eastAsia"/>
          <w:bCs/>
        </w:rPr>
        <w:tab/>
      </w:r>
      <w:r>
        <w:rPr>
          <w:rFonts w:hint="eastAsia"/>
          <w:bCs/>
        </w:rPr>
        <w:tab/>
        <w:t>153</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B10</w:t>
      </w:r>
      <w:r>
        <w:rPr>
          <w:bCs/>
        </w:rPr>
        <w:t>.</w:t>
      </w:r>
      <w:r>
        <w:rPr>
          <w:rFonts w:hint="eastAsia"/>
          <w:bCs/>
        </w:rPr>
        <w:t>3</w:t>
      </w:r>
      <w:r>
        <w:rPr>
          <w:bCs/>
        </w:rPr>
        <w:t>.</w:t>
      </w:r>
      <w:r>
        <w:rPr>
          <w:rFonts w:hint="eastAsia"/>
          <w:bCs/>
        </w:rPr>
        <w:t xml:space="preserve">  </w:t>
      </w:r>
      <w:r>
        <w:rPr>
          <w:rFonts w:hint="eastAsia"/>
          <w:bCs/>
          <w:color w:val="000000"/>
          <w:szCs w:val="21"/>
        </w:rPr>
        <w:t>与性别有关的高等教育入学率选定的统计数据</w:t>
      </w:r>
      <w:r>
        <w:rPr>
          <w:rFonts w:hint="eastAsia"/>
          <w:bCs/>
        </w:rPr>
        <w:tab/>
      </w:r>
      <w:r>
        <w:rPr>
          <w:rFonts w:hint="eastAsia"/>
          <w:bCs/>
        </w:rPr>
        <w:tab/>
        <w:t>154</w:t>
      </w:r>
    </w:p>
    <w:p w:rsidR="00000000" w:rsidRDefault="00821B8F">
      <w:pPr>
        <w:spacing w:afterLines="50" w:after="120" w:line="360" w:lineRule="atLeast"/>
        <w:jc w:val="center"/>
        <w:rPr>
          <w:rFonts w:eastAsia="SimHei" w:hint="eastAsia"/>
          <w:bCs/>
          <w:color w:val="FF0000"/>
          <w:sz w:val="28"/>
        </w:rPr>
      </w:pPr>
      <w:r>
        <w:rPr>
          <w:rFonts w:eastAsia="SimHei" w:hint="eastAsia"/>
          <w:bCs/>
          <w:color w:val="FF0000"/>
          <w:sz w:val="28"/>
        </w:rPr>
        <w:t>目</w:t>
      </w:r>
      <w:r>
        <w:rPr>
          <w:rFonts w:eastAsia="SimHei"/>
          <w:bCs/>
          <w:color w:val="FF0000"/>
          <w:sz w:val="28"/>
        </w:rPr>
        <w:t xml:space="preserve"> </w:t>
      </w:r>
      <w:r>
        <w:rPr>
          <w:rFonts w:eastAsia="SimHei" w:hint="eastAsia"/>
          <w:bCs/>
          <w:color w:val="FF0000"/>
          <w:sz w:val="28"/>
        </w:rPr>
        <w:t>录</w:t>
      </w:r>
      <w:r>
        <w:rPr>
          <w:rFonts w:eastAsia="KaiTi_GB2312" w:hint="eastAsia"/>
          <w:bCs/>
          <w:color w:val="0000FF"/>
          <w:sz w:val="28"/>
        </w:rPr>
        <w:t>（续）</w:t>
      </w:r>
    </w:p>
    <w:p w:rsidR="00000000" w:rsidRDefault="00821B8F">
      <w:pPr>
        <w:wordWrap w:val="0"/>
        <w:spacing w:after="120" w:line="320" w:lineRule="atLeast"/>
        <w:jc w:val="right"/>
        <w:rPr>
          <w:rFonts w:eastAsia="KaiTi_GB2312" w:hint="eastAsia"/>
          <w:bCs/>
          <w:color w:val="0000FF"/>
          <w:szCs w:val="21"/>
        </w:rPr>
      </w:pPr>
      <w:r>
        <w:rPr>
          <w:rFonts w:eastAsia="KaiTi_GB2312" w:hint="eastAsia"/>
          <w:bCs/>
          <w:color w:val="0000FF"/>
          <w:szCs w:val="21"/>
        </w:rPr>
        <w:t>段</w:t>
      </w:r>
      <w:r>
        <w:rPr>
          <w:rFonts w:eastAsia="KaiTi_GB2312" w:hint="eastAsia"/>
          <w:bCs/>
          <w:color w:val="0000FF"/>
          <w:szCs w:val="21"/>
        </w:rPr>
        <w:t xml:space="preserve"> </w:t>
      </w:r>
      <w:r>
        <w:rPr>
          <w:rFonts w:eastAsia="KaiTi_GB2312" w:hint="eastAsia"/>
          <w:bCs/>
          <w:color w:val="0000FF"/>
          <w:szCs w:val="21"/>
        </w:rPr>
        <w:t>次</w:t>
      </w:r>
      <w:r>
        <w:rPr>
          <w:rFonts w:eastAsia="KaiTi_GB2312" w:hint="eastAsia"/>
          <w:bCs/>
          <w:color w:val="0000FF"/>
          <w:szCs w:val="21"/>
        </w:rPr>
        <w:t xml:space="preserve">    </w:t>
      </w:r>
      <w:r>
        <w:rPr>
          <w:rFonts w:eastAsia="KaiTi_GB2312" w:hint="eastAsia"/>
          <w:bCs/>
          <w:color w:val="0000FF"/>
          <w:szCs w:val="21"/>
        </w:rPr>
        <w:t>页</w:t>
      </w:r>
      <w:r>
        <w:rPr>
          <w:rFonts w:eastAsia="KaiTi_GB2312" w:hint="eastAsia"/>
          <w:bCs/>
          <w:color w:val="0000FF"/>
          <w:szCs w:val="21"/>
        </w:rPr>
        <w:t xml:space="preserve"> </w:t>
      </w:r>
      <w:r>
        <w:rPr>
          <w:rFonts w:eastAsia="KaiTi_GB2312" w:hint="eastAsia"/>
          <w:bCs/>
          <w:color w:val="0000FF"/>
          <w:szCs w:val="21"/>
        </w:rPr>
        <w:t>次</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B10</w:t>
      </w:r>
      <w:r>
        <w:rPr>
          <w:bCs/>
        </w:rPr>
        <w:t xml:space="preserve">.4.  </w:t>
      </w:r>
      <w:r>
        <w:rPr>
          <w:rFonts w:hint="eastAsia"/>
          <w:bCs/>
          <w:color w:val="000000"/>
          <w:szCs w:val="21"/>
        </w:rPr>
        <w:t>2002-2003</w:t>
      </w:r>
      <w:r>
        <w:rPr>
          <w:rFonts w:hint="eastAsia"/>
          <w:bCs/>
          <w:color w:val="000000"/>
          <w:szCs w:val="21"/>
        </w:rPr>
        <w:t>学年按方案和性别分列的高等教育委员会奖学金</w:t>
      </w:r>
      <w:r>
        <w:rPr>
          <w:rFonts w:hint="eastAsia"/>
          <w:bCs/>
        </w:rPr>
        <w:tab/>
      </w:r>
      <w:r>
        <w:rPr>
          <w:rFonts w:hint="eastAsia"/>
          <w:bCs/>
        </w:rPr>
        <w:tab/>
        <w:t>155</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B10</w:t>
      </w:r>
      <w:r>
        <w:rPr>
          <w:bCs/>
        </w:rPr>
        <w:t>.</w:t>
      </w:r>
      <w:r>
        <w:rPr>
          <w:rFonts w:hint="eastAsia"/>
          <w:bCs/>
        </w:rPr>
        <w:t>5</w:t>
      </w:r>
      <w:r>
        <w:rPr>
          <w:bCs/>
        </w:rPr>
        <w:t>.</w:t>
      </w:r>
      <w:r>
        <w:rPr>
          <w:rFonts w:hint="eastAsia"/>
          <w:bCs/>
        </w:rPr>
        <w:t xml:space="preserve">  </w:t>
      </w:r>
      <w:r>
        <w:rPr>
          <w:rFonts w:hint="eastAsia"/>
          <w:bCs/>
          <w:color w:val="000000"/>
          <w:szCs w:val="21"/>
        </w:rPr>
        <w:t>技术教育和技能发展管理局非传统技能培训课程妇女毕业生人数，</w:t>
      </w:r>
      <w:r>
        <w:rPr>
          <w:rFonts w:hint="eastAsia"/>
          <w:bCs/>
          <w:color w:val="000000"/>
          <w:szCs w:val="21"/>
        </w:rPr>
        <w:t>1998-2001</w:t>
      </w:r>
      <w:r>
        <w:rPr>
          <w:rFonts w:hint="eastAsia"/>
          <w:bCs/>
          <w:color w:val="000000"/>
          <w:szCs w:val="21"/>
        </w:rPr>
        <w:t>年</w:t>
      </w:r>
      <w:r>
        <w:rPr>
          <w:rFonts w:hint="eastAsia"/>
          <w:bCs/>
        </w:rPr>
        <w:tab/>
      </w:r>
      <w:r>
        <w:rPr>
          <w:rFonts w:hint="eastAsia"/>
          <w:bCs/>
        </w:rPr>
        <w:tab/>
        <w:t>155</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B11</w:t>
      </w:r>
      <w:r>
        <w:rPr>
          <w:bCs/>
        </w:rPr>
        <w:t>.</w:t>
      </w:r>
      <w:r>
        <w:rPr>
          <w:rFonts w:hint="eastAsia"/>
          <w:bCs/>
        </w:rPr>
        <w:t>1</w:t>
      </w:r>
      <w:r>
        <w:rPr>
          <w:bCs/>
        </w:rPr>
        <w:t>.</w:t>
      </w:r>
      <w:r>
        <w:rPr>
          <w:rFonts w:hint="eastAsia"/>
          <w:bCs/>
        </w:rPr>
        <w:t xml:space="preserve">  </w:t>
      </w:r>
      <w:r>
        <w:rPr>
          <w:rFonts w:hint="eastAsia"/>
          <w:bCs/>
          <w:szCs w:val="21"/>
        </w:rPr>
        <w:t>按劳动者性别</w:t>
      </w:r>
      <w:r>
        <w:rPr>
          <w:rFonts w:hint="eastAsia"/>
          <w:bCs/>
          <w:szCs w:val="21"/>
        </w:rPr>
        <w:t>分列的城乡地区劳动力参与率（</w:t>
      </w:r>
      <w:r>
        <w:rPr>
          <w:rFonts w:hint="eastAsia"/>
          <w:bCs/>
          <w:szCs w:val="21"/>
        </w:rPr>
        <w:t>%</w:t>
      </w:r>
      <w:r>
        <w:rPr>
          <w:rFonts w:hint="eastAsia"/>
          <w:bCs/>
          <w:szCs w:val="21"/>
        </w:rPr>
        <w:t>）（</w:t>
      </w:r>
      <w:r>
        <w:rPr>
          <w:rFonts w:hint="eastAsia"/>
          <w:bCs/>
          <w:szCs w:val="21"/>
        </w:rPr>
        <w:t>10</w:t>
      </w:r>
      <w:r>
        <w:rPr>
          <w:rFonts w:hint="eastAsia"/>
          <w:bCs/>
          <w:szCs w:val="21"/>
        </w:rPr>
        <w:t>月份调查）</w:t>
      </w:r>
      <w:r>
        <w:rPr>
          <w:rFonts w:hint="eastAsia"/>
          <w:bCs/>
        </w:rPr>
        <w:tab/>
      </w:r>
      <w:r>
        <w:rPr>
          <w:rFonts w:hint="eastAsia"/>
          <w:bCs/>
        </w:rPr>
        <w:tab/>
        <w:t>156</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B11</w:t>
      </w:r>
      <w:r>
        <w:rPr>
          <w:bCs/>
        </w:rPr>
        <w:t>.</w:t>
      </w:r>
      <w:r>
        <w:rPr>
          <w:rFonts w:hint="eastAsia"/>
          <w:bCs/>
        </w:rPr>
        <w:t>2</w:t>
      </w:r>
      <w:r>
        <w:rPr>
          <w:bCs/>
        </w:rPr>
        <w:t>.</w:t>
      </w:r>
      <w:r>
        <w:rPr>
          <w:rFonts w:hint="eastAsia"/>
          <w:bCs/>
        </w:rPr>
        <w:t xml:space="preserve">  </w:t>
      </w:r>
      <w:r>
        <w:rPr>
          <w:rFonts w:hint="eastAsia"/>
          <w:bCs/>
          <w:color w:val="000000"/>
          <w:szCs w:val="21"/>
        </w:rPr>
        <w:t>按劳动者年龄和性别分列的劳动力参与率（</w:t>
      </w:r>
      <w:r>
        <w:rPr>
          <w:rFonts w:hint="eastAsia"/>
          <w:bCs/>
          <w:color w:val="000000"/>
          <w:szCs w:val="21"/>
        </w:rPr>
        <w:t>%</w:t>
      </w:r>
      <w:r>
        <w:rPr>
          <w:rFonts w:hint="eastAsia"/>
          <w:bCs/>
          <w:color w:val="000000"/>
          <w:szCs w:val="21"/>
        </w:rPr>
        <w:t>）（</w:t>
      </w:r>
      <w:r>
        <w:rPr>
          <w:rFonts w:hint="eastAsia"/>
          <w:bCs/>
          <w:color w:val="000000"/>
          <w:szCs w:val="21"/>
        </w:rPr>
        <w:t>10</w:t>
      </w:r>
      <w:r>
        <w:rPr>
          <w:rFonts w:hint="eastAsia"/>
          <w:bCs/>
          <w:color w:val="000000"/>
          <w:szCs w:val="21"/>
        </w:rPr>
        <w:t>月份调查）</w:t>
      </w:r>
      <w:r>
        <w:rPr>
          <w:rFonts w:hint="eastAsia"/>
          <w:bCs/>
        </w:rPr>
        <w:tab/>
      </w:r>
      <w:r>
        <w:rPr>
          <w:rFonts w:hint="eastAsia"/>
          <w:bCs/>
        </w:rPr>
        <w:tab/>
        <w:t>156</w:t>
      </w:r>
    </w:p>
    <w:p w:rsidR="00000000" w:rsidRDefault="00821B8F" w:rsidP="00821B8F">
      <w:pPr>
        <w:tabs>
          <w:tab w:val="center" w:leader="dot" w:pos="9240"/>
          <w:tab w:val="right" w:pos="9840"/>
        </w:tabs>
        <w:spacing w:after="120" w:line="360" w:lineRule="exact"/>
        <w:ind w:left="31680" w:hangingChars="370" w:firstLine="31680"/>
        <w:rPr>
          <w:bCs/>
        </w:rPr>
      </w:pPr>
      <w:r>
        <w:rPr>
          <w:rFonts w:hint="eastAsia"/>
          <w:bCs/>
        </w:rPr>
        <w:t>B11</w:t>
      </w:r>
      <w:r>
        <w:rPr>
          <w:bCs/>
        </w:rPr>
        <w:t>.</w:t>
      </w:r>
      <w:r>
        <w:rPr>
          <w:rFonts w:hint="eastAsia"/>
          <w:bCs/>
        </w:rPr>
        <w:t>3</w:t>
      </w:r>
      <w:r>
        <w:rPr>
          <w:bCs/>
        </w:rPr>
        <w:t>.</w:t>
      </w:r>
      <w:r>
        <w:rPr>
          <w:rFonts w:hint="eastAsia"/>
          <w:bCs/>
        </w:rPr>
        <w:t xml:space="preserve">  </w:t>
      </w:r>
      <w:r>
        <w:rPr>
          <w:rFonts w:hint="eastAsia"/>
          <w:bCs/>
        </w:rPr>
        <w:tab/>
      </w:r>
      <w:r>
        <w:rPr>
          <w:rFonts w:hint="eastAsia"/>
          <w:bCs/>
          <w:szCs w:val="21"/>
        </w:rPr>
        <w:t>按年龄组分列的女工对潜在劳动力（</w:t>
      </w:r>
      <w:r>
        <w:rPr>
          <w:rFonts w:hint="eastAsia"/>
          <w:bCs/>
          <w:szCs w:val="21"/>
        </w:rPr>
        <w:t>15</w:t>
      </w:r>
      <w:r>
        <w:rPr>
          <w:rFonts w:hint="eastAsia"/>
          <w:bCs/>
          <w:szCs w:val="21"/>
        </w:rPr>
        <w:t>岁以上总人口）、劳动力和就业人口的比率，</w:t>
      </w:r>
      <w:r>
        <w:rPr>
          <w:bCs/>
          <w:szCs w:val="21"/>
        </w:rPr>
        <w:br/>
      </w:r>
      <w:r>
        <w:rPr>
          <w:rFonts w:hint="eastAsia"/>
          <w:bCs/>
          <w:szCs w:val="21"/>
        </w:rPr>
        <w:t>1996</w:t>
      </w:r>
      <w:r>
        <w:rPr>
          <w:rFonts w:hint="eastAsia"/>
          <w:bCs/>
          <w:szCs w:val="21"/>
        </w:rPr>
        <w:t>、</w:t>
      </w:r>
      <w:r>
        <w:rPr>
          <w:rFonts w:hint="eastAsia"/>
          <w:bCs/>
          <w:szCs w:val="21"/>
        </w:rPr>
        <w:t>2000</w:t>
      </w:r>
      <w:r>
        <w:rPr>
          <w:rFonts w:hint="eastAsia"/>
          <w:bCs/>
          <w:szCs w:val="21"/>
        </w:rPr>
        <w:t>和</w:t>
      </w:r>
      <w:r>
        <w:rPr>
          <w:rFonts w:hint="eastAsia"/>
          <w:bCs/>
          <w:szCs w:val="21"/>
        </w:rPr>
        <w:t>2002</w:t>
      </w:r>
      <w:r>
        <w:rPr>
          <w:rFonts w:hint="eastAsia"/>
          <w:bCs/>
          <w:szCs w:val="21"/>
        </w:rPr>
        <w:t>年</w:t>
      </w:r>
      <w:r>
        <w:rPr>
          <w:rFonts w:hint="eastAsia"/>
          <w:bCs/>
        </w:rPr>
        <w:tab/>
      </w:r>
      <w:r>
        <w:rPr>
          <w:rFonts w:hint="eastAsia"/>
          <w:bCs/>
        </w:rPr>
        <w:tab/>
        <w:t>157</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B11</w:t>
      </w:r>
      <w:r>
        <w:rPr>
          <w:bCs/>
        </w:rPr>
        <w:t>.</w:t>
      </w:r>
      <w:r>
        <w:rPr>
          <w:rFonts w:hint="eastAsia"/>
          <w:bCs/>
        </w:rPr>
        <w:t>4</w:t>
      </w:r>
      <w:r>
        <w:rPr>
          <w:bCs/>
        </w:rPr>
        <w:t>.</w:t>
      </w:r>
      <w:r>
        <w:rPr>
          <w:rFonts w:hint="eastAsia"/>
          <w:bCs/>
        </w:rPr>
        <w:t xml:space="preserve">  </w:t>
      </w:r>
      <w:r>
        <w:rPr>
          <w:rFonts w:hint="eastAsia"/>
          <w:bCs/>
          <w:szCs w:val="21"/>
        </w:rPr>
        <w:t>按工人性别分列的城乡地区的就业率（</w:t>
      </w:r>
      <w:r>
        <w:rPr>
          <w:rFonts w:hint="eastAsia"/>
          <w:bCs/>
          <w:szCs w:val="21"/>
        </w:rPr>
        <w:t>%</w:t>
      </w:r>
      <w:r>
        <w:rPr>
          <w:rFonts w:hint="eastAsia"/>
          <w:bCs/>
          <w:szCs w:val="21"/>
        </w:rPr>
        <w:t>）（</w:t>
      </w:r>
      <w:r>
        <w:rPr>
          <w:rFonts w:hint="eastAsia"/>
          <w:bCs/>
          <w:szCs w:val="21"/>
        </w:rPr>
        <w:t>10</w:t>
      </w:r>
      <w:r>
        <w:rPr>
          <w:rFonts w:hint="eastAsia"/>
          <w:bCs/>
          <w:szCs w:val="21"/>
        </w:rPr>
        <w:t>月份调查）</w:t>
      </w:r>
      <w:r>
        <w:rPr>
          <w:rFonts w:hint="eastAsia"/>
          <w:bCs/>
        </w:rPr>
        <w:tab/>
      </w:r>
      <w:r>
        <w:rPr>
          <w:rFonts w:hint="eastAsia"/>
          <w:bCs/>
        </w:rPr>
        <w:tab/>
        <w:t>157</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B11</w:t>
      </w:r>
      <w:r>
        <w:rPr>
          <w:bCs/>
        </w:rPr>
        <w:t>.</w:t>
      </w:r>
      <w:r>
        <w:rPr>
          <w:rFonts w:hint="eastAsia"/>
          <w:bCs/>
        </w:rPr>
        <w:t>5</w:t>
      </w:r>
      <w:r>
        <w:rPr>
          <w:bCs/>
        </w:rPr>
        <w:t>.</w:t>
      </w:r>
      <w:r>
        <w:rPr>
          <w:rFonts w:hint="eastAsia"/>
          <w:bCs/>
        </w:rPr>
        <w:t xml:space="preserve">  </w:t>
      </w:r>
      <w:r>
        <w:rPr>
          <w:rFonts w:hint="eastAsia"/>
          <w:bCs/>
        </w:rPr>
        <w:t>按工人类别分列的女工占就业总人数的百分比（</w:t>
      </w:r>
      <w:r>
        <w:rPr>
          <w:rFonts w:hint="eastAsia"/>
          <w:bCs/>
        </w:rPr>
        <w:t>10</w:t>
      </w:r>
      <w:r>
        <w:rPr>
          <w:rFonts w:hint="eastAsia"/>
          <w:bCs/>
        </w:rPr>
        <w:t>月份调查）</w:t>
      </w:r>
      <w:r>
        <w:rPr>
          <w:rFonts w:hint="eastAsia"/>
          <w:bCs/>
        </w:rPr>
        <w:tab/>
      </w:r>
      <w:r>
        <w:rPr>
          <w:rFonts w:hint="eastAsia"/>
          <w:bCs/>
        </w:rPr>
        <w:tab/>
        <w:t>157</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B11</w:t>
      </w:r>
      <w:r>
        <w:rPr>
          <w:bCs/>
        </w:rPr>
        <w:t>.</w:t>
      </w:r>
      <w:r>
        <w:rPr>
          <w:rFonts w:hint="eastAsia"/>
          <w:bCs/>
        </w:rPr>
        <w:t>6</w:t>
      </w:r>
      <w:r>
        <w:rPr>
          <w:bCs/>
        </w:rPr>
        <w:t>.</w:t>
      </w:r>
      <w:r>
        <w:rPr>
          <w:rFonts w:hint="eastAsia"/>
          <w:bCs/>
        </w:rPr>
        <w:t xml:space="preserve">  </w:t>
      </w:r>
      <w:r>
        <w:rPr>
          <w:rFonts w:hint="eastAsia"/>
          <w:color w:val="000000"/>
          <w:spacing w:val="-2"/>
          <w:szCs w:val="21"/>
        </w:rPr>
        <w:t>按工人性别分列的城乡工人每周的平均工作时间（小</w:t>
      </w:r>
      <w:r>
        <w:rPr>
          <w:rFonts w:hint="eastAsia"/>
          <w:color w:val="000000"/>
          <w:spacing w:val="-2"/>
          <w:szCs w:val="21"/>
        </w:rPr>
        <w:t>时）（</w:t>
      </w:r>
      <w:r>
        <w:rPr>
          <w:rFonts w:hint="eastAsia"/>
          <w:color w:val="000000"/>
          <w:spacing w:val="-2"/>
          <w:szCs w:val="21"/>
        </w:rPr>
        <w:t>10</w:t>
      </w:r>
      <w:r>
        <w:rPr>
          <w:rFonts w:hint="eastAsia"/>
          <w:color w:val="000000"/>
          <w:spacing w:val="-2"/>
          <w:szCs w:val="21"/>
        </w:rPr>
        <w:t>月份调查）</w:t>
      </w:r>
      <w:r>
        <w:rPr>
          <w:rFonts w:hint="eastAsia"/>
          <w:bCs/>
        </w:rPr>
        <w:tab/>
      </w:r>
      <w:r>
        <w:rPr>
          <w:rFonts w:hint="eastAsia"/>
          <w:bCs/>
        </w:rPr>
        <w:tab/>
        <w:t>158</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B11</w:t>
      </w:r>
      <w:r>
        <w:rPr>
          <w:bCs/>
        </w:rPr>
        <w:t>.</w:t>
      </w:r>
      <w:r>
        <w:rPr>
          <w:rFonts w:hint="eastAsia"/>
          <w:bCs/>
        </w:rPr>
        <w:t>7</w:t>
      </w:r>
      <w:r>
        <w:rPr>
          <w:bCs/>
        </w:rPr>
        <w:t>.</w:t>
      </w:r>
      <w:r>
        <w:rPr>
          <w:rFonts w:hint="eastAsia"/>
          <w:bCs/>
        </w:rPr>
        <w:t xml:space="preserve">  </w:t>
      </w:r>
      <w:r>
        <w:rPr>
          <w:rFonts w:hint="eastAsia"/>
          <w:bCs/>
          <w:color w:val="000000"/>
          <w:szCs w:val="21"/>
        </w:rPr>
        <w:t>非全时劳动者的部分统计数据</w:t>
      </w:r>
      <w:r>
        <w:rPr>
          <w:rFonts w:hint="eastAsia"/>
          <w:bCs/>
        </w:rPr>
        <w:tab/>
      </w:r>
      <w:r>
        <w:rPr>
          <w:rFonts w:hint="eastAsia"/>
          <w:bCs/>
        </w:rPr>
        <w:tab/>
        <w:t>158</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B11</w:t>
      </w:r>
      <w:r>
        <w:rPr>
          <w:bCs/>
        </w:rPr>
        <w:t>.</w:t>
      </w:r>
      <w:r>
        <w:rPr>
          <w:rFonts w:hint="eastAsia"/>
          <w:bCs/>
        </w:rPr>
        <w:t>8</w:t>
      </w:r>
      <w:r>
        <w:rPr>
          <w:bCs/>
        </w:rPr>
        <w:t>.</w:t>
      </w:r>
      <w:r>
        <w:rPr>
          <w:rFonts w:hint="eastAsia"/>
          <w:bCs/>
        </w:rPr>
        <w:t xml:space="preserve">  </w:t>
      </w:r>
      <w:r>
        <w:rPr>
          <w:rFonts w:hint="eastAsia"/>
          <w:bCs/>
          <w:color w:val="000000"/>
          <w:szCs w:val="21"/>
        </w:rPr>
        <w:t>按性别分列的非正规部门劳动力或完全自营职业者和无报酬家庭工人数目（单位：</w:t>
      </w:r>
      <w:r>
        <w:rPr>
          <w:rFonts w:hint="eastAsia"/>
          <w:bCs/>
          <w:color w:val="000000"/>
          <w:szCs w:val="21"/>
        </w:rPr>
        <w:t>1 000</w:t>
      </w:r>
      <w:r>
        <w:rPr>
          <w:rFonts w:hint="eastAsia"/>
          <w:bCs/>
          <w:color w:val="000000"/>
          <w:szCs w:val="21"/>
        </w:rPr>
        <w:t>）</w:t>
      </w:r>
      <w:r>
        <w:rPr>
          <w:rFonts w:hint="eastAsia"/>
          <w:bCs/>
        </w:rPr>
        <w:tab/>
      </w:r>
      <w:r>
        <w:rPr>
          <w:rFonts w:hint="eastAsia"/>
          <w:bCs/>
        </w:rPr>
        <w:tab/>
        <w:t>158</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B13</w:t>
      </w:r>
      <w:r>
        <w:rPr>
          <w:bCs/>
        </w:rPr>
        <w:t>.1.</w:t>
      </w:r>
      <w:r>
        <w:rPr>
          <w:rFonts w:hint="eastAsia"/>
          <w:bCs/>
        </w:rPr>
        <w:t xml:space="preserve">  </w:t>
      </w:r>
      <w:r>
        <w:rPr>
          <w:rFonts w:hint="eastAsia"/>
          <w:bCs/>
          <w:color w:val="000000"/>
          <w:szCs w:val="21"/>
        </w:rPr>
        <w:t>菲律宾开发银行和菲律宾土地银行发放给妇女贷款的部分信息，</w:t>
      </w:r>
      <w:r>
        <w:rPr>
          <w:rFonts w:hint="eastAsia"/>
          <w:bCs/>
          <w:color w:val="000000"/>
          <w:szCs w:val="21"/>
        </w:rPr>
        <w:t>1998-2001</w:t>
      </w:r>
      <w:r>
        <w:rPr>
          <w:rFonts w:hint="eastAsia"/>
          <w:bCs/>
          <w:color w:val="000000"/>
          <w:szCs w:val="21"/>
        </w:rPr>
        <w:t>年</w:t>
      </w:r>
      <w:r>
        <w:rPr>
          <w:rFonts w:hint="eastAsia"/>
          <w:bCs/>
        </w:rPr>
        <w:tab/>
      </w:r>
      <w:r>
        <w:rPr>
          <w:rFonts w:hint="eastAsia"/>
          <w:bCs/>
        </w:rPr>
        <w:tab/>
        <w:t>159</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B13</w:t>
      </w:r>
      <w:r>
        <w:rPr>
          <w:bCs/>
        </w:rPr>
        <w:t>.</w:t>
      </w:r>
      <w:r>
        <w:rPr>
          <w:rFonts w:hint="eastAsia"/>
          <w:bCs/>
        </w:rPr>
        <w:t>2</w:t>
      </w:r>
      <w:r>
        <w:rPr>
          <w:bCs/>
        </w:rPr>
        <w:t>.</w:t>
      </w:r>
      <w:r>
        <w:rPr>
          <w:rFonts w:hint="eastAsia"/>
          <w:bCs/>
        </w:rPr>
        <w:t xml:space="preserve">  </w:t>
      </w:r>
      <w:r>
        <w:rPr>
          <w:rFonts w:hint="eastAsia"/>
          <w:bCs/>
          <w:color w:val="000000"/>
          <w:szCs w:val="21"/>
        </w:rPr>
        <w:t>贸易和工业部培训方案的受益人数，</w:t>
      </w:r>
      <w:r>
        <w:rPr>
          <w:rFonts w:hint="eastAsia"/>
          <w:bCs/>
          <w:color w:val="000000"/>
          <w:szCs w:val="21"/>
        </w:rPr>
        <w:t>2001</w:t>
      </w:r>
      <w:r>
        <w:rPr>
          <w:rFonts w:hint="eastAsia"/>
          <w:bCs/>
          <w:color w:val="000000"/>
          <w:szCs w:val="21"/>
        </w:rPr>
        <w:t>年</w:t>
      </w:r>
      <w:r>
        <w:rPr>
          <w:rFonts w:hint="eastAsia"/>
          <w:bCs/>
        </w:rPr>
        <w:tab/>
      </w:r>
      <w:r>
        <w:rPr>
          <w:rFonts w:hint="eastAsia"/>
          <w:bCs/>
        </w:rPr>
        <w:tab/>
        <w:t>159</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B14</w:t>
      </w:r>
      <w:r>
        <w:rPr>
          <w:bCs/>
        </w:rPr>
        <w:t>.</w:t>
      </w:r>
      <w:r>
        <w:rPr>
          <w:rFonts w:hint="eastAsia"/>
          <w:bCs/>
        </w:rPr>
        <w:t>1</w:t>
      </w:r>
      <w:r>
        <w:rPr>
          <w:bCs/>
        </w:rPr>
        <w:t>.</w:t>
      </w:r>
      <w:r>
        <w:rPr>
          <w:rFonts w:hint="eastAsia"/>
          <w:bCs/>
        </w:rPr>
        <w:t xml:space="preserve">  </w:t>
      </w:r>
      <w:r>
        <w:rPr>
          <w:rFonts w:hint="eastAsia"/>
          <w:bCs/>
          <w:color w:val="000000"/>
          <w:szCs w:val="21"/>
        </w:rPr>
        <w:t>选定的财政指标</w:t>
      </w:r>
      <w:r>
        <w:rPr>
          <w:rFonts w:hint="eastAsia"/>
          <w:bCs/>
        </w:rPr>
        <w:tab/>
      </w:r>
      <w:r>
        <w:rPr>
          <w:rFonts w:hint="eastAsia"/>
          <w:bCs/>
        </w:rPr>
        <w:tab/>
        <w:t>160</w:t>
      </w:r>
    </w:p>
    <w:p w:rsidR="00000000" w:rsidRDefault="00821B8F" w:rsidP="00821B8F">
      <w:pPr>
        <w:tabs>
          <w:tab w:val="center" w:leader="dot" w:pos="9240"/>
          <w:tab w:val="right" w:pos="9840"/>
        </w:tabs>
        <w:spacing w:after="120" w:line="360" w:lineRule="exact"/>
        <w:ind w:left="31680" w:hangingChars="200" w:firstLine="31680"/>
        <w:rPr>
          <w:rFonts w:hint="eastAsia"/>
          <w:bCs/>
        </w:rPr>
      </w:pPr>
      <w:r>
        <w:rPr>
          <w:rFonts w:hint="eastAsia"/>
          <w:bCs/>
        </w:rPr>
        <w:t>B14</w:t>
      </w:r>
      <w:r>
        <w:rPr>
          <w:bCs/>
        </w:rPr>
        <w:t>.</w:t>
      </w:r>
      <w:r>
        <w:rPr>
          <w:rFonts w:hint="eastAsia"/>
          <w:bCs/>
        </w:rPr>
        <w:t>2</w:t>
      </w:r>
      <w:r>
        <w:rPr>
          <w:bCs/>
        </w:rPr>
        <w:t>.</w:t>
      </w:r>
      <w:r>
        <w:rPr>
          <w:rFonts w:hint="eastAsia"/>
          <w:bCs/>
        </w:rPr>
        <w:t xml:space="preserve">  </w:t>
      </w:r>
      <w:r>
        <w:rPr>
          <w:rFonts w:hint="eastAsia"/>
          <w:bCs/>
        </w:rPr>
        <w:t>按受益者性别分列的</w:t>
      </w:r>
      <w:r>
        <w:rPr>
          <w:rFonts w:hint="eastAsia"/>
          <w:bCs/>
        </w:rPr>
        <w:t>2001</w:t>
      </w:r>
      <w:r>
        <w:rPr>
          <w:rFonts w:hint="eastAsia"/>
          <w:bCs/>
        </w:rPr>
        <w:t>年</w:t>
      </w:r>
      <w:r>
        <w:rPr>
          <w:rFonts w:hint="eastAsia"/>
          <w:bCs/>
        </w:rPr>
        <w:t>1</w:t>
      </w:r>
      <w:r>
        <w:rPr>
          <w:rFonts w:hint="eastAsia"/>
          <w:bCs/>
        </w:rPr>
        <w:t>至</w:t>
      </w:r>
      <w:r>
        <w:rPr>
          <w:rFonts w:hint="eastAsia"/>
          <w:bCs/>
        </w:rPr>
        <w:t>9</w:t>
      </w:r>
      <w:r>
        <w:rPr>
          <w:rFonts w:hint="eastAsia"/>
          <w:bCs/>
        </w:rPr>
        <w:t>月土地改革受益者的分布情况</w:t>
      </w:r>
    </w:p>
    <w:p w:rsidR="00000000" w:rsidRDefault="00821B8F" w:rsidP="00821B8F">
      <w:pPr>
        <w:tabs>
          <w:tab w:val="center" w:leader="dot" w:pos="9240"/>
          <w:tab w:val="right" w:pos="9840"/>
        </w:tabs>
        <w:spacing w:after="120" w:line="360" w:lineRule="exact"/>
        <w:ind w:left="31680" w:hangingChars="200" w:firstLine="31680"/>
        <w:rPr>
          <w:bCs/>
        </w:rPr>
      </w:pPr>
      <w:r>
        <w:rPr>
          <w:rFonts w:hint="eastAsia"/>
          <w:bCs/>
        </w:rPr>
        <w:t xml:space="preserve">       </w:t>
      </w:r>
      <w:r>
        <w:rPr>
          <w:rFonts w:hint="eastAsia"/>
          <w:bCs/>
        </w:rPr>
        <w:t>说明：</w:t>
      </w:r>
      <w:r>
        <w:rPr>
          <w:rFonts w:hint="eastAsia"/>
          <w:bCs/>
        </w:rPr>
        <w:t>B14</w:t>
      </w:r>
      <w:r>
        <w:rPr>
          <w:bCs/>
        </w:rPr>
        <w:t>.</w:t>
      </w:r>
      <w:r>
        <w:rPr>
          <w:rFonts w:hint="eastAsia"/>
          <w:bCs/>
        </w:rPr>
        <w:t>2</w:t>
      </w:r>
      <w:r>
        <w:rPr>
          <w:rFonts w:hint="eastAsia"/>
          <w:bCs/>
        </w:rPr>
        <w:t>未纳入提交件之中</w:t>
      </w:r>
    </w:p>
    <w:p w:rsidR="00000000" w:rsidRDefault="00821B8F" w:rsidP="00821B8F">
      <w:pPr>
        <w:tabs>
          <w:tab w:val="center" w:leader="dot" w:pos="9240"/>
          <w:tab w:val="right" w:pos="9840"/>
        </w:tabs>
        <w:spacing w:after="120" w:line="360" w:lineRule="exact"/>
        <w:ind w:left="31680" w:hangingChars="200" w:firstLine="31680"/>
        <w:rPr>
          <w:rFonts w:hint="eastAsia"/>
          <w:bCs/>
        </w:rPr>
      </w:pPr>
      <w:r>
        <w:rPr>
          <w:rFonts w:hint="eastAsia"/>
          <w:bCs/>
        </w:rPr>
        <w:t>B14</w:t>
      </w:r>
      <w:r>
        <w:rPr>
          <w:bCs/>
        </w:rPr>
        <w:t>.</w:t>
      </w:r>
      <w:r>
        <w:rPr>
          <w:rFonts w:hint="eastAsia"/>
          <w:bCs/>
        </w:rPr>
        <w:t>3</w:t>
      </w:r>
      <w:r>
        <w:rPr>
          <w:bCs/>
        </w:rPr>
        <w:t>.</w:t>
      </w:r>
      <w:r>
        <w:rPr>
          <w:rFonts w:hint="eastAsia"/>
          <w:bCs/>
        </w:rPr>
        <w:t xml:space="preserve">  </w:t>
      </w:r>
      <w:r>
        <w:rPr>
          <w:rFonts w:hint="eastAsia"/>
          <w:bCs/>
        </w:rPr>
        <w:t>按受益者性别分列的截至</w:t>
      </w:r>
      <w:r>
        <w:rPr>
          <w:rFonts w:hint="eastAsia"/>
          <w:bCs/>
        </w:rPr>
        <w:t>2001</w:t>
      </w:r>
      <w:r>
        <w:rPr>
          <w:rFonts w:hint="eastAsia"/>
          <w:bCs/>
        </w:rPr>
        <w:t>年</w:t>
      </w:r>
      <w:r>
        <w:rPr>
          <w:rFonts w:hint="eastAsia"/>
          <w:bCs/>
        </w:rPr>
        <w:t>9</w:t>
      </w:r>
      <w:r>
        <w:rPr>
          <w:rFonts w:hint="eastAsia"/>
          <w:bCs/>
        </w:rPr>
        <w:t>月土地改革受益者参加土地改革团体的情况</w:t>
      </w:r>
    </w:p>
    <w:p w:rsidR="00000000" w:rsidRDefault="00821B8F" w:rsidP="00821B8F">
      <w:pPr>
        <w:tabs>
          <w:tab w:val="center" w:leader="dot" w:pos="9240"/>
          <w:tab w:val="right" w:pos="9840"/>
        </w:tabs>
        <w:spacing w:after="120" w:line="360" w:lineRule="exact"/>
        <w:ind w:left="31680" w:hangingChars="200" w:firstLine="31680"/>
        <w:rPr>
          <w:rFonts w:eastAsia="SimHei" w:hint="eastAsia"/>
          <w:bCs/>
          <w:color w:val="FF0000"/>
        </w:rPr>
      </w:pPr>
      <w:r>
        <w:rPr>
          <w:rFonts w:hint="eastAsia"/>
          <w:bCs/>
        </w:rPr>
        <w:t xml:space="preserve">       </w:t>
      </w:r>
      <w:r>
        <w:rPr>
          <w:rFonts w:hint="eastAsia"/>
          <w:bCs/>
        </w:rPr>
        <w:t>说明：</w:t>
      </w:r>
      <w:r>
        <w:rPr>
          <w:rFonts w:hint="eastAsia"/>
          <w:bCs/>
        </w:rPr>
        <w:t>B14</w:t>
      </w:r>
      <w:r>
        <w:rPr>
          <w:bCs/>
        </w:rPr>
        <w:t>.</w:t>
      </w:r>
      <w:r>
        <w:rPr>
          <w:rFonts w:hint="eastAsia"/>
          <w:bCs/>
        </w:rPr>
        <w:t>3</w:t>
      </w:r>
      <w:r>
        <w:rPr>
          <w:rFonts w:hint="eastAsia"/>
          <w:bCs/>
        </w:rPr>
        <w:t>未纳入提交件之中</w:t>
      </w:r>
    </w:p>
    <w:p w:rsidR="00000000" w:rsidRDefault="00821B8F">
      <w:pPr>
        <w:tabs>
          <w:tab w:val="center" w:leader="dot" w:pos="9240"/>
          <w:tab w:val="right" w:pos="9840"/>
        </w:tabs>
        <w:spacing w:after="120" w:line="360" w:lineRule="exact"/>
        <w:rPr>
          <w:rFonts w:eastAsia="SimHei" w:hint="eastAsia"/>
          <w:bCs/>
          <w:color w:val="FF0000"/>
        </w:rPr>
      </w:pPr>
    </w:p>
    <w:p w:rsidR="00000000" w:rsidRDefault="00821B8F">
      <w:pPr>
        <w:spacing w:after="120" w:line="320" w:lineRule="atLeast"/>
        <w:rPr>
          <w:rFonts w:hint="eastAsia"/>
          <w:szCs w:val="21"/>
        </w:rPr>
      </w:pPr>
    </w:p>
    <w:p w:rsidR="00000000" w:rsidRDefault="00821B8F">
      <w:pPr>
        <w:pStyle w:val="HCh"/>
        <w:jc w:val="center"/>
      </w:pPr>
      <w:r>
        <w:rPr>
          <w:szCs w:val="21"/>
        </w:rPr>
        <w:br w:type="page"/>
      </w:r>
      <w:r>
        <w:rPr>
          <w:rFonts w:hint="eastAsia"/>
        </w:rPr>
        <w:t>缩略语</w:t>
      </w:r>
    </w:p>
    <w:tbl>
      <w:tblPr>
        <w:tblW w:w="5000" w:type="pct"/>
        <w:tblCellMar>
          <w:left w:w="30" w:type="dxa"/>
          <w:right w:w="30" w:type="dxa"/>
        </w:tblCellMar>
        <w:tblLook w:val="0000" w:firstRow="0" w:lastRow="0" w:firstColumn="0" w:lastColumn="0" w:noHBand="0" w:noVBand="0"/>
      </w:tblPr>
      <w:tblGrid>
        <w:gridCol w:w="2043"/>
        <w:gridCol w:w="7867"/>
      </w:tblGrid>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ACHIEVE</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健康倡议行动公司</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ADB</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亚洲开发银行</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AFMA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农业和渔业现代化法令</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AIDS</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获得性免疫缺陷综合征（艾滋病）</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AFP</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菲律宾武装部队</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AFTA</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东盟自由贸易区（东盟贸易区）</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AO</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行政命令</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 xml:space="preserve">APEC </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亚洲</w:t>
            </w:r>
            <w:r>
              <w:rPr>
                <w:rFonts w:hint="eastAsia"/>
                <w:snapToGrid w:val="0"/>
                <w:color w:val="000000"/>
              </w:rPr>
              <w:t>-</w:t>
            </w:r>
            <w:r>
              <w:rPr>
                <w:rFonts w:hint="eastAsia"/>
                <w:snapToGrid w:val="0"/>
                <w:color w:val="000000"/>
              </w:rPr>
              <w:t>太平洋经济合作组织（亚太经合组织）（亚佩克）</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ARB</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土地改革受益者</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ARC</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土地改革</w:t>
            </w:r>
            <w:r>
              <w:rPr>
                <w:rFonts w:hint="eastAsia"/>
                <w:snapToGrid w:val="0"/>
                <w:color w:val="000000"/>
              </w:rPr>
              <w:t>社团</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ARIAT</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禁止贩运人口、特别是妇女和儿童亚洲区域行动</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ARMM</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棉兰老伊斯兰自治区</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ASEAN</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东南亚国家联盟（东盟）</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AYHDP</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青少年健康发展方案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BHS</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镇保健站</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BLES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劳工和就业部劳动和就业统计局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BNFE</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教育部非正规教育局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BPRE</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农业部收获后研究和拓展局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BTRCP</w:t>
            </w:r>
          </w:p>
        </w:tc>
        <w:tc>
          <w:tcPr>
            <w:tcW w:w="3969" w:type="pct"/>
            <w:tcBorders>
              <w:top w:val="nil"/>
              <w:left w:val="nil"/>
              <w:bottom w:val="nil"/>
              <w:right w:val="nil"/>
            </w:tcBorders>
          </w:tcPr>
          <w:p w:rsidR="00000000" w:rsidRDefault="00821B8F">
            <w:pPr>
              <w:spacing w:after="120" w:line="360" w:lineRule="exact"/>
              <w:rPr>
                <w:snapToGrid w:val="0"/>
                <w:color w:val="000000"/>
              </w:rPr>
            </w:pPr>
            <w:r>
              <w:rPr>
                <w:color w:val="000000"/>
              </w:rPr>
              <w:t>公平贸易和消费者权益局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BWS</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被殴打妇女综合征</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BWYW</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劳工和就业部妇女和青工局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CACHILA</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反对使用童工的有关公民</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CAPWINGS</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政府部门工作的妇女晋升方案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CAPWIP</w:t>
            </w:r>
          </w:p>
        </w:tc>
        <w:tc>
          <w:tcPr>
            <w:tcW w:w="3969" w:type="pct"/>
            <w:tcBorders>
              <w:top w:val="nil"/>
              <w:left w:val="nil"/>
              <w:bottom w:val="nil"/>
              <w:right w:val="nil"/>
            </w:tcBorders>
          </w:tcPr>
          <w:p w:rsidR="00000000" w:rsidRDefault="00821B8F">
            <w:pPr>
              <w:spacing w:after="120" w:line="360" w:lineRule="exact"/>
              <w:rPr>
                <w:snapToGrid w:val="0"/>
                <w:color w:val="000000"/>
              </w:rPr>
            </w:pPr>
            <w:r>
              <w:rPr>
                <w:color w:val="000000"/>
              </w:rPr>
              <w:t>亚太妇女政治中心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CATW-P</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亚太反对贩运妇女联盟</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CARP</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土地改革综合方案</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CASAGAL</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法庭指定的特别辩护人</w:t>
            </w:r>
            <w:r>
              <w:rPr>
                <w:rFonts w:hint="eastAsia"/>
                <w:snapToGrid w:val="0"/>
                <w:color w:val="000000"/>
              </w:rPr>
              <w:t>/</w:t>
            </w:r>
            <w:r>
              <w:rPr>
                <w:rFonts w:hint="eastAsia"/>
                <w:snapToGrid w:val="0"/>
                <w:color w:val="000000"/>
              </w:rPr>
              <w:t>监护人</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CBA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集体谈判协议</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CDA</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合作发展管理局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CEDAW</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消除对妇女歧视委员会</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CES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职业行政事务</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CESB</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职业行政事务委员会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CEO</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首席执行官</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CFO</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海外菲律宾人委员会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CGRJ</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对性别问题有敏感认识的司法委员会</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CHED</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高等教育委员会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CIDA</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加拿大国际开发署（加开发署）</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CIDSS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全面和综合提供社会服务</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CITC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家庭行</w:t>
            </w:r>
            <w:r>
              <w:rPr>
                <w:rFonts w:hint="eastAsia"/>
                <w:snapToGrid w:val="0"/>
                <w:color w:val="000000"/>
              </w:rPr>
              <w:t>业技术中心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CLD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立法发展中心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CLOA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土地所有权赠与证书</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CODI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礼仪与调查委员会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COMBAT-VAW</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依托社区与对妇女暴力行为作斗争的途径</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Co-op INSIGHT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性别与健康技术综合服务合作社</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COPE</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娱乐人员综合引导方案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CPP-NPA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菲律宾共产党新人民军</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pStyle w:val="Heading3"/>
              <w:numPr>
                <w:ilvl w:val="0"/>
                <w:numId w:val="0"/>
              </w:numPr>
              <w:spacing w:before="0" w:after="120"/>
              <w:rPr>
                <w:rFonts w:ascii="Times New Roman"/>
                <w:b/>
                <w:bCs/>
                <w:color w:val="FF0000"/>
                <w:sz w:val="21"/>
                <w:u w:val="none"/>
              </w:rPr>
            </w:pPr>
            <w:r>
              <w:rPr>
                <w:rFonts w:ascii="Times New Roman"/>
                <w:b/>
                <w:bCs/>
                <w:color w:val="FF0000"/>
                <w:sz w:val="21"/>
                <w:u w:val="none"/>
              </w:rPr>
              <w:t>CWC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儿童福利委员会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CRC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儿童权利公约</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CSC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公务员制度委员会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CWTS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公民福利培训业务</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农业部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DAR</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土地改革部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DAW</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处境不利妇女（联盟）</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DBM</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预算和管理部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DBP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w:t>
            </w:r>
            <w:r>
              <w:rPr>
                <w:rFonts w:hint="eastAsia"/>
                <w:snapToGrid w:val="0"/>
                <w:color w:val="000000"/>
              </w:rPr>
              <w:t>开发银行</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DepEd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教育部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DENR</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环境和自然资源部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DFA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外交部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DILG</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内政和地方政府部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DOH</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卫生部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DOLE</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劳工和就业部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DSWD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社会福利和发展部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DTI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贸易和工业部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ECC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员工补偿委员会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ECCD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幼儿保育和发展</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ECDP</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幼儿发展计划</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ECPAT Phil.</w:t>
            </w:r>
          </w:p>
        </w:tc>
        <w:tc>
          <w:tcPr>
            <w:tcW w:w="3969" w:type="pct"/>
            <w:tcBorders>
              <w:top w:val="nil"/>
              <w:left w:val="nil"/>
              <w:bottom w:val="nil"/>
              <w:right w:val="nil"/>
            </w:tcBorders>
          </w:tcPr>
          <w:p w:rsidR="00000000" w:rsidRDefault="00821B8F">
            <w:pPr>
              <w:pStyle w:val="Heading2"/>
              <w:spacing w:before="0" w:after="120" w:line="360" w:lineRule="exact"/>
              <w:rPr>
                <w:rFonts w:ascii="Times New Roman" w:hAnsi="Times New Roman" w:hint="eastAsia"/>
                <w:b w:val="0"/>
                <w:iCs/>
                <w:color w:val="FF0000"/>
                <w:sz w:val="21"/>
              </w:rPr>
            </w:pPr>
            <w:r>
              <w:rPr>
                <w:rFonts w:ascii="Times New Roman" w:hAnsi="Times New Roman" w:hint="eastAsia"/>
                <w:b w:val="0"/>
                <w:iCs/>
                <w:color w:val="FF0000"/>
                <w:sz w:val="21"/>
              </w:rPr>
              <w:t>菲律宾终止儿童卖淫、儿童色情和为性目的贩卖儿童行动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EDSA</w:t>
            </w:r>
          </w:p>
        </w:tc>
        <w:tc>
          <w:tcPr>
            <w:tcW w:w="3969" w:type="pct"/>
            <w:tcBorders>
              <w:top w:val="nil"/>
              <w:left w:val="nil"/>
              <w:bottom w:val="nil"/>
              <w:right w:val="nil"/>
            </w:tcBorders>
          </w:tcPr>
          <w:p w:rsidR="00000000" w:rsidRDefault="00821B8F">
            <w:pPr>
              <w:pStyle w:val="Heading2"/>
              <w:spacing w:before="0" w:after="120" w:line="360" w:lineRule="exact"/>
              <w:rPr>
                <w:rFonts w:ascii="Times New Roman" w:hAnsi="Times New Roman"/>
                <w:bCs/>
                <w:i/>
                <w:color w:val="0000FF"/>
                <w:sz w:val="21"/>
              </w:rPr>
            </w:pPr>
            <w:r>
              <w:rPr>
                <w:rFonts w:ascii="Times New Roman" w:hAnsi="Times New Roman"/>
                <w:bCs/>
                <w:i/>
                <w:color w:val="0000FF"/>
                <w:sz w:val="21"/>
              </w:rPr>
              <w:t>Epifanio de los Santos</w:t>
            </w:r>
            <w:r>
              <w:rPr>
                <w:rFonts w:ascii="Times New Roman" w:eastAsia="KaiTi_GB2312" w:hAnsi="Times New Roman" w:hint="eastAsia"/>
                <w:b w:val="0"/>
                <w:iCs/>
                <w:color w:val="0000FF"/>
                <w:sz w:val="21"/>
              </w:rPr>
              <w:t>干道</w:t>
            </w:r>
            <w:r>
              <w:rPr>
                <w:rFonts w:ascii="Times New Roman" w:eastAsia="KaiTi_GB2312" w:hAnsi="Times New Roman"/>
                <w:b w:val="0"/>
                <w:iCs/>
                <w:color w:val="0000FF"/>
                <w:sz w:val="21"/>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EP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让渡证书</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ERPAT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父亲责任的赋权和肯定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FLEMMS</w:t>
            </w:r>
          </w:p>
        </w:tc>
        <w:tc>
          <w:tcPr>
            <w:tcW w:w="3969" w:type="pct"/>
            <w:tcBorders>
              <w:top w:val="nil"/>
              <w:left w:val="nil"/>
              <w:bottom w:val="nil"/>
              <w:right w:val="nil"/>
            </w:tcBorders>
          </w:tcPr>
          <w:p w:rsidR="00000000" w:rsidRDefault="00821B8F">
            <w:pPr>
              <w:pStyle w:val="Heading3"/>
              <w:numPr>
                <w:ilvl w:val="0"/>
                <w:numId w:val="0"/>
              </w:numPr>
              <w:spacing w:before="0" w:after="120"/>
              <w:rPr>
                <w:rFonts w:ascii="Times New Roman" w:hint="eastAsia"/>
                <w:bCs/>
                <w:color w:val="FF0000"/>
                <w:sz w:val="21"/>
                <w:u w:val="none"/>
              </w:rPr>
            </w:pPr>
            <w:r>
              <w:rPr>
                <w:rFonts w:ascii="Times New Roman" w:hint="eastAsia"/>
                <w:bCs/>
                <w:color w:val="FF0000"/>
                <w:sz w:val="21"/>
                <w:u w:val="none"/>
              </w:rPr>
              <w:t>实用识字、教</w:t>
            </w:r>
            <w:r>
              <w:rPr>
                <w:rFonts w:ascii="Times New Roman" w:hint="eastAsia"/>
                <w:bCs/>
                <w:color w:val="FF0000"/>
                <w:sz w:val="21"/>
                <w:u w:val="none"/>
              </w:rPr>
              <w:t>育与大众媒体调查</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FPW</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妇女问题框架计划</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FRT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生育调控技术</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FWRC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菲律宾工人资源中心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GAA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总拨款法令</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GAD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性别与发展</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GDI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按性别开列的发展指数</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GDP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国内生产总值（国内总产值）</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GEM</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妇女权力指数</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GFIs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政府融资机构</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GMEF</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将性别观点纳入主流的评估框架</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 xml:space="preserve">GNP </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国民生产总值（国民总产值）</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GOCC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政府所有和控制的公司</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GOP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菲律宾政府</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GRC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性别资源中心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GSIS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政府服务保险系统</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GST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对性别问题具有敏感认识的培训</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HASIK</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实现自力更生倡议</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HAVEN</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医院援助的暴力环境中受害</w:t>
            </w:r>
            <w:r>
              <w:rPr>
                <w:rFonts w:hint="eastAsia"/>
                <w:snapToGrid w:val="0"/>
                <w:color w:val="000000"/>
              </w:rPr>
              <w:t>/</w:t>
            </w:r>
            <w:r>
              <w:rPr>
                <w:rFonts w:hint="eastAsia"/>
                <w:snapToGrid w:val="0"/>
                <w:color w:val="000000"/>
              </w:rPr>
              <w:t>幸存妇女的危机干预行动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HDI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人类发展指数</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HDR</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人类发展报告</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HPI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人类贫穷指数</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HIV</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人体免疫缺陷病毒（艾滋病毒）</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IACAT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机构间打击贩卖人口委员会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ICT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信息和通信技术</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IDD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缺碘性失调症（缺碘症）</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ILO</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国际劳工组织（劳工组织）</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ILS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劳工和就业部劳工研究所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IOM</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国际移徙组织（移徙组织）</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IPEC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消除童工现象国际方案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ISSA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社会研究和行动研究所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KALAHI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共同消除贫穷行动</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KALA</w:t>
            </w:r>
            <w:r>
              <w:rPr>
                <w:snapToGrid w:val="0"/>
                <w:color w:val="000000"/>
              </w:rPr>
              <w:t>KASAN</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消除对妇女暴力基金会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LBP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菲律宾土地银行</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LGSP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地方政府支助方案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LF</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劳动力</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LFPR</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劳动力参与率</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LTS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识字培训业务</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MAFC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市政农业和渔业委员会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MAIN</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移民咨询和信息网</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MBN</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最低基本需求</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MDP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多方捐助者方案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MILF</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摩洛伊斯兰解放阵线</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MNLF</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摩洛民族解放阵线</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MSNAT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多部门打击贩卖人口网</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MTPDP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菲律宾中期发展计划</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NAPC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国家扶贫委员会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NAPOLCOM</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国民警察委员会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NBI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国家调查局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NCRFW</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菲律宾妇女</w:t>
            </w:r>
            <w:r>
              <w:rPr>
                <w:rFonts w:hint="eastAsia"/>
                <w:snapToGrid w:val="0"/>
                <w:color w:val="000000"/>
              </w:rPr>
              <w:t>作用全国委员会（妇女委员会）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NCWDP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国家残疾人福利委员会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NEDA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国家经济和发展管理局（经发管理局）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NFL</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全国劳工联合会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NGO</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非政府组织</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NHIP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国家健康保险方案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NLRC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劳动部国家劳动关系委员会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NLSF</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国家生计支助基金</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NPACL</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国家消除童工现象方案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NSCB</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国家统计协调委员会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NSO</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国家统计局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OFW</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海外菲律宾工人</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OPA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海外演出艺员</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OPAPP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总统和平进程顾问办公室</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OSHC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劳工和就业部职业安全和保健中心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OUMWA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外交部主管移民工</w:t>
            </w:r>
            <w:r>
              <w:rPr>
                <w:rFonts w:hint="eastAsia"/>
                <w:snapToGrid w:val="0"/>
                <w:color w:val="000000"/>
              </w:rPr>
              <w:t>人事务的副部长办公室</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OWWA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海外工人福利管理局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PAFC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省农业和渔业委员会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PBSB</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菲律宾北京记分委员会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PCIJ</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菲律宾调查性新闻中心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PCARRD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菲律宾农业、林业和自然资源研究与发展委员会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PCHR</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菲律宾人权委员会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PCFC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人民信贷金融公司</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PCTC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菲律宾跨国犯罪问题中心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PDOS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出国前指导研讨会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PDPW</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菲律宾妇女发展计划</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PETA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菲律宾教育剧场协会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PESO</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公众就业事务办公室</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PEZA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菲律宾经济区管理局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PFA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北京行动纲要</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PNP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菲律宾国民</w:t>
            </w:r>
            <w:r>
              <w:rPr>
                <w:rFonts w:hint="eastAsia"/>
                <w:snapToGrid w:val="0"/>
                <w:color w:val="000000"/>
              </w:rPr>
              <w:t>警察部队</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POEA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菲律宾海外就业管理局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POLO</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菲律宾海外劳工官员</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PPGD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菲律宾促进两性平等发展计划</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 xml:space="preserve">PSCB </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处境不利妇女生产技能的能力建设</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PTTC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菲律宾贸易培训中心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QRT</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快速反应小组</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RA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共和国法令</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RAFC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地区农业和渔业理事会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R&amp;D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研究和发展（研发）</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RETP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阅读教育培训方案</w:t>
            </w:r>
            <w:r>
              <w:rPr>
                <w:rFonts w:hint="eastAsia"/>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ROTC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后备军官训练团</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RTI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生殖道感染</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SACOP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邦邦牙社会化委员会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SALIGAN</w:t>
            </w:r>
          </w:p>
        </w:tc>
        <w:tc>
          <w:tcPr>
            <w:tcW w:w="3969" w:type="pct"/>
            <w:tcBorders>
              <w:top w:val="nil"/>
              <w:left w:val="nil"/>
              <w:bottom w:val="nil"/>
              <w:right w:val="nil"/>
            </w:tcBorders>
          </w:tcPr>
          <w:p w:rsidR="00000000" w:rsidRDefault="00821B8F">
            <w:pPr>
              <w:spacing w:after="120" w:line="360" w:lineRule="exact"/>
              <w:rPr>
                <w:i/>
                <w:snapToGrid w:val="0"/>
                <w:color w:val="0000FF"/>
              </w:rPr>
            </w:pPr>
            <w:r>
              <w:rPr>
                <w:i/>
                <w:snapToGrid w:val="0"/>
                <w:color w:val="0000FF"/>
              </w:rPr>
              <w:t>Sentro ng Alternatibong Lingap Panlega</w:t>
            </w:r>
            <w:r>
              <w:rPr>
                <w:i/>
                <w:snapToGrid w:val="0"/>
                <w:color w:val="0000FF"/>
              </w:rPr>
              <w:t xml:space="preserve">l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SBGFC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小企业担保和融资公司</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最高法院</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SCRA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最高法院注释报告</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SDA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社会发展援助</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SEA-K</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自谋职业协助—民生</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SGWG</w:t>
            </w:r>
          </w:p>
        </w:tc>
        <w:tc>
          <w:tcPr>
            <w:tcW w:w="3969" w:type="pct"/>
            <w:tcBorders>
              <w:top w:val="nil"/>
              <w:left w:val="nil"/>
              <w:bottom w:val="nil"/>
              <w:right w:val="nil"/>
            </w:tcBorders>
          </w:tcPr>
          <w:p w:rsidR="00000000" w:rsidRDefault="00821B8F">
            <w:pPr>
              <w:pStyle w:val="Heading2"/>
              <w:spacing w:before="0" w:after="120" w:line="360" w:lineRule="exact"/>
              <w:rPr>
                <w:rFonts w:ascii="Times New Roman" w:hAnsi="Times New Roman" w:hint="eastAsia"/>
                <w:b w:val="0"/>
                <w:iCs/>
                <w:color w:val="FF0000"/>
                <w:sz w:val="21"/>
              </w:rPr>
            </w:pPr>
            <w:r>
              <w:rPr>
                <w:rFonts w:ascii="Times New Roman" w:eastAsia="SimSun" w:hAnsi="Times New Roman" w:hint="eastAsia"/>
                <w:b w:val="0"/>
                <w:snapToGrid w:val="0"/>
                <w:color w:val="000000"/>
                <w:kern w:val="0"/>
                <w:sz w:val="21"/>
              </w:rPr>
              <w:t>高级别政府工作组</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SIBOL</w:t>
            </w:r>
          </w:p>
        </w:tc>
        <w:tc>
          <w:tcPr>
            <w:tcW w:w="3969" w:type="pct"/>
            <w:tcBorders>
              <w:top w:val="nil"/>
              <w:left w:val="nil"/>
              <w:bottom w:val="nil"/>
              <w:right w:val="nil"/>
            </w:tcBorders>
          </w:tcPr>
          <w:p w:rsidR="00000000" w:rsidRDefault="00821B8F">
            <w:pPr>
              <w:pStyle w:val="Heading2"/>
              <w:spacing w:before="0" w:after="120" w:line="360" w:lineRule="exact"/>
              <w:rPr>
                <w:rFonts w:ascii="Times New Roman" w:hAnsi="Times New Roman"/>
                <w:bCs/>
                <w:i/>
                <w:color w:val="0000FF"/>
                <w:sz w:val="21"/>
              </w:rPr>
            </w:pPr>
            <w:r>
              <w:rPr>
                <w:rFonts w:ascii="Times New Roman" w:hAnsi="Times New Roman"/>
                <w:bCs/>
                <w:i/>
                <w:color w:val="0000FF"/>
                <w:sz w:val="21"/>
              </w:rPr>
              <w:t xml:space="preserve">Sama-samang Inisyatiba ng Kababaihan sa Pagbabago ng Batas at Lipunan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SME</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中小型企业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SONA</w:t>
            </w:r>
          </w:p>
        </w:tc>
        <w:tc>
          <w:tcPr>
            <w:tcW w:w="3969" w:type="pct"/>
            <w:tcBorders>
              <w:top w:val="nil"/>
              <w:left w:val="nil"/>
              <w:bottom w:val="nil"/>
              <w:right w:val="nil"/>
            </w:tcBorders>
          </w:tcPr>
          <w:p w:rsidR="00000000" w:rsidRDefault="00821B8F">
            <w:pPr>
              <w:spacing w:after="120" w:line="360" w:lineRule="exact"/>
              <w:rPr>
                <w:snapToGrid w:val="0"/>
                <w:color w:val="000000"/>
              </w:rPr>
            </w:pPr>
            <w:r>
              <w:rPr>
                <w:rFonts w:hint="eastAsia"/>
                <w:snapToGrid w:val="0"/>
                <w:color w:val="000000"/>
              </w:rPr>
              <w:t>国家状况演讲</w:t>
            </w:r>
            <w:r>
              <w:rPr>
                <w:snapToGrid w:val="0"/>
                <w:color w:val="000000"/>
              </w:rPr>
              <w:t xml:space="preserve"> </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SRA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社会改革议程</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SRTC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统计研究和培训中心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SSS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社会保障体系</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STD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性传播疾病</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STI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性传播感染</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w:t>
            </w:r>
            <w:r>
              <w:rPr>
                <w:snapToGrid w:val="0"/>
                <w:color w:val="000000"/>
              </w:rPr>
              <w:t>TUFAP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学生财政援助方案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SULONG</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中小型企业全国发展统一贷款机会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SWAP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全系统行动计划工作援助方案</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SY</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学年</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SZOPAD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和平与发展特区</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TESDA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技术教育和技能发展管理局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TUCP</w:t>
            </w:r>
          </w:p>
        </w:tc>
        <w:tc>
          <w:tcPr>
            <w:tcW w:w="3969" w:type="pct"/>
            <w:tcBorders>
              <w:top w:val="nil"/>
              <w:left w:val="nil"/>
              <w:bottom w:val="nil"/>
              <w:right w:val="nil"/>
            </w:tcBorders>
          </w:tcPr>
          <w:p w:rsidR="00000000" w:rsidRDefault="00821B8F">
            <w:pPr>
              <w:pStyle w:val="Heading3"/>
              <w:numPr>
                <w:ilvl w:val="0"/>
                <w:numId w:val="0"/>
              </w:numPr>
              <w:spacing w:before="0" w:after="120"/>
              <w:rPr>
                <w:rFonts w:ascii="Times New Roman" w:eastAsia="SimSun" w:hint="eastAsia"/>
                <w:snapToGrid w:val="0"/>
                <w:color w:val="000000"/>
                <w:sz w:val="21"/>
                <w:u w:val="none"/>
              </w:rPr>
            </w:pPr>
            <w:r>
              <w:rPr>
                <w:rFonts w:ascii="Times New Roman" w:eastAsia="SimSun" w:hint="eastAsia"/>
                <w:snapToGrid w:val="0"/>
                <w:color w:val="000000"/>
                <w:sz w:val="21"/>
                <w:u w:val="none"/>
              </w:rPr>
              <w:t>菲律宾工会联合会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TVET</w:t>
            </w:r>
          </w:p>
        </w:tc>
        <w:tc>
          <w:tcPr>
            <w:tcW w:w="3969" w:type="pct"/>
            <w:tcBorders>
              <w:top w:val="nil"/>
              <w:left w:val="nil"/>
              <w:bottom w:val="nil"/>
              <w:right w:val="nil"/>
            </w:tcBorders>
          </w:tcPr>
          <w:p w:rsidR="00000000" w:rsidRDefault="00821B8F">
            <w:pPr>
              <w:pStyle w:val="Heading3"/>
              <w:numPr>
                <w:ilvl w:val="0"/>
                <w:numId w:val="0"/>
              </w:numPr>
              <w:spacing w:before="0" w:after="120"/>
              <w:rPr>
                <w:rFonts w:ascii="Times New Roman" w:eastAsia="SimSun" w:hint="eastAsia"/>
                <w:snapToGrid w:val="0"/>
                <w:color w:val="000000"/>
                <w:sz w:val="21"/>
                <w:u w:val="none"/>
              </w:rPr>
            </w:pPr>
            <w:r>
              <w:rPr>
                <w:rFonts w:ascii="Times New Roman" w:eastAsia="SimSun" w:hint="eastAsia"/>
                <w:snapToGrid w:val="0"/>
                <w:color w:val="000000"/>
                <w:sz w:val="21"/>
                <w:u w:val="none"/>
              </w:rPr>
              <w:t>技术职业教育和培训</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UN</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联合国</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UNDP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联合国开发计划署（开发计划署）</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UNFPA</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联合国人口基金（人口基金）</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UNICEF</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联合国儿童基金会（儿童基金会）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UNIFEM</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联合国妇女发展基金（妇发基金）</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UCWS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菲律宾大学妇女研究中心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VAW</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对</w:t>
            </w:r>
            <w:r>
              <w:rPr>
                <w:rFonts w:hint="eastAsia"/>
                <w:snapToGrid w:val="0"/>
                <w:color w:val="000000"/>
              </w:rPr>
              <w:t>妇女的暴力</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VAWC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对妇女儿童的暴力</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VAWCC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对妇女的暴力问题协调委员会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VRB</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录像片监管委员会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WAGI</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妇女与性别研究所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WB</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世界银行（世银）</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WBCP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菲律宾妇女商业理事会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WCC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妇女危机中心</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WCPU</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妇女儿童保护机构</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WEDC</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处境特困妇女</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WEDPRO</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妇女教育、发展能力与研究组织</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WEED</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女工就业和企业家精神培养</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WFS</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妇女报道服务</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WLB</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妇女法律局</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WSAP</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菲律宾妇女研究学会</w:t>
            </w:r>
          </w:p>
        </w:tc>
      </w:tr>
      <w:tr w:rsidR="00000000">
        <w:tblPrEx>
          <w:tblCellMar>
            <w:top w:w="0" w:type="dxa"/>
            <w:bottom w:w="0" w:type="dxa"/>
          </w:tblCellMar>
        </w:tblPrEx>
        <w:trPr>
          <w:trHeight w:val="250"/>
        </w:trPr>
        <w:tc>
          <w:tcPr>
            <w:tcW w:w="1031" w:type="pct"/>
            <w:tcBorders>
              <w:top w:val="nil"/>
              <w:left w:val="nil"/>
              <w:bottom w:val="nil"/>
              <w:right w:val="nil"/>
            </w:tcBorders>
          </w:tcPr>
          <w:p w:rsidR="00000000" w:rsidRDefault="00821B8F">
            <w:pPr>
              <w:spacing w:after="120" w:line="360" w:lineRule="exact"/>
              <w:rPr>
                <w:snapToGrid w:val="0"/>
                <w:color w:val="000000"/>
              </w:rPr>
            </w:pPr>
            <w:r>
              <w:rPr>
                <w:snapToGrid w:val="0"/>
                <w:color w:val="000000"/>
              </w:rPr>
              <w:t>WTO</w:t>
            </w:r>
          </w:p>
        </w:tc>
        <w:tc>
          <w:tcPr>
            <w:tcW w:w="3969" w:type="pct"/>
            <w:tcBorders>
              <w:top w:val="nil"/>
              <w:left w:val="nil"/>
              <w:bottom w:val="nil"/>
              <w:right w:val="nil"/>
            </w:tcBorders>
          </w:tcPr>
          <w:p w:rsidR="00000000" w:rsidRDefault="00821B8F">
            <w:pPr>
              <w:spacing w:after="120" w:line="360" w:lineRule="exact"/>
              <w:rPr>
                <w:rFonts w:hint="eastAsia"/>
                <w:snapToGrid w:val="0"/>
                <w:color w:val="000000"/>
              </w:rPr>
            </w:pPr>
            <w:r>
              <w:rPr>
                <w:rFonts w:hint="eastAsia"/>
                <w:snapToGrid w:val="0"/>
                <w:color w:val="000000"/>
              </w:rPr>
              <w:t>世界贸易组织（世贸组织）</w:t>
            </w:r>
          </w:p>
        </w:tc>
      </w:tr>
    </w:tbl>
    <w:p w:rsidR="00000000" w:rsidRDefault="00821B8F">
      <w:pPr>
        <w:pStyle w:val="HCh"/>
        <w:jc w:val="center"/>
        <w:rPr>
          <w:rFonts w:hint="eastAsia"/>
          <w:szCs w:val="21"/>
        </w:rPr>
      </w:pPr>
    </w:p>
    <w:p w:rsidR="00000000" w:rsidRDefault="00821B8F">
      <w:pPr>
        <w:pStyle w:val="HCh"/>
        <w:jc w:val="center"/>
        <w:rPr>
          <w:rFonts w:hint="eastAsia"/>
        </w:rPr>
      </w:pPr>
      <w:r>
        <w:rPr>
          <w:szCs w:val="21"/>
        </w:rPr>
        <w:br w:type="page"/>
      </w:r>
      <w:r>
        <w:rPr>
          <w:rFonts w:hint="eastAsia"/>
        </w:rPr>
        <w:t>感谢</w:t>
      </w:r>
    </w:p>
    <w:p w:rsidR="00000000" w:rsidRDefault="00821B8F">
      <w:pPr>
        <w:spacing w:after="240" w:line="360" w:lineRule="exact"/>
        <w:ind w:firstLine="420"/>
        <w:rPr>
          <w:rFonts w:hint="eastAsia"/>
          <w:color w:val="000000"/>
        </w:rPr>
      </w:pPr>
      <w:r>
        <w:rPr>
          <w:rFonts w:hint="eastAsia"/>
          <w:snapToGrid w:val="0"/>
          <w:color w:val="000000"/>
        </w:rPr>
        <w:t>菲律宾妇女作用全国委</w:t>
      </w:r>
      <w:r>
        <w:rPr>
          <w:rFonts w:hint="eastAsia"/>
          <w:snapToGrid w:val="0"/>
          <w:color w:val="000000"/>
        </w:rPr>
        <w:t>员会（妇女委员会）</w:t>
      </w:r>
      <w:r>
        <w:rPr>
          <w:rFonts w:hint="eastAsia"/>
          <w:color w:val="000000"/>
        </w:rPr>
        <w:t>谨对以下政府机构表示感谢，感谢它们在本报告编写和核实过程做出了巨大贡献。</w:t>
      </w:r>
    </w:p>
    <w:p w:rsidR="00000000" w:rsidRDefault="00821B8F">
      <w:pPr>
        <w:spacing w:after="240" w:line="360" w:lineRule="exact"/>
        <w:ind w:left="840"/>
        <w:rPr>
          <w:snapToGrid w:val="0"/>
          <w:color w:val="000000"/>
        </w:rPr>
      </w:pPr>
      <w:r>
        <w:rPr>
          <w:rFonts w:hint="eastAsia"/>
          <w:snapToGrid w:val="0"/>
          <w:color w:val="000000"/>
        </w:rPr>
        <w:t>公务员制度委员会</w:t>
      </w:r>
    </w:p>
    <w:p w:rsidR="00000000" w:rsidRDefault="00821B8F">
      <w:pPr>
        <w:spacing w:after="240" w:line="360" w:lineRule="exact"/>
        <w:ind w:left="1260"/>
        <w:rPr>
          <w:rFonts w:eastAsia="KaiTi_GB2312"/>
          <w:b/>
          <w:bCs/>
          <w:snapToGrid w:val="0"/>
          <w:color w:val="0000FF"/>
        </w:rPr>
      </w:pPr>
      <w:r>
        <w:rPr>
          <w:rFonts w:eastAsia="KaiTi_GB2312" w:hint="eastAsia"/>
          <w:b/>
          <w:bCs/>
          <w:snapToGrid w:val="0"/>
          <w:color w:val="0000FF"/>
        </w:rPr>
        <w:t>职业行政事务委员会</w:t>
      </w:r>
    </w:p>
    <w:p w:rsidR="00000000" w:rsidRDefault="00821B8F">
      <w:pPr>
        <w:spacing w:after="240" w:line="360" w:lineRule="exact"/>
        <w:ind w:left="840"/>
        <w:rPr>
          <w:snapToGrid w:val="0"/>
          <w:color w:val="000000"/>
        </w:rPr>
      </w:pPr>
      <w:r>
        <w:rPr>
          <w:rFonts w:hint="eastAsia"/>
          <w:snapToGrid w:val="0"/>
          <w:color w:val="000000"/>
        </w:rPr>
        <w:t>选举委员会</w:t>
      </w:r>
    </w:p>
    <w:p w:rsidR="00000000" w:rsidRDefault="00821B8F">
      <w:pPr>
        <w:spacing w:after="240" w:line="360" w:lineRule="exact"/>
        <w:ind w:left="840"/>
        <w:rPr>
          <w:snapToGrid w:val="0"/>
          <w:color w:val="000000"/>
        </w:rPr>
      </w:pPr>
      <w:r>
        <w:rPr>
          <w:rFonts w:hint="eastAsia"/>
          <w:snapToGrid w:val="0"/>
          <w:color w:val="000000"/>
        </w:rPr>
        <w:t>海外菲律宾人委员会</w:t>
      </w:r>
    </w:p>
    <w:p w:rsidR="00000000" w:rsidRDefault="00821B8F">
      <w:pPr>
        <w:spacing w:after="240" w:line="360" w:lineRule="exact"/>
        <w:ind w:left="840"/>
        <w:rPr>
          <w:rFonts w:eastAsia="KaiTi_GB2312"/>
          <w:b/>
          <w:bCs/>
          <w:snapToGrid w:val="0"/>
          <w:color w:val="000000"/>
        </w:rPr>
      </w:pPr>
      <w:r>
        <w:rPr>
          <w:rFonts w:eastAsia="KaiTi_GB2312" w:hint="eastAsia"/>
          <w:b/>
          <w:bCs/>
          <w:snapToGrid w:val="0"/>
          <w:color w:val="0000FF"/>
        </w:rPr>
        <w:t>高等教育委员会</w:t>
      </w:r>
    </w:p>
    <w:p w:rsidR="00000000" w:rsidRDefault="00821B8F">
      <w:pPr>
        <w:spacing w:after="240" w:line="360" w:lineRule="exact"/>
        <w:ind w:left="840"/>
        <w:rPr>
          <w:snapToGrid w:val="0"/>
          <w:color w:val="000000"/>
        </w:rPr>
      </w:pPr>
      <w:r>
        <w:rPr>
          <w:rFonts w:hint="eastAsia"/>
          <w:snapToGrid w:val="0"/>
          <w:color w:val="000000"/>
        </w:rPr>
        <w:t>人权委员会</w:t>
      </w:r>
    </w:p>
    <w:p w:rsidR="00000000" w:rsidRDefault="00821B8F">
      <w:pPr>
        <w:spacing w:after="240" w:line="360" w:lineRule="exact"/>
        <w:ind w:left="840"/>
        <w:rPr>
          <w:snapToGrid w:val="0"/>
          <w:color w:val="000000"/>
        </w:rPr>
      </w:pPr>
      <w:r>
        <w:rPr>
          <w:rFonts w:hint="eastAsia"/>
          <w:snapToGrid w:val="0"/>
          <w:color w:val="000000"/>
        </w:rPr>
        <w:t>人口委员会</w:t>
      </w:r>
    </w:p>
    <w:p w:rsidR="00000000" w:rsidRDefault="00821B8F">
      <w:pPr>
        <w:spacing w:after="240" w:line="360" w:lineRule="exact"/>
        <w:ind w:left="840"/>
        <w:rPr>
          <w:snapToGrid w:val="0"/>
          <w:color w:val="000000"/>
        </w:rPr>
      </w:pPr>
      <w:r>
        <w:rPr>
          <w:rFonts w:hint="eastAsia"/>
          <w:snapToGrid w:val="0"/>
          <w:color w:val="000000"/>
        </w:rPr>
        <w:t>土地改革部</w:t>
      </w:r>
    </w:p>
    <w:p w:rsidR="00000000" w:rsidRDefault="00821B8F">
      <w:pPr>
        <w:spacing w:after="240" w:line="360" w:lineRule="exact"/>
        <w:ind w:left="840"/>
        <w:rPr>
          <w:snapToGrid w:val="0"/>
          <w:color w:val="000000"/>
        </w:rPr>
      </w:pPr>
      <w:r>
        <w:rPr>
          <w:rFonts w:hint="eastAsia"/>
          <w:snapToGrid w:val="0"/>
          <w:color w:val="000000"/>
        </w:rPr>
        <w:t>农业部</w:t>
      </w:r>
    </w:p>
    <w:p w:rsidR="00000000" w:rsidRDefault="00821B8F">
      <w:pPr>
        <w:spacing w:after="240" w:line="360" w:lineRule="exact"/>
        <w:ind w:left="840"/>
        <w:rPr>
          <w:snapToGrid w:val="0"/>
          <w:color w:val="000000"/>
        </w:rPr>
      </w:pPr>
      <w:r>
        <w:rPr>
          <w:rFonts w:hint="eastAsia"/>
          <w:snapToGrid w:val="0"/>
          <w:color w:val="000000"/>
        </w:rPr>
        <w:t>预算和管理部</w:t>
      </w:r>
    </w:p>
    <w:p w:rsidR="00000000" w:rsidRDefault="00821B8F">
      <w:pPr>
        <w:spacing w:after="240" w:line="360" w:lineRule="exact"/>
        <w:ind w:left="840"/>
        <w:rPr>
          <w:snapToGrid w:val="0"/>
          <w:color w:val="000000"/>
        </w:rPr>
      </w:pPr>
      <w:r>
        <w:rPr>
          <w:rFonts w:hint="eastAsia"/>
          <w:snapToGrid w:val="0"/>
          <w:color w:val="000000"/>
        </w:rPr>
        <w:t>教育部</w:t>
      </w:r>
    </w:p>
    <w:p w:rsidR="00000000" w:rsidRDefault="00821B8F">
      <w:pPr>
        <w:spacing w:after="240" w:line="360" w:lineRule="exact"/>
        <w:ind w:left="840"/>
        <w:rPr>
          <w:snapToGrid w:val="0"/>
          <w:color w:val="000000"/>
        </w:rPr>
      </w:pPr>
      <w:r>
        <w:rPr>
          <w:rFonts w:hint="eastAsia"/>
          <w:snapToGrid w:val="0"/>
          <w:color w:val="000000"/>
        </w:rPr>
        <w:t>环境和自然资源部</w:t>
      </w:r>
    </w:p>
    <w:p w:rsidR="00000000" w:rsidRDefault="00821B8F">
      <w:pPr>
        <w:spacing w:after="240" w:line="360" w:lineRule="exact"/>
        <w:ind w:left="840"/>
        <w:rPr>
          <w:snapToGrid w:val="0"/>
          <w:color w:val="000000"/>
        </w:rPr>
      </w:pPr>
      <w:r>
        <w:rPr>
          <w:rFonts w:hint="eastAsia"/>
          <w:snapToGrid w:val="0"/>
          <w:color w:val="000000"/>
        </w:rPr>
        <w:t>财政部</w:t>
      </w:r>
    </w:p>
    <w:p w:rsidR="00000000" w:rsidRDefault="00821B8F">
      <w:pPr>
        <w:spacing w:after="240" w:line="360" w:lineRule="exact"/>
        <w:ind w:left="840"/>
        <w:rPr>
          <w:snapToGrid w:val="0"/>
          <w:color w:val="000000"/>
        </w:rPr>
      </w:pPr>
      <w:r>
        <w:rPr>
          <w:rFonts w:hint="eastAsia"/>
          <w:snapToGrid w:val="0"/>
          <w:color w:val="000000"/>
        </w:rPr>
        <w:t>外交部</w:t>
      </w:r>
    </w:p>
    <w:p w:rsidR="00000000" w:rsidRDefault="00821B8F">
      <w:pPr>
        <w:spacing w:after="240" w:line="360" w:lineRule="exact"/>
        <w:ind w:left="840"/>
        <w:rPr>
          <w:snapToGrid w:val="0"/>
          <w:color w:val="000000"/>
        </w:rPr>
      </w:pPr>
      <w:r>
        <w:rPr>
          <w:rFonts w:hint="eastAsia"/>
          <w:snapToGrid w:val="0"/>
          <w:color w:val="000000"/>
        </w:rPr>
        <w:t>卫生部</w:t>
      </w:r>
    </w:p>
    <w:p w:rsidR="00000000" w:rsidRDefault="00821B8F">
      <w:pPr>
        <w:spacing w:after="240" w:line="360" w:lineRule="exact"/>
        <w:ind w:left="840"/>
        <w:rPr>
          <w:rFonts w:eastAsia="KaiTi_GB2312"/>
          <w:b/>
          <w:bCs/>
          <w:snapToGrid w:val="0"/>
          <w:color w:val="000000"/>
        </w:rPr>
      </w:pPr>
      <w:r>
        <w:rPr>
          <w:rFonts w:eastAsia="KaiTi_GB2312" w:hint="eastAsia"/>
          <w:b/>
          <w:bCs/>
          <w:snapToGrid w:val="0"/>
          <w:color w:val="0000FF"/>
        </w:rPr>
        <w:t>内政和地方政府部</w:t>
      </w:r>
    </w:p>
    <w:p w:rsidR="00000000" w:rsidRDefault="00821B8F">
      <w:pPr>
        <w:spacing w:after="240" w:line="360" w:lineRule="exact"/>
        <w:ind w:left="1260"/>
        <w:rPr>
          <w:snapToGrid w:val="0"/>
          <w:color w:val="000000"/>
        </w:rPr>
      </w:pPr>
      <w:r>
        <w:rPr>
          <w:rFonts w:hint="eastAsia"/>
          <w:snapToGrid w:val="0"/>
          <w:color w:val="000000"/>
        </w:rPr>
        <w:t>监狱管理和刑罚局</w:t>
      </w:r>
    </w:p>
    <w:p w:rsidR="00000000" w:rsidRDefault="00821B8F">
      <w:pPr>
        <w:spacing w:after="240" w:line="360" w:lineRule="exact"/>
        <w:ind w:left="840"/>
        <w:rPr>
          <w:rFonts w:eastAsia="KaiTi_GB2312"/>
          <w:b/>
          <w:bCs/>
          <w:snapToGrid w:val="0"/>
          <w:color w:val="000000"/>
        </w:rPr>
      </w:pPr>
      <w:r>
        <w:rPr>
          <w:rFonts w:eastAsia="KaiTi_GB2312" w:hint="eastAsia"/>
          <w:b/>
          <w:bCs/>
          <w:snapToGrid w:val="0"/>
          <w:color w:val="0000FF"/>
        </w:rPr>
        <w:t>司法部</w:t>
      </w:r>
    </w:p>
    <w:p w:rsidR="00000000" w:rsidRDefault="00821B8F">
      <w:pPr>
        <w:spacing w:after="240" w:line="360" w:lineRule="exact"/>
        <w:ind w:left="1260"/>
        <w:rPr>
          <w:snapToGrid w:val="0"/>
          <w:color w:val="000000"/>
        </w:rPr>
      </w:pPr>
      <w:r>
        <w:rPr>
          <w:rFonts w:hint="eastAsia"/>
          <w:snapToGrid w:val="0"/>
          <w:color w:val="000000"/>
        </w:rPr>
        <w:t>移民局</w:t>
      </w:r>
    </w:p>
    <w:p w:rsidR="00000000" w:rsidRDefault="00821B8F">
      <w:pPr>
        <w:spacing w:after="240" w:line="360" w:lineRule="exact"/>
        <w:ind w:left="840"/>
        <w:rPr>
          <w:snapToGrid w:val="0"/>
          <w:color w:val="000000"/>
        </w:rPr>
      </w:pPr>
      <w:r>
        <w:rPr>
          <w:rFonts w:hint="eastAsia"/>
          <w:snapToGrid w:val="0"/>
          <w:color w:val="000000"/>
        </w:rPr>
        <w:t>劳工和就业部</w:t>
      </w:r>
    </w:p>
    <w:p w:rsidR="00000000" w:rsidRDefault="00821B8F">
      <w:pPr>
        <w:spacing w:after="240" w:line="360" w:lineRule="exact"/>
        <w:ind w:left="1260"/>
        <w:rPr>
          <w:snapToGrid w:val="0"/>
          <w:color w:val="000000"/>
        </w:rPr>
      </w:pPr>
      <w:r>
        <w:rPr>
          <w:rFonts w:hint="eastAsia"/>
          <w:snapToGrid w:val="0"/>
          <w:color w:val="000000"/>
        </w:rPr>
        <w:t>劳动关系局</w:t>
      </w:r>
    </w:p>
    <w:p w:rsidR="00000000" w:rsidRDefault="00821B8F">
      <w:pPr>
        <w:spacing w:after="240" w:line="360" w:lineRule="exact"/>
        <w:ind w:left="1260"/>
        <w:rPr>
          <w:snapToGrid w:val="0"/>
          <w:color w:val="000000"/>
        </w:rPr>
      </w:pPr>
      <w:r>
        <w:rPr>
          <w:rFonts w:hint="eastAsia"/>
          <w:snapToGrid w:val="0"/>
          <w:color w:val="000000"/>
        </w:rPr>
        <w:t>妇女和青工局</w:t>
      </w:r>
    </w:p>
    <w:p w:rsidR="00000000" w:rsidRDefault="00821B8F">
      <w:pPr>
        <w:spacing w:after="240" w:line="360" w:lineRule="exact"/>
        <w:ind w:left="1260"/>
        <w:rPr>
          <w:snapToGrid w:val="0"/>
          <w:color w:val="000000"/>
        </w:rPr>
      </w:pPr>
      <w:r>
        <w:rPr>
          <w:rFonts w:hint="eastAsia"/>
          <w:snapToGrid w:val="0"/>
          <w:color w:val="000000"/>
        </w:rPr>
        <w:t>劳动研究所</w:t>
      </w:r>
    </w:p>
    <w:p w:rsidR="00000000" w:rsidRDefault="00821B8F">
      <w:pPr>
        <w:spacing w:after="240" w:line="360" w:lineRule="exact"/>
        <w:ind w:left="1260"/>
        <w:rPr>
          <w:snapToGrid w:val="0"/>
          <w:color w:val="000000"/>
        </w:rPr>
      </w:pPr>
      <w:r>
        <w:rPr>
          <w:rFonts w:hint="eastAsia"/>
          <w:snapToGrid w:val="0"/>
          <w:color w:val="000000"/>
        </w:rPr>
        <w:t>国家劳动关系委员会</w:t>
      </w:r>
    </w:p>
    <w:p w:rsidR="00000000" w:rsidRDefault="00821B8F">
      <w:pPr>
        <w:spacing w:after="240" w:line="360" w:lineRule="exact"/>
        <w:ind w:left="1260"/>
        <w:rPr>
          <w:snapToGrid w:val="0"/>
          <w:color w:val="000000"/>
        </w:rPr>
      </w:pPr>
      <w:r>
        <w:rPr>
          <w:rFonts w:hint="eastAsia"/>
          <w:snapToGrid w:val="0"/>
          <w:color w:val="000000"/>
        </w:rPr>
        <w:t>职业安全和保健中心</w:t>
      </w:r>
    </w:p>
    <w:p w:rsidR="00000000" w:rsidRDefault="00821B8F">
      <w:pPr>
        <w:spacing w:after="240" w:line="360" w:lineRule="exact"/>
        <w:ind w:left="1260"/>
        <w:rPr>
          <w:snapToGrid w:val="0"/>
          <w:color w:val="000000"/>
        </w:rPr>
      </w:pPr>
      <w:r>
        <w:rPr>
          <w:rFonts w:hint="eastAsia"/>
          <w:snapToGrid w:val="0"/>
          <w:color w:val="000000"/>
        </w:rPr>
        <w:t>海外工人福利管理局</w:t>
      </w:r>
    </w:p>
    <w:p w:rsidR="00000000" w:rsidRDefault="00821B8F">
      <w:pPr>
        <w:spacing w:after="240" w:line="360" w:lineRule="exact"/>
        <w:ind w:left="1260"/>
        <w:rPr>
          <w:snapToGrid w:val="0"/>
          <w:color w:val="000000"/>
        </w:rPr>
      </w:pPr>
      <w:r>
        <w:rPr>
          <w:rFonts w:hint="eastAsia"/>
          <w:snapToGrid w:val="0"/>
          <w:color w:val="000000"/>
        </w:rPr>
        <w:t>菲律宾海外就业管理局</w:t>
      </w:r>
    </w:p>
    <w:p w:rsidR="00000000" w:rsidRDefault="00821B8F">
      <w:pPr>
        <w:spacing w:after="240" w:line="360" w:lineRule="exact"/>
        <w:ind w:left="1260"/>
        <w:rPr>
          <w:snapToGrid w:val="0"/>
          <w:color w:val="000000"/>
        </w:rPr>
      </w:pPr>
      <w:r>
        <w:rPr>
          <w:rFonts w:hint="eastAsia"/>
          <w:snapToGrid w:val="0"/>
          <w:color w:val="000000"/>
        </w:rPr>
        <w:t>技术教育和技能发展管理局</w:t>
      </w:r>
    </w:p>
    <w:p w:rsidR="00000000" w:rsidRDefault="00821B8F">
      <w:pPr>
        <w:spacing w:after="240" w:line="360" w:lineRule="exact"/>
        <w:ind w:left="840"/>
        <w:rPr>
          <w:snapToGrid w:val="0"/>
          <w:color w:val="000000"/>
        </w:rPr>
      </w:pPr>
      <w:r>
        <w:rPr>
          <w:rFonts w:hint="eastAsia"/>
          <w:snapToGrid w:val="0"/>
          <w:color w:val="000000"/>
        </w:rPr>
        <w:t>国防部</w:t>
      </w:r>
    </w:p>
    <w:p w:rsidR="00000000" w:rsidRDefault="00821B8F">
      <w:pPr>
        <w:spacing w:after="240" w:line="360" w:lineRule="exact"/>
        <w:ind w:left="840"/>
        <w:rPr>
          <w:snapToGrid w:val="0"/>
          <w:color w:val="000000"/>
        </w:rPr>
      </w:pPr>
      <w:r>
        <w:rPr>
          <w:rFonts w:hint="eastAsia"/>
          <w:snapToGrid w:val="0"/>
          <w:color w:val="000000"/>
        </w:rPr>
        <w:t>公共工</w:t>
      </w:r>
      <w:r>
        <w:rPr>
          <w:rFonts w:hint="eastAsia"/>
          <w:snapToGrid w:val="0"/>
          <w:color w:val="000000"/>
        </w:rPr>
        <w:t>程和公路部</w:t>
      </w:r>
    </w:p>
    <w:p w:rsidR="00000000" w:rsidRDefault="00821B8F">
      <w:pPr>
        <w:spacing w:after="240" w:line="360" w:lineRule="exact"/>
        <w:ind w:left="840"/>
        <w:rPr>
          <w:snapToGrid w:val="0"/>
          <w:color w:val="000000"/>
        </w:rPr>
      </w:pPr>
      <w:r>
        <w:rPr>
          <w:rFonts w:hint="eastAsia"/>
          <w:snapToGrid w:val="0"/>
          <w:color w:val="000000"/>
        </w:rPr>
        <w:t>科学和技术部</w:t>
      </w:r>
    </w:p>
    <w:p w:rsidR="00000000" w:rsidRDefault="00821B8F">
      <w:pPr>
        <w:spacing w:after="240" w:line="360" w:lineRule="exact"/>
        <w:ind w:left="840"/>
        <w:rPr>
          <w:snapToGrid w:val="0"/>
          <w:color w:val="000000"/>
        </w:rPr>
      </w:pPr>
      <w:r>
        <w:rPr>
          <w:rFonts w:hint="eastAsia"/>
          <w:snapToGrid w:val="0"/>
          <w:color w:val="000000"/>
        </w:rPr>
        <w:t>社会福利和发展部</w:t>
      </w:r>
    </w:p>
    <w:p w:rsidR="00000000" w:rsidRDefault="00821B8F">
      <w:pPr>
        <w:spacing w:after="240" w:line="360" w:lineRule="exact"/>
        <w:ind w:left="840"/>
        <w:rPr>
          <w:snapToGrid w:val="0"/>
          <w:color w:val="000000"/>
        </w:rPr>
      </w:pPr>
      <w:r>
        <w:rPr>
          <w:rFonts w:hint="eastAsia"/>
          <w:snapToGrid w:val="0"/>
          <w:color w:val="000000"/>
        </w:rPr>
        <w:t>旅游部</w:t>
      </w:r>
    </w:p>
    <w:p w:rsidR="00000000" w:rsidRDefault="00821B8F">
      <w:pPr>
        <w:spacing w:after="240" w:line="360" w:lineRule="exact"/>
        <w:ind w:left="840"/>
        <w:rPr>
          <w:snapToGrid w:val="0"/>
          <w:color w:val="000000"/>
        </w:rPr>
      </w:pPr>
      <w:r>
        <w:rPr>
          <w:rFonts w:hint="eastAsia"/>
          <w:snapToGrid w:val="0"/>
          <w:color w:val="000000"/>
        </w:rPr>
        <w:t>贸易和工业部</w:t>
      </w:r>
    </w:p>
    <w:p w:rsidR="00000000" w:rsidRDefault="00821B8F">
      <w:pPr>
        <w:spacing w:after="240" w:line="360" w:lineRule="exact"/>
        <w:ind w:left="840"/>
        <w:rPr>
          <w:snapToGrid w:val="0"/>
          <w:color w:val="000000"/>
        </w:rPr>
      </w:pPr>
      <w:r>
        <w:rPr>
          <w:rFonts w:hint="eastAsia"/>
          <w:snapToGrid w:val="0"/>
          <w:color w:val="000000"/>
        </w:rPr>
        <w:t>运输和交通部</w:t>
      </w:r>
    </w:p>
    <w:p w:rsidR="00000000" w:rsidRDefault="00821B8F">
      <w:pPr>
        <w:spacing w:after="240" w:line="360" w:lineRule="exact"/>
        <w:ind w:left="840"/>
        <w:rPr>
          <w:snapToGrid w:val="0"/>
          <w:color w:val="000000"/>
        </w:rPr>
      </w:pPr>
      <w:r>
        <w:rPr>
          <w:rFonts w:hint="eastAsia"/>
          <w:snapToGrid w:val="0"/>
          <w:color w:val="000000"/>
        </w:rPr>
        <w:t>众议院——妇女委员会</w:t>
      </w:r>
    </w:p>
    <w:p w:rsidR="00000000" w:rsidRDefault="00821B8F">
      <w:pPr>
        <w:spacing w:after="240" w:line="360" w:lineRule="exact"/>
        <w:ind w:left="840"/>
        <w:rPr>
          <w:snapToGrid w:val="0"/>
          <w:color w:val="000000"/>
        </w:rPr>
      </w:pPr>
      <w:r>
        <w:rPr>
          <w:rFonts w:hint="eastAsia"/>
          <w:snapToGrid w:val="0"/>
          <w:color w:val="000000"/>
        </w:rPr>
        <w:t>地方政府学会</w:t>
      </w:r>
    </w:p>
    <w:p w:rsidR="00000000" w:rsidRDefault="00821B8F">
      <w:pPr>
        <w:spacing w:after="240" w:line="360" w:lineRule="exact"/>
        <w:ind w:left="840"/>
        <w:rPr>
          <w:snapToGrid w:val="0"/>
          <w:color w:val="000000"/>
        </w:rPr>
      </w:pPr>
      <w:r>
        <w:rPr>
          <w:rFonts w:hint="eastAsia"/>
          <w:snapToGrid w:val="0"/>
          <w:color w:val="000000"/>
        </w:rPr>
        <w:t>北达沃地方政府</w:t>
      </w:r>
    </w:p>
    <w:p w:rsidR="00000000" w:rsidRDefault="00821B8F">
      <w:pPr>
        <w:spacing w:after="240" w:line="360" w:lineRule="exact"/>
        <w:ind w:left="840"/>
        <w:rPr>
          <w:snapToGrid w:val="0"/>
          <w:color w:val="000000"/>
        </w:rPr>
      </w:pPr>
      <w:r>
        <w:rPr>
          <w:rFonts w:hint="eastAsia"/>
          <w:snapToGrid w:val="0"/>
          <w:color w:val="000000"/>
        </w:rPr>
        <w:t>国家扶贫委员会</w:t>
      </w:r>
    </w:p>
    <w:p w:rsidR="00000000" w:rsidRDefault="00821B8F">
      <w:pPr>
        <w:spacing w:after="240" w:line="360" w:lineRule="exact"/>
        <w:ind w:left="840"/>
        <w:rPr>
          <w:snapToGrid w:val="0"/>
          <w:color w:val="000000"/>
        </w:rPr>
      </w:pPr>
      <w:r>
        <w:rPr>
          <w:rFonts w:hint="eastAsia"/>
          <w:snapToGrid w:val="0"/>
          <w:color w:val="000000"/>
        </w:rPr>
        <w:t>国家调查局</w:t>
      </w:r>
    </w:p>
    <w:p w:rsidR="00000000" w:rsidRDefault="00821B8F">
      <w:pPr>
        <w:spacing w:after="240" w:line="360" w:lineRule="exact"/>
        <w:ind w:left="840"/>
        <w:rPr>
          <w:snapToGrid w:val="0"/>
          <w:color w:val="000000"/>
        </w:rPr>
      </w:pPr>
      <w:r>
        <w:rPr>
          <w:rFonts w:hint="eastAsia"/>
          <w:snapToGrid w:val="0"/>
          <w:color w:val="000000"/>
        </w:rPr>
        <w:t>土著民族全国委员会</w:t>
      </w:r>
    </w:p>
    <w:p w:rsidR="00000000" w:rsidRDefault="00821B8F">
      <w:pPr>
        <w:spacing w:after="240" w:line="360" w:lineRule="exact"/>
        <w:ind w:left="840"/>
        <w:rPr>
          <w:snapToGrid w:val="0"/>
          <w:color w:val="000000"/>
        </w:rPr>
      </w:pPr>
      <w:r>
        <w:rPr>
          <w:rFonts w:hint="eastAsia"/>
          <w:snapToGrid w:val="0"/>
          <w:color w:val="000000"/>
        </w:rPr>
        <w:t>国家经济发展管理局</w:t>
      </w:r>
    </w:p>
    <w:p w:rsidR="00000000" w:rsidRDefault="00821B8F">
      <w:pPr>
        <w:spacing w:after="240" w:line="360" w:lineRule="exact"/>
        <w:ind w:left="840"/>
        <w:rPr>
          <w:snapToGrid w:val="0"/>
          <w:color w:val="000000"/>
        </w:rPr>
      </w:pPr>
      <w:r>
        <w:rPr>
          <w:rFonts w:hint="eastAsia"/>
          <w:snapToGrid w:val="0"/>
          <w:color w:val="000000"/>
        </w:rPr>
        <w:t>国家统计协调委员会</w:t>
      </w:r>
    </w:p>
    <w:p w:rsidR="00000000" w:rsidRDefault="00821B8F">
      <w:pPr>
        <w:spacing w:after="240" w:line="360" w:lineRule="exact"/>
        <w:ind w:left="840"/>
        <w:rPr>
          <w:snapToGrid w:val="0"/>
          <w:color w:val="000000"/>
        </w:rPr>
      </w:pPr>
      <w:r>
        <w:rPr>
          <w:rFonts w:hint="eastAsia"/>
          <w:snapToGrid w:val="0"/>
          <w:color w:val="000000"/>
        </w:rPr>
        <w:t>国家统计局</w:t>
      </w:r>
    </w:p>
    <w:p w:rsidR="00000000" w:rsidRDefault="00821B8F">
      <w:pPr>
        <w:spacing w:after="240" w:line="360" w:lineRule="exact"/>
        <w:ind w:left="840"/>
        <w:rPr>
          <w:rFonts w:eastAsia="KaiTi_GB2312"/>
          <w:b/>
          <w:bCs/>
          <w:snapToGrid w:val="0"/>
          <w:color w:val="000000"/>
        </w:rPr>
      </w:pPr>
      <w:r>
        <w:rPr>
          <w:rFonts w:eastAsia="KaiTi_GB2312" w:hint="eastAsia"/>
          <w:b/>
          <w:bCs/>
          <w:snapToGrid w:val="0"/>
          <w:color w:val="0000FF"/>
        </w:rPr>
        <w:t>国家青年委员会</w:t>
      </w:r>
    </w:p>
    <w:p w:rsidR="00000000" w:rsidRDefault="00821B8F">
      <w:pPr>
        <w:spacing w:after="240" w:line="360" w:lineRule="exact"/>
        <w:ind w:left="840"/>
        <w:rPr>
          <w:snapToGrid w:val="0"/>
          <w:color w:val="000000"/>
        </w:rPr>
      </w:pPr>
      <w:r>
        <w:rPr>
          <w:rFonts w:hint="eastAsia"/>
          <w:snapToGrid w:val="0"/>
          <w:color w:val="000000"/>
        </w:rPr>
        <w:t>邦阿西楠州立大学</w:t>
      </w:r>
    </w:p>
    <w:p w:rsidR="00000000" w:rsidRDefault="00821B8F">
      <w:pPr>
        <w:spacing w:after="240" w:line="360" w:lineRule="exact"/>
        <w:ind w:left="840"/>
        <w:rPr>
          <w:rFonts w:eastAsia="KaiTi_GB2312"/>
          <w:b/>
          <w:bCs/>
          <w:snapToGrid w:val="0"/>
          <w:color w:val="000000"/>
        </w:rPr>
      </w:pPr>
      <w:r>
        <w:rPr>
          <w:rFonts w:eastAsia="KaiTi_GB2312" w:hint="eastAsia"/>
          <w:b/>
          <w:bCs/>
          <w:snapToGrid w:val="0"/>
          <w:color w:val="0000FF"/>
        </w:rPr>
        <w:t>菲律宾经济区管理局</w:t>
      </w:r>
    </w:p>
    <w:p w:rsidR="00000000" w:rsidRDefault="00821B8F">
      <w:pPr>
        <w:spacing w:after="240" w:line="360" w:lineRule="exact"/>
        <w:ind w:left="840"/>
        <w:rPr>
          <w:snapToGrid w:val="0"/>
          <w:color w:val="000000"/>
        </w:rPr>
      </w:pPr>
      <w:r>
        <w:rPr>
          <w:rFonts w:hint="eastAsia"/>
          <w:snapToGrid w:val="0"/>
          <w:color w:val="000000"/>
        </w:rPr>
        <w:t>菲律宾情报局</w:t>
      </w:r>
    </w:p>
    <w:p w:rsidR="00000000" w:rsidRDefault="00821B8F">
      <w:pPr>
        <w:spacing w:after="240" w:line="360" w:lineRule="exact"/>
        <w:ind w:left="840"/>
        <w:rPr>
          <w:snapToGrid w:val="0"/>
          <w:color w:val="000000"/>
        </w:rPr>
      </w:pPr>
      <w:r>
        <w:rPr>
          <w:rFonts w:hint="eastAsia"/>
          <w:snapToGrid w:val="0"/>
          <w:color w:val="000000"/>
        </w:rPr>
        <w:t>菲律宾军事学院</w:t>
      </w:r>
    </w:p>
    <w:p w:rsidR="00000000" w:rsidRDefault="00821B8F">
      <w:pPr>
        <w:spacing w:after="240" w:line="360" w:lineRule="exact"/>
        <w:ind w:left="840"/>
        <w:rPr>
          <w:snapToGrid w:val="0"/>
          <w:color w:val="000000"/>
        </w:rPr>
      </w:pPr>
      <w:r>
        <w:rPr>
          <w:rFonts w:hint="eastAsia"/>
          <w:snapToGrid w:val="0"/>
          <w:color w:val="000000"/>
        </w:rPr>
        <w:t>菲律宾国家警察部队</w:t>
      </w:r>
    </w:p>
    <w:p w:rsidR="00000000" w:rsidRDefault="00821B8F">
      <w:pPr>
        <w:spacing w:after="240" w:line="360" w:lineRule="exact"/>
        <w:ind w:left="840"/>
        <w:rPr>
          <w:rFonts w:eastAsia="KaiTi_GB2312"/>
          <w:b/>
          <w:bCs/>
          <w:snapToGrid w:val="0"/>
          <w:color w:val="000000"/>
        </w:rPr>
      </w:pPr>
      <w:r>
        <w:rPr>
          <w:rFonts w:eastAsia="KaiTi_GB2312" w:hint="eastAsia"/>
          <w:b/>
          <w:bCs/>
          <w:snapToGrid w:val="0"/>
          <w:color w:val="0000FF"/>
        </w:rPr>
        <w:t>菲律宾体育委员会</w:t>
      </w:r>
    </w:p>
    <w:p w:rsidR="00000000" w:rsidRDefault="00821B8F">
      <w:pPr>
        <w:spacing w:after="240" w:line="360" w:lineRule="exact"/>
        <w:ind w:left="840"/>
        <w:rPr>
          <w:snapToGrid w:val="0"/>
          <w:color w:val="000000"/>
        </w:rPr>
      </w:pPr>
      <w:r>
        <w:rPr>
          <w:color w:val="000000"/>
        </w:rPr>
        <w:t>菲律宾综合科技大学</w:t>
      </w:r>
    </w:p>
    <w:p w:rsidR="00000000" w:rsidRDefault="00821B8F">
      <w:pPr>
        <w:spacing w:after="240" w:line="360" w:lineRule="exact"/>
        <w:ind w:left="1260"/>
        <w:rPr>
          <w:snapToGrid w:val="0"/>
          <w:color w:val="000000"/>
        </w:rPr>
      </w:pPr>
      <w:r>
        <w:rPr>
          <w:rFonts w:hint="eastAsia"/>
          <w:snapToGrid w:val="0"/>
          <w:color w:val="000000"/>
        </w:rPr>
        <w:t>北达沃省社会福利和发展办公室</w:t>
      </w:r>
    </w:p>
    <w:p w:rsidR="00000000" w:rsidRDefault="00821B8F">
      <w:pPr>
        <w:spacing w:after="240" w:line="360" w:lineRule="exact"/>
        <w:ind w:left="840"/>
        <w:rPr>
          <w:snapToGrid w:val="0"/>
          <w:color w:val="000000"/>
        </w:rPr>
      </w:pPr>
      <w:r>
        <w:rPr>
          <w:rFonts w:hint="eastAsia"/>
          <w:snapToGrid w:val="0"/>
          <w:color w:val="000000"/>
        </w:rPr>
        <w:t>参议院青年、妇女和家庭关系委员会</w:t>
      </w:r>
    </w:p>
    <w:p w:rsidR="00000000" w:rsidRDefault="00821B8F">
      <w:pPr>
        <w:spacing w:after="240" w:line="360" w:lineRule="exact"/>
        <w:ind w:left="840"/>
        <w:rPr>
          <w:snapToGrid w:val="0"/>
          <w:color w:val="000000"/>
        </w:rPr>
      </w:pPr>
      <w:r>
        <w:rPr>
          <w:rFonts w:hint="eastAsia"/>
          <w:snapToGrid w:val="0"/>
          <w:color w:val="000000"/>
        </w:rPr>
        <w:t>社会保障体系</w:t>
      </w:r>
    </w:p>
    <w:p w:rsidR="00000000" w:rsidRDefault="00821B8F">
      <w:pPr>
        <w:spacing w:after="240" w:line="360" w:lineRule="exact"/>
        <w:ind w:left="840"/>
        <w:rPr>
          <w:rFonts w:eastAsia="KaiTi_GB2312"/>
          <w:b/>
          <w:bCs/>
          <w:snapToGrid w:val="0"/>
          <w:color w:val="000000"/>
        </w:rPr>
      </w:pPr>
      <w:r>
        <w:rPr>
          <w:rFonts w:eastAsia="KaiTi_GB2312" w:hint="eastAsia"/>
          <w:b/>
          <w:bCs/>
          <w:snapToGrid w:val="0"/>
          <w:color w:val="0000FF"/>
        </w:rPr>
        <w:t>最高法院——司法律师界理事会</w:t>
      </w:r>
    </w:p>
    <w:p w:rsidR="00000000" w:rsidRDefault="00821B8F">
      <w:pPr>
        <w:spacing w:after="240" w:line="360" w:lineRule="exact"/>
        <w:ind w:left="840"/>
        <w:rPr>
          <w:snapToGrid w:val="0"/>
          <w:color w:val="000000"/>
        </w:rPr>
      </w:pPr>
      <w:r>
        <w:rPr>
          <w:rFonts w:hint="eastAsia"/>
          <w:snapToGrid w:val="0"/>
          <w:color w:val="000000"/>
        </w:rPr>
        <w:t>菲律宾大学——妇女研究中心</w:t>
      </w:r>
    </w:p>
    <w:p w:rsidR="00000000" w:rsidRDefault="00821B8F">
      <w:pPr>
        <w:spacing w:after="240" w:line="360" w:lineRule="exact"/>
        <w:ind w:left="840"/>
        <w:rPr>
          <w:snapToGrid w:val="0"/>
          <w:color w:val="000000"/>
        </w:rPr>
      </w:pPr>
      <w:r>
        <w:rPr>
          <w:rFonts w:hint="eastAsia"/>
          <w:snapToGrid w:val="0"/>
          <w:color w:val="000000"/>
        </w:rPr>
        <w:t>菲</w:t>
      </w:r>
      <w:r>
        <w:rPr>
          <w:rFonts w:hint="eastAsia"/>
          <w:snapToGrid w:val="0"/>
          <w:color w:val="000000"/>
        </w:rPr>
        <w:t>律宾大学，洛斯巴尼奥斯</w:t>
      </w:r>
    </w:p>
    <w:p w:rsidR="00000000" w:rsidRDefault="00821B8F">
      <w:pPr>
        <w:spacing w:after="240" w:line="360" w:lineRule="exact"/>
        <w:ind w:left="840"/>
        <w:rPr>
          <w:snapToGrid w:val="0"/>
          <w:color w:val="000000"/>
        </w:rPr>
      </w:pPr>
      <w:r>
        <w:rPr>
          <w:rFonts w:hint="eastAsia"/>
          <w:snapToGrid w:val="0"/>
          <w:color w:val="000000"/>
        </w:rPr>
        <w:t>录像片监管委员会</w:t>
      </w:r>
    </w:p>
    <w:p w:rsidR="00000000" w:rsidRDefault="00821B8F">
      <w:pPr>
        <w:spacing w:after="240" w:line="360" w:lineRule="exact"/>
        <w:ind w:firstLine="420"/>
        <w:rPr>
          <w:rFonts w:hint="eastAsia"/>
          <w:color w:val="000000"/>
        </w:rPr>
      </w:pPr>
      <w:r>
        <w:rPr>
          <w:rFonts w:hint="eastAsia"/>
          <w:color w:val="000000"/>
        </w:rPr>
        <w:t>妇女委员会还要真诚地感谢以下非政府组织，它们在编写本报告期间参与了重要的工作。</w:t>
      </w:r>
    </w:p>
    <w:p w:rsidR="00000000" w:rsidRDefault="00821B8F">
      <w:pPr>
        <w:spacing w:after="240" w:line="360" w:lineRule="exact"/>
        <w:ind w:left="840"/>
        <w:rPr>
          <w:snapToGrid w:val="0"/>
          <w:color w:val="000000"/>
        </w:rPr>
      </w:pPr>
      <w:r>
        <w:rPr>
          <w:rFonts w:hint="eastAsia"/>
          <w:snapToGrid w:val="0"/>
          <w:color w:val="000000"/>
        </w:rPr>
        <w:t>A</w:t>
      </w:r>
      <w:r>
        <w:rPr>
          <w:snapToGrid w:val="0"/>
          <w:color w:val="000000"/>
        </w:rPr>
        <w:t>banse! Pinay</w:t>
      </w:r>
    </w:p>
    <w:p w:rsidR="00000000" w:rsidRDefault="00821B8F">
      <w:pPr>
        <w:spacing w:after="240" w:line="360" w:lineRule="exact"/>
        <w:ind w:left="840"/>
        <w:rPr>
          <w:snapToGrid w:val="0"/>
          <w:color w:val="000000"/>
        </w:rPr>
      </w:pPr>
      <w:r>
        <w:rPr>
          <w:rFonts w:hint="eastAsia"/>
          <w:snapToGrid w:val="0"/>
          <w:color w:val="000000"/>
        </w:rPr>
        <w:t>健康倡议行动公司</w:t>
      </w:r>
    </w:p>
    <w:p w:rsidR="00000000" w:rsidRDefault="00821B8F">
      <w:pPr>
        <w:spacing w:after="240" w:line="360" w:lineRule="exact"/>
        <w:ind w:left="840"/>
        <w:rPr>
          <w:snapToGrid w:val="0"/>
          <w:color w:val="000000"/>
        </w:rPr>
      </w:pPr>
      <w:r>
        <w:rPr>
          <w:rFonts w:hint="eastAsia"/>
          <w:snapToGrid w:val="0"/>
          <w:color w:val="000000"/>
        </w:rPr>
        <w:t>菲律宾相关教师联盟</w:t>
      </w:r>
    </w:p>
    <w:p w:rsidR="00000000" w:rsidRDefault="00821B8F">
      <w:pPr>
        <w:spacing w:after="240" w:line="360" w:lineRule="exact"/>
        <w:ind w:left="840"/>
        <w:rPr>
          <w:snapToGrid w:val="0"/>
          <w:color w:val="000000"/>
        </w:rPr>
      </w:pPr>
      <w:r>
        <w:rPr>
          <w:rFonts w:hint="eastAsia"/>
          <w:snapToGrid w:val="0"/>
          <w:color w:val="000000"/>
        </w:rPr>
        <w:t>亚洲妇女合作社论坛</w:t>
      </w:r>
    </w:p>
    <w:p w:rsidR="00000000" w:rsidRDefault="00821B8F">
      <w:pPr>
        <w:spacing w:after="240" w:line="360" w:lineRule="exact"/>
        <w:ind w:left="840"/>
        <w:rPr>
          <w:snapToGrid w:val="0"/>
          <w:color w:val="000000"/>
        </w:rPr>
      </w:pPr>
      <w:r>
        <w:rPr>
          <w:rFonts w:hint="eastAsia"/>
          <w:snapToGrid w:val="0"/>
          <w:color w:val="000000"/>
        </w:rPr>
        <w:t>基金会协会</w:t>
      </w:r>
    </w:p>
    <w:p w:rsidR="00000000" w:rsidRDefault="00821B8F">
      <w:pPr>
        <w:spacing w:after="240" w:line="360" w:lineRule="exact"/>
        <w:ind w:left="840"/>
        <w:rPr>
          <w:rFonts w:eastAsia="SimHei"/>
          <w:snapToGrid w:val="0"/>
          <w:color w:val="FF0000"/>
        </w:rPr>
      </w:pPr>
      <w:r>
        <w:rPr>
          <w:rFonts w:eastAsia="SimHei" w:hint="eastAsia"/>
          <w:snapToGrid w:val="0"/>
          <w:color w:val="FF0000"/>
        </w:rPr>
        <w:t>团结促进发展基金会</w:t>
      </w:r>
    </w:p>
    <w:p w:rsidR="00000000" w:rsidRDefault="00821B8F">
      <w:pPr>
        <w:spacing w:after="240" w:line="360" w:lineRule="exact"/>
        <w:ind w:left="840"/>
        <w:rPr>
          <w:snapToGrid w:val="0"/>
          <w:color w:val="000000"/>
        </w:rPr>
      </w:pPr>
      <w:r>
        <w:rPr>
          <w:snapToGrid w:val="0"/>
          <w:color w:val="000000"/>
        </w:rPr>
        <w:t>Buklod</w:t>
      </w:r>
    </w:p>
    <w:p w:rsidR="00000000" w:rsidRDefault="00821B8F">
      <w:pPr>
        <w:spacing w:after="240" w:line="360" w:lineRule="exact"/>
        <w:ind w:left="840"/>
        <w:rPr>
          <w:snapToGrid w:val="0"/>
          <w:color w:val="000000"/>
        </w:rPr>
      </w:pPr>
      <w:r>
        <w:rPr>
          <w:rFonts w:hint="eastAsia"/>
          <w:snapToGrid w:val="0"/>
          <w:color w:val="000000"/>
        </w:rPr>
        <w:t>亚太妇女政治中心</w:t>
      </w:r>
    </w:p>
    <w:p w:rsidR="00000000" w:rsidRDefault="00821B8F">
      <w:pPr>
        <w:spacing w:after="240" w:line="360" w:lineRule="exact"/>
        <w:ind w:left="840"/>
        <w:rPr>
          <w:snapToGrid w:val="0"/>
          <w:color w:val="000000"/>
        </w:rPr>
      </w:pPr>
      <w:r>
        <w:rPr>
          <w:rFonts w:hint="eastAsia"/>
          <w:snapToGrid w:val="0"/>
          <w:color w:val="000000"/>
        </w:rPr>
        <w:t>立法发展中心</w:t>
      </w:r>
    </w:p>
    <w:p w:rsidR="00000000" w:rsidRDefault="00821B8F">
      <w:pPr>
        <w:spacing w:after="240" w:line="360" w:lineRule="exact"/>
        <w:ind w:left="840"/>
        <w:rPr>
          <w:snapToGrid w:val="0"/>
          <w:color w:val="000000"/>
        </w:rPr>
      </w:pPr>
      <w:r>
        <w:rPr>
          <w:rFonts w:hint="eastAsia"/>
          <w:snapToGrid w:val="0"/>
          <w:color w:val="000000"/>
        </w:rPr>
        <w:t>亚太反对贩运妇女联盟</w:t>
      </w:r>
    </w:p>
    <w:p w:rsidR="00000000" w:rsidRDefault="00821B8F">
      <w:pPr>
        <w:spacing w:after="240" w:line="360" w:lineRule="exact"/>
        <w:ind w:left="840"/>
        <w:rPr>
          <w:snapToGrid w:val="0"/>
          <w:color w:val="000000"/>
        </w:rPr>
      </w:pPr>
      <w:r>
        <w:rPr>
          <w:rFonts w:hint="eastAsia"/>
          <w:snapToGrid w:val="0"/>
          <w:color w:val="000000"/>
        </w:rPr>
        <w:t>妇女发展行动网</w:t>
      </w:r>
    </w:p>
    <w:p w:rsidR="00000000" w:rsidRDefault="00821B8F">
      <w:pPr>
        <w:spacing w:after="240" w:line="360" w:lineRule="exact"/>
        <w:ind w:left="840"/>
        <w:rPr>
          <w:snapToGrid w:val="0"/>
          <w:color w:val="000000"/>
        </w:rPr>
      </w:pPr>
      <w:r>
        <w:rPr>
          <w:rFonts w:hint="eastAsia"/>
          <w:snapToGrid w:val="0"/>
          <w:color w:val="000000"/>
        </w:rPr>
        <w:t>国际女律师协会，菲律宾分会</w:t>
      </w:r>
    </w:p>
    <w:p w:rsidR="00000000" w:rsidRDefault="00821B8F">
      <w:pPr>
        <w:spacing w:after="240" w:line="360" w:lineRule="exact"/>
        <w:ind w:left="840"/>
        <w:rPr>
          <w:rFonts w:eastAsia="KaiTi_GB2312"/>
          <w:b/>
          <w:bCs/>
          <w:snapToGrid w:val="0"/>
          <w:color w:val="0000FF"/>
        </w:rPr>
      </w:pPr>
      <w:r>
        <w:rPr>
          <w:rFonts w:eastAsia="KaiTi_GB2312" w:hint="eastAsia"/>
          <w:b/>
          <w:bCs/>
          <w:snapToGrid w:val="0"/>
          <w:color w:val="0000FF"/>
        </w:rPr>
        <w:t>自由工人联合会——妇女网</w:t>
      </w:r>
    </w:p>
    <w:p w:rsidR="00000000" w:rsidRDefault="00821B8F">
      <w:pPr>
        <w:spacing w:after="240" w:line="360" w:lineRule="exact"/>
        <w:ind w:left="840"/>
        <w:rPr>
          <w:snapToGrid w:val="0"/>
          <w:color w:val="000000"/>
        </w:rPr>
      </w:pPr>
      <w:r>
        <w:rPr>
          <w:rFonts w:hint="eastAsia"/>
          <w:snapToGrid w:val="0"/>
          <w:color w:val="000000"/>
        </w:rPr>
        <w:t>菲律宾女童子军</w:t>
      </w:r>
    </w:p>
    <w:p w:rsidR="00000000" w:rsidRDefault="00821B8F">
      <w:pPr>
        <w:spacing w:after="240" w:line="360" w:lineRule="exact"/>
        <w:ind w:left="840"/>
        <w:rPr>
          <w:snapToGrid w:val="0"/>
          <w:color w:val="000000"/>
        </w:rPr>
      </w:pPr>
      <w:r>
        <w:rPr>
          <w:snapToGrid w:val="0"/>
          <w:color w:val="000000"/>
        </w:rPr>
        <w:t>Ing Makababaying Akyon</w:t>
      </w:r>
      <w:r>
        <w:rPr>
          <w:rFonts w:hint="eastAsia"/>
          <w:snapToGrid w:val="0"/>
          <w:color w:val="000000"/>
        </w:rPr>
        <w:t>基金会</w:t>
      </w:r>
    </w:p>
    <w:p w:rsidR="00000000" w:rsidRDefault="00821B8F">
      <w:pPr>
        <w:spacing w:after="240" w:line="360" w:lineRule="exact"/>
        <w:ind w:left="840"/>
        <w:rPr>
          <w:rFonts w:eastAsia="KaiTi_GB2312"/>
          <w:b/>
          <w:bCs/>
          <w:snapToGrid w:val="0"/>
          <w:color w:val="0000FF"/>
        </w:rPr>
      </w:pPr>
      <w:r>
        <w:rPr>
          <w:rFonts w:eastAsia="KaiTi_GB2312" w:hint="eastAsia"/>
          <w:b/>
          <w:bCs/>
          <w:snapToGrid w:val="0"/>
          <w:color w:val="0000FF"/>
        </w:rPr>
        <w:t>政治和施政研究所</w:t>
      </w:r>
    </w:p>
    <w:p w:rsidR="00000000" w:rsidRDefault="00821B8F">
      <w:pPr>
        <w:spacing w:after="240" w:line="360" w:lineRule="exact"/>
        <w:ind w:left="840"/>
        <w:rPr>
          <w:snapToGrid w:val="0"/>
          <w:color w:val="000000"/>
        </w:rPr>
      </w:pPr>
      <w:r>
        <w:rPr>
          <w:rFonts w:hint="eastAsia"/>
          <w:snapToGrid w:val="0"/>
          <w:color w:val="000000"/>
        </w:rPr>
        <w:t>伊希斯国际组织（马尼拉）</w:t>
      </w:r>
    </w:p>
    <w:p w:rsidR="00000000" w:rsidRDefault="00821B8F">
      <w:pPr>
        <w:spacing w:after="240" w:line="360" w:lineRule="exact"/>
        <w:ind w:left="840"/>
        <w:rPr>
          <w:snapToGrid w:val="0"/>
          <w:color w:val="000000"/>
        </w:rPr>
      </w:pPr>
      <w:r>
        <w:rPr>
          <w:rFonts w:hint="eastAsia"/>
          <w:snapToGrid w:val="0"/>
          <w:color w:val="000000"/>
        </w:rPr>
        <w:t>巴里卡丹</w:t>
      </w:r>
    </w:p>
    <w:p w:rsidR="00000000" w:rsidRDefault="00821B8F">
      <w:pPr>
        <w:spacing w:after="240" w:line="360" w:lineRule="exact"/>
        <w:ind w:left="840"/>
        <w:rPr>
          <w:snapToGrid w:val="0"/>
          <w:color w:val="000000"/>
        </w:rPr>
      </w:pPr>
      <w:r>
        <w:rPr>
          <w:rFonts w:hint="eastAsia"/>
          <w:snapToGrid w:val="0"/>
          <w:color w:val="000000"/>
        </w:rPr>
        <w:t>菲律宾女同性</w:t>
      </w:r>
      <w:r>
        <w:rPr>
          <w:rFonts w:hint="eastAsia"/>
          <w:snapToGrid w:val="0"/>
          <w:color w:val="000000"/>
        </w:rPr>
        <w:t>恋者权益会</w:t>
      </w:r>
    </w:p>
    <w:p w:rsidR="00000000" w:rsidRDefault="00821B8F">
      <w:pPr>
        <w:spacing w:after="240" w:line="360" w:lineRule="exact"/>
        <w:ind w:left="840"/>
        <w:rPr>
          <w:snapToGrid w:val="0"/>
          <w:color w:val="000000"/>
        </w:rPr>
      </w:pPr>
      <w:r>
        <w:rPr>
          <w:rFonts w:hint="eastAsia"/>
          <w:color w:val="000000"/>
        </w:rPr>
        <w:t>马尼拉</w:t>
      </w:r>
      <w:r>
        <w:rPr>
          <w:color w:val="000000"/>
        </w:rPr>
        <w:t>巴里卡丹</w:t>
      </w:r>
      <w:r>
        <w:rPr>
          <w:rFonts w:hint="eastAsia"/>
          <w:color w:val="000000"/>
        </w:rPr>
        <w:t>市</w:t>
      </w:r>
    </w:p>
    <w:p w:rsidR="00000000" w:rsidRDefault="00821B8F">
      <w:pPr>
        <w:spacing w:after="240" w:line="360" w:lineRule="exact"/>
        <w:ind w:left="840"/>
        <w:rPr>
          <w:snapToGrid w:val="0"/>
          <w:color w:val="000000"/>
        </w:rPr>
      </w:pPr>
      <w:r>
        <w:rPr>
          <w:rFonts w:hint="eastAsia"/>
          <w:snapToGrid w:val="0"/>
          <w:color w:val="000000"/>
        </w:rPr>
        <w:t>国家合作社联合会</w:t>
      </w:r>
    </w:p>
    <w:p w:rsidR="00000000" w:rsidRDefault="00821B8F">
      <w:pPr>
        <w:spacing w:after="240" w:line="360" w:lineRule="exact"/>
        <w:ind w:left="840"/>
        <w:rPr>
          <w:snapToGrid w:val="0"/>
          <w:color w:val="000000"/>
        </w:rPr>
      </w:pPr>
      <w:r>
        <w:rPr>
          <w:rFonts w:hint="eastAsia"/>
          <w:snapToGrid w:val="0"/>
          <w:color w:val="000000"/>
        </w:rPr>
        <w:t>国家社会发展理事会</w:t>
      </w:r>
    </w:p>
    <w:p w:rsidR="00000000" w:rsidRDefault="00821B8F">
      <w:pPr>
        <w:spacing w:after="240" w:line="360" w:lineRule="exact"/>
        <w:ind w:left="840"/>
        <w:rPr>
          <w:rFonts w:eastAsia="KaiTi_GB2312"/>
          <w:b/>
          <w:bCs/>
          <w:snapToGrid w:val="0"/>
          <w:color w:val="0000FF"/>
        </w:rPr>
      </w:pPr>
      <w:r>
        <w:rPr>
          <w:rFonts w:eastAsia="KaiTi_GB2312" w:hint="eastAsia"/>
          <w:b/>
          <w:bCs/>
          <w:snapToGrid w:val="0"/>
          <w:color w:val="0000FF"/>
        </w:rPr>
        <w:t>全国妇女俱乐部联合会</w:t>
      </w:r>
    </w:p>
    <w:p w:rsidR="00000000" w:rsidRDefault="00821B8F">
      <w:pPr>
        <w:spacing w:after="240" w:line="360" w:lineRule="exact"/>
        <w:ind w:left="840"/>
        <w:rPr>
          <w:snapToGrid w:val="0"/>
          <w:color w:val="000000"/>
        </w:rPr>
      </w:pPr>
      <w:r>
        <w:rPr>
          <w:rFonts w:hint="eastAsia"/>
          <w:snapToGrid w:val="0"/>
          <w:color w:val="000000"/>
        </w:rPr>
        <w:t>NORFIL</w:t>
      </w:r>
      <w:r>
        <w:rPr>
          <w:rFonts w:hint="eastAsia"/>
          <w:snapToGrid w:val="0"/>
          <w:color w:val="000000"/>
        </w:rPr>
        <w:t>基金会</w:t>
      </w:r>
    </w:p>
    <w:p w:rsidR="00000000" w:rsidRDefault="00821B8F">
      <w:pPr>
        <w:spacing w:after="240" w:line="360" w:lineRule="exact"/>
        <w:ind w:left="840"/>
        <w:rPr>
          <w:snapToGrid w:val="0"/>
          <w:color w:val="000000"/>
        </w:rPr>
      </w:pPr>
      <w:r>
        <w:rPr>
          <w:rFonts w:hint="eastAsia"/>
          <w:snapToGrid w:val="0"/>
          <w:color w:val="000000"/>
        </w:rPr>
        <w:t>菲律宾农村地区人力资源开发伙伴组织</w:t>
      </w:r>
    </w:p>
    <w:p w:rsidR="00000000" w:rsidRDefault="00821B8F">
      <w:pPr>
        <w:spacing w:after="240" w:line="360" w:lineRule="exact"/>
        <w:ind w:left="840"/>
        <w:rPr>
          <w:snapToGrid w:val="0"/>
          <w:color w:val="000000"/>
        </w:rPr>
      </w:pPr>
      <w:r>
        <w:rPr>
          <w:rFonts w:hint="eastAsia"/>
          <w:snapToGrid w:val="0"/>
          <w:color w:val="000000"/>
        </w:rPr>
        <w:t>菲律宾非政府组织人口、健康和福利理事会</w:t>
      </w:r>
    </w:p>
    <w:p w:rsidR="00000000" w:rsidRDefault="00821B8F">
      <w:pPr>
        <w:spacing w:after="240" w:line="360" w:lineRule="exact"/>
        <w:ind w:left="840"/>
        <w:rPr>
          <w:snapToGrid w:val="0"/>
          <w:color w:val="000000"/>
        </w:rPr>
      </w:pPr>
      <w:r>
        <w:rPr>
          <w:color w:val="000000"/>
        </w:rPr>
        <w:t>菲律宾社会进步</w:t>
      </w:r>
      <w:r>
        <w:rPr>
          <w:rFonts w:hint="eastAsia"/>
          <w:color w:val="000000"/>
        </w:rPr>
        <w:t>商业机构</w:t>
      </w:r>
    </w:p>
    <w:p w:rsidR="00000000" w:rsidRDefault="00821B8F">
      <w:pPr>
        <w:spacing w:after="240" w:line="360" w:lineRule="exact"/>
        <w:ind w:left="840"/>
        <w:rPr>
          <w:rFonts w:eastAsia="KaiTi_GB2312"/>
          <w:b/>
          <w:bCs/>
          <w:snapToGrid w:val="0"/>
          <w:color w:val="0000FF"/>
        </w:rPr>
      </w:pPr>
      <w:r>
        <w:rPr>
          <w:rFonts w:eastAsia="KaiTi_GB2312" w:hint="eastAsia"/>
          <w:b/>
          <w:bCs/>
          <w:snapToGrid w:val="0"/>
          <w:color w:val="0000FF"/>
        </w:rPr>
        <w:t>菲律宾妇女政治和管理网</w:t>
      </w:r>
    </w:p>
    <w:p w:rsidR="00000000" w:rsidRDefault="00821B8F">
      <w:pPr>
        <w:spacing w:after="240" w:line="360" w:lineRule="exact"/>
        <w:ind w:left="840"/>
        <w:rPr>
          <w:snapToGrid w:val="0"/>
          <w:color w:val="000000"/>
        </w:rPr>
      </w:pPr>
      <w:r>
        <w:rPr>
          <w:rFonts w:hint="eastAsia"/>
          <w:snapToGrid w:val="0"/>
          <w:color w:val="000000"/>
        </w:rPr>
        <w:t>菲律宾跨文化发展协会</w:t>
      </w:r>
    </w:p>
    <w:p w:rsidR="00000000" w:rsidRDefault="00821B8F">
      <w:pPr>
        <w:spacing w:after="240" w:line="360" w:lineRule="exact"/>
        <w:ind w:left="840"/>
        <w:rPr>
          <w:snapToGrid w:val="0"/>
          <w:color w:val="000000"/>
        </w:rPr>
      </w:pPr>
      <w:r>
        <w:rPr>
          <w:color w:val="000000"/>
        </w:rPr>
        <w:t>蕾梅迪阿斯</w:t>
      </w:r>
      <w:r>
        <w:rPr>
          <w:rFonts w:hint="eastAsia"/>
          <w:color w:val="000000"/>
        </w:rPr>
        <w:t>艾滋病基金会</w:t>
      </w:r>
    </w:p>
    <w:p w:rsidR="00000000" w:rsidRDefault="00821B8F">
      <w:pPr>
        <w:spacing w:after="240" w:line="360" w:lineRule="exact"/>
        <w:ind w:left="840"/>
        <w:rPr>
          <w:snapToGrid w:val="0"/>
          <w:color w:val="000000"/>
        </w:rPr>
      </w:pPr>
      <w:r>
        <w:rPr>
          <w:rFonts w:hint="eastAsia"/>
          <w:snapToGrid w:val="0"/>
          <w:color w:val="000000"/>
        </w:rPr>
        <w:t>生殖权利咨询组</w:t>
      </w:r>
    </w:p>
    <w:p w:rsidR="00000000" w:rsidRDefault="00821B8F">
      <w:pPr>
        <w:spacing w:after="240" w:line="360" w:lineRule="exact"/>
        <w:ind w:left="840"/>
        <w:rPr>
          <w:snapToGrid w:val="0"/>
          <w:color w:val="000000"/>
        </w:rPr>
      </w:pPr>
      <w:r>
        <w:rPr>
          <w:snapToGrid w:val="0"/>
          <w:color w:val="000000"/>
        </w:rPr>
        <w:t>Sarilaya</w:t>
      </w:r>
    </w:p>
    <w:p w:rsidR="00000000" w:rsidRDefault="00821B8F">
      <w:pPr>
        <w:spacing w:after="240" w:line="360" w:lineRule="exact"/>
        <w:ind w:left="840"/>
        <w:rPr>
          <w:snapToGrid w:val="0"/>
          <w:color w:val="000000"/>
        </w:rPr>
      </w:pPr>
      <w:r>
        <w:rPr>
          <w:snapToGrid w:val="0"/>
          <w:color w:val="000000"/>
        </w:rPr>
        <w:t>Sentro ng Alternatibong Lingap Panlegal</w:t>
      </w:r>
    </w:p>
    <w:p w:rsidR="00000000" w:rsidRDefault="00821B8F">
      <w:pPr>
        <w:spacing w:after="240" w:line="360" w:lineRule="exact"/>
        <w:ind w:left="840"/>
        <w:rPr>
          <w:snapToGrid w:val="0"/>
          <w:color w:val="000000"/>
        </w:rPr>
      </w:pPr>
      <w:r>
        <w:rPr>
          <w:bCs/>
        </w:rPr>
        <w:t xml:space="preserve">Sama-samang Inisyatiba ng Kababaihan sa Pagbabago ng Batas </w:t>
      </w:r>
      <w:r>
        <w:rPr>
          <w:bCs/>
        </w:rPr>
        <w:t>at Lipunan</w:t>
      </w:r>
    </w:p>
    <w:p w:rsidR="00000000" w:rsidRDefault="00821B8F">
      <w:pPr>
        <w:spacing w:after="240" w:line="360" w:lineRule="exact"/>
        <w:ind w:left="840"/>
        <w:rPr>
          <w:snapToGrid w:val="0"/>
          <w:color w:val="000000"/>
        </w:rPr>
      </w:pPr>
      <w:r>
        <w:rPr>
          <w:rFonts w:hint="eastAsia"/>
          <w:snapToGrid w:val="0"/>
          <w:color w:val="000000"/>
        </w:rPr>
        <w:t>菲律宾工会国会——团结中心</w:t>
      </w:r>
    </w:p>
    <w:p w:rsidR="00000000" w:rsidRDefault="00821B8F">
      <w:pPr>
        <w:spacing w:after="240" w:line="360" w:lineRule="exact"/>
        <w:ind w:left="840"/>
        <w:rPr>
          <w:snapToGrid w:val="0"/>
          <w:color w:val="000000"/>
        </w:rPr>
      </w:pPr>
      <w:r>
        <w:rPr>
          <w:rFonts w:hint="eastAsia"/>
          <w:snapToGrid w:val="0"/>
          <w:color w:val="000000"/>
        </w:rPr>
        <w:t>Ugnayan ng Kababaihan sa Pulitika</w:t>
      </w:r>
    </w:p>
    <w:p w:rsidR="00000000" w:rsidRDefault="00821B8F">
      <w:pPr>
        <w:spacing w:after="240" w:line="360" w:lineRule="exact"/>
        <w:ind w:left="840"/>
        <w:rPr>
          <w:snapToGrid w:val="0"/>
          <w:color w:val="000000"/>
        </w:rPr>
      </w:pPr>
      <w:r>
        <w:rPr>
          <w:rFonts w:hint="eastAsia"/>
          <w:snapToGrid w:val="0"/>
          <w:color w:val="000000"/>
        </w:rPr>
        <w:t>妇女商业理事会</w:t>
      </w:r>
    </w:p>
    <w:p w:rsidR="00000000" w:rsidRDefault="00821B8F">
      <w:pPr>
        <w:spacing w:after="240" w:line="360" w:lineRule="exact"/>
        <w:ind w:left="840"/>
        <w:rPr>
          <w:snapToGrid w:val="0"/>
          <w:color w:val="000000"/>
        </w:rPr>
      </w:pPr>
      <w:r>
        <w:rPr>
          <w:rFonts w:hint="eastAsia"/>
          <w:snapToGrid w:val="0"/>
          <w:color w:val="000000"/>
        </w:rPr>
        <w:t>妇女促进可持续经济行动倡议公司</w:t>
      </w:r>
    </w:p>
    <w:p w:rsidR="00000000" w:rsidRDefault="00821B8F">
      <w:pPr>
        <w:spacing w:after="240" w:line="360" w:lineRule="exact"/>
        <w:ind w:left="840"/>
        <w:rPr>
          <w:snapToGrid w:val="0"/>
          <w:color w:val="000000"/>
        </w:rPr>
      </w:pPr>
      <w:r>
        <w:rPr>
          <w:rFonts w:hint="eastAsia"/>
          <w:snapToGrid w:val="0"/>
          <w:color w:val="000000"/>
        </w:rPr>
        <w:t>妇女危机中心</w:t>
      </w:r>
    </w:p>
    <w:p w:rsidR="00000000" w:rsidRDefault="00821B8F">
      <w:pPr>
        <w:spacing w:after="240" w:line="360" w:lineRule="exact"/>
        <w:ind w:left="840"/>
        <w:rPr>
          <w:snapToGrid w:val="0"/>
          <w:color w:val="000000"/>
        </w:rPr>
      </w:pPr>
      <w:r>
        <w:rPr>
          <w:rFonts w:hint="eastAsia"/>
          <w:snapToGrid w:val="0"/>
          <w:color w:val="000000"/>
        </w:rPr>
        <w:t>妇女报告事务机构</w:t>
      </w:r>
    </w:p>
    <w:p w:rsidR="00000000" w:rsidRDefault="00821B8F">
      <w:pPr>
        <w:spacing w:after="240" w:line="360" w:lineRule="exact"/>
        <w:ind w:left="840"/>
        <w:rPr>
          <w:rFonts w:eastAsia="KaiTi_GB2312"/>
          <w:b/>
          <w:bCs/>
          <w:snapToGrid w:val="0"/>
          <w:color w:val="0000FF"/>
        </w:rPr>
      </w:pPr>
      <w:r>
        <w:rPr>
          <w:rFonts w:eastAsia="KaiTi_GB2312" w:hint="eastAsia"/>
          <w:b/>
          <w:bCs/>
          <w:snapToGrid w:val="0"/>
          <w:color w:val="0000FF"/>
        </w:rPr>
        <w:t>菲律宾妇女保健组织</w:t>
      </w:r>
    </w:p>
    <w:p w:rsidR="00000000" w:rsidRDefault="00821B8F">
      <w:pPr>
        <w:spacing w:after="240" w:line="360" w:lineRule="exact"/>
        <w:ind w:left="840"/>
        <w:rPr>
          <w:snapToGrid w:val="0"/>
          <w:color w:val="000000"/>
        </w:rPr>
      </w:pPr>
      <w:r>
        <w:rPr>
          <w:rFonts w:hint="eastAsia"/>
          <w:snapToGrid w:val="0"/>
          <w:color w:val="000000"/>
        </w:rPr>
        <w:t>妇女传媒界基金会</w:t>
      </w:r>
    </w:p>
    <w:p w:rsidR="00000000" w:rsidRDefault="00821B8F">
      <w:pPr>
        <w:spacing w:after="240" w:line="360" w:lineRule="exact"/>
        <w:ind w:left="840"/>
        <w:rPr>
          <w:snapToGrid w:val="0"/>
          <w:color w:val="000000"/>
        </w:rPr>
      </w:pPr>
      <w:r>
        <w:rPr>
          <w:rFonts w:hint="eastAsia"/>
          <w:snapToGrid w:val="0"/>
          <w:color w:val="000000"/>
        </w:rPr>
        <w:t>妇女法律教育、宣传和辩护基金会</w:t>
      </w:r>
    </w:p>
    <w:p w:rsidR="00000000" w:rsidRDefault="00821B8F">
      <w:pPr>
        <w:spacing w:after="240" w:line="360" w:lineRule="exact"/>
        <w:ind w:left="840"/>
        <w:rPr>
          <w:snapToGrid w:val="0"/>
          <w:color w:val="000000"/>
        </w:rPr>
      </w:pPr>
      <w:r>
        <w:rPr>
          <w:rFonts w:hint="eastAsia"/>
          <w:snapToGrid w:val="0"/>
          <w:color w:val="000000"/>
        </w:rPr>
        <w:t>妇女律师团</w:t>
      </w:r>
    </w:p>
    <w:p w:rsidR="00000000" w:rsidRDefault="00821B8F">
      <w:pPr>
        <w:spacing w:after="240" w:line="360" w:lineRule="exact"/>
        <w:ind w:left="840"/>
        <w:rPr>
          <w:snapToGrid w:val="0"/>
          <w:color w:val="000000"/>
        </w:rPr>
      </w:pPr>
      <w:r>
        <w:rPr>
          <w:rFonts w:hint="eastAsia"/>
          <w:snapToGrid w:val="0"/>
          <w:color w:val="000000"/>
        </w:rPr>
        <w:t>妇女建国协会</w:t>
      </w:r>
    </w:p>
    <w:p w:rsidR="00000000" w:rsidRDefault="00821B8F">
      <w:pPr>
        <w:spacing w:after="240" w:line="360" w:lineRule="exact"/>
        <w:ind w:left="840"/>
        <w:rPr>
          <w:snapToGrid w:val="0"/>
          <w:color w:val="000000"/>
        </w:rPr>
      </w:pPr>
      <w:r>
        <w:rPr>
          <w:rFonts w:hint="eastAsia"/>
          <w:snapToGrid w:val="0"/>
          <w:color w:val="000000"/>
        </w:rPr>
        <w:t>菲律宾妇女研究协会</w:t>
      </w:r>
    </w:p>
    <w:p w:rsidR="00000000" w:rsidRDefault="00821B8F">
      <w:pPr>
        <w:spacing w:after="240" w:line="360" w:lineRule="exact"/>
        <w:ind w:firstLine="420"/>
        <w:rPr>
          <w:rFonts w:hint="eastAsia"/>
          <w:color w:val="000000"/>
        </w:rPr>
      </w:pPr>
      <w:r>
        <w:rPr>
          <w:rFonts w:hint="eastAsia"/>
          <w:color w:val="000000"/>
        </w:rPr>
        <w:t>妇女委员会谨向琼·弗朗西丝·伊洛、罗萨尼塔·塞拉诺和曼努埃拉·席尔瓦几位顾问表示感谢，感谢他们在编写本报告过程中做出了贡献。</w:t>
      </w:r>
    </w:p>
    <w:p w:rsidR="00000000" w:rsidRDefault="00821B8F" w:rsidP="00821B8F">
      <w:pPr>
        <w:spacing w:after="240" w:line="360" w:lineRule="exact"/>
        <w:ind w:left="31680" w:hangingChars="375" w:firstLine="31680"/>
        <w:rPr>
          <w:rFonts w:hint="eastAsia"/>
        </w:rPr>
      </w:pPr>
      <w:r>
        <w:rPr>
          <w:rFonts w:hint="eastAsia"/>
        </w:rPr>
        <w:t>一．</w:t>
      </w:r>
      <w:r>
        <w:rPr>
          <w:rFonts w:hint="eastAsia"/>
        </w:rPr>
        <w:t>1</w:t>
      </w:r>
      <w:r>
        <w:t>.</w:t>
      </w:r>
      <w:r>
        <w:rPr>
          <w:rFonts w:hint="eastAsia"/>
        </w:rPr>
        <w:t xml:space="preserve">  </w:t>
      </w:r>
      <w:r>
        <w:rPr>
          <w:rFonts w:hint="eastAsia"/>
        </w:rPr>
        <w:t>本报告是菲律宾关于《联合国消除对妇女一切形式歧视公约》（《妇</w:t>
      </w:r>
      <w:r>
        <w:rPr>
          <w:rFonts w:hint="eastAsia"/>
        </w:rPr>
        <w:t>女公约》）的执行情况的第五次和第六次合并报告。报告所涉时期为</w:t>
      </w:r>
      <w:r>
        <w:rPr>
          <w:rFonts w:hint="eastAsia"/>
        </w:rPr>
        <w:t>1995</w:t>
      </w:r>
      <w:r>
        <w:rPr>
          <w:rFonts w:hint="eastAsia"/>
        </w:rPr>
        <w:t>年</w:t>
      </w:r>
      <w:r>
        <w:rPr>
          <w:rFonts w:hint="eastAsia"/>
        </w:rPr>
        <w:t>12</w:t>
      </w:r>
      <w:r>
        <w:rPr>
          <w:rFonts w:hint="eastAsia"/>
        </w:rPr>
        <w:t>月提交第四次报告之后到</w:t>
      </w:r>
      <w:r>
        <w:rPr>
          <w:rFonts w:hint="eastAsia"/>
        </w:rPr>
        <w:t>2003</w:t>
      </w:r>
      <w:r>
        <w:rPr>
          <w:rFonts w:hint="eastAsia"/>
        </w:rPr>
        <w:t>年</w:t>
      </w:r>
      <w:r>
        <w:rPr>
          <w:rFonts w:hint="eastAsia"/>
        </w:rPr>
        <w:t>12</w:t>
      </w:r>
      <w:r>
        <w:rPr>
          <w:rFonts w:hint="eastAsia"/>
        </w:rPr>
        <w:t>月。</w:t>
      </w:r>
    </w:p>
    <w:p w:rsidR="00000000" w:rsidRDefault="00821B8F" w:rsidP="00821B8F">
      <w:pPr>
        <w:spacing w:after="240" w:line="360" w:lineRule="exact"/>
        <w:ind w:left="31680" w:hangingChars="375" w:firstLine="31680"/>
        <w:rPr>
          <w:rFonts w:hint="eastAsia"/>
        </w:rPr>
      </w:pPr>
      <w:r>
        <w:rPr>
          <w:rFonts w:hint="eastAsia"/>
        </w:rPr>
        <w:t>一．</w:t>
      </w:r>
      <w:r>
        <w:rPr>
          <w:rFonts w:hint="eastAsia"/>
        </w:rPr>
        <w:t>2</w:t>
      </w:r>
      <w:r>
        <w:t>.</w:t>
      </w:r>
      <w:r>
        <w:rPr>
          <w:rFonts w:hint="eastAsia"/>
        </w:rPr>
        <w:t xml:space="preserve">  </w:t>
      </w:r>
      <w:r>
        <w:rPr>
          <w:rFonts w:hint="eastAsia"/>
        </w:rPr>
        <w:t>与以前相同，本报告的编写得到了有关政府机构和非政府组织的帮助。菲律宾妇女作用全国委员会（妇女委员会）——一家推进菲律宾妇女进步的国家机构——成立了技术委员会和若干个小组委员会，协助编写本报告。妇女委员会与外交部合作，向政府组织和非政府组织介绍了妇女公约、其条款以及负责监督妇女公约执行情况的联合国各事务委员会的情况。为了编写本报告，还与政府机构及非政府组织举行了若干次技术会议。最后，</w:t>
      </w:r>
      <w:r>
        <w:rPr>
          <w:rFonts w:hint="eastAsia"/>
        </w:rPr>
        <w:t>还举办了政府与非政府组织的协商讲习班，对报告中提出的资料和分析是否全面、完整和准确进行了核实。在报告定稿前，一些政府和非政府组织的专家还审查了报告草案。</w:t>
      </w:r>
    </w:p>
    <w:p w:rsidR="00000000" w:rsidRDefault="00821B8F" w:rsidP="00821B8F">
      <w:pPr>
        <w:spacing w:after="240" w:line="360" w:lineRule="exact"/>
        <w:ind w:left="31680" w:hangingChars="375" w:firstLine="31680"/>
        <w:rPr>
          <w:rFonts w:hint="eastAsia"/>
          <w:color w:val="000000"/>
        </w:rPr>
      </w:pPr>
      <w:r>
        <w:rPr>
          <w:rFonts w:hint="eastAsia"/>
          <w:color w:val="000000"/>
        </w:rPr>
        <w:t>一．</w:t>
      </w:r>
      <w:r>
        <w:rPr>
          <w:rFonts w:hint="eastAsia"/>
          <w:color w:val="000000"/>
        </w:rPr>
        <w:t>3</w:t>
      </w:r>
      <w:r>
        <w:rPr>
          <w:color w:val="000000"/>
        </w:rPr>
        <w:t xml:space="preserve">. </w:t>
      </w:r>
      <w:r>
        <w:rPr>
          <w:rFonts w:hint="eastAsia"/>
          <w:color w:val="000000"/>
        </w:rPr>
        <w:t xml:space="preserve"> </w:t>
      </w:r>
      <w:r>
        <w:rPr>
          <w:rFonts w:hint="eastAsia"/>
          <w:color w:val="000000"/>
        </w:rPr>
        <w:t>按照妇女公约新的报告编写指南中提出的格式要求，本报告由三部分组成：第一部分载有对联合国消除对妇女一切形式歧视委员会（消除对妇女歧视委员会）关于菲律宾政府提交的第四次报告的结论性意见和建议做出的响应。第二部分是概述，介绍菲律宾政治、社会和经济情况的最新资料，包括菲律宾妇女现况的最新资料。这一部分还概述了为解决妇女关注的问题拟订的政策和方案，重点介</w:t>
      </w:r>
      <w:r>
        <w:rPr>
          <w:rFonts w:hint="eastAsia"/>
          <w:color w:val="000000"/>
        </w:rPr>
        <w:t>绍妇女充分参与发展方面未解决的问题和障碍。第三部分提供了关于妇女公约第一至第十六条的执行情况。</w:t>
      </w:r>
    </w:p>
    <w:p w:rsidR="00000000" w:rsidRDefault="00821B8F" w:rsidP="00821B8F">
      <w:pPr>
        <w:spacing w:after="240" w:line="360" w:lineRule="exact"/>
        <w:ind w:left="31680" w:hangingChars="375" w:firstLine="31680"/>
        <w:rPr>
          <w:rFonts w:hint="eastAsia"/>
        </w:rPr>
      </w:pPr>
      <w:r>
        <w:rPr>
          <w:rFonts w:hint="eastAsia"/>
        </w:rPr>
        <w:t>一．</w:t>
      </w:r>
      <w:r>
        <w:rPr>
          <w:rFonts w:hint="eastAsia"/>
        </w:rPr>
        <w:t>4</w:t>
      </w:r>
      <w:r>
        <w:t>.</w:t>
      </w:r>
      <w:r>
        <w:rPr>
          <w:rFonts w:hint="eastAsia"/>
        </w:rPr>
        <w:t xml:space="preserve"> </w:t>
      </w:r>
      <w:r>
        <w:t xml:space="preserve"> </w:t>
      </w:r>
      <w:r>
        <w:rPr>
          <w:rFonts w:hint="eastAsia"/>
        </w:rPr>
        <w:t>作为签约国，菲律宾承诺执行该公约以及旨在改善全世界妇女状况的其他国际协定，如《北京宣言和行动纲要》和北京会议五周年结果文件。因此，本报告中包含了</w:t>
      </w:r>
      <w:r>
        <w:rPr>
          <w:rFonts w:hint="eastAsia"/>
        </w:rPr>
        <w:t>2001-2003</w:t>
      </w:r>
      <w:r>
        <w:rPr>
          <w:rFonts w:hint="eastAsia"/>
        </w:rPr>
        <w:t>年间为解决妇女公约各项条款和《北京宣言》有关条款中所涉的问题和难题而出台的新的法律、政策和方案。</w:t>
      </w:r>
    </w:p>
    <w:p w:rsidR="00000000" w:rsidRDefault="00821B8F" w:rsidP="00821B8F">
      <w:pPr>
        <w:spacing w:after="240" w:line="360" w:lineRule="exact"/>
        <w:ind w:left="31680" w:hangingChars="375" w:firstLine="31680"/>
        <w:rPr>
          <w:rFonts w:hint="eastAsia"/>
        </w:rPr>
      </w:pPr>
      <w:r>
        <w:rPr>
          <w:rFonts w:hint="eastAsia"/>
        </w:rPr>
        <w:t>一．</w:t>
      </w:r>
      <w:r>
        <w:rPr>
          <w:rFonts w:hint="eastAsia"/>
        </w:rPr>
        <w:t>5</w:t>
      </w:r>
      <w:r>
        <w:t>.</w:t>
      </w:r>
      <w:r>
        <w:rPr>
          <w:rFonts w:hint="eastAsia"/>
        </w:rPr>
        <w:t xml:space="preserve"> </w:t>
      </w:r>
      <w:r>
        <w:t xml:space="preserve"> </w:t>
      </w:r>
      <w:r>
        <w:rPr>
          <w:rFonts w:hint="eastAsia"/>
        </w:rPr>
        <w:t>谨请联合国消除对妇女歧视委员会查阅附件中所列的、报告中使用的参考文献、缩略语以及表格。</w:t>
      </w:r>
    </w:p>
    <w:p w:rsidR="00000000" w:rsidRDefault="00821B8F">
      <w:pPr>
        <w:pStyle w:val="HCh"/>
        <w:pBdr>
          <w:bottom w:val="double" w:sz="4" w:space="1" w:color="auto"/>
        </w:pBdr>
        <w:spacing w:before="240"/>
        <w:jc w:val="center"/>
        <w:rPr>
          <w:rFonts w:hint="eastAsia"/>
        </w:rPr>
      </w:pPr>
      <w:r>
        <w:rPr>
          <w:rFonts w:hint="eastAsia"/>
        </w:rPr>
        <w:t>第一部分：为响应消除对妇女歧视委员会关于菲律</w:t>
      </w:r>
      <w:r>
        <w:rPr>
          <w:rFonts w:hint="eastAsia"/>
        </w:rPr>
        <w:t>宾第四次定期报告的</w:t>
      </w:r>
      <w:r>
        <w:br/>
      </w:r>
      <w:r>
        <w:rPr>
          <w:rFonts w:hint="eastAsia"/>
        </w:rPr>
        <w:t>结论性意见而制订的主要政策和方案</w:t>
      </w:r>
    </w:p>
    <w:p w:rsidR="00000000" w:rsidRDefault="00821B8F">
      <w:pPr>
        <w:numPr>
          <w:ilvl w:val="0"/>
          <w:numId w:val="1236"/>
        </w:numPr>
        <w:spacing w:after="240" w:line="360" w:lineRule="exact"/>
        <w:rPr>
          <w:rFonts w:hint="eastAsia"/>
        </w:rPr>
      </w:pPr>
      <w:r>
        <w:rPr>
          <w:rFonts w:hint="eastAsia"/>
        </w:rPr>
        <w:t>菲律宾共和国政府欢迎联合国消除对妇女一切形式歧视委员会（消除对妇女歧视委员会）对菲律宾代表团于</w:t>
      </w:r>
      <w:r>
        <w:rPr>
          <w:rFonts w:hint="eastAsia"/>
        </w:rPr>
        <w:t>1997</w:t>
      </w:r>
      <w:r>
        <w:rPr>
          <w:rFonts w:hint="eastAsia"/>
        </w:rPr>
        <w:t>年</w:t>
      </w:r>
      <w:r>
        <w:rPr>
          <w:rFonts w:hint="eastAsia"/>
        </w:rPr>
        <w:t>1</w:t>
      </w:r>
      <w:r>
        <w:rPr>
          <w:rFonts w:hint="eastAsia"/>
        </w:rPr>
        <w:t>月</w:t>
      </w:r>
      <w:r>
        <w:rPr>
          <w:rFonts w:hint="eastAsia"/>
        </w:rPr>
        <w:t>27</w:t>
      </w:r>
      <w:r>
        <w:rPr>
          <w:rFonts w:hint="eastAsia"/>
        </w:rPr>
        <w:t>日提交的第四次定期报告所提出的意见和建议。联合国对妇女歧视委员会的结论性意见恰如其分地反映了菲律宾妇女的现状和需要优先采取行动的领域。该意见已传达到所有有关的政府机构，这些意见可能在这些机构各自的任务和计划中涉及到。菲律宾妇女作用全国委员会（妇女委员会）也向各非政府组织以及所有参加编写报告的人员传达了结论性意见。</w:t>
      </w:r>
    </w:p>
    <w:p w:rsidR="00000000" w:rsidRDefault="00821B8F">
      <w:pPr>
        <w:numPr>
          <w:ilvl w:val="0"/>
          <w:numId w:val="1236"/>
        </w:numPr>
        <w:spacing w:after="240" w:line="360" w:lineRule="exact"/>
        <w:rPr>
          <w:rFonts w:hint="eastAsia"/>
        </w:rPr>
      </w:pPr>
      <w:r>
        <w:rPr>
          <w:rFonts w:hint="eastAsia"/>
        </w:rPr>
        <w:t>作为对结论性意见的一种总体反应</w:t>
      </w:r>
      <w:r>
        <w:rPr>
          <w:rFonts w:hint="eastAsia"/>
        </w:rPr>
        <w:t>，菲律宾政府向联合国消除对妇女歧视委员会通报：委员会的结论性意见被有关政府机构列入了其性别与发展年度计划之中。根据法律要求，每个机构都必须提交一份性别与发展计划，详细说明该机构打算如何按照对性别问题有敏感认识的菲律宾发展计划、妇女问题框架计划、性别与发展预算政策以及与两性平等有关的法律和国际协定完成本机构的任务。</w:t>
      </w:r>
    </w:p>
    <w:p w:rsidR="00000000" w:rsidRDefault="00821B8F">
      <w:pPr>
        <w:numPr>
          <w:ilvl w:val="0"/>
          <w:numId w:val="1236"/>
        </w:numPr>
        <w:spacing w:after="240" w:line="360" w:lineRule="exact"/>
        <w:rPr>
          <w:rFonts w:hint="eastAsia"/>
        </w:rPr>
      </w:pPr>
      <w:r>
        <w:rPr>
          <w:rFonts w:hint="eastAsia"/>
        </w:rPr>
        <w:t>为了便于执行妇女公约和其他国际协定，菲律宾制订了妇女发展计划。这些计划把国际承诺中的条款转化为具体的政策和方案措施。这些计划还设法填补执行各国际协定中的差距，并介绍历届和现任政府领导人为了妇女发展</w:t>
      </w:r>
      <w:r>
        <w:rPr>
          <w:rFonts w:hint="eastAsia"/>
        </w:rPr>
        <w:t>计划所做的努力。第一个计划是前总统科拉松·阿基诺执政期间制订的菲律宾妇女发展计划（</w:t>
      </w:r>
      <w:r>
        <w:rPr>
          <w:rFonts w:hint="eastAsia"/>
        </w:rPr>
        <w:t>1989-1992</w:t>
      </w:r>
      <w:r>
        <w:rPr>
          <w:rFonts w:hint="eastAsia"/>
        </w:rPr>
        <w:t>年），然后是前总统费德尔·拉莫斯执政期间制订的为期</w:t>
      </w:r>
      <w:r>
        <w:rPr>
          <w:rFonts w:hint="eastAsia"/>
        </w:rPr>
        <w:t>30</w:t>
      </w:r>
      <w:r>
        <w:rPr>
          <w:rFonts w:hint="eastAsia"/>
        </w:rPr>
        <w:t>年的前景计划——对性别问题有敏感认识的菲律宾发展计划（</w:t>
      </w:r>
      <w:r>
        <w:rPr>
          <w:rFonts w:hint="eastAsia"/>
        </w:rPr>
        <w:t>1995-2025</w:t>
      </w:r>
      <w:r>
        <w:rPr>
          <w:rFonts w:hint="eastAsia"/>
        </w:rPr>
        <w:t>年）。根据对性别问题有敏感认识的菲律宾发展计划，又起草了妇女问题框架计划。该框架计划作为对性别问题有敏感认识的菲律宾发展计划中的一个时段，勾画出了格洛丽亚·马卡帕加尔·阿罗约总统政府为解决妇女在以下三方面迫切关注的问题将采取的干预措施，即：（</w:t>
      </w:r>
      <w:r>
        <w:t>a</w:t>
      </w:r>
      <w:r>
        <w:rPr>
          <w:rFonts w:hint="eastAsia"/>
        </w:rPr>
        <w:t>）赋予妇女经济权力、（</w:t>
      </w:r>
      <w:r>
        <w:t>b</w:t>
      </w:r>
      <w:r>
        <w:rPr>
          <w:rFonts w:hint="eastAsia"/>
        </w:rPr>
        <w:t>）妇女的人权及（</w:t>
      </w:r>
      <w:r>
        <w:t>c</w:t>
      </w:r>
      <w:r>
        <w:rPr>
          <w:rFonts w:hint="eastAsia"/>
        </w:rPr>
        <w:t>）对性别问题有敏感认识的管理。</w:t>
      </w:r>
    </w:p>
    <w:p w:rsidR="00000000" w:rsidRDefault="00821B8F">
      <w:pPr>
        <w:numPr>
          <w:ilvl w:val="0"/>
          <w:numId w:val="1236"/>
        </w:numPr>
        <w:spacing w:after="240" w:line="360" w:lineRule="exact"/>
        <w:rPr>
          <w:rFonts w:hint="eastAsia"/>
        </w:rPr>
      </w:pPr>
      <w:r>
        <w:rPr>
          <w:rFonts w:hint="eastAsia"/>
        </w:rPr>
        <w:t>在妇女组织和其他民间社会团体的支持下，菲律宾政府行政部门向立法部门进行了游说，争取通过对保护妇女至为关键的法律，如单亲父母、惩治强奸、贩卖妇女和家庭暴力以及在亲密关系中虐待妇女方面的法律。行政部门还支持司法部门的宣传工作，并协助它们制订性别与发展计划，以确保与妇女人权有关的法律得到有效执行。</w:t>
      </w:r>
    </w:p>
    <w:p w:rsidR="00000000" w:rsidRDefault="00821B8F">
      <w:pPr>
        <w:numPr>
          <w:ilvl w:val="0"/>
          <w:numId w:val="1236"/>
        </w:numPr>
        <w:spacing w:after="240" w:line="360" w:lineRule="exact"/>
        <w:rPr>
          <w:rFonts w:hint="eastAsia"/>
        </w:rPr>
      </w:pPr>
      <w:r>
        <w:rPr>
          <w:rFonts w:hint="eastAsia"/>
        </w:rPr>
        <w:t>下面叙述的是</w:t>
      </w:r>
      <w:r>
        <w:rPr>
          <w:rFonts w:hint="eastAsia"/>
        </w:rPr>
        <w:t>1996</w:t>
      </w:r>
      <w:r>
        <w:rPr>
          <w:rFonts w:hint="eastAsia"/>
        </w:rPr>
        <w:t>年以来政府按照联合国消除对妇女歧视委员会的意见和建议完成的工作以及按照妇女问题框架计划承诺在</w:t>
      </w:r>
      <w:r>
        <w:rPr>
          <w:rFonts w:hint="eastAsia"/>
        </w:rPr>
        <w:t>2004</w:t>
      </w:r>
      <w:r>
        <w:rPr>
          <w:rFonts w:hint="eastAsia"/>
        </w:rPr>
        <w:t>年前实现的目标。</w:t>
      </w:r>
    </w:p>
    <w:p w:rsidR="00000000" w:rsidRDefault="00821B8F">
      <w:pPr>
        <w:spacing w:after="240" w:line="360" w:lineRule="exact"/>
        <w:rPr>
          <w:rFonts w:eastAsia="SimHei" w:hint="eastAsia"/>
          <w:bCs/>
          <w:color w:val="FF0000"/>
        </w:rPr>
      </w:pPr>
      <w:r>
        <w:rPr>
          <w:rFonts w:eastAsia="SimHei" w:hint="eastAsia"/>
          <w:bCs/>
          <w:color w:val="FF0000"/>
        </w:rPr>
        <w:t>采取政策为妇女创造安全及受到保护的工作岗位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5000" w:type="pct"/>
          </w:tcPr>
          <w:p w:rsidR="00000000" w:rsidRDefault="00821B8F">
            <w:pPr>
              <w:spacing w:after="240" w:line="360" w:lineRule="exact"/>
              <w:ind w:left="360" w:right="370"/>
              <w:rPr>
                <w:rFonts w:ascii="KaiTi_GB2312" w:eastAsia="KaiTi_GB2312" w:hint="eastAsia"/>
                <w:iCs/>
                <w:color w:val="0000FF"/>
              </w:rPr>
            </w:pPr>
            <w:r>
              <w:rPr>
                <w:rFonts w:ascii="KaiTi_GB2312" w:eastAsia="KaiTi_GB2312" w:hint="eastAsia"/>
                <w:iCs/>
                <w:color w:val="0000FF"/>
              </w:rPr>
              <w:t>“委</w:t>
            </w:r>
            <w:r>
              <w:rPr>
                <w:rFonts w:ascii="KaiTi_GB2312" w:eastAsia="KaiTi_GB2312" w:hint="eastAsia"/>
                <w:iCs/>
                <w:color w:val="0000FF"/>
              </w:rPr>
              <w:t>员会对经济改革表示严重的关注，因为经济改革一方面使国民生产总值获得了正增长，但在另一方面也扩大了男女就业率的差距，并使妇女在经济上进一步陷入边缘处境。即使这是短期的伤害，也将越来越难以修复。情况表明，农村妇女由于缺少生计手段而移居到失业率本来就高于以往的城市，或许就是这个原因，大量的色情业者从事非法卖淫活动并使相当一部分妇女迁徙到海外去当工人。（</w:t>
            </w:r>
            <w:r>
              <w:rPr>
                <w:rFonts w:ascii="KaiTi_GB2312" w:eastAsia="KaiTi_GB2312" w:hint="eastAsia"/>
                <w:iCs/>
                <w:color w:val="0000FF"/>
              </w:rPr>
              <w:t>1997</w:t>
            </w:r>
            <w:r>
              <w:rPr>
                <w:rFonts w:ascii="KaiTi_GB2312" w:eastAsia="KaiTi_GB2312" w:hint="eastAsia"/>
                <w:iCs/>
                <w:color w:val="0000FF"/>
              </w:rPr>
              <w:t>年，消除对妇女歧视委员会，第</w:t>
            </w:r>
            <w:r>
              <w:rPr>
                <w:rFonts w:ascii="KaiTi_GB2312" w:eastAsia="KaiTi_GB2312" w:hint="eastAsia"/>
                <w:iCs/>
                <w:color w:val="0000FF"/>
              </w:rPr>
              <w:t>18</w:t>
            </w:r>
            <w:r>
              <w:rPr>
                <w:rFonts w:ascii="KaiTi_GB2312" w:eastAsia="KaiTi_GB2312" w:hint="eastAsia"/>
                <w:iCs/>
                <w:color w:val="0000FF"/>
              </w:rPr>
              <w:t>段）</w:t>
            </w:r>
          </w:p>
          <w:p w:rsidR="00000000" w:rsidRDefault="00821B8F">
            <w:pPr>
              <w:spacing w:after="240" w:line="360" w:lineRule="exact"/>
              <w:ind w:left="360" w:right="370"/>
              <w:rPr>
                <w:rFonts w:ascii="KaiTi_GB2312" w:eastAsia="KaiTi_GB2312" w:hint="eastAsia"/>
                <w:iCs/>
                <w:color w:val="0000FF"/>
              </w:rPr>
            </w:pPr>
            <w:r>
              <w:rPr>
                <w:rFonts w:ascii="KaiTi_GB2312" w:eastAsia="KaiTi_GB2312" w:hint="eastAsia"/>
                <w:iCs/>
                <w:color w:val="0000FF"/>
              </w:rPr>
              <w:t>“委员会敦促菲律宾政府采取一项最为优先的政策，为妇女创造安全及受到保护的工作岗位，让她们成为分包商并在非正规部门工作、</w:t>
            </w:r>
            <w:r>
              <w:rPr>
                <w:rFonts w:ascii="KaiTi_GB2312" w:eastAsia="KaiTi_GB2312" w:hint="eastAsia"/>
                <w:iCs/>
                <w:color w:val="0000FF"/>
              </w:rPr>
              <w:t>成为自由贸易区或色情服务业的工人、以及移居海外成为合同工人。”（</w:t>
            </w:r>
            <w:r>
              <w:rPr>
                <w:rFonts w:ascii="KaiTi_GB2312" w:eastAsia="KaiTi_GB2312" w:hint="eastAsia"/>
                <w:iCs/>
                <w:color w:val="0000FF"/>
              </w:rPr>
              <w:t>1997</w:t>
            </w:r>
            <w:r>
              <w:rPr>
                <w:rFonts w:ascii="KaiTi_GB2312" w:eastAsia="KaiTi_GB2312" w:hint="eastAsia"/>
                <w:iCs/>
                <w:color w:val="0000FF"/>
              </w:rPr>
              <w:t>年，消除对妇女歧视委员会，第</w:t>
            </w:r>
            <w:r>
              <w:rPr>
                <w:rFonts w:ascii="KaiTi_GB2312" w:eastAsia="KaiTi_GB2312" w:hint="eastAsia"/>
                <w:iCs/>
                <w:color w:val="0000FF"/>
              </w:rPr>
              <w:t>23</w:t>
            </w:r>
            <w:r>
              <w:rPr>
                <w:rFonts w:ascii="KaiTi_GB2312" w:eastAsia="KaiTi_GB2312" w:hint="eastAsia"/>
                <w:iCs/>
                <w:color w:val="0000FF"/>
              </w:rPr>
              <w:t>段）</w:t>
            </w:r>
          </w:p>
          <w:p w:rsidR="00000000" w:rsidRDefault="00821B8F">
            <w:pPr>
              <w:spacing w:after="240" w:line="360" w:lineRule="exact"/>
              <w:ind w:left="360" w:right="370"/>
              <w:rPr>
                <w:rFonts w:ascii="KaiTi_GB2312" w:eastAsia="KaiTi_GB2312" w:hint="eastAsia"/>
                <w:b/>
                <w:iCs/>
                <w:color w:val="0000FF"/>
              </w:rPr>
            </w:pPr>
            <w:r>
              <w:rPr>
                <w:rFonts w:ascii="KaiTi_GB2312" w:eastAsia="KaiTi_GB2312" w:hint="eastAsia"/>
                <w:iCs/>
                <w:color w:val="0000FF"/>
              </w:rPr>
              <w:t>“委员会一方面建议政府根据在经济增长的同时妇女普遍陷入边缘处境和遭受剥削这些令人忧虑的迹象，重新审查其经济政策，另一方面鼓励她们离开家园到海外就业。”（</w:t>
            </w:r>
            <w:r>
              <w:rPr>
                <w:rFonts w:ascii="KaiTi_GB2312" w:eastAsia="KaiTi_GB2312" w:hint="eastAsia"/>
                <w:iCs/>
                <w:color w:val="0000FF"/>
              </w:rPr>
              <w:t>1997</w:t>
            </w:r>
            <w:r>
              <w:rPr>
                <w:rFonts w:ascii="KaiTi_GB2312" w:eastAsia="KaiTi_GB2312" w:hint="eastAsia"/>
                <w:iCs/>
                <w:color w:val="0000FF"/>
              </w:rPr>
              <w:t>年，消除对妇女歧视委员会，第</w:t>
            </w:r>
            <w:r>
              <w:rPr>
                <w:rFonts w:ascii="KaiTi_GB2312" w:eastAsia="KaiTi_GB2312" w:hint="eastAsia"/>
                <w:iCs/>
                <w:color w:val="0000FF"/>
              </w:rPr>
              <w:t>24</w:t>
            </w:r>
            <w:r>
              <w:rPr>
                <w:rFonts w:ascii="KaiTi_GB2312" w:eastAsia="KaiTi_GB2312" w:hint="eastAsia"/>
                <w:iCs/>
                <w:color w:val="0000FF"/>
              </w:rPr>
              <w:t>段）</w:t>
            </w:r>
          </w:p>
        </w:tc>
      </w:tr>
    </w:tbl>
    <w:p w:rsidR="00000000" w:rsidRDefault="00821B8F">
      <w:pPr>
        <w:numPr>
          <w:ilvl w:val="0"/>
          <w:numId w:val="1236"/>
        </w:numPr>
        <w:spacing w:after="240" w:line="360" w:lineRule="exact"/>
        <w:rPr>
          <w:rFonts w:hint="eastAsia"/>
        </w:rPr>
      </w:pPr>
      <w:r>
        <w:rPr>
          <w:rFonts w:hint="eastAsia"/>
        </w:rPr>
        <w:t>让妇女在和男人平等的基础上参与发展并从中受益，是国家的一项政策。这项政策的依据是《</w:t>
      </w:r>
      <w:r>
        <w:rPr>
          <w:rFonts w:hint="eastAsia"/>
        </w:rPr>
        <w:t>1987</w:t>
      </w:r>
      <w:r>
        <w:rPr>
          <w:rFonts w:hint="eastAsia"/>
        </w:rPr>
        <w:t>年菲律宾宪法》中的两性平等条款，体现这项政策的是《第</w:t>
      </w:r>
      <w:r>
        <w:rPr>
          <w:rFonts w:hint="eastAsia"/>
        </w:rPr>
        <w:t>7192</w:t>
      </w:r>
      <w:r>
        <w:rPr>
          <w:rFonts w:hint="eastAsia"/>
        </w:rPr>
        <w:t>号共和国法令》或《</w:t>
      </w:r>
      <w:r>
        <w:rPr>
          <w:rFonts w:hint="eastAsia"/>
        </w:rPr>
        <w:t>1992</w:t>
      </w:r>
      <w:r>
        <w:rPr>
          <w:rFonts w:hint="eastAsia"/>
        </w:rPr>
        <w:t>年妇女参与发展和国家建设法</w:t>
      </w:r>
      <w:r>
        <w:rPr>
          <w:rFonts w:hint="eastAsia"/>
        </w:rPr>
        <w:t>》。经济增长与社会平等并重原则是审查期内历届政府的经济政策的支撑点，此项原则也为那些居住在农村地区并在非正规部门工作以及充当家佣和在海外就业的男女争取权利和满足需求提供了有利的政策环境。落实妇女的工作权利，包括工作中的职业保健和人身安全，一直是菲律宾政府关注的问题。保护穷人的生计及满足其最低基本需求，则是另一个压倒一切的关注。</w:t>
      </w:r>
    </w:p>
    <w:p w:rsidR="00000000" w:rsidRDefault="00821B8F">
      <w:pPr>
        <w:numPr>
          <w:ilvl w:val="0"/>
          <w:numId w:val="1236"/>
        </w:numPr>
        <w:spacing w:after="240" w:line="360" w:lineRule="exact"/>
        <w:rPr>
          <w:rFonts w:hint="eastAsia"/>
        </w:rPr>
      </w:pPr>
      <w:r>
        <w:rPr>
          <w:rFonts w:hint="eastAsia"/>
        </w:rPr>
        <w:t>如第八条下面所述，菲律宾作为</w:t>
      </w:r>
      <w:r>
        <w:rPr>
          <w:rFonts w:hint="eastAsia"/>
        </w:rPr>
        <w:t>1996</w:t>
      </w:r>
      <w:r>
        <w:rPr>
          <w:rFonts w:hint="eastAsia"/>
        </w:rPr>
        <w:t>年亚太经合论坛主席国，与加拿大合作主持了亚太经合组织女领导人网第一次会议，会议的结果是，亚太经合组织领导人承诺“让妇女和青年充分参与”亚太经合组织</w:t>
      </w:r>
      <w:r>
        <w:rPr>
          <w:rFonts w:hint="eastAsia"/>
        </w:rPr>
        <w:t>的各项方案、进程和活动。随后的领导人会议都以这第一个承诺为基础，</w:t>
      </w:r>
      <w:r>
        <w:rPr>
          <w:rFonts w:hint="eastAsia"/>
          <w:color w:val="000000"/>
        </w:rPr>
        <w:t>今天，</w:t>
      </w:r>
      <w:r>
        <w:rPr>
          <w:rFonts w:hint="eastAsia"/>
        </w:rPr>
        <w:t>性别观点已经作为贯穿亚太经合组织会议的一个交叉主题被牢牢地确定下来。菲律宾在这一进程中起到了关键作用。菲律宾在</w:t>
      </w:r>
      <w:r>
        <w:rPr>
          <w:rFonts w:hint="eastAsia"/>
        </w:rPr>
        <w:t>1999</w:t>
      </w:r>
      <w:r>
        <w:rPr>
          <w:rFonts w:hint="eastAsia"/>
        </w:rPr>
        <w:t>年主办了第一次关于妇女问题的亚太经合组织部长级会议，讨论贸易自由化和经济放宽政策对妇女和其他弱势群体可能造成的负面影响。在</w:t>
      </w:r>
      <w:r>
        <w:rPr>
          <w:rFonts w:hint="eastAsia"/>
        </w:rPr>
        <w:t>2002</w:t>
      </w:r>
      <w:r>
        <w:rPr>
          <w:rFonts w:hint="eastAsia"/>
        </w:rPr>
        <w:t>年</w:t>
      </w:r>
      <w:r>
        <w:rPr>
          <w:rFonts w:hint="eastAsia"/>
        </w:rPr>
        <w:t>9</w:t>
      </w:r>
      <w:r>
        <w:rPr>
          <w:rFonts w:hint="eastAsia"/>
        </w:rPr>
        <w:t>月于墨西哥瓜达拉哈拉举行亚太经合组织会议期间召开了第二次妇女问题亚太经合组织部长级会议，会上，菲律宾与新西兰合作，提交了一份关于贸易自由化政策对妇女影响的背景文件。文章重点介绍了贸易自由化政</w:t>
      </w:r>
      <w:r>
        <w:rPr>
          <w:rFonts w:hint="eastAsia"/>
        </w:rPr>
        <w:t>策对妇女的负面影响。文章建议，有必要对这些政策进行审查，以确保妇女的经济、社会和政治权利得到保护和增进。</w:t>
      </w:r>
    </w:p>
    <w:p w:rsidR="00000000" w:rsidRDefault="00821B8F">
      <w:pPr>
        <w:numPr>
          <w:ilvl w:val="0"/>
          <w:numId w:val="1236"/>
        </w:numPr>
        <w:spacing w:after="240" w:line="360" w:lineRule="exact"/>
        <w:rPr>
          <w:rFonts w:hint="eastAsia"/>
        </w:rPr>
      </w:pPr>
      <w:r>
        <w:rPr>
          <w:rFonts w:hint="eastAsia"/>
          <w:u w:val="single"/>
        </w:rPr>
        <w:t>妇女问题框架计划下的干预措施</w:t>
      </w:r>
      <w:r>
        <w:rPr>
          <w:rFonts w:hint="eastAsia"/>
        </w:rPr>
        <w:t>。</w:t>
      </w:r>
      <w:r>
        <w:rPr>
          <w:rFonts w:hint="eastAsia"/>
        </w:rPr>
        <w:t xml:space="preserve"> </w:t>
      </w:r>
      <w:r>
        <w:rPr>
          <w:rFonts w:hint="eastAsia"/>
        </w:rPr>
        <w:t>在</w:t>
      </w:r>
      <w:r>
        <w:rPr>
          <w:rFonts w:hint="eastAsia"/>
        </w:rPr>
        <w:t>2001-2004</w:t>
      </w:r>
      <w:r>
        <w:rPr>
          <w:rFonts w:hint="eastAsia"/>
        </w:rPr>
        <w:t>年间，政府按照妇女问题框架计划确定的方向，更积极地采取措施保护妇女的经济权利。这些措施的重心是“通过获得资金、市场、培训、信息、技术和技术援助、公平薪金和福利、防止剥削、参与经济决策以及安全的工作条件，促进赋予妇女经济权力。”</w:t>
      </w:r>
      <w:r>
        <w:rPr>
          <w:rFonts w:hint="eastAsia"/>
        </w:rPr>
        <w:t xml:space="preserve">  </w:t>
      </w:r>
      <w:r>
        <w:rPr>
          <w:rFonts w:hint="eastAsia"/>
        </w:rPr>
        <w:t>采取的新措施包括：（</w:t>
      </w:r>
      <w:r>
        <w:t>a</w:t>
      </w:r>
      <w:r>
        <w:rPr>
          <w:rFonts w:hint="eastAsia"/>
        </w:rPr>
        <w:t>）提高妇女对自身经济权利和社会参与保障妇女经济权利的认识；（</w:t>
      </w:r>
      <w:r>
        <w:t>b</w:t>
      </w:r>
      <w:r>
        <w:rPr>
          <w:rFonts w:hint="eastAsia"/>
        </w:rPr>
        <w:t>）增强雇主执行与妇女有关的劳动法律的能力</w:t>
      </w:r>
      <w:r>
        <w:rPr>
          <w:rFonts w:hint="eastAsia"/>
        </w:rPr>
        <w:t>；（</w:t>
      </w:r>
      <w:r>
        <w:t>c</w:t>
      </w:r>
      <w:r>
        <w:rPr>
          <w:rFonts w:hint="eastAsia"/>
        </w:rPr>
        <w:t>）促进女工与女业主及女经理之间的合作；以及（</w:t>
      </w:r>
      <w:r>
        <w:t>d</w:t>
      </w:r>
      <w:r>
        <w:rPr>
          <w:rFonts w:hint="eastAsia"/>
        </w:rPr>
        <w:t>）支持把政府和商业部门的妇女组织起来，促进妇女参与经济管理。</w:t>
      </w:r>
    </w:p>
    <w:p w:rsidR="00000000" w:rsidRDefault="00821B8F">
      <w:pPr>
        <w:numPr>
          <w:ilvl w:val="0"/>
          <w:numId w:val="1236"/>
        </w:numPr>
        <w:spacing w:after="240" w:line="360" w:lineRule="exact"/>
        <w:rPr>
          <w:rFonts w:hint="eastAsia"/>
        </w:rPr>
      </w:pPr>
      <w:r>
        <w:rPr>
          <w:rFonts w:hint="eastAsia"/>
          <w:color w:val="000000"/>
        </w:rPr>
        <w:t>在国内，经济决策中仍在继续倡导对性别问题具有敏感性。菲律宾妇女商业理事会充当了经济问题对妇女的影响方面与政府对话的主要伙伴。其他资助小组就全球化和</w:t>
      </w:r>
      <w:r>
        <w:rPr>
          <w:rFonts w:hint="eastAsia"/>
          <w:color w:val="000000"/>
        </w:rPr>
        <w:t>1997</w:t>
      </w:r>
      <w:r>
        <w:rPr>
          <w:rFonts w:hint="eastAsia"/>
          <w:color w:val="000000"/>
        </w:rPr>
        <w:t>年经济危机对妇女的影响这些问题编写了政策研究报告。所有这些都为政府努力保护妇女的经济权利的举措提供了重要依据。</w:t>
      </w:r>
    </w:p>
    <w:p w:rsidR="00000000" w:rsidRDefault="00821B8F">
      <w:pPr>
        <w:numPr>
          <w:ilvl w:val="0"/>
          <w:numId w:val="1236"/>
        </w:numPr>
        <w:spacing w:after="240" w:line="360" w:lineRule="exact"/>
        <w:rPr>
          <w:rFonts w:hint="eastAsia"/>
        </w:rPr>
      </w:pPr>
      <w:r>
        <w:rPr>
          <w:rFonts w:hint="eastAsia"/>
        </w:rPr>
        <w:t>如第十一条中所报告的，为保护包括妇女在内的海外工人的权利，菲律宾正与有关国家谈判双边和多边协定。某些国家已经出台了相关的机制。菲律宾</w:t>
      </w:r>
      <w:r>
        <w:rPr>
          <w:rFonts w:hint="eastAsia"/>
        </w:rPr>
        <w:t>与某些东道国（例如大不列颠、瑞士、比利时、科威特）签订了关于使用标准的就业合同和纳入社会保障的双边协定。</w:t>
      </w:r>
    </w:p>
    <w:p w:rsidR="00000000" w:rsidRDefault="00821B8F">
      <w:pPr>
        <w:numPr>
          <w:ilvl w:val="0"/>
          <w:numId w:val="1236"/>
        </w:numPr>
        <w:spacing w:after="240" w:line="360" w:lineRule="exact"/>
        <w:rPr>
          <w:rFonts w:hint="eastAsia"/>
        </w:rPr>
      </w:pPr>
      <w:r>
        <w:rPr>
          <w:rFonts w:hint="eastAsia"/>
        </w:rPr>
        <w:t>政府还努力加强招聘机构和菲律宾海外劳工官员在保护海外菲律宾工人方面的问责制，制订了更为严格的规则来限制新的招聘机构的进入，对违反规定者施行更为严厉的惩罚。</w:t>
      </w:r>
    </w:p>
    <w:p w:rsidR="00000000" w:rsidRDefault="00821B8F">
      <w:pPr>
        <w:numPr>
          <w:ilvl w:val="0"/>
          <w:numId w:val="1236"/>
        </w:numPr>
        <w:spacing w:after="240" w:line="360" w:lineRule="exact"/>
        <w:rPr>
          <w:rFonts w:hint="eastAsia"/>
        </w:rPr>
      </w:pPr>
      <w:r>
        <w:rPr>
          <w:rFonts w:hint="eastAsia"/>
        </w:rPr>
        <w:t>政府根据《</w:t>
      </w:r>
      <w:r>
        <w:rPr>
          <w:rFonts w:hint="eastAsia"/>
        </w:rPr>
        <w:t>1997</w:t>
      </w:r>
      <w:r>
        <w:rPr>
          <w:rFonts w:hint="eastAsia"/>
        </w:rPr>
        <w:t>年农业和渔业现代化法令》的要求，积极推进渔业和农业部门的现代化。希望这些方案将提高农村收入、保障食品安全并促进农村发展。</w:t>
      </w:r>
    </w:p>
    <w:p w:rsidR="00000000" w:rsidRDefault="00821B8F">
      <w:pPr>
        <w:numPr>
          <w:ilvl w:val="0"/>
          <w:numId w:val="1236"/>
        </w:numPr>
        <w:spacing w:after="240" w:line="360" w:lineRule="exact"/>
        <w:rPr>
          <w:rFonts w:hint="eastAsia"/>
        </w:rPr>
      </w:pPr>
      <w:r>
        <w:rPr>
          <w:rFonts w:hint="eastAsia"/>
        </w:rPr>
        <w:t>劳工部与政府和非政府的利益有关者合作，制订了促进非正规部门发展的全国方案，其目的是通过地方政府使非正规部门的方</w:t>
      </w:r>
      <w:r>
        <w:rPr>
          <w:rFonts w:hint="eastAsia"/>
        </w:rPr>
        <w:t>案和政策实现制度化（详情见第十一条）。这个方案在</w:t>
      </w:r>
      <w:r>
        <w:rPr>
          <w:rFonts w:hint="eastAsia"/>
        </w:rPr>
        <w:t>2003</w:t>
      </w:r>
      <w:r>
        <w:rPr>
          <w:rFonts w:hint="eastAsia"/>
        </w:rPr>
        <w:t>年</w:t>
      </w:r>
      <w:r>
        <w:rPr>
          <w:rFonts w:hint="eastAsia"/>
        </w:rPr>
        <w:t>7</w:t>
      </w:r>
      <w:r>
        <w:rPr>
          <w:rFonts w:hint="eastAsia"/>
        </w:rPr>
        <w:t>月得到了内阁社会发展委员会的批准，以支持其各自的非正规部门，特别是农村地区的非正规部门，并加强地方一级非正规部门的工人组织。</w:t>
      </w:r>
    </w:p>
    <w:p w:rsidR="00000000" w:rsidRDefault="00821B8F">
      <w:pPr>
        <w:numPr>
          <w:ilvl w:val="0"/>
          <w:numId w:val="1236"/>
        </w:numPr>
        <w:spacing w:after="240" w:line="360" w:lineRule="exact"/>
        <w:rPr>
          <w:rFonts w:hint="eastAsia"/>
          <w:color w:val="000000"/>
        </w:rPr>
      </w:pPr>
      <w:r>
        <w:rPr>
          <w:rFonts w:hint="eastAsia"/>
          <w:color w:val="000000"/>
        </w:rPr>
        <w:t>如在第十三和第十四条中所讨论的，菲律宾政府认识到经济放宽政策和贸易自由化对某些经济部门造成的威胁，因而加强执行能产生替代就业机会的方案，国家战略的主要内容如下：</w:t>
      </w:r>
    </w:p>
    <w:p w:rsidR="00000000" w:rsidRDefault="00821B8F">
      <w:pPr>
        <w:numPr>
          <w:ilvl w:val="0"/>
          <w:numId w:val="1237"/>
        </w:numPr>
        <w:tabs>
          <w:tab w:val="clear" w:pos="345"/>
          <w:tab w:val="num" w:pos="960"/>
        </w:tabs>
        <w:spacing w:after="240" w:line="360" w:lineRule="exact"/>
        <w:ind w:left="960" w:hanging="480"/>
        <w:rPr>
          <w:rFonts w:hint="eastAsia"/>
          <w:color w:val="000000"/>
        </w:rPr>
      </w:pPr>
      <w:r>
        <w:rPr>
          <w:rFonts w:hint="eastAsia"/>
          <w:color w:val="000000"/>
        </w:rPr>
        <w:t>向中小型企业以及微型和家庭企业中的妇女提供资金；</w:t>
      </w:r>
    </w:p>
    <w:p w:rsidR="00000000" w:rsidRDefault="00821B8F">
      <w:pPr>
        <w:numPr>
          <w:ilvl w:val="0"/>
          <w:numId w:val="1237"/>
        </w:numPr>
        <w:tabs>
          <w:tab w:val="clear" w:pos="345"/>
          <w:tab w:val="num" w:pos="960"/>
        </w:tabs>
        <w:spacing w:after="240" w:line="360" w:lineRule="exact"/>
        <w:ind w:left="960" w:hanging="480"/>
        <w:rPr>
          <w:rFonts w:hint="eastAsia"/>
        </w:rPr>
      </w:pPr>
      <w:r>
        <w:rPr>
          <w:rFonts w:hint="eastAsia"/>
        </w:rPr>
        <w:t>对微型企业、家庭企业和中小型企业的妇女进行企业家精神培养和产业技能培训；</w:t>
      </w:r>
    </w:p>
    <w:p w:rsidR="00000000" w:rsidRDefault="00821B8F">
      <w:pPr>
        <w:numPr>
          <w:ilvl w:val="0"/>
          <w:numId w:val="1237"/>
        </w:numPr>
        <w:tabs>
          <w:tab w:val="clear" w:pos="345"/>
          <w:tab w:val="num" w:pos="960"/>
        </w:tabs>
        <w:spacing w:after="240" w:line="360" w:lineRule="exact"/>
        <w:ind w:left="960" w:hanging="480"/>
        <w:rPr>
          <w:rFonts w:hint="eastAsia"/>
        </w:rPr>
      </w:pPr>
      <w:r>
        <w:rPr>
          <w:rFonts w:hint="eastAsia"/>
        </w:rPr>
        <w:t>为提高小型企业的生产率和改善其工作条件提</w:t>
      </w:r>
      <w:r>
        <w:rPr>
          <w:rFonts w:hint="eastAsia"/>
        </w:rPr>
        <w:t>供技术帮助，特别是对制衣和珠宝行业这些以妇女为主体的行业给予应有的关注；</w:t>
      </w:r>
    </w:p>
    <w:p w:rsidR="00000000" w:rsidRDefault="00821B8F">
      <w:pPr>
        <w:numPr>
          <w:ilvl w:val="0"/>
          <w:numId w:val="1237"/>
        </w:numPr>
        <w:tabs>
          <w:tab w:val="clear" w:pos="345"/>
          <w:tab w:val="num" w:pos="960"/>
        </w:tabs>
        <w:spacing w:after="240" w:line="360" w:lineRule="exact"/>
        <w:ind w:left="960" w:hanging="480"/>
        <w:rPr>
          <w:rFonts w:hint="eastAsia"/>
        </w:rPr>
      </w:pPr>
      <w:r>
        <w:rPr>
          <w:rFonts w:hint="eastAsia"/>
        </w:rPr>
        <w:t>通过自营</w:t>
      </w:r>
      <w:r>
        <w:rPr>
          <w:rFonts w:hint="eastAsia"/>
          <w:color w:val="000000"/>
        </w:rPr>
        <w:t>职业</w:t>
      </w:r>
      <w:r>
        <w:rPr>
          <w:rFonts w:hint="eastAsia"/>
        </w:rPr>
        <w:t>和创业促进农村就业；以及</w:t>
      </w:r>
    </w:p>
    <w:p w:rsidR="00000000" w:rsidRDefault="00821B8F">
      <w:pPr>
        <w:numPr>
          <w:ilvl w:val="0"/>
          <w:numId w:val="1237"/>
        </w:numPr>
        <w:tabs>
          <w:tab w:val="clear" w:pos="345"/>
          <w:tab w:val="num" w:pos="960"/>
        </w:tabs>
        <w:spacing w:after="240" w:line="360" w:lineRule="exact"/>
        <w:ind w:left="960" w:hanging="480"/>
        <w:rPr>
          <w:rFonts w:hint="eastAsia"/>
        </w:rPr>
      </w:pPr>
      <w:r>
        <w:rPr>
          <w:rFonts w:hint="eastAsia"/>
        </w:rPr>
        <w:t>通过</w:t>
      </w:r>
      <w:r>
        <w:t>Philijobnet</w:t>
      </w:r>
      <w:r>
        <w:rPr>
          <w:rFonts w:hint="eastAsia"/>
        </w:rPr>
        <w:t>（因特网促进就业服务系统）和利用地方一级公众就业事务办公室提供的信贷和培训等其他政府服务，促进国内外工作岗位上的就业。</w:t>
      </w:r>
    </w:p>
    <w:p w:rsidR="00000000" w:rsidRDefault="00821B8F">
      <w:pPr>
        <w:spacing w:after="240" w:line="360" w:lineRule="exact"/>
        <w:rPr>
          <w:rFonts w:eastAsia="SimHei" w:hint="eastAsia"/>
          <w:bCs/>
          <w:color w:val="FF0000"/>
        </w:rPr>
      </w:pPr>
      <w:r>
        <w:rPr>
          <w:rFonts w:eastAsia="SimHei" w:hint="eastAsia"/>
          <w:bCs/>
          <w:color w:val="FF0000"/>
        </w:rPr>
        <w:t>向海外女工提供信息和支助服务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5000" w:type="pct"/>
          </w:tcPr>
          <w:p w:rsidR="00000000" w:rsidRDefault="00821B8F">
            <w:pPr>
              <w:spacing w:after="240" w:line="360" w:lineRule="exact"/>
              <w:ind w:left="480" w:right="370"/>
              <w:rPr>
                <w:rFonts w:ascii="KaiTi_GB2312" w:eastAsia="KaiTi_GB2312" w:hint="eastAsia"/>
                <w:iCs/>
                <w:color w:val="0000FF"/>
              </w:rPr>
            </w:pPr>
            <w:r>
              <w:rPr>
                <w:rFonts w:ascii="KaiTi_GB2312" w:eastAsia="KaiTi_GB2312" w:hint="eastAsia"/>
                <w:iCs/>
                <w:color w:val="0000FF"/>
              </w:rPr>
              <w:t>“委员会强烈建议，政府设立一个全国协调中心，向赴海外工作的妇女提供出国前信息和支助服务，必要时在接收国提供此种服务。”（第</w:t>
            </w:r>
            <w:r>
              <w:rPr>
                <w:rFonts w:ascii="KaiTi_GB2312" w:eastAsia="KaiTi_GB2312" w:hint="eastAsia"/>
                <w:iCs/>
                <w:color w:val="0000FF"/>
              </w:rPr>
              <w:t>25</w:t>
            </w:r>
            <w:r>
              <w:rPr>
                <w:rFonts w:ascii="KaiTi_GB2312" w:eastAsia="KaiTi_GB2312" w:hint="eastAsia"/>
                <w:iCs/>
                <w:color w:val="0000FF"/>
              </w:rPr>
              <w:t>段）</w:t>
            </w:r>
          </w:p>
        </w:tc>
      </w:tr>
    </w:tbl>
    <w:p w:rsidR="00000000" w:rsidRDefault="00821B8F">
      <w:pPr>
        <w:numPr>
          <w:ilvl w:val="0"/>
          <w:numId w:val="1236"/>
        </w:numPr>
        <w:spacing w:after="240" w:line="360" w:lineRule="exact"/>
        <w:rPr>
          <w:rFonts w:hint="eastAsia"/>
        </w:rPr>
      </w:pPr>
      <w:r>
        <w:rPr>
          <w:rFonts w:hint="eastAsia"/>
          <w:color w:val="000000"/>
        </w:rPr>
        <w:t>在审查期间，《</w:t>
      </w:r>
      <w:r>
        <w:rPr>
          <w:rFonts w:hint="eastAsia"/>
          <w:color w:val="000000"/>
        </w:rPr>
        <w:t>1995</w:t>
      </w:r>
      <w:r>
        <w:rPr>
          <w:rFonts w:hint="eastAsia"/>
          <w:color w:val="000000"/>
        </w:rPr>
        <w:t>年移民工人和海外菲律宾人法令》进入了全面实施阶段。按照此项法律的要求</w:t>
      </w:r>
      <w:r>
        <w:rPr>
          <w:rFonts w:hint="eastAsia"/>
          <w:color w:val="000000"/>
        </w:rPr>
        <w:t>，总统在</w:t>
      </w:r>
      <w:r>
        <w:rPr>
          <w:rFonts w:hint="eastAsia"/>
          <w:color w:val="000000"/>
        </w:rPr>
        <w:t>2001</w:t>
      </w:r>
      <w:r>
        <w:rPr>
          <w:rFonts w:hint="eastAsia"/>
          <w:color w:val="000000"/>
        </w:rPr>
        <w:t>年年中任命了一位曾经当过移民工人的妇女进入菲律宾海外就业管理局理事会——海外就业的官方管理机构——工作。政府推出的其他关键措施包括：按照社会福利部的“向菲律宾人提供国际社会福利服务”</w:t>
      </w:r>
      <w:r>
        <w:rPr>
          <w:rFonts w:hint="eastAsia"/>
          <w:color w:val="000000"/>
        </w:rPr>
        <w:t xml:space="preserve"> </w:t>
      </w:r>
      <w:r>
        <w:rPr>
          <w:rFonts w:hint="eastAsia"/>
          <w:color w:val="000000"/>
        </w:rPr>
        <w:t>方案，从</w:t>
      </w:r>
      <w:r>
        <w:rPr>
          <w:rFonts w:hint="eastAsia"/>
          <w:color w:val="000000"/>
        </w:rPr>
        <w:t>2002</w:t>
      </w:r>
      <w:r>
        <w:rPr>
          <w:rFonts w:hint="eastAsia"/>
          <w:color w:val="000000"/>
        </w:rPr>
        <w:t>年开始向海外菲律宾工人提供补充福利服务。作为该方案的一部分，社会福利部向五个中东国家（阿布扎比、迪拜、科威特、卡塔尔和沙特阿拉伯）和三个亚洲目的地（新加坡、香港和台湾）派遣了第一批社会福利官员，并在马来西亚设置了一名社会福利专员，向日本派出了社会工作者。他们将提供直接服务（交通、住所和食品援助）</w:t>
      </w:r>
      <w:r>
        <w:rPr>
          <w:rFonts w:hint="eastAsia"/>
          <w:color w:val="000000"/>
        </w:rPr>
        <w:t>、处理案件（包括介绍其他社会服务、咨询、集体治疗和提出诉讼）、监狱和医院控视、提供增值和技能培训、以及宣传和社会动员。社会福利官员在部署一年之后，帮助了许多海外菲律宾人，其中包括马来西亚</w:t>
      </w:r>
      <w:r>
        <w:rPr>
          <w:rFonts w:hint="eastAsia"/>
          <w:color w:val="000000"/>
        </w:rPr>
        <w:t>6 429</w:t>
      </w:r>
      <w:r>
        <w:rPr>
          <w:rFonts w:hint="eastAsia"/>
          <w:color w:val="000000"/>
        </w:rPr>
        <w:t>名、日本</w:t>
      </w:r>
      <w:r>
        <w:rPr>
          <w:rFonts w:hint="eastAsia"/>
          <w:color w:val="000000"/>
        </w:rPr>
        <w:t>3</w:t>
      </w:r>
      <w:r>
        <w:rPr>
          <w:color w:val="000000"/>
        </w:rPr>
        <w:t xml:space="preserve"> </w:t>
      </w:r>
      <w:r>
        <w:rPr>
          <w:rFonts w:hint="eastAsia"/>
          <w:color w:val="000000"/>
        </w:rPr>
        <w:t>820</w:t>
      </w:r>
      <w:r>
        <w:rPr>
          <w:rFonts w:hint="eastAsia"/>
          <w:color w:val="000000"/>
        </w:rPr>
        <w:t>名和香港</w:t>
      </w:r>
      <w:r>
        <w:rPr>
          <w:rFonts w:hint="eastAsia"/>
          <w:color w:val="000000"/>
        </w:rPr>
        <w:t>158</w:t>
      </w:r>
      <w:r>
        <w:rPr>
          <w:rFonts w:hint="eastAsia"/>
          <w:color w:val="000000"/>
        </w:rPr>
        <w:t>名，在其他一些国家作为劳工专员的技术助手帮助了</w:t>
      </w:r>
      <w:r>
        <w:rPr>
          <w:rFonts w:hint="eastAsia"/>
          <w:color w:val="000000"/>
        </w:rPr>
        <w:t>2</w:t>
      </w:r>
      <w:r>
        <w:rPr>
          <w:color w:val="000000"/>
        </w:rPr>
        <w:t xml:space="preserve"> </w:t>
      </w:r>
      <w:r>
        <w:rPr>
          <w:rFonts w:hint="eastAsia"/>
          <w:color w:val="000000"/>
        </w:rPr>
        <w:t>451</w:t>
      </w:r>
      <w:r>
        <w:rPr>
          <w:rFonts w:hint="eastAsia"/>
          <w:color w:val="000000"/>
        </w:rPr>
        <w:t>名菲律宾人。帮助对象中大约有</w:t>
      </w:r>
      <w:r>
        <w:rPr>
          <w:rFonts w:hint="eastAsia"/>
          <w:color w:val="000000"/>
        </w:rPr>
        <w:t>90%</w:t>
      </w:r>
      <w:r>
        <w:rPr>
          <w:rFonts w:hint="eastAsia"/>
          <w:color w:val="000000"/>
        </w:rPr>
        <w:t>是</w:t>
      </w:r>
      <w:r>
        <w:rPr>
          <w:rFonts w:hint="eastAsia"/>
          <w:color w:val="000000"/>
        </w:rPr>
        <w:t>22-40</w:t>
      </w:r>
      <w:r>
        <w:rPr>
          <w:rFonts w:hint="eastAsia"/>
          <w:color w:val="000000"/>
        </w:rPr>
        <w:t>岁的妇女；其余是男人和儿童。</w:t>
      </w:r>
    </w:p>
    <w:p w:rsidR="00000000" w:rsidRDefault="00821B8F">
      <w:pPr>
        <w:numPr>
          <w:ilvl w:val="0"/>
          <w:numId w:val="1236"/>
        </w:numPr>
        <w:spacing w:after="240" w:line="360" w:lineRule="exact"/>
        <w:rPr>
          <w:rFonts w:hint="eastAsia"/>
        </w:rPr>
      </w:pPr>
      <w:r>
        <w:rPr>
          <w:rFonts w:hint="eastAsia"/>
          <w:u w:val="single"/>
        </w:rPr>
        <w:t>向海外菲律宾工人提供出国前信息和支助服务</w:t>
      </w:r>
      <w:r>
        <w:rPr>
          <w:rFonts w:hint="eastAsia"/>
        </w:rPr>
        <w:t>。</w:t>
      </w:r>
    </w:p>
    <w:p w:rsidR="00000000" w:rsidRDefault="00821B8F">
      <w:pPr>
        <w:numPr>
          <w:ilvl w:val="0"/>
          <w:numId w:val="1238"/>
        </w:numPr>
        <w:tabs>
          <w:tab w:val="clear" w:pos="345"/>
          <w:tab w:val="num" w:pos="960"/>
        </w:tabs>
        <w:spacing w:after="240" w:line="360" w:lineRule="exact"/>
        <w:ind w:left="960" w:hanging="480"/>
        <w:rPr>
          <w:rFonts w:hint="eastAsia"/>
        </w:rPr>
      </w:pPr>
      <w:r>
        <w:rPr>
          <w:rFonts w:hint="eastAsia"/>
        </w:rPr>
        <w:t>海外菲律宾人委员会建立了一个移民咨询和信息网，以便有效地向公众传播有关移民问题的信息。在地区、省、市和镇各级</w:t>
      </w:r>
      <w:r>
        <w:rPr>
          <w:rFonts w:hint="eastAsia"/>
        </w:rPr>
        <w:t>都设有移民咨询和信息网服务台，在各地区还开展了宣传运动。非政府组织在信息传播、教育和培训方面起了积极作用。</w:t>
      </w:r>
    </w:p>
    <w:p w:rsidR="00000000" w:rsidRDefault="00821B8F">
      <w:pPr>
        <w:numPr>
          <w:ilvl w:val="0"/>
          <w:numId w:val="1238"/>
        </w:numPr>
        <w:tabs>
          <w:tab w:val="clear" w:pos="345"/>
          <w:tab w:val="num" w:pos="960"/>
        </w:tabs>
        <w:spacing w:after="240" w:line="360" w:lineRule="exact"/>
        <w:ind w:left="960" w:hanging="480"/>
        <w:rPr>
          <w:rFonts w:hint="eastAsia"/>
        </w:rPr>
      </w:pPr>
      <w:r>
        <w:rPr>
          <w:rFonts w:hint="eastAsia"/>
        </w:rPr>
        <w:t>对于在国内就业且容易遭受虐待、骚扰和其他形式暴力伤害的海外菲律宾工人，菲律宾海外就业管理局制订了一项具有国家针对性的出国前技能培训和指导方案，通过认可的非政府组织来实施。培训课程包括健康与性行为、艾滋病毒</w:t>
      </w:r>
      <w:r>
        <w:rPr>
          <w:rFonts w:hint="eastAsia"/>
        </w:rPr>
        <w:t>/</w:t>
      </w:r>
      <w:r>
        <w:rPr>
          <w:rFonts w:hint="eastAsia"/>
        </w:rPr>
        <w:t>艾滋病、自卫术以及女工需要特别了解的其他信息等模块。</w:t>
      </w:r>
    </w:p>
    <w:p w:rsidR="00000000" w:rsidRDefault="00821B8F">
      <w:pPr>
        <w:numPr>
          <w:ilvl w:val="0"/>
          <w:numId w:val="1238"/>
        </w:numPr>
        <w:tabs>
          <w:tab w:val="clear" w:pos="345"/>
          <w:tab w:val="num" w:pos="960"/>
        </w:tabs>
        <w:spacing w:after="240" w:line="360" w:lineRule="exact"/>
        <w:ind w:left="960" w:hanging="480"/>
        <w:rPr>
          <w:rFonts w:hint="eastAsia"/>
        </w:rPr>
      </w:pPr>
      <w:r>
        <w:rPr>
          <w:rFonts w:hint="eastAsia"/>
        </w:rPr>
        <w:t>对于将在海外从事演艺工作的艺员和娱乐人员，由于他们之中有许多是妇女，特别制定了一娱乐人员综合指导方案，以确保艺员们为今后的工作做好准备，并提高他</w:t>
      </w:r>
      <w:r>
        <w:rPr>
          <w:rFonts w:hint="eastAsia"/>
        </w:rPr>
        <w:t>们对自身的权利、健康、非法招聘、贩卖人口、自我发展以及职业选择等问题的认识。</w:t>
      </w:r>
    </w:p>
    <w:p w:rsidR="00000000" w:rsidRDefault="00821B8F">
      <w:pPr>
        <w:numPr>
          <w:ilvl w:val="0"/>
          <w:numId w:val="1236"/>
        </w:numPr>
        <w:spacing w:after="240" w:line="360" w:lineRule="exact"/>
        <w:rPr>
          <w:rFonts w:hint="eastAsia"/>
        </w:rPr>
      </w:pPr>
      <w:r>
        <w:rPr>
          <w:rFonts w:hint="eastAsia"/>
          <w:u w:val="single"/>
        </w:rPr>
        <w:t>东道国内对性别问题有敏感认识的支助系统</w:t>
      </w:r>
      <w:r>
        <w:rPr>
          <w:rFonts w:hint="eastAsia"/>
        </w:rPr>
        <w:t>。在菲律宾海外女工人数众多的那些国家，设置了菲律宾女性海外劳动官员和女性福利官员。除此之外，海外工人福利管理局还实施了许多方案，为在海外的菲律宾男女工人提供保障和社会保护：包括协助将陷入困境的海外菲律宾工人遣返回国并提供实地法律支助服务、为向海外工人福利管理局交费的所有海外菲律宾工人办理保险。数以千计的海外菲律宾工人从这些方案中受益。第十一条详细讨论了政府为保护海外菲律宾工人和其他在海外的菲律</w:t>
      </w:r>
      <w:r>
        <w:rPr>
          <w:rFonts w:hint="eastAsia"/>
        </w:rPr>
        <w:t>宾人（包括与外国人结婚的菲律宾妇女）所采取的行动。</w:t>
      </w:r>
    </w:p>
    <w:p w:rsidR="00000000" w:rsidRDefault="00821B8F">
      <w:pPr>
        <w:numPr>
          <w:ilvl w:val="0"/>
          <w:numId w:val="1236"/>
        </w:numPr>
        <w:spacing w:after="240" w:line="360" w:lineRule="exact"/>
        <w:rPr>
          <w:rFonts w:hint="eastAsia"/>
        </w:rPr>
      </w:pPr>
      <w:r>
        <w:rPr>
          <w:rFonts w:hint="eastAsia"/>
          <w:u w:val="single"/>
        </w:rPr>
        <w:t>妇女问题框架计划下的干预措施</w:t>
      </w:r>
      <w:r>
        <w:rPr>
          <w:rFonts w:hint="eastAsia"/>
        </w:rPr>
        <w:t>。妇女问题框架计划设想的一个目标是落实海外菲律宾女工和被贩卖妇女的权利。在这方面，政府将继续执行保护海外菲律宾女工和其他女工以及防止贩卖妇女的政策和其他措施。</w:t>
      </w:r>
    </w:p>
    <w:p w:rsidR="00000000" w:rsidRDefault="00821B8F">
      <w:pPr>
        <w:spacing w:after="240" w:line="360" w:lineRule="exact"/>
        <w:rPr>
          <w:rFonts w:eastAsia="SimHei" w:hint="eastAsia"/>
          <w:bCs/>
          <w:color w:val="FF0000"/>
        </w:rPr>
      </w:pPr>
      <w:r>
        <w:rPr>
          <w:rFonts w:eastAsia="SimHei" w:hint="eastAsia"/>
          <w:bCs/>
          <w:color w:val="FF0000"/>
        </w:rPr>
        <w:t>按照性别分列数据以及计量政府政策和方案的效果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5000" w:type="pct"/>
          </w:tcPr>
          <w:p w:rsidR="00000000" w:rsidRDefault="00821B8F">
            <w:pPr>
              <w:spacing w:after="240" w:line="360" w:lineRule="exact"/>
              <w:ind w:left="360" w:right="370"/>
              <w:rPr>
                <w:rFonts w:ascii="KaiTi_GB2312" w:eastAsia="KaiTi_GB2312" w:hint="eastAsia"/>
                <w:iCs/>
                <w:color w:val="0000FF"/>
              </w:rPr>
            </w:pPr>
            <w:r>
              <w:rPr>
                <w:rFonts w:ascii="KaiTi_GB2312" w:eastAsia="KaiTi_GB2312" w:hint="eastAsia"/>
                <w:iCs/>
                <w:color w:val="0000FF"/>
              </w:rPr>
              <w:t>“委员会建议，迫切需要在各个方面编制按性别分列的数据。”（第</w:t>
            </w:r>
            <w:r>
              <w:rPr>
                <w:rFonts w:ascii="KaiTi_GB2312" w:eastAsia="KaiTi_GB2312" w:hint="eastAsia"/>
                <w:iCs/>
                <w:color w:val="0000FF"/>
              </w:rPr>
              <w:t>30</w:t>
            </w:r>
            <w:r>
              <w:rPr>
                <w:rFonts w:ascii="KaiTi_GB2312" w:eastAsia="KaiTi_GB2312" w:hint="eastAsia"/>
                <w:iCs/>
                <w:color w:val="0000FF"/>
              </w:rPr>
              <w:t>段）</w:t>
            </w:r>
            <w:r>
              <w:rPr>
                <w:rFonts w:ascii="SimSun" w:hint="eastAsia"/>
                <w:iCs/>
                <w:color w:val="0000FF"/>
              </w:rPr>
              <w:t>……</w:t>
            </w:r>
            <w:r>
              <w:rPr>
                <w:rFonts w:ascii="KaiTi_GB2312" w:eastAsia="KaiTi_GB2312" w:hint="eastAsia"/>
                <w:iCs/>
                <w:color w:val="0000FF"/>
              </w:rPr>
              <w:t>“为了便于公约的执行，委员会建议建立监督机制和拟订指标，以计量政府政策和方案的效果。”</w:t>
            </w:r>
          </w:p>
        </w:tc>
      </w:tr>
    </w:tbl>
    <w:p w:rsidR="00000000" w:rsidRDefault="00821B8F">
      <w:pPr>
        <w:numPr>
          <w:ilvl w:val="0"/>
          <w:numId w:val="1236"/>
        </w:numPr>
        <w:spacing w:after="240" w:line="360" w:lineRule="exact"/>
        <w:rPr>
          <w:rFonts w:hint="eastAsia"/>
        </w:rPr>
      </w:pPr>
      <w:r>
        <w:rPr>
          <w:rFonts w:hint="eastAsia"/>
        </w:rPr>
        <w:t>政府将性别观点纳入主流方法中的关键内容是制订性别与发展指标系统。</w:t>
      </w:r>
      <w:r>
        <w:rPr>
          <w:rFonts w:hint="eastAsia"/>
        </w:rPr>
        <w:t xml:space="preserve"> </w:t>
      </w:r>
      <w:r>
        <w:rPr>
          <w:rFonts w:hint="eastAsia"/>
        </w:rPr>
        <w:t>这一系统将用来：（</w:t>
      </w:r>
      <w:r>
        <w:t>a</w:t>
      </w:r>
      <w:r>
        <w:rPr>
          <w:rFonts w:hint="eastAsia"/>
        </w:rPr>
        <w:t>）计量妇女生活发生的变化以及妇女享有其权利的程度；（</w:t>
      </w:r>
      <w:r>
        <w:t>b</w:t>
      </w:r>
      <w:r>
        <w:rPr>
          <w:rFonts w:hint="eastAsia"/>
        </w:rPr>
        <w:t>）监测将性别观点纳入主流的政策的执行进度；（</w:t>
      </w:r>
      <w:r>
        <w:t>c</w:t>
      </w:r>
      <w:r>
        <w:rPr>
          <w:rFonts w:hint="eastAsia"/>
        </w:rPr>
        <w:t>）跟踪对妇女的暴力和妇女的无报酬劳动等具体的性别问题。妇女委员会和主要的政府统计部门合作制定并出台了这套系统。这些机构中有负责统计决策和协调的国家统计协调委员会、负责进行重要调查和汇总关键统计数据的国家统计局，以及负责实施统计培训方案的统计研究和培训中心。这些机构通过寻求资金或从自己的预算中拨出一部分来完成关键的统计资料，并为直属机构和地方政府的统计局开展的培训活动提供支助。</w:t>
      </w:r>
    </w:p>
    <w:p w:rsidR="00000000" w:rsidRDefault="00821B8F">
      <w:pPr>
        <w:numPr>
          <w:ilvl w:val="0"/>
          <w:numId w:val="1236"/>
        </w:numPr>
        <w:spacing w:after="240" w:line="360" w:lineRule="exact"/>
        <w:rPr>
          <w:rFonts w:hint="eastAsia"/>
        </w:rPr>
      </w:pPr>
      <w:r>
        <w:rPr>
          <w:rFonts w:hint="eastAsia"/>
          <w:u w:val="single"/>
        </w:rPr>
        <w:t>核心的性别</w:t>
      </w:r>
      <w:r>
        <w:rPr>
          <w:rFonts w:hint="eastAsia"/>
          <w:u w:val="single"/>
        </w:rPr>
        <w:t>与发展指标</w:t>
      </w:r>
      <w:r>
        <w:rPr>
          <w:rFonts w:hint="eastAsia"/>
        </w:rPr>
        <w:t>。国家统计协调委员会和国家统计局利用加拿大国际开发署提供的赠款，出版了概况介绍，给出了按性别分列的人口、就业、教育、健康以及对妇女的暴力等方面的一些指标。经过与政府部门和民间社会协商，确定了一套共</w:t>
      </w:r>
      <w:r>
        <w:rPr>
          <w:rFonts w:hint="eastAsia"/>
        </w:rPr>
        <w:t>32</w:t>
      </w:r>
      <w:r>
        <w:rPr>
          <w:rFonts w:hint="eastAsia"/>
        </w:rPr>
        <w:t>项反映妇女状况和妇女享有其权利情况的指标。国家统计协调委员会执行局颁布了一项决议，责成政府统计机构定期收集</w:t>
      </w:r>
      <w:r>
        <w:rPr>
          <w:rFonts w:hint="eastAsia"/>
        </w:rPr>
        <w:t>/</w:t>
      </w:r>
      <w:r>
        <w:rPr>
          <w:rFonts w:hint="eastAsia"/>
        </w:rPr>
        <w:t>编制和发布按性别分列的数据。</w:t>
      </w:r>
    </w:p>
    <w:p w:rsidR="00000000" w:rsidRDefault="00821B8F">
      <w:pPr>
        <w:numPr>
          <w:ilvl w:val="0"/>
          <w:numId w:val="1236"/>
        </w:numPr>
        <w:spacing w:after="240" w:line="360" w:lineRule="exact"/>
        <w:rPr>
          <w:rFonts w:hint="eastAsia"/>
          <w:u w:val="single"/>
        </w:rPr>
      </w:pPr>
      <w:r>
        <w:rPr>
          <w:rFonts w:hint="eastAsia"/>
          <w:u w:val="single"/>
        </w:rPr>
        <w:t>将性别观点纳入主流评价框架</w:t>
      </w:r>
      <w:r>
        <w:rPr>
          <w:rFonts w:hint="eastAsia"/>
        </w:rPr>
        <w:t>。妇女委员会的一份刊物在题为“将性别观点纳入主流指导原则：我们取得了多少进展？”的文章中引用了将性别观点纳入主流评价框架。这个框架回顾了政</w:t>
      </w:r>
      <w:r>
        <w:rPr>
          <w:rFonts w:hint="eastAsia"/>
        </w:rPr>
        <w:t>府部门在将性别观点纳入主流方面取得的进展，同时又为指导各机构制订将性别观点纳入主流的战略提供了框架。将性别观点纳入主流评价框架是在菲律宾将性别观点纳入主流的十年经验的基础上制订的，该框架将以前那些充其量是试验或临时做法加以系统化。这个框架研究了为将性别观点纳入主流和对性别问题具有敏感认识的方案、项目和活动分配的财力和人力资源，分析了机构及其人员进行对性别问题有敏感认识的规划、实施、监测和评价方面的总体实力。妇女委员会通过将性别观点纳入主流评价框架监测各政府机构在将性别观点纳入主流过程中是否符合规定，包括是否</w:t>
      </w:r>
      <w:r>
        <w:rPr>
          <w:rFonts w:hint="eastAsia"/>
        </w:rPr>
        <w:t>执行了把机构预算的</w:t>
      </w:r>
      <w:r>
        <w:rPr>
          <w:rFonts w:hint="eastAsia"/>
        </w:rPr>
        <w:t>5%</w:t>
      </w:r>
      <w:r>
        <w:rPr>
          <w:rFonts w:hint="eastAsia"/>
        </w:rPr>
        <w:t>分配给将性别观点纳入主流工作这一政策。</w:t>
      </w:r>
    </w:p>
    <w:p w:rsidR="00000000" w:rsidRDefault="00821B8F">
      <w:pPr>
        <w:numPr>
          <w:ilvl w:val="0"/>
          <w:numId w:val="1236"/>
        </w:numPr>
        <w:spacing w:after="240" w:line="360" w:lineRule="exact"/>
        <w:rPr>
          <w:rFonts w:hint="eastAsia"/>
          <w:u w:val="single"/>
        </w:rPr>
      </w:pPr>
      <w:r>
        <w:rPr>
          <w:rFonts w:hint="eastAsia"/>
          <w:u w:val="single"/>
        </w:rPr>
        <w:t>跟踪具体的性别问题</w:t>
      </w:r>
    </w:p>
    <w:p w:rsidR="00000000" w:rsidRDefault="00821B8F">
      <w:pPr>
        <w:numPr>
          <w:ilvl w:val="0"/>
          <w:numId w:val="1239"/>
        </w:numPr>
        <w:tabs>
          <w:tab w:val="clear" w:pos="345"/>
          <w:tab w:val="num" w:pos="960"/>
        </w:tabs>
        <w:spacing w:after="240" w:line="360" w:lineRule="exact"/>
        <w:ind w:left="960" w:hanging="480"/>
        <w:rPr>
          <w:rFonts w:hint="eastAsia"/>
        </w:rPr>
      </w:pPr>
      <w:r>
        <w:rPr>
          <w:rFonts w:hint="eastAsia"/>
        </w:rPr>
        <w:t>国家统计协调委员会协调了产生对妇女儿童的暴力统计数据的项目。这个项目产生了以下成果：（</w:t>
      </w:r>
      <w:r>
        <w:t>a</w:t>
      </w:r>
      <w:r>
        <w:rPr>
          <w:rFonts w:hint="eastAsia"/>
        </w:rPr>
        <w:t>）词汇库和有关概念，有助于统一对妇女儿童的暴力统计资料的理解和解释；（</w:t>
      </w:r>
      <w:r>
        <w:t>b</w:t>
      </w:r>
      <w:r>
        <w:rPr>
          <w:rFonts w:hint="eastAsia"/>
        </w:rPr>
        <w:t>）对妇女儿童的暴力统计手册，其中载有对妇女儿童的暴力行为的发生情况的数据；（</w:t>
      </w:r>
      <w:r>
        <w:t>c</w:t>
      </w:r>
      <w:r>
        <w:rPr>
          <w:rFonts w:hint="eastAsia"/>
        </w:rPr>
        <w:t>）对妇女儿童的暴力统计框架，设想为产生统计资料找到有效方法；以及（</w:t>
      </w:r>
      <w:r>
        <w:t>d</w:t>
      </w:r>
      <w:r>
        <w:rPr>
          <w:rFonts w:hint="eastAsia"/>
        </w:rPr>
        <w:t>）对妇女儿童的暴力问题方面现有的行政报告系统的评价；这个评价为使各有关机构协同行动确保定期产生对妇女儿童的暴力数据奠定了基础</w:t>
      </w:r>
      <w:r>
        <w:rPr>
          <w:rFonts w:hint="eastAsia"/>
        </w:rPr>
        <w:t>。这个项目的目标是使各个政府机构收集和处理对妇女儿童的暴力受害者或幸存者记录的方法实现系统化，以确保跟踪整个系统的案例情况。</w:t>
      </w:r>
    </w:p>
    <w:p w:rsidR="00000000" w:rsidRDefault="00821B8F">
      <w:pPr>
        <w:numPr>
          <w:ilvl w:val="0"/>
          <w:numId w:val="1239"/>
        </w:numPr>
        <w:tabs>
          <w:tab w:val="clear" w:pos="345"/>
          <w:tab w:val="num" w:pos="960"/>
        </w:tabs>
        <w:spacing w:after="240" w:line="360" w:lineRule="exact"/>
        <w:ind w:left="960" w:hanging="480"/>
        <w:rPr>
          <w:rFonts w:hint="eastAsia"/>
        </w:rPr>
      </w:pPr>
      <w:r>
        <w:rPr>
          <w:rFonts w:hint="eastAsia"/>
        </w:rPr>
        <w:t>国家统计协调委员会还制订了一个框架，把男女从事的所有有报酬和无报酬的工作纳入到国民收入账户之中。国家统计局首先对一项全国统一时间的调查的设计和工具进行了测试并最后确定，以便估计无报酬工作所做的经济贡献。所有这些做法都符合与倡议将男女从事的无报酬工作全部纳入国家政策的区域倡议的要求。</w:t>
      </w:r>
    </w:p>
    <w:p w:rsidR="00000000" w:rsidRDefault="00821B8F">
      <w:pPr>
        <w:numPr>
          <w:ilvl w:val="0"/>
          <w:numId w:val="1236"/>
        </w:numPr>
        <w:spacing w:after="240" w:line="360" w:lineRule="exact"/>
        <w:rPr>
          <w:rFonts w:hint="eastAsia"/>
        </w:rPr>
      </w:pPr>
      <w:r>
        <w:rPr>
          <w:rFonts w:hint="eastAsia"/>
          <w:u w:val="single"/>
        </w:rPr>
        <w:t>在地方政府一级的应用</w:t>
      </w:r>
      <w:r>
        <w:rPr>
          <w:rFonts w:hint="eastAsia"/>
        </w:rPr>
        <w:t>。</w:t>
      </w:r>
      <w:r>
        <w:rPr>
          <w:rFonts w:hint="eastAsia"/>
        </w:rPr>
        <w:t>1998</w:t>
      </w:r>
      <w:r>
        <w:rPr>
          <w:rFonts w:hint="eastAsia"/>
        </w:rPr>
        <w:t>年</w:t>
      </w:r>
      <w:r>
        <w:rPr>
          <w:rFonts w:hint="eastAsia"/>
        </w:rPr>
        <w:t>9</w:t>
      </w:r>
      <w:r>
        <w:rPr>
          <w:rFonts w:hint="eastAsia"/>
        </w:rPr>
        <w:t>月</w:t>
      </w:r>
      <w:r>
        <w:rPr>
          <w:rFonts w:hint="eastAsia"/>
        </w:rPr>
        <w:t>4</w:t>
      </w:r>
      <w:r>
        <w:rPr>
          <w:rFonts w:hint="eastAsia"/>
        </w:rPr>
        <w:t>日的总统令为省一级按性别分列数据提供了经费。统计研究和培训中心与</w:t>
      </w:r>
      <w:r>
        <w:rPr>
          <w:rFonts w:hint="eastAsia"/>
        </w:rPr>
        <w:t>人口委员会设计了一本手册，介绍如何使用性别与发展规划数据和地方一级对性别问题有敏感认识的人口和发展规划及监测的一套核心指标。</w:t>
      </w:r>
    </w:p>
    <w:p w:rsidR="00000000" w:rsidRDefault="00821B8F">
      <w:pPr>
        <w:numPr>
          <w:ilvl w:val="0"/>
          <w:numId w:val="1236"/>
        </w:numPr>
        <w:spacing w:after="240" w:line="360" w:lineRule="exact"/>
        <w:rPr>
          <w:rFonts w:hint="eastAsia"/>
        </w:rPr>
      </w:pPr>
      <w:r>
        <w:rPr>
          <w:rFonts w:hint="eastAsia"/>
        </w:rPr>
        <w:t>妇女委员会除了协调和支持菲律宾统计系统的工作以外，还建立了本组织的信息中心，由这个中心提供关于妇女状况以及涉及性别问题的法律、方案、项目、活动和机构的关键统计数据及其他情况资料，维护一个计算机化统计和定性数据的数据库，并出版妇女问题概况介绍和其他专题报告。妇女委员会还帮助在国内其他地方建立了提供类似服务的性别与发展资源中心。妇女委员会还在甘波斯泰拉谷建立了对性别问题有敏感认识的数据库</w:t>
      </w:r>
      <w:r>
        <w:rPr>
          <w:rFonts w:hint="eastAsia"/>
        </w:rPr>
        <w:t>，各地方政府机构可以使用这个数据库开展各自的将性别观点纳入主流的工作。</w:t>
      </w:r>
    </w:p>
    <w:p w:rsidR="00000000" w:rsidRDefault="00821B8F">
      <w:pPr>
        <w:numPr>
          <w:ilvl w:val="0"/>
          <w:numId w:val="1236"/>
        </w:numPr>
        <w:spacing w:after="240" w:line="360" w:lineRule="exact"/>
        <w:rPr>
          <w:rFonts w:hint="eastAsia"/>
        </w:rPr>
      </w:pPr>
      <w:r>
        <w:rPr>
          <w:rFonts w:hint="eastAsia"/>
          <w:u w:val="single"/>
        </w:rPr>
        <w:t>妇女问题框架计划下的干预措施</w:t>
      </w:r>
      <w:r>
        <w:rPr>
          <w:rFonts w:hint="eastAsia"/>
        </w:rPr>
        <w:t>。政府计划完成其性别与统计方案的执行工作，以便监测妇女状况和落实妇女人权情况方面的变化。</w:t>
      </w:r>
    </w:p>
    <w:p w:rsidR="00000000" w:rsidRDefault="00821B8F">
      <w:pPr>
        <w:numPr>
          <w:ilvl w:val="0"/>
          <w:numId w:val="1240"/>
        </w:numPr>
        <w:tabs>
          <w:tab w:val="clear" w:pos="315"/>
          <w:tab w:val="num" w:pos="960"/>
        </w:tabs>
        <w:spacing w:after="240" w:line="360" w:lineRule="exact"/>
        <w:ind w:left="960" w:hanging="480"/>
        <w:rPr>
          <w:rFonts w:hint="eastAsia"/>
        </w:rPr>
      </w:pPr>
      <w:r>
        <w:rPr>
          <w:rFonts w:hint="eastAsia"/>
        </w:rPr>
        <w:t>优先行动有：（一）国家统计协调委员会批准性别与发展核心指标，并为其执行分配预算，和（二）通过发布总统令采纳产生对妇女的暴力统计数据的项目成果，从而使菲律宾国民警察部队、卫生部和社会福利部、地方政府以及非政府组织能够全面而协调地执行该项总统令。</w:t>
      </w:r>
    </w:p>
    <w:p w:rsidR="00000000" w:rsidRDefault="00821B8F">
      <w:pPr>
        <w:numPr>
          <w:ilvl w:val="0"/>
          <w:numId w:val="1240"/>
        </w:numPr>
        <w:tabs>
          <w:tab w:val="clear" w:pos="315"/>
          <w:tab w:val="num" w:pos="960"/>
        </w:tabs>
        <w:spacing w:after="240" w:line="360" w:lineRule="exact"/>
        <w:ind w:left="960" w:hanging="480"/>
        <w:rPr>
          <w:rFonts w:hint="eastAsia"/>
        </w:rPr>
      </w:pPr>
      <w:r>
        <w:rPr>
          <w:rFonts w:hint="eastAsia"/>
        </w:rPr>
        <w:t>国家统计局在国家经济和发展管理局支持下，与妇女委员会以及妇女组织一道，正试图产</w:t>
      </w:r>
      <w:r>
        <w:rPr>
          <w:rFonts w:hint="eastAsia"/>
        </w:rPr>
        <w:t>生对数据的需求，以计量男女的无报酬工作对经济的贡献。预期结果将是分配一项预算来开展全国统一时间的调查。</w:t>
      </w:r>
    </w:p>
    <w:p w:rsidR="00000000" w:rsidRDefault="00821B8F">
      <w:pPr>
        <w:numPr>
          <w:ilvl w:val="0"/>
          <w:numId w:val="1240"/>
        </w:numPr>
        <w:tabs>
          <w:tab w:val="clear" w:pos="315"/>
          <w:tab w:val="num" w:pos="960"/>
        </w:tabs>
        <w:spacing w:after="240" w:line="360" w:lineRule="exact"/>
        <w:ind w:left="960" w:hanging="480"/>
        <w:rPr>
          <w:rFonts w:hint="eastAsia"/>
        </w:rPr>
      </w:pPr>
      <w:r>
        <w:rPr>
          <w:rFonts w:hint="eastAsia"/>
        </w:rPr>
        <w:t>三个关键的统计机构与妇女委员会一起计划帮助直属机构和地方政府采用性别与发展指标系统。下一步的工作重点应该是定期使用这些数据来监测机构的性别与发展计划，以对国家预算和地方预算进行性别分析。</w:t>
      </w:r>
    </w:p>
    <w:p w:rsidR="00000000" w:rsidRDefault="00821B8F">
      <w:pPr>
        <w:numPr>
          <w:ilvl w:val="0"/>
          <w:numId w:val="1240"/>
        </w:numPr>
        <w:tabs>
          <w:tab w:val="clear" w:pos="315"/>
          <w:tab w:val="num" w:pos="960"/>
        </w:tabs>
        <w:spacing w:after="240" w:line="360" w:lineRule="exact"/>
        <w:ind w:left="960" w:hanging="480"/>
        <w:rPr>
          <w:rFonts w:hint="eastAsia"/>
        </w:rPr>
      </w:pPr>
      <w:r>
        <w:rPr>
          <w:rFonts w:hint="eastAsia"/>
        </w:rPr>
        <w:t>为了充分提供关于计划实施的现状和进展的反馈信息，妇女问题框架计划建立了监督和评价系统，把监测性别政策和方案的倡议同政府的主流监测和评价系统统一起来。该系统旨在在投入、产出、成果和影响这四级上产生信息。</w:t>
      </w:r>
    </w:p>
    <w:p w:rsidR="00000000" w:rsidRDefault="00821B8F">
      <w:pPr>
        <w:spacing w:after="240" w:line="360" w:lineRule="exact"/>
        <w:rPr>
          <w:rFonts w:eastAsia="SimHei" w:hint="eastAsia"/>
          <w:bCs/>
          <w:color w:val="FF0000"/>
        </w:rPr>
      </w:pPr>
      <w:r>
        <w:rPr>
          <w:rFonts w:eastAsia="SimHei" w:hint="eastAsia"/>
          <w:bCs/>
          <w:color w:val="FF0000"/>
        </w:rPr>
        <w:t>法律对卖淫的性别歧</w:t>
      </w:r>
      <w:r>
        <w:rPr>
          <w:rFonts w:eastAsia="SimHei" w:hint="eastAsia"/>
          <w:bCs/>
          <w:color w:val="FF0000"/>
        </w:rPr>
        <w:t>视以及妇女的备选工作机会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rPr>
          <w:trHeight w:val="1910"/>
        </w:trPr>
        <w:tc>
          <w:tcPr>
            <w:tcW w:w="5000" w:type="pct"/>
            <w:tcBorders>
              <w:bottom w:val="single" w:sz="4" w:space="0" w:color="auto"/>
            </w:tcBorders>
          </w:tcPr>
          <w:p w:rsidR="00000000" w:rsidRDefault="00821B8F">
            <w:pPr>
              <w:spacing w:after="240" w:line="360" w:lineRule="exact"/>
              <w:ind w:left="360" w:right="370"/>
              <w:rPr>
                <w:rFonts w:ascii="KaiTi_GB2312" w:eastAsia="KaiTi_GB2312" w:hint="eastAsia"/>
                <w:iCs/>
                <w:color w:val="0000FF"/>
              </w:rPr>
            </w:pPr>
            <w:r>
              <w:rPr>
                <w:rFonts w:ascii="KaiTi_GB2312" w:eastAsia="KaiTi_GB2312" w:hint="eastAsia"/>
                <w:iCs/>
                <w:color w:val="0000FF"/>
              </w:rPr>
              <w:t>“委员会对法律在卖淫问题上的歧视性施用提出如下评论：法律只是制裁色情业者，而不管那些充当人贩子、皮条客和嫖客的男人。委员会进一步指出，强迫妇女接受健康检查而对嫖客不采取类似的预防措施，并不是一种有效的公共卫生措施。（第</w:t>
            </w:r>
            <w:r>
              <w:rPr>
                <w:rFonts w:ascii="KaiTi_GB2312" w:eastAsia="KaiTi_GB2312" w:hint="eastAsia"/>
                <w:iCs/>
                <w:color w:val="0000FF"/>
              </w:rPr>
              <w:t>19</w:t>
            </w:r>
            <w:r>
              <w:rPr>
                <w:rFonts w:ascii="KaiTi_GB2312" w:eastAsia="KaiTi_GB2312" w:hint="eastAsia"/>
                <w:iCs/>
                <w:color w:val="0000FF"/>
              </w:rPr>
              <w:t>段）</w:t>
            </w:r>
            <w:r>
              <w:rPr>
                <w:rFonts w:ascii="SimSun" w:hint="eastAsia"/>
                <w:iCs/>
                <w:color w:val="0000FF"/>
              </w:rPr>
              <w:t>……</w:t>
            </w:r>
            <w:r>
              <w:rPr>
                <w:rFonts w:ascii="KaiTi_GB2312" w:eastAsia="KaiTi_GB2312" w:hint="eastAsia"/>
                <w:iCs/>
                <w:color w:val="0000FF"/>
              </w:rPr>
              <w:t>委员会建议，对付卖淫问题采取的适当措施应将重点应放在惩罚人贩子以及为妇女创造替代工作机会上。”（第</w:t>
            </w:r>
            <w:r>
              <w:rPr>
                <w:rFonts w:ascii="KaiTi_GB2312" w:eastAsia="KaiTi_GB2312" w:hint="eastAsia"/>
                <w:iCs/>
                <w:color w:val="0000FF"/>
              </w:rPr>
              <w:t>26</w:t>
            </w:r>
            <w:r>
              <w:rPr>
                <w:rFonts w:ascii="KaiTi_GB2312" w:eastAsia="KaiTi_GB2312" w:hint="eastAsia"/>
                <w:iCs/>
                <w:color w:val="0000FF"/>
              </w:rPr>
              <w:t>段）</w:t>
            </w:r>
          </w:p>
        </w:tc>
      </w:tr>
    </w:tbl>
    <w:p w:rsidR="00000000" w:rsidRDefault="00821B8F">
      <w:pPr>
        <w:numPr>
          <w:ilvl w:val="0"/>
          <w:numId w:val="1236"/>
        </w:numPr>
        <w:spacing w:after="240" w:line="360" w:lineRule="exact"/>
        <w:rPr>
          <w:rFonts w:hint="eastAsia"/>
        </w:rPr>
      </w:pPr>
      <w:r>
        <w:rPr>
          <w:rFonts w:hint="eastAsia"/>
        </w:rPr>
        <w:t>在妇女运动的强有力支持下，菲律宾政府成功地使国会通过了《</w:t>
      </w:r>
      <w:r>
        <w:rPr>
          <w:rFonts w:hint="eastAsia"/>
        </w:rPr>
        <w:t>2003</w:t>
      </w:r>
      <w:r>
        <w:rPr>
          <w:rFonts w:hint="eastAsia"/>
        </w:rPr>
        <w:t>年禁止贩卖人口法》（第</w:t>
      </w:r>
      <w:r>
        <w:rPr>
          <w:rFonts w:hint="eastAsia"/>
        </w:rPr>
        <w:t>9208</w:t>
      </w:r>
      <w:r>
        <w:rPr>
          <w:rFonts w:hint="eastAsia"/>
        </w:rPr>
        <w:t>号共和国法令）。该法令在</w:t>
      </w:r>
      <w:r>
        <w:rPr>
          <w:rFonts w:hint="eastAsia"/>
        </w:rPr>
        <w:t>2003</w:t>
      </w:r>
      <w:r>
        <w:rPr>
          <w:rFonts w:hint="eastAsia"/>
        </w:rPr>
        <w:t>年</w:t>
      </w:r>
      <w:r>
        <w:rPr>
          <w:rFonts w:hint="eastAsia"/>
        </w:rPr>
        <w:t>5</w:t>
      </w:r>
      <w:r>
        <w:rPr>
          <w:rFonts w:hint="eastAsia"/>
        </w:rPr>
        <w:t>月获得批准，是一</w:t>
      </w:r>
      <w:r>
        <w:rPr>
          <w:rFonts w:hint="eastAsia"/>
        </w:rPr>
        <w:t>部综合法律，用来制订禁止贩卖人口，特别是妇女和儿童的政策、建立体制机制以向被贩卖者提供必要的保护和支助、对人贩子、贩卖活动帮凶、以及购买或参与被贩卖者卖淫服务的人员制定制裁和惩治措施。这部法令的主要特点在本报告第六条中讨论。</w:t>
      </w:r>
    </w:p>
    <w:p w:rsidR="00000000" w:rsidRDefault="00821B8F">
      <w:pPr>
        <w:numPr>
          <w:ilvl w:val="0"/>
          <w:numId w:val="1236"/>
        </w:numPr>
        <w:spacing w:after="240" w:line="360" w:lineRule="exact"/>
        <w:rPr>
          <w:rFonts w:hint="eastAsia"/>
        </w:rPr>
      </w:pPr>
      <w:r>
        <w:rPr>
          <w:rFonts w:hint="eastAsia"/>
        </w:rPr>
        <w:t>社会福利部和许多非政府组织执行一些方案，为那些卖淫但决定不干、或从拐骗妇女卖淫业和性剥削下解救出来的妇女提供替代就业机会。非政府组织在组织妇女、向妇女宣传其权利以及为她们提供法律和咨询服务方面起着非常关键的作用。</w:t>
      </w:r>
    </w:p>
    <w:p w:rsidR="00000000" w:rsidRDefault="00821B8F">
      <w:pPr>
        <w:numPr>
          <w:ilvl w:val="0"/>
          <w:numId w:val="1236"/>
        </w:numPr>
        <w:spacing w:after="240" w:line="360" w:lineRule="exact"/>
        <w:rPr>
          <w:rFonts w:hint="eastAsia"/>
          <w:color w:val="000000"/>
        </w:rPr>
      </w:pPr>
      <w:r>
        <w:rPr>
          <w:rFonts w:hint="eastAsia"/>
          <w:color w:val="000000"/>
          <w:u w:val="single"/>
        </w:rPr>
        <w:t>妇女问题框架计划下的干预措施</w:t>
      </w:r>
      <w:r>
        <w:rPr>
          <w:rFonts w:hint="eastAsia"/>
          <w:color w:val="000000"/>
        </w:rPr>
        <w:t>。政府继续努力通过一项禁止卖淫议案，使在卖淫</w:t>
      </w:r>
      <w:r>
        <w:rPr>
          <w:rFonts w:hint="eastAsia"/>
          <w:color w:val="000000"/>
        </w:rPr>
        <w:t>活动中遭受剥削的人不受刑事诉讼，重新把卖淫定义为对人身的伤害，即对“以现金、利润或其他报酬为交换条件来使他人得到性满足、剥削或愉悦的妇女、男人或儿童”的伤害。虽然《禁止贩卖人口法》对卖淫也持相同的看法，但提议的禁止卖淫法认为，“任何煽动或怂恿完成这种行为的行径”同样是卖淫。使卖淫妇女不受刑事诉讼，是与妇女问题框架计划中制订并执行“能消除性别偏见的立法措施”目标一致的。为了帮助通过禁止卖淫议案和类似的立法措施，政府在性别与发展的其他倡导者支持下，开始计划提出以下战略和干预措施：</w:t>
      </w:r>
    </w:p>
    <w:p w:rsidR="00000000" w:rsidRDefault="00821B8F">
      <w:pPr>
        <w:numPr>
          <w:ilvl w:val="0"/>
          <w:numId w:val="1241"/>
        </w:numPr>
        <w:tabs>
          <w:tab w:val="clear" w:pos="330"/>
          <w:tab w:val="num" w:pos="960"/>
        </w:tabs>
        <w:spacing w:after="240" w:line="360" w:lineRule="exact"/>
        <w:ind w:left="960" w:hanging="480"/>
        <w:rPr>
          <w:rFonts w:hint="eastAsia"/>
        </w:rPr>
      </w:pPr>
      <w:r>
        <w:rPr>
          <w:rFonts w:hint="eastAsia"/>
        </w:rPr>
        <w:t>战略：（一）增强地方和国家立法</w:t>
      </w:r>
      <w:r>
        <w:rPr>
          <w:rFonts w:hint="eastAsia"/>
        </w:rPr>
        <w:t>机构制订有关的性别与发展立法措施的能力；（二）积极呼吁立法界对性别与发展的支持；以及（三）为通过立法措施加强开展游说的妇女团体的实力。</w:t>
      </w:r>
    </w:p>
    <w:p w:rsidR="00000000" w:rsidRDefault="00821B8F">
      <w:pPr>
        <w:numPr>
          <w:ilvl w:val="0"/>
          <w:numId w:val="1241"/>
        </w:numPr>
        <w:tabs>
          <w:tab w:val="clear" w:pos="330"/>
          <w:tab w:val="num" w:pos="960"/>
        </w:tabs>
        <w:spacing w:after="240" w:line="360" w:lineRule="exact"/>
        <w:ind w:left="960" w:hanging="480"/>
        <w:rPr>
          <w:rFonts w:hint="eastAsia"/>
        </w:rPr>
      </w:pPr>
      <w:r>
        <w:rPr>
          <w:rFonts w:hint="eastAsia"/>
        </w:rPr>
        <w:t>干预措施：（一）为各级立法机构的成员举办认识性别问题的研讨会；（二）在各个立法机构建立或增强性别与发展协调中心；（三）审查地方的法令和法律以查出可能存在的性别偏见或隔阂；（四）颁布保护妇女和两性平等的法令和法律；（五）对妇女团体的宣传和游说技巧进行培训；（六）建立或加强政府网络、非政府组织以及民间社会的立法宣传网；以及（七）通过三维媒体对立法提案产生舆论。</w:t>
      </w:r>
    </w:p>
    <w:p w:rsidR="00000000" w:rsidRDefault="00821B8F">
      <w:pPr>
        <w:spacing w:after="240" w:line="360" w:lineRule="exact"/>
        <w:rPr>
          <w:rFonts w:eastAsia="SimHei" w:hint="eastAsia"/>
          <w:bCs/>
          <w:color w:val="FF0000"/>
        </w:rPr>
      </w:pPr>
      <w:r>
        <w:rPr>
          <w:rFonts w:eastAsia="SimHei" w:hint="eastAsia"/>
          <w:bCs/>
          <w:color w:val="FF0000"/>
        </w:rPr>
        <w:t>对妇女的暴力</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5000" w:type="pct"/>
          </w:tcPr>
          <w:p w:rsidR="00000000" w:rsidRDefault="00821B8F">
            <w:pPr>
              <w:spacing w:after="240" w:line="360" w:lineRule="exact"/>
              <w:ind w:left="360" w:right="370"/>
              <w:rPr>
                <w:rFonts w:ascii="KaiTi_GB2312" w:eastAsia="KaiTi_GB2312" w:hint="eastAsia"/>
                <w:iCs/>
                <w:color w:val="0000FF"/>
              </w:rPr>
            </w:pPr>
            <w:r>
              <w:rPr>
                <w:rFonts w:ascii="KaiTi_GB2312" w:eastAsia="KaiTi_GB2312" w:hint="eastAsia"/>
                <w:iCs/>
                <w:color w:val="0000FF"/>
              </w:rPr>
              <w:t>“</w:t>
            </w:r>
            <w:r>
              <w:rPr>
                <w:rFonts w:ascii="KaiTi_GB2312" w:eastAsia="KaiTi_GB2312" w:hint="eastAsia"/>
                <w:iCs/>
                <w:color w:val="0000FF"/>
              </w:rPr>
              <w:t>鉴于乱伦和家庭暴力没有依法受到具体惩处因而人们只能保持沉默，委员会对法律系统在对妇女的暴力方面的缺陷表示深切关注。”（第</w:t>
            </w:r>
            <w:r>
              <w:rPr>
                <w:rFonts w:ascii="KaiTi_GB2312" w:eastAsia="KaiTi_GB2312" w:hint="eastAsia"/>
                <w:iCs/>
                <w:color w:val="0000FF"/>
              </w:rPr>
              <w:t>20</w:t>
            </w:r>
            <w:r>
              <w:rPr>
                <w:rFonts w:ascii="KaiTi_GB2312" w:eastAsia="KaiTi_GB2312" w:hint="eastAsia"/>
                <w:iCs/>
                <w:color w:val="0000FF"/>
              </w:rPr>
              <w:t>段）</w:t>
            </w:r>
            <w:r>
              <w:rPr>
                <w:rFonts w:ascii="SimSun" w:hint="eastAsia"/>
                <w:iCs/>
                <w:color w:val="0000FF"/>
              </w:rPr>
              <w:t>……</w:t>
            </w:r>
            <w:r>
              <w:rPr>
                <w:rFonts w:ascii="KaiTi_GB2312" w:eastAsia="KaiTi_GB2312" w:hint="eastAsia"/>
                <w:iCs/>
                <w:color w:val="0000FF"/>
              </w:rPr>
              <w:t>“委员会强烈敦促政府颁布适当的立法，以打击对妇女的暴力并汇总相关的数据。”（第</w:t>
            </w:r>
            <w:r>
              <w:rPr>
                <w:rFonts w:ascii="KaiTi_GB2312" w:eastAsia="KaiTi_GB2312" w:hint="eastAsia"/>
                <w:iCs/>
                <w:color w:val="0000FF"/>
              </w:rPr>
              <w:t>27</w:t>
            </w:r>
            <w:r>
              <w:rPr>
                <w:rFonts w:ascii="KaiTi_GB2312" w:eastAsia="KaiTi_GB2312" w:hint="eastAsia"/>
                <w:iCs/>
                <w:color w:val="0000FF"/>
              </w:rPr>
              <w:t>段）</w:t>
            </w:r>
          </w:p>
        </w:tc>
      </w:tr>
    </w:tbl>
    <w:p w:rsidR="00000000" w:rsidRDefault="00821B8F">
      <w:pPr>
        <w:numPr>
          <w:ilvl w:val="0"/>
          <w:numId w:val="1236"/>
        </w:numPr>
        <w:spacing w:after="240" w:line="360" w:lineRule="exact"/>
        <w:rPr>
          <w:rFonts w:hint="eastAsia"/>
        </w:rPr>
      </w:pPr>
      <w:r>
        <w:rPr>
          <w:rFonts w:hint="eastAsia"/>
          <w:color w:val="000000"/>
        </w:rPr>
        <w:t>在</w:t>
      </w:r>
      <w:r>
        <w:rPr>
          <w:rFonts w:hint="eastAsia"/>
          <w:color w:val="000000"/>
        </w:rPr>
        <w:t>2001</w:t>
      </w:r>
      <w:r>
        <w:rPr>
          <w:rFonts w:hint="eastAsia"/>
          <w:color w:val="000000"/>
        </w:rPr>
        <w:t>年全国社会经济高峰会议期间，政府行政和立法部门联合提交了《禁止对妇女暴力法》，包括《禁止贩卖人口法》提案。</w:t>
      </w:r>
    </w:p>
    <w:p w:rsidR="00000000" w:rsidRDefault="00821B8F">
      <w:pPr>
        <w:numPr>
          <w:ilvl w:val="0"/>
          <w:numId w:val="1236"/>
        </w:numPr>
        <w:spacing w:after="240" w:line="360" w:lineRule="exact"/>
        <w:rPr>
          <w:rFonts w:hint="eastAsia"/>
        </w:rPr>
      </w:pPr>
      <w:r>
        <w:rPr>
          <w:rFonts w:hint="eastAsia"/>
        </w:rPr>
        <w:t>在这次高峰会议期间，总统要求妇女委员会加强其在对妇女的暴力方面的监督职能。在这方面，妇女委员会成立了对妇女的暴力问题协调委员会，负责使对妇女的暴力受害者和幸存者的服务和援助</w:t>
      </w:r>
      <w:r>
        <w:rPr>
          <w:rFonts w:hint="eastAsia"/>
        </w:rPr>
        <w:t>实现系统化和保持同步，同时还负责收集对妇女的暴力和家庭暴力的数据并使数据产生实现系统化。</w:t>
      </w:r>
    </w:p>
    <w:p w:rsidR="00000000" w:rsidRDefault="00821B8F">
      <w:pPr>
        <w:numPr>
          <w:ilvl w:val="0"/>
          <w:numId w:val="1236"/>
        </w:numPr>
        <w:spacing w:after="240" w:line="360" w:lineRule="exact"/>
        <w:rPr>
          <w:rFonts w:hint="eastAsia"/>
        </w:rPr>
      </w:pPr>
      <w:r>
        <w:rPr>
          <w:rFonts w:hint="eastAsia"/>
          <w:color w:val="000000"/>
        </w:rPr>
        <w:t>在过去的两年里，曾经发动过一次为时</w:t>
      </w:r>
      <w:r>
        <w:rPr>
          <w:rFonts w:hint="eastAsia"/>
          <w:color w:val="000000"/>
        </w:rPr>
        <w:t>16</w:t>
      </w:r>
      <w:r>
        <w:rPr>
          <w:rFonts w:hint="eastAsia"/>
          <w:color w:val="000000"/>
        </w:rPr>
        <w:t>天的针对性别的暴力的抗议运动，结果导致《</w:t>
      </w:r>
      <w:r>
        <w:rPr>
          <w:rFonts w:hint="eastAsia"/>
          <w:color w:val="000000"/>
        </w:rPr>
        <w:t>2004</w:t>
      </w:r>
      <w:r>
        <w:rPr>
          <w:rFonts w:hint="eastAsia"/>
          <w:color w:val="000000"/>
        </w:rPr>
        <w:t>年禁止对妇女儿童的暴力法》和《</w:t>
      </w:r>
      <w:r>
        <w:rPr>
          <w:rFonts w:hint="eastAsia"/>
          <w:color w:val="000000"/>
        </w:rPr>
        <w:t>2003</w:t>
      </w:r>
      <w:r>
        <w:rPr>
          <w:rFonts w:hint="eastAsia"/>
          <w:color w:val="000000"/>
        </w:rPr>
        <w:t>年禁止贩卖人口法》等惩治对妇女暴力的法律获得通过。政府还在</w:t>
      </w:r>
      <w:r>
        <w:rPr>
          <w:rFonts w:hint="eastAsia"/>
          <w:color w:val="000000"/>
        </w:rPr>
        <w:t>1997</w:t>
      </w:r>
      <w:r>
        <w:rPr>
          <w:rFonts w:hint="eastAsia"/>
          <w:color w:val="000000"/>
        </w:rPr>
        <w:t>年通过了惩治强奸和性攻击罪的法律，其中包括建立家事法庭（《</w:t>
      </w:r>
      <w:r>
        <w:rPr>
          <w:rFonts w:hint="eastAsia"/>
          <w:color w:val="000000"/>
        </w:rPr>
        <w:t>1997</w:t>
      </w:r>
      <w:r>
        <w:rPr>
          <w:rFonts w:hint="eastAsia"/>
          <w:color w:val="000000"/>
        </w:rPr>
        <w:t>年家事法庭法》）以及在全国设立危机处理中心并向强奸受害者和幸存者提供援助和保护（《</w:t>
      </w:r>
      <w:r>
        <w:rPr>
          <w:rFonts w:hint="eastAsia"/>
          <w:color w:val="000000"/>
        </w:rPr>
        <w:t>1998</w:t>
      </w:r>
      <w:r>
        <w:rPr>
          <w:rFonts w:hint="eastAsia"/>
          <w:color w:val="000000"/>
        </w:rPr>
        <w:t>年强奸受害者援助法》）。关于上述法律的详细讨论，见第六条。</w:t>
      </w:r>
    </w:p>
    <w:p w:rsidR="00000000" w:rsidRDefault="00821B8F">
      <w:pPr>
        <w:numPr>
          <w:ilvl w:val="0"/>
          <w:numId w:val="1236"/>
        </w:numPr>
        <w:spacing w:after="240" w:line="360" w:lineRule="exact"/>
        <w:rPr>
          <w:rFonts w:hint="eastAsia"/>
        </w:rPr>
      </w:pPr>
      <w:r>
        <w:rPr>
          <w:rFonts w:hint="eastAsia"/>
          <w:u w:val="single"/>
        </w:rPr>
        <w:t>妇女问题框架计划</w:t>
      </w:r>
      <w:r>
        <w:rPr>
          <w:rFonts w:hint="eastAsia"/>
          <w:u w:val="single"/>
        </w:rPr>
        <w:t>下的干预措施</w:t>
      </w:r>
      <w:r>
        <w:rPr>
          <w:rFonts w:hint="eastAsia"/>
        </w:rPr>
        <w:t>。妇女问题框架计划的一个目标是“在对妇女的暴力幸存者给予公正时，对性别问题具有敏感认识。”</w:t>
      </w:r>
    </w:p>
    <w:p w:rsidR="00000000" w:rsidRDefault="00821B8F">
      <w:pPr>
        <w:numPr>
          <w:ilvl w:val="0"/>
          <w:numId w:val="1242"/>
        </w:numPr>
        <w:tabs>
          <w:tab w:val="clear" w:pos="405"/>
          <w:tab w:val="num" w:pos="960"/>
        </w:tabs>
        <w:spacing w:after="240" w:line="360" w:lineRule="exact"/>
        <w:ind w:left="960" w:hanging="480"/>
        <w:rPr>
          <w:rFonts w:hint="eastAsia"/>
        </w:rPr>
      </w:pPr>
      <w:r>
        <w:rPr>
          <w:rFonts w:hint="eastAsia"/>
        </w:rPr>
        <w:t>为了达到这个目标，妇女问题框架计划提出以下战略：（一）制订或加强对妇女的暴力问题的体制机制；（二）促进刑事司法系统对性别问题产生敏感认识；（三）对现有的机制进行更新或提升，使之对妇女更为友善；以及（四）加强或扩大受害人和虐待者的咨询和提高认识方案。</w:t>
      </w:r>
    </w:p>
    <w:p w:rsidR="00000000" w:rsidRDefault="00821B8F">
      <w:pPr>
        <w:numPr>
          <w:ilvl w:val="0"/>
          <w:numId w:val="1242"/>
        </w:numPr>
        <w:tabs>
          <w:tab w:val="clear" w:pos="405"/>
          <w:tab w:val="num" w:pos="960"/>
        </w:tabs>
        <w:spacing w:after="240" w:line="360" w:lineRule="exact"/>
        <w:ind w:left="960" w:hanging="480"/>
        <w:rPr>
          <w:rFonts w:hint="eastAsia"/>
        </w:rPr>
      </w:pPr>
      <w:r>
        <w:rPr>
          <w:rFonts w:hint="eastAsia"/>
        </w:rPr>
        <w:t>与此同时，干预措施有：（一）呼吁通过禁止对妇女暴力的立法；（二）为法庭官员和工作人员举办提高认识培训班；（三）把性别原则纳入法庭规程和公正判决的标准之中；（四</w:t>
      </w:r>
      <w:r>
        <w:rPr>
          <w:rFonts w:hint="eastAsia"/>
        </w:rPr>
        <w:t>）更新或建立照顾幸存者的设施；</w:t>
      </w:r>
      <w:r>
        <w:rPr>
          <w:rFonts w:hint="eastAsia"/>
          <w:color w:val="000000"/>
        </w:rPr>
        <w:t>（五）</w:t>
      </w:r>
      <w:r>
        <w:rPr>
          <w:rFonts w:hint="eastAsia"/>
        </w:rPr>
        <w:t>为依托社团和医院的咨询人员举办咨询和提高认识培训班；（六）为法院的社会工作者、法官和警察举办处理案件时对性别问题有敏感认识的能力建设培训班；（七）为</w:t>
      </w:r>
      <w:r>
        <w:rPr>
          <w:rFonts w:hint="eastAsia"/>
        </w:rPr>
        <w:t>44</w:t>
      </w:r>
      <w:r>
        <w:rPr>
          <w:rFonts w:hint="eastAsia"/>
        </w:rPr>
        <w:t>家医院的妇女儿童保护机构的工作人员开展培训和能力建设；（八）提高警察站及类似场所的妇女接待处提供的服务质量；（九）设立强奸危机处理中心；及（十）制订拘押妇女或处境特别困难妇女的人道主义待遇标准。</w:t>
      </w:r>
    </w:p>
    <w:p w:rsidR="00000000" w:rsidRDefault="00821B8F">
      <w:pPr>
        <w:spacing w:after="240" w:line="360" w:lineRule="exact"/>
        <w:rPr>
          <w:rFonts w:eastAsia="SimHei" w:hint="eastAsia"/>
          <w:bCs/>
          <w:color w:val="FF0000"/>
        </w:rPr>
      </w:pPr>
      <w:r>
        <w:rPr>
          <w:rFonts w:eastAsia="SimHei" w:hint="eastAsia"/>
          <w:bCs/>
          <w:color w:val="FF0000"/>
        </w:rPr>
        <w:t>向所有地区的所有妇女提供生殖保健和性保健服务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rPr>
          <w:trHeight w:val="1570"/>
        </w:trPr>
        <w:tc>
          <w:tcPr>
            <w:tcW w:w="5000" w:type="pct"/>
            <w:tcBorders>
              <w:bottom w:val="single" w:sz="4" w:space="0" w:color="auto"/>
            </w:tcBorders>
          </w:tcPr>
          <w:p w:rsidR="00000000" w:rsidRDefault="00821B8F">
            <w:pPr>
              <w:pStyle w:val="BodyText"/>
              <w:spacing w:after="240" w:line="360" w:lineRule="exact"/>
              <w:ind w:left="360" w:right="370"/>
              <w:rPr>
                <w:rFonts w:ascii="KaiTi_GB2312" w:eastAsia="KaiTi_GB2312" w:hint="eastAsia"/>
                <w:color w:val="0000FF"/>
                <w:sz w:val="21"/>
              </w:rPr>
            </w:pPr>
            <w:r>
              <w:rPr>
                <w:rFonts w:ascii="KaiTi_GB2312" w:eastAsia="KaiTi_GB2312" w:hint="eastAsia"/>
                <w:color w:val="0000FF"/>
                <w:sz w:val="21"/>
              </w:rPr>
              <w:t>“委员会对人口分散以及从国家到地方各级的发展服务的分散表示遗憾，因为这显然造成有一</w:t>
            </w:r>
            <w:r>
              <w:rPr>
                <w:rFonts w:ascii="KaiTi_GB2312" w:eastAsia="KaiTi_GB2312" w:hint="eastAsia"/>
                <w:color w:val="0000FF"/>
                <w:sz w:val="21"/>
              </w:rPr>
              <w:t>个省禁止避孕，这违背了妇女公约的精神（第十二条和第十六条（</w:t>
            </w:r>
            <w:r>
              <w:rPr>
                <w:rFonts w:ascii="KaiTi_GB2312" w:eastAsia="KaiTi_GB2312"/>
                <w:color w:val="0000FF"/>
                <w:sz w:val="21"/>
              </w:rPr>
              <w:t>e</w:t>
            </w:r>
            <w:r>
              <w:rPr>
                <w:rFonts w:ascii="KaiTi_GB2312" w:eastAsia="KaiTi_GB2312" w:hint="eastAsia"/>
                <w:color w:val="0000FF"/>
                <w:sz w:val="21"/>
              </w:rPr>
              <w:t>）项）。”（第</w:t>
            </w:r>
            <w:r>
              <w:rPr>
                <w:rFonts w:ascii="KaiTi_GB2312" w:eastAsia="KaiTi_GB2312" w:hint="eastAsia"/>
                <w:color w:val="0000FF"/>
                <w:sz w:val="21"/>
              </w:rPr>
              <w:t>21</w:t>
            </w:r>
            <w:r>
              <w:rPr>
                <w:rFonts w:ascii="KaiTi_GB2312" w:eastAsia="KaiTi_GB2312" w:hint="eastAsia"/>
                <w:color w:val="0000FF"/>
                <w:sz w:val="21"/>
              </w:rPr>
              <w:t>段）委员会建议，必</w:t>
            </w:r>
            <w:r>
              <w:rPr>
                <w:rFonts w:ascii="KaiTi_GB2312" w:eastAsia="KaiTi_GB2312" w:hint="eastAsia"/>
                <w:color w:val="0000FF"/>
                <w:spacing w:val="2"/>
                <w:sz w:val="21"/>
              </w:rPr>
              <w:t>须让所有地区的所有妇女都能获得和使用生殖保健和性保健服务，包括计划生育和避孕。”（第</w:t>
            </w:r>
            <w:r>
              <w:rPr>
                <w:rFonts w:ascii="KaiTi_GB2312" w:eastAsia="KaiTi_GB2312" w:hint="eastAsia"/>
                <w:color w:val="0000FF"/>
                <w:spacing w:val="2"/>
                <w:sz w:val="21"/>
              </w:rPr>
              <w:t>28</w:t>
            </w:r>
            <w:r>
              <w:rPr>
                <w:rFonts w:ascii="KaiTi_GB2312" w:eastAsia="KaiTi_GB2312" w:hint="eastAsia"/>
                <w:color w:val="0000FF"/>
                <w:spacing w:val="2"/>
                <w:sz w:val="21"/>
              </w:rPr>
              <w:t>段）</w:t>
            </w:r>
          </w:p>
        </w:tc>
      </w:tr>
    </w:tbl>
    <w:p w:rsidR="00000000" w:rsidRDefault="00821B8F">
      <w:pPr>
        <w:numPr>
          <w:ilvl w:val="0"/>
          <w:numId w:val="1236"/>
        </w:numPr>
        <w:spacing w:after="240" w:line="360" w:lineRule="exact"/>
        <w:rPr>
          <w:rFonts w:hint="eastAsia"/>
        </w:rPr>
      </w:pPr>
      <w:r>
        <w:rPr>
          <w:rFonts w:hint="eastAsia"/>
        </w:rPr>
        <w:t>为解决分散问题，国家政府实施了一系列方案来提高地方政府机构提供保健服务，包括全套生殖保健服务的能力（详情见第十二条）。在海外发展援助的协助下，卫生部在</w:t>
      </w:r>
      <w:r>
        <w:rPr>
          <w:rFonts w:hint="eastAsia"/>
        </w:rPr>
        <w:t>2000</w:t>
      </w:r>
      <w:r>
        <w:rPr>
          <w:rFonts w:hint="eastAsia"/>
        </w:rPr>
        <w:t>年</w:t>
      </w:r>
      <w:r>
        <w:rPr>
          <w:rFonts w:hint="eastAsia"/>
        </w:rPr>
        <w:t>1</w:t>
      </w:r>
      <w:r>
        <w:rPr>
          <w:rFonts w:hint="eastAsia"/>
        </w:rPr>
        <w:t>月推出了一个五年期计划，目的是培养地方政府实施人口、计划生育、安全孕产和儿童存活综合方案，并为地方社区拟订计划生育综合计划。但是，自</w:t>
      </w:r>
      <w:r>
        <w:rPr>
          <w:rFonts w:hint="eastAsia"/>
        </w:rPr>
        <w:t>2002</w:t>
      </w:r>
      <w:r>
        <w:rPr>
          <w:rFonts w:hint="eastAsia"/>
        </w:rPr>
        <w:t>年开始，总统和卫生</w:t>
      </w:r>
      <w:r>
        <w:rPr>
          <w:rFonts w:hint="eastAsia"/>
        </w:rPr>
        <w:t>部将自然计划生育定为优先任务。当然，地方政府机构也可以执行本机构的计划生育政策和方案。</w:t>
      </w:r>
    </w:p>
    <w:p w:rsidR="00000000" w:rsidRDefault="00821B8F">
      <w:pPr>
        <w:numPr>
          <w:ilvl w:val="0"/>
          <w:numId w:val="1236"/>
        </w:numPr>
        <w:spacing w:after="240" w:line="360" w:lineRule="exact"/>
        <w:rPr>
          <w:rFonts w:hint="eastAsia"/>
        </w:rPr>
      </w:pPr>
      <w:r>
        <w:rPr>
          <w:rFonts w:hint="eastAsia"/>
        </w:rPr>
        <w:t>为了帮助地方政府监测其辖区居民的需求和状况，设计了一个生殖保健指标系统。人口委员会对地方政府进行培训，并帮助它们安装这个系统。</w:t>
      </w:r>
    </w:p>
    <w:p w:rsidR="00000000" w:rsidRDefault="00821B8F">
      <w:pPr>
        <w:numPr>
          <w:ilvl w:val="0"/>
          <w:numId w:val="1236"/>
        </w:numPr>
        <w:spacing w:after="240" w:line="360" w:lineRule="exact"/>
        <w:rPr>
          <w:rFonts w:hint="eastAsia"/>
        </w:rPr>
      </w:pPr>
      <w:r>
        <w:rPr>
          <w:rFonts w:hint="eastAsia"/>
        </w:rPr>
        <w:t>《地方政府法典》的修改建议包括在每个地方政府机构设置一个永久的人口官员职位。这些修改建议尚待立法部门批准。</w:t>
      </w:r>
    </w:p>
    <w:p w:rsidR="00000000" w:rsidRDefault="00821B8F">
      <w:pPr>
        <w:numPr>
          <w:ilvl w:val="0"/>
          <w:numId w:val="1236"/>
        </w:numPr>
        <w:spacing w:after="240" w:line="360" w:lineRule="exact"/>
        <w:rPr>
          <w:rFonts w:hint="eastAsia"/>
        </w:rPr>
      </w:pPr>
      <w:r>
        <w:rPr>
          <w:rFonts w:hint="eastAsia"/>
        </w:rPr>
        <w:t>生殖保健议案也已提交立法部门审批。这些议案旨在通过拟订一套综合的国家生殖保健政策和方案，承认妇女的生育权和两性平等及保障妇女能普遍获得生殖保健服务、信息与教育，改善菲律宾人民的福祉。这些议</w:t>
      </w:r>
      <w:r>
        <w:rPr>
          <w:rFonts w:hint="eastAsia"/>
        </w:rPr>
        <w:t>案还争取把国家健康保险方案的人口覆盖范围扩大，特别是对穷人，并使保险内容包括全部性保健和生殖保健服务及产品。</w:t>
      </w:r>
    </w:p>
    <w:p w:rsidR="00000000" w:rsidRDefault="00821B8F">
      <w:pPr>
        <w:numPr>
          <w:ilvl w:val="0"/>
          <w:numId w:val="1236"/>
        </w:numPr>
        <w:spacing w:after="240" w:line="360" w:lineRule="exact"/>
        <w:rPr>
          <w:rFonts w:hint="eastAsia"/>
        </w:rPr>
      </w:pPr>
      <w:r>
        <w:rPr>
          <w:rFonts w:hint="eastAsia"/>
          <w:u w:val="single"/>
        </w:rPr>
        <w:t>妇女问题框架计划下的干预措施</w:t>
      </w:r>
      <w:r>
        <w:rPr>
          <w:rFonts w:hint="eastAsia"/>
        </w:rPr>
        <w:t>。</w:t>
      </w:r>
    </w:p>
    <w:p w:rsidR="00000000" w:rsidRDefault="00821B8F" w:rsidP="00821B8F">
      <w:pPr>
        <w:pStyle w:val="BodyText"/>
        <w:spacing w:after="240" w:line="360" w:lineRule="exact"/>
        <w:ind w:leftChars="171" w:left="31680"/>
        <w:rPr>
          <w:rFonts w:hint="eastAsia"/>
          <w:iCs/>
          <w:sz w:val="21"/>
        </w:rPr>
      </w:pPr>
      <w:r>
        <w:rPr>
          <w:rFonts w:hint="eastAsia"/>
          <w:iCs/>
          <w:sz w:val="21"/>
        </w:rPr>
        <w:t>健康和营养战略是：（一）改善妇女获得基本社会服务，包括妇女的全面健康和营养的条件；（二）提高妇女在整个生命期得到的、对性别问题有敏感认识的综合保健服务的质量；以及（三）提高妇女对保健和护理行为的认识。</w:t>
      </w:r>
    </w:p>
    <w:p w:rsidR="00000000" w:rsidRDefault="00821B8F">
      <w:pPr>
        <w:numPr>
          <w:ilvl w:val="0"/>
          <w:numId w:val="1236"/>
        </w:numPr>
        <w:spacing w:after="240" w:line="360" w:lineRule="exact"/>
        <w:rPr>
          <w:rFonts w:hint="eastAsia"/>
        </w:rPr>
      </w:pPr>
      <w:r>
        <w:rPr>
          <w:rFonts w:hint="eastAsia"/>
        </w:rPr>
        <w:t>干预措施侧重于人口管理及妇女全面健康和营养这些关键问题，其中包括：（一）开展倡导和宣传运动；（二）呼吁地方政府提供政策和预算支持；以及（三）编写关于人口及妇女全面健康和</w:t>
      </w:r>
      <w:r>
        <w:rPr>
          <w:rFonts w:hint="eastAsia"/>
        </w:rPr>
        <w:t>营养的信息、教育以及宣传材料。干预措施还包括：（四）培训保健人员，将保健标准质量和核心事项融入其服务中；及（五）提供基本保健服务，包括着眼于“做负责任的父母”的妇女综合保健服务；以及（六）提高食品安全，确保妇女的健康和营养。</w:t>
      </w:r>
    </w:p>
    <w:p w:rsidR="00000000" w:rsidRDefault="00821B8F">
      <w:pPr>
        <w:spacing w:after="240" w:line="360" w:lineRule="exact"/>
        <w:rPr>
          <w:rFonts w:eastAsia="SimHei" w:hint="eastAsia"/>
          <w:bCs/>
          <w:color w:val="FF0000"/>
        </w:rPr>
      </w:pPr>
      <w:r>
        <w:rPr>
          <w:rFonts w:eastAsia="SimHei" w:hint="eastAsia"/>
          <w:bCs/>
          <w:color w:val="FF0000"/>
        </w:rPr>
        <w:t>需要加强妇女在政治和公共生活中的参与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rPr>
          <w:trHeight w:val="1850"/>
        </w:trPr>
        <w:tc>
          <w:tcPr>
            <w:tcW w:w="5000" w:type="pct"/>
            <w:tcBorders>
              <w:bottom w:val="single" w:sz="4" w:space="0" w:color="auto"/>
            </w:tcBorders>
          </w:tcPr>
          <w:p w:rsidR="00000000" w:rsidRDefault="00821B8F">
            <w:pPr>
              <w:pStyle w:val="BodyText"/>
              <w:spacing w:after="240" w:line="360" w:lineRule="exact"/>
              <w:ind w:left="360" w:right="370"/>
              <w:rPr>
                <w:rFonts w:ascii="KaiTi_GB2312" w:eastAsia="KaiTi_GB2312" w:hint="eastAsia"/>
                <w:color w:val="0000FF"/>
                <w:sz w:val="21"/>
              </w:rPr>
            </w:pPr>
            <w:r>
              <w:rPr>
                <w:rFonts w:ascii="KaiTi_GB2312" w:eastAsia="KaiTi_GB2312" w:hint="eastAsia"/>
                <w:color w:val="0000FF"/>
                <w:sz w:val="21"/>
              </w:rPr>
              <w:t>“委员会进一步关切地指出，尽管妇女参与非政府组织公共领域的决策有所增加，但在政治、政府高层和司法部门的妇女代表份额仍然很小。”（第</w:t>
            </w:r>
            <w:r>
              <w:rPr>
                <w:rFonts w:ascii="KaiTi_GB2312" w:eastAsia="KaiTi_GB2312" w:hint="eastAsia"/>
                <w:color w:val="0000FF"/>
                <w:sz w:val="21"/>
              </w:rPr>
              <w:t>22</w:t>
            </w:r>
            <w:r>
              <w:rPr>
                <w:rFonts w:ascii="KaiTi_GB2312" w:eastAsia="KaiTi_GB2312" w:hint="eastAsia"/>
                <w:color w:val="0000FF"/>
                <w:sz w:val="21"/>
              </w:rPr>
              <w:t>段）</w:t>
            </w:r>
          </w:p>
          <w:p w:rsidR="00000000" w:rsidRDefault="00821B8F">
            <w:pPr>
              <w:pStyle w:val="BodyText"/>
              <w:spacing w:after="240" w:line="360" w:lineRule="exact"/>
              <w:ind w:left="360" w:right="370"/>
              <w:rPr>
                <w:rFonts w:ascii="KaiTi_GB2312" w:eastAsia="KaiTi_GB2312" w:hint="eastAsia"/>
                <w:color w:val="0000FF"/>
                <w:spacing w:val="2"/>
                <w:sz w:val="21"/>
              </w:rPr>
            </w:pPr>
            <w:r>
              <w:rPr>
                <w:rFonts w:ascii="KaiTi_GB2312" w:eastAsia="KaiTi_GB2312" w:hint="eastAsia"/>
                <w:color w:val="0000FF"/>
                <w:spacing w:val="2"/>
                <w:sz w:val="21"/>
              </w:rPr>
              <w:t>“委员会建议，应该采取暂行特别措施来增加妇女担任公共部门高层决策职位的人数。”（第</w:t>
            </w:r>
            <w:r>
              <w:rPr>
                <w:rFonts w:ascii="KaiTi_GB2312" w:eastAsia="KaiTi_GB2312" w:hint="eastAsia"/>
                <w:color w:val="0000FF"/>
                <w:spacing w:val="2"/>
                <w:sz w:val="21"/>
              </w:rPr>
              <w:t xml:space="preserve"> 29</w:t>
            </w:r>
            <w:r>
              <w:rPr>
                <w:rFonts w:ascii="KaiTi_GB2312" w:eastAsia="KaiTi_GB2312" w:hint="eastAsia"/>
                <w:color w:val="0000FF"/>
                <w:spacing w:val="2"/>
                <w:sz w:val="21"/>
              </w:rPr>
              <w:t>段）</w:t>
            </w:r>
          </w:p>
        </w:tc>
      </w:tr>
    </w:tbl>
    <w:p w:rsidR="00000000" w:rsidRDefault="00821B8F">
      <w:pPr>
        <w:numPr>
          <w:ilvl w:val="0"/>
          <w:numId w:val="1236"/>
        </w:numPr>
        <w:spacing w:after="240" w:line="360" w:lineRule="exact"/>
        <w:rPr>
          <w:rFonts w:hint="eastAsia"/>
        </w:rPr>
      </w:pPr>
      <w:r>
        <w:rPr>
          <w:rFonts w:hint="eastAsia"/>
        </w:rPr>
        <w:t>妇女委员会与</w:t>
      </w:r>
      <w:r>
        <w:rPr>
          <w:rFonts w:hint="eastAsia"/>
        </w:rPr>
        <w:t>各政府机构和学术机构合作开展了妇女担任地方行政主管和地方议员的能力建设活动。在全国女地方行政主管和女议员最高会议期间，发表了《马尼拉宣言》，这是与会者承诺促进妇女参政决策的一项声明。</w:t>
      </w:r>
    </w:p>
    <w:p w:rsidR="00000000" w:rsidRDefault="00821B8F">
      <w:pPr>
        <w:numPr>
          <w:ilvl w:val="0"/>
          <w:numId w:val="1236"/>
        </w:numPr>
        <w:spacing w:after="240" w:line="360" w:lineRule="exact"/>
        <w:rPr>
          <w:rFonts w:hint="eastAsia"/>
        </w:rPr>
      </w:pPr>
      <w:r>
        <w:rPr>
          <w:rFonts w:hint="eastAsia"/>
        </w:rPr>
        <w:t>作为得到公共部门人事事项监督权的制宪机构，公务员制度委员会发布了《关于第三级（或行政级）职位男女平等任职的备忘录通知》。该文件的目标是整个官僚机构中两性任职人数各占</w:t>
      </w:r>
      <w:r>
        <w:rPr>
          <w:rFonts w:hint="eastAsia"/>
        </w:rPr>
        <w:t>50%</w:t>
      </w:r>
      <w:r>
        <w:rPr>
          <w:rFonts w:hint="eastAsia"/>
        </w:rPr>
        <w:t>。公务员制度委员会责令政府部门定期报告提名担任第三级职务的妇女人数、妇女实际的任职人数以及男女任用人员总数之比。</w:t>
      </w:r>
      <w:r>
        <w:rPr>
          <w:rFonts w:hint="eastAsia"/>
        </w:rPr>
        <w:t>1999</w:t>
      </w:r>
      <w:r>
        <w:rPr>
          <w:rFonts w:hint="eastAsia"/>
        </w:rPr>
        <w:t>年，在官僚机构第三级职位上，妇女占</w:t>
      </w:r>
      <w:r>
        <w:rPr>
          <w:rFonts w:hint="eastAsia"/>
        </w:rPr>
        <w:t>34</w:t>
      </w:r>
      <w:r>
        <w:t>.</w:t>
      </w:r>
      <w:r>
        <w:rPr>
          <w:rFonts w:hint="eastAsia"/>
        </w:rPr>
        <w:t>8%</w:t>
      </w:r>
      <w:r>
        <w:rPr>
          <w:rFonts w:hint="eastAsia"/>
        </w:rPr>
        <w:t>。</w:t>
      </w:r>
    </w:p>
    <w:p w:rsidR="00000000" w:rsidRDefault="00821B8F">
      <w:pPr>
        <w:numPr>
          <w:ilvl w:val="0"/>
          <w:numId w:val="1236"/>
        </w:numPr>
        <w:spacing w:after="240" w:line="360" w:lineRule="exact"/>
        <w:rPr>
          <w:rFonts w:hint="eastAsia"/>
        </w:rPr>
      </w:pPr>
      <w:r>
        <w:rPr>
          <w:rFonts w:hint="eastAsia"/>
        </w:rPr>
        <w:t>第</w:t>
      </w:r>
      <w:r>
        <w:rPr>
          <w:rFonts w:hint="eastAsia"/>
        </w:rPr>
        <w:t>8551</w:t>
      </w:r>
      <w:r>
        <w:rPr>
          <w:rFonts w:hint="eastAsia"/>
        </w:rPr>
        <w:t>号共和国法令，或《</w:t>
      </w:r>
      <w:r>
        <w:rPr>
          <w:rFonts w:hint="eastAsia"/>
        </w:rPr>
        <w:t>1998</w:t>
      </w:r>
      <w:r>
        <w:rPr>
          <w:rFonts w:hint="eastAsia"/>
        </w:rPr>
        <w:t>年国民警察委员会和菲律宾国民警察部队改组法令》阐述了一项国家政策，要求在警察机构中给予妇女平等的机会，防止工作场所的性骚扰，禁止基于性别和性取向的歧视。该法律规定，菲律宾国民警察部队每年的招聘、培训和教育方案必须让妇女占</w:t>
      </w:r>
      <w:r>
        <w:rPr>
          <w:rFonts w:hint="eastAsia"/>
        </w:rPr>
        <w:t>10%</w:t>
      </w:r>
      <w:r>
        <w:rPr>
          <w:rFonts w:hint="eastAsia"/>
        </w:rPr>
        <w:t>的份额。</w:t>
      </w:r>
    </w:p>
    <w:p w:rsidR="00000000" w:rsidRDefault="00821B8F">
      <w:pPr>
        <w:numPr>
          <w:ilvl w:val="0"/>
          <w:numId w:val="1236"/>
        </w:numPr>
        <w:spacing w:after="240" w:line="360" w:lineRule="exact"/>
        <w:rPr>
          <w:rFonts w:hint="eastAsia"/>
        </w:rPr>
      </w:pPr>
      <w:r>
        <w:rPr>
          <w:rFonts w:hint="eastAsia"/>
        </w:rPr>
        <w:t>如在第七条中所讨论的，许多旨在保护边际化部门的权利的菲律宾法律都载有承认那些部门的妇女参与决策进程的权利的条款。例如，《</w:t>
      </w:r>
      <w:r>
        <w:rPr>
          <w:rFonts w:hint="eastAsia"/>
        </w:rPr>
        <w:t>1997</w:t>
      </w:r>
      <w:r>
        <w:rPr>
          <w:rFonts w:hint="eastAsia"/>
        </w:rPr>
        <w:t>年土著人民权利法》（第</w:t>
      </w:r>
      <w:r>
        <w:rPr>
          <w:rFonts w:hint="eastAsia"/>
        </w:rPr>
        <w:t>8371</w:t>
      </w:r>
      <w:r>
        <w:rPr>
          <w:rFonts w:hint="eastAsia"/>
        </w:rPr>
        <w:t>号共和国法令）规定了土著妇女要参与所有各级决策。《社会改革和减缓贫穷法》</w:t>
      </w:r>
      <w:r>
        <w:rPr>
          <w:rFonts w:hint="eastAsia"/>
        </w:rPr>
        <w:t>（第</w:t>
      </w:r>
      <w:r>
        <w:rPr>
          <w:rFonts w:hint="eastAsia"/>
        </w:rPr>
        <w:t>8425</w:t>
      </w:r>
      <w:r>
        <w:rPr>
          <w:rFonts w:hint="eastAsia"/>
        </w:rPr>
        <w:t>号共和国法令）要求为指定的基本部门或边际化部门成立理事会，妇女也作为一个部门，并要求在全国扶贫委员会中为妇女部门代表留下一个席位。《</w:t>
      </w:r>
      <w:r>
        <w:rPr>
          <w:rFonts w:hint="eastAsia"/>
        </w:rPr>
        <w:t>1998</w:t>
      </w:r>
      <w:r>
        <w:rPr>
          <w:rFonts w:hint="eastAsia"/>
        </w:rPr>
        <w:t>年渔业法》（第</w:t>
      </w:r>
      <w:r>
        <w:rPr>
          <w:rFonts w:hint="eastAsia"/>
        </w:rPr>
        <w:t>8850</w:t>
      </w:r>
      <w:r>
        <w:rPr>
          <w:rFonts w:hint="eastAsia"/>
        </w:rPr>
        <w:t>号共和国法令）要求在自治区或市一级的渔业和沿海资源管理理事会为妇女保留席位。</w:t>
      </w:r>
    </w:p>
    <w:p w:rsidR="00000000" w:rsidRDefault="00821B8F">
      <w:pPr>
        <w:numPr>
          <w:ilvl w:val="0"/>
          <w:numId w:val="1236"/>
        </w:numPr>
        <w:spacing w:after="240" w:line="360" w:lineRule="exact"/>
        <w:rPr>
          <w:rFonts w:hint="eastAsia"/>
        </w:rPr>
      </w:pPr>
      <w:r>
        <w:rPr>
          <w:rFonts w:hint="eastAsia"/>
        </w:rPr>
        <w:t>菲律宾国会两院都收到了要求提供暂时特别措施的议案。如第四条中所指出的，这些议案包括：支持已经提出的《妇女赋权法》的议案，此项法令要求在政府所有决策职位中妇女至少任职</w:t>
      </w:r>
      <w:r>
        <w:rPr>
          <w:rFonts w:hint="eastAsia"/>
        </w:rPr>
        <w:t>30%</w:t>
      </w:r>
      <w:r>
        <w:rPr>
          <w:rFonts w:hint="eastAsia"/>
        </w:rPr>
        <w:t>；议会第</w:t>
      </w:r>
      <w:r>
        <w:rPr>
          <w:rFonts w:hint="eastAsia"/>
        </w:rPr>
        <w:t>5708</w:t>
      </w:r>
      <w:r>
        <w:rPr>
          <w:rFonts w:hint="eastAsia"/>
        </w:rPr>
        <w:t>号议案，“参政和代表中的两性平等法令”，其目标是逐渐把妇女在选举职位和任命</w:t>
      </w:r>
      <w:r>
        <w:rPr>
          <w:rFonts w:hint="eastAsia"/>
        </w:rPr>
        <w:t>职位中的任职比例增加到至少</w:t>
      </w:r>
      <w:r>
        <w:rPr>
          <w:rFonts w:hint="eastAsia"/>
        </w:rPr>
        <w:t>33%</w:t>
      </w:r>
      <w:r>
        <w:rPr>
          <w:rFonts w:hint="eastAsia"/>
        </w:rPr>
        <w:t>，到</w:t>
      </w:r>
      <w:r>
        <w:rPr>
          <w:rFonts w:hint="eastAsia"/>
        </w:rPr>
        <w:t>2012</w:t>
      </w:r>
      <w:r>
        <w:rPr>
          <w:rFonts w:hint="eastAsia"/>
        </w:rPr>
        <w:t>年妇女在行政一级达到</w:t>
      </w:r>
      <w:r>
        <w:rPr>
          <w:rFonts w:hint="eastAsia"/>
        </w:rPr>
        <w:t>50%</w:t>
      </w:r>
      <w:r>
        <w:rPr>
          <w:rFonts w:hint="eastAsia"/>
        </w:rPr>
        <w:t>。后一项议案还试图要求各政党在全国和地方选举中至少为妇女保留正式候选人名单中三分之一的席位，以得到选举委员会的认可。由于这些议案只有少数议员赞同，因此不太可能通过。不过，提出的另一项法律是一项便利妇女部门代表进入地方理事会的法律，将使《</w:t>
      </w:r>
      <w:r>
        <w:rPr>
          <w:rFonts w:hint="eastAsia"/>
        </w:rPr>
        <w:t>1991</w:t>
      </w:r>
      <w:r>
        <w:rPr>
          <w:rFonts w:hint="eastAsia"/>
        </w:rPr>
        <w:t>年地方政府法典》中的妇女部门代表条款开始得到执行。</w:t>
      </w:r>
    </w:p>
    <w:p w:rsidR="00000000" w:rsidRDefault="00821B8F">
      <w:pPr>
        <w:numPr>
          <w:ilvl w:val="0"/>
          <w:numId w:val="1236"/>
        </w:numPr>
        <w:spacing w:after="240" w:line="360" w:lineRule="exact"/>
        <w:rPr>
          <w:rFonts w:hint="eastAsia"/>
        </w:rPr>
      </w:pPr>
      <w:r>
        <w:rPr>
          <w:rFonts w:hint="eastAsia"/>
          <w:u w:val="single"/>
        </w:rPr>
        <w:t>妇女问题框架计划下的干预措施</w:t>
      </w:r>
      <w:r>
        <w:rPr>
          <w:rFonts w:hint="eastAsia"/>
        </w:rPr>
        <w:t>。</w:t>
      </w:r>
    </w:p>
    <w:p w:rsidR="00000000" w:rsidRDefault="00821B8F">
      <w:pPr>
        <w:pStyle w:val="BodyText"/>
        <w:numPr>
          <w:ilvl w:val="0"/>
          <w:numId w:val="1243"/>
        </w:numPr>
        <w:tabs>
          <w:tab w:val="clear" w:pos="405"/>
          <w:tab w:val="num" w:pos="960"/>
        </w:tabs>
        <w:spacing w:after="240" w:line="360" w:lineRule="exact"/>
        <w:ind w:left="960" w:hanging="480"/>
        <w:rPr>
          <w:rFonts w:ascii="Times New Roman" w:hint="eastAsia"/>
          <w:iCs/>
          <w:sz w:val="21"/>
        </w:rPr>
      </w:pPr>
      <w:r>
        <w:rPr>
          <w:rFonts w:ascii="Times New Roman" w:hint="eastAsia"/>
          <w:iCs/>
          <w:sz w:val="21"/>
        </w:rPr>
        <w:t>妇女问题框架计划中重申，政府承诺“加强妇女的领导作用和参与决策过程。”（妇女问题框架计划，目标</w:t>
      </w:r>
      <w:r>
        <w:rPr>
          <w:rFonts w:ascii="Times New Roman" w:hint="eastAsia"/>
          <w:iCs/>
          <w:sz w:val="21"/>
        </w:rPr>
        <w:t>3</w:t>
      </w:r>
      <w:r>
        <w:rPr>
          <w:rFonts w:ascii="Times New Roman"/>
          <w:iCs/>
          <w:sz w:val="21"/>
        </w:rPr>
        <w:t>.</w:t>
      </w:r>
      <w:r>
        <w:rPr>
          <w:rFonts w:ascii="Times New Roman" w:hint="eastAsia"/>
          <w:iCs/>
          <w:sz w:val="21"/>
        </w:rPr>
        <w:t>2</w:t>
      </w:r>
      <w:r>
        <w:rPr>
          <w:rFonts w:ascii="Times New Roman" w:hint="eastAsia"/>
          <w:iCs/>
          <w:sz w:val="21"/>
        </w:rPr>
        <w:t>）。</w:t>
      </w:r>
      <w:r>
        <w:rPr>
          <w:rFonts w:ascii="Times New Roman" w:hint="eastAsia"/>
          <w:iCs/>
          <w:sz w:val="21"/>
        </w:rPr>
        <w:t xml:space="preserve"> </w:t>
      </w:r>
      <w:r>
        <w:rPr>
          <w:rFonts w:ascii="Times New Roman" w:hint="eastAsia"/>
          <w:iCs/>
          <w:sz w:val="21"/>
        </w:rPr>
        <w:t>实现这一</w:t>
      </w:r>
      <w:r>
        <w:rPr>
          <w:rFonts w:ascii="Times New Roman" w:hint="eastAsia"/>
          <w:iCs/>
          <w:sz w:val="21"/>
        </w:rPr>
        <w:t>目标采取的战略分为两方面：（一）确保妇女在地方、国家和国际各级的决策进程中的平等代表权；（二）推进对性别问题具有敏感认识的管理和具有改革能力的领导。如本报告第七条中所指出的，许多措施都已经到位。</w:t>
      </w:r>
    </w:p>
    <w:p w:rsidR="00000000" w:rsidRDefault="00821B8F">
      <w:pPr>
        <w:pStyle w:val="BodyText"/>
        <w:numPr>
          <w:ilvl w:val="0"/>
          <w:numId w:val="1243"/>
        </w:numPr>
        <w:tabs>
          <w:tab w:val="clear" w:pos="405"/>
          <w:tab w:val="num" w:pos="960"/>
        </w:tabs>
        <w:spacing w:after="240" w:line="360" w:lineRule="exact"/>
        <w:ind w:left="960" w:hanging="480"/>
        <w:rPr>
          <w:rFonts w:ascii="Times New Roman" w:hint="eastAsia"/>
          <w:iCs/>
          <w:sz w:val="21"/>
        </w:rPr>
      </w:pPr>
      <w:r>
        <w:rPr>
          <w:rFonts w:ascii="Times New Roman" w:hint="eastAsia"/>
          <w:iCs/>
          <w:sz w:val="21"/>
        </w:rPr>
        <w:t>干预措施包括：（一）对妇女进行领导能力培训；（二）呼吁在选举中增加妇女候选人；（三）为希望进入政界的基层妇女提供福利支助服务；（四）研究着眼于对性别问题具有敏感认识的管理和领导模式的最佳或有益应用和开发；（五）开展对性别问题具有敏感认识的管理和领导培训；（六）执行妇女进入地方理事会的政策；（七）建立地方妇女机构；以</w:t>
      </w:r>
      <w:r>
        <w:rPr>
          <w:rFonts w:ascii="Times New Roman" w:hint="eastAsia"/>
          <w:iCs/>
          <w:sz w:val="21"/>
        </w:rPr>
        <w:t>及（八）培养地方妇女机构的管理能力。</w:t>
      </w:r>
    </w:p>
    <w:p w:rsidR="00000000" w:rsidRDefault="00821B8F">
      <w:pPr>
        <w:numPr>
          <w:ilvl w:val="0"/>
          <w:numId w:val="1236"/>
        </w:numPr>
        <w:spacing w:after="240" w:line="360" w:lineRule="exact"/>
        <w:rPr>
          <w:rFonts w:hint="eastAsia"/>
          <w:iCs/>
        </w:rPr>
      </w:pPr>
      <w:r>
        <w:rPr>
          <w:rFonts w:hint="eastAsia"/>
          <w:iCs/>
        </w:rPr>
        <w:t>从前面各段中可以看出，菲律宾共和国政府在响应联合国消除对妇女歧视委员会的意见及妇女公约涉及的许多领域里取得了长足的进步。但是，同样明显的是，菲律宾要保持这些成就面临着巨大的挑战，而且还要面临本报告后面几部分阐述的新的挑战。</w:t>
      </w:r>
    </w:p>
    <w:p w:rsidR="00000000" w:rsidRDefault="00821B8F">
      <w:pPr>
        <w:pStyle w:val="HCh"/>
        <w:pBdr>
          <w:bottom w:val="double" w:sz="4" w:space="1" w:color="auto"/>
        </w:pBdr>
        <w:spacing w:before="240"/>
        <w:jc w:val="center"/>
        <w:rPr>
          <w:rFonts w:hint="eastAsia"/>
        </w:rPr>
      </w:pPr>
      <w:r>
        <w:rPr>
          <w:rFonts w:hint="eastAsia"/>
        </w:rPr>
        <w:t>第二部分：进展情况综述</w:t>
      </w:r>
    </w:p>
    <w:p w:rsidR="00000000" w:rsidRDefault="00821B8F">
      <w:pPr>
        <w:pStyle w:val="H1"/>
        <w:rPr>
          <w:rFonts w:hint="eastAsia"/>
        </w:rPr>
      </w:pPr>
      <w:r>
        <w:rPr>
          <w:rFonts w:hint="eastAsia"/>
        </w:rPr>
        <w:t>背景</w:t>
      </w:r>
    </w:p>
    <w:p w:rsidR="00000000" w:rsidRDefault="00821B8F">
      <w:pPr>
        <w:pStyle w:val="BodyText"/>
        <w:numPr>
          <w:ilvl w:val="0"/>
          <w:numId w:val="1318"/>
        </w:numPr>
        <w:spacing w:after="240" w:line="360" w:lineRule="exact"/>
        <w:rPr>
          <w:rFonts w:ascii="KaiTi_GB2312" w:eastAsia="KaiTi_GB2312" w:hint="eastAsia"/>
          <w:b/>
          <w:iCs/>
          <w:color w:val="0000FF"/>
          <w:sz w:val="21"/>
        </w:rPr>
      </w:pPr>
      <w:r>
        <w:rPr>
          <w:rFonts w:ascii="KaiTi_GB2312" w:eastAsia="KaiTi_GB2312" w:hint="eastAsia"/>
          <w:b/>
          <w:iCs/>
          <w:color w:val="0000FF"/>
          <w:sz w:val="21"/>
        </w:rPr>
        <w:t>政治、经济、社会和文化的总体发展情况</w:t>
      </w:r>
    </w:p>
    <w:p w:rsidR="00000000" w:rsidRDefault="00821B8F">
      <w:pPr>
        <w:numPr>
          <w:ilvl w:val="0"/>
          <w:numId w:val="1236"/>
        </w:numPr>
        <w:spacing w:after="240" w:line="360" w:lineRule="exact"/>
        <w:rPr>
          <w:rFonts w:hint="eastAsia"/>
          <w:spacing w:val="-2"/>
        </w:rPr>
      </w:pPr>
      <w:r>
        <w:rPr>
          <w:rFonts w:hint="eastAsia"/>
        </w:rPr>
        <w:t>1995</w:t>
      </w:r>
      <w:r>
        <w:rPr>
          <w:rFonts w:hint="eastAsia"/>
        </w:rPr>
        <w:t>年菲律宾人口为</w:t>
      </w:r>
      <w:r>
        <w:rPr>
          <w:rFonts w:hint="eastAsia"/>
        </w:rPr>
        <w:t>6 860</w:t>
      </w:r>
      <w:r>
        <w:rPr>
          <w:rFonts w:hint="eastAsia"/>
        </w:rPr>
        <w:t>万，</w:t>
      </w:r>
      <w:r>
        <w:rPr>
          <w:rFonts w:hint="eastAsia"/>
        </w:rPr>
        <w:t>2000</w:t>
      </w:r>
      <w:r>
        <w:rPr>
          <w:rFonts w:hint="eastAsia"/>
        </w:rPr>
        <w:t>年为</w:t>
      </w:r>
      <w:r>
        <w:rPr>
          <w:rFonts w:hint="eastAsia"/>
        </w:rPr>
        <w:t>7 650</w:t>
      </w:r>
      <w:r>
        <w:rPr>
          <w:rFonts w:hint="eastAsia"/>
        </w:rPr>
        <w:t>万，菲律宾平均每年增加</w:t>
      </w:r>
      <w:r>
        <w:rPr>
          <w:rFonts w:hint="eastAsia"/>
        </w:rPr>
        <w:t>150</w:t>
      </w:r>
      <w:r>
        <w:rPr>
          <w:rFonts w:hint="eastAsia"/>
        </w:rPr>
        <w:t>万人。国家统计局预测</w:t>
      </w:r>
      <w:r>
        <w:rPr>
          <w:rFonts w:hint="eastAsia"/>
        </w:rPr>
        <w:t>2003</w:t>
      </w:r>
      <w:r>
        <w:rPr>
          <w:rFonts w:hint="eastAsia"/>
        </w:rPr>
        <w:t>年的人口会达到</w:t>
      </w:r>
      <w:r>
        <w:rPr>
          <w:rFonts w:hint="eastAsia"/>
        </w:rPr>
        <w:t>8 110</w:t>
      </w:r>
      <w:r>
        <w:rPr>
          <w:rFonts w:hint="eastAsia"/>
        </w:rPr>
        <w:t>万，即在五年时间里平均每年增长</w:t>
      </w:r>
      <w:r>
        <w:rPr>
          <w:rFonts w:hint="eastAsia"/>
        </w:rPr>
        <w:t>2</w:t>
      </w:r>
      <w:r>
        <w:t>.</w:t>
      </w:r>
      <w:r>
        <w:rPr>
          <w:rFonts w:hint="eastAsia"/>
        </w:rPr>
        <w:t>36%</w:t>
      </w:r>
      <w:r>
        <w:rPr>
          <w:rFonts w:hint="eastAsia"/>
        </w:rPr>
        <w:t>。该</w:t>
      </w:r>
      <w:r>
        <w:rPr>
          <w:rFonts w:hint="eastAsia"/>
        </w:rPr>
        <w:t>增长率在亚洲地区仍居最高之列。在这两个年份，妇女均占人口的</w:t>
      </w:r>
      <w:r>
        <w:rPr>
          <w:rFonts w:hint="eastAsia"/>
        </w:rPr>
        <w:t>49</w:t>
      </w:r>
      <w:r>
        <w:t>.</w:t>
      </w:r>
      <w:r>
        <w:rPr>
          <w:rFonts w:hint="eastAsia"/>
        </w:rPr>
        <w:t>6%</w:t>
      </w:r>
      <w:r>
        <w:rPr>
          <w:rFonts w:hint="eastAsia"/>
        </w:rPr>
        <w:t>（国家统计局，</w:t>
      </w:r>
      <w:r>
        <w:rPr>
          <w:rFonts w:hint="eastAsia"/>
        </w:rPr>
        <w:t>1995</w:t>
      </w:r>
      <w:r>
        <w:rPr>
          <w:rFonts w:hint="eastAsia"/>
        </w:rPr>
        <w:t>年和</w:t>
      </w:r>
      <w:r>
        <w:rPr>
          <w:rFonts w:hint="eastAsia"/>
        </w:rPr>
        <w:t>2000</w:t>
      </w:r>
      <w:r>
        <w:rPr>
          <w:rFonts w:hint="eastAsia"/>
        </w:rPr>
        <w:t>年）。</w:t>
      </w:r>
    </w:p>
    <w:p w:rsidR="00000000" w:rsidRDefault="00821B8F">
      <w:pPr>
        <w:numPr>
          <w:ilvl w:val="0"/>
          <w:numId w:val="1236"/>
        </w:numPr>
        <w:spacing w:after="240" w:line="360" w:lineRule="exact"/>
        <w:rPr>
          <w:rFonts w:hint="eastAsia"/>
          <w:iCs/>
          <w:spacing w:val="-2"/>
        </w:rPr>
      </w:pPr>
      <w:r>
        <w:rPr>
          <w:rFonts w:hint="eastAsia"/>
          <w:iCs/>
        </w:rPr>
        <w:t>全国人口复杂，一共有大约</w:t>
      </w:r>
      <w:r>
        <w:rPr>
          <w:rFonts w:hint="eastAsia"/>
          <w:iCs/>
        </w:rPr>
        <w:t>111</w:t>
      </w:r>
      <w:r>
        <w:rPr>
          <w:rFonts w:hint="eastAsia"/>
          <w:iCs/>
        </w:rPr>
        <w:t>个语言、文化和族裔群体。其中的许多群体居住在</w:t>
      </w:r>
      <w:r>
        <w:rPr>
          <w:iCs/>
          <w:spacing w:val="-2"/>
        </w:rPr>
        <w:t>棉兰老</w:t>
      </w:r>
      <w:r>
        <w:rPr>
          <w:rFonts w:hint="eastAsia"/>
          <w:iCs/>
          <w:spacing w:val="-2"/>
        </w:rPr>
        <w:t>，包括</w:t>
      </w:r>
      <w:r>
        <w:rPr>
          <w:color w:val="000000"/>
        </w:rPr>
        <w:t>马诺波</w:t>
      </w:r>
      <w:r>
        <w:rPr>
          <w:rFonts w:hint="eastAsia"/>
          <w:color w:val="000000"/>
        </w:rPr>
        <w:t>、</w:t>
      </w:r>
      <w:r>
        <w:rPr>
          <w:rFonts w:hint="eastAsia"/>
          <w:iCs/>
          <w:spacing w:val="-2"/>
        </w:rPr>
        <w:t>马京达瑙、马拉瑙、</w:t>
      </w:r>
      <w:r>
        <w:rPr>
          <w:color w:val="000000"/>
        </w:rPr>
        <w:t>陶撒格</w:t>
      </w:r>
      <w:r>
        <w:rPr>
          <w:rFonts w:hint="eastAsia"/>
          <w:color w:val="000000"/>
        </w:rPr>
        <w:t>、</w:t>
      </w:r>
      <w:r>
        <w:rPr>
          <w:rFonts w:hint="eastAsia"/>
          <w:iCs/>
          <w:spacing w:val="-2"/>
        </w:rPr>
        <w:t>萨马尔、苏巴容侬、比拉安和巴加波。加上从吕宋和比萨扬群岛迁移的居民，</w:t>
      </w:r>
      <w:r>
        <w:rPr>
          <w:rFonts w:hint="eastAsia"/>
          <w:iCs/>
          <w:spacing w:val="-2"/>
        </w:rPr>
        <w:t>1995</w:t>
      </w:r>
      <w:r>
        <w:rPr>
          <w:rFonts w:hint="eastAsia"/>
          <w:iCs/>
          <w:spacing w:val="-2"/>
        </w:rPr>
        <w:t>年，</w:t>
      </w:r>
      <w:r>
        <w:rPr>
          <w:iCs/>
          <w:spacing w:val="-2"/>
        </w:rPr>
        <w:t>棉兰老</w:t>
      </w:r>
      <w:r>
        <w:rPr>
          <w:rFonts w:hint="eastAsia"/>
          <w:iCs/>
          <w:spacing w:val="-2"/>
        </w:rPr>
        <w:t>居民为</w:t>
      </w:r>
      <w:r>
        <w:rPr>
          <w:rFonts w:hint="eastAsia"/>
          <w:iCs/>
          <w:spacing w:val="-2"/>
        </w:rPr>
        <w:t>1 620</w:t>
      </w:r>
      <w:r>
        <w:rPr>
          <w:rFonts w:hint="eastAsia"/>
          <w:iCs/>
          <w:spacing w:val="-2"/>
        </w:rPr>
        <w:t>万，占全国总人口的</w:t>
      </w:r>
      <w:r>
        <w:rPr>
          <w:rFonts w:hint="eastAsia"/>
          <w:iCs/>
          <w:spacing w:val="-2"/>
        </w:rPr>
        <w:t>23</w:t>
      </w:r>
      <w:r>
        <w:rPr>
          <w:iCs/>
          <w:spacing w:val="-2"/>
        </w:rPr>
        <w:t>.</w:t>
      </w:r>
      <w:r>
        <w:rPr>
          <w:rFonts w:hint="eastAsia"/>
          <w:iCs/>
          <w:spacing w:val="-2"/>
        </w:rPr>
        <w:t>6%</w:t>
      </w:r>
      <w:r>
        <w:rPr>
          <w:rFonts w:hint="eastAsia"/>
          <w:iCs/>
          <w:spacing w:val="-2"/>
        </w:rPr>
        <w:t>（国家统计局，</w:t>
      </w:r>
      <w:r>
        <w:rPr>
          <w:rFonts w:hint="eastAsia"/>
          <w:iCs/>
          <w:spacing w:val="-2"/>
        </w:rPr>
        <w:t>1995</w:t>
      </w:r>
      <w:r>
        <w:rPr>
          <w:rFonts w:hint="eastAsia"/>
          <w:iCs/>
          <w:spacing w:val="-2"/>
        </w:rPr>
        <w:t>年）。</w:t>
      </w:r>
      <w:r>
        <w:rPr>
          <w:rFonts w:hint="eastAsia"/>
          <w:iCs/>
          <w:spacing w:val="-2"/>
        </w:rPr>
        <w:t xml:space="preserve"> 2000</w:t>
      </w:r>
      <w:r>
        <w:rPr>
          <w:rFonts w:hint="eastAsia"/>
          <w:iCs/>
          <w:spacing w:val="-2"/>
        </w:rPr>
        <w:t>年，该地区的人口约为</w:t>
      </w:r>
      <w:r>
        <w:rPr>
          <w:rFonts w:hint="eastAsia"/>
          <w:iCs/>
          <w:spacing w:val="-2"/>
        </w:rPr>
        <w:t>1 810</w:t>
      </w:r>
      <w:r>
        <w:rPr>
          <w:rFonts w:hint="eastAsia"/>
          <w:iCs/>
          <w:spacing w:val="-2"/>
        </w:rPr>
        <w:t>万，占全国总人口的</w:t>
      </w:r>
      <w:r>
        <w:rPr>
          <w:rFonts w:hint="eastAsia"/>
          <w:iCs/>
          <w:spacing w:val="-2"/>
        </w:rPr>
        <w:t>23</w:t>
      </w:r>
      <w:r>
        <w:rPr>
          <w:iCs/>
          <w:spacing w:val="-2"/>
        </w:rPr>
        <w:t>.</w:t>
      </w:r>
      <w:r>
        <w:rPr>
          <w:rFonts w:hint="eastAsia"/>
          <w:iCs/>
          <w:spacing w:val="-2"/>
        </w:rPr>
        <w:t>7%</w:t>
      </w:r>
      <w:r>
        <w:rPr>
          <w:rFonts w:hint="eastAsia"/>
          <w:iCs/>
          <w:spacing w:val="-2"/>
        </w:rPr>
        <w:t>（国家统计局，</w:t>
      </w:r>
      <w:r>
        <w:rPr>
          <w:rFonts w:hint="eastAsia"/>
          <w:iCs/>
          <w:spacing w:val="-2"/>
        </w:rPr>
        <w:t>2000</w:t>
      </w:r>
      <w:r>
        <w:rPr>
          <w:rFonts w:hint="eastAsia"/>
          <w:iCs/>
          <w:spacing w:val="-2"/>
        </w:rPr>
        <w:t>年）。主要宗教信仰是罗马天主教，据</w:t>
      </w:r>
      <w:r>
        <w:rPr>
          <w:rFonts w:hint="eastAsia"/>
          <w:iCs/>
          <w:spacing w:val="-2"/>
        </w:rPr>
        <w:t>报道，该地区</w:t>
      </w:r>
      <w:r>
        <w:rPr>
          <w:rFonts w:hint="eastAsia"/>
          <w:iCs/>
          <w:spacing w:val="-2"/>
        </w:rPr>
        <w:t>80%</w:t>
      </w:r>
      <w:r>
        <w:rPr>
          <w:rFonts w:hint="eastAsia"/>
          <w:iCs/>
          <w:spacing w:val="-2"/>
        </w:rPr>
        <w:t>以上的人口信奉此教。新教徒和穆斯林教徒各占</w:t>
      </w:r>
      <w:r>
        <w:rPr>
          <w:rFonts w:hint="eastAsia"/>
          <w:iCs/>
          <w:spacing w:val="-2"/>
        </w:rPr>
        <w:t>5%</w:t>
      </w:r>
      <w:r>
        <w:rPr>
          <w:rFonts w:hint="eastAsia"/>
          <w:iCs/>
          <w:spacing w:val="-2"/>
        </w:rPr>
        <w:t>。但是，必须指出的是，正如基督教徒与穆斯林教徒不同，基督教徒内部以及穆斯林教徒内部也各不相同。</w:t>
      </w:r>
    </w:p>
    <w:p w:rsidR="00000000" w:rsidRDefault="00821B8F">
      <w:pPr>
        <w:pStyle w:val="BodyText"/>
        <w:spacing w:after="240" w:line="360" w:lineRule="exact"/>
        <w:jc w:val="center"/>
        <w:rPr>
          <w:rFonts w:ascii="SimHei" w:eastAsia="SimHei" w:hint="eastAsia"/>
          <w:iCs/>
          <w:color w:val="FF0000"/>
          <w:spacing w:val="-2"/>
          <w:sz w:val="21"/>
        </w:rPr>
      </w:pPr>
      <w:r>
        <w:rPr>
          <w:rFonts w:ascii="SimHei" w:eastAsia="SimHei" w:hint="eastAsia"/>
          <w:iCs/>
          <w:color w:val="FF0000"/>
          <w:spacing w:val="-2"/>
          <w:sz w:val="21"/>
        </w:rPr>
        <w:t>政</w:t>
      </w:r>
      <w:r>
        <w:rPr>
          <w:rFonts w:ascii="SimHei" w:eastAsia="SimHei" w:hint="eastAsia"/>
          <w:iCs/>
          <w:color w:val="FF0000"/>
          <w:spacing w:val="-2"/>
          <w:sz w:val="21"/>
        </w:rPr>
        <w:t xml:space="preserve">  </w:t>
      </w:r>
      <w:r>
        <w:rPr>
          <w:rFonts w:ascii="SimHei" w:eastAsia="SimHei" w:hint="eastAsia"/>
          <w:iCs/>
          <w:color w:val="FF0000"/>
          <w:spacing w:val="-2"/>
          <w:sz w:val="21"/>
        </w:rPr>
        <w:t>治</w:t>
      </w:r>
    </w:p>
    <w:p w:rsidR="00000000" w:rsidRDefault="00821B8F">
      <w:pPr>
        <w:numPr>
          <w:ilvl w:val="0"/>
          <w:numId w:val="1236"/>
        </w:numPr>
        <w:spacing w:after="240" w:line="360" w:lineRule="exact"/>
        <w:rPr>
          <w:rFonts w:hint="eastAsia"/>
          <w:spacing w:val="-2"/>
        </w:rPr>
      </w:pPr>
      <w:r>
        <w:rPr>
          <w:rFonts w:hint="eastAsia"/>
        </w:rPr>
        <w:t>1996-2003</w:t>
      </w:r>
      <w:r>
        <w:rPr>
          <w:rFonts w:hint="eastAsia"/>
        </w:rPr>
        <w:t>年期间，菲律宾经历了三届总统：菲德尔·</w:t>
      </w:r>
      <w:r>
        <w:rPr>
          <w:rFonts w:hint="eastAsia"/>
        </w:rPr>
        <w:t>V</w:t>
      </w:r>
      <w:r>
        <w:rPr>
          <w:rFonts w:hint="eastAsia"/>
          <w:spacing w:val="-2"/>
        </w:rPr>
        <w:t>．</w:t>
      </w:r>
      <w:r>
        <w:rPr>
          <w:rFonts w:hint="eastAsia"/>
        </w:rPr>
        <w:t>拉莫斯（</w:t>
      </w:r>
      <w:r>
        <w:rPr>
          <w:rFonts w:hint="eastAsia"/>
        </w:rPr>
        <w:t>1992-1998</w:t>
      </w:r>
      <w:r>
        <w:rPr>
          <w:rFonts w:hint="eastAsia"/>
        </w:rPr>
        <w:t>年）、约瑟夫·埃斯特拉达（</w:t>
      </w:r>
      <w:r>
        <w:rPr>
          <w:rFonts w:hint="eastAsia"/>
        </w:rPr>
        <w:t>1998-2000</w:t>
      </w:r>
      <w:r>
        <w:rPr>
          <w:rFonts w:hint="eastAsia"/>
        </w:rPr>
        <w:t>年）以及格洛丽亚·马卡帕加尔</w:t>
      </w:r>
      <w:r>
        <w:rPr>
          <w:rFonts w:hint="eastAsia"/>
        </w:rPr>
        <w:t>-</w:t>
      </w:r>
      <w:r>
        <w:rPr>
          <w:rFonts w:hint="eastAsia"/>
        </w:rPr>
        <w:t>阿罗约（</w:t>
      </w:r>
      <w:r>
        <w:rPr>
          <w:rFonts w:hint="eastAsia"/>
        </w:rPr>
        <w:t>2001-2004</w:t>
      </w:r>
      <w:r>
        <w:rPr>
          <w:rFonts w:hint="eastAsia"/>
        </w:rPr>
        <w:t>年）。为了满足占人口</w:t>
      </w:r>
      <w:r>
        <w:rPr>
          <w:rFonts w:hint="eastAsia"/>
        </w:rPr>
        <w:t>31%</w:t>
      </w:r>
      <w:r>
        <w:rPr>
          <w:rFonts w:hint="eastAsia"/>
        </w:rPr>
        <w:t>至</w:t>
      </w:r>
      <w:r>
        <w:rPr>
          <w:rFonts w:hint="eastAsia"/>
        </w:rPr>
        <w:t>34%</w:t>
      </w:r>
      <w:r>
        <w:rPr>
          <w:rFonts w:hint="eastAsia"/>
        </w:rPr>
        <w:t>的穷人的需要，这三位总统都推出了扶贫方案。</w:t>
      </w:r>
    </w:p>
    <w:p w:rsidR="00000000" w:rsidRDefault="00821B8F">
      <w:pPr>
        <w:numPr>
          <w:ilvl w:val="0"/>
          <w:numId w:val="1236"/>
        </w:numPr>
        <w:spacing w:after="240" w:line="360" w:lineRule="exact"/>
        <w:rPr>
          <w:rFonts w:hint="eastAsia"/>
        </w:rPr>
      </w:pPr>
      <w:r>
        <w:rPr>
          <w:rFonts w:hint="eastAsia"/>
        </w:rPr>
        <w:t>1998</w:t>
      </w:r>
      <w:r>
        <w:rPr>
          <w:rFonts w:hint="eastAsia"/>
        </w:rPr>
        <w:t>年举行了一次相对来说比较和平的选举，为政权的平稳交接铺平了道路。埃斯特</w:t>
      </w:r>
      <w:r>
        <w:rPr>
          <w:rFonts w:hint="eastAsia"/>
        </w:rPr>
        <w:t>拉达总统的任期本来应该到</w:t>
      </w:r>
      <w:r>
        <w:rPr>
          <w:rFonts w:hint="eastAsia"/>
        </w:rPr>
        <w:t>2004</w:t>
      </w:r>
      <w:r>
        <w:rPr>
          <w:rFonts w:hint="eastAsia"/>
        </w:rPr>
        <w:t>年，但是，在他就任以后不到三年，一桩丑闻动摇了他的政府，引发了菲律宾议会对他的弹劾。由于公众对事件的进展越来越表示怀疑，弹劾并没有进行到底。但是，民众抗议最终迫使埃斯特拉达总统辞去总统职务，抗议活动在一场为时五天的非暴力“民权二次革命”（常称为</w:t>
      </w:r>
      <w:r>
        <w:rPr>
          <w:rFonts w:hint="eastAsia"/>
        </w:rPr>
        <w:t>EDSA-II</w:t>
      </w:r>
      <w:r>
        <w:rPr>
          <w:rFonts w:hint="eastAsia"/>
        </w:rPr>
        <w:t>）</w:t>
      </w:r>
      <w:r>
        <w:rPr>
          <w:rStyle w:val="FootnoteReference"/>
          <w:spacing w:val="-2"/>
        </w:rPr>
        <w:footnoteReference w:id="2"/>
      </w:r>
      <w:r>
        <w:rPr>
          <w:rFonts w:hint="eastAsia"/>
        </w:rPr>
        <w:t>中达到了顶点。副总统阿罗约在</w:t>
      </w:r>
      <w:r>
        <w:rPr>
          <w:rFonts w:hint="eastAsia"/>
        </w:rPr>
        <w:t>2001</w:t>
      </w:r>
      <w:r>
        <w:rPr>
          <w:rFonts w:hint="eastAsia"/>
        </w:rPr>
        <w:t>年宣誓就任总统，使菲律宾第二次有了女总统。</w:t>
      </w:r>
    </w:p>
    <w:p w:rsidR="00000000" w:rsidRDefault="00821B8F">
      <w:pPr>
        <w:numPr>
          <w:ilvl w:val="0"/>
          <w:numId w:val="1236"/>
        </w:numPr>
        <w:spacing w:after="240" w:line="360" w:lineRule="exact"/>
        <w:rPr>
          <w:rFonts w:hint="eastAsia"/>
          <w:spacing w:val="-2"/>
        </w:rPr>
      </w:pPr>
      <w:r>
        <w:rPr>
          <w:rFonts w:hint="eastAsia"/>
        </w:rPr>
        <w:t>阿罗约总统解散了内阁。与其前任相比，她将更多的妇女任命到关键部门（预算、劳工和就业、社会福利及科学和技术部）和其他政府机构（公务员制度委员</w:t>
      </w:r>
      <w:r>
        <w:rPr>
          <w:rFonts w:hint="eastAsia"/>
        </w:rPr>
        <w:t>会、社会保障系统、总统贤政委员会以及国家扶贫委员会）任职。</w:t>
      </w:r>
    </w:p>
    <w:p w:rsidR="00000000" w:rsidRDefault="00821B8F">
      <w:pPr>
        <w:numPr>
          <w:ilvl w:val="0"/>
          <w:numId w:val="1236"/>
        </w:numPr>
        <w:spacing w:after="240" w:line="360" w:lineRule="exact"/>
        <w:rPr>
          <w:rFonts w:hint="eastAsia"/>
          <w:spacing w:val="-2"/>
        </w:rPr>
      </w:pPr>
      <w:r>
        <w:rPr>
          <w:rFonts w:hint="eastAsia"/>
          <w:spacing w:val="-2"/>
        </w:rPr>
        <w:t>本届政府的扶贫议程有五项重大战略：（</w:t>
      </w:r>
      <w:r>
        <w:rPr>
          <w:rFonts w:hint="eastAsia"/>
          <w:spacing w:val="-2"/>
        </w:rPr>
        <w:t>1</w:t>
      </w:r>
      <w:r>
        <w:rPr>
          <w:rFonts w:hint="eastAsia"/>
          <w:spacing w:val="-2"/>
        </w:rPr>
        <w:t>）资产改革；（</w:t>
      </w:r>
      <w:r>
        <w:rPr>
          <w:rFonts w:hint="eastAsia"/>
          <w:spacing w:val="-2"/>
        </w:rPr>
        <w:t>2</w:t>
      </w:r>
      <w:r>
        <w:rPr>
          <w:rFonts w:hint="eastAsia"/>
          <w:spacing w:val="-2"/>
        </w:rPr>
        <w:t>）提供人类发展服务；（</w:t>
      </w:r>
      <w:r>
        <w:rPr>
          <w:rFonts w:hint="eastAsia"/>
          <w:spacing w:val="-2"/>
        </w:rPr>
        <w:t>3</w:t>
      </w:r>
      <w:r>
        <w:rPr>
          <w:rFonts w:hint="eastAsia"/>
          <w:spacing w:val="-2"/>
        </w:rPr>
        <w:t>）创造就业和生计机会；（</w:t>
      </w:r>
      <w:r>
        <w:rPr>
          <w:rFonts w:hint="eastAsia"/>
          <w:spacing w:val="-2"/>
        </w:rPr>
        <w:t>4</w:t>
      </w:r>
      <w:r>
        <w:rPr>
          <w:rFonts w:hint="eastAsia"/>
          <w:spacing w:val="-2"/>
        </w:rPr>
        <w:t>）基础部门参与管理；以及（</w:t>
      </w:r>
      <w:r>
        <w:rPr>
          <w:rFonts w:hint="eastAsia"/>
          <w:spacing w:val="-2"/>
        </w:rPr>
        <w:t>5</w:t>
      </w:r>
      <w:r>
        <w:rPr>
          <w:rFonts w:hint="eastAsia"/>
          <w:spacing w:val="-2"/>
        </w:rPr>
        <w:t>）防治暴力的社会保护和安全。</w:t>
      </w:r>
    </w:p>
    <w:p w:rsidR="00000000" w:rsidRDefault="00821B8F">
      <w:pPr>
        <w:pStyle w:val="BodyText"/>
        <w:spacing w:after="240" w:line="360" w:lineRule="exact"/>
        <w:rPr>
          <w:rFonts w:hint="eastAsia"/>
          <w:iCs/>
          <w:spacing w:val="-2"/>
          <w:sz w:val="21"/>
          <w:u w:val="single"/>
        </w:rPr>
      </w:pPr>
      <w:r>
        <w:rPr>
          <w:rFonts w:hint="eastAsia"/>
          <w:iCs/>
          <w:spacing w:val="-2"/>
          <w:sz w:val="21"/>
          <w:u w:val="single"/>
        </w:rPr>
        <w:t>和平与秩序状况</w:t>
      </w:r>
    </w:p>
    <w:p w:rsidR="00000000" w:rsidRDefault="00821B8F">
      <w:pPr>
        <w:numPr>
          <w:ilvl w:val="0"/>
          <w:numId w:val="1236"/>
        </w:numPr>
        <w:spacing w:after="240" w:line="360" w:lineRule="exact"/>
        <w:rPr>
          <w:rFonts w:hint="eastAsia"/>
          <w:spacing w:val="-2"/>
        </w:rPr>
      </w:pPr>
      <w:r>
        <w:rPr>
          <w:rFonts w:hint="eastAsia"/>
        </w:rPr>
        <w:t>菲律宾的武装冲突有着历史根源和结构根源，主要表现为政府部队与伊斯兰分裂分子团伙在南部零星作战、与共产党游击队在其他地区零星作战。</w:t>
      </w:r>
      <w:r>
        <w:rPr>
          <w:rStyle w:val="FootnoteReference"/>
        </w:rPr>
        <w:footnoteReference w:id="3"/>
      </w:r>
      <w:r>
        <w:rPr>
          <w:rFonts w:hint="eastAsia"/>
        </w:rPr>
        <w:t>自</w:t>
      </w:r>
      <w:r>
        <w:rPr>
          <w:rFonts w:hint="eastAsia"/>
        </w:rPr>
        <w:t>1980</w:t>
      </w:r>
      <w:r>
        <w:rPr>
          <w:rFonts w:hint="eastAsia"/>
        </w:rPr>
        <w:t>年代后期阿基诺执政以来，国家政府与各叛乱组织进行了一系列的和谈。</w:t>
      </w:r>
      <w:r>
        <w:rPr>
          <w:rFonts w:hint="eastAsia"/>
        </w:rPr>
        <w:t>1996</w:t>
      </w:r>
      <w:r>
        <w:rPr>
          <w:rFonts w:hint="eastAsia"/>
        </w:rPr>
        <w:t>年拉莫斯政府与</w:t>
      </w:r>
      <w:r>
        <w:t>摩洛</w:t>
      </w:r>
      <w:r>
        <w:rPr>
          <w:rFonts w:hint="eastAsia"/>
        </w:rPr>
        <w:t>全国解放阵线签订和平协议以后，国家政府成功地</w:t>
      </w:r>
      <w:r>
        <w:rPr>
          <w:rFonts w:hint="eastAsia"/>
        </w:rPr>
        <w:t>设立了棉兰老伊斯兰自治区，确定了其地区治理和预算结构。由于</w:t>
      </w:r>
      <w:r>
        <w:t>棉兰老</w:t>
      </w:r>
      <w:r>
        <w:rPr>
          <w:rFonts w:hint="eastAsia"/>
        </w:rPr>
        <w:t>的和平进程，菲律宾设立了和平和发展特区，为</w:t>
      </w:r>
      <w:r>
        <w:t>棉兰老</w:t>
      </w:r>
      <w:r>
        <w:rPr>
          <w:rFonts w:hint="eastAsia"/>
        </w:rPr>
        <w:t>岛吸引了发展援助和投资资源。建立治理能力、培养</w:t>
      </w:r>
      <w:r>
        <w:rPr>
          <w:rFonts w:hint="eastAsia"/>
          <w:spacing w:val="-2"/>
        </w:rPr>
        <w:t>和平文化、为自治区的男女提供可持续的生计，便成为该地区的支助计划中的优先事项。但是，和平并没有持续多久。</w:t>
      </w:r>
    </w:p>
    <w:p w:rsidR="00000000" w:rsidRDefault="00821B8F">
      <w:pPr>
        <w:numPr>
          <w:ilvl w:val="0"/>
          <w:numId w:val="1236"/>
        </w:numPr>
        <w:spacing w:after="240" w:line="360" w:lineRule="exact"/>
        <w:rPr>
          <w:rFonts w:hint="eastAsia"/>
          <w:color w:val="000000"/>
          <w:spacing w:val="-2"/>
        </w:rPr>
      </w:pPr>
      <w:r>
        <w:rPr>
          <w:rFonts w:hint="eastAsia"/>
          <w:color w:val="000000"/>
          <w:spacing w:val="-2"/>
        </w:rPr>
        <w:t>1996</w:t>
      </w:r>
      <w:r>
        <w:rPr>
          <w:rFonts w:hint="eastAsia"/>
          <w:color w:val="000000"/>
          <w:spacing w:val="-2"/>
        </w:rPr>
        <w:t>年的和平协议以及政府的打击犯罪运动带来了几年和平。犯罪率从</w:t>
      </w:r>
      <w:r>
        <w:rPr>
          <w:rFonts w:hint="eastAsia"/>
          <w:color w:val="000000"/>
          <w:spacing w:val="-2"/>
        </w:rPr>
        <w:t>1995</w:t>
      </w:r>
      <w:r>
        <w:rPr>
          <w:rFonts w:hint="eastAsia"/>
          <w:color w:val="000000"/>
          <w:spacing w:val="-2"/>
        </w:rPr>
        <w:t>年的</w:t>
      </w:r>
      <w:r>
        <w:rPr>
          <w:rFonts w:hint="eastAsia"/>
          <w:color w:val="000000"/>
          <w:spacing w:val="-2"/>
        </w:rPr>
        <w:t>112</w:t>
      </w:r>
      <w:r>
        <w:rPr>
          <w:color w:val="000000"/>
          <w:spacing w:val="-2"/>
        </w:rPr>
        <w:t>.</w:t>
      </w:r>
      <w:r>
        <w:rPr>
          <w:rFonts w:hint="eastAsia"/>
          <w:color w:val="000000"/>
          <w:spacing w:val="-2"/>
        </w:rPr>
        <w:t>8</w:t>
      </w:r>
      <w:r>
        <w:rPr>
          <w:rFonts w:hint="eastAsia"/>
          <w:color w:val="000000"/>
          <w:spacing w:val="-2"/>
        </w:rPr>
        <w:t>下降到</w:t>
      </w:r>
      <w:r>
        <w:rPr>
          <w:rFonts w:hint="eastAsia"/>
          <w:color w:val="000000"/>
          <w:spacing w:val="-2"/>
        </w:rPr>
        <w:t>1998</w:t>
      </w:r>
      <w:r>
        <w:rPr>
          <w:rFonts w:hint="eastAsia"/>
          <w:color w:val="000000"/>
          <w:spacing w:val="-2"/>
        </w:rPr>
        <w:t>年的</w:t>
      </w:r>
      <w:r>
        <w:rPr>
          <w:rFonts w:hint="eastAsia"/>
          <w:color w:val="000000"/>
          <w:spacing w:val="-2"/>
        </w:rPr>
        <w:t>97</w:t>
      </w:r>
      <w:r>
        <w:rPr>
          <w:color w:val="000000"/>
          <w:spacing w:val="-2"/>
        </w:rPr>
        <w:t>.</w:t>
      </w:r>
      <w:r>
        <w:rPr>
          <w:rFonts w:hint="eastAsia"/>
          <w:color w:val="000000"/>
          <w:spacing w:val="-2"/>
        </w:rPr>
        <w:t>8</w:t>
      </w:r>
      <w:r>
        <w:rPr>
          <w:rFonts w:hint="eastAsia"/>
          <w:color w:val="000000"/>
          <w:spacing w:val="-2"/>
        </w:rPr>
        <w:t>（国家统计协调委员会，</w:t>
      </w:r>
      <w:r>
        <w:rPr>
          <w:rFonts w:hint="eastAsia"/>
          <w:color w:val="000000"/>
          <w:spacing w:val="-2"/>
        </w:rPr>
        <w:t>2003</w:t>
      </w:r>
      <w:r>
        <w:rPr>
          <w:rFonts w:hint="eastAsia"/>
          <w:color w:val="000000"/>
          <w:spacing w:val="-2"/>
        </w:rPr>
        <w:t>年</w:t>
      </w:r>
      <w:r>
        <w:rPr>
          <w:color w:val="000000"/>
          <w:spacing w:val="-2"/>
        </w:rPr>
        <w:t>a</w:t>
      </w:r>
      <w:r>
        <w:rPr>
          <w:rFonts w:hint="eastAsia"/>
          <w:color w:val="000000"/>
          <w:spacing w:val="-2"/>
        </w:rPr>
        <w:t>）。但是，分离主义团伙</w:t>
      </w:r>
      <w:r>
        <w:rPr>
          <w:color w:val="000000"/>
          <w:spacing w:val="-2"/>
        </w:rPr>
        <w:t>摩洛</w:t>
      </w:r>
      <w:r>
        <w:rPr>
          <w:rFonts w:hint="eastAsia"/>
          <w:color w:val="000000"/>
          <w:spacing w:val="-2"/>
        </w:rPr>
        <w:t>伊斯兰解放阵线和阿布沙耶夫继续开展武装斗争，后者还从事臭名昭著的绑票活动。</w:t>
      </w:r>
      <w:r>
        <w:rPr>
          <w:rFonts w:hint="eastAsia"/>
          <w:color w:val="000000"/>
          <w:spacing w:val="-2"/>
        </w:rPr>
        <w:t>这些情况使得政府与</w:t>
      </w:r>
      <w:r>
        <w:rPr>
          <w:color w:val="000000"/>
          <w:spacing w:val="-2"/>
        </w:rPr>
        <w:t>摩洛</w:t>
      </w:r>
      <w:r>
        <w:rPr>
          <w:rFonts w:hint="eastAsia"/>
          <w:color w:val="000000"/>
          <w:spacing w:val="-2"/>
        </w:rPr>
        <w:t>伊斯兰解放阵线在棉兰老中部各省、与阿布沙耶夫和其他非法团伙在棉兰老伊斯兰自治区以及</w:t>
      </w:r>
      <w:r>
        <w:rPr>
          <w:color w:val="000000"/>
          <w:spacing w:val="-2"/>
        </w:rPr>
        <w:t>棉兰老</w:t>
      </w:r>
      <w:r>
        <w:rPr>
          <w:rFonts w:hint="eastAsia"/>
          <w:color w:val="000000"/>
          <w:spacing w:val="-2"/>
        </w:rPr>
        <w:t>其他地区的冲突升级。阿罗约政府与伊斯兰解放阵线达成过一项和平协议，但是，在部署了</w:t>
      </w:r>
      <w:r>
        <w:rPr>
          <w:rFonts w:hint="eastAsia"/>
          <w:color w:val="000000"/>
          <w:spacing w:val="-2"/>
        </w:rPr>
        <w:t>12 500</w:t>
      </w:r>
      <w:r>
        <w:rPr>
          <w:rFonts w:hint="eastAsia"/>
          <w:color w:val="000000"/>
          <w:spacing w:val="-2"/>
        </w:rPr>
        <w:t>人</w:t>
      </w:r>
      <w:r>
        <w:rPr>
          <w:color w:val="000000"/>
          <w:spacing w:val="-2"/>
        </w:rPr>
        <w:t>摩洛</w:t>
      </w:r>
      <w:r>
        <w:rPr>
          <w:rFonts w:hint="eastAsia"/>
          <w:color w:val="000000"/>
          <w:spacing w:val="-2"/>
        </w:rPr>
        <w:t>伊斯兰解放阵线精锐部队的</w:t>
      </w:r>
      <w:r>
        <w:rPr>
          <w:color w:val="000000"/>
          <w:spacing w:val="-2"/>
        </w:rPr>
        <w:t>棉兰老</w:t>
      </w:r>
      <w:r>
        <w:rPr>
          <w:rFonts w:hint="eastAsia"/>
          <w:color w:val="000000"/>
          <w:spacing w:val="-2"/>
        </w:rPr>
        <w:t>中部地区，零星冲突毫不减弱。</w:t>
      </w:r>
      <w:r>
        <w:rPr>
          <w:rFonts w:hint="eastAsia"/>
          <w:color w:val="000000"/>
          <w:spacing w:val="-2"/>
        </w:rPr>
        <w:t>2003</w:t>
      </w:r>
      <w:r>
        <w:rPr>
          <w:rFonts w:hint="eastAsia"/>
          <w:color w:val="000000"/>
          <w:spacing w:val="-2"/>
        </w:rPr>
        <w:t>年</w:t>
      </w:r>
      <w:r>
        <w:rPr>
          <w:rFonts w:hint="eastAsia"/>
          <w:color w:val="000000"/>
          <w:spacing w:val="-2"/>
        </w:rPr>
        <w:t>2</w:t>
      </w:r>
      <w:r>
        <w:rPr>
          <w:rFonts w:hint="eastAsia"/>
          <w:color w:val="000000"/>
          <w:spacing w:val="-2"/>
        </w:rPr>
        <w:t>月，情况出现恶化，菲律宾军方指控</w:t>
      </w:r>
      <w:r>
        <w:rPr>
          <w:color w:val="000000"/>
          <w:spacing w:val="-2"/>
        </w:rPr>
        <w:t>摩洛</w:t>
      </w:r>
      <w:r>
        <w:rPr>
          <w:rFonts w:hint="eastAsia"/>
          <w:color w:val="000000"/>
          <w:spacing w:val="-2"/>
        </w:rPr>
        <w:t>伊斯兰解放阵线窝藏五角大楼案绑架团伙的成员，发起了新一轮攻势。</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武装冲突的影响</w:t>
      </w:r>
    </w:p>
    <w:p w:rsidR="00000000" w:rsidRDefault="00821B8F">
      <w:pPr>
        <w:numPr>
          <w:ilvl w:val="0"/>
          <w:numId w:val="1236"/>
        </w:numPr>
        <w:spacing w:after="240" w:line="360" w:lineRule="exact"/>
        <w:rPr>
          <w:rFonts w:hint="eastAsia"/>
          <w:spacing w:val="-2"/>
        </w:rPr>
      </w:pPr>
      <w:r>
        <w:rPr>
          <w:rFonts w:hint="eastAsia"/>
        </w:rPr>
        <w:t>与</w:t>
      </w:r>
      <w:r>
        <w:t>摩洛</w:t>
      </w:r>
      <w:r>
        <w:rPr>
          <w:rFonts w:hint="eastAsia"/>
        </w:rPr>
        <w:t>伊斯兰解放阵线及阿布沙耶夫之间的军事冲突，使平民，尤其是没有能力自卫的妇女儿童遭受苦难。</w:t>
      </w:r>
      <w:r>
        <w:t>棉兰老</w:t>
      </w:r>
      <w:r>
        <w:rPr>
          <w:rFonts w:hint="eastAsia"/>
        </w:rPr>
        <w:t>地区的冲突使流离失</w:t>
      </w:r>
      <w:r>
        <w:rPr>
          <w:rFonts w:hint="eastAsia"/>
        </w:rPr>
        <w:t>所平民从</w:t>
      </w:r>
      <w:r>
        <w:rPr>
          <w:rFonts w:hint="eastAsia"/>
        </w:rPr>
        <w:t>1998</w:t>
      </w:r>
      <w:r>
        <w:rPr>
          <w:rFonts w:hint="eastAsia"/>
        </w:rPr>
        <w:t>年的</w:t>
      </w:r>
      <w:r>
        <w:rPr>
          <w:rFonts w:hint="eastAsia"/>
        </w:rPr>
        <w:t>7 224</w:t>
      </w:r>
      <w:r>
        <w:rPr>
          <w:rFonts w:hint="eastAsia"/>
        </w:rPr>
        <w:t>人上升到</w:t>
      </w:r>
      <w:r>
        <w:rPr>
          <w:rFonts w:hint="eastAsia"/>
        </w:rPr>
        <w:t>1999</w:t>
      </w:r>
      <w:r>
        <w:rPr>
          <w:rFonts w:hint="eastAsia"/>
        </w:rPr>
        <w:t>年的</w:t>
      </w:r>
      <w:r>
        <w:rPr>
          <w:rFonts w:hint="eastAsia"/>
        </w:rPr>
        <w:t>304 908</w:t>
      </w:r>
      <w:r>
        <w:rPr>
          <w:rFonts w:hint="eastAsia"/>
        </w:rPr>
        <w:t>人（约合</w:t>
      </w:r>
      <w:r>
        <w:rPr>
          <w:rFonts w:hint="eastAsia"/>
        </w:rPr>
        <w:t>51 000</w:t>
      </w:r>
      <w:r>
        <w:rPr>
          <w:rFonts w:hint="eastAsia"/>
        </w:rPr>
        <w:t>个家庭）（</w:t>
      </w:r>
      <w:r>
        <w:t>费雷尔</w:t>
      </w:r>
      <w:r>
        <w:rPr>
          <w:rFonts w:hint="eastAsia"/>
        </w:rPr>
        <w:t>，</w:t>
      </w:r>
      <w:r>
        <w:rPr>
          <w:color w:val="000000"/>
          <w:spacing w:val="-2"/>
        </w:rPr>
        <w:t>2003</w:t>
      </w:r>
      <w:r>
        <w:rPr>
          <w:rFonts w:hint="eastAsia"/>
        </w:rPr>
        <w:t>年）。</w:t>
      </w:r>
      <w:r>
        <w:rPr>
          <w:rFonts w:hint="eastAsia"/>
          <w:color w:val="000000"/>
          <w:spacing w:val="-2"/>
        </w:rPr>
        <w:t>2000</w:t>
      </w:r>
      <w:r>
        <w:rPr>
          <w:rFonts w:hint="eastAsia"/>
        </w:rPr>
        <w:t>年，世界银行发现，一共有</w:t>
      </w:r>
      <w:r>
        <w:rPr>
          <w:rFonts w:hint="eastAsia"/>
        </w:rPr>
        <w:t>456</w:t>
      </w:r>
      <w:r>
        <w:rPr>
          <w:rFonts w:hint="eastAsia"/>
        </w:rPr>
        <w:t>个镇（几乎占</w:t>
      </w:r>
      <w:r>
        <w:t>棉兰老</w:t>
      </w:r>
      <w:r>
        <w:rPr>
          <w:rFonts w:hint="eastAsia"/>
        </w:rPr>
        <w:t>地区镇总数的</w:t>
      </w:r>
      <w:r>
        <w:rPr>
          <w:rFonts w:hint="eastAsia"/>
        </w:rPr>
        <w:t>5%</w:t>
      </w:r>
      <w:r>
        <w:rPr>
          <w:rFonts w:hint="eastAsia"/>
        </w:rPr>
        <w:t>）和</w:t>
      </w:r>
      <w:r>
        <w:rPr>
          <w:rFonts w:hint="eastAsia"/>
        </w:rPr>
        <w:t>100</w:t>
      </w:r>
      <w:r>
        <w:rPr>
          <w:rFonts w:hint="eastAsia"/>
        </w:rPr>
        <w:t>多万人受到了敌对行动的影响，其中有</w:t>
      </w:r>
      <w:r>
        <w:rPr>
          <w:rFonts w:hint="eastAsia"/>
        </w:rPr>
        <w:t>50</w:t>
      </w:r>
      <w:r>
        <w:rPr>
          <w:rFonts w:hint="eastAsia"/>
        </w:rPr>
        <w:t>万人（其中有许多妇女儿童）流离失所。此后，流离失所者在</w:t>
      </w:r>
      <w:r>
        <w:rPr>
          <w:rFonts w:hint="eastAsia"/>
        </w:rPr>
        <w:t>2001</w:t>
      </w:r>
      <w:r>
        <w:rPr>
          <w:rFonts w:hint="eastAsia"/>
        </w:rPr>
        <w:t>年至少减到</w:t>
      </w:r>
      <w:r>
        <w:rPr>
          <w:rFonts w:hint="eastAsia"/>
          <w:color w:val="000000"/>
          <w:spacing w:val="-2"/>
        </w:rPr>
        <w:t>135</w:t>
      </w:r>
      <w:r>
        <w:rPr>
          <w:rFonts w:hint="eastAsia"/>
        </w:rPr>
        <w:t xml:space="preserve"> 000</w:t>
      </w:r>
      <w:r>
        <w:rPr>
          <w:rFonts w:hint="eastAsia"/>
        </w:rPr>
        <w:t>人，到</w:t>
      </w:r>
      <w:r>
        <w:rPr>
          <w:rFonts w:hint="eastAsia"/>
        </w:rPr>
        <w:t>2002</w:t>
      </w:r>
      <w:r>
        <w:rPr>
          <w:rFonts w:hint="eastAsia"/>
        </w:rPr>
        <w:t>年又减到</w:t>
      </w:r>
      <w:r>
        <w:rPr>
          <w:rFonts w:hint="eastAsia"/>
        </w:rPr>
        <w:t>100 000</w:t>
      </w:r>
      <w:r>
        <w:rPr>
          <w:rFonts w:hint="eastAsia"/>
        </w:rPr>
        <w:t>人。不过，还是有许多人因为和平仍然渺茫不愿意返回其原来的社区。</w:t>
      </w:r>
    </w:p>
    <w:p w:rsidR="00000000" w:rsidRDefault="00821B8F">
      <w:pPr>
        <w:numPr>
          <w:ilvl w:val="0"/>
          <w:numId w:val="1236"/>
        </w:numPr>
        <w:spacing w:after="240" w:line="360" w:lineRule="exact"/>
        <w:rPr>
          <w:rFonts w:hint="eastAsia"/>
          <w:spacing w:val="-2"/>
        </w:rPr>
      </w:pPr>
      <w:r>
        <w:rPr>
          <w:rFonts w:hint="eastAsia"/>
          <w:spacing w:val="-2"/>
        </w:rPr>
        <w:t>许多地区由于和平与秩序状态不稳定，人口疏散旷日持久。期间有不少家庭返回原来的居住地，一旦政</w:t>
      </w:r>
      <w:r>
        <w:rPr>
          <w:rFonts w:hint="eastAsia"/>
          <w:spacing w:val="-2"/>
        </w:rPr>
        <w:t>府军队与</w:t>
      </w:r>
      <w:r>
        <w:rPr>
          <w:spacing w:val="-2"/>
        </w:rPr>
        <w:t>摩洛</w:t>
      </w:r>
      <w:r>
        <w:rPr>
          <w:rFonts w:hint="eastAsia"/>
          <w:spacing w:val="-2"/>
        </w:rPr>
        <w:t>伊斯兰解放阵线发生新的冲突，他们便再次疏散。房屋被毁、失去生计，也迫使那些疏散人员滞留在疏散中心，而疏散中心存在许多问题，包括食品供应不足、住所简陋、健康和卫生条件差、儿童和成年人都缺少有组织的活动。</w:t>
      </w:r>
      <w:r>
        <w:rPr>
          <w:rStyle w:val="FootnoteReference"/>
          <w:spacing w:val="-2"/>
        </w:rPr>
        <w:footnoteReference w:id="4"/>
      </w:r>
    </w:p>
    <w:p w:rsidR="00000000" w:rsidRDefault="00821B8F">
      <w:pPr>
        <w:numPr>
          <w:ilvl w:val="0"/>
          <w:numId w:val="1236"/>
        </w:numPr>
        <w:spacing w:after="240" w:line="360" w:lineRule="exact"/>
        <w:rPr>
          <w:rFonts w:hint="eastAsia"/>
        </w:rPr>
      </w:pPr>
      <w:r>
        <w:rPr>
          <w:rFonts w:hint="eastAsia"/>
        </w:rPr>
        <w:t>受反恐战争影响的妇女由于一心只想着从战争给她们带来的苦难中挺过来，加上各个论坛和会议上没有人代表她们说话，因此，无法让人了解她们关注的问题。不仅如此，军事冲突的性别层面几乎从来没有在和谈或和平与发展工作中提出过。</w:t>
      </w:r>
    </w:p>
    <w:p w:rsidR="00000000" w:rsidRDefault="00821B8F">
      <w:pPr>
        <w:numPr>
          <w:ilvl w:val="0"/>
          <w:numId w:val="1236"/>
        </w:numPr>
        <w:spacing w:after="240" w:line="360" w:lineRule="exact"/>
        <w:rPr>
          <w:rFonts w:hint="eastAsia"/>
          <w:iCs/>
          <w:spacing w:val="-2"/>
        </w:rPr>
      </w:pPr>
      <w:r>
        <w:rPr>
          <w:rFonts w:hint="eastAsia"/>
          <w:iCs/>
          <w:spacing w:val="-2"/>
        </w:rPr>
        <w:t>在政府与代表菲律宾新人民军的共产党和谈十年以后，持不同政见的共产党武装团伙又开始在</w:t>
      </w:r>
      <w:r>
        <w:rPr>
          <w:rFonts w:hint="eastAsia"/>
          <w:iCs/>
          <w:spacing w:val="-2"/>
        </w:rPr>
        <w:t>许多地区活跃起来。共产党武装团伙的力量逐渐壮大，人数从</w:t>
      </w:r>
      <w:r>
        <w:rPr>
          <w:rFonts w:hint="eastAsia"/>
          <w:iCs/>
          <w:spacing w:val="-2"/>
        </w:rPr>
        <w:t>1994</w:t>
      </w:r>
      <w:r>
        <w:rPr>
          <w:rFonts w:hint="eastAsia"/>
          <w:iCs/>
          <w:spacing w:val="-2"/>
        </w:rPr>
        <w:t>年的</w:t>
      </w:r>
      <w:r>
        <w:rPr>
          <w:rFonts w:hint="eastAsia"/>
          <w:iCs/>
          <w:spacing w:val="-2"/>
        </w:rPr>
        <w:t>7 670</w:t>
      </w:r>
      <w:r>
        <w:rPr>
          <w:rFonts w:hint="eastAsia"/>
          <w:iCs/>
          <w:spacing w:val="-2"/>
        </w:rPr>
        <w:t>人上升到</w:t>
      </w:r>
      <w:r>
        <w:rPr>
          <w:rFonts w:hint="eastAsia"/>
          <w:iCs/>
          <w:spacing w:val="-2"/>
        </w:rPr>
        <w:t>2001</w:t>
      </w:r>
      <w:r>
        <w:rPr>
          <w:rFonts w:hint="eastAsia"/>
          <w:iCs/>
          <w:spacing w:val="-2"/>
        </w:rPr>
        <w:t>年的</w:t>
      </w:r>
      <w:r>
        <w:rPr>
          <w:rFonts w:hint="eastAsia"/>
          <w:iCs/>
          <w:spacing w:val="-2"/>
        </w:rPr>
        <w:t>10 238</w:t>
      </w:r>
      <w:r>
        <w:rPr>
          <w:rFonts w:hint="eastAsia"/>
          <w:iCs/>
          <w:spacing w:val="-2"/>
        </w:rPr>
        <w:t>人（</w:t>
      </w:r>
      <w:r>
        <w:rPr>
          <w:rFonts w:hint="eastAsia"/>
          <w:iCs/>
          <w:spacing w:val="-2"/>
        </w:rPr>
        <w:t>1986</w:t>
      </w:r>
      <w:r>
        <w:rPr>
          <w:rFonts w:hint="eastAsia"/>
          <w:iCs/>
          <w:spacing w:val="-2"/>
        </w:rPr>
        <w:t>年达到高峰</w:t>
      </w:r>
      <w:r>
        <w:rPr>
          <w:rFonts w:hint="eastAsia"/>
          <w:iCs/>
          <w:spacing w:val="-2"/>
        </w:rPr>
        <w:t>25 000</w:t>
      </w:r>
      <w:r>
        <w:rPr>
          <w:rFonts w:hint="eastAsia"/>
          <w:iCs/>
          <w:spacing w:val="-2"/>
        </w:rPr>
        <w:t>人后又减少）。叛乱团伙与军方的冲突造成了平民的伤亡：</w:t>
      </w:r>
      <w:r>
        <w:rPr>
          <w:rFonts w:hint="eastAsia"/>
          <w:iCs/>
          <w:spacing w:val="-2"/>
        </w:rPr>
        <w:t>1994</w:t>
      </w:r>
      <w:r>
        <w:rPr>
          <w:rFonts w:hint="eastAsia"/>
          <w:iCs/>
          <w:spacing w:val="-2"/>
        </w:rPr>
        <w:t>年约</w:t>
      </w:r>
      <w:r>
        <w:rPr>
          <w:rFonts w:hint="eastAsia"/>
          <w:iCs/>
          <w:spacing w:val="-2"/>
        </w:rPr>
        <w:t>63</w:t>
      </w:r>
      <w:r>
        <w:rPr>
          <w:rFonts w:hint="eastAsia"/>
          <w:iCs/>
          <w:spacing w:val="-2"/>
        </w:rPr>
        <w:t>人、</w:t>
      </w:r>
      <w:r>
        <w:rPr>
          <w:rFonts w:hint="eastAsia"/>
          <w:iCs/>
          <w:spacing w:val="-2"/>
        </w:rPr>
        <w:t>2001</w:t>
      </w:r>
      <w:r>
        <w:rPr>
          <w:rFonts w:hint="eastAsia"/>
          <w:iCs/>
          <w:spacing w:val="-2"/>
        </w:rPr>
        <w:t>年</w:t>
      </w:r>
      <w:r>
        <w:rPr>
          <w:rFonts w:hint="eastAsia"/>
          <w:iCs/>
          <w:spacing w:val="-2"/>
        </w:rPr>
        <w:t>191</w:t>
      </w:r>
      <w:r>
        <w:rPr>
          <w:rFonts w:hint="eastAsia"/>
          <w:iCs/>
          <w:spacing w:val="-2"/>
        </w:rPr>
        <w:t>人、</w:t>
      </w:r>
      <w:r>
        <w:rPr>
          <w:rFonts w:hint="eastAsia"/>
          <w:iCs/>
          <w:spacing w:val="-2"/>
        </w:rPr>
        <w:t>2002</w:t>
      </w:r>
      <w:r>
        <w:rPr>
          <w:rFonts w:hint="eastAsia"/>
          <w:iCs/>
          <w:spacing w:val="-2"/>
        </w:rPr>
        <w:t>年上半年</w:t>
      </w:r>
      <w:r>
        <w:rPr>
          <w:rFonts w:hint="eastAsia"/>
          <w:iCs/>
          <w:spacing w:val="-2"/>
        </w:rPr>
        <w:t>84</w:t>
      </w:r>
      <w:r>
        <w:rPr>
          <w:rFonts w:hint="eastAsia"/>
          <w:iCs/>
          <w:spacing w:val="-2"/>
        </w:rPr>
        <w:t>人（</w:t>
      </w:r>
      <w:r>
        <w:rPr>
          <w:iCs/>
          <w:spacing w:val="-2"/>
        </w:rPr>
        <w:t>费雷尔</w:t>
      </w:r>
      <w:r>
        <w:rPr>
          <w:rFonts w:hint="eastAsia"/>
          <w:iCs/>
          <w:spacing w:val="-2"/>
        </w:rPr>
        <w:t>，</w:t>
      </w:r>
      <w:r>
        <w:rPr>
          <w:iCs/>
          <w:spacing w:val="-2"/>
        </w:rPr>
        <w:t>2003</w:t>
      </w:r>
      <w:r>
        <w:rPr>
          <w:rFonts w:hint="eastAsia"/>
          <w:iCs/>
          <w:spacing w:val="-2"/>
        </w:rPr>
        <w:t>年）。</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犯罪率</w:t>
      </w:r>
    </w:p>
    <w:p w:rsidR="00000000" w:rsidRDefault="00821B8F">
      <w:pPr>
        <w:numPr>
          <w:ilvl w:val="0"/>
          <w:numId w:val="1236"/>
        </w:numPr>
        <w:spacing w:after="240" w:line="360" w:lineRule="exact"/>
        <w:rPr>
          <w:rFonts w:hint="eastAsia"/>
          <w:iCs/>
        </w:rPr>
      </w:pPr>
      <w:r>
        <w:rPr>
          <w:rFonts w:hint="eastAsia"/>
          <w:iCs/>
        </w:rPr>
        <w:t>1999</w:t>
      </w:r>
      <w:r>
        <w:rPr>
          <w:rFonts w:hint="eastAsia"/>
          <w:iCs/>
        </w:rPr>
        <w:t>年，和平与秩序状况总体上恶化，犯罪率（主要是“非指数犯罪</w:t>
      </w:r>
      <w:r>
        <w:rPr>
          <w:rStyle w:val="FootnoteReference"/>
          <w:iCs/>
        </w:rPr>
        <w:footnoteReference w:id="5"/>
      </w:r>
      <w:r>
        <w:rPr>
          <w:rFonts w:hint="eastAsia"/>
          <w:iCs/>
        </w:rPr>
        <w:t>”）上升到</w:t>
      </w:r>
      <w:r>
        <w:rPr>
          <w:rFonts w:hint="eastAsia"/>
          <w:iCs/>
        </w:rPr>
        <w:t>110</w:t>
      </w:r>
      <w:r>
        <w:rPr>
          <w:iCs/>
        </w:rPr>
        <w:t xml:space="preserve">.5, </w:t>
      </w:r>
      <w:r>
        <w:rPr>
          <w:rFonts w:hint="eastAsia"/>
          <w:iCs/>
        </w:rPr>
        <w:t>然后在</w:t>
      </w:r>
      <w:r>
        <w:rPr>
          <w:rFonts w:hint="eastAsia"/>
          <w:iCs/>
        </w:rPr>
        <w:t>2000</w:t>
      </w:r>
      <w:r>
        <w:rPr>
          <w:rFonts w:hint="eastAsia"/>
          <w:iCs/>
        </w:rPr>
        <w:t>年又下降到</w:t>
      </w:r>
      <w:r>
        <w:rPr>
          <w:rFonts w:hint="eastAsia"/>
          <w:iCs/>
        </w:rPr>
        <w:t>104</w:t>
      </w:r>
      <w:r>
        <w:rPr>
          <w:iCs/>
        </w:rPr>
        <w:t>.7</w:t>
      </w:r>
      <w:r>
        <w:rPr>
          <w:rFonts w:hint="eastAsia"/>
          <w:iCs/>
        </w:rPr>
        <w:t>、</w:t>
      </w:r>
      <w:r>
        <w:rPr>
          <w:iCs/>
        </w:rPr>
        <w:t>2001</w:t>
      </w:r>
      <w:r>
        <w:rPr>
          <w:rFonts w:hint="eastAsia"/>
          <w:iCs/>
        </w:rPr>
        <w:t>年下降到</w:t>
      </w:r>
      <w:r>
        <w:rPr>
          <w:rFonts w:hint="eastAsia"/>
          <w:iCs/>
        </w:rPr>
        <w:t>98</w:t>
      </w:r>
      <w:r>
        <w:rPr>
          <w:iCs/>
        </w:rPr>
        <w:t>.</w:t>
      </w:r>
      <w:r>
        <w:rPr>
          <w:rFonts w:hint="eastAsia"/>
          <w:iCs/>
        </w:rPr>
        <w:t>8</w:t>
      </w:r>
      <w:r>
        <w:rPr>
          <w:rFonts w:hint="eastAsia"/>
          <w:iCs/>
        </w:rPr>
        <w:t>（</w:t>
      </w:r>
      <w:r>
        <w:rPr>
          <w:iCs/>
        </w:rPr>
        <w:t>国家统计协调委员会</w:t>
      </w:r>
      <w:r>
        <w:rPr>
          <w:rFonts w:hint="eastAsia"/>
          <w:iCs/>
        </w:rPr>
        <w:t>，</w:t>
      </w:r>
      <w:r>
        <w:rPr>
          <w:iCs/>
        </w:rPr>
        <w:t>2003</w:t>
      </w:r>
      <w:r>
        <w:rPr>
          <w:rFonts w:hint="eastAsia"/>
          <w:iCs/>
        </w:rPr>
        <w:t>年</w:t>
      </w:r>
      <w:r>
        <w:rPr>
          <w:iCs/>
        </w:rPr>
        <w:t>a</w:t>
      </w:r>
      <w:r>
        <w:rPr>
          <w:rFonts w:hint="eastAsia"/>
          <w:iCs/>
        </w:rPr>
        <w:t>）。</w:t>
      </w:r>
      <w:r>
        <w:rPr>
          <w:rFonts w:hint="eastAsia"/>
          <w:iCs/>
        </w:rPr>
        <w:t>1999-2001</w:t>
      </w:r>
      <w:r>
        <w:rPr>
          <w:rFonts w:hint="eastAsia"/>
          <w:iCs/>
        </w:rPr>
        <w:t>年犯罪率上升，可</w:t>
      </w:r>
      <w:r>
        <w:rPr>
          <w:rFonts w:hint="eastAsia"/>
          <w:iCs/>
        </w:rPr>
        <w:t>以归因于与毒品有关案件数量猛增，</w:t>
      </w:r>
      <w:r>
        <w:rPr>
          <w:rFonts w:hint="eastAsia"/>
          <w:iCs/>
        </w:rPr>
        <w:t>1999</w:t>
      </w:r>
      <w:r>
        <w:rPr>
          <w:rFonts w:hint="eastAsia"/>
          <w:iCs/>
        </w:rPr>
        <w:t>年涉案被拘捕的人数为</w:t>
      </w:r>
      <w:r>
        <w:rPr>
          <w:rFonts w:hint="eastAsia"/>
          <w:iCs/>
        </w:rPr>
        <w:t>20 110</w:t>
      </w:r>
      <w:r>
        <w:rPr>
          <w:rFonts w:hint="eastAsia"/>
          <w:iCs/>
        </w:rPr>
        <w:t>人</w:t>
      </w:r>
      <w:r>
        <w:rPr>
          <w:rFonts w:hint="eastAsia"/>
          <w:iCs/>
        </w:rPr>
        <w:t xml:space="preserve"> </w:t>
      </w:r>
      <w:r>
        <w:rPr>
          <w:rFonts w:hint="eastAsia"/>
          <w:iCs/>
        </w:rPr>
        <w:t>、</w:t>
      </w:r>
      <w:r>
        <w:rPr>
          <w:rFonts w:hint="eastAsia"/>
          <w:iCs/>
        </w:rPr>
        <w:t>2001</w:t>
      </w:r>
      <w:r>
        <w:rPr>
          <w:rFonts w:hint="eastAsia"/>
          <w:iCs/>
        </w:rPr>
        <w:t>年为</w:t>
      </w:r>
      <w:r>
        <w:rPr>
          <w:rFonts w:hint="eastAsia"/>
          <w:iCs/>
        </w:rPr>
        <w:t>18 367</w:t>
      </w:r>
      <w:r>
        <w:rPr>
          <w:rFonts w:hint="eastAsia"/>
          <w:iCs/>
        </w:rPr>
        <w:t>人，相比之下，</w:t>
      </w:r>
      <w:r>
        <w:rPr>
          <w:rFonts w:hint="eastAsia"/>
          <w:iCs/>
        </w:rPr>
        <w:t>1998</w:t>
      </w:r>
      <w:r>
        <w:rPr>
          <w:rFonts w:hint="eastAsia"/>
          <w:iCs/>
        </w:rPr>
        <w:t>年拘捕了</w:t>
      </w:r>
      <w:r>
        <w:rPr>
          <w:rFonts w:hint="eastAsia"/>
          <w:iCs/>
        </w:rPr>
        <w:t>2 722</w:t>
      </w:r>
      <w:r>
        <w:rPr>
          <w:rFonts w:hint="eastAsia"/>
          <w:iCs/>
        </w:rPr>
        <w:t>人。在</w:t>
      </w:r>
      <w:r>
        <w:rPr>
          <w:iCs/>
        </w:rPr>
        <w:t>棉兰老</w:t>
      </w:r>
      <w:r>
        <w:rPr>
          <w:rFonts w:hint="eastAsia"/>
          <w:iCs/>
        </w:rPr>
        <w:t>以外的地区，绑票案件（属于“指数犯罪</w:t>
      </w:r>
      <w:r>
        <w:rPr>
          <w:rStyle w:val="FootnoteReference"/>
          <w:iCs/>
        </w:rPr>
        <w:footnoteReference w:id="6"/>
      </w:r>
      <w:r>
        <w:rPr>
          <w:rFonts w:hint="eastAsia"/>
          <w:iCs/>
        </w:rPr>
        <w:t>”）似乎一直在减少。</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军事冲突</w:t>
      </w:r>
    </w:p>
    <w:p w:rsidR="00000000" w:rsidRDefault="00821B8F">
      <w:pPr>
        <w:numPr>
          <w:ilvl w:val="0"/>
          <w:numId w:val="1236"/>
        </w:numPr>
        <w:spacing w:after="240" w:line="360" w:lineRule="exact"/>
        <w:rPr>
          <w:rFonts w:hint="eastAsia"/>
          <w:iCs/>
          <w:color w:val="000000"/>
        </w:rPr>
      </w:pPr>
      <w:r>
        <w:rPr>
          <w:rFonts w:hint="eastAsia"/>
          <w:iCs/>
          <w:color w:val="000000"/>
        </w:rPr>
        <w:t>1980</w:t>
      </w:r>
      <w:r>
        <w:rPr>
          <w:rFonts w:hint="eastAsia"/>
          <w:iCs/>
          <w:color w:val="000000"/>
        </w:rPr>
        <w:t>年代后期到</w:t>
      </w:r>
      <w:r>
        <w:rPr>
          <w:rFonts w:hint="eastAsia"/>
          <w:iCs/>
          <w:color w:val="000000"/>
        </w:rPr>
        <w:t>1990</w:t>
      </w:r>
      <w:r>
        <w:rPr>
          <w:rFonts w:hint="eastAsia"/>
          <w:iCs/>
          <w:color w:val="000000"/>
        </w:rPr>
        <w:t>年代初，发生过几起菲律宾军方中一部分人企图夺取政权的事件，直到</w:t>
      </w:r>
      <w:r>
        <w:rPr>
          <w:rFonts w:hint="eastAsia"/>
          <w:iCs/>
          <w:color w:val="000000"/>
        </w:rPr>
        <w:t>2003</w:t>
      </w:r>
      <w:r>
        <w:rPr>
          <w:rFonts w:hint="eastAsia"/>
          <w:iCs/>
          <w:color w:val="000000"/>
        </w:rPr>
        <w:t>年</w:t>
      </w:r>
      <w:r>
        <w:rPr>
          <w:rFonts w:hint="eastAsia"/>
          <w:iCs/>
          <w:color w:val="000000"/>
        </w:rPr>
        <w:t>7</w:t>
      </w:r>
      <w:r>
        <w:rPr>
          <w:rFonts w:hint="eastAsia"/>
          <w:iCs/>
          <w:color w:val="000000"/>
        </w:rPr>
        <w:t>月</w:t>
      </w:r>
      <w:r>
        <w:rPr>
          <w:rFonts w:hint="eastAsia"/>
          <w:iCs/>
          <w:color w:val="000000"/>
        </w:rPr>
        <w:t>26</w:t>
      </w:r>
      <w:r>
        <w:rPr>
          <w:rFonts w:hint="eastAsia"/>
          <w:iCs/>
          <w:color w:val="000000"/>
        </w:rPr>
        <w:t>日至</w:t>
      </w:r>
      <w:r>
        <w:rPr>
          <w:rFonts w:hint="eastAsia"/>
          <w:iCs/>
          <w:color w:val="000000"/>
        </w:rPr>
        <w:t>27</w:t>
      </w:r>
      <w:r>
        <w:rPr>
          <w:rFonts w:hint="eastAsia"/>
          <w:iCs/>
          <w:color w:val="000000"/>
        </w:rPr>
        <w:t>日一批低级军官和士兵叛变，事件才平息下来。但是，谣传和流产政变、军方与叛乱团伙在</w:t>
      </w:r>
      <w:r>
        <w:rPr>
          <w:iCs/>
          <w:color w:val="000000"/>
        </w:rPr>
        <w:t>棉兰老</w:t>
      </w:r>
      <w:r>
        <w:rPr>
          <w:rFonts w:hint="eastAsia"/>
          <w:iCs/>
          <w:color w:val="000000"/>
        </w:rPr>
        <w:t>地区持续不断的冲突、</w:t>
      </w:r>
      <w:r>
        <w:rPr>
          <w:iCs/>
          <w:color w:val="000000"/>
        </w:rPr>
        <w:t>棉兰老</w:t>
      </w:r>
      <w:r>
        <w:rPr>
          <w:rFonts w:hint="eastAsia"/>
          <w:iCs/>
          <w:color w:val="000000"/>
        </w:rPr>
        <w:t>发生的恐怖主义爆炸以及叛乱团伙的绑票案件，破坏了投资者和旅游者</w:t>
      </w:r>
      <w:r>
        <w:rPr>
          <w:rFonts w:hint="eastAsia"/>
          <w:iCs/>
          <w:color w:val="000000"/>
        </w:rPr>
        <w:t>对经济和政治稳定的信心，使得政府经济管理人员把经济从</w:t>
      </w:r>
      <w:r>
        <w:rPr>
          <w:rFonts w:hint="eastAsia"/>
          <w:iCs/>
          <w:color w:val="000000"/>
        </w:rPr>
        <w:t>1997</w:t>
      </w:r>
      <w:r>
        <w:rPr>
          <w:rFonts w:hint="eastAsia"/>
          <w:iCs/>
          <w:color w:val="000000"/>
        </w:rPr>
        <w:t>年年中经济危机对国家造成的冲击影响中解救出来的努力打了折扣。和平与秩序问题还使政府增加了军事活动开支，分流了本来就匮乏的资源，从而对向穷人提供重要服务产生了不利影响。</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经济与贫困</w:t>
      </w:r>
    </w:p>
    <w:p w:rsidR="00000000" w:rsidRDefault="00821B8F">
      <w:pPr>
        <w:numPr>
          <w:ilvl w:val="0"/>
          <w:numId w:val="1236"/>
        </w:numPr>
        <w:spacing w:after="240" w:line="360" w:lineRule="exact"/>
        <w:rPr>
          <w:rFonts w:hint="eastAsia"/>
        </w:rPr>
      </w:pPr>
      <w:r>
        <w:rPr>
          <w:rFonts w:hint="eastAsia"/>
        </w:rPr>
        <w:t>审查期内的三届总统都做出了经济自由化、宏观经济稳定、减轻或减缓贫穷，以及让人民参与管理的承诺。特别是拉莫斯总统把人民获得权利与全球竞争力摆在同等重要的位置上，并制订了相应的面向市场的经济自由化议程。</w:t>
      </w:r>
      <w:r>
        <w:rPr>
          <w:rFonts w:hint="eastAsia"/>
        </w:rPr>
        <w:t>1998</w:t>
      </w:r>
      <w:r>
        <w:rPr>
          <w:rFonts w:hint="eastAsia"/>
        </w:rPr>
        <w:t>年以后，埃斯特拉达和阿罗约两届政府推进农业和渔业部门的现代化、人的</w:t>
      </w:r>
      <w:r>
        <w:rPr>
          <w:rFonts w:hint="eastAsia"/>
        </w:rPr>
        <w:t>全面发展和扶贫及善政和法治。</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承诺推动多边组织的贸易</w:t>
      </w:r>
    </w:p>
    <w:p w:rsidR="00000000" w:rsidRDefault="00821B8F">
      <w:pPr>
        <w:numPr>
          <w:ilvl w:val="0"/>
          <w:numId w:val="1236"/>
        </w:numPr>
        <w:spacing w:after="240" w:line="360" w:lineRule="exact"/>
        <w:rPr>
          <w:rFonts w:hint="eastAsia"/>
          <w:iCs/>
        </w:rPr>
      </w:pPr>
      <w:r>
        <w:rPr>
          <w:rFonts w:hint="eastAsia"/>
          <w:iCs/>
        </w:rPr>
        <w:t>菲律宾是东南亚国家联盟（东盟）自由贸易区、亚洲</w:t>
      </w:r>
      <w:r>
        <w:rPr>
          <w:rFonts w:hint="eastAsia"/>
          <w:iCs/>
        </w:rPr>
        <w:t>-</w:t>
      </w:r>
      <w:r>
        <w:rPr>
          <w:rFonts w:hint="eastAsia"/>
          <w:iCs/>
        </w:rPr>
        <w:t>太平洋经济合作组织（亚太经合组织）以及世界贸易组织（世贸组织）等多边贸易组织的成员国，所有这些组织都致力于降低成员国之间的贸易和非贸易壁垒。由于菲律宾向世贸组织的承诺，在本审查期内经济放松管制和贸易自由化强于以往任何时候。在</w:t>
      </w:r>
      <w:r>
        <w:rPr>
          <w:rFonts w:hint="eastAsia"/>
          <w:iCs/>
        </w:rPr>
        <w:t>1990</w:t>
      </w:r>
      <w:r>
        <w:rPr>
          <w:rFonts w:hint="eastAsia"/>
          <w:iCs/>
        </w:rPr>
        <w:t>年代中期，这种政策曾经促进经济迅速增长、就业率提高、贫穷率下降。但是，金融市场放松管制，也造成了国家的国际收支经常账户不稳定，使得菲律宾的货币容易受到投机行为的攻击，于是发生了</w:t>
      </w:r>
      <w:r>
        <w:rPr>
          <w:rFonts w:hint="eastAsia"/>
          <w:iCs/>
        </w:rPr>
        <w:t>1</w:t>
      </w:r>
      <w:r>
        <w:rPr>
          <w:rFonts w:hint="eastAsia"/>
          <w:iCs/>
        </w:rPr>
        <w:t>997</w:t>
      </w:r>
      <w:r>
        <w:rPr>
          <w:rFonts w:hint="eastAsia"/>
          <w:iCs/>
        </w:rPr>
        <w:t>年</w:t>
      </w:r>
      <w:r>
        <w:rPr>
          <w:rFonts w:hint="eastAsia"/>
          <w:iCs/>
        </w:rPr>
        <w:t>7</w:t>
      </w:r>
      <w:r>
        <w:rPr>
          <w:rFonts w:hint="eastAsia"/>
          <w:iCs/>
        </w:rPr>
        <w:t>月那场危机。由于国家宏观经济基础薄弱，金融危机演变成一场经济危机（伊洛，</w:t>
      </w:r>
      <w:r>
        <w:rPr>
          <w:iCs/>
        </w:rPr>
        <w:t>19</w:t>
      </w:r>
      <w:r>
        <w:rPr>
          <w:rFonts w:hint="eastAsia"/>
          <w:iCs/>
        </w:rPr>
        <w:t>99</w:t>
      </w:r>
      <w:r>
        <w:rPr>
          <w:rFonts w:hint="eastAsia"/>
          <w:iCs/>
        </w:rPr>
        <w:t>年、林，</w:t>
      </w:r>
      <w:r>
        <w:rPr>
          <w:rFonts w:hint="eastAsia"/>
          <w:iCs/>
        </w:rPr>
        <w:t>2000</w:t>
      </w:r>
      <w:r>
        <w:rPr>
          <w:rFonts w:hint="eastAsia"/>
          <w:iCs/>
        </w:rPr>
        <w:t>年）。这场危机使比索对美元的比值急剧跌落，从</w:t>
      </w:r>
      <w:r>
        <w:rPr>
          <w:rFonts w:hint="eastAsia"/>
          <w:iCs/>
        </w:rPr>
        <w:t>1997</w:t>
      </w:r>
      <w:r>
        <w:rPr>
          <w:rFonts w:hint="eastAsia"/>
          <w:iCs/>
        </w:rPr>
        <w:t>年的一美元兑</w:t>
      </w:r>
      <w:r>
        <w:rPr>
          <w:rFonts w:hint="eastAsia"/>
          <w:iCs/>
        </w:rPr>
        <w:t>26</w:t>
      </w:r>
      <w:r>
        <w:rPr>
          <w:iCs/>
        </w:rPr>
        <w:t>.</w:t>
      </w:r>
      <w:r>
        <w:rPr>
          <w:rFonts w:hint="eastAsia"/>
          <w:iCs/>
        </w:rPr>
        <w:t>38</w:t>
      </w:r>
      <w:r>
        <w:rPr>
          <w:rFonts w:hint="eastAsia"/>
          <w:iCs/>
        </w:rPr>
        <w:t>比索跌到</w:t>
      </w:r>
      <w:r>
        <w:rPr>
          <w:rFonts w:hint="eastAsia"/>
          <w:iCs/>
        </w:rPr>
        <w:t>2001</w:t>
      </w:r>
      <w:r>
        <w:rPr>
          <w:rFonts w:hint="eastAsia"/>
          <w:iCs/>
        </w:rPr>
        <w:t>年的</w:t>
      </w:r>
      <w:r>
        <w:rPr>
          <w:iCs/>
        </w:rPr>
        <w:t>51.40</w:t>
      </w:r>
      <w:r>
        <w:rPr>
          <w:rFonts w:hint="eastAsia"/>
          <w:iCs/>
        </w:rPr>
        <w:t>比索和</w:t>
      </w:r>
      <w:r>
        <w:rPr>
          <w:rFonts w:hint="eastAsia"/>
          <w:iCs/>
        </w:rPr>
        <w:t>2002</w:t>
      </w:r>
      <w:r>
        <w:rPr>
          <w:rFonts w:hint="eastAsia"/>
          <w:iCs/>
        </w:rPr>
        <w:t>年的</w:t>
      </w:r>
      <w:r>
        <w:rPr>
          <w:iCs/>
        </w:rPr>
        <w:t xml:space="preserve">53.10 </w:t>
      </w:r>
      <w:r>
        <w:rPr>
          <w:rFonts w:hint="eastAsia"/>
          <w:iCs/>
        </w:rPr>
        <w:t>比索，到</w:t>
      </w:r>
      <w:r>
        <w:rPr>
          <w:rFonts w:hint="eastAsia"/>
          <w:iCs/>
        </w:rPr>
        <w:t>2003</w:t>
      </w:r>
      <w:r>
        <w:rPr>
          <w:rFonts w:hint="eastAsia"/>
          <w:iCs/>
        </w:rPr>
        <w:t>年年底跌到大约</w:t>
      </w:r>
      <w:r>
        <w:rPr>
          <w:iCs/>
        </w:rPr>
        <w:t>55.57</w:t>
      </w:r>
      <w:r>
        <w:rPr>
          <w:rFonts w:hint="eastAsia"/>
          <w:iCs/>
        </w:rPr>
        <w:t>比索（菲律宾中央银行，</w:t>
      </w:r>
      <w:r>
        <w:rPr>
          <w:rFonts w:hint="eastAsia"/>
          <w:iCs/>
        </w:rPr>
        <w:t>2004</w:t>
      </w:r>
      <w:r>
        <w:rPr>
          <w:rFonts w:hint="eastAsia"/>
          <w:iCs/>
        </w:rPr>
        <w:t>年）。</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国内生产总值</w:t>
      </w:r>
    </w:p>
    <w:p w:rsidR="00000000" w:rsidRDefault="00821B8F">
      <w:pPr>
        <w:numPr>
          <w:ilvl w:val="0"/>
          <w:numId w:val="1236"/>
        </w:numPr>
        <w:spacing w:after="240" w:line="360" w:lineRule="exact"/>
        <w:rPr>
          <w:rFonts w:hint="eastAsia"/>
          <w:iCs/>
        </w:rPr>
      </w:pPr>
      <w:r>
        <w:rPr>
          <w:rFonts w:hint="eastAsia"/>
          <w:iCs/>
        </w:rPr>
        <w:t>在审查期开始时，菲律宾的经济正处于高峰，国内生产总值（国内总产值）的增长率为</w:t>
      </w:r>
      <w:r>
        <w:rPr>
          <w:iCs/>
        </w:rPr>
        <w:t>5.8%</w:t>
      </w:r>
      <w:r>
        <w:rPr>
          <w:rFonts w:hint="eastAsia"/>
          <w:iCs/>
        </w:rPr>
        <w:t>，为十年来最高速度（国家统计局，</w:t>
      </w:r>
      <w:r>
        <w:rPr>
          <w:rFonts w:hint="eastAsia"/>
          <w:iCs/>
        </w:rPr>
        <w:t>2002</w:t>
      </w:r>
      <w:r>
        <w:rPr>
          <w:rFonts w:hint="eastAsia"/>
          <w:iCs/>
        </w:rPr>
        <w:t>年）。</w:t>
      </w:r>
      <w:r>
        <w:rPr>
          <w:rFonts w:hint="eastAsia"/>
          <w:iCs/>
        </w:rPr>
        <w:t>1998</w:t>
      </w:r>
      <w:r>
        <w:rPr>
          <w:rFonts w:hint="eastAsia"/>
          <w:iCs/>
        </w:rPr>
        <w:t>年，在金融危机高潮时期，国内总产值缩小了</w:t>
      </w:r>
      <w:r>
        <w:rPr>
          <w:iCs/>
        </w:rPr>
        <w:t>0</w:t>
      </w:r>
      <w:r>
        <w:rPr>
          <w:iCs/>
        </w:rPr>
        <w:t>.6%</w:t>
      </w:r>
      <w:r>
        <w:rPr>
          <w:rFonts w:hint="eastAsia"/>
          <w:iCs/>
        </w:rPr>
        <w:t>。随后，在</w:t>
      </w:r>
      <w:r>
        <w:rPr>
          <w:rFonts w:hint="eastAsia"/>
          <w:iCs/>
        </w:rPr>
        <w:t>1999-2001</w:t>
      </w:r>
      <w:r>
        <w:rPr>
          <w:rFonts w:hint="eastAsia"/>
          <w:iCs/>
        </w:rPr>
        <w:t>年间又以每年至少</w:t>
      </w:r>
      <w:r>
        <w:rPr>
          <w:iCs/>
        </w:rPr>
        <w:t>3.4%</w:t>
      </w:r>
      <w:r>
        <w:rPr>
          <w:rFonts w:hint="eastAsia"/>
          <w:iCs/>
        </w:rPr>
        <w:t>的速度增长。</w:t>
      </w:r>
      <w:r>
        <w:rPr>
          <w:rFonts w:hint="eastAsia"/>
          <w:iCs/>
        </w:rPr>
        <w:t>2002-2003</w:t>
      </w:r>
      <w:r>
        <w:rPr>
          <w:rFonts w:hint="eastAsia"/>
          <w:iCs/>
        </w:rPr>
        <w:t>年，国内总产值估计增长了</w:t>
      </w:r>
      <w:r>
        <w:rPr>
          <w:iCs/>
        </w:rPr>
        <w:t>4.5%</w:t>
      </w:r>
      <w:r>
        <w:rPr>
          <w:rFonts w:hint="eastAsia"/>
          <w:iCs/>
        </w:rPr>
        <w:t>（国家统计协调委员会，</w:t>
      </w:r>
      <w:r>
        <w:rPr>
          <w:rFonts w:hint="eastAsia"/>
          <w:iCs/>
        </w:rPr>
        <w:t>2003</w:t>
      </w:r>
      <w:r>
        <w:rPr>
          <w:rFonts w:hint="eastAsia"/>
          <w:iCs/>
        </w:rPr>
        <w:t>年</w:t>
      </w:r>
      <w:r>
        <w:rPr>
          <w:iCs/>
        </w:rPr>
        <w:t>b</w:t>
      </w:r>
      <w:r>
        <w:rPr>
          <w:rFonts w:hint="eastAsia"/>
          <w:iCs/>
        </w:rPr>
        <w:t>）。</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债务与赤字</w:t>
      </w:r>
    </w:p>
    <w:p w:rsidR="00000000" w:rsidRDefault="00821B8F">
      <w:pPr>
        <w:numPr>
          <w:ilvl w:val="0"/>
          <w:numId w:val="1236"/>
        </w:numPr>
        <w:spacing w:after="240" w:line="360" w:lineRule="exact"/>
        <w:rPr>
          <w:rFonts w:hint="eastAsia"/>
        </w:rPr>
      </w:pPr>
      <w:r>
        <w:rPr>
          <w:rFonts w:hint="eastAsia"/>
        </w:rPr>
        <w:t>菲律宾的外债一直在不断增加，</w:t>
      </w:r>
      <w:r>
        <w:rPr>
          <w:rFonts w:hint="eastAsia"/>
        </w:rPr>
        <w:t>1990</w:t>
      </w:r>
      <w:r>
        <w:rPr>
          <w:rFonts w:hint="eastAsia"/>
        </w:rPr>
        <w:t>年为</w:t>
      </w:r>
      <w:r>
        <w:rPr>
          <w:rFonts w:hint="eastAsia"/>
        </w:rPr>
        <w:t>306</w:t>
      </w:r>
      <w:r>
        <w:rPr>
          <w:rFonts w:hint="eastAsia"/>
        </w:rPr>
        <w:t>亿美元，到</w:t>
      </w:r>
      <w:r>
        <w:rPr>
          <w:rFonts w:hint="eastAsia"/>
        </w:rPr>
        <w:t>2002</w:t>
      </w:r>
      <w:r>
        <w:rPr>
          <w:rFonts w:hint="eastAsia"/>
        </w:rPr>
        <w:t>年年底增加到</w:t>
      </w:r>
      <w:r>
        <w:rPr>
          <w:rFonts w:hint="eastAsia"/>
        </w:rPr>
        <w:t>539</w:t>
      </w:r>
      <w:r>
        <w:rPr>
          <w:rFonts w:hint="eastAsia"/>
        </w:rPr>
        <w:t>亿美元。起码自</w:t>
      </w:r>
      <w:r>
        <w:rPr>
          <w:rFonts w:hint="eastAsia"/>
        </w:rPr>
        <w:t>1998</w:t>
      </w:r>
      <w:r>
        <w:rPr>
          <w:rFonts w:hint="eastAsia"/>
        </w:rPr>
        <w:t>年以来，菲律宾的外债一直至少占国民生产总值（国民总产值）的</w:t>
      </w:r>
      <w:r>
        <w:rPr>
          <w:rFonts w:hint="eastAsia"/>
        </w:rPr>
        <w:t>60%</w:t>
      </w:r>
      <w:r>
        <w:rPr>
          <w:rFonts w:hint="eastAsia"/>
        </w:rPr>
        <w:t>以上，为其出口总值的两倍多（亚洲开发银行，</w:t>
      </w:r>
      <w:r>
        <w:rPr>
          <w:rFonts w:hint="eastAsia"/>
        </w:rPr>
        <w:t>2003</w:t>
      </w:r>
      <w:r>
        <w:rPr>
          <w:rFonts w:hint="eastAsia"/>
        </w:rPr>
        <w:t>年）。由于国家预算中必须先拿出来支付利息的那部分越来越大，债务负担继续在抵消着经济增长和政府扶贫方案产生的效果。</w:t>
      </w:r>
    </w:p>
    <w:p w:rsidR="00000000" w:rsidRDefault="00821B8F">
      <w:pPr>
        <w:numPr>
          <w:ilvl w:val="0"/>
          <w:numId w:val="1236"/>
        </w:numPr>
        <w:spacing w:after="240" w:line="360" w:lineRule="exact"/>
        <w:rPr>
          <w:rFonts w:hint="eastAsia"/>
          <w:iCs/>
        </w:rPr>
      </w:pPr>
      <w:r>
        <w:rPr>
          <w:rFonts w:hint="eastAsia"/>
          <w:iCs/>
        </w:rPr>
        <w:t>自</w:t>
      </w:r>
      <w:r>
        <w:rPr>
          <w:rFonts w:hint="eastAsia"/>
          <w:iCs/>
        </w:rPr>
        <w:t>200</w:t>
      </w:r>
      <w:r>
        <w:rPr>
          <w:rFonts w:hint="eastAsia"/>
          <w:iCs/>
        </w:rPr>
        <w:t>0</w:t>
      </w:r>
      <w:r>
        <w:rPr>
          <w:rFonts w:hint="eastAsia"/>
          <w:iCs/>
        </w:rPr>
        <w:t>年以来，偿债基金数额开始增加，到</w:t>
      </w:r>
      <w:r>
        <w:rPr>
          <w:rFonts w:hint="eastAsia"/>
          <w:iCs/>
        </w:rPr>
        <w:t>2002</w:t>
      </w:r>
      <w:r>
        <w:rPr>
          <w:rFonts w:hint="eastAsia"/>
          <w:iCs/>
        </w:rPr>
        <w:t>年年底，相当于</w:t>
      </w:r>
      <w:r>
        <w:rPr>
          <w:rFonts w:hint="eastAsia"/>
          <w:iCs/>
        </w:rPr>
        <w:t>2000</w:t>
      </w:r>
      <w:r>
        <w:rPr>
          <w:rFonts w:hint="eastAsia"/>
          <w:iCs/>
        </w:rPr>
        <w:t>年预算的</w:t>
      </w:r>
      <w:r>
        <w:rPr>
          <w:rFonts w:hint="eastAsia"/>
          <w:iCs/>
        </w:rPr>
        <w:t>45%</w:t>
      </w:r>
      <w:r>
        <w:rPr>
          <w:rFonts w:hint="eastAsia"/>
          <w:iCs/>
        </w:rPr>
        <w:t>。相反，用于经济服务的预算缩减了</w:t>
      </w:r>
      <w:r>
        <w:rPr>
          <w:rFonts w:hint="eastAsia"/>
          <w:iCs/>
        </w:rPr>
        <w:t>6%</w:t>
      </w:r>
      <w:r>
        <w:rPr>
          <w:rFonts w:hint="eastAsia"/>
          <w:iCs/>
        </w:rPr>
        <w:t>，社会服务的预算增加了</w:t>
      </w:r>
      <w:r>
        <w:rPr>
          <w:rFonts w:hint="eastAsia"/>
          <w:iCs/>
        </w:rPr>
        <w:t>9%</w:t>
      </w:r>
      <w:r>
        <w:rPr>
          <w:rFonts w:hint="eastAsia"/>
          <w:iCs/>
        </w:rPr>
        <w:t>。只有国防预算与</w:t>
      </w:r>
      <w:r>
        <w:rPr>
          <w:rFonts w:hint="eastAsia"/>
          <w:iCs/>
        </w:rPr>
        <w:t>2000</w:t>
      </w:r>
      <w:r>
        <w:rPr>
          <w:rFonts w:hint="eastAsia"/>
          <w:iCs/>
        </w:rPr>
        <w:t>年数字相比有了两位数百分比的变化。有意思的是，有些年份偿债基金的数额超过了国家赤字数额。社会服务所占份额相对下降，有可能影响到妇女在没有得到承认的护理经济中完成的工作量，因为她们努力提供的这些服务本应该由政府提供（例如保健和日托服务）。</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贫穷率</w:t>
      </w:r>
    </w:p>
    <w:p w:rsidR="00000000" w:rsidRDefault="00821B8F">
      <w:pPr>
        <w:numPr>
          <w:ilvl w:val="0"/>
          <w:numId w:val="1236"/>
        </w:numPr>
        <w:spacing w:after="240" w:line="360" w:lineRule="exact"/>
        <w:rPr>
          <w:rFonts w:hint="eastAsia"/>
        </w:rPr>
      </w:pPr>
      <w:r>
        <w:rPr>
          <w:rFonts w:hint="eastAsia"/>
        </w:rPr>
        <w:t>经济绩效差和政治危机不断，损害了</w:t>
      </w:r>
      <w:r>
        <w:rPr>
          <w:rFonts w:hint="eastAsia"/>
        </w:rPr>
        <w:t>1996-1997</w:t>
      </w:r>
      <w:r>
        <w:rPr>
          <w:rFonts w:hint="eastAsia"/>
        </w:rPr>
        <w:t>年间初显端倪的经济进步，包括</w:t>
      </w:r>
      <w:r>
        <w:rPr>
          <w:rFonts w:hint="eastAsia"/>
        </w:rPr>
        <w:t>1994-1997</w:t>
      </w:r>
      <w:r>
        <w:rPr>
          <w:rFonts w:hint="eastAsia"/>
        </w:rPr>
        <w:t>年间菲</w:t>
      </w:r>
      <w:r>
        <w:rPr>
          <w:rFonts w:hint="eastAsia"/>
        </w:rPr>
        <w:t>律宾的收入贫穷家庭占全部家庭的比率从</w:t>
      </w:r>
      <w:r>
        <w:rPr>
          <w:rFonts w:hint="eastAsia"/>
        </w:rPr>
        <w:t>35.</w:t>
      </w:r>
      <w:r>
        <w:t>5%</w:t>
      </w:r>
      <w:r>
        <w:rPr>
          <w:rFonts w:hint="eastAsia"/>
        </w:rPr>
        <w:t>降至</w:t>
      </w:r>
      <w:r>
        <w:t>31.8%</w:t>
      </w:r>
      <w:r>
        <w:rPr>
          <w:rFonts w:hint="eastAsia"/>
        </w:rPr>
        <w:t>这一成绩（劳动和就业统计局，</w:t>
      </w:r>
      <w:r>
        <w:rPr>
          <w:rFonts w:hint="eastAsia"/>
        </w:rPr>
        <w:t>2002</w:t>
      </w:r>
      <w:r>
        <w:rPr>
          <w:rFonts w:hint="eastAsia"/>
        </w:rPr>
        <w:t>年）。</w:t>
      </w:r>
      <w:r>
        <w:rPr>
          <w:rStyle w:val="FootnoteReference"/>
        </w:rPr>
        <w:footnoteReference w:id="7"/>
      </w:r>
      <w:r>
        <w:rPr>
          <w:rFonts w:hint="eastAsia"/>
        </w:rPr>
        <w:t>2000</w:t>
      </w:r>
      <w:r>
        <w:rPr>
          <w:rFonts w:hint="eastAsia"/>
        </w:rPr>
        <w:t>年，贫穷家庭比率上升到</w:t>
      </w:r>
      <w:r>
        <w:rPr>
          <w:rFonts w:hint="eastAsia"/>
        </w:rPr>
        <w:t>34</w:t>
      </w:r>
      <w:r>
        <w:t>.2%</w:t>
      </w:r>
      <w:r>
        <w:rPr>
          <w:rFonts w:hint="eastAsia"/>
        </w:rPr>
        <w:t>（</w:t>
      </w:r>
      <w:r>
        <w:t>国家统计局</w:t>
      </w:r>
      <w:r>
        <w:rPr>
          <w:rFonts w:hint="eastAsia"/>
        </w:rPr>
        <w:t>，</w:t>
      </w:r>
      <w:r>
        <w:t>2003</w:t>
      </w:r>
      <w:r>
        <w:rPr>
          <w:rFonts w:hint="eastAsia"/>
        </w:rPr>
        <w:t>年</w:t>
      </w:r>
      <w:r>
        <w:t>a</w:t>
      </w:r>
      <w:r>
        <w:rPr>
          <w:rFonts w:hint="eastAsia"/>
        </w:rPr>
        <w:t>）。这个数字相当于</w:t>
      </w:r>
      <w:r>
        <w:rPr>
          <w:rFonts w:hint="eastAsia"/>
        </w:rPr>
        <w:t>2000</w:t>
      </w:r>
      <w:r>
        <w:rPr>
          <w:rFonts w:hint="eastAsia"/>
        </w:rPr>
        <w:t>年贫穷家庭比</w:t>
      </w:r>
      <w:r>
        <w:rPr>
          <w:rFonts w:hint="eastAsia"/>
        </w:rPr>
        <w:t>1997</w:t>
      </w:r>
      <w:r>
        <w:rPr>
          <w:rFonts w:hint="eastAsia"/>
        </w:rPr>
        <w:t>年增加了</w:t>
      </w:r>
      <w:r>
        <w:rPr>
          <w:rFonts w:hint="eastAsia"/>
        </w:rPr>
        <w:t>704 000</w:t>
      </w:r>
      <w:r>
        <w:rPr>
          <w:rFonts w:hint="eastAsia"/>
        </w:rPr>
        <w:t>个，或使</w:t>
      </w:r>
      <w:r>
        <w:rPr>
          <w:rFonts w:hint="eastAsia"/>
        </w:rPr>
        <w:t>2000</w:t>
      </w:r>
      <w:r>
        <w:rPr>
          <w:rFonts w:hint="eastAsia"/>
        </w:rPr>
        <w:t>年贫穷家庭总数达到</w:t>
      </w:r>
      <w:r>
        <w:rPr>
          <w:rFonts w:hint="eastAsia"/>
        </w:rPr>
        <w:t>520</w:t>
      </w:r>
      <w:r>
        <w:rPr>
          <w:rFonts w:hint="eastAsia"/>
        </w:rPr>
        <w:t>万个。政府的评论家认为，贫穷问题实际上比这些数字严重得多。报告自评的贫穷等级的民意调查提供的贫穷数字比官方数字高出</w:t>
      </w:r>
      <w:r>
        <w:rPr>
          <w:rFonts w:hint="eastAsia"/>
        </w:rPr>
        <w:t>16</w:t>
      </w:r>
      <w:r>
        <w:rPr>
          <w:rFonts w:hint="eastAsia"/>
        </w:rPr>
        <w:t>个百分点。菲律宾人的贫穷指数研究机构利用收入等多项指标，在</w:t>
      </w:r>
      <w:r>
        <w:rPr>
          <w:rFonts w:hint="eastAsia"/>
        </w:rPr>
        <w:t>1998-2001</w:t>
      </w:r>
      <w:r>
        <w:rPr>
          <w:rFonts w:hint="eastAsia"/>
        </w:rPr>
        <w:t>年间把菲律宾排在发展中国家的前三分之一（</w:t>
      </w:r>
      <w:r>
        <w:rPr>
          <w:rFonts w:hint="eastAsia"/>
        </w:rPr>
        <w:t>欠贫穷）（开发计划署</w:t>
      </w:r>
      <w:r>
        <w:rPr>
          <w:rFonts w:hint="eastAsia"/>
        </w:rPr>
        <w:t>/</w:t>
      </w:r>
      <w:r>
        <w:rPr>
          <w:rFonts w:hint="eastAsia"/>
        </w:rPr>
        <w:t>人类发展报告，各年的数据）。</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农村的贫穷情况</w:t>
      </w:r>
    </w:p>
    <w:p w:rsidR="00000000" w:rsidRDefault="00821B8F">
      <w:pPr>
        <w:numPr>
          <w:ilvl w:val="0"/>
          <w:numId w:val="1236"/>
        </w:numPr>
        <w:spacing w:after="240" w:line="360" w:lineRule="exact"/>
        <w:rPr>
          <w:rFonts w:hint="eastAsia"/>
          <w:iCs/>
        </w:rPr>
      </w:pPr>
      <w:r>
        <w:rPr>
          <w:rFonts w:hint="eastAsia"/>
          <w:iCs/>
        </w:rPr>
        <w:t>农村地区的情况仍然比城市地区严峻。随着</w:t>
      </w:r>
      <w:r>
        <w:rPr>
          <w:rFonts w:hint="eastAsia"/>
          <w:iCs/>
        </w:rPr>
        <w:t>2000</w:t>
      </w:r>
      <w:r>
        <w:rPr>
          <w:rFonts w:hint="eastAsia"/>
          <w:iCs/>
        </w:rPr>
        <w:t>年农村的贫穷率上升到</w:t>
      </w:r>
      <w:r>
        <w:rPr>
          <w:rFonts w:hint="eastAsia"/>
          <w:iCs/>
        </w:rPr>
        <w:t>47</w:t>
      </w:r>
      <w:r>
        <w:rPr>
          <w:iCs/>
        </w:rPr>
        <w:t>.</w:t>
      </w:r>
      <w:r>
        <w:rPr>
          <w:rFonts w:hint="eastAsia"/>
          <w:iCs/>
        </w:rPr>
        <w:t>4%</w:t>
      </w:r>
      <w:r>
        <w:rPr>
          <w:rFonts w:hint="eastAsia"/>
          <w:iCs/>
        </w:rPr>
        <w:t>，</w:t>
      </w:r>
      <w:r>
        <w:rPr>
          <w:rFonts w:hint="eastAsia"/>
          <w:iCs/>
        </w:rPr>
        <w:t>1994-1997</w:t>
      </w:r>
      <w:r>
        <w:rPr>
          <w:rFonts w:hint="eastAsia"/>
          <w:iCs/>
        </w:rPr>
        <w:t>年贫穷率下降趋势（从</w:t>
      </w:r>
      <w:r>
        <w:rPr>
          <w:rFonts w:hint="eastAsia"/>
          <w:iCs/>
        </w:rPr>
        <w:t>47</w:t>
      </w:r>
      <w:r>
        <w:rPr>
          <w:iCs/>
        </w:rPr>
        <w:t>.</w:t>
      </w:r>
      <w:r>
        <w:rPr>
          <w:rFonts w:hint="eastAsia"/>
          <w:iCs/>
        </w:rPr>
        <w:t>0%</w:t>
      </w:r>
      <w:r>
        <w:rPr>
          <w:rFonts w:hint="eastAsia"/>
          <w:iCs/>
        </w:rPr>
        <w:t>降到</w:t>
      </w:r>
      <w:r>
        <w:rPr>
          <w:iCs/>
        </w:rPr>
        <w:t>44.4%</w:t>
      </w:r>
      <w:r>
        <w:rPr>
          <w:rFonts w:hint="eastAsia"/>
          <w:iCs/>
        </w:rPr>
        <w:t>）彻底结束（国家统计局，</w:t>
      </w:r>
      <w:r>
        <w:rPr>
          <w:rFonts w:hint="eastAsia"/>
          <w:iCs/>
        </w:rPr>
        <w:t>2003</w:t>
      </w:r>
      <w:r>
        <w:rPr>
          <w:rFonts w:hint="eastAsia"/>
          <w:iCs/>
        </w:rPr>
        <w:t>年</w:t>
      </w:r>
      <w:r>
        <w:rPr>
          <w:iCs/>
        </w:rPr>
        <w:t>a</w:t>
      </w:r>
      <w:r>
        <w:rPr>
          <w:rFonts w:hint="eastAsia"/>
          <w:iCs/>
        </w:rPr>
        <w:t>）。</w:t>
      </w:r>
      <w:r>
        <w:rPr>
          <w:iCs/>
        </w:rPr>
        <w:t>棉兰老伊斯兰自治区</w:t>
      </w:r>
      <w:r>
        <w:rPr>
          <w:rFonts w:hint="eastAsia"/>
          <w:iCs/>
        </w:rPr>
        <w:t>的贫穷率最高：</w:t>
      </w:r>
      <w:r>
        <w:rPr>
          <w:rFonts w:hint="eastAsia"/>
          <w:iCs/>
        </w:rPr>
        <w:t>1997</w:t>
      </w:r>
      <w:r>
        <w:rPr>
          <w:rFonts w:hint="eastAsia"/>
          <w:iCs/>
        </w:rPr>
        <w:t>年</w:t>
      </w:r>
      <w:r>
        <w:rPr>
          <w:rFonts w:hint="eastAsia"/>
          <w:iCs/>
        </w:rPr>
        <w:t>57</w:t>
      </w:r>
      <w:r>
        <w:rPr>
          <w:iCs/>
        </w:rPr>
        <w:t>.</w:t>
      </w:r>
      <w:r>
        <w:rPr>
          <w:rFonts w:hint="eastAsia"/>
          <w:iCs/>
        </w:rPr>
        <w:t>3%</w:t>
      </w:r>
      <w:r>
        <w:rPr>
          <w:rFonts w:hint="eastAsia"/>
          <w:iCs/>
        </w:rPr>
        <w:t>、</w:t>
      </w:r>
      <w:r>
        <w:rPr>
          <w:rFonts w:hint="eastAsia"/>
          <w:iCs/>
        </w:rPr>
        <w:t>2000</w:t>
      </w:r>
      <w:r>
        <w:rPr>
          <w:rFonts w:hint="eastAsia"/>
          <w:iCs/>
        </w:rPr>
        <w:t>年</w:t>
      </w:r>
      <w:r>
        <w:rPr>
          <w:rFonts w:hint="eastAsia"/>
          <w:iCs/>
        </w:rPr>
        <w:t>68</w:t>
      </w:r>
      <w:r>
        <w:rPr>
          <w:iCs/>
        </w:rPr>
        <w:t>.</w:t>
      </w:r>
      <w:r>
        <w:rPr>
          <w:rFonts w:hint="eastAsia"/>
          <w:iCs/>
        </w:rPr>
        <w:t>8%</w:t>
      </w:r>
      <w:r>
        <w:rPr>
          <w:rFonts w:hint="eastAsia"/>
          <w:iCs/>
        </w:rPr>
        <w:t>，这一现实可以归因于旷日持久的和平与秩序问题使这个地区的经济受到干扰。农村地区的贫穷仍然是一种无法躲避的力量，将人们赶到城市中心，造成住房、保健和卫生及就业问题，或者将人赶到其他国家去当移民</w:t>
      </w:r>
      <w:r>
        <w:rPr>
          <w:rFonts w:hint="eastAsia"/>
          <w:iCs/>
        </w:rPr>
        <w:t>工人。</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收入分配</w:t>
      </w:r>
    </w:p>
    <w:p w:rsidR="00000000" w:rsidRDefault="00821B8F">
      <w:pPr>
        <w:numPr>
          <w:ilvl w:val="0"/>
          <w:numId w:val="1236"/>
        </w:numPr>
        <w:spacing w:after="240" w:line="360" w:lineRule="exact"/>
        <w:rPr>
          <w:rFonts w:hint="eastAsia"/>
          <w:color w:val="000000"/>
        </w:rPr>
      </w:pPr>
      <w:r>
        <w:rPr>
          <w:rFonts w:hint="eastAsia"/>
          <w:iCs/>
          <w:color w:val="000000"/>
        </w:rPr>
        <w:t>19</w:t>
      </w:r>
      <w:r>
        <w:rPr>
          <w:rFonts w:hint="eastAsia"/>
          <w:color w:val="000000"/>
        </w:rPr>
        <w:t>80</w:t>
      </w:r>
      <w:r>
        <w:rPr>
          <w:rFonts w:hint="eastAsia"/>
          <w:color w:val="000000"/>
        </w:rPr>
        <w:t>年代以来，收入分配情况一直在恶化。国家统计局报告，</w:t>
      </w:r>
      <w:r>
        <w:rPr>
          <w:rFonts w:hint="eastAsia"/>
          <w:color w:val="000000"/>
        </w:rPr>
        <w:t>1994</w:t>
      </w:r>
      <w:r>
        <w:rPr>
          <w:rFonts w:hint="eastAsia"/>
          <w:color w:val="000000"/>
        </w:rPr>
        <w:t>年的吉尼系数是</w:t>
      </w:r>
      <w:r>
        <w:rPr>
          <w:color w:val="000000"/>
        </w:rPr>
        <w:t>0.45</w:t>
      </w:r>
      <w:r>
        <w:rPr>
          <w:rFonts w:hint="eastAsia"/>
          <w:color w:val="000000"/>
        </w:rPr>
        <w:t>；</w:t>
      </w:r>
      <w:r>
        <w:rPr>
          <w:rFonts w:hint="eastAsia"/>
          <w:color w:val="000000"/>
        </w:rPr>
        <w:t>1997</w:t>
      </w:r>
      <w:r>
        <w:rPr>
          <w:rFonts w:hint="eastAsia"/>
          <w:color w:val="000000"/>
        </w:rPr>
        <w:t>年降至</w:t>
      </w:r>
      <w:r>
        <w:rPr>
          <w:color w:val="000000"/>
        </w:rPr>
        <w:t>0.486</w:t>
      </w:r>
      <w:r>
        <w:rPr>
          <w:rFonts w:hint="eastAsia"/>
          <w:color w:val="000000"/>
        </w:rPr>
        <w:t>，</w:t>
      </w:r>
      <w:r>
        <w:rPr>
          <w:rFonts w:hint="eastAsia"/>
          <w:color w:val="000000"/>
        </w:rPr>
        <w:t>2000</w:t>
      </w:r>
      <w:r>
        <w:rPr>
          <w:rFonts w:hint="eastAsia"/>
          <w:color w:val="000000"/>
        </w:rPr>
        <w:t>年降至</w:t>
      </w:r>
      <w:r>
        <w:rPr>
          <w:color w:val="000000"/>
        </w:rPr>
        <w:t>0.482</w:t>
      </w:r>
      <w:r>
        <w:rPr>
          <w:rFonts w:hint="eastAsia"/>
          <w:color w:val="000000"/>
        </w:rPr>
        <w:t>（引自雷耶斯，</w:t>
      </w:r>
      <w:r>
        <w:rPr>
          <w:color w:val="000000"/>
        </w:rPr>
        <w:t>2003</w:t>
      </w:r>
      <w:r>
        <w:rPr>
          <w:rFonts w:hint="eastAsia"/>
          <w:color w:val="000000"/>
        </w:rPr>
        <w:t>年）</w:t>
      </w:r>
      <w:r>
        <w:rPr>
          <w:rStyle w:val="FootnoteReference"/>
          <w:color w:val="000000"/>
        </w:rPr>
        <w:footnoteReference w:id="8"/>
      </w:r>
      <w:r>
        <w:rPr>
          <w:rFonts w:hint="eastAsia"/>
          <w:color w:val="000000"/>
        </w:rPr>
        <w:t>。在审查期间，最贫穷的</w:t>
      </w:r>
      <w:r>
        <w:rPr>
          <w:rFonts w:hint="eastAsia"/>
          <w:color w:val="000000"/>
        </w:rPr>
        <w:t>30%</w:t>
      </w:r>
      <w:r>
        <w:rPr>
          <w:rFonts w:hint="eastAsia"/>
          <w:color w:val="000000"/>
        </w:rPr>
        <w:t>人口的收入份额只占</w:t>
      </w:r>
      <w:r>
        <w:rPr>
          <w:rFonts w:hint="eastAsia"/>
          <w:color w:val="000000"/>
        </w:rPr>
        <w:t>8%</w:t>
      </w:r>
      <w:r>
        <w:rPr>
          <w:rFonts w:hint="eastAsia"/>
          <w:color w:val="000000"/>
        </w:rPr>
        <w:t>，而最富有的</w:t>
      </w:r>
      <w:r>
        <w:rPr>
          <w:rFonts w:hint="eastAsia"/>
          <w:color w:val="000000"/>
        </w:rPr>
        <w:t>10%</w:t>
      </w:r>
      <w:r>
        <w:rPr>
          <w:rFonts w:hint="eastAsia"/>
          <w:color w:val="000000"/>
        </w:rPr>
        <w:t>人口几乎占总收入的五分之二（</w:t>
      </w:r>
      <w:r>
        <w:rPr>
          <w:rFonts w:hint="eastAsia"/>
          <w:color w:val="000000"/>
        </w:rPr>
        <w:t>1997</w:t>
      </w:r>
      <w:r>
        <w:rPr>
          <w:rFonts w:hint="eastAsia"/>
          <w:color w:val="000000"/>
        </w:rPr>
        <w:t>年为</w:t>
      </w:r>
      <w:r>
        <w:rPr>
          <w:rFonts w:hint="eastAsia"/>
          <w:color w:val="000000"/>
        </w:rPr>
        <w:t>39</w:t>
      </w:r>
      <w:r>
        <w:rPr>
          <w:color w:val="000000"/>
        </w:rPr>
        <w:t>.</w:t>
      </w:r>
      <w:r>
        <w:rPr>
          <w:rFonts w:hint="eastAsia"/>
          <w:color w:val="000000"/>
        </w:rPr>
        <w:t>3%</w:t>
      </w:r>
      <w:r>
        <w:rPr>
          <w:rFonts w:hint="eastAsia"/>
          <w:color w:val="000000"/>
        </w:rPr>
        <w:t>，</w:t>
      </w:r>
      <w:r>
        <w:rPr>
          <w:rFonts w:hint="eastAsia"/>
          <w:color w:val="000000"/>
        </w:rPr>
        <w:t>2000</w:t>
      </w:r>
      <w:r>
        <w:rPr>
          <w:rFonts w:hint="eastAsia"/>
          <w:color w:val="000000"/>
        </w:rPr>
        <w:t>年为</w:t>
      </w:r>
      <w:r>
        <w:rPr>
          <w:rFonts w:hint="eastAsia"/>
          <w:color w:val="000000"/>
        </w:rPr>
        <w:t>38</w:t>
      </w:r>
      <w:r>
        <w:rPr>
          <w:color w:val="000000"/>
        </w:rPr>
        <w:t>.</w:t>
      </w:r>
      <w:r>
        <w:rPr>
          <w:rFonts w:hint="eastAsia"/>
          <w:color w:val="000000"/>
        </w:rPr>
        <w:t>9%</w:t>
      </w:r>
      <w:r>
        <w:rPr>
          <w:rFonts w:hint="eastAsia"/>
          <w:color w:val="000000"/>
        </w:rPr>
        <w:t>；国家统计局，</w:t>
      </w:r>
      <w:r>
        <w:rPr>
          <w:rFonts w:hint="eastAsia"/>
          <w:color w:val="000000"/>
        </w:rPr>
        <w:t>2002</w:t>
      </w:r>
      <w:r>
        <w:rPr>
          <w:rFonts w:hint="eastAsia"/>
          <w:color w:val="000000"/>
        </w:rPr>
        <w:t>年）。</w:t>
      </w:r>
      <w:r>
        <w:rPr>
          <w:rFonts w:hint="eastAsia"/>
          <w:color w:val="000000"/>
        </w:rPr>
        <w:t xml:space="preserve"> </w:t>
      </w:r>
      <w:r>
        <w:rPr>
          <w:rFonts w:hint="eastAsia"/>
          <w:color w:val="000000"/>
        </w:rPr>
        <w:t>政府的土地改革和减缓贫穷计划可能会使收入不平等的现象有所改善，但效果还没有出现。</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海外菲律宾工人</w:t>
      </w:r>
    </w:p>
    <w:p w:rsidR="00000000" w:rsidRDefault="00821B8F">
      <w:pPr>
        <w:numPr>
          <w:ilvl w:val="0"/>
          <w:numId w:val="1236"/>
        </w:numPr>
        <w:spacing w:after="240" w:line="360" w:lineRule="exact"/>
        <w:rPr>
          <w:rFonts w:hint="eastAsia"/>
          <w:iCs/>
        </w:rPr>
      </w:pPr>
      <w:r>
        <w:rPr>
          <w:rFonts w:hint="eastAsia"/>
          <w:iCs/>
        </w:rPr>
        <w:t>如上所述，</w:t>
      </w:r>
      <w:r>
        <w:rPr>
          <w:rFonts w:hint="eastAsia"/>
          <w:iCs/>
        </w:rPr>
        <w:t>1990</w:t>
      </w:r>
      <w:r>
        <w:rPr>
          <w:rFonts w:hint="eastAsia"/>
          <w:iCs/>
        </w:rPr>
        <w:t>年代后期发生的金融和经济危机以及随后几</w:t>
      </w:r>
      <w:r>
        <w:rPr>
          <w:rFonts w:hint="eastAsia"/>
          <w:iCs/>
        </w:rPr>
        <w:t>年里的经济增长迟缓现象，加剧了这个国家的持久贫穷。多亏海外菲律宾工人汇回美元，菲律宾的家庭才避免了经济危机最恶劣的影响。</w:t>
      </w:r>
      <w:r>
        <w:rPr>
          <w:rFonts w:hint="eastAsia"/>
          <w:iCs/>
        </w:rPr>
        <w:t>1994</w:t>
      </w:r>
      <w:r>
        <w:rPr>
          <w:rFonts w:hint="eastAsia"/>
          <w:iCs/>
        </w:rPr>
        <w:t>年，政府向中东和欧洲派出了</w:t>
      </w:r>
      <w:r>
        <w:rPr>
          <w:rFonts w:hint="eastAsia"/>
          <w:iCs/>
        </w:rPr>
        <w:t>50</w:t>
      </w:r>
      <w:r>
        <w:rPr>
          <w:rFonts w:hint="eastAsia"/>
          <w:iCs/>
        </w:rPr>
        <w:t>多万海外工人（劳动和就业统计局，</w:t>
      </w:r>
      <w:r>
        <w:rPr>
          <w:rFonts w:hint="eastAsia"/>
          <w:iCs/>
        </w:rPr>
        <w:t>2002</w:t>
      </w:r>
      <w:r>
        <w:rPr>
          <w:rFonts w:hint="eastAsia"/>
          <w:iCs/>
        </w:rPr>
        <w:t>年）。从那以后，国家平均每年新派</w:t>
      </w:r>
      <w:r>
        <w:rPr>
          <w:rFonts w:hint="eastAsia"/>
          <w:iCs/>
        </w:rPr>
        <w:t>218 200</w:t>
      </w:r>
      <w:r>
        <w:rPr>
          <w:rFonts w:hint="eastAsia"/>
          <w:iCs/>
        </w:rPr>
        <w:t>人，其中</w:t>
      </w:r>
      <w:r>
        <w:rPr>
          <w:rFonts w:hint="eastAsia"/>
          <w:iCs/>
        </w:rPr>
        <w:t>59%</w:t>
      </w:r>
      <w:r>
        <w:rPr>
          <w:rFonts w:hint="eastAsia"/>
          <w:iCs/>
        </w:rPr>
        <w:t>是妇女（海外就业管理局，引自阿尔西德，</w:t>
      </w:r>
      <w:r>
        <w:rPr>
          <w:iCs/>
        </w:rPr>
        <w:t>2002</w:t>
      </w:r>
      <w:r>
        <w:rPr>
          <w:rFonts w:hint="eastAsia"/>
          <w:iCs/>
        </w:rPr>
        <w:t>年：</w:t>
      </w:r>
      <w:r>
        <w:rPr>
          <w:iCs/>
        </w:rPr>
        <w:t>108</w:t>
      </w:r>
      <w:r>
        <w:rPr>
          <w:rFonts w:hint="eastAsia"/>
          <w:iCs/>
        </w:rPr>
        <w:t>）。她们加入到政府每年派出的海外菲律宾工人队伍中。海外菲律宾工人的总数从</w:t>
      </w:r>
      <w:r>
        <w:rPr>
          <w:rFonts w:hint="eastAsia"/>
          <w:iCs/>
        </w:rPr>
        <w:t>1995</w:t>
      </w:r>
      <w:r>
        <w:rPr>
          <w:rFonts w:hint="eastAsia"/>
          <w:iCs/>
        </w:rPr>
        <w:t>年的</w:t>
      </w:r>
      <w:r>
        <w:rPr>
          <w:rFonts w:hint="eastAsia"/>
          <w:iCs/>
        </w:rPr>
        <w:t>795 000</w:t>
      </w:r>
      <w:r>
        <w:rPr>
          <w:rFonts w:hint="eastAsia"/>
          <w:iCs/>
        </w:rPr>
        <w:t>人上升到</w:t>
      </w:r>
      <w:r>
        <w:rPr>
          <w:rFonts w:hint="eastAsia"/>
          <w:iCs/>
        </w:rPr>
        <w:t>1997</w:t>
      </w:r>
      <w:r>
        <w:rPr>
          <w:rFonts w:hint="eastAsia"/>
          <w:iCs/>
        </w:rPr>
        <w:t>年的</w:t>
      </w:r>
      <w:r>
        <w:rPr>
          <w:rFonts w:hint="eastAsia"/>
          <w:iCs/>
        </w:rPr>
        <w:t>101</w:t>
      </w:r>
      <w:r>
        <w:rPr>
          <w:rFonts w:hint="eastAsia"/>
          <w:iCs/>
        </w:rPr>
        <w:t>万人，由于经济危机，</w:t>
      </w:r>
      <w:r>
        <w:rPr>
          <w:rFonts w:hint="eastAsia"/>
          <w:iCs/>
        </w:rPr>
        <w:t>1998</w:t>
      </w:r>
      <w:r>
        <w:rPr>
          <w:rFonts w:hint="eastAsia"/>
          <w:iCs/>
        </w:rPr>
        <w:t>年减至</w:t>
      </w:r>
      <w:r>
        <w:rPr>
          <w:rFonts w:hint="eastAsia"/>
          <w:iCs/>
        </w:rPr>
        <w:t>90</w:t>
      </w:r>
      <w:r>
        <w:rPr>
          <w:rFonts w:hint="eastAsia"/>
          <w:iCs/>
        </w:rPr>
        <w:t>万，但在</w:t>
      </w:r>
      <w:r>
        <w:rPr>
          <w:rFonts w:hint="eastAsia"/>
          <w:iCs/>
        </w:rPr>
        <w:t>2002</w:t>
      </w:r>
      <w:r>
        <w:rPr>
          <w:rFonts w:hint="eastAsia"/>
          <w:iCs/>
        </w:rPr>
        <w:t>年又上升到将近</w:t>
      </w:r>
      <w:r>
        <w:rPr>
          <w:rFonts w:hint="eastAsia"/>
          <w:iCs/>
        </w:rPr>
        <w:t>106</w:t>
      </w:r>
      <w:r>
        <w:rPr>
          <w:rFonts w:hint="eastAsia"/>
          <w:iCs/>
        </w:rPr>
        <w:t>万（国家统计局</w:t>
      </w:r>
      <w:r>
        <w:rPr>
          <w:rFonts w:hint="eastAsia"/>
          <w:iCs/>
        </w:rPr>
        <w:t xml:space="preserve"> </w:t>
      </w:r>
      <w:r>
        <w:rPr>
          <w:rFonts w:hint="eastAsia"/>
          <w:iCs/>
        </w:rPr>
        <w:t>，</w:t>
      </w:r>
      <w:r>
        <w:rPr>
          <w:rFonts w:hint="eastAsia"/>
          <w:iCs/>
        </w:rPr>
        <w:t>2003</w:t>
      </w:r>
      <w:r>
        <w:rPr>
          <w:rFonts w:hint="eastAsia"/>
          <w:iCs/>
        </w:rPr>
        <w:t>年</w:t>
      </w:r>
      <w:r>
        <w:rPr>
          <w:iCs/>
        </w:rPr>
        <w:t>b</w:t>
      </w:r>
      <w:r>
        <w:rPr>
          <w:rFonts w:hint="eastAsia"/>
          <w:iCs/>
        </w:rPr>
        <w:t>）。妇女在海外菲律宾工人中所占比例，除了</w:t>
      </w:r>
      <w:r>
        <w:rPr>
          <w:rFonts w:hint="eastAsia"/>
          <w:iCs/>
        </w:rPr>
        <w:t>1996</w:t>
      </w:r>
      <w:r>
        <w:rPr>
          <w:rFonts w:hint="eastAsia"/>
          <w:iCs/>
        </w:rPr>
        <w:t>年为</w:t>
      </w:r>
      <w:r>
        <w:rPr>
          <w:rFonts w:hint="eastAsia"/>
          <w:iCs/>
        </w:rPr>
        <w:t>44%</w:t>
      </w:r>
      <w:r>
        <w:rPr>
          <w:rFonts w:hint="eastAsia"/>
          <w:iCs/>
        </w:rPr>
        <w:t>以外，经济危机以后上升到</w:t>
      </w:r>
      <w:r>
        <w:rPr>
          <w:rFonts w:hint="eastAsia"/>
          <w:iCs/>
        </w:rPr>
        <w:t>46%</w:t>
      </w:r>
      <w:r>
        <w:rPr>
          <w:rFonts w:hint="eastAsia"/>
          <w:iCs/>
        </w:rPr>
        <w:t>至</w:t>
      </w:r>
      <w:r>
        <w:rPr>
          <w:rFonts w:hint="eastAsia"/>
          <w:iCs/>
        </w:rPr>
        <w:t>49%</w:t>
      </w:r>
      <w:r>
        <w:rPr>
          <w:rFonts w:hint="eastAsia"/>
          <w:iCs/>
        </w:rPr>
        <w:t>。海外工人的汇款相应地从</w:t>
      </w:r>
      <w:r>
        <w:rPr>
          <w:rFonts w:hint="eastAsia"/>
          <w:iCs/>
        </w:rPr>
        <w:t>1995</w:t>
      </w:r>
      <w:r>
        <w:rPr>
          <w:rFonts w:hint="eastAsia"/>
          <w:iCs/>
        </w:rPr>
        <w:t>年的</w:t>
      </w:r>
      <w:r>
        <w:rPr>
          <w:rFonts w:hint="eastAsia"/>
          <w:iCs/>
        </w:rPr>
        <w:t>39</w:t>
      </w:r>
      <w:r>
        <w:rPr>
          <w:rFonts w:hint="eastAsia"/>
          <w:iCs/>
        </w:rPr>
        <w:t>亿美元上升到</w:t>
      </w:r>
      <w:r>
        <w:rPr>
          <w:rFonts w:hint="eastAsia"/>
          <w:iCs/>
        </w:rPr>
        <w:t>1997</w:t>
      </w:r>
      <w:r>
        <w:rPr>
          <w:rFonts w:hint="eastAsia"/>
          <w:iCs/>
        </w:rPr>
        <w:t>年的</w:t>
      </w:r>
      <w:r>
        <w:rPr>
          <w:rFonts w:hint="eastAsia"/>
          <w:iCs/>
        </w:rPr>
        <w:t>57</w:t>
      </w:r>
      <w:r>
        <w:rPr>
          <w:rFonts w:hint="eastAsia"/>
          <w:iCs/>
        </w:rPr>
        <w:t>亿美元，</w:t>
      </w:r>
      <w:r>
        <w:rPr>
          <w:rFonts w:hint="eastAsia"/>
          <w:iCs/>
        </w:rPr>
        <w:t>1998</w:t>
      </w:r>
      <w:r>
        <w:rPr>
          <w:rFonts w:hint="eastAsia"/>
          <w:iCs/>
        </w:rPr>
        <w:t>年又跌落到</w:t>
      </w:r>
      <w:r>
        <w:rPr>
          <w:rFonts w:hint="eastAsia"/>
          <w:iCs/>
        </w:rPr>
        <w:t>49</w:t>
      </w:r>
      <w:r>
        <w:rPr>
          <w:rFonts w:hint="eastAsia"/>
          <w:iCs/>
        </w:rPr>
        <w:t>亿美元，但在</w:t>
      </w:r>
      <w:r>
        <w:rPr>
          <w:rFonts w:hint="eastAsia"/>
          <w:iCs/>
        </w:rPr>
        <w:t>1999</w:t>
      </w:r>
      <w:r>
        <w:rPr>
          <w:rFonts w:hint="eastAsia"/>
          <w:iCs/>
        </w:rPr>
        <w:t>年又上升到</w:t>
      </w:r>
      <w:r>
        <w:rPr>
          <w:rFonts w:hint="eastAsia"/>
          <w:iCs/>
        </w:rPr>
        <w:t>68</w:t>
      </w:r>
      <w:r>
        <w:rPr>
          <w:rFonts w:hint="eastAsia"/>
          <w:iCs/>
        </w:rPr>
        <w:t>亿美元，</w:t>
      </w:r>
      <w:r>
        <w:rPr>
          <w:rFonts w:hint="eastAsia"/>
          <w:iCs/>
        </w:rPr>
        <w:t>2000</w:t>
      </w:r>
      <w:r>
        <w:rPr>
          <w:rFonts w:hint="eastAsia"/>
          <w:iCs/>
        </w:rPr>
        <w:t>年降到</w:t>
      </w:r>
      <w:r>
        <w:rPr>
          <w:rFonts w:hint="eastAsia"/>
          <w:iCs/>
        </w:rPr>
        <w:t>60</w:t>
      </w:r>
      <w:r>
        <w:rPr>
          <w:iCs/>
        </w:rPr>
        <w:t>.</w:t>
      </w:r>
      <w:r>
        <w:rPr>
          <w:rFonts w:hint="eastAsia"/>
          <w:iCs/>
        </w:rPr>
        <w:t>5</w:t>
      </w:r>
      <w:r>
        <w:rPr>
          <w:rFonts w:hint="eastAsia"/>
          <w:iCs/>
        </w:rPr>
        <w:t>亿美元（劳动和就业统计局，</w:t>
      </w:r>
      <w:r>
        <w:rPr>
          <w:rFonts w:hint="eastAsia"/>
          <w:iCs/>
        </w:rPr>
        <w:t>2002</w:t>
      </w:r>
      <w:r>
        <w:rPr>
          <w:rFonts w:hint="eastAsia"/>
          <w:iCs/>
        </w:rPr>
        <w:t>年）。在审查期间，这些汇款占国内总产值</w:t>
      </w:r>
      <w:r>
        <w:rPr>
          <w:rFonts w:hint="eastAsia"/>
          <w:iCs/>
        </w:rPr>
        <w:t>5%</w:t>
      </w:r>
      <w:r>
        <w:rPr>
          <w:rFonts w:hint="eastAsia"/>
          <w:iCs/>
        </w:rPr>
        <w:t>以上：</w:t>
      </w:r>
      <w:r>
        <w:rPr>
          <w:rFonts w:hint="eastAsia"/>
          <w:iCs/>
        </w:rPr>
        <w:t>1997</w:t>
      </w:r>
      <w:r>
        <w:rPr>
          <w:rFonts w:hint="eastAsia"/>
          <w:iCs/>
        </w:rPr>
        <w:t>年占国民总收入的</w:t>
      </w:r>
      <w:r>
        <w:rPr>
          <w:iCs/>
        </w:rPr>
        <w:t>6.2%</w:t>
      </w:r>
      <w:r>
        <w:rPr>
          <w:rFonts w:hint="eastAsia"/>
          <w:iCs/>
        </w:rPr>
        <w:t>，</w:t>
      </w:r>
      <w:r>
        <w:rPr>
          <w:rFonts w:hint="eastAsia"/>
          <w:iCs/>
        </w:rPr>
        <w:t>2000</w:t>
      </w:r>
      <w:r>
        <w:rPr>
          <w:rFonts w:hint="eastAsia"/>
          <w:iCs/>
        </w:rPr>
        <w:t>年上升到</w:t>
      </w:r>
      <w:r>
        <w:rPr>
          <w:rFonts w:hint="eastAsia"/>
          <w:iCs/>
        </w:rPr>
        <w:t>8</w:t>
      </w:r>
      <w:r>
        <w:rPr>
          <w:iCs/>
        </w:rPr>
        <w:t>.</w:t>
      </w:r>
      <w:r>
        <w:rPr>
          <w:rFonts w:hint="eastAsia"/>
          <w:iCs/>
        </w:rPr>
        <w:t>1%</w:t>
      </w:r>
      <w:r>
        <w:rPr>
          <w:rFonts w:hint="eastAsia"/>
          <w:iCs/>
        </w:rPr>
        <w:t>（劳动和就业统计局，</w:t>
      </w:r>
      <w:r>
        <w:rPr>
          <w:rFonts w:hint="eastAsia"/>
          <w:iCs/>
        </w:rPr>
        <w:t>2002</w:t>
      </w:r>
      <w:r>
        <w:rPr>
          <w:rFonts w:hint="eastAsia"/>
          <w:iCs/>
        </w:rPr>
        <w:t>年及世界银行，</w:t>
      </w:r>
      <w:r>
        <w:rPr>
          <w:iCs/>
        </w:rPr>
        <w:t>2003</w:t>
      </w:r>
      <w:r>
        <w:rPr>
          <w:rFonts w:hint="eastAsia"/>
          <w:iCs/>
        </w:rPr>
        <w:t>年）。</w:t>
      </w:r>
    </w:p>
    <w:p w:rsidR="00000000" w:rsidRDefault="00821B8F">
      <w:pPr>
        <w:pStyle w:val="BodyText"/>
        <w:spacing w:after="240" w:line="360" w:lineRule="exact"/>
        <w:rPr>
          <w:rFonts w:eastAsia="KaiTi_GB2312" w:hint="eastAsia"/>
          <w:color w:val="0000FF"/>
          <w:spacing w:val="-2"/>
          <w:sz w:val="21"/>
        </w:rPr>
      </w:pPr>
      <w:r>
        <w:rPr>
          <w:rFonts w:eastAsia="KaiTi_GB2312"/>
          <w:color w:val="0000FF"/>
          <w:spacing w:val="-2"/>
          <w:sz w:val="21"/>
        </w:rPr>
        <w:br w:type="page"/>
      </w:r>
      <w:r>
        <w:rPr>
          <w:rFonts w:eastAsia="KaiTi_GB2312" w:hint="eastAsia"/>
          <w:color w:val="0000FF"/>
          <w:spacing w:val="-2"/>
          <w:sz w:val="21"/>
        </w:rPr>
        <w:t>劳工迁徙带来的影响</w:t>
      </w:r>
    </w:p>
    <w:p w:rsidR="00000000" w:rsidRDefault="00821B8F">
      <w:pPr>
        <w:numPr>
          <w:ilvl w:val="0"/>
          <w:numId w:val="1236"/>
        </w:numPr>
        <w:spacing w:after="240" w:line="360" w:lineRule="exact"/>
        <w:rPr>
          <w:rFonts w:hint="eastAsia"/>
        </w:rPr>
      </w:pPr>
      <w:r>
        <w:rPr>
          <w:rFonts w:hint="eastAsia"/>
        </w:rPr>
        <w:t>劳工</w:t>
      </w:r>
      <w:r>
        <w:rPr>
          <w:rFonts w:hint="eastAsia"/>
        </w:rPr>
        <w:t>迁徙固然对菲律宾经济做出了贡献，但也迫使社会付出了沉重的代价。首先，菲律宾人把家庭团圆视为高于一切以及父母在其子女性格形成中的作用等价值观遭到了破坏。移民劳工在其目的国还要继续面对各种各样的问题：拿不到工资、违反合同、遭受非法拘押和身体及性虐待，以及由于与家人分离精神和情绪遭受痛苦。他们也容易因政治局势受到伤害，往往会导致被驱逐出境的结局，像</w:t>
      </w:r>
      <w:r>
        <w:rPr>
          <w:rFonts w:hint="eastAsia"/>
        </w:rPr>
        <w:t>2002</w:t>
      </w:r>
      <w:r>
        <w:rPr>
          <w:rFonts w:hint="eastAsia"/>
        </w:rPr>
        <w:t>年马来西亚沙巴的菲律宾移民那样。</w:t>
      </w:r>
    </w:p>
    <w:p w:rsidR="00000000" w:rsidRDefault="00821B8F">
      <w:pPr>
        <w:numPr>
          <w:ilvl w:val="0"/>
          <w:numId w:val="1236"/>
        </w:numPr>
        <w:spacing w:after="240" w:line="360" w:lineRule="exact"/>
        <w:rPr>
          <w:rFonts w:hint="eastAsia"/>
          <w:iCs/>
        </w:rPr>
      </w:pPr>
      <w:r>
        <w:rPr>
          <w:rFonts w:hint="eastAsia"/>
          <w:iCs/>
        </w:rPr>
        <w:t>政府为解决这些问题花费了大量的精力和资源。政府建立了福利中心、与接受劳工的国家进行双边谈判、并在国际论坛上呼吁为移民劳工实行政</w:t>
      </w:r>
      <w:r>
        <w:rPr>
          <w:rFonts w:hint="eastAsia"/>
          <w:iCs/>
        </w:rPr>
        <w:t>策改革并制订方案。在涉及移民和贩卖人口问题的国际和区域讨论中（例如在联合国、东盟、亚太经合组织），菲律宾扮演了重要角色。菲律宾还牵头倡议通过对东盟和亚太经合组织的有关人员进行培训和能力建设，实施提高其对性别与发展问题的认识的方案和项目。</w:t>
      </w:r>
    </w:p>
    <w:p w:rsidR="00000000" w:rsidRDefault="00821B8F">
      <w:pPr>
        <w:numPr>
          <w:ilvl w:val="0"/>
          <w:numId w:val="1236"/>
        </w:numPr>
        <w:spacing w:after="240" w:line="360" w:lineRule="exact"/>
        <w:rPr>
          <w:rFonts w:hint="eastAsia"/>
          <w:iCs/>
        </w:rPr>
      </w:pPr>
      <w:r>
        <w:rPr>
          <w:rFonts w:hint="eastAsia"/>
          <w:iCs/>
        </w:rPr>
        <w:t>由于在审查期间就业形势恶化，对许多工人来说当移民劳工仍然是一种具有吸引力的选择。仅仅在</w:t>
      </w:r>
      <w:r>
        <w:rPr>
          <w:rFonts w:hint="eastAsia"/>
          <w:iCs/>
        </w:rPr>
        <w:t>1999</w:t>
      </w:r>
      <w:r>
        <w:rPr>
          <w:rFonts w:hint="eastAsia"/>
          <w:iCs/>
        </w:rPr>
        <w:t>至</w:t>
      </w:r>
      <w:r>
        <w:rPr>
          <w:rFonts w:hint="eastAsia"/>
          <w:iCs/>
        </w:rPr>
        <w:t>2000</w:t>
      </w:r>
      <w:r>
        <w:rPr>
          <w:rFonts w:hint="eastAsia"/>
          <w:iCs/>
        </w:rPr>
        <w:t>年间，由于人们看到没有工作机会而失去求职的勇气，劳动力参与率从</w:t>
      </w:r>
      <w:r>
        <w:rPr>
          <w:rFonts w:hint="eastAsia"/>
          <w:iCs/>
        </w:rPr>
        <w:t>66</w:t>
      </w:r>
      <w:r>
        <w:rPr>
          <w:iCs/>
        </w:rPr>
        <w:t>.</w:t>
      </w:r>
      <w:r>
        <w:rPr>
          <w:rFonts w:hint="eastAsia"/>
          <w:iCs/>
        </w:rPr>
        <w:t>4%</w:t>
      </w:r>
      <w:r>
        <w:rPr>
          <w:rFonts w:hint="eastAsia"/>
          <w:iCs/>
        </w:rPr>
        <w:t>跌落到</w:t>
      </w:r>
      <w:r>
        <w:rPr>
          <w:rFonts w:hint="eastAsia"/>
          <w:iCs/>
        </w:rPr>
        <w:t>64</w:t>
      </w:r>
      <w:r>
        <w:rPr>
          <w:iCs/>
        </w:rPr>
        <w:t>.</w:t>
      </w:r>
      <w:r>
        <w:rPr>
          <w:rFonts w:hint="eastAsia"/>
          <w:iCs/>
        </w:rPr>
        <w:t>9%</w:t>
      </w:r>
      <w:r>
        <w:rPr>
          <w:rFonts w:hint="eastAsia"/>
          <w:iCs/>
        </w:rPr>
        <w:t>。</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农业、工业和服务业的就业情况</w:t>
      </w:r>
    </w:p>
    <w:p w:rsidR="00000000" w:rsidRDefault="00821B8F">
      <w:pPr>
        <w:numPr>
          <w:ilvl w:val="0"/>
          <w:numId w:val="1236"/>
        </w:numPr>
        <w:spacing w:after="240" w:line="360" w:lineRule="exact"/>
        <w:rPr>
          <w:rFonts w:hint="eastAsia"/>
        </w:rPr>
      </w:pPr>
      <w:r>
        <w:rPr>
          <w:rFonts w:hint="eastAsia"/>
        </w:rPr>
        <w:t>1996-2000</w:t>
      </w:r>
      <w:r>
        <w:rPr>
          <w:rFonts w:hint="eastAsia"/>
        </w:rPr>
        <w:t>年间农业领域失去了大约</w:t>
      </w:r>
      <w:r>
        <w:rPr>
          <w:rFonts w:hint="eastAsia"/>
        </w:rPr>
        <w:t>100</w:t>
      </w:r>
      <w:r>
        <w:rPr>
          <w:rFonts w:hint="eastAsia"/>
        </w:rPr>
        <w:t>万</w:t>
      </w:r>
      <w:r>
        <w:rPr>
          <w:rFonts w:hint="eastAsia"/>
        </w:rPr>
        <w:t>个工作岗位，虽说其中</w:t>
      </w:r>
      <w:r>
        <w:rPr>
          <w:rFonts w:hint="eastAsia"/>
        </w:rPr>
        <w:t>80%</w:t>
      </w:r>
      <w:r>
        <w:rPr>
          <w:rFonts w:hint="eastAsia"/>
        </w:rPr>
        <w:t>在</w:t>
      </w:r>
      <w:r>
        <w:rPr>
          <w:rFonts w:hint="eastAsia"/>
        </w:rPr>
        <w:t>2001</w:t>
      </w:r>
      <w:r>
        <w:rPr>
          <w:rFonts w:hint="eastAsia"/>
        </w:rPr>
        <w:t>年又失而复得（国家统计局，</w:t>
      </w:r>
      <w:r>
        <w:rPr>
          <w:rFonts w:hint="eastAsia"/>
        </w:rPr>
        <w:t>2002</w:t>
      </w:r>
      <w:r>
        <w:rPr>
          <w:rFonts w:hint="eastAsia"/>
        </w:rPr>
        <w:t>年）。尽管从记录的情况来看农业出现过复苏，但菲律宾脱离农业的步伐仍在继续。农业历来是一个净赚外汇的行业，但到</w:t>
      </w:r>
      <w:r>
        <w:rPr>
          <w:rFonts w:hint="eastAsia"/>
        </w:rPr>
        <w:t>1990</w:t>
      </w:r>
      <w:r>
        <w:rPr>
          <w:rFonts w:hint="eastAsia"/>
        </w:rPr>
        <w:t>年代时情况不再如此。自然灾害加上全世界农产品价格降低，使菲律宾农业增长的潜力受到损害。不仅如此，农业的就业份额也在持续下降。与此形成对比的是，服务业仍然是为菲律宾经济立下汗马功劳的最重要的行业，也是妇女就业人数超过男子的一个行业。工业在国内总产值中至少占三分之一，但其就业人数排在第三位，远远落后于服务业和农业。劳工部关于工业</w:t>
      </w:r>
      <w:r>
        <w:rPr>
          <w:rFonts w:hint="eastAsia"/>
        </w:rPr>
        <w:t>领域就业情况的报告指出，在经济危机发生之前，有</w:t>
      </w:r>
      <w:r>
        <w:rPr>
          <w:rFonts w:hint="eastAsia"/>
        </w:rPr>
        <w:t>889</w:t>
      </w:r>
      <w:r>
        <w:rPr>
          <w:rFonts w:hint="eastAsia"/>
        </w:rPr>
        <w:t>家企业关闭或裁员，影响到</w:t>
      </w:r>
      <w:r>
        <w:rPr>
          <w:rFonts w:hint="eastAsia"/>
        </w:rPr>
        <w:t>39 263</w:t>
      </w:r>
      <w:r>
        <w:rPr>
          <w:rFonts w:hint="eastAsia"/>
        </w:rPr>
        <w:t>名工人。</w:t>
      </w:r>
      <w:r>
        <w:rPr>
          <w:rFonts w:hint="eastAsia"/>
        </w:rPr>
        <w:t>2000</w:t>
      </w:r>
      <w:r>
        <w:rPr>
          <w:rFonts w:hint="eastAsia"/>
        </w:rPr>
        <w:t>年，这个数字几乎翻到三倍，涉及</w:t>
      </w:r>
      <w:r>
        <w:rPr>
          <w:rFonts w:hint="eastAsia"/>
        </w:rPr>
        <w:t>2 258</w:t>
      </w:r>
      <w:r>
        <w:rPr>
          <w:rFonts w:hint="eastAsia"/>
        </w:rPr>
        <w:t>家企业，共影响</w:t>
      </w:r>
      <w:r>
        <w:rPr>
          <w:rFonts w:hint="eastAsia"/>
        </w:rPr>
        <w:t>67 624</w:t>
      </w:r>
      <w:r>
        <w:rPr>
          <w:rFonts w:hint="eastAsia"/>
        </w:rPr>
        <w:t>名员工。雇用</w:t>
      </w:r>
      <w:r>
        <w:rPr>
          <w:rFonts w:hint="eastAsia"/>
        </w:rPr>
        <w:t>50</w:t>
      </w:r>
      <w:r>
        <w:rPr>
          <w:rFonts w:hint="eastAsia"/>
        </w:rPr>
        <w:t>名工人以下的小企业遭受的打击最大，这种企业占裁员或倒闭企业的一半（劳动和就业统计局，</w:t>
      </w:r>
      <w:r>
        <w:rPr>
          <w:rFonts w:hint="eastAsia"/>
        </w:rPr>
        <w:t>2002</w:t>
      </w:r>
      <w:r>
        <w:rPr>
          <w:rFonts w:hint="eastAsia"/>
        </w:rPr>
        <w:t>年）。失业率从</w:t>
      </w:r>
      <w:r>
        <w:rPr>
          <w:rFonts w:hint="eastAsia"/>
        </w:rPr>
        <w:t>1996</w:t>
      </w:r>
      <w:r>
        <w:rPr>
          <w:rFonts w:hint="eastAsia"/>
        </w:rPr>
        <w:t>年的</w:t>
      </w:r>
      <w:r>
        <w:rPr>
          <w:rFonts w:hint="eastAsia"/>
        </w:rPr>
        <w:t>7</w:t>
      </w:r>
      <w:r>
        <w:t>.</w:t>
      </w:r>
      <w:r>
        <w:rPr>
          <w:rFonts w:hint="eastAsia"/>
        </w:rPr>
        <w:t>4%</w:t>
      </w:r>
      <w:r>
        <w:rPr>
          <w:rFonts w:hint="eastAsia"/>
        </w:rPr>
        <w:t>上升到</w:t>
      </w:r>
      <w:r>
        <w:rPr>
          <w:rFonts w:hint="eastAsia"/>
        </w:rPr>
        <w:t>1998</w:t>
      </w:r>
      <w:r>
        <w:rPr>
          <w:rFonts w:hint="eastAsia"/>
        </w:rPr>
        <w:t>年的</w:t>
      </w:r>
      <w:r>
        <w:rPr>
          <w:rFonts w:hint="eastAsia"/>
        </w:rPr>
        <w:t>9</w:t>
      </w:r>
      <w:r>
        <w:t>.</w:t>
      </w:r>
      <w:r>
        <w:rPr>
          <w:rFonts w:hint="eastAsia"/>
        </w:rPr>
        <w:t>6%</w:t>
      </w:r>
      <w:r>
        <w:rPr>
          <w:rFonts w:hint="eastAsia"/>
        </w:rPr>
        <w:t>以及</w:t>
      </w:r>
      <w:r>
        <w:rPr>
          <w:rFonts w:hint="eastAsia"/>
        </w:rPr>
        <w:t>2001</w:t>
      </w:r>
      <w:r>
        <w:rPr>
          <w:rFonts w:hint="eastAsia"/>
        </w:rPr>
        <w:t>年和</w:t>
      </w:r>
      <w:r>
        <w:rPr>
          <w:rFonts w:hint="eastAsia"/>
        </w:rPr>
        <w:t>2002</w:t>
      </w:r>
      <w:r>
        <w:rPr>
          <w:rFonts w:hint="eastAsia"/>
        </w:rPr>
        <w:t>年的</w:t>
      </w:r>
      <w:r>
        <w:rPr>
          <w:rFonts w:hint="eastAsia"/>
        </w:rPr>
        <w:t>10</w:t>
      </w:r>
      <w:r>
        <w:t>.</w:t>
      </w:r>
      <w:r>
        <w:rPr>
          <w:rFonts w:hint="eastAsia"/>
        </w:rPr>
        <w:t>1%</w:t>
      </w:r>
      <w:r>
        <w:rPr>
          <w:rFonts w:hint="eastAsia"/>
        </w:rPr>
        <w:t>。</w:t>
      </w:r>
      <w:r>
        <w:rPr>
          <w:rFonts w:hint="eastAsia"/>
        </w:rPr>
        <w:t xml:space="preserve"> </w:t>
      </w:r>
      <w:r>
        <w:rPr>
          <w:rFonts w:hint="eastAsia"/>
        </w:rPr>
        <w:t>除了其中的一两年以外，妇女的失业率一直比男性高（国家统计局，</w:t>
      </w:r>
      <w:r>
        <w:rPr>
          <w:rFonts w:hint="eastAsia"/>
        </w:rPr>
        <w:t>2003</w:t>
      </w:r>
      <w:r>
        <w:rPr>
          <w:rFonts w:hint="eastAsia"/>
        </w:rPr>
        <w:t>年</w:t>
      </w:r>
      <w:r>
        <w:t>c</w:t>
      </w:r>
      <w:r>
        <w:rPr>
          <w:rFonts w:hint="eastAsia"/>
        </w:rPr>
        <w:t>）。</w:t>
      </w:r>
    </w:p>
    <w:p w:rsidR="00000000" w:rsidRDefault="00821B8F">
      <w:pPr>
        <w:numPr>
          <w:ilvl w:val="0"/>
          <w:numId w:val="1236"/>
        </w:numPr>
        <w:spacing w:after="240" w:line="360" w:lineRule="exact"/>
        <w:rPr>
          <w:rFonts w:hint="eastAsia"/>
          <w:iCs/>
        </w:rPr>
      </w:pPr>
      <w:r>
        <w:rPr>
          <w:rFonts w:hint="eastAsia"/>
          <w:iCs/>
        </w:rPr>
        <w:t>为了解决持续不断的经济问题，政府在</w:t>
      </w:r>
      <w:r>
        <w:rPr>
          <w:rFonts w:hint="eastAsia"/>
          <w:iCs/>
        </w:rPr>
        <w:t>2001</w:t>
      </w:r>
      <w:r>
        <w:rPr>
          <w:rFonts w:hint="eastAsia"/>
          <w:iCs/>
        </w:rPr>
        <w:t>年</w:t>
      </w:r>
      <w:r>
        <w:rPr>
          <w:rFonts w:hint="eastAsia"/>
          <w:iCs/>
        </w:rPr>
        <w:t>12</w:t>
      </w:r>
      <w:r>
        <w:rPr>
          <w:rFonts w:hint="eastAsia"/>
          <w:iCs/>
        </w:rPr>
        <w:t>月召开</w:t>
      </w:r>
      <w:r>
        <w:rPr>
          <w:rFonts w:hint="eastAsia"/>
          <w:iCs/>
        </w:rPr>
        <w:t>了全国社会经济问题高峰会议，会上围绕着国家需要优先解决的问题制订了一项行政和立法条约。这些问题包括需要改善和平与秩序局势、加强安全与和平解决冲突的进程和机制、尽快结束恐怖主义，特别是在棉兰老，要加速努力恢复该地区的和平与秩序；加强向弱势群体，特别是穷人、离乡工人和暴力受害妇女提供基本的社会服务（包括住房）和保护；提高农业、工业和服务业的竞争力、生产率和社会平等；促进就业、劳工权利、社会对话和产业和平；推行高效率和高效能的政府管理，打击各种形式的腐败；通过适当的宏观经济管理确保经济稳定；兑现资产改革承诺；保持</w:t>
      </w:r>
      <w:r>
        <w:rPr>
          <w:rFonts w:hint="eastAsia"/>
          <w:iCs/>
        </w:rPr>
        <w:t>并加强就发展战略、方案和榜样的持续对话。</w:t>
      </w:r>
    </w:p>
    <w:p w:rsidR="00000000" w:rsidRDefault="00821B8F">
      <w:pPr>
        <w:pStyle w:val="BodyText"/>
        <w:tabs>
          <w:tab w:val="left" w:pos="1620"/>
        </w:tabs>
        <w:spacing w:after="200" w:line="360" w:lineRule="exact"/>
        <w:jc w:val="center"/>
        <w:rPr>
          <w:rFonts w:ascii="SimHei" w:eastAsia="SimHei" w:hint="eastAsia"/>
          <w:iCs/>
          <w:color w:val="FF0000"/>
          <w:sz w:val="21"/>
        </w:rPr>
      </w:pPr>
      <w:r>
        <w:rPr>
          <w:rFonts w:ascii="SimHei" w:eastAsia="SimHei" w:hint="eastAsia"/>
          <w:iCs/>
          <w:color w:val="FF0000"/>
          <w:sz w:val="21"/>
        </w:rPr>
        <w:t>社会和人文条件</w:t>
      </w:r>
    </w:p>
    <w:p w:rsidR="00000000" w:rsidRDefault="00821B8F">
      <w:pPr>
        <w:numPr>
          <w:ilvl w:val="0"/>
          <w:numId w:val="1236"/>
        </w:numPr>
        <w:spacing w:after="200" w:line="360" w:lineRule="exact"/>
        <w:rPr>
          <w:rFonts w:hint="eastAsia"/>
        </w:rPr>
      </w:pPr>
      <w:r>
        <w:rPr>
          <w:rFonts w:hint="eastAsia"/>
        </w:rPr>
        <w:t>菲律宾人在</w:t>
      </w:r>
      <w:r>
        <w:rPr>
          <w:rFonts w:hint="eastAsia"/>
        </w:rPr>
        <w:t>1986</w:t>
      </w:r>
      <w:r>
        <w:rPr>
          <w:rFonts w:hint="eastAsia"/>
        </w:rPr>
        <w:t>年成功地把独裁者赶下台以后，对社会和政治更为警觉，因此，继续对国家事务保持着积极的兴趣。同时，民间社会组织和私人部门的姿态也从仅仅嘲讽批评，转向为实现富有意义的变革而积极合作。迫使埃斯特拉达总统辞职的第二次“民权”运动就是这种变化的一个例证。</w:t>
      </w:r>
    </w:p>
    <w:p w:rsidR="00000000" w:rsidRDefault="00821B8F">
      <w:pPr>
        <w:pStyle w:val="BodyText"/>
        <w:spacing w:after="200" w:line="360" w:lineRule="exact"/>
        <w:rPr>
          <w:rFonts w:eastAsia="KaiTi_GB2312" w:hint="eastAsia"/>
          <w:color w:val="0000FF"/>
          <w:spacing w:val="-2"/>
          <w:sz w:val="21"/>
        </w:rPr>
      </w:pPr>
      <w:r>
        <w:rPr>
          <w:rFonts w:eastAsia="KaiTi_GB2312" w:hint="eastAsia"/>
          <w:color w:val="0000FF"/>
          <w:spacing w:val="-2"/>
          <w:sz w:val="21"/>
        </w:rPr>
        <w:t>信息和通信技术的发展</w:t>
      </w:r>
    </w:p>
    <w:p w:rsidR="00000000" w:rsidRDefault="00821B8F">
      <w:pPr>
        <w:numPr>
          <w:ilvl w:val="0"/>
          <w:numId w:val="1236"/>
        </w:numPr>
        <w:spacing w:after="200" w:line="360" w:lineRule="exact"/>
        <w:rPr>
          <w:rFonts w:hint="eastAsia"/>
        </w:rPr>
      </w:pPr>
      <w:r>
        <w:rPr>
          <w:rFonts w:hint="eastAsia"/>
        </w:rPr>
        <w:t>技术的迅猛发展，尤其是电子通信领域与计算机技术的发展，加强了菲律宾人与外部世界的联系。世界银行指出，在</w:t>
      </w:r>
      <w:r>
        <w:rPr>
          <w:rFonts w:hint="eastAsia"/>
        </w:rPr>
        <w:t>1990</w:t>
      </w:r>
      <w:r>
        <w:rPr>
          <w:rFonts w:hint="eastAsia"/>
        </w:rPr>
        <w:t>年代中期和</w:t>
      </w:r>
      <w:r>
        <w:rPr>
          <w:rFonts w:hint="eastAsia"/>
        </w:rPr>
        <w:t>1997/1999</w:t>
      </w:r>
      <w:r>
        <w:rPr>
          <w:rFonts w:hint="eastAsia"/>
        </w:rPr>
        <w:t>年间，菲律宾的报纸发行量、移动电</w:t>
      </w:r>
      <w:r>
        <w:rPr>
          <w:rFonts w:hint="eastAsia"/>
        </w:rPr>
        <w:t>话的申请量或拥有量以及因特网的使用量有了增加（摘自伊洛，</w:t>
      </w:r>
      <w:r>
        <w:rPr>
          <w:rFonts w:hint="eastAsia"/>
        </w:rPr>
        <w:t>2002</w:t>
      </w:r>
      <w:r>
        <w:rPr>
          <w:rFonts w:hint="eastAsia"/>
        </w:rPr>
        <w:t>年</w:t>
      </w:r>
      <w:r>
        <w:rPr>
          <w:rFonts w:hint="eastAsia"/>
        </w:rPr>
        <w:t>a</w:t>
      </w:r>
      <w:r>
        <w:rPr>
          <w:rFonts w:hint="eastAsia"/>
        </w:rPr>
        <w:t>）。</w:t>
      </w:r>
      <w:r>
        <w:rPr>
          <w:rFonts w:hint="eastAsia"/>
        </w:rPr>
        <w:t>1997</w:t>
      </w:r>
      <w:r>
        <w:rPr>
          <w:rFonts w:hint="eastAsia"/>
        </w:rPr>
        <w:t>年到</w:t>
      </w:r>
      <w:r>
        <w:rPr>
          <w:rFonts w:hint="eastAsia"/>
        </w:rPr>
        <w:t>2000/2001</w:t>
      </w:r>
      <w:r>
        <w:rPr>
          <w:rFonts w:hint="eastAsia"/>
        </w:rPr>
        <w:t>年间发生的变化更大，每</w:t>
      </w:r>
      <w:r>
        <w:rPr>
          <w:rFonts w:hint="eastAsia"/>
        </w:rPr>
        <w:t>1 000</w:t>
      </w:r>
      <w:r>
        <w:rPr>
          <w:rFonts w:hint="eastAsia"/>
        </w:rPr>
        <w:t>人拥有的固定电话和移动电话从</w:t>
      </w:r>
      <w:r>
        <w:rPr>
          <w:rFonts w:hint="eastAsia"/>
        </w:rPr>
        <w:t>47.2</w:t>
      </w:r>
      <w:r>
        <w:rPr>
          <w:rFonts w:hint="eastAsia"/>
        </w:rPr>
        <w:t>部增至</w:t>
      </w:r>
      <w:r>
        <w:rPr>
          <w:rFonts w:hint="eastAsia"/>
        </w:rPr>
        <w:t>2000</w:t>
      </w:r>
      <w:r>
        <w:rPr>
          <w:rFonts w:hint="eastAsia"/>
        </w:rPr>
        <w:t>年的</w:t>
      </w:r>
      <w:r>
        <w:rPr>
          <w:rFonts w:hint="eastAsia"/>
        </w:rPr>
        <w:t>124.4</w:t>
      </w:r>
      <w:r>
        <w:rPr>
          <w:rFonts w:hint="eastAsia"/>
        </w:rPr>
        <w:t>部，</w:t>
      </w:r>
      <w:r>
        <w:rPr>
          <w:rFonts w:hint="eastAsia"/>
        </w:rPr>
        <w:t>2001</w:t>
      </w:r>
      <w:r>
        <w:rPr>
          <w:rFonts w:hint="eastAsia"/>
        </w:rPr>
        <w:t>年上升到</w:t>
      </w:r>
      <w:r>
        <w:rPr>
          <w:rFonts w:hint="eastAsia"/>
        </w:rPr>
        <w:t>192.0</w:t>
      </w:r>
      <w:r>
        <w:rPr>
          <w:rFonts w:hint="eastAsia"/>
        </w:rPr>
        <w:t>部；每</w:t>
      </w:r>
      <w:r>
        <w:rPr>
          <w:rFonts w:hint="eastAsia"/>
        </w:rPr>
        <w:t>1 000</w:t>
      </w:r>
      <w:r>
        <w:rPr>
          <w:rFonts w:hint="eastAsia"/>
        </w:rPr>
        <w:t>人中个人计算机的保有量从</w:t>
      </w:r>
      <w:r>
        <w:rPr>
          <w:rFonts w:hint="eastAsia"/>
        </w:rPr>
        <w:t>13.4</w:t>
      </w:r>
      <w:r>
        <w:rPr>
          <w:rFonts w:hint="eastAsia"/>
        </w:rPr>
        <w:t>台增至</w:t>
      </w:r>
      <w:r>
        <w:rPr>
          <w:rFonts w:hint="eastAsia"/>
        </w:rPr>
        <w:t>2001</w:t>
      </w:r>
      <w:r>
        <w:rPr>
          <w:rFonts w:hint="eastAsia"/>
        </w:rPr>
        <w:t>年的</w:t>
      </w:r>
      <w:r>
        <w:rPr>
          <w:rFonts w:hint="eastAsia"/>
        </w:rPr>
        <w:t>21.7</w:t>
      </w:r>
      <w:r>
        <w:rPr>
          <w:rFonts w:hint="eastAsia"/>
        </w:rPr>
        <w:t>台；因特网用户从</w:t>
      </w:r>
      <w:r>
        <w:rPr>
          <w:rFonts w:hint="eastAsia"/>
        </w:rPr>
        <w:t>100 000</w:t>
      </w:r>
      <w:r>
        <w:rPr>
          <w:rFonts w:hint="eastAsia"/>
        </w:rPr>
        <w:t>人增至</w:t>
      </w:r>
      <w:r>
        <w:rPr>
          <w:rFonts w:hint="eastAsia"/>
        </w:rPr>
        <w:t>2000</w:t>
      </w:r>
      <w:r>
        <w:rPr>
          <w:rFonts w:hint="eastAsia"/>
        </w:rPr>
        <w:t>年的</w:t>
      </w:r>
      <w:r>
        <w:rPr>
          <w:rFonts w:hint="eastAsia"/>
        </w:rPr>
        <w:t>150</w:t>
      </w:r>
      <w:r>
        <w:rPr>
          <w:rFonts w:hint="eastAsia"/>
        </w:rPr>
        <w:t>万人</w:t>
      </w:r>
      <w:r>
        <w:rPr>
          <w:rFonts w:hint="eastAsia"/>
          <w:spacing w:val="-2"/>
        </w:rPr>
        <w:t>以及</w:t>
      </w:r>
      <w:r>
        <w:rPr>
          <w:rFonts w:hint="eastAsia"/>
          <w:spacing w:val="-2"/>
        </w:rPr>
        <w:t>2001</w:t>
      </w:r>
      <w:r>
        <w:rPr>
          <w:rFonts w:hint="eastAsia"/>
          <w:spacing w:val="-2"/>
        </w:rPr>
        <w:t>年的</w:t>
      </w:r>
      <w:r>
        <w:rPr>
          <w:rFonts w:hint="eastAsia"/>
          <w:spacing w:val="-2"/>
        </w:rPr>
        <w:t>200</w:t>
      </w:r>
      <w:r>
        <w:rPr>
          <w:rFonts w:hint="eastAsia"/>
          <w:spacing w:val="-2"/>
        </w:rPr>
        <w:t>万人（开发计划署</w:t>
      </w:r>
      <w:r>
        <w:rPr>
          <w:rFonts w:hint="eastAsia"/>
          <w:spacing w:val="-2"/>
        </w:rPr>
        <w:t>/</w:t>
      </w:r>
      <w:r>
        <w:rPr>
          <w:rFonts w:hint="eastAsia"/>
          <w:spacing w:val="-2"/>
        </w:rPr>
        <w:t>人类发展报告，</w:t>
      </w:r>
      <w:r>
        <w:rPr>
          <w:rFonts w:hint="eastAsia"/>
          <w:spacing w:val="-2"/>
        </w:rPr>
        <w:t>2003</w:t>
      </w:r>
      <w:r>
        <w:rPr>
          <w:rFonts w:hint="eastAsia"/>
          <w:spacing w:val="-2"/>
        </w:rPr>
        <w:t>年；世界银行，</w:t>
      </w:r>
      <w:r>
        <w:rPr>
          <w:rFonts w:hint="eastAsia"/>
          <w:spacing w:val="-2"/>
        </w:rPr>
        <w:t>2003</w:t>
      </w:r>
      <w:r>
        <w:rPr>
          <w:rFonts w:hint="eastAsia"/>
          <w:spacing w:val="-2"/>
        </w:rPr>
        <w:t>年）。到</w:t>
      </w:r>
      <w:r>
        <w:rPr>
          <w:rFonts w:hint="eastAsia"/>
          <w:spacing w:val="-2"/>
        </w:rPr>
        <w:t>2003</w:t>
      </w:r>
      <w:r>
        <w:rPr>
          <w:rFonts w:hint="eastAsia"/>
          <w:spacing w:val="-2"/>
        </w:rPr>
        <w:t>年，据</w:t>
      </w:r>
      <w:r>
        <w:rPr>
          <w:rFonts w:hint="eastAsia"/>
        </w:rPr>
        <w:t>报道，移动电话的申请人数达到</w:t>
      </w:r>
      <w:r>
        <w:rPr>
          <w:rFonts w:hint="eastAsia"/>
        </w:rPr>
        <w:t>2 200</w:t>
      </w:r>
      <w:r>
        <w:rPr>
          <w:rFonts w:hint="eastAsia"/>
        </w:rPr>
        <w:t>万，比</w:t>
      </w:r>
      <w:r>
        <w:rPr>
          <w:rFonts w:hint="eastAsia"/>
        </w:rPr>
        <w:t>2</w:t>
      </w:r>
      <w:r>
        <w:rPr>
          <w:rFonts w:hint="eastAsia"/>
        </w:rPr>
        <w:t>001</w:t>
      </w:r>
      <w:r>
        <w:rPr>
          <w:rFonts w:hint="eastAsia"/>
        </w:rPr>
        <w:t>年增加了</w:t>
      </w:r>
      <w:r>
        <w:rPr>
          <w:rFonts w:hint="eastAsia"/>
        </w:rPr>
        <w:t>940</w:t>
      </w:r>
      <w:r>
        <w:rPr>
          <w:rFonts w:hint="eastAsia"/>
        </w:rPr>
        <w:t>万，与此同时，因特网申请人数从</w:t>
      </w:r>
      <w:r>
        <w:rPr>
          <w:rFonts w:hint="eastAsia"/>
        </w:rPr>
        <w:t>500 000</w:t>
      </w:r>
      <w:r>
        <w:rPr>
          <w:rFonts w:hint="eastAsia"/>
        </w:rPr>
        <w:t>人上升到</w:t>
      </w:r>
      <w:r>
        <w:rPr>
          <w:rFonts w:hint="eastAsia"/>
        </w:rPr>
        <w:t>2001</w:t>
      </w:r>
      <w:r>
        <w:rPr>
          <w:rFonts w:hint="eastAsia"/>
        </w:rPr>
        <w:t>年的</w:t>
      </w:r>
      <w:r>
        <w:rPr>
          <w:rFonts w:hint="eastAsia"/>
        </w:rPr>
        <w:t>220</w:t>
      </w:r>
      <w:r>
        <w:rPr>
          <w:rFonts w:hint="eastAsia"/>
        </w:rPr>
        <w:t>万（国家状况演讲，</w:t>
      </w:r>
      <w:r>
        <w:rPr>
          <w:rFonts w:hint="eastAsia"/>
        </w:rPr>
        <w:t>2004</w:t>
      </w:r>
      <w:r>
        <w:rPr>
          <w:rFonts w:hint="eastAsia"/>
        </w:rPr>
        <w:t>年）。</w:t>
      </w:r>
    </w:p>
    <w:p w:rsidR="00000000" w:rsidRDefault="00821B8F">
      <w:pPr>
        <w:numPr>
          <w:ilvl w:val="0"/>
          <w:numId w:val="1236"/>
        </w:numPr>
        <w:spacing w:after="240" w:line="360" w:lineRule="exact"/>
        <w:rPr>
          <w:rFonts w:hint="eastAsia"/>
          <w:iCs/>
        </w:rPr>
      </w:pPr>
      <w:r>
        <w:rPr>
          <w:rFonts w:hint="eastAsia"/>
          <w:iCs/>
        </w:rPr>
        <w:t>菲律宾人每天都在感受着贫穷与繁荣、骚乱与和平、正义与不平等、漠不关心与积极参与等各种对比鲜明的情景。计算机学校、初等、中等和高等教育（大学和职业技术学位）增设了计算机课程，计算机、电子和信息技术方面的菲律宾专业人才在直线上升。移动电话不再是一种奢侈品，而是供公务和个人使用的必需品。第二次民权运动之所以发生，据说是因为得益于移动电话提供的快速通信。不仅如此，由于每天接触广告和世界各地的文</w:t>
      </w:r>
      <w:r>
        <w:rPr>
          <w:rFonts w:hint="eastAsia"/>
          <w:iCs/>
        </w:rPr>
        <w:t>化，以及在国外工作的亲戚寄回或带回的物品和新的生活方式，菲律宾人的消费和生活方式的偏好受到了影响。不过，信息和通信技术的发展也有其阴暗面，恋童、贩卖人口和卖淫活动也在广泛地借助于这种技术。</w:t>
      </w:r>
    </w:p>
    <w:p w:rsidR="00000000" w:rsidRDefault="00821B8F">
      <w:pPr>
        <w:pStyle w:val="BodyText"/>
        <w:spacing w:after="200" w:line="360" w:lineRule="exact"/>
        <w:rPr>
          <w:rFonts w:eastAsia="KaiTi_GB2312" w:hint="eastAsia"/>
          <w:color w:val="0000FF"/>
          <w:spacing w:val="-2"/>
          <w:sz w:val="21"/>
        </w:rPr>
      </w:pPr>
      <w:r>
        <w:rPr>
          <w:rFonts w:eastAsia="KaiTi_GB2312" w:hint="eastAsia"/>
          <w:color w:val="0000FF"/>
          <w:spacing w:val="-2"/>
          <w:sz w:val="21"/>
        </w:rPr>
        <w:t>保健和营养</w:t>
      </w:r>
    </w:p>
    <w:p w:rsidR="00000000" w:rsidRDefault="00821B8F">
      <w:pPr>
        <w:numPr>
          <w:ilvl w:val="0"/>
          <w:numId w:val="1236"/>
        </w:numPr>
        <w:spacing w:after="240" w:line="360" w:lineRule="exact"/>
        <w:rPr>
          <w:rFonts w:hint="eastAsia"/>
        </w:rPr>
      </w:pPr>
      <w:r>
        <w:rPr>
          <w:rFonts w:hint="eastAsia"/>
        </w:rPr>
        <w:t>从第十二条里的讨论可以看出，保健和营养状况有了重大的改善。官方数据表明，预期寿命、婴儿和儿童死亡率及产妇死亡率趋于改善。女性的预期寿命从</w:t>
      </w:r>
      <w:r>
        <w:rPr>
          <w:rFonts w:hint="eastAsia"/>
        </w:rPr>
        <w:t>1995</w:t>
      </w:r>
      <w:r>
        <w:rPr>
          <w:rFonts w:hint="eastAsia"/>
        </w:rPr>
        <w:t>年的</w:t>
      </w:r>
      <w:r>
        <w:rPr>
          <w:rFonts w:hint="eastAsia"/>
        </w:rPr>
        <w:t>70.1</w:t>
      </w:r>
      <w:r>
        <w:rPr>
          <w:rFonts w:hint="eastAsia"/>
        </w:rPr>
        <w:t>岁延长到</w:t>
      </w:r>
      <w:r>
        <w:rPr>
          <w:rFonts w:hint="eastAsia"/>
        </w:rPr>
        <w:t>2003</w:t>
      </w:r>
      <w:r>
        <w:rPr>
          <w:rFonts w:hint="eastAsia"/>
        </w:rPr>
        <w:t>年的</w:t>
      </w:r>
      <w:r>
        <w:rPr>
          <w:rFonts w:hint="eastAsia"/>
        </w:rPr>
        <w:t>72.5</w:t>
      </w:r>
      <w:r>
        <w:rPr>
          <w:rFonts w:hint="eastAsia"/>
        </w:rPr>
        <w:t>岁。男性的相应数字分别为</w:t>
      </w:r>
      <w:r>
        <w:rPr>
          <w:rFonts w:hint="eastAsia"/>
        </w:rPr>
        <w:t>64.8</w:t>
      </w:r>
      <w:r>
        <w:rPr>
          <w:rFonts w:hint="eastAsia"/>
        </w:rPr>
        <w:t>岁和</w:t>
      </w:r>
      <w:r>
        <w:rPr>
          <w:rFonts w:hint="eastAsia"/>
        </w:rPr>
        <w:t>66.2</w:t>
      </w:r>
      <w:r>
        <w:rPr>
          <w:rFonts w:hint="eastAsia"/>
        </w:rPr>
        <w:t>岁。产妇死亡率从</w:t>
      </w:r>
      <w:r>
        <w:rPr>
          <w:rFonts w:hint="eastAsia"/>
        </w:rPr>
        <w:t>1990</w:t>
      </w:r>
      <w:r>
        <w:rPr>
          <w:rFonts w:hint="eastAsia"/>
        </w:rPr>
        <w:t>年的每</w:t>
      </w:r>
      <w:r>
        <w:rPr>
          <w:rFonts w:hint="eastAsia"/>
        </w:rPr>
        <w:t>100 000</w:t>
      </w:r>
      <w:r>
        <w:rPr>
          <w:rFonts w:hint="eastAsia"/>
        </w:rPr>
        <w:t>活产中的</w:t>
      </w:r>
      <w:r>
        <w:rPr>
          <w:rFonts w:hint="eastAsia"/>
        </w:rPr>
        <w:t>209</w:t>
      </w:r>
      <w:r>
        <w:rPr>
          <w:rFonts w:hint="eastAsia"/>
        </w:rPr>
        <w:t>人降到</w:t>
      </w:r>
      <w:r>
        <w:rPr>
          <w:rFonts w:hint="eastAsia"/>
        </w:rPr>
        <w:t>1995</w:t>
      </w:r>
      <w:r>
        <w:rPr>
          <w:rFonts w:hint="eastAsia"/>
        </w:rPr>
        <w:t>年的</w:t>
      </w:r>
      <w:r>
        <w:rPr>
          <w:rFonts w:hint="eastAsia"/>
        </w:rPr>
        <w:t>180</w:t>
      </w:r>
      <w:r>
        <w:rPr>
          <w:rFonts w:hint="eastAsia"/>
        </w:rPr>
        <w:t>人和</w:t>
      </w:r>
      <w:r>
        <w:rPr>
          <w:rFonts w:hint="eastAsia"/>
        </w:rPr>
        <w:t>1998</w:t>
      </w:r>
      <w:r>
        <w:rPr>
          <w:rFonts w:hint="eastAsia"/>
        </w:rPr>
        <w:t>年的</w:t>
      </w:r>
      <w:r>
        <w:rPr>
          <w:rFonts w:hint="eastAsia"/>
        </w:rPr>
        <w:t>172</w:t>
      </w:r>
      <w:r>
        <w:rPr>
          <w:rFonts w:hint="eastAsia"/>
        </w:rPr>
        <w:t>人。</w:t>
      </w:r>
      <w:r>
        <w:rPr>
          <w:rStyle w:val="FootnoteReference"/>
        </w:rPr>
        <w:footnoteReference w:id="9"/>
      </w:r>
      <w:r>
        <w:rPr>
          <w:rFonts w:hint="eastAsia"/>
        </w:rPr>
        <w:t>婴儿和儿童死亡率大幅度下降，女婴和女童的死亡率通常要低于男婴和男童。但是，保健方面的努力一直受到保健服务和药品价格上涨、健康保险覆盖面小、发病率高、营养不良情况加剧以及人口快速增长等挑战。不同的人口群体、收入阶层和地域之间的保健状况依然区别巨大。吸毒和对妇女的暴力仍然是令人关注的主要问题。</w:t>
      </w:r>
    </w:p>
    <w:p w:rsidR="00000000" w:rsidRDefault="00821B8F">
      <w:pPr>
        <w:numPr>
          <w:ilvl w:val="0"/>
          <w:numId w:val="1236"/>
        </w:numPr>
        <w:spacing w:after="240" w:line="360" w:lineRule="exact"/>
        <w:rPr>
          <w:rFonts w:hint="eastAsia"/>
          <w:iCs/>
        </w:rPr>
      </w:pPr>
      <w:r>
        <w:rPr>
          <w:rFonts w:hint="eastAsia"/>
          <w:iCs/>
        </w:rPr>
        <w:t>如第十二条中所讨论的，帮助夫妇们实现其生育目标并让每个人将来都成为负责任的父母这个方案未能消除理想的家庭规模与实际的家庭规模之间存在的差距。该方案的实施受到以下问题的困扰：生育需求高、避孕率低</w:t>
      </w:r>
      <w:r>
        <w:rPr>
          <w:rFonts w:hint="eastAsia"/>
          <w:iCs/>
        </w:rPr>
        <w:t>、男性参与生殖保健有限、少女怀孕现象增多以及为农村地区提供保健和计划生育服务缺乏持久机制（菲律宾中期发展计划，</w:t>
      </w:r>
      <w:r>
        <w:rPr>
          <w:rFonts w:hint="eastAsia"/>
          <w:iCs/>
        </w:rPr>
        <w:t>2001-2004</w:t>
      </w:r>
      <w:r>
        <w:rPr>
          <w:rFonts w:hint="eastAsia"/>
          <w:iCs/>
        </w:rPr>
        <w:t>年）。</w:t>
      </w:r>
      <w:r>
        <w:rPr>
          <w:rFonts w:hint="eastAsia"/>
          <w:iCs/>
        </w:rPr>
        <w:t>1997-2000</w:t>
      </w:r>
      <w:r>
        <w:rPr>
          <w:rFonts w:hint="eastAsia"/>
          <w:iCs/>
        </w:rPr>
        <w:t>年间，</w:t>
      </w:r>
      <w:r>
        <w:rPr>
          <w:rFonts w:hint="eastAsia"/>
          <w:iCs/>
        </w:rPr>
        <w:t>15-49</w:t>
      </w:r>
      <w:r>
        <w:rPr>
          <w:rFonts w:hint="eastAsia"/>
          <w:iCs/>
        </w:rPr>
        <w:t>岁的妇女中有</w:t>
      </w:r>
      <w:r>
        <w:rPr>
          <w:rFonts w:hint="eastAsia"/>
          <w:iCs/>
        </w:rPr>
        <w:t>47%</w:t>
      </w:r>
      <w:r>
        <w:rPr>
          <w:rFonts w:hint="eastAsia"/>
          <w:iCs/>
        </w:rPr>
        <w:t>以上采用了计划生育措施（国家统计局，</w:t>
      </w:r>
      <w:r>
        <w:rPr>
          <w:rFonts w:hint="eastAsia"/>
          <w:iCs/>
        </w:rPr>
        <w:t>2003</w:t>
      </w:r>
      <w:r>
        <w:rPr>
          <w:rFonts w:hint="eastAsia"/>
          <w:iCs/>
        </w:rPr>
        <w:t>年</w:t>
      </w:r>
      <w:r>
        <w:rPr>
          <w:iCs/>
        </w:rPr>
        <w:t>e</w:t>
      </w:r>
      <w:r>
        <w:rPr>
          <w:rFonts w:hint="eastAsia"/>
          <w:iCs/>
        </w:rPr>
        <w:t>）。该数字在以后的几年里有所上升，但仍然较低（</w:t>
      </w:r>
      <w:r>
        <w:rPr>
          <w:rFonts w:hint="eastAsia"/>
          <w:iCs/>
        </w:rPr>
        <w:t>2001</w:t>
      </w:r>
      <w:r>
        <w:rPr>
          <w:rFonts w:hint="eastAsia"/>
          <w:iCs/>
        </w:rPr>
        <w:t>年为</w:t>
      </w:r>
      <w:r>
        <w:rPr>
          <w:rFonts w:hint="eastAsia"/>
          <w:iCs/>
        </w:rPr>
        <w:t>49</w:t>
      </w:r>
      <w:r>
        <w:rPr>
          <w:iCs/>
        </w:rPr>
        <w:t>.</w:t>
      </w:r>
      <w:r>
        <w:rPr>
          <w:rFonts w:hint="eastAsia"/>
          <w:iCs/>
        </w:rPr>
        <w:t>5%</w:t>
      </w:r>
      <w:r>
        <w:rPr>
          <w:rFonts w:hint="eastAsia"/>
          <w:iCs/>
        </w:rPr>
        <w:t>、</w:t>
      </w:r>
      <w:r>
        <w:rPr>
          <w:rFonts w:hint="eastAsia"/>
          <w:iCs/>
        </w:rPr>
        <w:t>2002</w:t>
      </w:r>
      <w:r>
        <w:rPr>
          <w:rFonts w:hint="eastAsia"/>
          <w:iCs/>
        </w:rPr>
        <w:t>年为</w:t>
      </w:r>
      <w:r>
        <w:rPr>
          <w:rFonts w:hint="eastAsia"/>
          <w:iCs/>
        </w:rPr>
        <w:t>48</w:t>
      </w:r>
      <w:r>
        <w:rPr>
          <w:iCs/>
        </w:rPr>
        <w:t>.</w:t>
      </w:r>
      <w:r>
        <w:rPr>
          <w:rFonts w:hint="eastAsia"/>
          <w:iCs/>
        </w:rPr>
        <w:t>8%</w:t>
      </w:r>
      <w:r>
        <w:rPr>
          <w:rFonts w:hint="eastAsia"/>
          <w:iCs/>
        </w:rPr>
        <w:t>）。服用避孕药仍然是主要的计划生育手段，</w:t>
      </w:r>
      <w:r>
        <w:rPr>
          <w:rFonts w:hint="eastAsia"/>
          <w:iCs/>
        </w:rPr>
        <w:t>2001</w:t>
      </w:r>
      <w:r>
        <w:rPr>
          <w:rFonts w:hint="eastAsia"/>
          <w:iCs/>
        </w:rPr>
        <w:t>年有</w:t>
      </w:r>
      <w:r>
        <w:rPr>
          <w:rFonts w:hint="eastAsia"/>
          <w:iCs/>
        </w:rPr>
        <w:t>14</w:t>
      </w:r>
      <w:r>
        <w:rPr>
          <w:iCs/>
        </w:rPr>
        <w:t>.</w:t>
      </w:r>
      <w:r>
        <w:rPr>
          <w:rFonts w:hint="eastAsia"/>
          <w:iCs/>
        </w:rPr>
        <w:t>1%</w:t>
      </w:r>
      <w:r>
        <w:rPr>
          <w:rFonts w:hint="eastAsia"/>
          <w:iCs/>
        </w:rPr>
        <w:t>的人在采用，</w:t>
      </w:r>
      <w:r>
        <w:rPr>
          <w:rFonts w:hint="eastAsia"/>
          <w:iCs/>
        </w:rPr>
        <w:t>2002</w:t>
      </w:r>
      <w:r>
        <w:rPr>
          <w:rFonts w:hint="eastAsia"/>
          <w:iCs/>
        </w:rPr>
        <w:t>年达到</w:t>
      </w:r>
      <w:r>
        <w:rPr>
          <w:rFonts w:hint="eastAsia"/>
          <w:iCs/>
        </w:rPr>
        <w:t>15</w:t>
      </w:r>
      <w:r>
        <w:rPr>
          <w:iCs/>
        </w:rPr>
        <w:t>.</w:t>
      </w:r>
      <w:r>
        <w:rPr>
          <w:rFonts w:hint="eastAsia"/>
          <w:iCs/>
        </w:rPr>
        <w:t>3%</w:t>
      </w:r>
      <w:r>
        <w:rPr>
          <w:rFonts w:hint="eastAsia"/>
          <w:iCs/>
        </w:rPr>
        <w:t>（国家统计局，</w:t>
      </w:r>
      <w:r>
        <w:rPr>
          <w:iCs/>
        </w:rPr>
        <w:t>2003</w:t>
      </w:r>
      <w:r>
        <w:rPr>
          <w:rFonts w:hint="eastAsia"/>
          <w:iCs/>
        </w:rPr>
        <w:t>年</w:t>
      </w:r>
      <w:r>
        <w:rPr>
          <w:iCs/>
        </w:rPr>
        <w:t>f</w:t>
      </w:r>
      <w:r>
        <w:rPr>
          <w:rFonts w:hint="eastAsia"/>
          <w:iCs/>
        </w:rPr>
        <w:t>和</w:t>
      </w:r>
      <w:r>
        <w:rPr>
          <w:iCs/>
        </w:rPr>
        <w:t>2003</w:t>
      </w:r>
      <w:r>
        <w:rPr>
          <w:rFonts w:hint="eastAsia"/>
          <w:iCs/>
        </w:rPr>
        <w:t>年</w:t>
      </w:r>
      <w:r>
        <w:rPr>
          <w:iCs/>
        </w:rPr>
        <w:t>g</w:t>
      </w:r>
      <w:r>
        <w:rPr>
          <w:rFonts w:hint="eastAsia"/>
          <w:iCs/>
        </w:rPr>
        <w:t>）。</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教育</w:t>
      </w:r>
    </w:p>
    <w:p w:rsidR="00000000" w:rsidRDefault="00821B8F">
      <w:pPr>
        <w:numPr>
          <w:ilvl w:val="0"/>
          <w:numId w:val="1236"/>
        </w:numPr>
        <w:spacing w:after="240" w:line="360" w:lineRule="exact"/>
        <w:rPr>
          <w:rFonts w:hint="eastAsia"/>
        </w:rPr>
      </w:pPr>
      <w:r>
        <w:rPr>
          <w:rFonts w:hint="eastAsia"/>
        </w:rPr>
        <w:t>1997</w:t>
      </w:r>
      <w:r>
        <w:rPr>
          <w:rFonts w:hint="eastAsia"/>
        </w:rPr>
        <w:t>年发生的亚洲金融危机和厄尔尼</w:t>
      </w:r>
      <w:r>
        <w:rPr>
          <w:rFonts w:hint="eastAsia"/>
        </w:rPr>
        <w:t>诺现象严重地限制了贫穷家庭接受教育，特别是接受高等教育的机会，因为高等院校中只有</w:t>
      </w:r>
      <w:r>
        <w:rPr>
          <w:rFonts w:hint="eastAsia"/>
        </w:rPr>
        <w:t>19%</w:t>
      </w:r>
      <w:r>
        <w:rPr>
          <w:rFonts w:hint="eastAsia"/>
        </w:rPr>
        <w:t>由政府创办，而在中等和初等教育领域里，政府创办的学校分别占</w:t>
      </w:r>
      <w:r>
        <w:rPr>
          <w:rFonts w:hint="eastAsia"/>
        </w:rPr>
        <w:t>60%</w:t>
      </w:r>
      <w:r>
        <w:rPr>
          <w:rFonts w:hint="eastAsia"/>
        </w:rPr>
        <w:t>和</w:t>
      </w:r>
      <w:r>
        <w:rPr>
          <w:rFonts w:hint="eastAsia"/>
        </w:rPr>
        <w:t>91%</w:t>
      </w:r>
      <w:r>
        <w:rPr>
          <w:rFonts w:hint="eastAsia"/>
        </w:rPr>
        <w:t>。</w:t>
      </w:r>
      <w:r>
        <w:rPr>
          <w:rFonts w:hint="eastAsia"/>
        </w:rPr>
        <w:t>1997-1998</w:t>
      </w:r>
      <w:r>
        <w:rPr>
          <w:rFonts w:hint="eastAsia"/>
        </w:rPr>
        <w:t>年间，只有</w:t>
      </w:r>
      <w:r>
        <w:rPr>
          <w:rFonts w:hint="eastAsia"/>
        </w:rPr>
        <w:t>53%</w:t>
      </w:r>
      <w:r>
        <w:rPr>
          <w:rFonts w:hint="eastAsia"/>
        </w:rPr>
        <w:t>的高中毕业生能够进入高等院校，其中的</w:t>
      </w:r>
      <w:r>
        <w:rPr>
          <w:rFonts w:hint="eastAsia"/>
        </w:rPr>
        <w:t>75%</w:t>
      </w:r>
      <w:r>
        <w:rPr>
          <w:rFonts w:hint="eastAsia"/>
        </w:rPr>
        <w:t>进入了私立院校和大学。在另外几年里，这个趋势没有变化。在基础教育一级，小学的入学率除了在</w:t>
      </w:r>
      <w:r>
        <w:rPr>
          <w:rFonts w:hint="eastAsia"/>
        </w:rPr>
        <w:t>2000/2001</w:t>
      </w:r>
      <w:r>
        <w:rPr>
          <w:rFonts w:hint="eastAsia"/>
        </w:rPr>
        <w:t>学年从上一年的</w:t>
      </w:r>
      <w:r>
        <w:rPr>
          <w:rFonts w:hint="eastAsia"/>
        </w:rPr>
        <w:t>97</w:t>
      </w:r>
      <w:r>
        <w:t>.</w:t>
      </w:r>
      <w:r>
        <w:rPr>
          <w:rFonts w:hint="eastAsia"/>
        </w:rPr>
        <w:t>0%</w:t>
      </w:r>
      <w:r>
        <w:rPr>
          <w:rFonts w:hint="eastAsia"/>
        </w:rPr>
        <w:t>跌到</w:t>
      </w:r>
      <w:r>
        <w:rPr>
          <w:rFonts w:hint="eastAsia"/>
        </w:rPr>
        <w:t>96</w:t>
      </w:r>
      <w:r>
        <w:t>.8%</w:t>
      </w:r>
      <w:r>
        <w:rPr>
          <w:rFonts w:hint="eastAsia"/>
        </w:rPr>
        <w:t>（</w:t>
      </w:r>
      <w:r>
        <w:t>雷耶斯</w:t>
      </w:r>
      <w:r>
        <w:rPr>
          <w:rFonts w:hint="eastAsia"/>
        </w:rPr>
        <w:t>，</w:t>
      </w:r>
      <w:r>
        <w:t>2003</w:t>
      </w:r>
      <w:r>
        <w:rPr>
          <w:rFonts w:hint="eastAsia"/>
        </w:rPr>
        <w:t>年）以外，入学率一直在增长（亚洲开发银行</w:t>
      </w:r>
      <w:r>
        <w:rPr>
          <w:rFonts w:hint="eastAsia"/>
        </w:rPr>
        <w:t>/</w:t>
      </w:r>
      <w:r>
        <w:rPr>
          <w:rFonts w:hint="eastAsia"/>
        </w:rPr>
        <w:t>世界银行，</w:t>
      </w:r>
      <w:r>
        <w:rPr>
          <w:rFonts w:hint="eastAsia"/>
        </w:rPr>
        <w:t>1999</w:t>
      </w:r>
      <w:r>
        <w:rPr>
          <w:rFonts w:hint="eastAsia"/>
        </w:rPr>
        <w:t>年）。但是，金融危机之后的增长率要比危机之前平缓。国家</w:t>
      </w:r>
      <w:r>
        <w:rPr>
          <w:rFonts w:hint="eastAsia"/>
        </w:rPr>
        <w:t>统计协调委员会收集的数据表明，随着年级的升高，男女生的学业成绩也显出某些差别。</w:t>
      </w:r>
    </w:p>
    <w:p w:rsidR="00000000" w:rsidRDefault="00821B8F">
      <w:pPr>
        <w:numPr>
          <w:ilvl w:val="0"/>
          <w:numId w:val="1236"/>
        </w:numPr>
        <w:spacing w:after="240" w:line="360" w:lineRule="exact"/>
        <w:rPr>
          <w:rFonts w:hint="eastAsia"/>
        </w:rPr>
      </w:pPr>
      <w:r>
        <w:rPr>
          <w:rFonts w:hint="eastAsia"/>
        </w:rPr>
        <w:t>如第十条的评论所指出的，教育和人力资源发展的情况在过去几年里有了明显改善。政府在这方面采取的干预措施的核心是为了提高教育系统的效率、强化教学过程和提高竞争能力，以及确保基础教育中的平等进行改革。目前的教育方案目标是提高正规和非正规教育，特别是高等教育和职业教育培训的获得情况，用适应新的经济环境所需要的技能来武装每一个菲律宾人。</w:t>
      </w:r>
    </w:p>
    <w:p w:rsidR="00000000" w:rsidRDefault="00821B8F">
      <w:pPr>
        <w:pStyle w:val="BodyText"/>
        <w:spacing w:after="240" w:line="360" w:lineRule="exact"/>
        <w:rPr>
          <w:rFonts w:eastAsia="KaiTi_GB2312" w:hint="eastAsia"/>
          <w:color w:val="0000FF"/>
          <w:spacing w:val="-2"/>
          <w:sz w:val="21"/>
        </w:rPr>
      </w:pPr>
      <w:r>
        <w:rPr>
          <w:rFonts w:eastAsia="KaiTi_GB2312" w:hint="eastAsia"/>
          <w:color w:val="0000FF"/>
          <w:spacing w:val="-2"/>
          <w:sz w:val="21"/>
        </w:rPr>
        <w:t>基本社会服务</w:t>
      </w:r>
    </w:p>
    <w:p w:rsidR="00000000" w:rsidRDefault="00821B8F">
      <w:pPr>
        <w:numPr>
          <w:ilvl w:val="0"/>
          <w:numId w:val="1236"/>
        </w:numPr>
        <w:spacing w:after="240" w:line="360" w:lineRule="exact"/>
        <w:rPr>
          <w:rFonts w:hint="eastAsia"/>
        </w:rPr>
      </w:pPr>
      <w:r>
        <w:rPr>
          <w:rFonts w:hint="eastAsia"/>
        </w:rPr>
        <w:t>政府一直在致力于改善基本服务的供应。因此，获得以下各项服务的家庭占全部家庭的百分比略有上</w:t>
      </w:r>
      <w:r>
        <w:rPr>
          <w:rFonts w:hint="eastAsia"/>
        </w:rPr>
        <w:t>升：安全饮水方面从</w:t>
      </w:r>
      <w:r>
        <w:rPr>
          <w:rFonts w:hint="eastAsia"/>
        </w:rPr>
        <w:t>1997</w:t>
      </w:r>
      <w:r>
        <w:rPr>
          <w:rFonts w:hint="eastAsia"/>
        </w:rPr>
        <w:t>年的</w:t>
      </w:r>
      <w:r>
        <w:rPr>
          <w:rFonts w:hint="eastAsia"/>
        </w:rPr>
        <w:t>76</w:t>
      </w:r>
      <w:r>
        <w:t>.</w:t>
      </w:r>
      <w:r>
        <w:rPr>
          <w:rFonts w:hint="eastAsia"/>
        </w:rPr>
        <w:t>9%</w:t>
      </w:r>
      <w:r>
        <w:rPr>
          <w:rFonts w:hint="eastAsia"/>
        </w:rPr>
        <w:t>增至</w:t>
      </w:r>
      <w:r>
        <w:rPr>
          <w:rFonts w:hint="eastAsia"/>
        </w:rPr>
        <w:t>2000</w:t>
      </w:r>
      <w:r>
        <w:rPr>
          <w:rFonts w:hint="eastAsia"/>
        </w:rPr>
        <w:t>年的</w:t>
      </w:r>
      <w:r>
        <w:rPr>
          <w:rFonts w:hint="eastAsia"/>
        </w:rPr>
        <w:t>78</w:t>
      </w:r>
      <w:r>
        <w:t>.</w:t>
      </w:r>
      <w:r>
        <w:rPr>
          <w:rFonts w:hint="eastAsia"/>
        </w:rPr>
        <w:t>5%</w:t>
      </w:r>
      <w:r>
        <w:rPr>
          <w:rFonts w:hint="eastAsia"/>
        </w:rPr>
        <w:t>；厕所卫生设施方面从</w:t>
      </w:r>
      <w:r>
        <w:rPr>
          <w:rFonts w:hint="eastAsia"/>
        </w:rPr>
        <w:t>1994</w:t>
      </w:r>
      <w:r>
        <w:rPr>
          <w:rFonts w:hint="eastAsia"/>
        </w:rPr>
        <w:t>年的</w:t>
      </w:r>
      <w:r>
        <w:rPr>
          <w:rFonts w:hint="eastAsia"/>
        </w:rPr>
        <w:t>74 .</w:t>
      </w:r>
      <w:r>
        <w:t>9%</w:t>
      </w:r>
      <w:r>
        <w:rPr>
          <w:rFonts w:hint="eastAsia"/>
        </w:rPr>
        <w:t>增至</w:t>
      </w:r>
      <w:r>
        <w:rPr>
          <w:rFonts w:hint="eastAsia"/>
        </w:rPr>
        <w:t>1997</w:t>
      </w:r>
      <w:r>
        <w:rPr>
          <w:rFonts w:hint="eastAsia"/>
        </w:rPr>
        <w:t>年的</w:t>
      </w:r>
      <w:r>
        <w:rPr>
          <w:rFonts w:hint="eastAsia"/>
        </w:rPr>
        <w:t>77</w:t>
      </w:r>
      <w:r>
        <w:t>.</w:t>
      </w:r>
      <w:r>
        <w:rPr>
          <w:rFonts w:hint="eastAsia"/>
        </w:rPr>
        <w:t>2%</w:t>
      </w:r>
      <w:r>
        <w:rPr>
          <w:rFonts w:hint="eastAsia"/>
        </w:rPr>
        <w:t>和</w:t>
      </w:r>
      <w:r>
        <w:rPr>
          <w:rFonts w:hint="eastAsia"/>
        </w:rPr>
        <w:t>2000</w:t>
      </w:r>
      <w:r>
        <w:rPr>
          <w:rFonts w:hint="eastAsia"/>
        </w:rPr>
        <w:t>年的</w:t>
      </w:r>
      <w:r>
        <w:rPr>
          <w:rFonts w:hint="eastAsia"/>
        </w:rPr>
        <w:t>82</w:t>
      </w:r>
      <w:r>
        <w:t>.</w:t>
      </w:r>
      <w:r>
        <w:rPr>
          <w:rFonts w:hint="eastAsia"/>
        </w:rPr>
        <w:t>5%</w:t>
      </w:r>
      <w:r>
        <w:rPr>
          <w:rFonts w:hint="eastAsia"/>
        </w:rPr>
        <w:t>；电力方面从</w:t>
      </w:r>
      <w:r>
        <w:rPr>
          <w:rFonts w:hint="eastAsia"/>
        </w:rPr>
        <w:t>1997</w:t>
      </w:r>
      <w:r>
        <w:rPr>
          <w:rFonts w:hint="eastAsia"/>
        </w:rPr>
        <w:t>年的</w:t>
      </w:r>
      <w:r>
        <w:rPr>
          <w:rFonts w:hint="eastAsia"/>
        </w:rPr>
        <w:t>70</w:t>
      </w:r>
      <w:r>
        <w:t>.</w:t>
      </w:r>
      <w:r>
        <w:rPr>
          <w:rFonts w:hint="eastAsia"/>
        </w:rPr>
        <w:t>4%</w:t>
      </w:r>
      <w:r>
        <w:rPr>
          <w:rFonts w:hint="eastAsia"/>
        </w:rPr>
        <w:t>增至</w:t>
      </w:r>
      <w:r>
        <w:rPr>
          <w:rFonts w:hint="eastAsia"/>
        </w:rPr>
        <w:t>2000</w:t>
      </w:r>
      <w:r>
        <w:rPr>
          <w:rFonts w:hint="eastAsia"/>
        </w:rPr>
        <w:t>年的</w:t>
      </w:r>
      <w:r>
        <w:rPr>
          <w:rFonts w:hint="eastAsia"/>
        </w:rPr>
        <w:t>75</w:t>
      </w:r>
      <w:r>
        <w:t>.</w:t>
      </w:r>
      <w:r>
        <w:rPr>
          <w:rFonts w:hint="eastAsia"/>
        </w:rPr>
        <w:t>4%</w:t>
      </w:r>
      <w:r>
        <w:rPr>
          <w:rFonts w:hint="eastAsia"/>
        </w:rPr>
        <w:t>（国家统计局，</w:t>
      </w:r>
      <w:r>
        <w:rPr>
          <w:rFonts w:hint="eastAsia"/>
        </w:rPr>
        <w:t>2003</w:t>
      </w:r>
      <w:r>
        <w:rPr>
          <w:rFonts w:hint="eastAsia"/>
        </w:rPr>
        <w:t>年</w:t>
      </w:r>
      <w:r>
        <w:t>d</w:t>
      </w:r>
      <w:r>
        <w:rPr>
          <w:rFonts w:hint="eastAsia"/>
        </w:rPr>
        <w:t>）。不过，公用事业价格仍然居高不下，尽管出台了遏制价格的法规。</w:t>
      </w:r>
    </w:p>
    <w:p w:rsidR="00000000" w:rsidRDefault="00821B8F">
      <w:pPr>
        <w:numPr>
          <w:ilvl w:val="0"/>
          <w:numId w:val="1236"/>
        </w:numPr>
        <w:spacing w:after="240" w:line="360" w:lineRule="exact"/>
        <w:rPr>
          <w:rFonts w:hint="eastAsia"/>
          <w:iCs/>
          <w:spacing w:val="2"/>
        </w:rPr>
      </w:pPr>
      <w:r>
        <w:rPr>
          <w:rFonts w:hint="eastAsia"/>
          <w:iCs/>
          <w:spacing w:val="2"/>
        </w:rPr>
        <w:t>然而，其他服务还是存在许多问题。例如，住房紧缺问题依然尖锐。据估计，</w:t>
      </w:r>
      <w:r>
        <w:rPr>
          <w:rFonts w:hint="eastAsia"/>
          <w:iCs/>
          <w:spacing w:val="2"/>
        </w:rPr>
        <w:t>1999-2004</w:t>
      </w:r>
      <w:r>
        <w:rPr>
          <w:rFonts w:hint="eastAsia"/>
          <w:iCs/>
          <w:spacing w:val="2"/>
        </w:rPr>
        <w:t>年间需要的住房总数达到</w:t>
      </w:r>
      <w:r>
        <w:rPr>
          <w:rFonts w:hint="eastAsia"/>
          <w:iCs/>
          <w:spacing w:val="2"/>
        </w:rPr>
        <w:t>330</w:t>
      </w:r>
      <w:r>
        <w:rPr>
          <w:rFonts w:hint="eastAsia"/>
          <w:iCs/>
          <w:spacing w:val="2"/>
        </w:rPr>
        <w:t>万套，其中</w:t>
      </w:r>
      <w:r>
        <w:rPr>
          <w:rFonts w:hint="eastAsia"/>
          <w:iCs/>
          <w:spacing w:val="2"/>
        </w:rPr>
        <w:t>110</w:t>
      </w:r>
      <w:r>
        <w:rPr>
          <w:rFonts w:hint="eastAsia"/>
          <w:iCs/>
          <w:spacing w:val="2"/>
        </w:rPr>
        <w:t>万套属于</w:t>
      </w:r>
      <w:r>
        <w:rPr>
          <w:rFonts w:hint="eastAsia"/>
          <w:iCs/>
          <w:spacing w:val="2"/>
        </w:rPr>
        <w:t>1999</w:t>
      </w:r>
      <w:r>
        <w:rPr>
          <w:rFonts w:hint="eastAsia"/>
          <w:iCs/>
          <w:spacing w:val="2"/>
        </w:rPr>
        <w:t>年之前一直在等房的家庭，另外</w:t>
      </w:r>
      <w:r>
        <w:rPr>
          <w:rFonts w:hint="eastAsia"/>
          <w:iCs/>
          <w:spacing w:val="2"/>
        </w:rPr>
        <w:t>220</w:t>
      </w:r>
      <w:r>
        <w:rPr>
          <w:rFonts w:hint="eastAsia"/>
          <w:iCs/>
          <w:spacing w:val="2"/>
        </w:rPr>
        <w:t>万套则要满足由于人口快</w:t>
      </w:r>
      <w:r>
        <w:rPr>
          <w:rFonts w:hint="eastAsia"/>
          <w:iCs/>
          <w:spacing w:val="2"/>
        </w:rPr>
        <w:t>速增长以及成家而新增加的家庭的需要（国家统计局，</w:t>
      </w:r>
      <w:r>
        <w:rPr>
          <w:rFonts w:hint="eastAsia"/>
          <w:iCs/>
          <w:spacing w:val="2"/>
        </w:rPr>
        <w:t>2002</w:t>
      </w:r>
      <w:r>
        <w:rPr>
          <w:rFonts w:hint="eastAsia"/>
          <w:iCs/>
          <w:spacing w:val="2"/>
        </w:rPr>
        <w:t>年：</w:t>
      </w:r>
      <w:r>
        <w:rPr>
          <w:rFonts w:hint="eastAsia"/>
          <w:iCs/>
          <w:spacing w:val="2"/>
        </w:rPr>
        <w:t>576</w:t>
      </w:r>
      <w:r>
        <w:rPr>
          <w:rFonts w:hint="eastAsia"/>
          <w:iCs/>
          <w:spacing w:val="2"/>
        </w:rPr>
        <w:t>）。不仅如此，由于预算中有相当一部分要用于偿债、增加工作岗位以及维持和平与秩序，政府在社会服务方面的投资相应地减少。</w:t>
      </w:r>
    </w:p>
    <w:p w:rsidR="00000000" w:rsidRDefault="00821B8F">
      <w:pPr>
        <w:pStyle w:val="BodyText"/>
        <w:tabs>
          <w:tab w:val="left" w:pos="1620"/>
        </w:tabs>
        <w:spacing w:after="240" w:line="360" w:lineRule="exact"/>
        <w:rPr>
          <w:rFonts w:ascii="KaiTi_GB2312" w:eastAsia="KaiTi_GB2312" w:hint="eastAsia"/>
          <w:color w:val="0000FF"/>
          <w:sz w:val="21"/>
        </w:rPr>
      </w:pPr>
      <w:r>
        <w:rPr>
          <w:rFonts w:ascii="KaiTi_GB2312" w:eastAsia="KaiTi_GB2312" w:hint="eastAsia"/>
          <w:color w:val="0000FF"/>
          <w:sz w:val="21"/>
        </w:rPr>
        <w:t>人类发展指数</w:t>
      </w:r>
      <w:r>
        <w:rPr>
          <w:rStyle w:val="FootnoteReference"/>
          <w:rFonts w:ascii="KaiTi_GB2312" w:eastAsia="KaiTi_GB2312"/>
          <w:color w:val="0000FF"/>
          <w:sz w:val="21"/>
        </w:rPr>
        <w:footnoteReference w:id="10"/>
      </w:r>
    </w:p>
    <w:p w:rsidR="00000000" w:rsidRDefault="00821B8F">
      <w:pPr>
        <w:numPr>
          <w:ilvl w:val="0"/>
          <w:numId w:val="1236"/>
        </w:numPr>
        <w:spacing w:after="240" w:line="360" w:lineRule="exact"/>
        <w:rPr>
          <w:rFonts w:hint="eastAsia"/>
        </w:rPr>
      </w:pPr>
      <w:r>
        <w:rPr>
          <w:rFonts w:hint="eastAsia"/>
        </w:rPr>
        <w:t>菲律宾在人类发展方面总体上成绩不俗。在过去</w:t>
      </w:r>
      <w:r>
        <w:rPr>
          <w:rFonts w:hint="eastAsia"/>
        </w:rPr>
        <w:t>25</w:t>
      </w:r>
      <w:r>
        <w:rPr>
          <w:rFonts w:hint="eastAsia"/>
        </w:rPr>
        <w:t>年左右的时间里，国家的人类发展指数在持续上升，但与许多国家相比，其改善速度比较缓慢（开发计划署</w:t>
      </w:r>
      <w:r>
        <w:rPr>
          <w:rFonts w:hint="eastAsia"/>
        </w:rPr>
        <w:t>/</w:t>
      </w:r>
      <w:r>
        <w:rPr>
          <w:rFonts w:hint="eastAsia"/>
        </w:rPr>
        <w:t>人类发展报告，各年的数据）。尽管菲律宾被列为“中等人类发展国家”，但排名一直靠后。</w:t>
      </w:r>
      <w:r>
        <w:rPr>
          <w:rFonts w:hint="eastAsia"/>
        </w:rPr>
        <w:t>1995</w:t>
      </w:r>
      <w:r>
        <w:rPr>
          <w:rFonts w:hint="eastAsia"/>
        </w:rPr>
        <w:t>年菲律宾在</w:t>
      </w:r>
      <w:r>
        <w:rPr>
          <w:rFonts w:hint="eastAsia"/>
        </w:rPr>
        <w:t>140</w:t>
      </w:r>
      <w:r>
        <w:rPr>
          <w:rFonts w:hint="eastAsia"/>
        </w:rPr>
        <w:t>个国家中排在第</w:t>
      </w:r>
      <w:r>
        <w:rPr>
          <w:rFonts w:hint="eastAsia"/>
        </w:rPr>
        <w:t>67</w:t>
      </w:r>
      <w:r>
        <w:rPr>
          <w:rFonts w:hint="eastAsia"/>
        </w:rPr>
        <w:t>位，</w:t>
      </w:r>
      <w:r>
        <w:rPr>
          <w:rFonts w:hint="eastAsia"/>
        </w:rPr>
        <w:t>1999</w:t>
      </w:r>
      <w:r>
        <w:rPr>
          <w:rFonts w:hint="eastAsia"/>
        </w:rPr>
        <w:t>年在</w:t>
      </w:r>
      <w:r>
        <w:rPr>
          <w:rFonts w:hint="eastAsia"/>
        </w:rPr>
        <w:t>162</w:t>
      </w:r>
      <w:r>
        <w:rPr>
          <w:rFonts w:hint="eastAsia"/>
        </w:rPr>
        <w:t>个国家中排在第</w:t>
      </w:r>
      <w:r>
        <w:rPr>
          <w:rFonts w:hint="eastAsia"/>
        </w:rPr>
        <w:t>70</w:t>
      </w:r>
      <w:r>
        <w:rPr>
          <w:rFonts w:hint="eastAsia"/>
        </w:rPr>
        <w:t>位，随</w:t>
      </w:r>
      <w:r>
        <w:rPr>
          <w:rFonts w:hint="eastAsia"/>
        </w:rPr>
        <w:t>后，在</w:t>
      </w:r>
      <w:r>
        <w:rPr>
          <w:rFonts w:hint="eastAsia"/>
        </w:rPr>
        <w:t>2000</w:t>
      </w:r>
      <w:r>
        <w:rPr>
          <w:rFonts w:hint="eastAsia"/>
        </w:rPr>
        <w:t>年跌到</w:t>
      </w:r>
      <w:r>
        <w:rPr>
          <w:rFonts w:hint="eastAsia"/>
        </w:rPr>
        <w:t>173</w:t>
      </w:r>
      <w:r>
        <w:rPr>
          <w:rFonts w:hint="eastAsia"/>
        </w:rPr>
        <w:t>个国家中的第</w:t>
      </w:r>
      <w:r>
        <w:rPr>
          <w:rFonts w:hint="eastAsia"/>
        </w:rPr>
        <w:t>77</w:t>
      </w:r>
      <w:r>
        <w:rPr>
          <w:rFonts w:hint="eastAsia"/>
        </w:rPr>
        <w:t>位，</w:t>
      </w:r>
      <w:r>
        <w:rPr>
          <w:rFonts w:hint="eastAsia"/>
        </w:rPr>
        <w:t>2001</w:t>
      </w:r>
      <w:r>
        <w:rPr>
          <w:rFonts w:hint="eastAsia"/>
        </w:rPr>
        <w:t>年在</w:t>
      </w:r>
      <w:r>
        <w:rPr>
          <w:rFonts w:hint="eastAsia"/>
        </w:rPr>
        <w:t>175</w:t>
      </w:r>
      <w:r>
        <w:rPr>
          <w:rFonts w:hint="eastAsia"/>
        </w:rPr>
        <w:t>个国家中排在第</w:t>
      </w:r>
      <w:r>
        <w:rPr>
          <w:rFonts w:hint="eastAsia"/>
        </w:rPr>
        <w:t>85</w:t>
      </w:r>
      <w:r>
        <w:rPr>
          <w:rFonts w:hint="eastAsia"/>
        </w:rPr>
        <w:t>位。不过，在国家治理方面，菲律宾在保护公民自由、政治自由和“新闻充分自由”方面，在满分为十分的情况下得了八分（开发计划署</w:t>
      </w:r>
      <w:r>
        <w:rPr>
          <w:rFonts w:hint="eastAsia"/>
        </w:rPr>
        <w:t>/</w:t>
      </w:r>
      <w:r>
        <w:rPr>
          <w:rFonts w:hint="eastAsia"/>
        </w:rPr>
        <w:t>人类发展报告，</w:t>
      </w:r>
      <w:r>
        <w:rPr>
          <w:rFonts w:hint="eastAsia"/>
        </w:rPr>
        <w:t>2002</w:t>
      </w:r>
      <w:r>
        <w:rPr>
          <w:rFonts w:hint="eastAsia"/>
        </w:rPr>
        <w:t>年）。</w:t>
      </w:r>
      <w:r>
        <w:rPr>
          <w:rFonts w:hint="eastAsia"/>
        </w:rPr>
        <w:t>2001</w:t>
      </w:r>
      <w:r>
        <w:rPr>
          <w:rFonts w:hint="eastAsia"/>
        </w:rPr>
        <w:t>年，菲律宾实现了“初等和中等学校近乎普遍入学”，考虑到国家资源有限，这一成绩已经非同小可。</w:t>
      </w:r>
    </w:p>
    <w:p w:rsidR="00000000" w:rsidRDefault="00821B8F">
      <w:pPr>
        <w:pStyle w:val="BodyText"/>
        <w:tabs>
          <w:tab w:val="left" w:pos="1620"/>
        </w:tabs>
        <w:spacing w:after="240" w:line="360" w:lineRule="exact"/>
        <w:rPr>
          <w:rFonts w:ascii="Times New Roman" w:hint="eastAsia"/>
          <w:sz w:val="21"/>
        </w:rPr>
      </w:pPr>
      <w:r>
        <w:rPr>
          <w:rFonts w:ascii="Times New Roman" w:hint="eastAsia"/>
          <w:sz w:val="21"/>
        </w:rPr>
        <w:t>按性别开列的发展指数和妇女权力指数</w:t>
      </w:r>
      <w:r>
        <w:rPr>
          <w:rStyle w:val="FootnoteReference"/>
          <w:rFonts w:ascii="Times New Roman"/>
          <w:sz w:val="21"/>
        </w:rPr>
        <w:footnoteReference w:id="11"/>
      </w:r>
    </w:p>
    <w:p w:rsidR="00000000" w:rsidRDefault="00821B8F">
      <w:pPr>
        <w:numPr>
          <w:ilvl w:val="0"/>
          <w:numId w:val="1236"/>
        </w:numPr>
        <w:spacing w:after="240" w:line="360" w:lineRule="exact"/>
        <w:rPr>
          <w:rFonts w:hint="eastAsia"/>
        </w:rPr>
      </w:pPr>
      <w:r>
        <w:rPr>
          <w:rFonts w:hint="eastAsia"/>
        </w:rPr>
        <w:t>按照</w:t>
      </w:r>
      <w:r>
        <w:rPr>
          <w:rFonts w:hint="eastAsia"/>
          <w:iCs/>
        </w:rPr>
        <w:t>妇女权力指数</w:t>
      </w:r>
      <w:r>
        <w:rPr>
          <w:rFonts w:hint="eastAsia"/>
        </w:rPr>
        <w:t>排列，菲律宾在</w:t>
      </w:r>
      <w:r>
        <w:rPr>
          <w:rFonts w:hint="eastAsia"/>
        </w:rPr>
        <w:t>70</w:t>
      </w:r>
      <w:r>
        <w:rPr>
          <w:rFonts w:hint="eastAsia"/>
        </w:rPr>
        <w:t>个国家中排在第</w:t>
      </w:r>
      <w:r>
        <w:rPr>
          <w:rFonts w:hint="eastAsia"/>
        </w:rPr>
        <w:t>35</w:t>
      </w:r>
      <w:r>
        <w:rPr>
          <w:rFonts w:hint="eastAsia"/>
        </w:rPr>
        <w:t>位，高于日本、马来西亚和泰国等亚洲国家。同时，按照按性别开列的发展指数，菲律宾在</w:t>
      </w:r>
      <w:r>
        <w:rPr>
          <w:rFonts w:hint="eastAsia"/>
        </w:rPr>
        <w:t>144</w:t>
      </w:r>
      <w:r>
        <w:rPr>
          <w:rFonts w:hint="eastAsia"/>
        </w:rPr>
        <w:t>个国</w:t>
      </w:r>
      <w:r>
        <w:rPr>
          <w:rFonts w:hint="eastAsia"/>
        </w:rPr>
        <w:t>家中排第</w:t>
      </w:r>
      <w:r>
        <w:rPr>
          <w:rFonts w:hint="eastAsia"/>
        </w:rPr>
        <w:t>66</w:t>
      </w:r>
      <w:r>
        <w:rPr>
          <w:rFonts w:hint="eastAsia"/>
        </w:rPr>
        <w:t>位。</w:t>
      </w:r>
    </w:p>
    <w:p w:rsidR="00000000" w:rsidRDefault="00821B8F">
      <w:pPr>
        <w:pStyle w:val="BodyText"/>
        <w:tabs>
          <w:tab w:val="left" w:pos="1620"/>
        </w:tabs>
        <w:spacing w:after="240" w:line="360" w:lineRule="exact"/>
        <w:rPr>
          <w:rFonts w:ascii="Times New Roman" w:hint="eastAsia"/>
          <w:sz w:val="21"/>
          <w:u w:val="single"/>
        </w:rPr>
      </w:pPr>
      <w:r>
        <w:rPr>
          <w:rFonts w:ascii="Times New Roman" w:hint="eastAsia"/>
          <w:sz w:val="21"/>
          <w:u w:val="single"/>
        </w:rPr>
        <w:t>文化和两性规范及关系</w:t>
      </w:r>
    </w:p>
    <w:p w:rsidR="00000000" w:rsidRDefault="00821B8F">
      <w:pPr>
        <w:numPr>
          <w:ilvl w:val="0"/>
          <w:numId w:val="1236"/>
        </w:numPr>
        <w:spacing w:after="240" w:line="360" w:lineRule="exact"/>
        <w:rPr>
          <w:rFonts w:hint="eastAsia"/>
        </w:rPr>
      </w:pPr>
      <w:r>
        <w:rPr>
          <w:rFonts w:hint="eastAsia"/>
        </w:rPr>
        <w:t>性别是社会排斥中的一项重要原则，其结果是造成基于性别的歧视。不同的族裔和宗教群体有不同的文化传统。下面列出其主要表现：</w:t>
      </w:r>
      <w:r>
        <w:rPr>
          <w:rStyle w:val="FootnoteReference"/>
        </w:rPr>
        <w:footnoteReference w:id="12"/>
      </w:r>
    </w:p>
    <w:p w:rsidR="00000000" w:rsidRDefault="00821B8F">
      <w:pPr>
        <w:pStyle w:val="BodyText"/>
        <w:numPr>
          <w:ilvl w:val="0"/>
          <w:numId w:val="1245"/>
        </w:numPr>
        <w:tabs>
          <w:tab w:val="clear" w:pos="285"/>
          <w:tab w:val="num" w:pos="960"/>
        </w:tabs>
        <w:spacing w:after="240" w:line="360" w:lineRule="exact"/>
        <w:ind w:left="960" w:hanging="480"/>
        <w:rPr>
          <w:rFonts w:ascii="Times New Roman" w:hint="eastAsia"/>
          <w:iCs/>
          <w:spacing w:val="4"/>
          <w:sz w:val="21"/>
        </w:rPr>
      </w:pPr>
      <w:r>
        <w:rPr>
          <w:rFonts w:ascii="Times New Roman" w:hint="eastAsia"/>
          <w:iCs/>
          <w:spacing w:val="4"/>
          <w:sz w:val="21"/>
        </w:rPr>
        <w:t>接受教育情况。《菲律宾宪法》载有男女儿童接受基础教育的权利，要求国家为全体人民免费提供基础教育。在社会和文化做法方面，教育投资中的性别偏差并不具有系统性，只要父母有经济能力，他们通常会把子女送去上学。但是，不同的文化群体有着不同程度的性别偏见。例如，鲁马德人（土著民族）和穆斯林群体历来愿意让儿子上学而让女儿呆在家里（厄伊，</w:t>
      </w:r>
      <w:r>
        <w:rPr>
          <w:rFonts w:ascii="Times New Roman"/>
          <w:iCs/>
          <w:spacing w:val="4"/>
          <w:sz w:val="21"/>
        </w:rPr>
        <w:t>1990</w:t>
      </w:r>
      <w:r>
        <w:rPr>
          <w:rFonts w:ascii="Times New Roman" w:hint="eastAsia"/>
          <w:iCs/>
          <w:spacing w:val="4"/>
          <w:sz w:val="21"/>
        </w:rPr>
        <w:t>年）。</w:t>
      </w:r>
      <w:r>
        <w:rPr>
          <w:rFonts w:ascii="Times New Roman" w:hint="eastAsia"/>
          <w:iCs/>
          <w:spacing w:val="4"/>
          <w:sz w:val="21"/>
        </w:rPr>
        <w:t xml:space="preserve"> </w:t>
      </w:r>
      <w:r>
        <w:rPr>
          <w:rFonts w:ascii="Times New Roman" w:hint="eastAsia"/>
          <w:iCs/>
          <w:spacing w:val="4"/>
          <w:sz w:val="21"/>
        </w:rPr>
        <w:t>但是，穆斯</w:t>
      </w:r>
      <w:r>
        <w:rPr>
          <w:rFonts w:ascii="Times New Roman" w:hint="eastAsia"/>
          <w:iCs/>
          <w:spacing w:val="4"/>
          <w:sz w:val="21"/>
        </w:rPr>
        <w:t>林的斗争迫使男孩和年轻男子去为某一穆斯林叛乱团伙打仗，大大地影响了他们的教育（阿比托纳，</w:t>
      </w:r>
      <w:r>
        <w:rPr>
          <w:rFonts w:ascii="Times New Roman"/>
          <w:iCs/>
          <w:spacing w:val="4"/>
          <w:sz w:val="21"/>
        </w:rPr>
        <w:t>2002</w:t>
      </w:r>
      <w:r>
        <w:rPr>
          <w:rFonts w:ascii="Times New Roman" w:hint="eastAsia"/>
          <w:iCs/>
          <w:spacing w:val="4"/>
          <w:sz w:val="21"/>
        </w:rPr>
        <w:t>年）。因此，</w:t>
      </w:r>
      <w:r>
        <w:rPr>
          <w:rFonts w:ascii="Times New Roman" w:hint="eastAsia"/>
          <w:iCs/>
          <w:spacing w:val="4"/>
          <w:sz w:val="21"/>
        </w:rPr>
        <w:t>10</w:t>
      </w:r>
      <w:r>
        <w:rPr>
          <w:rFonts w:ascii="Times New Roman" w:hint="eastAsia"/>
          <w:iCs/>
          <w:spacing w:val="4"/>
          <w:sz w:val="21"/>
        </w:rPr>
        <w:t>岁或</w:t>
      </w:r>
      <w:r>
        <w:rPr>
          <w:rFonts w:ascii="Times New Roman" w:hint="eastAsia"/>
          <w:iCs/>
          <w:spacing w:val="4"/>
          <w:sz w:val="21"/>
        </w:rPr>
        <w:t>10</w:t>
      </w:r>
      <w:r>
        <w:rPr>
          <w:rFonts w:ascii="Times New Roman" w:hint="eastAsia"/>
          <w:iCs/>
          <w:spacing w:val="4"/>
          <w:sz w:val="21"/>
        </w:rPr>
        <w:t>岁以上人口的粗识字率在菲律宾其他地区约高达</w:t>
      </w:r>
      <w:r>
        <w:rPr>
          <w:rFonts w:ascii="Times New Roman" w:hint="eastAsia"/>
          <w:iCs/>
          <w:spacing w:val="4"/>
          <w:sz w:val="21"/>
        </w:rPr>
        <w:t>90%</w:t>
      </w:r>
      <w:r>
        <w:rPr>
          <w:rFonts w:ascii="Times New Roman" w:hint="eastAsia"/>
          <w:iCs/>
          <w:spacing w:val="4"/>
          <w:sz w:val="21"/>
        </w:rPr>
        <w:t>或</w:t>
      </w:r>
      <w:r>
        <w:rPr>
          <w:rFonts w:ascii="Times New Roman" w:hint="eastAsia"/>
          <w:iCs/>
          <w:spacing w:val="4"/>
          <w:sz w:val="21"/>
        </w:rPr>
        <w:t>90%</w:t>
      </w:r>
      <w:r>
        <w:rPr>
          <w:rFonts w:ascii="Times New Roman" w:hint="eastAsia"/>
          <w:iCs/>
          <w:spacing w:val="4"/>
          <w:sz w:val="21"/>
        </w:rPr>
        <w:t>以上，而在棉兰老伊斯兰自治区还不到</w:t>
      </w:r>
      <w:r>
        <w:rPr>
          <w:rFonts w:ascii="Times New Roman" w:hint="eastAsia"/>
          <w:iCs/>
          <w:spacing w:val="4"/>
          <w:sz w:val="21"/>
        </w:rPr>
        <w:t>74</w:t>
      </w:r>
      <w:r>
        <w:rPr>
          <w:rFonts w:ascii="Times New Roman"/>
          <w:iCs/>
          <w:spacing w:val="4"/>
          <w:sz w:val="21"/>
        </w:rPr>
        <w:t>.</w:t>
      </w:r>
      <w:r>
        <w:rPr>
          <w:rFonts w:ascii="Times New Roman" w:hint="eastAsia"/>
          <w:iCs/>
          <w:spacing w:val="4"/>
          <w:sz w:val="21"/>
        </w:rPr>
        <w:t>5%</w:t>
      </w:r>
      <w:r>
        <w:rPr>
          <w:rFonts w:ascii="Times New Roman" w:hint="eastAsia"/>
          <w:iCs/>
          <w:spacing w:val="4"/>
          <w:sz w:val="21"/>
        </w:rPr>
        <w:t>，男性的识字率（</w:t>
      </w:r>
      <w:r>
        <w:rPr>
          <w:rFonts w:ascii="Times New Roman" w:hint="eastAsia"/>
          <w:iCs/>
          <w:spacing w:val="4"/>
          <w:sz w:val="21"/>
        </w:rPr>
        <w:t>75</w:t>
      </w:r>
      <w:r>
        <w:rPr>
          <w:rFonts w:ascii="Times New Roman"/>
          <w:iCs/>
          <w:spacing w:val="4"/>
          <w:sz w:val="21"/>
        </w:rPr>
        <w:t>.</w:t>
      </w:r>
      <w:r>
        <w:rPr>
          <w:rFonts w:ascii="Times New Roman" w:hint="eastAsia"/>
          <w:iCs/>
          <w:spacing w:val="4"/>
          <w:sz w:val="21"/>
        </w:rPr>
        <w:t>6%</w:t>
      </w:r>
      <w:r>
        <w:rPr>
          <w:rFonts w:ascii="Times New Roman" w:hint="eastAsia"/>
          <w:iCs/>
          <w:spacing w:val="4"/>
          <w:sz w:val="21"/>
        </w:rPr>
        <w:t>）高于女性（</w:t>
      </w:r>
      <w:r>
        <w:rPr>
          <w:rFonts w:ascii="Times New Roman" w:hint="eastAsia"/>
          <w:iCs/>
          <w:spacing w:val="4"/>
          <w:sz w:val="21"/>
        </w:rPr>
        <w:t>71</w:t>
      </w:r>
      <w:r>
        <w:rPr>
          <w:rFonts w:ascii="Times New Roman"/>
          <w:iCs/>
          <w:spacing w:val="4"/>
          <w:sz w:val="21"/>
        </w:rPr>
        <w:t>.</w:t>
      </w:r>
      <w:r>
        <w:rPr>
          <w:rFonts w:ascii="Times New Roman" w:hint="eastAsia"/>
          <w:iCs/>
          <w:spacing w:val="4"/>
          <w:sz w:val="21"/>
        </w:rPr>
        <w:t>4%</w:t>
      </w:r>
      <w:r>
        <w:rPr>
          <w:rFonts w:ascii="Times New Roman" w:hint="eastAsia"/>
          <w:iCs/>
          <w:spacing w:val="4"/>
          <w:sz w:val="21"/>
        </w:rPr>
        <w:t>）。</w:t>
      </w:r>
    </w:p>
    <w:p w:rsidR="00000000" w:rsidRDefault="00821B8F">
      <w:pPr>
        <w:pStyle w:val="BodyText"/>
        <w:numPr>
          <w:ilvl w:val="0"/>
          <w:numId w:val="1245"/>
        </w:numPr>
        <w:tabs>
          <w:tab w:val="clear" w:pos="285"/>
          <w:tab w:val="num" w:pos="960"/>
        </w:tabs>
        <w:spacing w:after="240" w:line="360" w:lineRule="exact"/>
        <w:ind w:left="960" w:hanging="480"/>
        <w:rPr>
          <w:rFonts w:ascii="Times New Roman" w:hint="eastAsia"/>
          <w:iCs/>
          <w:sz w:val="21"/>
        </w:rPr>
      </w:pPr>
      <w:r>
        <w:rPr>
          <w:rFonts w:ascii="Times New Roman" w:hint="eastAsia"/>
          <w:iCs/>
          <w:sz w:val="21"/>
        </w:rPr>
        <w:t>产权。尽管菲律宾法律支持产权方面的男女平等，但实际上男人被认为是财产的主要拥有者。有些证据表明，拥有资产的父母把土地留给儿子，而花钱让女儿接受教育以保障她们的未来（奎萨姆宾，</w:t>
      </w:r>
      <w:r>
        <w:rPr>
          <w:rFonts w:ascii="Times New Roman"/>
          <w:iCs/>
          <w:sz w:val="21"/>
        </w:rPr>
        <w:t>1990</w:t>
      </w:r>
      <w:r>
        <w:rPr>
          <w:rFonts w:ascii="Times New Roman" w:hint="eastAsia"/>
          <w:iCs/>
          <w:sz w:val="21"/>
        </w:rPr>
        <w:t>年）。这使得男人能够获得数额较高的抵押贷款，而妇女只能获</w:t>
      </w:r>
      <w:r>
        <w:rPr>
          <w:rFonts w:ascii="Times New Roman" w:hint="eastAsia"/>
          <w:iCs/>
          <w:sz w:val="21"/>
        </w:rPr>
        <w:t>得小额贷款。不仅如此，尽管法律允许妇女在没有获得其配偶签字同意的情况下签订合同，但许多金融机构还是要求男性伴侣在合同上签字。如第十五条所指出的，菲律宾的另外一些地区，占上风的习惯法仍在一如既往地歧视妇女和女童。</w:t>
      </w:r>
    </w:p>
    <w:p w:rsidR="00000000" w:rsidRDefault="00821B8F">
      <w:pPr>
        <w:pStyle w:val="BodyText"/>
        <w:numPr>
          <w:ilvl w:val="0"/>
          <w:numId w:val="1245"/>
        </w:numPr>
        <w:tabs>
          <w:tab w:val="clear" w:pos="285"/>
          <w:tab w:val="num" w:pos="960"/>
        </w:tabs>
        <w:spacing w:after="240" w:line="360" w:lineRule="exact"/>
        <w:ind w:left="960" w:hanging="480"/>
        <w:rPr>
          <w:rFonts w:ascii="Times New Roman" w:hint="eastAsia"/>
          <w:iCs/>
          <w:sz w:val="21"/>
        </w:rPr>
      </w:pPr>
      <w:r>
        <w:rPr>
          <w:rFonts w:ascii="Times New Roman" w:hint="eastAsia"/>
          <w:iCs/>
          <w:sz w:val="21"/>
        </w:rPr>
        <w:t>工作和性别分工。菲律宾有许多地区，操持家务和满足家庭需要的责任落在妇女身上。工资低、生活费用高昂，迫使许多夫妇两人都去工作，甚至还要靠子女赚钱来补贴家用。如果家里有幼儿需要集中精力照看，那么妇女在家里劳动的时间至少是男子的两倍（伊洛，</w:t>
      </w:r>
      <w:r>
        <w:rPr>
          <w:rFonts w:ascii="Times New Roman"/>
          <w:iCs/>
          <w:sz w:val="21"/>
        </w:rPr>
        <w:t>1997</w:t>
      </w:r>
      <w:r>
        <w:rPr>
          <w:rFonts w:ascii="Times New Roman" w:hint="eastAsia"/>
          <w:iCs/>
          <w:sz w:val="21"/>
        </w:rPr>
        <w:t>年）。把这个时间与妇女为赚取工资和</w:t>
      </w:r>
      <w:r>
        <w:rPr>
          <w:rFonts w:ascii="Times New Roman" w:hint="eastAsia"/>
          <w:iCs/>
          <w:sz w:val="21"/>
        </w:rPr>
        <w:t>/</w:t>
      </w:r>
      <w:r>
        <w:rPr>
          <w:rFonts w:ascii="Times New Roman" w:hint="eastAsia"/>
          <w:iCs/>
          <w:sz w:val="21"/>
        </w:rPr>
        <w:t>或市场生产活动所用的工</w:t>
      </w:r>
      <w:r>
        <w:rPr>
          <w:rFonts w:ascii="Times New Roman" w:hint="eastAsia"/>
          <w:iCs/>
          <w:sz w:val="21"/>
        </w:rPr>
        <w:t>时相加得出的结果是，妇女工作负荷加倍现象值得注意。在过去的十年左右的时间里，城市里的夫妇越来越多地把子女交给住在乡下的祖父母来照看，自己只满足于在周末去探视。对于没有能力雇用家庭帮手或夫妻双方由于城市交通日益恶化不得不早出晚归的家庭来说，这种安排已经成为一种必要的方式。在某些穆斯林团体内，妇女的户外活动受到限制，因此她们也难以找到有报酬的工作，如贸易活动。许多穆斯林妇女和土著妇女由于教育程度低下，在寻求高工资的工作时受到严重限制。性别分工规范不仅在家庭，而且在公司和雇主中都有所体现。从分配工作任务以及雇主指</w:t>
      </w:r>
      <w:r>
        <w:rPr>
          <w:rFonts w:ascii="Times New Roman" w:hint="eastAsia"/>
          <w:iCs/>
          <w:sz w:val="21"/>
        </w:rPr>
        <w:t>定某种性别完成某些任务时的偏向来看，这种规范都非常明显。</w:t>
      </w:r>
    </w:p>
    <w:p w:rsidR="00000000" w:rsidRDefault="00821B8F">
      <w:pPr>
        <w:pStyle w:val="BodyText"/>
        <w:numPr>
          <w:ilvl w:val="0"/>
          <w:numId w:val="1245"/>
        </w:numPr>
        <w:tabs>
          <w:tab w:val="clear" w:pos="285"/>
          <w:tab w:val="num" w:pos="960"/>
        </w:tabs>
        <w:spacing w:after="240" w:line="360" w:lineRule="exact"/>
        <w:ind w:left="960" w:hanging="480"/>
        <w:rPr>
          <w:rFonts w:ascii="Times New Roman" w:hint="eastAsia"/>
          <w:iCs/>
          <w:sz w:val="21"/>
        </w:rPr>
      </w:pPr>
      <w:r>
        <w:rPr>
          <w:rFonts w:ascii="Times New Roman" w:hint="eastAsia"/>
          <w:iCs/>
          <w:sz w:val="21"/>
        </w:rPr>
        <w:t>家庭规模和对妇女身体的控制。菲律宾的人口增长率一直很高，比邻国高得多。在天主教徒占多数的国家里，将人工避孕作为计划生育或人口控制的手段是一个有争议的话题，有时还会引起天主教会与政府的对抗。计划生育方案通常围绕妇女的生育率来执行，宣传活动也只是针对妇女，尽管往往由男方来决定是否采取避孕措施。这一方案的缺陷铸就了一连串对妇女参与劳动力和就业产生影响的事件：频繁怀孕、家庭人口多以及妇女不断地需要时间照看子女。近几年来，政府采纳了天主教的规矩，提倡做负责任的</w:t>
      </w:r>
      <w:r>
        <w:rPr>
          <w:rFonts w:ascii="Times New Roman" w:hint="eastAsia"/>
          <w:iCs/>
          <w:sz w:val="21"/>
        </w:rPr>
        <w:t>父母和自然计划生育，使得国家计划生育方案受到负面影响并放慢了执行速度。</w:t>
      </w:r>
    </w:p>
    <w:p w:rsidR="00000000" w:rsidRDefault="00821B8F">
      <w:pPr>
        <w:pStyle w:val="H1"/>
        <w:rPr>
          <w:rFonts w:hint="eastAsia"/>
        </w:rPr>
      </w:pPr>
      <w:r>
        <w:br w:type="page"/>
      </w:r>
      <w:r>
        <w:rPr>
          <w:rFonts w:hint="eastAsia"/>
        </w:rPr>
        <w:t>二、妇女状况的改变</w:t>
      </w:r>
    </w:p>
    <w:p w:rsidR="00000000" w:rsidRDefault="00821B8F">
      <w:pPr>
        <w:pStyle w:val="BodyText"/>
        <w:tabs>
          <w:tab w:val="left" w:pos="1620"/>
        </w:tabs>
        <w:spacing w:after="240" w:line="360" w:lineRule="exact"/>
        <w:rPr>
          <w:rFonts w:hint="eastAsia"/>
          <w:iCs/>
          <w:sz w:val="21"/>
        </w:rPr>
      </w:pPr>
      <w:r>
        <w:rPr>
          <w:rFonts w:hint="eastAsia"/>
          <w:iCs/>
          <w:sz w:val="21"/>
        </w:rPr>
        <w:t>积极的发展态势</w:t>
      </w:r>
    </w:p>
    <w:p w:rsidR="00000000" w:rsidRDefault="00821B8F">
      <w:pPr>
        <w:pStyle w:val="BodyText"/>
        <w:tabs>
          <w:tab w:val="left" w:pos="1620"/>
        </w:tabs>
        <w:spacing w:after="240" w:line="360" w:lineRule="exact"/>
        <w:rPr>
          <w:rFonts w:ascii="SimHei" w:eastAsia="SimHei" w:hint="eastAsia"/>
          <w:bCs/>
          <w:iCs/>
          <w:color w:val="FF0000"/>
          <w:sz w:val="21"/>
        </w:rPr>
      </w:pPr>
      <w:r>
        <w:rPr>
          <w:rFonts w:ascii="SimHei" w:eastAsia="SimHei" w:hint="eastAsia"/>
          <w:bCs/>
          <w:iCs/>
          <w:color w:val="FF0000"/>
          <w:sz w:val="21"/>
        </w:rPr>
        <w:t>《菲律宾宪法》中对妇女作用的承认</w:t>
      </w:r>
    </w:p>
    <w:p w:rsidR="00000000" w:rsidRDefault="00821B8F">
      <w:pPr>
        <w:numPr>
          <w:ilvl w:val="0"/>
          <w:numId w:val="1236"/>
        </w:numPr>
        <w:spacing w:after="240" w:line="360" w:lineRule="exact"/>
        <w:rPr>
          <w:rFonts w:hint="eastAsia"/>
        </w:rPr>
      </w:pPr>
      <w:r>
        <w:rPr>
          <w:rFonts w:hint="eastAsia"/>
        </w:rPr>
        <w:t>《菲律宾宪法》承认妇女在国家建设过程中所起的作用，这为把妇女看成一个有权在各种决策机构中拥有代表的群体提供了坚实的基础。把妇女与农民、工人和土著民族等其他社会经济团体一起纳入边际化部门，使妇女有资格竞选众议院为边际化部门保留的五十（</w:t>
      </w:r>
      <w:r>
        <w:rPr>
          <w:rFonts w:hint="eastAsia"/>
        </w:rPr>
        <w:t>50</w:t>
      </w:r>
      <w:r>
        <w:rPr>
          <w:rFonts w:hint="eastAsia"/>
        </w:rPr>
        <w:t>）个席位。妇女还在负责协调减轻贫穷方案的全国扶贫委员会等重要的行政机构中任职。为妇女保留席位的机构还有全国土著人民委员会，委员会的七</w:t>
      </w:r>
      <w:r>
        <w:rPr>
          <w:rFonts w:hint="eastAsia"/>
        </w:rPr>
        <w:t>名成员中有两名妇女。总统和平进程顾问办公室中也有妇女任职。</w:t>
      </w:r>
    </w:p>
    <w:p w:rsidR="00000000" w:rsidRDefault="00821B8F">
      <w:pPr>
        <w:numPr>
          <w:ilvl w:val="0"/>
          <w:numId w:val="1236"/>
        </w:numPr>
        <w:spacing w:after="240" w:line="360" w:lineRule="exact"/>
        <w:rPr>
          <w:rFonts w:hint="eastAsia"/>
        </w:rPr>
      </w:pPr>
      <w:r>
        <w:rPr>
          <w:rFonts w:hint="eastAsia"/>
        </w:rPr>
        <w:t>宪法保障有助于菲律宾定期制订一系列的妇女计划，第一个计划是</w:t>
      </w:r>
      <w:r>
        <w:rPr>
          <w:rFonts w:hint="eastAsia"/>
        </w:rPr>
        <w:t>1989-1992</w:t>
      </w:r>
      <w:r>
        <w:rPr>
          <w:rFonts w:hint="eastAsia"/>
        </w:rPr>
        <w:t>年菲律宾妇女发展计划，目前的计划是妇女问题框架计划。宪法保障带来的另一个具体好处是，国家预算中每年至少拨款</w:t>
      </w:r>
      <w:r>
        <w:rPr>
          <w:rFonts w:hint="eastAsia"/>
        </w:rPr>
        <w:t>5%</w:t>
      </w:r>
      <w:r>
        <w:rPr>
          <w:rFonts w:hint="eastAsia"/>
        </w:rPr>
        <w:t>用于这些计划的实施。</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提高识字率、降低产妇死亡率和延长预期寿命</w:t>
      </w:r>
    </w:p>
    <w:p w:rsidR="00000000" w:rsidRDefault="00821B8F">
      <w:pPr>
        <w:numPr>
          <w:ilvl w:val="0"/>
          <w:numId w:val="1236"/>
        </w:numPr>
        <w:spacing w:after="240" w:line="360" w:lineRule="exact"/>
        <w:rPr>
          <w:rFonts w:hint="eastAsia"/>
        </w:rPr>
      </w:pPr>
      <w:r>
        <w:rPr>
          <w:rFonts w:hint="eastAsia"/>
        </w:rPr>
        <w:t>1996-2002</w:t>
      </w:r>
      <w:r>
        <w:rPr>
          <w:rFonts w:hint="eastAsia"/>
        </w:rPr>
        <w:t>年间，菲律宾妇女的健康和教育领域得到了改善。妇女在识字、入学和职业选择方面发生了有利的变化。产妇死亡率和预期寿命等健康指数也呈现了好转的趋势。由于政府对性别问题的认识程度越来越高，所颁</w:t>
      </w:r>
      <w:r>
        <w:rPr>
          <w:rFonts w:hint="eastAsia"/>
        </w:rPr>
        <w:t>布的政策和实施的方案也越来越对性别问题具有敏感性。把性别与发展目标纳入政府的计划和方案之中，有助于产生这种积极的变化。与其他国家相比，在根据按性别开列的发展指数和妇女权力指数打分时，菲律宾在参加打分的国家中排在前一半（开发计划署</w:t>
      </w:r>
      <w:r>
        <w:rPr>
          <w:rFonts w:hint="eastAsia"/>
        </w:rPr>
        <w:t>/</w:t>
      </w:r>
      <w:r>
        <w:rPr>
          <w:rFonts w:hint="eastAsia"/>
        </w:rPr>
        <w:t>人类发展报告，各年的数据）。</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加强对妇女的支助服务</w:t>
      </w:r>
    </w:p>
    <w:p w:rsidR="00000000" w:rsidRDefault="00821B8F">
      <w:pPr>
        <w:numPr>
          <w:ilvl w:val="0"/>
          <w:numId w:val="1236"/>
        </w:numPr>
        <w:spacing w:after="240" w:line="360" w:lineRule="exact"/>
        <w:rPr>
          <w:rFonts w:hint="eastAsia"/>
        </w:rPr>
      </w:pPr>
      <w:r>
        <w:rPr>
          <w:rFonts w:hint="eastAsia"/>
        </w:rPr>
        <w:t>在</w:t>
      </w:r>
      <w:r>
        <w:rPr>
          <w:rFonts w:hint="eastAsia"/>
        </w:rPr>
        <w:t>1990</w:t>
      </w:r>
      <w:r>
        <w:rPr>
          <w:rFonts w:hint="eastAsia"/>
        </w:rPr>
        <w:t>年通过的《第</w:t>
      </w:r>
      <w:r>
        <w:rPr>
          <w:rFonts w:hint="eastAsia"/>
        </w:rPr>
        <w:t>6972</w:t>
      </w:r>
      <w:r>
        <w:rPr>
          <w:rFonts w:hint="eastAsia"/>
        </w:rPr>
        <w:t>号共和国法令》实施之后，每个镇都必须设立一个日托中心。于是，到</w:t>
      </w:r>
      <w:r>
        <w:rPr>
          <w:rFonts w:hint="eastAsia"/>
        </w:rPr>
        <w:t>2000</w:t>
      </w:r>
      <w:r>
        <w:rPr>
          <w:rFonts w:hint="eastAsia"/>
        </w:rPr>
        <w:t>年，共建立了大约</w:t>
      </w:r>
      <w:r>
        <w:rPr>
          <w:rFonts w:hint="eastAsia"/>
        </w:rPr>
        <w:t>35 000</w:t>
      </w:r>
      <w:r>
        <w:rPr>
          <w:rFonts w:hint="eastAsia"/>
        </w:rPr>
        <w:t>个日托中心。有人批评说，日托中心作为一种支助机制和一种减缓贫穷的直接努力，并没有为妇女腾出多少时间来使</w:t>
      </w:r>
      <w:r>
        <w:rPr>
          <w:rFonts w:hint="eastAsia"/>
        </w:rPr>
        <w:t>她们参加有报酬的工作。不过，日托中心毕竟还是减轻了妇女照看孩子的负担，使做母亲的有时间为她们自己干些别的事情，即便不是赚钱。日托中心还为学龄前儿童提供了一种通常只有中高收入家庭的孩子才能享受的正规学习环境。</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扩大在职业行政事务中的代表份额</w:t>
      </w:r>
    </w:p>
    <w:p w:rsidR="00000000" w:rsidRDefault="00821B8F">
      <w:pPr>
        <w:numPr>
          <w:ilvl w:val="0"/>
          <w:numId w:val="1236"/>
        </w:numPr>
        <w:spacing w:after="240" w:line="360" w:lineRule="exact"/>
        <w:rPr>
          <w:rFonts w:hint="eastAsia"/>
        </w:rPr>
      </w:pPr>
      <w:r>
        <w:rPr>
          <w:rFonts w:hint="eastAsia"/>
        </w:rPr>
        <w:t>根据公务员事务委员会的报告，</w:t>
      </w:r>
      <w:r>
        <w:rPr>
          <w:rFonts w:hint="eastAsia"/>
        </w:rPr>
        <w:t>2002</w:t>
      </w:r>
      <w:r>
        <w:rPr>
          <w:rFonts w:hint="eastAsia"/>
        </w:rPr>
        <w:t>年妇女在宪法机构和国家政府机构中占据了</w:t>
      </w:r>
      <w:r>
        <w:rPr>
          <w:rFonts w:hint="eastAsia"/>
        </w:rPr>
        <w:t>1 148</w:t>
      </w:r>
      <w:r>
        <w:rPr>
          <w:rFonts w:hint="eastAsia"/>
        </w:rPr>
        <w:t>个职业行政事务职位，包括被任命为代理主管或办公室主管。这在有人任职的全部职业行政事务职位中大约占</w:t>
      </w:r>
      <w:r>
        <w:rPr>
          <w:rFonts w:hint="eastAsia"/>
        </w:rPr>
        <w:t>36%</w:t>
      </w:r>
      <w:r>
        <w:rPr>
          <w:rFonts w:hint="eastAsia"/>
        </w:rPr>
        <w:t>。在政府拥有或控制的公司中，妇女占据</w:t>
      </w:r>
      <w:r>
        <w:rPr>
          <w:rFonts w:hint="eastAsia"/>
        </w:rPr>
        <w:t>963</w:t>
      </w:r>
      <w:r>
        <w:rPr>
          <w:rFonts w:hint="eastAsia"/>
        </w:rPr>
        <w:t>个职业行政事务职位，或在有人任职的全部职业行</w:t>
      </w:r>
      <w:r>
        <w:rPr>
          <w:rFonts w:hint="eastAsia"/>
        </w:rPr>
        <w:t>政事务职位中占</w:t>
      </w:r>
      <w:r>
        <w:rPr>
          <w:rFonts w:hint="eastAsia"/>
        </w:rPr>
        <w:t>43%</w:t>
      </w:r>
      <w:r>
        <w:rPr>
          <w:rFonts w:hint="eastAsia"/>
        </w:rPr>
        <w:t>。宪法机构</w:t>
      </w:r>
      <w:r>
        <w:rPr>
          <w:rFonts w:hint="eastAsia"/>
        </w:rPr>
        <w:t>/</w:t>
      </w:r>
      <w:r>
        <w:rPr>
          <w:rFonts w:hint="eastAsia"/>
        </w:rPr>
        <w:t>国家政府机构的职业行政事务一级的任命人员中的妇女人数要少一些（</w:t>
      </w:r>
      <w:r>
        <w:rPr>
          <w:rFonts w:hint="eastAsia"/>
        </w:rPr>
        <w:t>1 056</w:t>
      </w:r>
      <w:r>
        <w:rPr>
          <w:rFonts w:hint="eastAsia"/>
        </w:rPr>
        <w:t>人，或占总数的</w:t>
      </w:r>
      <w:r>
        <w:rPr>
          <w:rFonts w:hint="eastAsia"/>
        </w:rPr>
        <w:t>37%</w:t>
      </w:r>
      <w:r>
        <w:rPr>
          <w:rFonts w:hint="eastAsia"/>
        </w:rPr>
        <w:t>）。</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扩大在军事院校中的参与率</w:t>
      </w:r>
    </w:p>
    <w:p w:rsidR="00000000" w:rsidRDefault="00821B8F">
      <w:pPr>
        <w:numPr>
          <w:ilvl w:val="0"/>
          <w:numId w:val="1236"/>
        </w:numPr>
        <w:spacing w:after="240" w:line="360" w:lineRule="exact"/>
        <w:rPr>
          <w:rFonts w:hint="eastAsia"/>
        </w:rPr>
      </w:pPr>
      <w:r>
        <w:rPr>
          <w:rFonts w:hint="eastAsia"/>
        </w:rPr>
        <w:t>以前专属于男子的那些职业领域（例如军事训练以及焊接、汽车和电子等“艰苦”的职业和技术）对妇女开放，展示了妇女在这些方面即使不能超过男人，起码可以做到和男子一样好。</w:t>
      </w:r>
      <w:r>
        <w:rPr>
          <w:rFonts w:hint="eastAsia"/>
        </w:rPr>
        <w:t>1997</w:t>
      </w:r>
      <w:r>
        <w:rPr>
          <w:rFonts w:hint="eastAsia"/>
        </w:rPr>
        <w:t>年</w:t>
      </w:r>
      <w:r>
        <w:rPr>
          <w:rFonts w:hint="eastAsia"/>
        </w:rPr>
        <w:t>7</w:t>
      </w:r>
      <w:r>
        <w:rPr>
          <w:rFonts w:hint="eastAsia"/>
        </w:rPr>
        <w:t>月毕业的</w:t>
      </w:r>
      <w:r>
        <w:rPr>
          <w:rFonts w:hint="eastAsia"/>
        </w:rPr>
        <w:t>148</w:t>
      </w:r>
      <w:r>
        <w:rPr>
          <w:rFonts w:hint="eastAsia"/>
        </w:rPr>
        <w:t>名菲律宾军事学院毕业生中有七名妇女，其中一人还荣获最高奖。在</w:t>
      </w:r>
      <w:r>
        <w:rPr>
          <w:rFonts w:hint="eastAsia"/>
        </w:rPr>
        <w:t>1999-2000</w:t>
      </w:r>
      <w:r>
        <w:rPr>
          <w:rFonts w:hint="eastAsia"/>
        </w:rPr>
        <w:t>学年的入学考试中，一位妇女名列榜首，还有两位妇女排在前十名。这些成绩有力地说明，妇女具有在</w:t>
      </w:r>
      <w:r>
        <w:rPr>
          <w:rFonts w:hint="eastAsia"/>
        </w:rPr>
        <w:t>军队中担任领导职务的潜力。</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扩大在警察部队和警校中的参与率</w:t>
      </w:r>
    </w:p>
    <w:p w:rsidR="00000000" w:rsidRDefault="00821B8F">
      <w:pPr>
        <w:numPr>
          <w:ilvl w:val="0"/>
          <w:numId w:val="1236"/>
        </w:numPr>
        <w:spacing w:after="240" w:line="360" w:lineRule="exact"/>
        <w:rPr>
          <w:rFonts w:hint="eastAsia"/>
        </w:rPr>
      </w:pPr>
      <w:r>
        <w:rPr>
          <w:rFonts w:hint="eastAsia"/>
        </w:rPr>
        <w:t>自从第</w:t>
      </w:r>
      <w:r>
        <w:rPr>
          <w:rFonts w:hint="eastAsia"/>
        </w:rPr>
        <w:t>8551</w:t>
      </w:r>
      <w:r>
        <w:rPr>
          <w:rFonts w:hint="eastAsia"/>
        </w:rPr>
        <w:t>号共和国法令，即《</w:t>
      </w:r>
      <w:r>
        <w:rPr>
          <w:rFonts w:hint="eastAsia"/>
        </w:rPr>
        <w:t>1998</w:t>
      </w:r>
      <w:r>
        <w:rPr>
          <w:rFonts w:hint="eastAsia"/>
        </w:rPr>
        <w:t>年菲律宾国民警察部队改革和改组法》通过以来，每年录用的女警官人数一直超过规定的</w:t>
      </w:r>
      <w:r>
        <w:rPr>
          <w:rFonts w:hint="eastAsia"/>
        </w:rPr>
        <w:t>10%</w:t>
      </w:r>
      <w:r>
        <w:rPr>
          <w:rFonts w:hint="eastAsia"/>
        </w:rPr>
        <w:t>这一配额。虽说开始时曾经从</w:t>
      </w:r>
      <w:r>
        <w:rPr>
          <w:rFonts w:hint="eastAsia"/>
        </w:rPr>
        <w:t>1999</w:t>
      </w:r>
      <w:r>
        <w:rPr>
          <w:rFonts w:hint="eastAsia"/>
        </w:rPr>
        <w:t>年的</w:t>
      </w:r>
      <w:r>
        <w:rPr>
          <w:rFonts w:hint="eastAsia"/>
        </w:rPr>
        <w:t>15%</w:t>
      </w:r>
      <w:r>
        <w:rPr>
          <w:rFonts w:hint="eastAsia"/>
        </w:rPr>
        <w:t>下降到</w:t>
      </w:r>
      <w:r>
        <w:rPr>
          <w:rFonts w:hint="eastAsia"/>
        </w:rPr>
        <w:t>2000</w:t>
      </w:r>
      <w:r>
        <w:rPr>
          <w:rFonts w:hint="eastAsia"/>
        </w:rPr>
        <w:t>年的</w:t>
      </w:r>
      <w:r>
        <w:rPr>
          <w:rFonts w:hint="eastAsia"/>
        </w:rPr>
        <w:t>11%</w:t>
      </w:r>
      <w:r>
        <w:rPr>
          <w:rFonts w:hint="eastAsia"/>
        </w:rPr>
        <w:t>，但此后一直在上升。到</w:t>
      </w:r>
      <w:r>
        <w:rPr>
          <w:rFonts w:hint="eastAsia"/>
        </w:rPr>
        <w:t>2002</w:t>
      </w:r>
      <w:r>
        <w:rPr>
          <w:rFonts w:hint="eastAsia"/>
        </w:rPr>
        <w:t>年，被录用的妇女占总数的</w:t>
      </w:r>
      <w:r>
        <w:rPr>
          <w:rFonts w:hint="eastAsia"/>
        </w:rPr>
        <w:t>17%</w:t>
      </w:r>
      <w:r>
        <w:rPr>
          <w:rFonts w:hint="eastAsia"/>
        </w:rPr>
        <w:t>，其中大多数担任低级警官职务。还没有妇女担任最高层的警官职务（菲律宾国民警察部队，</w:t>
      </w:r>
      <w:r>
        <w:rPr>
          <w:rFonts w:hint="eastAsia"/>
        </w:rPr>
        <w:t>2002</w:t>
      </w:r>
      <w:r>
        <w:rPr>
          <w:rFonts w:hint="eastAsia"/>
        </w:rPr>
        <w:t>年）。但是，</w:t>
      </w:r>
      <w:r>
        <w:rPr>
          <w:rFonts w:hint="eastAsia"/>
        </w:rPr>
        <w:t>1999</w:t>
      </w:r>
      <w:r>
        <w:rPr>
          <w:rFonts w:hint="eastAsia"/>
        </w:rPr>
        <w:t>年，警察学院通过了一项积极的行动方案，根据该方案，女警官可以平行调动担任指挥官。</w:t>
      </w:r>
      <w:r>
        <w:rPr>
          <w:rFonts w:hint="eastAsia"/>
        </w:rPr>
        <w:t>1999-</w:t>
      </w:r>
      <w:r>
        <w:rPr>
          <w:rFonts w:hint="eastAsia"/>
        </w:rPr>
        <w:t>2002</w:t>
      </w:r>
      <w:r>
        <w:rPr>
          <w:rFonts w:hint="eastAsia"/>
        </w:rPr>
        <w:t>年间，一共录用了</w:t>
      </w:r>
      <w:r>
        <w:rPr>
          <w:rFonts w:hint="eastAsia"/>
        </w:rPr>
        <w:t>1 781</w:t>
      </w:r>
      <w:r>
        <w:rPr>
          <w:rFonts w:hint="eastAsia"/>
        </w:rPr>
        <w:t>名女警官，占警官总数的</w:t>
      </w:r>
      <w:r>
        <w:rPr>
          <w:rFonts w:hint="eastAsia"/>
        </w:rPr>
        <w:t>14%</w:t>
      </w:r>
      <w:r>
        <w:rPr>
          <w:rFonts w:hint="eastAsia"/>
        </w:rPr>
        <w:t>（菲律宾国民警察部队，</w:t>
      </w:r>
      <w:r>
        <w:rPr>
          <w:rFonts w:hint="eastAsia"/>
        </w:rPr>
        <w:t>2002</w:t>
      </w:r>
      <w:r>
        <w:rPr>
          <w:rFonts w:hint="eastAsia"/>
        </w:rPr>
        <w:t>年）。</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在经济区采取更多的措施打击性骚扰</w:t>
      </w:r>
    </w:p>
    <w:p w:rsidR="00000000" w:rsidRDefault="00821B8F">
      <w:pPr>
        <w:numPr>
          <w:ilvl w:val="0"/>
          <w:numId w:val="1236"/>
        </w:numPr>
        <w:spacing w:after="240" w:line="360" w:lineRule="exact"/>
        <w:rPr>
          <w:rFonts w:hint="eastAsia"/>
          <w:iCs/>
        </w:rPr>
      </w:pPr>
      <w:r>
        <w:rPr>
          <w:rFonts w:hint="eastAsia"/>
          <w:iCs/>
        </w:rPr>
        <w:t>菲律宾经济区管理局报告，通过在</w:t>
      </w:r>
      <w:r>
        <w:rPr>
          <w:rFonts w:hint="eastAsia"/>
          <w:iCs/>
        </w:rPr>
        <w:t>151</w:t>
      </w:r>
      <w:r>
        <w:rPr>
          <w:rFonts w:hint="eastAsia"/>
          <w:iCs/>
        </w:rPr>
        <w:t>家选定企业和五家设在经济区管理局总部</w:t>
      </w:r>
      <w:r>
        <w:rPr>
          <w:rFonts w:hint="eastAsia"/>
          <w:iCs/>
        </w:rPr>
        <w:t>/</w:t>
      </w:r>
      <w:r>
        <w:rPr>
          <w:rFonts w:hint="eastAsia"/>
          <w:iCs/>
        </w:rPr>
        <w:t>经济区办事处成立礼节调查委员会，第</w:t>
      </w:r>
      <w:r>
        <w:rPr>
          <w:rFonts w:hint="eastAsia"/>
          <w:iCs/>
        </w:rPr>
        <w:t>7877</w:t>
      </w:r>
      <w:r>
        <w:rPr>
          <w:rFonts w:hint="eastAsia"/>
          <w:iCs/>
        </w:rPr>
        <w:t>号共和国法令，或《</w:t>
      </w:r>
      <w:r>
        <w:rPr>
          <w:rFonts w:hint="eastAsia"/>
          <w:iCs/>
        </w:rPr>
        <w:t>1995</w:t>
      </w:r>
      <w:r>
        <w:rPr>
          <w:rFonts w:hint="eastAsia"/>
          <w:iCs/>
        </w:rPr>
        <w:t>年惩治性骚扰法》已经在工厂一级开始实施。有九家企业制订了惩治性骚扰政策，有三个经济区设立了妇女接待处。不过，经济区设立的这些委员会产生了什么影响，还有待于研究。</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扩大有收益的就业和技能培训</w:t>
      </w:r>
    </w:p>
    <w:p w:rsidR="00000000" w:rsidRDefault="00821B8F">
      <w:pPr>
        <w:numPr>
          <w:ilvl w:val="0"/>
          <w:numId w:val="1236"/>
        </w:numPr>
        <w:spacing w:after="240" w:line="360" w:lineRule="exact"/>
        <w:rPr>
          <w:rFonts w:hint="eastAsia"/>
        </w:rPr>
      </w:pPr>
      <w:r>
        <w:rPr>
          <w:rFonts w:hint="eastAsia"/>
        </w:rPr>
        <w:t>社会福利部的技能培训方案不断获得成果。</w:t>
      </w:r>
      <w:r>
        <w:rPr>
          <w:rFonts w:hint="eastAsia"/>
        </w:rPr>
        <w:t>1995</w:t>
      </w:r>
      <w:r>
        <w:rPr>
          <w:rFonts w:hint="eastAsia"/>
        </w:rPr>
        <w:t>年</w:t>
      </w:r>
      <w:r>
        <w:rPr>
          <w:rFonts w:hint="eastAsia"/>
        </w:rPr>
        <w:t>6</w:t>
      </w:r>
      <w:r>
        <w:rPr>
          <w:rFonts w:hint="eastAsia"/>
        </w:rPr>
        <w:t>月至</w:t>
      </w:r>
      <w:r>
        <w:rPr>
          <w:rFonts w:hint="eastAsia"/>
        </w:rPr>
        <w:t>1999</w:t>
      </w:r>
      <w:r>
        <w:rPr>
          <w:rFonts w:hint="eastAsia"/>
        </w:rPr>
        <w:t>年</w:t>
      </w:r>
      <w:r>
        <w:rPr>
          <w:rFonts w:hint="eastAsia"/>
        </w:rPr>
        <w:t>6</w:t>
      </w:r>
      <w:r>
        <w:rPr>
          <w:rFonts w:hint="eastAsia"/>
        </w:rPr>
        <w:t>月，约</w:t>
      </w:r>
      <w:r>
        <w:rPr>
          <w:rFonts w:hint="eastAsia"/>
        </w:rPr>
        <w:t>166 293</w:t>
      </w:r>
      <w:r>
        <w:rPr>
          <w:rFonts w:hint="eastAsia"/>
        </w:rPr>
        <w:t>名妇女在全国各地的</w:t>
      </w:r>
      <w:r>
        <w:rPr>
          <w:rFonts w:hint="eastAsia"/>
        </w:rPr>
        <w:t>107</w:t>
      </w:r>
      <w:r>
        <w:rPr>
          <w:rFonts w:hint="eastAsia"/>
        </w:rPr>
        <w:t>家处境不利妇女生产技能和能力建设中心执行的技能培训中受益。这些学员中有</w:t>
      </w:r>
      <w:r>
        <w:rPr>
          <w:rFonts w:hint="eastAsia"/>
        </w:rPr>
        <w:t>136 262</w:t>
      </w:r>
      <w:r>
        <w:rPr>
          <w:rFonts w:hint="eastAsia"/>
        </w:rPr>
        <w:t>人（占学员的</w:t>
      </w:r>
      <w:r>
        <w:rPr>
          <w:rFonts w:hint="eastAsia"/>
        </w:rPr>
        <w:t>82%</w:t>
      </w:r>
      <w:r>
        <w:rPr>
          <w:rFonts w:hint="eastAsia"/>
        </w:rPr>
        <w:t>）最终被吸纳到劳动力队伍之中。</w:t>
      </w:r>
      <w:r>
        <w:rPr>
          <w:rFonts w:hint="eastAsia"/>
        </w:rPr>
        <w:t>2001</w:t>
      </w:r>
      <w:r>
        <w:rPr>
          <w:rFonts w:hint="eastAsia"/>
        </w:rPr>
        <w:t>年，一共有</w:t>
      </w:r>
      <w:r>
        <w:rPr>
          <w:rFonts w:hint="eastAsia"/>
        </w:rPr>
        <w:t>31 827</w:t>
      </w:r>
      <w:r>
        <w:rPr>
          <w:rFonts w:hint="eastAsia"/>
        </w:rPr>
        <w:t>名处境不利妇女接受了培训，其中的</w:t>
      </w:r>
      <w:r>
        <w:rPr>
          <w:rFonts w:hint="eastAsia"/>
        </w:rPr>
        <w:t>87%</w:t>
      </w:r>
      <w:r>
        <w:rPr>
          <w:rFonts w:hint="eastAsia"/>
        </w:rPr>
        <w:t>通过公开招聘、自谋职业、分包培训和其他途径走上了有收益的工作岗位。在技术教育和技能发展管理局，经过培训的女焊工打败了男焊工而赢得奖项。</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color w:val="0000FF"/>
          <w:sz w:val="21"/>
        </w:rPr>
        <w:br w:type="page"/>
      </w:r>
      <w:r>
        <w:rPr>
          <w:rFonts w:eastAsia="KaiTi_GB2312" w:hint="eastAsia"/>
          <w:color w:val="0000FF"/>
          <w:sz w:val="21"/>
        </w:rPr>
        <w:t>在国家一级将性别观点纳入主流</w:t>
      </w:r>
    </w:p>
    <w:p w:rsidR="00000000" w:rsidRDefault="00821B8F">
      <w:pPr>
        <w:numPr>
          <w:ilvl w:val="0"/>
          <w:numId w:val="1236"/>
        </w:numPr>
        <w:spacing w:after="240" w:line="360" w:lineRule="exact"/>
        <w:rPr>
          <w:rFonts w:hint="eastAsia"/>
        </w:rPr>
      </w:pPr>
      <w:r>
        <w:rPr>
          <w:rFonts w:hint="eastAsia"/>
        </w:rPr>
        <w:t>加拿大国际开发署对其支助的工作进行了评价，结果表明，菲律宾政府将性别观点纳入主流</w:t>
      </w:r>
      <w:r>
        <w:rPr>
          <w:rFonts w:hint="eastAsia"/>
        </w:rPr>
        <w:t>的战略取得了成果，其中包括（沙尔克威克，</w:t>
      </w:r>
      <w:r>
        <w:t>2002</w:t>
      </w:r>
      <w:r>
        <w:rPr>
          <w:rFonts w:hint="eastAsia"/>
        </w:rPr>
        <w:t>年）：</w:t>
      </w:r>
    </w:p>
    <w:p w:rsidR="00000000" w:rsidRDefault="00821B8F">
      <w:pPr>
        <w:pStyle w:val="BodyText"/>
        <w:numPr>
          <w:ilvl w:val="0"/>
          <w:numId w:val="1246"/>
        </w:numPr>
        <w:tabs>
          <w:tab w:val="clear" w:pos="405"/>
          <w:tab w:val="num" w:pos="960"/>
        </w:tabs>
        <w:spacing w:after="240" w:line="360" w:lineRule="exact"/>
        <w:ind w:left="960" w:hanging="480"/>
        <w:rPr>
          <w:rFonts w:ascii="Times New Roman" w:hint="eastAsia"/>
          <w:sz w:val="21"/>
        </w:rPr>
      </w:pPr>
      <w:r>
        <w:rPr>
          <w:rFonts w:ascii="Times New Roman" w:eastAsia="KaiTi_GB2312" w:hint="eastAsia"/>
          <w:color w:val="0000FF"/>
          <w:sz w:val="21"/>
        </w:rPr>
        <w:t>通过在社区一级更有力地处理家庭暴力，增强个人安全感。</w:t>
      </w:r>
      <w:r>
        <w:rPr>
          <w:rFonts w:ascii="Times New Roman" w:hint="eastAsia"/>
          <w:sz w:val="21"/>
        </w:rPr>
        <w:t>妇女委员会与内政和地方政府部就执行将性别观点纳入主流战略进行了初步讨论，讨论着眼于在镇一级如何对付家庭暴力。这包括制订一套处理家庭暴力案件的镇级规程，以便改善对妇女的暴力案件的报告和行动，并为镇及内政和地方政府部官员处理家庭暴力案件拟订指南和技术援助。目前正在对该规程进行修改，以便与近期通过的惩治对妇女和儿童施暴的立法挂钩。由于内政和地方政府部拥有在全国推动实施、培训和监测的能力，因此，国家机构之间的</w:t>
      </w:r>
      <w:r>
        <w:rPr>
          <w:rFonts w:ascii="Times New Roman" w:hint="eastAsia"/>
          <w:sz w:val="21"/>
        </w:rPr>
        <w:t>合作行动将产生重大影响。</w:t>
      </w:r>
    </w:p>
    <w:p w:rsidR="00000000" w:rsidRDefault="00821B8F">
      <w:pPr>
        <w:pStyle w:val="BodyText"/>
        <w:numPr>
          <w:ilvl w:val="0"/>
          <w:numId w:val="1246"/>
        </w:numPr>
        <w:tabs>
          <w:tab w:val="clear" w:pos="405"/>
          <w:tab w:val="num" w:pos="960"/>
        </w:tabs>
        <w:spacing w:after="240" w:line="360" w:lineRule="exact"/>
        <w:ind w:left="960" w:hanging="480"/>
        <w:rPr>
          <w:rFonts w:ascii="Times New Roman" w:hint="eastAsia"/>
          <w:sz w:val="21"/>
        </w:rPr>
      </w:pPr>
      <w:r>
        <w:rPr>
          <w:rFonts w:ascii="Times New Roman" w:eastAsia="KaiTi_GB2312" w:hint="eastAsia"/>
          <w:color w:val="0000FF"/>
          <w:sz w:val="21"/>
        </w:rPr>
        <w:t>在社区林业中增加妇女的经济机会。</w:t>
      </w:r>
      <w:r>
        <w:rPr>
          <w:rFonts w:ascii="Times New Roman" w:hint="eastAsia"/>
          <w:sz w:val="21"/>
        </w:rPr>
        <w:t>作为将性别观点纳入主流战略的第一步，环境和自然资源部集中力量推行其基于社区的林业方案。采取的办法包括从性别角度对参加的社区及方案本身进行分析。根据分析结果对方案进行修改，把更多数量的林地管理合同给予妇女，从而增强了妇女对林业资源的控制。环境和自然资源部还对挑选参加林业方案的民间组织的标准进行修改。该部对各团体进行了培训，以确保妇女在社区生计项目中的参与和决策。由于这是一个旗舰方案，调整方向可能为妇女在其他许多方面增加机会。不仅如此，这个方案中取得的将</w:t>
      </w:r>
      <w:r>
        <w:rPr>
          <w:rFonts w:ascii="Times New Roman" w:hint="eastAsia"/>
          <w:sz w:val="21"/>
        </w:rPr>
        <w:t>性别观点纳入主流的成功经验将促使环境和自然资源部对其他方案加以重新考虑。</w:t>
      </w:r>
    </w:p>
    <w:p w:rsidR="00000000" w:rsidRDefault="00821B8F">
      <w:pPr>
        <w:pStyle w:val="BodyText"/>
        <w:numPr>
          <w:ilvl w:val="0"/>
          <w:numId w:val="1246"/>
        </w:numPr>
        <w:tabs>
          <w:tab w:val="clear" w:pos="405"/>
          <w:tab w:val="num" w:pos="960"/>
        </w:tabs>
        <w:spacing w:after="240" w:line="360" w:lineRule="exact"/>
        <w:ind w:left="960" w:hanging="480"/>
        <w:rPr>
          <w:rFonts w:ascii="Times New Roman" w:hint="eastAsia"/>
          <w:sz w:val="21"/>
        </w:rPr>
      </w:pPr>
      <w:r>
        <w:rPr>
          <w:rFonts w:ascii="Times New Roman" w:eastAsia="KaiTi_GB2312" w:hint="eastAsia"/>
          <w:color w:val="0000FF"/>
          <w:sz w:val="21"/>
        </w:rPr>
        <w:t>增加妇女利用地方机构资源的机会以满足当地需求。</w:t>
      </w:r>
      <w:r>
        <w:rPr>
          <w:rFonts w:ascii="Times New Roman" w:hint="eastAsia"/>
          <w:sz w:val="21"/>
        </w:rPr>
        <w:t>多年来，性别与发展的预算政策成为妇女组织开展激烈游说的焦点，其中许多妇女组织都积极努力执行这项政策。这项政策一直是妇女与政府机构和地方政府谈判争取改善方案、项目和服务的一个有力工具。举一个典型的例子：在棉兰老的一个村庄里有一个拥有</w:t>
      </w:r>
      <w:r>
        <w:rPr>
          <w:rFonts w:ascii="Times New Roman" w:hint="eastAsia"/>
          <w:sz w:val="21"/>
        </w:rPr>
        <w:t>70</w:t>
      </w:r>
      <w:r>
        <w:rPr>
          <w:rFonts w:ascii="Times New Roman" w:hint="eastAsia"/>
          <w:sz w:val="21"/>
        </w:rPr>
        <w:t>名成员的妇女团体，她们与镇官员谈判使其团体取得了合法组织的地位，接着便编写了一份性别与发展计划提交给了镇理事会。第一年发放的资金中有一部分用来把旧的村公所改造</w:t>
      </w:r>
      <w:r>
        <w:rPr>
          <w:rFonts w:ascii="Times New Roman" w:hint="eastAsia"/>
          <w:sz w:val="21"/>
        </w:rPr>
        <w:t>为妇女活动中心，第二年的资金用于生计培训和购买培养企业家精神的设备。由于性别与发展问题的协商过程，妇女组织也在镇决策和政治进程中取得了一席之地。</w:t>
      </w:r>
    </w:p>
    <w:p w:rsidR="00000000" w:rsidRDefault="00821B8F">
      <w:pPr>
        <w:pStyle w:val="BodyText"/>
        <w:numPr>
          <w:ilvl w:val="0"/>
          <w:numId w:val="1246"/>
        </w:numPr>
        <w:tabs>
          <w:tab w:val="clear" w:pos="405"/>
          <w:tab w:val="num" w:pos="960"/>
        </w:tabs>
        <w:spacing w:after="240" w:line="360" w:lineRule="exact"/>
        <w:ind w:left="960" w:hanging="480"/>
        <w:rPr>
          <w:rFonts w:ascii="Times New Roman" w:hint="eastAsia"/>
          <w:sz w:val="21"/>
        </w:rPr>
      </w:pPr>
      <w:r>
        <w:rPr>
          <w:rFonts w:ascii="Times New Roman" w:eastAsia="KaiTi_GB2312" w:hint="eastAsia"/>
          <w:color w:val="0000FF"/>
          <w:sz w:val="21"/>
        </w:rPr>
        <w:t>提供定期的性别统计数据。</w:t>
      </w:r>
      <w:r>
        <w:rPr>
          <w:rFonts w:ascii="Times New Roman" w:hint="eastAsia"/>
          <w:sz w:val="21"/>
        </w:rPr>
        <w:t>这一点之所以能实现，是因为政府机构和菲律宾统计系统制定了制度化的政策，以便产生性别问题的数据、增加妇女</w:t>
      </w:r>
      <w:r>
        <w:rPr>
          <w:rFonts w:ascii="Times New Roman" w:hint="eastAsia"/>
          <w:sz w:val="21"/>
        </w:rPr>
        <w:t>/</w:t>
      </w:r>
      <w:r>
        <w:rPr>
          <w:rFonts w:ascii="Times New Roman" w:hint="eastAsia"/>
          <w:sz w:val="21"/>
        </w:rPr>
        <w:t>性别统计资料的产生和公布以宣传和使用培训与研究、建立并强化在性别问题和性别统计方面的合作机制（妇女委员会，</w:t>
      </w:r>
      <w:r>
        <w:rPr>
          <w:rFonts w:ascii="Times New Roman" w:hint="eastAsia"/>
          <w:sz w:val="21"/>
        </w:rPr>
        <w:t>2002</w:t>
      </w:r>
      <w:r>
        <w:rPr>
          <w:rFonts w:ascii="Times New Roman" w:hint="eastAsia"/>
          <w:sz w:val="21"/>
        </w:rPr>
        <w:t>年</w:t>
      </w:r>
      <w:r>
        <w:rPr>
          <w:rFonts w:ascii="Times New Roman"/>
          <w:sz w:val="21"/>
        </w:rPr>
        <w:t>c</w:t>
      </w:r>
      <w:r>
        <w:rPr>
          <w:rFonts w:ascii="Times New Roman" w:hint="eastAsia"/>
          <w:sz w:val="21"/>
        </w:rPr>
        <w:t>）。</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将性别观点纳入地方政府的主流</w:t>
      </w:r>
    </w:p>
    <w:p w:rsidR="00000000" w:rsidRDefault="00821B8F">
      <w:pPr>
        <w:numPr>
          <w:ilvl w:val="0"/>
          <w:numId w:val="1236"/>
        </w:numPr>
        <w:spacing w:after="240" w:line="360" w:lineRule="exact"/>
        <w:rPr>
          <w:rFonts w:hint="eastAsia"/>
        </w:rPr>
      </w:pPr>
      <w:r>
        <w:rPr>
          <w:rFonts w:hint="eastAsia"/>
        </w:rPr>
        <w:t>在过去十年里，将性别观点纳入地方政府的主流获得了动力。地方政府颁布性别与发展法典起到</w:t>
      </w:r>
      <w:r>
        <w:rPr>
          <w:rFonts w:hint="eastAsia"/>
        </w:rPr>
        <w:t>了促进作用。这些法典明确阐述了其促进、保护和实现妇女的权利与两性平等的设想，提出了详尽的干预措施来响应男女实际中和战略上的性别需要（妇女委员会，</w:t>
      </w:r>
      <w:r>
        <w:rPr>
          <w:rFonts w:hint="eastAsia"/>
        </w:rPr>
        <w:t>2001</w:t>
      </w:r>
      <w:r>
        <w:rPr>
          <w:rFonts w:hint="eastAsia"/>
        </w:rPr>
        <w:t>年）。颁布了具有示范作用的性别与发展法令的有达沃市（</w:t>
      </w:r>
      <w:r>
        <w:rPr>
          <w:rFonts w:hint="eastAsia"/>
        </w:rPr>
        <w:t>5004-1997</w:t>
      </w:r>
      <w:r>
        <w:rPr>
          <w:rFonts w:hint="eastAsia"/>
        </w:rPr>
        <w:t>号法令）、哥打巴托省（</w:t>
      </w:r>
      <w:r>
        <w:rPr>
          <w:rFonts w:hint="eastAsia"/>
        </w:rPr>
        <w:t>202-2000</w:t>
      </w:r>
      <w:r>
        <w:rPr>
          <w:rFonts w:hint="eastAsia"/>
        </w:rPr>
        <w:t>号法令）、东米萨米斯省</w:t>
      </w:r>
      <w:r>
        <w:t>(26-2000</w:t>
      </w:r>
      <w:r>
        <w:rPr>
          <w:rFonts w:hint="eastAsia"/>
        </w:rPr>
        <w:t>号法令</w:t>
      </w:r>
      <w:r>
        <w:rPr>
          <w:rFonts w:hint="eastAsia"/>
        </w:rPr>
        <w:t>)</w:t>
      </w:r>
      <w:r>
        <w:rPr>
          <w:rFonts w:hint="eastAsia"/>
        </w:rPr>
        <w:t>、奎松市（</w:t>
      </w:r>
      <w:r>
        <w:rPr>
          <w:rFonts w:hint="eastAsia"/>
        </w:rPr>
        <w:t>1036-2001</w:t>
      </w:r>
      <w:r>
        <w:rPr>
          <w:rFonts w:hint="eastAsia"/>
        </w:rPr>
        <w:t>号法令）以及安赫莱斯市（</w:t>
      </w:r>
      <w:r>
        <w:rPr>
          <w:rFonts w:hint="eastAsia"/>
        </w:rPr>
        <w:t>634-1998</w:t>
      </w:r>
      <w:r>
        <w:rPr>
          <w:rFonts w:hint="eastAsia"/>
        </w:rPr>
        <w:t>号法令）。在阿克兰省，由于采取了关键的干预措施来加强省级性别与发展问题协调机制并向地方政府高级官员发出倡议，该省能够确定其需要优先处理的性</w:t>
      </w:r>
      <w:r>
        <w:rPr>
          <w:rFonts w:hint="eastAsia"/>
        </w:rPr>
        <w:t>别问题，并就生殖保健和对妇女的暴力等问题制订了相应的计划。到目前为止，大约有</w:t>
      </w:r>
      <w:r>
        <w:rPr>
          <w:rFonts w:hint="eastAsia"/>
        </w:rPr>
        <w:t>30</w:t>
      </w:r>
      <w:r>
        <w:rPr>
          <w:rFonts w:hint="eastAsia"/>
        </w:rPr>
        <w:t>个地方政府机构实施了这种法令。</w:t>
      </w:r>
    </w:p>
    <w:p w:rsidR="00000000" w:rsidRDefault="00821B8F">
      <w:pPr>
        <w:numPr>
          <w:ilvl w:val="0"/>
          <w:numId w:val="1236"/>
        </w:numPr>
        <w:spacing w:after="240" w:line="360" w:lineRule="exact"/>
        <w:rPr>
          <w:rFonts w:hint="eastAsia"/>
        </w:rPr>
      </w:pPr>
      <w:r>
        <w:rPr>
          <w:rFonts w:hint="eastAsia"/>
        </w:rPr>
        <w:t>但是，某些领域仍然没有改变，甚至比</w:t>
      </w:r>
      <w:r>
        <w:rPr>
          <w:rFonts w:hint="eastAsia"/>
        </w:rPr>
        <w:t>1990</w:t>
      </w:r>
      <w:r>
        <w:rPr>
          <w:rFonts w:hint="eastAsia"/>
        </w:rPr>
        <w:t>年代还要糟糕。</w:t>
      </w:r>
    </w:p>
    <w:p w:rsidR="00000000" w:rsidRDefault="00821B8F">
      <w:pPr>
        <w:pStyle w:val="BodyText"/>
        <w:tabs>
          <w:tab w:val="left" w:pos="1620"/>
        </w:tabs>
        <w:spacing w:after="240" w:line="360" w:lineRule="exact"/>
        <w:rPr>
          <w:rFonts w:hint="eastAsia"/>
          <w:iCs/>
          <w:sz w:val="21"/>
        </w:rPr>
      </w:pPr>
      <w:r>
        <w:rPr>
          <w:rFonts w:hint="eastAsia"/>
          <w:iCs/>
          <w:sz w:val="21"/>
          <w:u w:val="single"/>
        </w:rPr>
        <w:t>令人关注的领域</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妇女的参政情况</w:t>
      </w:r>
    </w:p>
    <w:p w:rsidR="00000000" w:rsidRDefault="00821B8F">
      <w:pPr>
        <w:numPr>
          <w:ilvl w:val="0"/>
          <w:numId w:val="1236"/>
        </w:numPr>
        <w:spacing w:after="240" w:line="360" w:lineRule="exact"/>
        <w:rPr>
          <w:rFonts w:hint="eastAsia"/>
        </w:rPr>
      </w:pPr>
      <w:r>
        <w:rPr>
          <w:rFonts w:hint="eastAsia"/>
        </w:rPr>
        <w:t>由于妇女在政治舞台上仍处于边际化状态，她们的参政情况没有显出太大的进步。</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农村地区的贫穷</w:t>
      </w:r>
    </w:p>
    <w:p w:rsidR="00000000" w:rsidRDefault="00821B8F">
      <w:pPr>
        <w:numPr>
          <w:ilvl w:val="0"/>
          <w:numId w:val="1236"/>
        </w:numPr>
        <w:spacing w:after="240" w:line="360" w:lineRule="exact"/>
        <w:rPr>
          <w:rFonts w:hint="eastAsia"/>
        </w:rPr>
      </w:pPr>
      <w:r>
        <w:rPr>
          <w:rFonts w:hint="eastAsia"/>
        </w:rPr>
        <w:t>农村地区妇女的状况仍然十分令人担忧。虽然已经实施了许多政策和方案来减缓贫穷（特别是农村地区的贫穷），但执行中的差距以及目前菲律宾经历的经济危机，势必削弱妇女状况可能获得的任何好处。</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失业率</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w:t>
      </w:r>
      <w:r>
        <w:rPr>
          <w:rFonts w:hint="eastAsia"/>
        </w:rPr>
        <w:t>菲律宾经济状况不好，迫使人们</w:t>
      </w:r>
      <w:r>
        <w:rPr>
          <w:rFonts w:hint="eastAsia"/>
        </w:rPr>
        <w:t>离开本国去寻找工作机会，或在国外永久定居。除了有一两年是例外，妇女的失业率一直高于男性。由于越来越多的已婚和未婚妇女被迫去寻找报酬较好的工作，到海外务工的依然是女性占多数。去海外工作固然能带回美元支撑萧条的经济，但也使妇女面临被贩卖、卖淫和性虐待的危险，并使她们在东道国遭受文化脱节、社会隔离以及与爱人分离和家庭破裂带来的感情上的痛苦。</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制造业女工的就业状况</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w:t>
      </w:r>
      <w:r>
        <w:rPr>
          <w:rFonts w:hint="eastAsia"/>
        </w:rPr>
        <w:t>处于全球化时代及</w:t>
      </w:r>
      <w:r>
        <w:rPr>
          <w:rFonts w:hint="eastAsia"/>
        </w:rPr>
        <w:t>1990</w:t>
      </w:r>
      <w:r>
        <w:rPr>
          <w:rFonts w:hint="eastAsia"/>
        </w:rPr>
        <w:t>年代后期金融和经济危机时期的妇女的经济状况引起人们的关注。由于本地生产商在国内市场上敌不过便宜的进口货物，在全球市场上敌不过其</w:t>
      </w:r>
      <w:r>
        <w:rPr>
          <w:rFonts w:hint="eastAsia"/>
        </w:rPr>
        <w:t>他国家便宜的出口货物，成衣和工艺品等行业的大量女工被解雇。</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非正规部门的工人</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w:t>
      </w:r>
      <w:r>
        <w:rPr>
          <w:rFonts w:hint="eastAsia"/>
        </w:rPr>
        <w:t>制造业的经济和就业状况不佳，迫使这个行业的许多妇女去从事报酬低、不稳定和无保障的工作，甚至进入有害、没有保护而且大都没有管制的非正规部门，在这些部门工作的工人处于边际状态，没有社会交往，得不到社会支助系统。非正规行业的规模一直在</w:t>
      </w:r>
      <w:r>
        <w:rPr>
          <w:rFonts w:hint="eastAsia"/>
        </w:rPr>
        <w:t>52%</w:t>
      </w:r>
      <w:r>
        <w:rPr>
          <w:rFonts w:hint="eastAsia"/>
        </w:rPr>
        <w:t>至</w:t>
      </w:r>
      <w:r>
        <w:rPr>
          <w:rFonts w:hint="eastAsia"/>
        </w:rPr>
        <w:t>85%</w:t>
      </w:r>
      <w:r>
        <w:rPr>
          <w:rFonts w:hint="eastAsia"/>
        </w:rPr>
        <w:t>，</w:t>
      </w:r>
      <w:r>
        <w:rPr>
          <w:rStyle w:val="FootnoteReference"/>
        </w:rPr>
        <w:footnoteReference w:id="13"/>
      </w:r>
      <w:r>
        <w:rPr>
          <w:rFonts w:hint="eastAsia"/>
        </w:rPr>
        <w:t>在</w:t>
      </w:r>
      <w:r>
        <w:rPr>
          <w:rFonts w:hint="eastAsia"/>
        </w:rPr>
        <w:t>1980</w:t>
      </w:r>
      <w:r>
        <w:rPr>
          <w:rFonts w:hint="eastAsia"/>
        </w:rPr>
        <w:t>年代到</w:t>
      </w:r>
      <w:r>
        <w:rPr>
          <w:rFonts w:hint="eastAsia"/>
        </w:rPr>
        <w:t>1998</w:t>
      </w:r>
      <w:r>
        <w:rPr>
          <w:rFonts w:hint="eastAsia"/>
        </w:rPr>
        <w:t>年间有所下降，</w:t>
      </w:r>
      <w:r>
        <w:rPr>
          <w:rFonts w:hint="eastAsia"/>
        </w:rPr>
        <w:t>1999</w:t>
      </w:r>
      <w:r>
        <w:rPr>
          <w:rFonts w:hint="eastAsia"/>
        </w:rPr>
        <w:t>年得到暂时抑制，</w:t>
      </w:r>
      <w:r>
        <w:rPr>
          <w:rFonts w:hint="eastAsia"/>
        </w:rPr>
        <w:t>2001</w:t>
      </w:r>
      <w:r>
        <w:rPr>
          <w:rFonts w:hint="eastAsia"/>
        </w:rPr>
        <w:t>年又从</w:t>
      </w:r>
      <w:r>
        <w:rPr>
          <w:rFonts w:hint="eastAsia"/>
        </w:rPr>
        <w:t>51</w:t>
      </w:r>
      <w:r>
        <w:t>.0</w:t>
      </w:r>
      <w:r>
        <w:rPr>
          <w:rFonts w:hint="eastAsia"/>
        </w:rPr>
        <w:t>%</w:t>
      </w:r>
      <w:r>
        <w:rPr>
          <w:rFonts w:hint="eastAsia"/>
        </w:rPr>
        <w:t>略微上升到</w:t>
      </w:r>
      <w:r>
        <w:t>51.7%</w:t>
      </w:r>
      <w:r>
        <w:rPr>
          <w:rFonts w:hint="eastAsia"/>
        </w:rPr>
        <w:t>（于，</w:t>
      </w:r>
      <w:r>
        <w:t>2001</w:t>
      </w:r>
      <w:r>
        <w:rPr>
          <w:rFonts w:hint="eastAsia"/>
        </w:rPr>
        <w:t>年）。</w:t>
      </w:r>
    </w:p>
    <w:p w:rsidR="00000000" w:rsidRDefault="00821B8F">
      <w:pPr>
        <w:numPr>
          <w:ilvl w:val="0"/>
          <w:numId w:val="1236"/>
        </w:numPr>
        <w:tabs>
          <w:tab w:val="num" w:pos="1185"/>
        </w:tabs>
        <w:spacing w:after="240" w:line="360" w:lineRule="exact"/>
        <w:ind w:left="540" w:hanging="540"/>
        <w:rPr>
          <w:rFonts w:hint="eastAsia"/>
          <w:iCs/>
        </w:rPr>
      </w:pPr>
      <w:r>
        <w:rPr>
          <w:rFonts w:hint="eastAsia"/>
          <w:iCs/>
        </w:rPr>
        <w:t xml:space="preserve"> </w:t>
      </w:r>
      <w:r>
        <w:rPr>
          <w:rFonts w:hint="eastAsia"/>
          <w:iCs/>
        </w:rPr>
        <w:t>根据政府的劳动研究所的统计，在非正规部门工作的妇女所占的</w:t>
      </w:r>
      <w:r>
        <w:rPr>
          <w:rFonts w:hint="eastAsia"/>
          <w:iCs/>
        </w:rPr>
        <w:t>比例从</w:t>
      </w:r>
      <w:r>
        <w:rPr>
          <w:rFonts w:hint="eastAsia"/>
          <w:iCs/>
        </w:rPr>
        <w:t>1996</w:t>
      </w:r>
      <w:r>
        <w:rPr>
          <w:rFonts w:hint="eastAsia"/>
          <w:iCs/>
        </w:rPr>
        <w:t>年的</w:t>
      </w:r>
      <w:r>
        <w:rPr>
          <w:rFonts w:hint="eastAsia"/>
          <w:iCs/>
        </w:rPr>
        <w:t>39%</w:t>
      </w:r>
      <w:r>
        <w:rPr>
          <w:rFonts w:hint="eastAsia"/>
          <w:iCs/>
        </w:rPr>
        <w:t>升到</w:t>
      </w:r>
      <w:r>
        <w:rPr>
          <w:rFonts w:hint="eastAsia"/>
          <w:iCs/>
        </w:rPr>
        <w:t>2001</w:t>
      </w:r>
      <w:r>
        <w:rPr>
          <w:rFonts w:hint="eastAsia"/>
          <w:iCs/>
        </w:rPr>
        <w:t>年的</w:t>
      </w:r>
      <w:r>
        <w:rPr>
          <w:rFonts w:hint="eastAsia"/>
          <w:iCs/>
        </w:rPr>
        <w:t>42%</w:t>
      </w:r>
      <w:r>
        <w:rPr>
          <w:rFonts w:hint="eastAsia"/>
          <w:iCs/>
        </w:rPr>
        <w:t>。妇女从事非正规工作，可以通过叫卖、兜售、经营小餐馆或店铺、在家洗衣或缝纫等谋生活动，将生育任务与生产工作、生产任务两者兼顾。这一行业的工作往往消耗大量体力或使人感觉不舒服，报酬一般很低而且也不固定。这样的工作给妇女带来了多方面的负担。</w:t>
      </w:r>
    </w:p>
    <w:p w:rsidR="00000000" w:rsidRDefault="00821B8F">
      <w:pPr>
        <w:pStyle w:val="H1"/>
        <w:rPr>
          <w:rFonts w:hint="eastAsia"/>
        </w:rPr>
      </w:pPr>
      <w:r>
        <w:rPr>
          <w:rFonts w:hint="eastAsia"/>
        </w:rPr>
        <w:t>三、政策和方案框架：将性别观点纳入主流</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菲律宾妇女发展计划</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1987</w:t>
      </w:r>
      <w:r>
        <w:rPr>
          <w:rFonts w:hint="eastAsia"/>
        </w:rPr>
        <w:t>年，菲律宾政府提出要把性别与发展观点纳入主流，当时这一做法还没有成为国际规范。此时是在科拉松·阿基诺被民权运动推上总统职位之后不久。将性别与发展问题纳入主流的</w:t>
      </w:r>
      <w:r>
        <w:rPr>
          <w:rFonts w:hint="eastAsia"/>
        </w:rPr>
        <w:t>第一步是对</w:t>
      </w:r>
      <w:r>
        <w:rPr>
          <w:rFonts w:hint="eastAsia"/>
        </w:rPr>
        <w:t>1987-1992</w:t>
      </w:r>
      <w:r>
        <w:rPr>
          <w:rFonts w:hint="eastAsia"/>
        </w:rPr>
        <w:t>年菲律宾中期发展计划施加影响，在利用全国人力资源减少贫穷、创造就业机会、促进社会平等与公正以及实现经济可持续发展这一计划总体目标中加上一句话：“占人口一半的妇女应得到有效动员”。这就为编写和通过菲律宾中期发展计划（</w:t>
      </w:r>
      <w:r>
        <w:rPr>
          <w:rFonts w:hint="eastAsia"/>
        </w:rPr>
        <w:t>1987-1992</w:t>
      </w:r>
      <w:r>
        <w:rPr>
          <w:rFonts w:hint="eastAsia"/>
        </w:rPr>
        <w:t>年）的配套计划，即菲律宾妇女发展计划（</w:t>
      </w:r>
      <w:r>
        <w:rPr>
          <w:rFonts w:hint="eastAsia"/>
        </w:rPr>
        <w:t>1989-1992</w:t>
      </w:r>
      <w:r>
        <w:rPr>
          <w:rFonts w:hint="eastAsia"/>
        </w:rPr>
        <w:t>年）奠定了基础。作为国家一级妇女机构的妇女委员会与中央计划机构，国家经济和发展管理局密切合作，协调菲律宾妇女发展计划的制订和审批。</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菲律宾促进两性平等发展计划</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w:t>
      </w:r>
      <w:r>
        <w:rPr>
          <w:rFonts w:hint="eastAsia"/>
        </w:rPr>
        <w:t>政府认识到，实现社会文化和经济政治</w:t>
      </w:r>
      <w:r>
        <w:rPr>
          <w:rFonts w:hint="eastAsia"/>
        </w:rPr>
        <w:t>制度的转变既需要时间，也需要系统的途径，于是，决定后续计划应该确定</w:t>
      </w:r>
      <w:r>
        <w:rPr>
          <w:rFonts w:hint="eastAsia"/>
        </w:rPr>
        <w:t>30</w:t>
      </w:r>
      <w:r>
        <w:rPr>
          <w:rFonts w:hint="eastAsia"/>
        </w:rPr>
        <w:t>年的期限。菲律宾促进两性平等发展计划（</w:t>
      </w:r>
      <w:r>
        <w:rPr>
          <w:rFonts w:hint="eastAsia"/>
        </w:rPr>
        <w:t>1995-2025</w:t>
      </w:r>
      <w:r>
        <w:rPr>
          <w:rFonts w:hint="eastAsia"/>
        </w:rPr>
        <w:t>年）是把《妇女公约》和《北京行动纲要》转变成菲律宾妇女的政策、战略、方案和项目的一项战略性计划。菲律宾促进两性平等发展计划的目标包括赋予妇女权力和两性平等。与菲律宾妇女发展计划相同，菲律宾促进两性平等发展计划在制订时也让其他政府机构和非政府组织以及学术界的性别与发展问题倡议者参与。</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妇女问题框架计划</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w:t>
      </w:r>
      <w:r>
        <w:rPr>
          <w:rFonts w:hint="eastAsia"/>
        </w:rPr>
        <w:t>在菲律宾促进两性平等发展计划中占据了一个时间段的妇女问题框架计划，致力于实现两性平</w:t>
      </w:r>
      <w:r>
        <w:rPr>
          <w:rFonts w:hint="eastAsia"/>
        </w:rPr>
        <w:t>等和赋予妇女权力这一双重目标。妇女问题框架计划中包含了更加具体、可实施的、以结果为重心的方案和计划。妇女问题框架计划描绘的发展前景是“平等、可持续、没有暴力、尊重人权、支持自决和挖掘人的潜力以及参与和赋予权力。”</w:t>
      </w:r>
      <w:r>
        <w:rPr>
          <w:rFonts w:hint="eastAsia"/>
        </w:rPr>
        <w:t xml:space="preserve"> </w:t>
      </w:r>
      <w:r>
        <w:rPr>
          <w:rFonts w:hint="eastAsia"/>
        </w:rPr>
        <w:t>如前几节里提到的，妇女问题框架计划围绕着三个关注领域。这个计划还提供了有关标准和机制，以便兑现国家对《妇女公约》、《北京行动纲要》和北京会议五周年成果文件等国际协定的承诺。</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w:t>
      </w:r>
      <w:r>
        <w:rPr>
          <w:rFonts w:hint="eastAsia"/>
        </w:rPr>
        <w:t>妇女问题框架计划在赋予经济权力方面要实现的目标是：促进妇女持续获得资金、市场、信息、技术和技术援助；提高妇女的就业和谋生技</w:t>
      </w:r>
      <w:r>
        <w:rPr>
          <w:rFonts w:hint="eastAsia"/>
        </w:rPr>
        <w:t>能，尤其是在增值高的行业和农业活动中；建立一种能确保女工保护政策得到执行的有利环境；提高妇女对其经济权利和机会的认识；以及加强妇女在经济决策机构中的参与。</w:t>
      </w:r>
    </w:p>
    <w:p w:rsidR="00000000" w:rsidRDefault="00821B8F">
      <w:pPr>
        <w:numPr>
          <w:ilvl w:val="0"/>
          <w:numId w:val="1236"/>
        </w:numPr>
        <w:tabs>
          <w:tab w:val="num" w:pos="1185"/>
        </w:tabs>
        <w:spacing w:after="240" w:line="360" w:lineRule="exact"/>
        <w:ind w:left="540" w:hanging="540"/>
        <w:rPr>
          <w:rFonts w:hint="eastAsia"/>
        </w:rPr>
      </w:pPr>
      <w:r>
        <w:rPr>
          <w:rFonts w:hint="eastAsia"/>
          <w:iCs/>
        </w:rPr>
        <w:t xml:space="preserve"> </w:t>
      </w:r>
      <w:r>
        <w:rPr>
          <w:rFonts w:hint="eastAsia"/>
          <w:iCs/>
        </w:rPr>
        <w:t>与保护和实现妇女人权问题相关的目标有：促进获得基本社会服务；以对性别问题有敏感认识的方式促进对妇女暴力幸存者给予公正；制定和执行立法措施以消除性别偏差；以及促进和推动妇女和女童的人权。</w:t>
      </w:r>
    </w:p>
    <w:p w:rsidR="00000000" w:rsidRDefault="00821B8F">
      <w:pPr>
        <w:numPr>
          <w:ilvl w:val="0"/>
          <w:numId w:val="1236"/>
        </w:numPr>
        <w:tabs>
          <w:tab w:val="num" w:pos="1185"/>
        </w:tabs>
        <w:spacing w:after="240" w:line="360" w:lineRule="exact"/>
        <w:ind w:left="540" w:hanging="540"/>
        <w:rPr>
          <w:rFonts w:hint="eastAsia"/>
        </w:rPr>
      </w:pPr>
      <w:r>
        <w:rPr>
          <w:rFonts w:hint="eastAsia"/>
          <w:iCs/>
        </w:rPr>
        <w:t xml:space="preserve"> </w:t>
      </w:r>
      <w:r>
        <w:rPr>
          <w:rFonts w:hint="eastAsia"/>
        </w:rPr>
        <w:t>妇女问题框架计划在促进对性别问题有敏感认识的管理方面要实现的目标有：将性别观点纳入官僚体制的主流；加强妇女在决策中的领导作用和参与；加强妇女在促进对性别问题有敏感认识</w:t>
      </w:r>
      <w:r>
        <w:rPr>
          <w:rFonts w:hint="eastAsia"/>
        </w:rPr>
        <w:t>的管理中的作用；以及加强妇女与媒体在报道各种妇女问题中的合作关系。</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将性别观点纳入主流的战略</w:t>
      </w:r>
    </w:p>
    <w:p w:rsidR="00000000" w:rsidRDefault="00821B8F">
      <w:pPr>
        <w:numPr>
          <w:ilvl w:val="0"/>
          <w:numId w:val="1236"/>
        </w:numPr>
        <w:tabs>
          <w:tab w:val="num" w:pos="1185"/>
        </w:tabs>
        <w:spacing w:after="240" w:line="360" w:lineRule="exact"/>
        <w:ind w:left="540" w:hanging="540"/>
        <w:rPr>
          <w:rFonts w:hint="eastAsia"/>
        </w:rPr>
      </w:pPr>
      <w:r>
        <w:rPr>
          <w:rFonts w:hint="eastAsia"/>
          <w:iCs/>
        </w:rPr>
        <w:t xml:space="preserve"> </w:t>
      </w:r>
      <w:r>
        <w:rPr>
          <w:rFonts w:hint="eastAsia"/>
        </w:rPr>
        <w:t>与菲律宾妇女发展计划和菲律宾促进两性平等发展计划相同，妇女问题框架计划也是通过将性别观点纳入主流的战略以及按照现在的规定制订各机构的性别与发展计划和使用性别预算来实施的。这一战略要求将性别原则和观念充分融入到政策和方案的设计、执行、监测和评价之中。成功执行将性别观点纳入主流战略的关键要素包括：（</w:t>
      </w:r>
      <w:r>
        <w:t>a</w:t>
      </w:r>
      <w:r>
        <w:rPr>
          <w:rFonts w:hint="eastAsia"/>
        </w:rPr>
        <w:t>）按性别分列的数据和统计资料；（</w:t>
      </w:r>
      <w:r>
        <w:t>b</w:t>
      </w:r>
      <w:r>
        <w:rPr>
          <w:rFonts w:hint="eastAsia"/>
        </w:rPr>
        <w:t>）进行性别分析的技能和机会；（</w:t>
      </w:r>
      <w:r>
        <w:t>c</w:t>
      </w:r>
      <w:r>
        <w:rPr>
          <w:rFonts w:hint="eastAsia"/>
        </w:rPr>
        <w:t>）有效监测和评价各系统和工具；（</w:t>
      </w:r>
      <w:r>
        <w:t>d</w:t>
      </w:r>
      <w:r>
        <w:rPr>
          <w:rFonts w:hint="eastAsia"/>
        </w:rPr>
        <w:t>）国家一级、国家以</w:t>
      </w:r>
      <w:r>
        <w:rPr>
          <w:rFonts w:hint="eastAsia"/>
        </w:rPr>
        <w:t>下以及地方各级的组织结构，其中明确界定将性别观点纳入主流的领导和支助角色；（</w:t>
      </w:r>
      <w:r>
        <w:t>e</w:t>
      </w:r>
      <w:r>
        <w:rPr>
          <w:rFonts w:hint="eastAsia"/>
        </w:rPr>
        <w:t>）有效的通信、网络和连接；（</w:t>
      </w:r>
      <w:r>
        <w:t>f</w:t>
      </w:r>
      <w:r>
        <w:rPr>
          <w:rFonts w:hint="eastAsia"/>
        </w:rPr>
        <w:t>）具有熟练技能的人力资源库；（</w:t>
      </w:r>
      <w:r>
        <w:t>g</w:t>
      </w:r>
      <w:r>
        <w:rPr>
          <w:rFonts w:hint="eastAsia"/>
        </w:rPr>
        <w:t>）民间社会的参与；及（</w:t>
      </w:r>
      <w:r>
        <w:t>h</w:t>
      </w:r>
      <w:r>
        <w:rPr>
          <w:rFonts w:hint="eastAsia"/>
        </w:rPr>
        <w:t>）性别与发展问题的预算。</w:t>
      </w:r>
      <w:r>
        <w:rPr>
          <w:rFonts w:hint="eastAsia"/>
        </w:rPr>
        <w:t xml:space="preserve"> </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性别与发展问题的预算政策</w:t>
      </w:r>
    </w:p>
    <w:p w:rsidR="00000000" w:rsidRDefault="00821B8F">
      <w:pPr>
        <w:numPr>
          <w:ilvl w:val="0"/>
          <w:numId w:val="1236"/>
        </w:numPr>
        <w:tabs>
          <w:tab w:val="num" w:pos="1185"/>
        </w:tabs>
        <w:spacing w:after="240" w:line="360" w:lineRule="exact"/>
        <w:ind w:left="540" w:hanging="540"/>
        <w:rPr>
          <w:rFonts w:hint="eastAsia"/>
        </w:rPr>
      </w:pPr>
      <w:r>
        <w:rPr>
          <w:rFonts w:hint="eastAsia"/>
        </w:rPr>
        <w:t xml:space="preserve"> </w:t>
      </w:r>
      <w:r>
        <w:rPr>
          <w:rFonts w:hint="eastAsia"/>
        </w:rPr>
        <w:t>菲律宾政府在了解到菲律宾妇女发展计划的实施由于缺少预算而受阻以后，于</w:t>
      </w:r>
      <w:r>
        <w:rPr>
          <w:rFonts w:hint="eastAsia"/>
        </w:rPr>
        <w:t>1995</w:t>
      </w:r>
      <w:r>
        <w:rPr>
          <w:rFonts w:hint="eastAsia"/>
        </w:rPr>
        <w:t>年推出了性别与发展问题的预算政策，为执行菲律宾促进两性平等发展计划提供资金。这项政策作为该年度的总拨款法令的一个条款，要求所有政府机构必须按照该法令的规定，划出一部分预算用于性别与发展问题的方案、计划和活动，以确保菲</w:t>
      </w:r>
      <w:r>
        <w:rPr>
          <w:rFonts w:hint="eastAsia"/>
        </w:rPr>
        <w:t>律宾促进两性平等发展计划的宗旨和目标转化为机构计划和目标。此后，每年的总拨款法令都规定，各机构交出一份性别与发展问题计划及其本机构的年度概算，并在其总预算中划出至少</w:t>
      </w:r>
      <w:r>
        <w:rPr>
          <w:rFonts w:hint="eastAsia"/>
        </w:rPr>
        <w:t>5%</w:t>
      </w:r>
      <w:r>
        <w:rPr>
          <w:rFonts w:hint="eastAsia"/>
        </w:rPr>
        <w:t>用于性别与发展。</w:t>
      </w:r>
    </w:p>
    <w:p w:rsidR="00000000" w:rsidRDefault="00821B8F">
      <w:pPr>
        <w:numPr>
          <w:ilvl w:val="0"/>
          <w:numId w:val="1236"/>
        </w:numPr>
        <w:tabs>
          <w:tab w:val="num" w:pos="1185"/>
        </w:tabs>
        <w:spacing w:after="240" w:line="360" w:lineRule="exact"/>
        <w:ind w:left="540" w:hanging="540"/>
        <w:rPr>
          <w:rFonts w:hint="eastAsia"/>
          <w:iCs/>
        </w:rPr>
      </w:pPr>
      <w:r>
        <w:rPr>
          <w:iCs/>
        </w:rPr>
        <w:t xml:space="preserve"> </w:t>
      </w:r>
      <w:r>
        <w:rPr>
          <w:rFonts w:hint="eastAsia"/>
          <w:iCs/>
        </w:rPr>
        <w:t>《</w:t>
      </w:r>
      <w:r>
        <w:rPr>
          <w:rFonts w:hint="eastAsia"/>
          <w:iCs/>
        </w:rPr>
        <w:t>1999</w:t>
      </w:r>
      <w:r>
        <w:rPr>
          <w:rFonts w:hint="eastAsia"/>
          <w:iCs/>
        </w:rPr>
        <w:t>年总拨款法令》授权妇女委员会审查各机构的性别与发展计划，然后再将计划报请预算和管理部批准。由于妇女委员会对性别与发展问题的预算政策的执行情况进行了监测，有近</w:t>
      </w:r>
      <w:r>
        <w:rPr>
          <w:rFonts w:hint="eastAsia"/>
          <w:iCs/>
        </w:rPr>
        <w:t>40%</w:t>
      </w:r>
      <w:r>
        <w:rPr>
          <w:rFonts w:hint="eastAsia"/>
          <w:iCs/>
        </w:rPr>
        <w:t>的政府机构编写了各自的性别与发展计划，并为执行这些计划总共分配了</w:t>
      </w:r>
      <w:r>
        <w:rPr>
          <w:rFonts w:hint="eastAsia"/>
          <w:iCs/>
        </w:rPr>
        <w:t>34</w:t>
      </w:r>
      <w:r>
        <w:rPr>
          <w:iCs/>
        </w:rPr>
        <w:t>.</w:t>
      </w:r>
      <w:r>
        <w:rPr>
          <w:rFonts w:hint="eastAsia"/>
          <w:iCs/>
        </w:rPr>
        <w:t>2</w:t>
      </w:r>
      <w:r>
        <w:rPr>
          <w:rFonts w:hint="eastAsia"/>
          <w:iCs/>
        </w:rPr>
        <w:t>亿菲律宾比索的预算（妇女委员会，</w:t>
      </w:r>
      <w:r>
        <w:rPr>
          <w:rFonts w:hint="eastAsia"/>
          <w:iCs/>
        </w:rPr>
        <w:t>1999-2002</w:t>
      </w:r>
      <w:r>
        <w:rPr>
          <w:rFonts w:hint="eastAsia"/>
          <w:iCs/>
        </w:rPr>
        <w:t>年）。这些预算中有四分之三用于</w:t>
      </w:r>
      <w:r>
        <w:rPr>
          <w:rFonts w:hint="eastAsia"/>
          <w:iCs/>
        </w:rPr>
        <w:t>将性别观点纳入主流的体制建设和能力建设，不到五分之一留给各机构的女性受益人，大约</w:t>
      </w:r>
      <w:r>
        <w:rPr>
          <w:rFonts w:hint="eastAsia"/>
          <w:iCs/>
        </w:rPr>
        <w:t>4%</w:t>
      </w:r>
      <w:r>
        <w:rPr>
          <w:rFonts w:hint="eastAsia"/>
          <w:iCs/>
        </w:rPr>
        <w:t>用于满足女雇员的需求。</w:t>
      </w:r>
      <w:r>
        <w:rPr>
          <w:rFonts w:hint="eastAsia"/>
          <w:iCs/>
        </w:rPr>
        <w:t>2000</w:t>
      </w:r>
      <w:r>
        <w:rPr>
          <w:rFonts w:hint="eastAsia"/>
          <w:iCs/>
        </w:rPr>
        <w:t>年，有</w:t>
      </w:r>
      <w:r>
        <w:rPr>
          <w:rFonts w:hint="eastAsia"/>
          <w:iCs/>
        </w:rPr>
        <w:t>41%</w:t>
      </w:r>
      <w:r>
        <w:rPr>
          <w:rFonts w:hint="eastAsia"/>
          <w:iCs/>
        </w:rPr>
        <w:t>的政府机构遵守了性别与发展问题的预算规定，总共为性别与发展问题的方案、计划和活动分配了</w:t>
      </w:r>
      <w:r>
        <w:rPr>
          <w:rFonts w:hint="eastAsia"/>
          <w:iCs/>
        </w:rPr>
        <w:t>33</w:t>
      </w:r>
      <w:r>
        <w:rPr>
          <w:rFonts w:hint="eastAsia"/>
          <w:iCs/>
        </w:rPr>
        <w:t>亿菲律宾比索。共有</w:t>
      </w:r>
      <w:r>
        <w:rPr>
          <w:rFonts w:hint="eastAsia"/>
          <w:iCs/>
        </w:rPr>
        <w:t>214</w:t>
      </w:r>
      <w:r>
        <w:rPr>
          <w:rFonts w:hint="eastAsia"/>
          <w:iCs/>
        </w:rPr>
        <w:t>个地方政府机构提交了其性别与发展计划，为性别与发展问题的方案、计划和活动总共分配</w:t>
      </w:r>
      <w:r>
        <w:rPr>
          <w:rFonts w:hint="eastAsia"/>
          <w:iCs/>
        </w:rPr>
        <w:t>1</w:t>
      </w:r>
      <w:r>
        <w:rPr>
          <w:iCs/>
        </w:rPr>
        <w:t>.</w:t>
      </w:r>
      <w:r>
        <w:rPr>
          <w:rFonts w:hint="eastAsia"/>
          <w:iCs/>
        </w:rPr>
        <w:t>1325</w:t>
      </w:r>
      <w:r>
        <w:rPr>
          <w:rFonts w:hint="eastAsia"/>
          <w:iCs/>
        </w:rPr>
        <w:t>亿比索。截至</w:t>
      </w:r>
      <w:r>
        <w:rPr>
          <w:rFonts w:hint="eastAsia"/>
          <w:iCs/>
        </w:rPr>
        <w:t>2001</w:t>
      </w:r>
      <w:r>
        <w:rPr>
          <w:rFonts w:hint="eastAsia"/>
          <w:iCs/>
        </w:rPr>
        <w:t>年</w:t>
      </w:r>
      <w:r>
        <w:rPr>
          <w:rFonts w:hint="eastAsia"/>
          <w:iCs/>
        </w:rPr>
        <w:t>10</w:t>
      </w:r>
      <w:r>
        <w:rPr>
          <w:rFonts w:hint="eastAsia"/>
          <w:iCs/>
        </w:rPr>
        <w:t>月，共有</w:t>
      </w:r>
      <w:r>
        <w:rPr>
          <w:rFonts w:hint="eastAsia"/>
          <w:iCs/>
        </w:rPr>
        <w:t>130</w:t>
      </w:r>
      <w:r>
        <w:rPr>
          <w:rFonts w:hint="eastAsia"/>
          <w:iCs/>
        </w:rPr>
        <w:t>家机构提交了性别与发展计划，为性别与发展问题总共分配了</w:t>
      </w:r>
      <w:r>
        <w:rPr>
          <w:rFonts w:hint="eastAsia"/>
          <w:iCs/>
        </w:rPr>
        <w:t>28</w:t>
      </w:r>
      <w:r>
        <w:rPr>
          <w:rFonts w:hint="eastAsia"/>
          <w:iCs/>
        </w:rPr>
        <w:t>亿比索预算额。妇女委员会还没有对性别与发展预算的使用效率和效能进行充分评估。</w:t>
      </w:r>
    </w:p>
    <w:p w:rsidR="00000000" w:rsidRDefault="00821B8F">
      <w:pPr>
        <w:pStyle w:val="BodyText"/>
        <w:tabs>
          <w:tab w:val="left" w:pos="1620"/>
        </w:tabs>
        <w:spacing w:after="240" w:line="360" w:lineRule="exact"/>
        <w:rPr>
          <w:rFonts w:eastAsia="KaiTi_GB2312" w:hint="eastAsia"/>
          <w:color w:val="0000FF"/>
          <w:sz w:val="21"/>
        </w:rPr>
      </w:pPr>
      <w:r>
        <w:rPr>
          <w:rFonts w:eastAsia="KaiTi_GB2312" w:hint="eastAsia"/>
          <w:color w:val="0000FF"/>
          <w:sz w:val="21"/>
        </w:rPr>
        <w:t>性别</w:t>
      </w:r>
      <w:r>
        <w:rPr>
          <w:rFonts w:eastAsia="KaiTi_GB2312" w:hint="eastAsia"/>
          <w:color w:val="0000FF"/>
          <w:sz w:val="21"/>
        </w:rPr>
        <w:t>与发展计划和预算编制结果</w:t>
      </w:r>
    </w:p>
    <w:p w:rsidR="00000000" w:rsidRDefault="00821B8F">
      <w:pPr>
        <w:numPr>
          <w:ilvl w:val="0"/>
          <w:numId w:val="1236"/>
        </w:numPr>
        <w:tabs>
          <w:tab w:val="num" w:pos="1185"/>
        </w:tabs>
        <w:spacing w:after="240" w:line="360" w:lineRule="exact"/>
        <w:ind w:left="540" w:hanging="540"/>
      </w:pPr>
      <w:r>
        <w:rPr>
          <w:rFonts w:hint="eastAsia"/>
          <w:iCs/>
        </w:rPr>
        <w:t xml:space="preserve"> </w:t>
      </w:r>
      <w:r>
        <w:rPr>
          <w:rFonts w:hint="eastAsia"/>
        </w:rPr>
        <w:t>在执行性别与发展的计划和预算编制近八年时间里，在解决菲律宾妇女关注的问题方面取得了以下收获（妇女委员会，</w:t>
      </w:r>
      <w:r>
        <w:rPr>
          <w:rFonts w:hint="eastAsia"/>
        </w:rPr>
        <w:t>2002</w:t>
      </w:r>
      <w:r>
        <w:rPr>
          <w:rFonts w:hint="eastAsia"/>
        </w:rPr>
        <w:t>年</w:t>
      </w:r>
      <w:r>
        <w:t>b</w:t>
      </w:r>
      <w:r>
        <w:rPr>
          <w:rFonts w:hint="eastAsia"/>
        </w:rPr>
        <w:t>）。性别与发展计划和预算：</w:t>
      </w:r>
    </w:p>
    <w:p w:rsidR="00000000" w:rsidRDefault="00821B8F">
      <w:pPr>
        <w:numPr>
          <w:ilvl w:val="1"/>
          <w:numId w:val="1318"/>
        </w:numPr>
        <w:tabs>
          <w:tab w:val="clear" w:pos="780"/>
          <w:tab w:val="num" w:pos="1080"/>
        </w:tabs>
        <w:spacing w:after="240" w:line="360" w:lineRule="exact"/>
        <w:ind w:left="1080" w:hanging="480"/>
        <w:rPr>
          <w:rFonts w:hint="eastAsia"/>
        </w:rPr>
      </w:pPr>
      <w:r>
        <w:rPr>
          <w:rFonts w:hint="eastAsia"/>
        </w:rPr>
        <w:t>已经成为妇女向政府游说和谈判性别与发展方案、计划和活动并争取分配到足够资源的依据；</w:t>
      </w:r>
    </w:p>
    <w:p w:rsidR="00000000" w:rsidRDefault="00821B8F">
      <w:pPr>
        <w:numPr>
          <w:ilvl w:val="1"/>
          <w:numId w:val="1318"/>
        </w:numPr>
        <w:tabs>
          <w:tab w:val="clear" w:pos="780"/>
          <w:tab w:val="num" w:pos="1080"/>
        </w:tabs>
        <w:spacing w:after="240" w:line="360" w:lineRule="exact"/>
        <w:ind w:left="1080" w:hanging="480"/>
        <w:rPr>
          <w:rFonts w:hint="eastAsia"/>
        </w:rPr>
      </w:pPr>
      <w:r>
        <w:rPr>
          <w:rFonts w:hint="eastAsia"/>
          <w:iCs/>
        </w:rPr>
        <w:t>已经将性别问题和关注纳入政府的资源分配系统的主流；</w:t>
      </w:r>
    </w:p>
    <w:p w:rsidR="00000000" w:rsidRDefault="00821B8F">
      <w:pPr>
        <w:numPr>
          <w:ilvl w:val="1"/>
          <w:numId w:val="1318"/>
        </w:numPr>
        <w:tabs>
          <w:tab w:val="clear" w:pos="780"/>
          <w:tab w:val="num" w:pos="1080"/>
        </w:tabs>
        <w:spacing w:after="240" w:line="360" w:lineRule="exact"/>
        <w:ind w:left="1080" w:hanging="480"/>
        <w:rPr>
          <w:rFonts w:hint="eastAsia"/>
        </w:rPr>
      </w:pPr>
      <w:r>
        <w:rPr>
          <w:rFonts w:hint="eastAsia"/>
        </w:rPr>
        <w:t>使性别与发展问题成为政府议程中的一个重点问题；</w:t>
      </w:r>
    </w:p>
    <w:p w:rsidR="00000000" w:rsidRDefault="00821B8F">
      <w:pPr>
        <w:numPr>
          <w:ilvl w:val="1"/>
          <w:numId w:val="1318"/>
        </w:numPr>
        <w:tabs>
          <w:tab w:val="clear" w:pos="780"/>
          <w:tab w:val="num" w:pos="1080"/>
        </w:tabs>
        <w:spacing w:after="240" w:line="360" w:lineRule="exact"/>
        <w:ind w:left="1080" w:hanging="480"/>
        <w:rPr>
          <w:rFonts w:hint="eastAsia"/>
        </w:rPr>
      </w:pPr>
      <w:r>
        <w:rPr>
          <w:rFonts w:hint="eastAsia"/>
        </w:rPr>
        <w:t>迫使各机构和地方政府机构审视其方案、计划和活动的性别层面和影响；</w:t>
      </w:r>
    </w:p>
    <w:p w:rsidR="00000000" w:rsidRDefault="00821B8F">
      <w:pPr>
        <w:numPr>
          <w:ilvl w:val="1"/>
          <w:numId w:val="1318"/>
        </w:numPr>
        <w:tabs>
          <w:tab w:val="clear" w:pos="780"/>
          <w:tab w:val="num" w:pos="1080"/>
        </w:tabs>
        <w:spacing w:after="240" w:line="360" w:lineRule="exact"/>
        <w:ind w:left="1080" w:hanging="480"/>
        <w:rPr>
          <w:rFonts w:hint="eastAsia"/>
        </w:rPr>
      </w:pPr>
      <w:r>
        <w:rPr>
          <w:rFonts w:hint="eastAsia"/>
          <w:iCs/>
        </w:rPr>
        <w:t>阐明了监督机构在将性别观点纳入主流中的作用；</w:t>
      </w:r>
    </w:p>
    <w:p w:rsidR="00000000" w:rsidRDefault="00821B8F">
      <w:pPr>
        <w:numPr>
          <w:ilvl w:val="1"/>
          <w:numId w:val="1318"/>
        </w:numPr>
        <w:tabs>
          <w:tab w:val="clear" w:pos="780"/>
          <w:tab w:val="num" w:pos="1080"/>
        </w:tabs>
        <w:spacing w:after="240" w:line="360" w:lineRule="exact"/>
        <w:ind w:left="1080" w:hanging="480"/>
        <w:rPr>
          <w:rFonts w:hint="eastAsia"/>
        </w:rPr>
      </w:pPr>
      <w:r>
        <w:rPr>
          <w:rFonts w:hint="eastAsia"/>
        </w:rPr>
        <w:t>加强了妇女委员会作为解决妇女问题的权威机构的</w:t>
      </w:r>
      <w:r>
        <w:rPr>
          <w:rFonts w:hint="eastAsia"/>
        </w:rPr>
        <w:t>地位，因为妇女委员会在整个过程中提供了政策方向和技术援助、监测了执行情况、为进一步改善和应对妇女的需求提出了措施建议；及</w:t>
      </w:r>
    </w:p>
    <w:p w:rsidR="00000000" w:rsidRDefault="00821B8F">
      <w:pPr>
        <w:numPr>
          <w:ilvl w:val="1"/>
          <w:numId w:val="1318"/>
        </w:numPr>
        <w:tabs>
          <w:tab w:val="clear" w:pos="780"/>
          <w:tab w:val="num" w:pos="1080"/>
        </w:tabs>
        <w:spacing w:after="240" w:line="360" w:lineRule="exact"/>
        <w:ind w:left="1080" w:hanging="480"/>
        <w:rPr>
          <w:rFonts w:hint="eastAsia"/>
        </w:rPr>
      </w:pPr>
      <w:r>
        <w:rPr>
          <w:rFonts w:hint="eastAsia"/>
        </w:rPr>
        <w:t>在与政府如何谈判争取资源以为具体部门执行具体方案这方面，为老年人、残疾人和土著人等其他边际化部门树立了榜样。</w:t>
      </w:r>
    </w:p>
    <w:p w:rsidR="00000000" w:rsidRDefault="00821B8F">
      <w:pPr>
        <w:pStyle w:val="H1"/>
        <w:rPr>
          <w:rFonts w:hint="eastAsia"/>
        </w:rPr>
      </w:pPr>
      <w:r>
        <w:rPr>
          <w:rFonts w:hint="eastAsia"/>
        </w:rPr>
        <w:t>四、未解决的问题和菲律宾妇女仍然面临的障碍</w:t>
      </w:r>
    </w:p>
    <w:p w:rsidR="00000000" w:rsidRDefault="00821B8F">
      <w:pPr>
        <w:numPr>
          <w:ilvl w:val="0"/>
          <w:numId w:val="1236"/>
        </w:numPr>
        <w:tabs>
          <w:tab w:val="num" w:pos="1185"/>
        </w:tabs>
        <w:spacing w:after="240" w:line="360" w:lineRule="exact"/>
        <w:ind w:left="540" w:hanging="540"/>
        <w:rPr>
          <w:rFonts w:hint="eastAsia"/>
        </w:rPr>
      </w:pPr>
      <w:r>
        <w:rPr>
          <w:rFonts w:hint="eastAsia"/>
          <w:iCs/>
        </w:rPr>
        <w:t xml:space="preserve"> </w:t>
      </w:r>
      <w:r>
        <w:rPr>
          <w:rFonts w:hint="eastAsia"/>
        </w:rPr>
        <w:t>如本报告第一部分中指出的，菲律宾在努力动员更多的政府和非政府机构建设一个对性别问题更具敏感认识的社会方面确实取得了重大的进展。这些努力正在取得成果，尽管过程是逐渐的和稳步的。但是，前面还有更具挑战性的重大任务。菲律宾迄今仍在为解决许多</w:t>
      </w:r>
      <w:r>
        <w:rPr>
          <w:rFonts w:hint="eastAsia"/>
        </w:rPr>
        <w:t>重要的妇女问题而继续斗争，这些问题包括：</w:t>
      </w:r>
    </w:p>
    <w:p w:rsidR="00000000" w:rsidRDefault="00821B8F">
      <w:pPr>
        <w:pStyle w:val="BodyText"/>
        <w:numPr>
          <w:ilvl w:val="0"/>
          <w:numId w:val="1253"/>
        </w:numPr>
        <w:tabs>
          <w:tab w:val="clear" w:pos="405"/>
          <w:tab w:val="num" w:pos="1080"/>
          <w:tab w:val="left" w:pos="5760"/>
        </w:tabs>
        <w:spacing w:after="240" w:line="360" w:lineRule="exact"/>
        <w:ind w:left="1080" w:hanging="480"/>
        <w:rPr>
          <w:rFonts w:ascii="Times New Roman" w:hint="eastAsia"/>
          <w:sz w:val="21"/>
        </w:rPr>
      </w:pPr>
      <w:r>
        <w:rPr>
          <w:rFonts w:ascii="Times New Roman" w:eastAsia="KaiTi_GB2312" w:hint="eastAsia"/>
          <w:color w:val="0000FF"/>
          <w:sz w:val="21"/>
        </w:rPr>
        <w:t>普遍贫穷和占有经济资源的不平等。</w:t>
      </w:r>
      <w:r>
        <w:rPr>
          <w:rFonts w:ascii="Times New Roman" w:hint="eastAsia"/>
          <w:sz w:val="21"/>
        </w:rPr>
        <w:t>这主要是指财富集中在少数人手中以及由于资源和机会分配不均衡和政府职能下放而中央政府又没有向地方政府提供相应的资源造成的城乡妇女境况相差悬殊（贫穷、识字程度、保健和社会支助系统）。有必要继续执行更加有效的减缓贫穷战略，援助城乡生活贫穷的妇女，包括由于对她们从事的生产工作和生育工作缺乏支助系统（例如社会保障和健康保险）而受苦的非正规部门的妇女。</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全球化的影响。</w:t>
      </w:r>
      <w:r>
        <w:rPr>
          <w:rFonts w:ascii="Times New Roman" w:hint="eastAsia"/>
          <w:sz w:val="21"/>
        </w:rPr>
        <w:t>全球化与贩卖妇女、卖淫、移民妇女的脆弱性、工作的非正规化和不固定化以及女工的边际</w:t>
      </w:r>
      <w:r>
        <w:rPr>
          <w:rFonts w:ascii="Times New Roman" w:hint="eastAsia"/>
          <w:sz w:val="21"/>
        </w:rPr>
        <w:t>化状态等问题密切相关。由于全球媒体为进一步剥削妇女开辟了新的通道，人们对由此造成的威胁提出关注。</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顽固的和平与秩序问题。</w:t>
      </w:r>
      <w:r>
        <w:rPr>
          <w:rFonts w:ascii="Times New Roman" w:hint="eastAsia"/>
          <w:sz w:val="21"/>
        </w:rPr>
        <w:t>如前面以及第六条所指出的，犯罪和政府对叛乱部队及恐怖主义组织发动的战争对平民造成的影响需要立即给予严肃的注意。妇女应该参加和平缔造、重建家园和生计以及保障得到基本的社会服务。</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各机构中依然存在的性别偏差。</w:t>
      </w:r>
      <w:r>
        <w:rPr>
          <w:rFonts w:ascii="Times New Roman" w:hint="eastAsia"/>
          <w:sz w:val="21"/>
        </w:rPr>
        <w:t>尽管学校在推出两性平等课程和教材方面取得了一些进步，但教育系统继续在助长性别角色的定型观念。不仅在学校，而且在教会、政治系统和媒体等社会机构，都需要消除性别定型观念和性别歧视。这些机构应该</w:t>
      </w:r>
      <w:r>
        <w:rPr>
          <w:rFonts w:ascii="Times New Roman" w:hint="eastAsia"/>
          <w:sz w:val="21"/>
        </w:rPr>
        <w:t>为男女提供更广泛的选择并让他们扮演更积极的角色，例如共同承担家长责任、获得非传统技能和生计手段、妇女的生育权利及用非暴力方式处理冲突等。</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加强媒体在报道妇女问题中的作用。</w:t>
      </w:r>
      <w:r>
        <w:rPr>
          <w:rFonts w:ascii="Times New Roman" w:hint="eastAsia"/>
          <w:sz w:val="21"/>
        </w:rPr>
        <w:t>这包括使媒体从业妇女敏感地意识到自己在重点报道妇女问题与其他人类问题方面应发挥的重要作用，同时还要建立数据库以确定三维媒体广告将妇女刻画为性别歧视、有辱人格和陈规定型角色达到了何种程度。</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采取综合措施解决妇女在工作场所遇到的问题。</w:t>
      </w:r>
      <w:r>
        <w:rPr>
          <w:rFonts w:ascii="Times New Roman" w:hint="eastAsia"/>
          <w:sz w:val="21"/>
        </w:rPr>
        <w:t>艾滋病毒</w:t>
      </w:r>
      <w:r>
        <w:rPr>
          <w:rFonts w:ascii="Times New Roman" w:hint="eastAsia"/>
          <w:sz w:val="21"/>
        </w:rPr>
        <w:t>/</w:t>
      </w:r>
      <w:r>
        <w:rPr>
          <w:rFonts w:ascii="Times New Roman" w:hint="eastAsia"/>
          <w:sz w:val="21"/>
        </w:rPr>
        <w:t>艾滋病对妇女的威胁以及工作场所中的性骚扰迫切需要注意。</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在高级和决策职位上缺少足够人数的妇女。</w:t>
      </w:r>
      <w:r>
        <w:rPr>
          <w:rFonts w:ascii="Times New Roman" w:hint="eastAsia"/>
          <w:sz w:val="21"/>
        </w:rPr>
        <w:t>如第七和</w:t>
      </w:r>
      <w:r>
        <w:rPr>
          <w:rFonts w:ascii="Times New Roman" w:hint="eastAsia"/>
          <w:sz w:val="21"/>
        </w:rPr>
        <w:t>第八条中专门讨论的，妇女在权力职位上任职较少，说明了需要采取更有效的措施来消除妇女和那些推荐和批准任职的人士中仍然明显存在的性别偏差。这同时也说明需要为妇女走上决策岗位进行培训，鼓励女投票人把票投给那些支持赋予妇女权力和两性平等的男女，以及支持妇女的政治议程和妇女政党。</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需要加强处理妇女问题的国家机构，国家和地方两级需要更多的技术援助并监测各种倡议和成果。</w:t>
      </w:r>
      <w:r>
        <w:rPr>
          <w:rFonts w:ascii="Times New Roman" w:hint="eastAsia"/>
          <w:sz w:val="21"/>
        </w:rPr>
        <w:t>需要加强妇女委员会的权限、组织结构和预算，并把这个机构提升到内阁一级，以便它更有效地应对在政府的所有部门和所有层次上将性别观点纳入主流、政策宣传和监测方面</w:t>
      </w:r>
      <w:r>
        <w:rPr>
          <w:rFonts w:ascii="Times New Roman" w:hint="eastAsia"/>
          <w:sz w:val="21"/>
        </w:rPr>
        <w:t>越来越多的挑战。</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两性平等立法的执行和监测。</w:t>
      </w:r>
      <w:r>
        <w:rPr>
          <w:rFonts w:ascii="Times New Roman" w:hint="eastAsia"/>
          <w:sz w:val="21"/>
        </w:rPr>
        <w:t>尽管象卖淫妇女非刑罪化等立法需要通过，但菲律宾在颁布法律和制订政策以促进资源获得方面的两性平等和对付各种形式基于性别的暴力方面取得了巨大进展。要继续面对的挑战在于如何执行和监测这些法律和政策。</w:t>
      </w:r>
    </w:p>
    <w:p w:rsidR="00000000" w:rsidRDefault="00821B8F">
      <w:pPr>
        <w:pStyle w:val="BodyText"/>
        <w:numPr>
          <w:ilvl w:val="0"/>
          <w:numId w:val="1253"/>
        </w:numPr>
        <w:tabs>
          <w:tab w:val="clear" w:pos="405"/>
          <w:tab w:val="num" w:pos="1080"/>
        </w:tabs>
        <w:spacing w:after="240" w:line="360" w:lineRule="exact"/>
        <w:ind w:left="1080" w:hanging="480"/>
        <w:rPr>
          <w:rFonts w:ascii="Times New Roman" w:hint="eastAsia"/>
          <w:sz w:val="21"/>
        </w:rPr>
      </w:pPr>
      <w:r>
        <w:rPr>
          <w:rFonts w:ascii="Times New Roman" w:eastAsia="KaiTi_GB2312" w:hint="eastAsia"/>
          <w:color w:val="0000FF"/>
          <w:sz w:val="21"/>
        </w:rPr>
        <w:t>对妇女的状况进行监督。</w:t>
      </w:r>
      <w:r>
        <w:rPr>
          <w:rFonts w:ascii="Times New Roman" w:hint="eastAsia"/>
          <w:sz w:val="21"/>
        </w:rPr>
        <w:t>要做到这一点，需要在尽可能最低的行政层次上和各种社会经济变数中存在或提供按性别分列的数据和与性别有关的信息。国家制订了若干措施，例如改进性别与发展指数系统、颁布政策为产生与性别有关的数据提供资金，以及大致规定了国家监督机构在监测性别与发展问题方面的作用</w:t>
      </w:r>
      <w:r>
        <w:rPr>
          <w:rFonts w:ascii="Times New Roman" w:hint="eastAsia"/>
          <w:sz w:val="21"/>
        </w:rPr>
        <w:t>。这方面的挑战是如何应用这些框架以及如何执行政策以产生关于对妇女儿童的暴力发生率的数据、将妇女的经济贡献（包括对无报酬工作的计量）量化，以及产生非正规部门的统计数据。完成这些任务需要政府提供更多的资源，还需要使关键部门的数据用户和编制人员获得敏感性和熟悉情况，使他们有效使用和分析目前统计系统正在产生的性别统计数据。此外，还有必要使所有在监测妇女状况中起关键作用的人员具备相应的能力。剩下的一项任务是，制订一个覆盖大多数关注领域的综合监测框架，使之能归纳政府机构的不同意见，将所有的报告和监测活动融为一体。</w:t>
      </w:r>
    </w:p>
    <w:p w:rsidR="00000000" w:rsidRDefault="00821B8F">
      <w:pPr>
        <w:pStyle w:val="BodyText"/>
        <w:numPr>
          <w:ilvl w:val="0"/>
          <w:numId w:val="1253"/>
        </w:numPr>
        <w:tabs>
          <w:tab w:val="clear" w:pos="405"/>
          <w:tab w:val="num" w:pos="1080"/>
        </w:tabs>
        <w:spacing w:after="240" w:line="360" w:lineRule="exact"/>
        <w:ind w:left="1080" w:hanging="480"/>
        <w:rPr>
          <w:sz w:val="21"/>
        </w:rPr>
      </w:pPr>
      <w:r>
        <w:rPr>
          <w:rFonts w:ascii="Times New Roman" w:eastAsia="KaiTi_GB2312" w:hint="eastAsia"/>
          <w:color w:val="0000FF"/>
          <w:sz w:val="21"/>
        </w:rPr>
        <w:t>政府</w:t>
      </w:r>
      <w:r>
        <w:rPr>
          <w:rFonts w:ascii="Times New Roman" w:eastAsia="KaiTi_GB2312" w:hint="eastAsia"/>
          <w:color w:val="0000FF"/>
          <w:sz w:val="21"/>
        </w:rPr>
        <w:t>资源有限、效率低以及政府中的腐败。</w:t>
      </w:r>
      <w:r>
        <w:rPr>
          <w:rFonts w:ascii="Times New Roman" w:hint="eastAsia"/>
          <w:sz w:val="21"/>
        </w:rPr>
        <w:t>这些现象不仅影响到性别与发展问题的预算，而且影响到分配给经济和社会部门、本可以用来提供公益服务（健康、营养和教育）和就业的资源。需要解决的一个问题是，国家和地方两级的政府官员缺乏执行性别与发展预算政策的承诺和政治愿望。</w:t>
      </w:r>
    </w:p>
    <w:p w:rsidR="00000000" w:rsidRDefault="00821B8F">
      <w:pPr>
        <w:pStyle w:val="HCh"/>
        <w:spacing w:before="240"/>
        <w:jc w:val="center"/>
        <w:rPr>
          <w:rFonts w:hint="eastAsia"/>
        </w:rPr>
      </w:pPr>
      <w:r>
        <w:rPr>
          <w:rFonts w:hint="eastAsia"/>
        </w:rPr>
        <w:t>第三部分：关于公约各条款的报告</w:t>
      </w:r>
    </w:p>
    <w:p w:rsidR="00000000" w:rsidRDefault="00821B8F">
      <w:pPr>
        <w:pStyle w:val="TOC1"/>
      </w:pPr>
      <w:r>
        <w:rPr>
          <w:rFonts w:hint="eastAsia"/>
        </w:rPr>
        <w:t>第一条</w:t>
      </w:r>
    </w:p>
    <w:p w:rsidR="00000000" w:rsidRDefault="00821B8F">
      <w:pPr>
        <w:spacing w:after="240" w:line="360" w:lineRule="exact"/>
        <w:jc w:val="center"/>
        <w:rPr>
          <w:rFonts w:eastAsia="SimHei" w:hint="eastAsia"/>
          <w:bCs/>
          <w:color w:val="FF0000"/>
        </w:rPr>
      </w:pPr>
      <w:r>
        <w:rPr>
          <w:rFonts w:eastAsia="SimHei" w:hint="eastAsia"/>
          <w:bCs/>
          <w:color w:val="FF0000"/>
        </w:rPr>
        <w:t>对妇女歧视的定义</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宪法中保障男女平等；法律和政策声明界定歧视定义；歧视现象的法律定义非常广泛，足以涉及并非有意歧视但产生了歧视效果的行为</w:t>
      </w:r>
    </w:p>
    <w:p w:rsidR="00000000" w:rsidRDefault="00821B8F">
      <w:pPr>
        <w:numPr>
          <w:ilvl w:val="0"/>
          <w:numId w:val="1236"/>
        </w:numPr>
        <w:tabs>
          <w:tab w:val="num" w:pos="1185"/>
        </w:tabs>
        <w:spacing w:after="240" w:line="360" w:lineRule="exact"/>
        <w:ind w:left="540" w:hanging="540"/>
        <w:rPr>
          <w:rFonts w:hint="eastAsia"/>
        </w:rPr>
      </w:pPr>
      <w:r>
        <w:rPr>
          <w:rFonts w:hint="eastAsia"/>
          <w:iCs/>
        </w:rPr>
        <w:t xml:space="preserve"> </w:t>
      </w:r>
      <w:r>
        <w:rPr>
          <w:rFonts w:hint="eastAsia"/>
          <w:iCs/>
        </w:rPr>
        <w:t>《</w:t>
      </w:r>
      <w:r>
        <w:rPr>
          <w:rFonts w:hint="eastAsia"/>
        </w:rPr>
        <w:t>1987</w:t>
      </w:r>
      <w:r>
        <w:rPr>
          <w:rFonts w:hint="eastAsia"/>
        </w:rPr>
        <w:t>年宪法》第二条第</w:t>
      </w:r>
      <w:r>
        <w:rPr>
          <w:rFonts w:hint="eastAsia"/>
        </w:rPr>
        <w:t>14</w:t>
      </w:r>
      <w:r>
        <w:rPr>
          <w:rFonts w:hint="eastAsia"/>
        </w:rPr>
        <w:t>款规定，“国家承认妇女在国家建设中的作用，并应确</w:t>
      </w:r>
      <w:r>
        <w:rPr>
          <w:rFonts w:hint="eastAsia"/>
        </w:rPr>
        <w:t>保男女在法律面前享有基本的平等。”</w:t>
      </w:r>
      <w:r>
        <w:rPr>
          <w:rFonts w:hint="eastAsia"/>
        </w:rPr>
        <w:t xml:space="preserve"> </w:t>
      </w:r>
      <w:r>
        <w:rPr>
          <w:rFonts w:hint="eastAsia"/>
        </w:rPr>
        <w:t>另外，第十三条第</w:t>
      </w:r>
      <w:r>
        <w:rPr>
          <w:rFonts w:hint="eastAsia"/>
        </w:rPr>
        <w:t>14</w:t>
      </w:r>
      <w:r>
        <w:rPr>
          <w:rFonts w:hint="eastAsia"/>
        </w:rPr>
        <w:t>款保障，参加工作的妇女有权享有安全与健康的工作条件，同时考虑到她们的生育职能。其他保障妇女权利的具体条款有：第六条第</w:t>
      </w:r>
      <w:r>
        <w:rPr>
          <w:rFonts w:hint="eastAsia"/>
        </w:rPr>
        <w:t>5</w:t>
      </w:r>
      <w:r>
        <w:rPr>
          <w:rFonts w:hint="eastAsia"/>
        </w:rPr>
        <w:t>（</w:t>
      </w:r>
      <w:r>
        <w:rPr>
          <w:rFonts w:hint="eastAsia"/>
        </w:rPr>
        <w:t>2</w:t>
      </w:r>
      <w:r>
        <w:rPr>
          <w:rFonts w:hint="eastAsia"/>
        </w:rPr>
        <w:t>）款，主张妇女在国家和地方各级立法机构中享有部门代表权；以及第四条，给予妇女平等的公民权。</w:t>
      </w:r>
    </w:p>
    <w:p w:rsidR="00000000" w:rsidRDefault="00821B8F">
      <w:pPr>
        <w:spacing w:after="240" w:line="360" w:lineRule="exact"/>
        <w:rPr>
          <w:rFonts w:hint="eastAsia"/>
        </w:rPr>
      </w:pPr>
    </w:p>
    <w:p w:rsidR="00000000" w:rsidRDefault="00821B8F">
      <w:pPr>
        <w:pStyle w:val="Heading4"/>
        <w:rPr>
          <w:rFonts w:hint="eastAsia"/>
          <w:color w:val="FF0000"/>
          <w:u w:val="none"/>
        </w:rPr>
      </w:pPr>
      <w:r>
        <w:rPr>
          <w:rFonts w:hint="eastAsia"/>
          <w:color w:val="FF0000"/>
          <w:u w:val="none"/>
        </w:rPr>
        <w:t>采取的行动</w:t>
      </w:r>
    </w:p>
    <w:p w:rsidR="00000000" w:rsidRDefault="00821B8F">
      <w:pPr>
        <w:numPr>
          <w:ilvl w:val="0"/>
          <w:numId w:val="1236"/>
        </w:numPr>
        <w:spacing w:after="240" w:line="360" w:lineRule="exact"/>
        <w:ind w:left="540" w:hanging="540"/>
        <w:rPr>
          <w:rFonts w:hint="eastAsia"/>
        </w:rPr>
      </w:pPr>
      <w:r>
        <w:rPr>
          <w:rFonts w:hint="eastAsia"/>
          <w:iCs/>
        </w:rPr>
        <w:t xml:space="preserve"> </w:t>
      </w:r>
      <w:r>
        <w:rPr>
          <w:rFonts w:hint="eastAsia"/>
        </w:rPr>
        <w:t>菲律宾采取法律措施来纠正历史上造成的妇女在各个生活领域的不利处境。这些法律包括禁止就业歧视、消除妇女进入警察和军队的障碍，以及对教育和培训环境及工作场所中的性骚扰实行刑事定罪的法律。</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在本报告期内，菲律宾通过了一些涉及对妇女</w:t>
      </w:r>
      <w:r>
        <w:rPr>
          <w:rFonts w:hint="eastAsia"/>
        </w:rPr>
        <w:t>的暴力及有关歧视的法律。这些法律是：</w:t>
      </w:r>
    </w:p>
    <w:p w:rsidR="00000000" w:rsidRDefault="00821B8F">
      <w:pPr>
        <w:numPr>
          <w:ilvl w:val="0"/>
          <w:numId w:val="1320"/>
        </w:numPr>
        <w:tabs>
          <w:tab w:val="clear" w:pos="225"/>
          <w:tab w:val="num" w:pos="1080"/>
        </w:tabs>
        <w:spacing w:after="240" w:line="360" w:lineRule="exact"/>
        <w:ind w:left="1080" w:hanging="480"/>
        <w:rPr>
          <w:rFonts w:hint="eastAsia"/>
        </w:rPr>
      </w:pPr>
      <w:r>
        <w:rPr>
          <w:rFonts w:hint="eastAsia"/>
        </w:rPr>
        <w:t>第</w:t>
      </w:r>
      <w:r>
        <w:rPr>
          <w:rFonts w:hint="eastAsia"/>
        </w:rPr>
        <w:t>8353</w:t>
      </w:r>
      <w:r>
        <w:rPr>
          <w:rFonts w:hint="eastAsia"/>
        </w:rPr>
        <w:t>号共和国法令，即《</w:t>
      </w:r>
      <w:r>
        <w:rPr>
          <w:rFonts w:hint="eastAsia"/>
        </w:rPr>
        <w:t>1997</w:t>
      </w:r>
      <w:r>
        <w:rPr>
          <w:rFonts w:hint="eastAsia"/>
        </w:rPr>
        <w:t>年反强奸法》，其中重新界定和扩大了强奸的定义，从破坏贞洁罪扩大为危害人身罪，把强奸定义扩大为不仅包括插入阴茎而且包括插入任何物体。该法律明确承认当侵犯者是合法丈夫时案件构成配偶强奸罪。不过，如果受害妻子在事发后原谅了罪犯，则法律取消刑事诉讼或处罚。</w:t>
      </w:r>
    </w:p>
    <w:p w:rsidR="00000000" w:rsidRDefault="00821B8F">
      <w:pPr>
        <w:numPr>
          <w:ilvl w:val="0"/>
          <w:numId w:val="1320"/>
        </w:numPr>
        <w:tabs>
          <w:tab w:val="clear" w:pos="225"/>
          <w:tab w:val="num" w:pos="1080"/>
        </w:tabs>
        <w:spacing w:after="240" w:line="360" w:lineRule="exact"/>
        <w:ind w:left="1080" w:hanging="480"/>
        <w:rPr>
          <w:rFonts w:hint="eastAsia"/>
        </w:rPr>
      </w:pPr>
      <w:r>
        <w:rPr>
          <w:rFonts w:hint="eastAsia"/>
        </w:rPr>
        <w:t>第</w:t>
      </w:r>
      <w:r>
        <w:rPr>
          <w:rFonts w:hint="eastAsia"/>
        </w:rPr>
        <w:t>8505</w:t>
      </w:r>
      <w:r>
        <w:rPr>
          <w:rFonts w:hint="eastAsia"/>
        </w:rPr>
        <w:t>号共和国法令，即《</w:t>
      </w:r>
      <w:r>
        <w:rPr>
          <w:rFonts w:hint="eastAsia"/>
        </w:rPr>
        <w:t>1998</w:t>
      </w:r>
      <w:r>
        <w:rPr>
          <w:rFonts w:hint="eastAsia"/>
        </w:rPr>
        <w:t>年强奸案受害者援助和保护法》，其中规定在每个省市建立强奸危机中心，以便提供咨询、免费的法律援助，确保强奸案幸存者的隐私和安全。该法令还要求政府培训执法官</w:t>
      </w:r>
      <w:r>
        <w:rPr>
          <w:rFonts w:hint="eastAsia"/>
        </w:rPr>
        <w:t>员、检察官、律师、法医官员、社会工作者和镇级官员，让他们学习人权和责任、对性别问题有敏感认识以及强奸案的司法管理等方面的知识。社会福利和发展部为执行法律正在组建一个机构间委员会。</w:t>
      </w:r>
    </w:p>
    <w:p w:rsidR="00000000" w:rsidRDefault="00821B8F">
      <w:pPr>
        <w:numPr>
          <w:ilvl w:val="0"/>
          <w:numId w:val="1320"/>
        </w:numPr>
        <w:tabs>
          <w:tab w:val="clear" w:pos="225"/>
          <w:tab w:val="num" w:pos="1080"/>
        </w:tabs>
        <w:spacing w:after="240" w:line="360" w:lineRule="exact"/>
        <w:ind w:left="1080" w:hanging="480"/>
        <w:rPr>
          <w:rFonts w:hint="eastAsia"/>
        </w:rPr>
      </w:pPr>
      <w:r>
        <w:rPr>
          <w:rFonts w:hint="eastAsia"/>
        </w:rPr>
        <w:t>第</w:t>
      </w:r>
      <w:r>
        <w:rPr>
          <w:rFonts w:hint="eastAsia"/>
        </w:rPr>
        <w:t>9208</w:t>
      </w:r>
      <w:r>
        <w:rPr>
          <w:rFonts w:hint="eastAsia"/>
        </w:rPr>
        <w:t>号共和国法令，即《</w:t>
      </w:r>
      <w:r>
        <w:rPr>
          <w:rFonts w:hint="eastAsia"/>
        </w:rPr>
        <w:t>2003</w:t>
      </w:r>
      <w:r>
        <w:rPr>
          <w:rFonts w:hint="eastAsia"/>
        </w:rPr>
        <w:t>年禁止贩卖人口法》（第六条还要对此进行详细讨论），制订了政策、必要的体制机制以及对人贩子等的制裁和惩罚，以消除贩卖人口尤其是贩卖妇女儿童现象，并对被贩卖者提供保护和支助。</w:t>
      </w:r>
    </w:p>
    <w:p w:rsidR="00000000" w:rsidRDefault="00821B8F">
      <w:pPr>
        <w:numPr>
          <w:ilvl w:val="0"/>
          <w:numId w:val="1320"/>
        </w:numPr>
        <w:tabs>
          <w:tab w:val="clear" w:pos="225"/>
          <w:tab w:val="num" w:pos="1080"/>
        </w:tabs>
        <w:spacing w:after="240" w:line="360" w:lineRule="exact"/>
        <w:ind w:left="1080" w:hanging="480"/>
        <w:rPr>
          <w:rFonts w:hint="eastAsia"/>
          <w:color w:val="000000"/>
        </w:rPr>
      </w:pPr>
      <w:r>
        <w:rPr>
          <w:rFonts w:hint="eastAsia"/>
          <w:color w:val="000000"/>
        </w:rPr>
        <w:t>第</w:t>
      </w:r>
      <w:r>
        <w:rPr>
          <w:rFonts w:hint="eastAsia"/>
          <w:color w:val="000000"/>
        </w:rPr>
        <w:t>9262</w:t>
      </w:r>
      <w:r>
        <w:rPr>
          <w:rFonts w:hint="eastAsia"/>
          <w:color w:val="000000"/>
        </w:rPr>
        <w:t>号共和国法令，即《</w:t>
      </w:r>
      <w:r>
        <w:rPr>
          <w:rFonts w:hint="eastAsia"/>
          <w:color w:val="000000"/>
        </w:rPr>
        <w:t>2004</w:t>
      </w:r>
      <w:r>
        <w:rPr>
          <w:rFonts w:hint="eastAsia"/>
          <w:color w:val="000000"/>
        </w:rPr>
        <w:t>年禁止对妇女及其子女施暴法》（也将在第六条中进行讨论），旨在保护妇女及其子女在婚姻、约会</w:t>
      </w:r>
      <w:r>
        <w:rPr>
          <w:rFonts w:hint="eastAsia"/>
          <w:color w:val="000000"/>
        </w:rPr>
        <w:t>或同居关系中免受身体、精神和经济虐待。</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涉及歧视后果（即使不是故意的）的其他法律和政策声明将在相关条款下报告。</w:t>
      </w:r>
    </w:p>
    <w:p w:rsidR="00000000" w:rsidRDefault="00821B8F">
      <w:pPr>
        <w:pStyle w:val="Heading4"/>
        <w:rPr>
          <w:rFonts w:hint="eastAsia"/>
          <w:color w:val="FF0000"/>
          <w:u w:val="none"/>
        </w:rPr>
      </w:pPr>
      <w:r>
        <w:rPr>
          <w:rFonts w:hint="eastAsia"/>
          <w:color w:val="FF0000"/>
          <w:u w:val="none"/>
        </w:rPr>
        <w:t>未解决的问题和障碍</w:t>
      </w:r>
    </w:p>
    <w:p w:rsidR="00000000" w:rsidRDefault="00821B8F">
      <w:pPr>
        <w:numPr>
          <w:ilvl w:val="0"/>
          <w:numId w:val="1236"/>
        </w:numPr>
        <w:spacing w:after="240" w:line="360" w:lineRule="exact"/>
        <w:ind w:left="540" w:hanging="540"/>
        <w:rPr>
          <w:rFonts w:hint="eastAsia"/>
        </w:rPr>
      </w:pPr>
      <w:r>
        <w:rPr>
          <w:rFonts w:hint="eastAsia"/>
          <w:iCs/>
        </w:rPr>
        <w:t xml:space="preserve"> </w:t>
      </w:r>
      <w:r>
        <w:rPr>
          <w:rFonts w:hint="eastAsia"/>
        </w:rPr>
        <w:t>法律中还没有与妇女公约第一条中的定义相同的对妇女歧视的法律定义。</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需要广泛地提高人们的认识：什么行为构成对妇女的歧视、什么是男女事实上的平等、国家、个人和组织在尊重、保护与落实妇女人权方面承担何种责任。上述行动的对象不仅包括国家代表——从立法者到执法者和方案执行者，而且包括所有公民或来自各种社会经济团体的男女维权人。</w:t>
      </w:r>
    </w:p>
    <w:p w:rsidR="00000000" w:rsidRDefault="00821B8F">
      <w:pPr>
        <w:spacing w:before="120" w:after="240" w:line="360" w:lineRule="exact"/>
        <w:jc w:val="center"/>
        <w:rPr>
          <w:rFonts w:eastAsia="SimHei"/>
          <w:bCs/>
          <w:color w:val="FF0000"/>
          <w:sz w:val="24"/>
        </w:rPr>
      </w:pPr>
      <w:r>
        <w:rPr>
          <w:b/>
        </w:rPr>
        <w:br w:type="page"/>
      </w:r>
      <w:r>
        <w:rPr>
          <w:rFonts w:eastAsia="SimHei" w:hint="eastAsia"/>
          <w:bCs/>
          <w:color w:val="FF0000"/>
          <w:sz w:val="24"/>
        </w:rPr>
        <w:t>第二条</w:t>
      </w:r>
    </w:p>
    <w:p w:rsidR="00000000" w:rsidRDefault="00821B8F">
      <w:pPr>
        <w:spacing w:after="240" w:line="360" w:lineRule="exact"/>
        <w:jc w:val="center"/>
        <w:rPr>
          <w:rFonts w:eastAsia="SimHei" w:hint="eastAsia"/>
          <w:bCs/>
          <w:color w:val="FF0000"/>
        </w:rPr>
      </w:pPr>
      <w:r>
        <w:rPr>
          <w:rFonts w:eastAsia="SimHei" w:hint="eastAsia"/>
          <w:bCs/>
          <w:color w:val="FF0000"/>
        </w:rPr>
        <w:t>消除歧视的义务</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宪法中的男女平等原则；采取适</w:t>
      </w:r>
      <w:r>
        <w:rPr>
          <w:rFonts w:eastAsia="KaiTi_GB2312" w:hint="eastAsia"/>
          <w:b/>
          <w:color w:val="0000FF"/>
          <w:sz w:val="21"/>
        </w:rPr>
        <w:t>当的立法措施和包括制裁在内的其他措施；禁止歧视；建立对妇女的合法保护；不得从事任何歧视活动；修改或废除歧视性法律、规定、习惯和风俗；以及废除刑法中的歧视性条款</w:t>
      </w:r>
    </w:p>
    <w:p w:rsidR="00000000" w:rsidRDefault="00821B8F">
      <w:pPr>
        <w:pStyle w:val="Heading4"/>
        <w:numPr>
          <w:ilvl w:val="0"/>
          <w:numId w:val="0"/>
        </w:numPr>
        <w:rPr>
          <w:rFonts w:hint="eastAsia"/>
          <w:color w:val="FF0000"/>
          <w:u w:val="none"/>
        </w:rPr>
      </w:pPr>
      <w:r>
        <w:rPr>
          <w:rFonts w:hint="eastAsia"/>
          <w:color w:val="FF0000"/>
          <w:u w:val="none"/>
        </w:rPr>
        <w:t>A</w:t>
      </w:r>
      <w:r>
        <w:rPr>
          <w:rFonts w:hint="eastAsia"/>
          <w:color w:val="FF0000"/>
          <w:u w:val="none"/>
        </w:rPr>
        <w:t>．妇女的状况</w:t>
      </w:r>
    </w:p>
    <w:p w:rsidR="00000000" w:rsidRDefault="00821B8F">
      <w:pPr>
        <w:numPr>
          <w:ilvl w:val="0"/>
          <w:numId w:val="1236"/>
        </w:numPr>
        <w:spacing w:after="240" w:line="360" w:lineRule="exact"/>
        <w:ind w:left="540" w:hanging="540"/>
        <w:rPr>
          <w:rFonts w:hint="eastAsia"/>
        </w:rPr>
      </w:pPr>
      <w:r>
        <w:rPr>
          <w:rFonts w:hint="eastAsia"/>
          <w:iCs/>
        </w:rPr>
        <w:t xml:space="preserve"> </w:t>
      </w:r>
      <w:r>
        <w:rPr>
          <w:rFonts w:hint="eastAsia"/>
        </w:rPr>
        <w:t>《</w:t>
      </w:r>
      <w:r>
        <w:rPr>
          <w:rFonts w:hint="eastAsia"/>
        </w:rPr>
        <w:t>1987</w:t>
      </w:r>
      <w:r>
        <w:rPr>
          <w:rFonts w:hint="eastAsia"/>
        </w:rPr>
        <w:t>年家事法典》取消了《民事法典》中的许多歧视性条款（详情见第十六条）。但该法典并没有消除婚姻和家庭领域中不利于妇女的偏见。因此，修改后的《刑法典》第</w:t>
      </w:r>
      <w:r>
        <w:rPr>
          <w:rFonts w:hint="eastAsia"/>
        </w:rPr>
        <w:t>333</w:t>
      </w:r>
      <w:r>
        <w:rPr>
          <w:rFonts w:hint="eastAsia"/>
        </w:rPr>
        <w:t>和第</w:t>
      </w:r>
      <w:r>
        <w:rPr>
          <w:rFonts w:hint="eastAsia"/>
        </w:rPr>
        <w:t>334</w:t>
      </w:r>
      <w:r>
        <w:rPr>
          <w:rFonts w:hint="eastAsia"/>
        </w:rPr>
        <w:t>条继续适用，而这两条对性不忠做出了男女有别的定义。妻子只要是通奸便负有刑事责任，而丈夫只有非法同居才要负刑事责任。《穆斯林属人法典》和《习惯法》里也有歧视性条款。</w:t>
      </w:r>
      <w:r>
        <w:rPr>
          <w:rFonts w:hint="eastAsia"/>
        </w:rPr>
        <w:t>这就在婚姻和家庭关系方面把菲律宾妇女，不管其旅裔和宗教信仰如何，置于与男人不平等的地位。</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修订的《劳工法典》中禁止在雇用、培训和晋升方面做出歧视，《惩治性骚扰法》保护就业妇女、惩罚歧视性行为。法庭的裁决增强了这些禁令的效力（见第十一条第</w:t>
      </w:r>
      <w:r>
        <w:rPr>
          <w:rFonts w:hint="eastAsia"/>
        </w:rPr>
        <w:t>495</w:t>
      </w:r>
      <w:r>
        <w:rPr>
          <w:rFonts w:hint="eastAsia"/>
        </w:rPr>
        <w:t>段中的例子）。</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对</w:t>
      </w:r>
      <w:r>
        <w:rPr>
          <w:rFonts w:hint="eastAsia"/>
        </w:rPr>
        <w:t>334</w:t>
      </w:r>
      <w:r>
        <w:rPr>
          <w:rFonts w:hint="eastAsia"/>
        </w:rPr>
        <w:t>家菲律宾公司进行的调查表明，其中有</w:t>
      </w:r>
      <w:r>
        <w:rPr>
          <w:rFonts w:hint="eastAsia"/>
        </w:rPr>
        <w:t>17%</w:t>
      </w:r>
      <w:r>
        <w:rPr>
          <w:rFonts w:hint="eastAsia"/>
        </w:rPr>
        <w:t>的公司有过性骚扰案件记录。由于受害者往往不愿意举报，因此，实际数字可能还要高（劳工和就业部，</w:t>
      </w:r>
      <w:r>
        <w:rPr>
          <w:rFonts w:hint="eastAsia"/>
        </w:rPr>
        <w:t>2002</w:t>
      </w:r>
      <w:r>
        <w:rPr>
          <w:rFonts w:hint="eastAsia"/>
        </w:rPr>
        <w:t>年）。在提高认识、制定工作场所政策和程序、对管理人员进行培训以及向受害者提供咨询方面，还有许多工作要做</w:t>
      </w:r>
      <w:r>
        <w:rPr>
          <w:rFonts w:hint="eastAsia"/>
        </w:rPr>
        <w:t>。</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从第二部分和本报告后面的各条可以看出，对妇女歧视采取的形式比较隐蔽：职务晋升时男子优先、在教育和职业生涯中显示出性别轨迹。尽管公众教育运动、社区和警察的干预措施正在产生效果，但对妇女的暴力仍是一个严重问题。</w:t>
      </w:r>
    </w:p>
    <w:p w:rsidR="00000000" w:rsidRDefault="00821B8F">
      <w:pPr>
        <w:pStyle w:val="Heading4"/>
        <w:numPr>
          <w:ilvl w:val="0"/>
          <w:numId w:val="0"/>
        </w:numPr>
        <w:rPr>
          <w:rFonts w:hint="eastAsia"/>
          <w:color w:val="FF0000"/>
          <w:u w:val="none"/>
        </w:rPr>
      </w:pPr>
      <w:r>
        <w:rPr>
          <w:rFonts w:hint="eastAsia"/>
          <w:color w:val="FF0000"/>
          <w:u w:val="none"/>
        </w:rPr>
        <w:t>B</w:t>
      </w:r>
      <w:r>
        <w:rPr>
          <w:rFonts w:hint="eastAsia"/>
          <w:color w:val="FF0000"/>
          <w:u w:val="none"/>
        </w:rPr>
        <w:t>．采取的行动</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如第十一条所指出的，有两项新的法律涉及弱势部门的需要，尤其是使妇女得到好处。第</w:t>
      </w:r>
      <w:r>
        <w:rPr>
          <w:rFonts w:hint="eastAsia"/>
        </w:rPr>
        <w:t>8972</w:t>
      </w:r>
      <w:r>
        <w:rPr>
          <w:rFonts w:hint="eastAsia"/>
        </w:rPr>
        <w:t>号共和国法令，即《</w:t>
      </w:r>
      <w:r>
        <w:rPr>
          <w:rFonts w:hint="eastAsia"/>
        </w:rPr>
        <w:t>2000</w:t>
      </w:r>
      <w:r>
        <w:rPr>
          <w:rFonts w:hint="eastAsia"/>
        </w:rPr>
        <w:t>年单身父母福利法》禁止雇主歧视任何单身父母，并责令某些机构为单身父母及其子女制订和实施社会发展和福利服务综合方案。</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第</w:t>
      </w:r>
      <w:r>
        <w:rPr>
          <w:rFonts w:hint="eastAsia"/>
        </w:rPr>
        <w:t>8282</w:t>
      </w:r>
      <w:r>
        <w:rPr>
          <w:rFonts w:hint="eastAsia"/>
        </w:rPr>
        <w:t>号共和国法令，即《</w:t>
      </w:r>
      <w:r>
        <w:rPr>
          <w:rFonts w:hint="eastAsia"/>
        </w:rPr>
        <w:t>1997</w:t>
      </w:r>
      <w:r>
        <w:rPr>
          <w:rFonts w:hint="eastAsia"/>
        </w:rPr>
        <w:t>年社会保障法》</w:t>
      </w:r>
      <w:r>
        <w:rPr>
          <w:rFonts w:hint="eastAsia"/>
        </w:rPr>
        <w:t>把社会保障范围扩大到自营职业者、家庭主妇以及其雇主必须交纳或承担一部分付款的家庭雇员。不过，这项法律的执行程度仍然偏低。公务员制度委员会第</w:t>
      </w:r>
      <w:r>
        <w:rPr>
          <w:rFonts w:hint="eastAsia"/>
        </w:rPr>
        <w:t>16</w:t>
      </w:r>
      <w:r>
        <w:rPr>
          <w:rFonts w:hint="eastAsia"/>
        </w:rPr>
        <w:t>号总括法规第</w:t>
      </w:r>
      <w:r>
        <w:rPr>
          <w:rFonts w:hint="eastAsia"/>
        </w:rPr>
        <w:t>13</w:t>
      </w:r>
      <w:r>
        <w:rPr>
          <w:rFonts w:hint="eastAsia"/>
        </w:rPr>
        <w:t>和第</w:t>
      </w:r>
      <w:r>
        <w:rPr>
          <w:rFonts w:hint="eastAsia"/>
        </w:rPr>
        <w:t>14</w:t>
      </w:r>
      <w:r>
        <w:rPr>
          <w:rFonts w:hint="eastAsia"/>
        </w:rPr>
        <w:t>条（载于公务员制度委员会</w:t>
      </w:r>
      <w:r>
        <w:rPr>
          <w:rFonts w:hint="eastAsia"/>
        </w:rPr>
        <w:t>021420-2002</w:t>
      </w:r>
      <w:r>
        <w:rPr>
          <w:rFonts w:hint="eastAsia"/>
        </w:rPr>
        <w:t>号决议）目前规定，在政府工作的未婚妇女可以休产假。</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为了努力改变为人父母方面的文化习俗和规范，菲律宾通过了第</w:t>
      </w:r>
      <w:r>
        <w:rPr>
          <w:rFonts w:hint="eastAsia"/>
        </w:rPr>
        <w:t>8187</w:t>
      </w:r>
      <w:r>
        <w:rPr>
          <w:rFonts w:hint="eastAsia"/>
        </w:rPr>
        <w:t>号共和国法令，即《</w:t>
      </w:r>
      <w:r>
        <w:rPr>
          <w:rFonts w:hint="eastAsia"/>
        </w:rPr>
        <w:t>1996</w:t>
      </w:r>
      <w:r>
        <w:rPr>
          <w:rFonts w:hint="eastAsia"/>
        </w:rPr>
        <w:t>年陪产假法》（见第十一条第</w:t>
      </w:r>
      <w:r>
        <w:rPr>
          <w:rFonts w:hint="eastAsia"/>
        </w:rPr>
        <w:t>364</w:t>
      </w:r>
      <w:r>
        <w:rPr>
          <w:rFonts w:hint="eastAsia"/>
        </w:rPr>
        <w:t>段）。</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审查期内采取的措施有：</w:t>
      </w:r>
      <w:r>
        <w:rPr>
          <w:rFonts w:hint="eastAsia"/>
        </w:rPr>
        <w:t>1996</w:t>
      </w:r>
      <w:r>
        <w:rPr>
          <w:rFonts w:hint="eastAsia"/>
        </w:rPr>
        <w:t>年</w:t>
      </w:r>
      <w:r>
        <w:rPr>
          <w:rFonts w:hint="eastAsia"/>
        </w:rPr>
        <w:t>2</w:t>
      </w:r>
      <w:r>
        <w:rPr>
          <w:rFonts w:hint="eastAsia"/>
        </w:rPr>
        <w:t>月</w:t>
      </w:r>
      <w:r>
        <w:rPr>
          <w:rFonts w:hint="eastAsia"/>
        </w:rPr>
        <w:t>5</w:t>
      </w:r>
      <w:r>
        <w:rPr>
          <w:rFonts w:hint="eastAsia"/>
        </w:rPr>
        <w:t>日第</w:t>
      </w:r>
      <w:r>
        <w:rPr>
          <w:rFonts w:hint="eastAsia"/>
        </w:rPr>
        <w:t>731</w:t>
      </w:r>
      <w:r>
        <w:rPr>
          <w:rFonts w:hint="eastAsia"/>
        </w:rPr>
        <w:t>号公告，宣布</w:t>
      </w:r>
      <w:r>
        <w:rPr>
          <w:rFonts w:hint="eastAsia"/>
        </w:rPr>
        <w:t>2</w:t>
      </w:r>
      <w:r>
        <w:rPr>
          <w:rFonts w:hint="eastAsia"/>
        </w:rPr>
        <w:t>月第二个星期为防止对儿童性骚扰和性剥削的全国宣传周；</w:t>
      </w:r>
      <w:r>
        <w:rPr>
          <w:rFonts w:hint="eastAsia"/>
        </w:rPr>
        <w:t>1996</w:t>
      </w:r>
      <w:r>
        <w:rPr>
          <w:rFonts w:hint="eastAsia"/>
        </w:rPr>
        <w:t>年</w:t>
      </w:r>
      <w:r>
        <w:rPr>
          <w:rFonts w:hint="eastAsia"/>
        </w:rPr>
        <w:t>3</w:t>
      </w:r>
      <w:r>
        <w:rPr>
          <w:rFonts w:hint="eastAsia"/>
        </w:rPr>
        <w:t>月</w:t>
      </w:r>
      <w:r>
        <w:rPr>
          <w:rFonts w:hint="eastAsia"/>
        </w:rPr>
        <w:t>6</w:t>
      </w:r>
      <w:r>
        <w:rPr>
          <w:rFonts w:hint="eastAsia"/>
        </w:rPr>
        <w:t>日第</w:t>
      </w:r>
      <w:r>
        <w:rPr>
          <w:rFonts w:hint="eastAsia"/>
        </w:rPr>
        <w:t>759</w:t>
      </w:r>
      <w:r>
        <w:rPr>
          <w:rFonts w:hint="eastAsia"/>
        </w:rPr>
        <w:t>号公告，宣布</w:t>
      </w:r>
      <w:r>
        <w:rPr>
          <w:rFonts w:hint="eastAsia"/>
        </w:rPr>
        <w:t>1996</w:t>
      </w:r>
      <w:r>
        <w:rPr>
          <w:rFonts w:hint="eastAsia"/>
        </w:rPr>
        <w:t>年</w:t>
      </w:r>
      <w:r>
        <w:rPr>
          <w:rFonts w:hint="eastAsia"/>
        </w:rPr>
        <w:t>3</w:t>
      </w:r>
      <w:r>
        <w:rPr>
          <w:rFonts w:hint="eastAsia"/>
        </w:rPr>
        <w:t>月第四个星期为保护女童和给予性别公正待遇周；</w:t>
      </w:r>
      <w:r>
        <w:rPr>
          <w:rFonts w:hint="eastAsia"/>
        </w:rPr>
        <w:t>1997</w:t>
      </w:r>
      <w:r>
        <w:rPr>
          <w:rFonts w:hint="eastAsia"/>
        </w:rPr>
        <w:t>年</w:t>
      </w:r>
      <w:r>
        <w:rPr>
          <w:rFonts w:hint="eastAsia"/>
        </w:rPr>
        <w:t>2</w:t>
      </w:r>
      <w:r>
        <w:rPr>
          <w:rFonts w:hint="eastAsia"/>
        </w:rPr>
        <w:t>月</w:t>
      </w:r>
      <w:r>
        <w:rPr>
          <w:rFonts w:hint="eastAsia"/>
        </w:rPr>
        <w:t>25</w:t>
      </w:r>
      <w:r>
        <w:rPr>
          <w:rFonts w:hint="eastAsia"/>
        </w:rPr>
        <w:t>日第</w:t>
      </w:r>
      <w:r>
        <w:rPr>
          <w:rFonts w:hint="eastAsia"/>
        </w:rPr>
        <w:t>976</w:t>
      </w:r>
      <w:r>
        <w:rPr>
          <w:rFonts w:hint="eastAsia"/>
        </w:rPr>
        <w:t>号公告，宣布</w:t>
      </w:r>
      <w:r>
        <w:rPr>
          <w:rFonts w:hint="eastAsia"/>
        </w:rPr>
        <w:t>1997</w:t>
      </w:r>
      <w:r>
        <w:rPr>
          <w:rFonts w:hint="eastAsia"/>
        </w:rPr>
        <w:t>年</w:t>
      </w:r>
      <w:r>
        <w:rPr>
          <w:rFonts w:hint="eastAsia"/>
        </w:rPr>
        <w:t>1</w:t>
      </w:r>
      <w:r>
        <w:rPr>
          <w:rFonts w:hint="eastAsia"/>
        </w:rPr>
        <w:t>月至</w:t>
      </w:r>
      <w:r>
        <w:rPr>
          <w:rFonts w:hint="eastAsia"/>
        </w:rPr>
        <w:t>12</w:t>
      </w:r>
      <w:r>
        <w:rPr>
          <w:rFonts w:hint="eastAsia"/>
        </w:rPr>
        <w:t>月为惩治贩运移民年；以及</w:t>
      </w:r>
      <w:r>
        <w:rPr>
          <w:rFonts w:hint="eastAsia"/>
        </w:rPr>
        <w:t>1997</w:t>
      </w:r>
      <w:r>
        <w:rPr>
          <w:rFonts w:hint="eastAsia"/>
        </w:rPr>
        <w:t>年</w:t>
      </w:r>
      <w:r>
        <w:rPr>
          <w:rFonts w:hint="eastAsia"/>
        </w:rPr>
        <w:t>2</w:t>
      </w:r>
      <w:r>
        <w:rPr>
          <w:rFonts w:hint="eastAsia"/>
        </w:rPr>
        <w:t>月</w:t>
      </w:r>
      <w:r>
        <w:rPr>
          <w:rFonts w:hint="eastAsia"/>
        </w:rPr>
        <w:t>5</w:t>
      </w:r>
      <w:r>
        <w:rPr>
          <w:rFonts w:hint="eastAsia"/>
        </w:rPr>
        <w:t>日题为“行动起来打击家庭暴力”的总统令。</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除了妇女公约以外，菲律宾还是其他人权公约和条约的缔约国，其中包括《公民及政治权利国际盟约》、《经济、社会、文化权利国际盟约》、《儿童权利条约》及两份任择议定书，以及《保护所有移徙工人权利国际公约》。</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作为宪法机构，菲律宾人权委员会监督这些人权公约和国家政策的执行情况。委员</w:t>
      </w:r>
      <w:r>
        <w:rPr>
          <w:rFonts w:hint="eastAsia"/>
        </w:rPr>
        <w:t>会还颁布了政策，如</w:t>
      </w:r>
      <w:r>
        <w:rPr>
          <w:rFonts w:hint="eastAsia"/>
        </w:rPr>
        <w:t>1999</w:t>
      </w:r>
      <w:r>
        <w:rPr>
          <w:rFonts w:hint="eastAsia"/>
        </w:rPr>
        <w:t>年</w:t>
      </w:r>
      <w:r>
        <w:rPr>
          <w:rFonts w:hint="eastAsia"/>
        </w:rPr>
        <w:t>7</w:t>
      </w:r>
      <w:r>
        <w:rPr>
          <w:rFonts w:hint="eastAsia"/>
        </w:rPr>
        <w:t>月</w:t>
      </w:r>
      <w:r>
        <w:rPr>
          <w:rFonts w:hint="eastAsia"/>
        </w:rPr>
        <w:t>20</w:t>
      </w:r>
      <w:r>
        <w:rPr>
          <w:rFonts w:hint="eastAsia"/>
        </w:rPr>
        <w:t>日公告，要求有关的政府部门调查包括妇女和少年犯在内的被拘押人员的福利情况。</w:t>
      </w:r>
      <w:r>
        <w:rPr>
          <w:rFonts w:hint="eastAsia"/>
        </w:rPr>
        <w:t>2001</w:t>
      </w:r>
      <w:r>
        <w:rPr>
          <w:rFonts w:hint="eastAsia"/>
        </w:rPr>
        <w:t>年</w:t>
      </w:r>
      <w:r>
        <w:rPr>
          <w:rFonts w:hint="eastAsia"/>
        </w:rPr>
        <w:t>10</w:t>
      </w:r>
      <w:r>
        <w:rPr>
          <w:rFonts w:hint="eastAsia"/>
        </w:rPr>
        <w:t>月</w:t>
      </w:r>
      <w:r>
        <w:rPr>
          <w:rFonts w:hint="eastAsia"/>
        </w:rPr>
        <w:t>31</w:t>
      </w:r>
      <w:r>
        <w:rPr>
          <w:rFonts w:hint="eastAsia"/>
        </w:rPr>
        <w:t>日，委员会颁布了一项关于“对拘押妇女的性骚扰和酷刑”的政策，责令上述政府部门和国民警察部队及武装部队调查对拘押妇女做出的侵犯人权行为；执行具体措施保护女性被拘押者免受强奸、性虐待、酷刑、威胁、报复或任何其他形式的恫吓，并招聘足够多的女警察专门处理对妇女的暴力案件。此外，菲律宾人权委员会还制定了菲律宾人权计划，其中有一章专门讨论妇女的人权问题。</w:t>
      </w:r>
    </w:p>
    <w:p w:rsidR="00000000" w:rsidRDefault="00821B8F">
      <w:pPr>
        <w:pStyle w:val="Heading4"/>
        <w:numPr>
          <w:ilvl w:val="0"/>
          <w:numId w:val="0"/>
        </w:numPr>
        <w:rPr>
          <w:rFonts w:hint="eastAsia"/>
          <w:color w:val="FF0000"/>
          <w:u w:val="none"/>
        </w:rPr>
      </w:pPr>
      <w:r>
        <w:rPr>
          <w:rFonts w:hint="eastAsia"/>
          <w:color w:val="FF0000"/>
          <w:u w:val="none"/>
        </w:rPr>
        <w:t>C</w:t>
      </w:r>
      <w:r>
        <w:rPr>
          <w:rFonts w:hint="eastAsia"/>
          <w:color w:val="FF0000"/>
          <w:u w:val="none"/>
        </w:rPr>
        <w:t>．方案和部分结果</w:t>
      </w:r>
    </w:p>
    <w:p w:rsidR="00000000" w:rsidRDefault="00821B8F">
      <w:pPr>
        <w:spacing w:after="240" w:line="360" w:lineRule="exact"/>
        <w:rPr>
          <w:rFonts w:eastAsia="KaiTi_GB2312" w:hint="eastAsia"/>
          <w:iCs/>
          <w:color w:val="0000FF"/>
        </w:rPr>
      </w:pPr>
      <w:r>
        <w:rPr>
          <w:rFonts w:eastAsia="KaiTi_GB2312" w:hint="eastAsia"/>
          <w:b/>
          <w:iCs/>
          <w:color w:val="0000FF"/>
        </w:rPr>
        <w:t>保护妇女人权的措</w:t>
      </w:r>
      <w:r>
        <w:rPr>
          <w:rFonts w:eastAsia="KaiTi_GB2312" w:hint="eastAsia"/>
          <w:b/>
          <w:iCs/>
          <w:color w:val="0000FF"/>
        </w:rPr>
        <w:t>施</w:t>
      </w:r>
    </w:p>
    <w:p w:rsidR="00000000" w:rsidRDefault="00821B8F">
      <w:pPr>
        <w:numPr>
          <w:ilvl w:val="0"/>
          <w:numId w:val="1236"/>
        </w:numPr>
        <w:spacing w:after="240" w:line="360" w:lineRule="exact"/>
        <w:ind w:left="540" w:hanging="540"/>
        <w:rPr>
          <w:rFonts w:hint="eastAsia"/>
          <w:color w:val="000000"/>
        </w:rPr>
      </w:pPr>
      <w:r>
        <w:rPr>
          <w:rFonts w:hint="eastAsia"/>
          <w:color w:val="000000"/>
        </w:rPr>
        <w:t xml:space="preserve"> </w:t>
      </w:r>
      <w:r>
        <w:rPr>
          <w:rFonts w:hint="eastAsia"/>
          <w:color w:val="000000"/>
        </w:rPr>
        <w:t>菲律宾人权委员会定期为警察、部队和其他团体举办人权培训或宣传，其课程中设置了一个妇女人权模块；为非政府组织和政府机构举办研讨会，以促进在其人权方案中的合作；以及为其国家和地区官员及工作人员进行对性别问题具有敏感认识的培训。委员会还调查了对侵犯人权行为投诉的情况，并为投诉人提供法律援助。为了向基层提供服务并敦促妇女提交投诉书，委员会在</w:t>
      </w:r>
      <w:r>
        <w:rPr>
          <w:rFonts w:hint="eastAsia"/>
          <w:color w:val="000000"/>
        </w:rPr>
        <w:t>14 940</w:t>
      </w:r>
      <w:r>
        <w:rPr>
          <w:rFonts w:hint="eastAsia"/>
          <w:color w:val="000000"/>
        </w:rPr>
        <w:t>个村庄建立了镇级人权行动中心，并与司法部和志愿律师团体签订了向受害者提供快速法律服务的协议。这些中心受理对侵犯人权行为的投诉、监测案件的进展情况，并将案件提交给</w:t>
      </w:r>
      <w:r>
        <w:rPr>
          <w:rFonts w:hint="eastAsia"/>
          <w:color w:val="000000"/>
        </w:rPr>
        <w:t>菲律宾人权委员会的地区外地办事处。</w:t>
      </w:r>
      <w:r>
        <w:rPr>
          <w:rFonts w:hint="eastAsia"/>
          <w:color w:val="000000"/>
        </w:rPr>
        <w:t>1995-2001</w:t>
      </w:r>
      <w:r>
        <w:rPr>
          <w:rFonts w:hint="eastAsia"/>
          <w:color w:val="000000"/>
        </w:rPr>
        <w:t>年</w:t>
      </w:r>
      <w:r>
        <w:rPr>
          <w:rFonts w:hint="eastAsia"/>
          <w:color w:val="000000"/>
        </w:rPr>
        <w:t>6</w:t>
      </w:r>
      <w:r>
        <w:rPr>
          <w:rFonts w:hint="eastAsia"/>
          <w:color w:val="000000"/>
        </w:rPr>
        <w:t>月间，菲律宾人权委员会调查了</w:t>
      </w:r>
      <w:r>
        <w:rPr>
          <w:rFonts w:hint="eastAsia"/>
          <w:color w:val="000000"/>
        </w:rPr>
        <w:t>377</w:t>
      </w:r>
      <w:r>
        <w:rPr>
          <w:rFonts w:hint="eastAsia"/>
          <w:color w:val="000000"/>
        </w:rPr>
        <w:t>起侵犯妇女人权案件。投诉的内容有谋杀</w:t>
      </w:r>
      <w:r>
        <w:rPr>
          <w:rFonts w:hint="eastAsia"/>
          <w:color w:val="000000"/>
        </w:rPr>
        <w:t>/</w:t>
      </w:r>
      <w:r>
        <w:rPr>
          <w:rFonts w:hint="eastAsia"/>
          <w:color w:val="000000"/>
        </w:rPr>
        <w:t>杀人</w:t>
      </w:r>
      <w:r>
        <w:rPr>
          <w:rFonts w:hint="eastAsia"/>
          <w:color w:val="000000"/>
        </w:rPr>
        <w:t>/</w:t>
      </w:r>
      <w:r>
        <w:rPr>
          <w:rFonts w:hint="eastAsia"/>
          <w:color w:val="000000"/>
        </w:rPr>
        <w:t>处决（</w:t>
      </w:r>
      <w:r>
        <w:rPr>
          <w:rFonts w:hint="eastAsia"/>
          <w:color w:val="000000"/>
        </w:rPr>
        <w:t>8</w:t>
      </w:r>
      <w:r>
        <w:rPr>
          <w:color w:val="000000"/>
        </w:rPr>
        <w:t>.</w:t>
      </w:r>
      <w:r>
        <w:rPr>
          <w:rFonts w:hint="eastAsia"/>
          <w:color w:val="000000"/>
        </w:rPr>
        <w:t>5%</w:t>
      </w:r>
      <w:r>
        <w:rPr>
          <w:rFonts w:hint="eastAsia"/>
          <w:color w:val="000000"/>
        </w:rPr>
        <w:t>）、非法拘捕</w:t>
      </w:r>
      <w:r>
        <w:rPr>
          <w:rFonts w:hint="eastAsia"/>
          <w:color w:val="000000"/>
        </w:rPr>
        <w:t>/</w:t>
      </w:r>
      <w:r>
        <w:rPr>
          <w:rFonts w:hint="eastAsia"/>
          <w:color w:val="000000"/>
        </w:rPr>
        <w:t>拘押（</w:t>
      </w:r>
      <w:r>
        <w:rPr>
          <w:rFonts w:hint="eastAsia"/>
          <w:color w:val="000000"/>
        </w:rPr>
        <w:t>6</w:t>
      </w:r>
      <w:r>
        <w:rPr>
          <w:color w:val="000000"/>
        </w:rPr>
        <w:t>.</w:t>
      </w:r>
      <w:r>
        <w:rPr>
          <w:rFonts w:hint="eastAsia"/>
          <w:color w:val="000000"/>
        </w:rPr>
        <w:t>3%</w:t>
      </w:r>
      <w:r>
        <w:rPr>
          <w:rFonts w:hint="eastAsia"/>
          <w:color w:val="000000"/>
        </w:rPr>
        <w:t>）、失踪（</w:t>
      </w:r>
      <w:r>
        <w:rPr>
          <w:rFonts w:hint="eastAsia"/>
          <w:color w:val="000000"/>
        </w:rPr>
        <w:t>0</w:t>
      </w:r>
      <w:r>
        <w:rPr>
          <w:color w:val="000000"/>
        </w:rPr>
        <w:t>.</w:t>
      </w:r>
      <w:r>
        <w:rPr>
          <w:rFonts w:hint="eastAsia"/>
          <w:color w:val="000000"/>
        </w:rPr>
        <w:t>5%</w:t>
      </w:r>
      <w:r>
        <w:rPr>
          <w:rFonts w:hint="eastAsia"/>
          <w:color w:val="000000"/>
        </w:rPr>
        <w:t>）和控诉（</w:t>
      </w:r>
      <w:r>
        <w:rPr>
          <w:rFonts w:hint="eastAsia"/>
          <w:color w:val="000000"/>
        </w:rPr>
        <w:t>8</w:t>
      </w:r>
      <w:r>
        <w:rPr>
          <w:color w:val="000000"/>
        </w:rPr>
        <w:t>.</w:t>
      </w:r>
      <w:r>
        <w:rPr>
          <w:rFonts w:hint="eastAsia"/>
          <w:color w:val="000000"/>
        </w:rPr>
        <w:t>5%</w:t>
      </w:r>
      <w:r>
        <w:rPr>
          <w:rFonts w:hint="eastAsia"/>
          <w:color w:val="000000"/>
        </w:rPr>
        <w:t>）。罪犯的身份有警官（</w:t>
      </w:r>
      <w:r>
        <w:rPr>
          <w:rFonts w:hint="eastAsia"/>
          <w:color w:val="000000"/>
        </w:rPr>
        <w:t>31</w:t>
      </w:r>
      <w:r>
        <w:rPr>
          <w:color w:val="000000"/>
        </w:rPr>
        <w:t>.</w:t>
      </w:r>
      <w:r>
        <w:rPr>
          <w:rFonts w:hint="eastAsia"/>
          <w:color w:val="000000"/>
        </w:rPr>
        <w:t>0%</w:t>
      </w:r>
      <w:r>
        <w:rPr>
          <w:rFonts w:hint="eastAsia"/>
          <w:color w:val="000000"/>
        </w:rPr>
        <w:t>）、地方官员或雇员（</w:t>
      </w:r>
      <w:r>
        <w:rPr>
          <w:rFonts w:hint="eastAsia"/>
          <w:color w:val="000000"/>
        </w:rPr>
        <w:t>13</w:t>
      </w:r>
      <w:r>
        <w:rPr>
          <w:color w:val="000000"/>
        </w:rPr>
        <w:t>.</w:t>
      </w:r>
      <w:r>
        <w:rPr>
          <w:rFonts w:hint="eastAsia"/>
          <w:color w:val="000000"/>
        </w:rPr>
        <w:t>0%</w:t>
      </w:r>
      <w:r>
        <w:rPr>
          <w:rFonts w:hint="eastAsia"/>
          <w:color w:val="000000"/>
        </w:rPr>
        <w:t>）、平民（</w:t>
      </w:r>
      <w:r>
        <w:rPr>
          <w:rFonts w:hint="eastAsia"/>
          <w:color w:val="000000"/>
        </w:rPr>
        <w:t>12</w:t>
      </w:r>
      <w:r>
        <w:rPr>
          <w:color w:val="000000"/>
        </w:rPr>
        <w:t>.</w:t>
      </w:r>
      <w:r>
        <w:rPr>
          <w:rFonts w:hint="eastAsia"/>
          <w:color w:val="000000"/>
        </w:rPr>
        <w:t>0%</w:t>
      </w:r>
      <w:r>
        <w:rPr>
          <w:rFonts w:hint="eastAsia"/>
          <w:color w:val="000000"/>
        </w:rPr>
        <w:t>）和军人（</w:t>
      </w:r>
      <w:r>
        <w:rPr>
          <w:rFonts w:hint="eastAsia"/>
          <w:color w:val="000000"/>
        </w:rPr>
        <w:t>11</w:t>
      </w:r>
      <w:r>
        <w:rPr>
          <w:color w:val="000000"/>
        </w:rPr>
        <w:t>.</w:t>
      </w:r>
      <w:r>
        <w:rPr>
          <w:rFonts w:hint="eastAsia"/>
          <w:color w:val="000000"/>
        </w:rPr>
        <w:t>0%</w:t>
      </w:r>
      <w:r>
        <w:rPr>
          <w:rFonts w:hint="eastAsia"/>
          <w:color w:val="000000"/>
        </w:rPr>
        <w:t>）。</w:t>
      </w:r>
    </w:p>
    <w:p w:rsidR="00000000" w:rsidRDefault="00821B8F">
      <w:pPr>
        <w:spacing w:after="240" w:line="360" w:lineRule="exact"/>
        <w:rPr>
          <w:rFonts w:hint="eastAsia"/>
        </w:rPr>
      </w:pPr>
    </w:p>
    <w:p w:rsidR="00000000" w:rsidRDefault="00821B8F">
      <w:pPr>
        <w:spacing w:after="240" w:line="360" w:lineRule="exact"/>
        <w:rPr>
          <w:rFonts w:eastAsia="KaiTi_GB2312" w:hint="eastAsia"/>
          <w:b/>
          <w:iCs/>
          <w:color w:val="0000FF"/>
        </w:rPr>
      </w:pPr>
      <w:r>
        <w:rPr>
          <w:rFonts w:eastAsia="KaiTi_GB2312" w:hint="eastAsia"/>
          <w:b/>
          <w:iCs/>
          <w:color w:val="0000FF"/>
        </w:rPr>
        <w:t>监测性骚扰情况</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公务员制度委员会、劳工部、工会以及各非政府组织一直在积极开展惩治性骚扰运动（详情见第十一条第</w:t>
      </w:r>
      <w:r>
        <w:rPr>
          <w:rFonts w:hint="eastAsia"/>
        </w:rPr>
        <w:t>373</w:t>
      </w:r>
      <w:r>
        <w:rPr>
          <w:rFonts w:hint="eastAsia"/>
        </w:rPr>
        <w:t>和第</w:t>
      </w:r>
      <w:r>
        <w:rPr>
          <w:rFonts w:hint="eastAsia"/>
        </w:rPr>
        <w:t>375</w:t>
      </w:r>
      <w:r>
        <w:rPr>
          <w:rFonts w:hint="eastAsia"/>
        </w:rPr>
        <w:t>段）。到</w:t>
      </w:r>
      <w:r>
        <w:rPr>
          <w:rFonts w:hint="eastAsia"/>
        </w:rPr>
        <w:t>2002</w:t>
      </w:r>
      <w:r>
        <w:rPr>
          <w:rFonts w:hint="eastAsia"/>
        </w:rPr>
        <w:t>年年底，工会团体收到了</w:t>
      </w:r>
      <w:r>
        <w:rPr>
          <w:rFonts w:hint="eastAsia"/>
        </w:rPr>
        <w:t>259</w:t>
      </w:r>
      <w:r>
        <w:rPr>
          <w:rFonts w:hint="eastAsia"/>
        </w:rPr>
        <w:t>个工会和企业交来的以</w:t>
      </w:r>
      <w:r>
        <w:rPr>
          <w:rFonts w:hint="eastAsia"/>
        </w:rPr>
        <w:t>下报告：成立了礼宾和调查委员会和</w:t>
      </w:r>
      <w:r>
        <w:rPr>
          <w:rFonts w:hint="eastAsia"/>
        </w:rPr>
        <w:t>/</w:t>
      </w:r>
      <w:r>
        <w:rPr>
          <w:rFonts w:hint="eastAsia"/>
        </w:rPr>
        <w:t>或制定其惩治性骚扰政策；该委员会调查了</w:t>
      </w:r>
      <w:r>
        <w:rPr>
          <w:rFonts w:hint="eastAsia"/>
        </w:rPr>
        <w:t>432</w:t>
      </w:r>
      <w:r>
        <w:rPr>
          <w:rFonts w:hint="eastAsia"/>
        </w:rPr>
        <w:t>起案件、正式提出</w:t>
      </w:r>
      <w:r>
        <w:rPr>
          <w:rFonts w:hint="eastAsia"/>
        </w:rPr>
        <w:t>20</w:t>
      </w:r>
      <w:r>
        <w:rPr>
          <w:rFonts w:hint="eastAsia"/>
        </w:rPr>
        <w:t>项投诉；把性骚扰问题纳入了八项集体谈判协议之中。</w:t>
      </w:r>
    </w:p>
    <w:p w:rsidR="00000000" w:rsidRDefault="00821B8F">
      <w:pPr>
        <w:spacing w:after="240" w:line="360" w:lineRule="exact"/>
        <w:rPr>
          <w:rFonts w:eastAsia="KaiTi_GB2312" w:hint="eastAsia"/>
          <w:b/>
          <w:iCs/>
          <w:color w:val="0000FF"/>
        </w:rPr>
      </w:pPr>
      <w:r>
        <w:rPr>
          <w:rFonts w:eastAsia="KaiTi_GB2312" w:hint="eastAsia"/>
          <w:b/>
          <w:iCs/>
          <w:color w:val="0000FF"/>
        </w:rPr>
        <w:t>提高政府对妇女人权的认识</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根据各机构的</w:t>
      </w:r>
      <w:r>
        <w:rPr>
          <w:rFonts w:hint="eastAsia"/>
        </w:rPr>
        <w:t>2001</w:t>
      </w:r>
      <w:r>
        <w:rPr>
          <w:rFonts w:hint="eastAsia"/>
        </w:rPr>
        <w:t>年性别与发展成绩报告，在执行的性别与发展活动中，有将近</w:t>
      </w:r>
      <w:r>
        <w:rPr>
          <w:rFonts w:hint="eastAsia"/>
        </w:rPr>
        <w:t>30%</w:t>
      </w:r>
      <w:r>
        <w:rPr>
          <w:rFonts w:hint="eastAsia"/>
        </w:rPr>
        <w:t>着眼于机构人员的能力建设活动。有些活动采取的形式是接触或参加性别与发展方面的活动和庆祝会，例如妇女月庆祝活动、专题讨论会和论坛。各机构还专门为其工作人员和高级官员举办了提高认识学习班，如性别与发展概况讲习班和对性别问题有敏感认识培训班。通过这些活动，机构的</w:t>
      </w:r>
      <w:r>
        <w:rPr>
          <w:rFonts w:hint="eastAsia"/>
        </w:rPr>
        <w:t>工作人员和官员了解并彻底理解了性别问题和性别与发展概念。这种认识有助于他们更好地体会妇女在其服务部门中关注的问题。</w:t>
      </w:r>
    </w:p>
    <w:p w:rsidR="00000000" w:rsidRDefault="00821B8F">
      <w:pPr>
        <w:spacing w:after="240" w:line="360" w:lineRule="exact"/>
        <w:rPr>
          <w:rFonts w:eastAsia="KaiTi_GB2312" w:hint="eastAsia"/>
          <w:b/>
          <w:iCs/>
          <w:color w:val="0000FF"/>
        </w:rPr>
      </w:pPr>
      <w:r>
        <w:rPr>
          <w:rFonts w:eastAsia="KaiTi_GB2312" w:hint="eastAsia"/>
          <w:b/>
          <w:iCs/>
          <w:color w:val="0000FF"/>
        </w:rPr>
        <w:t>被拘留妇女</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为了解决被拘留妇女和青年日益增多以及缺少单独牢房的问题，监狱与罪犯管理局正在为妇女和未成年罪犯建造单独的牢房。同样，奎松市——大马尼拉下属的地方政府市——在市内建造了一座关押女犯人的女子监狱。</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由于成人罪犯会对青少年产生影响，有些监狱为未成年罪犯开设了单独的牢房。事实上，已经有了两个青年中心，即奎松市的“莫拉非青年之家”和七区的“抓住第二次机会”，都用来关押少年犯。这些中心提供</w:t>
      </w:r>
      <w:r>
        <w:rPr>
          <w:rFonts w:hint="eastAsia"/>
        </w:rPr>
        <w:t>了满足少年犯发展需要的条件。运动和社区治疗模式等方案仅仅是少年犯可以参加的一部分活动。</w:t>
      </w:r>
    </w:p>
    <w:p w:rsidR="00000000" w:rsidRDefault="00821B8F">
      <w:pPr>
        <w:pStyle w:val="Heading4"/>
        <w:numPr>
          <w:ilvl w:val="0"/>
          <w:numId w:val="0"/>
        </w:numPr>
        <w:rPr>
          <w:rFonts w:hint="eastAsia"/>
          <w:color w:val="FF0000"/>
          <w:u w:val="none"/>
        </w:rPr>
      </w:pPr>
      <w:r>
        <w:rPr>
          <w:rFonts w:hint="eastAsia"/>
          <w:color w:val="FF0000"/>
          <w:u w:val="none"/>
        </w:rPr>
        <w:t>D</w:t>
      </w:r>
      <w:r>
        <w:rPr>
          <w:rFonts w:hint="eastAsia"/>
          <w:color w:val="FF0000"/>
          <w:u w:val="none"/>
        </w:rPr>
        <w:t>．未解决的问题和障碍</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尽管《惩治性骚扰法》是向依法保护妇女方面迈出的一大步，但是这部法律还有许多不足之处需要纠正，例如：</w:t>
      </w:r>
    </w:p>
    <w:p w:rsidR="00000000" w:rsidRDefault="00821B8F">
      <w:pPr>
        <w:numPr>
          <w:ilvl w:val="0"/>
          <w:numId w:val="1322"/>
        </w:numPr>
        <w:tabs>
          <w:tab w:val="clear" w:pos="285"/>
          <w:tab w:val="num" w:pos="1080"/>
        </w:tabs>
        <w:spacing w:after="240" w:line="360" w:lineRule="exact"/>
        <w:ind w:left="1080" w:hanging="480"/>
        <w:rPr>
          <w:rFonts w:hint="eastAsia"/>
        </w:rPr>
      </w:pPr>
      <w:r>
        <w:rPr>
          <w:rFonts w:hint="eastAsia"/>
        </w:rPr>
        <w:t>缺少对未能按要求颁布禁止性骚扰政策和建立投诉机制的私人组织的惩罚条款；</w:t>
      </w:r>
    </w:p>
    <w:p w:rsidR="00000000" w:rsidRDefault="00821B8F">
      <w:pPr>
        <w:numPr>
          <w:ilvl w:val="0"/>
          <w:numId w:val="1322"/>
        </w:numPr>
        <w:tabs>
          <w:tab w:val="clear" w:pos="285"/>
          <w:tab w:val="num" w:pos="1080"/>
        </w:tabs>
        <w:spacing w:after="240" w:line="360" w:lineRule="exact"/>
        <w:ind w:left="1080" w:hanging="480"/>
        <w:rPr>
          <w:rFonts w:hint="eastAsia"/>
        </w:rPr>
      </w:pPr>
      <w:r>
        <w:rPr>
          <w:rFonts w:hint="eastAsia"/>
        </w:rPr>
        <w:t>范围仅局限于工作场所和教育或培训场合，把医院等也可能发生性骚扰的其他场所排除在外；</w:t>
      </w:r>
    </w:p>
    <w:p w:rsidR="00000000" w:rsidRDefault="00821B8F">
      <w:pPr>
        <w:numPr>
          <w:ilvl w:val="0"/>
          <w:numId w:val="1322"/>
        </w:numPr>
        <w:tabs>
          <w:tab w:val="clear" w:pos="285"/>
          <w:tab w:val="num" w:pos="1080"/>
        </w:tabs>
        <w:spacing w:after="240" w:line="360" w:lineRule="exact"/>
        <w:ind w:left="1080" w:hanging="480"/>
        <w:rPr>
          <w:rFonts w:hint="eastAsia"/>
        </w:rPr>
      </w:pPr>
      <w:r>
        <w:rPr>
          <w:rFonts w:hint="eastAsia"/>
        </w:rPr>
        <w:t>需要让有意犯下性骚扰罪的人在做出这种行为时想到“权威、影响或道德威慑”这一基本要素。</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监测上述法律仍然是个问题。法律中没有明确规定监测私人部</w:t>
      </w:r>
      <w:r>
        <w:rPr>
          <w:rFonts w:hint="eastAsia"/>
        </w:rPr>
        <w:t>门对该法律的执行情况。</w:t>
      </w:r>
    </w:p>
    <w:p w:rsidR="00000000" w:rsidRDefault="00821B8F">
      <w:pPr>
        <w:pStyle w:val="TOC1"/>
        <w:spacing w:before="120"/>
        <w:rPr>
          <w:rFonts w:hint="eastAsia"/>
        </w:rPr>
      </w:pPr>
      <w:r>
        <w:rPr>
          <w:rFonts w:hint="eastAsia"/>
        </w:rPr>
        <w:t>第三条</w:t>
      </w:r>
    </w:p>
    <w:p w:rsidR="00000000" w:rsidRDefault="00821B8F">
      <w:pPr>
        <w:spacing w:after="240" w:line="360" w:lineRule="exact"/>
        <w:jc w:val="center"/>
        <w:rPr>
          <w:rFonts w:eastAsia="SimHei" w:hint="eastAsia"/>
          <w:bCs/>
          <w:color w:val="FF0000"/>
        </w:rPr>
      </w:pPr>
      <w:r>
        <w:rPr>
          <w:rFonts w:eastAsia="SimHei" w:hint="eastAsia"/>
          <w:bCs/>
          <w:color w:val="FF0000"/>
        </w:rPr>
        <w:t>妇女的发展与进步</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在所有领域，特别是政治、经济、社会、文化领域，采取一切适当措施，确保妇女得到充分发展和进步</w:t>
      </w:r>
    </w:p>
    <w:p w:rsidR="00000000" w:rsidRDefault="00821B8F">
      <w:pPr>
        <w:pStyle w:val="Heading4"/>
        <w:numPr>
          <w:ilvl w:val="0"/>
          <w:numId w:val="0"/>
        </w:numPr>
        <w:rPr>
          <w:rFonts w:hint="eastAsia"/>
          <w:color w:val="FF0000"/>
          <w:u w:val="none"/>
        </w:rPr>
      </w:pPr>
      <w:r>
        <w:rPr>
          <w:rFonts w:hint="eastAsia"/>
          <w:color w:val="FF0000"/>
          <w:u w:val="none"/>
        </w:rPr>
        <w:t>A</w:t>
      </w:r>
      <w:r>
        <w:rPr>
          <w:rFonts w:hint="eastAsia"/>
          <w:color w:val="FF0000"/>
          <w:u w:val="none"/>
        </w:rPr>
        <w:t>．妇女的状况</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由于社会不平等、菲律宾经济绩效差和性别歧视，菲律宾的妇女仍然生活在赤贫之中。妇女在劳动力市场上只占少数，却由于在雇用和晋升时受到隐蔽和公开歧视以及性骚扰而承受苦难。城市贫穷社区和农村地区的妇女及其家庭，在保健、培训和教育方面得不到优质的基本社会服务，也没有象样的房子和水电供应。她们在政府的各级决策机构和各部门中任职不足。性别歧视的定型模式依然存在，而</w:t>
      </w:r>
      <w:r>
        <w:rPr>
          <w:rFonts w:hint="eastAsia"/>
        </w:rPr>
        <w:t>且进一步助长了从双重道德标准到强奸、色情制品、卖淫、贩卖人口、家庭暴力和乱伦等犯罪的各种社会问题。从下面关于妇女公约各条款的讨论中可以看到，在许多领域，菲律宾妇女的条件和状况同男子依然存在着差距。</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妇女委员会和各妇女团体为争取两性平等和赋予妇女权力进行了坚持不懈的、有重点的宣传活动，活动已经取得了成果。重要法律已经通过，从减轻贫穷方案到创造就业机会与经济增长战略，妇女的发展和进步问题已经列入政府的发展议程中。在政府工作的妇女，特别是担任计划、预算、公务员和人权机构中上层职务的、对性别问题有敏感认识的妇女以</w:t>
      </w:r>
      <w:r>
        <w:rPr>
          <w:rFonts w:hint="eastAsia"/>
        </w:rPr>
        <w:t>及各部对性别问题有敏感认识的男性官员，有可能已将两性平等目标逐步纳入其机构政策、方案和预算的主流之中。</w:t>
      </w:r>
    </w:p>
    <w:p w:rsidR="00000000" w:rsidRDefault="00821B8F">
      <w:pPr>
        <w:pStyle w:val="Heading4"/>
        <w:numPr>
          <w:ilvl w:val="0"/>
          <w:numId w:val="0"/>
        </w:numPr>
        <w:rPr>
          <w:rFonts w:hint="eastAsia"/>
          <w:color w:val="FF0000"/>
          <w:u w:val="none"/>
        </w:rPr>
      </w:pPr>
      <w:r>
        <w:rPr>
          <w:rFonts w:hint="eastAsia"/>
          <w:color w:val="FF0000"/>
          <w:u w:val="none"/>
        </w:rPr>
        <w:t>B</w:t>
      </w:r>
      <w:r>
        <w:rPr>
          <w:rFonts w:hint="eastAsia"/>
          <w:color w:val="FF0000"/>
          <w:u w:val="none"/>
        </w:rPr>
        <w:t>．采取的措施：加强性别与发展的体制机制</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菲律宾政府认识到，菲律宾妇女遭受了许多歧视，但歧视方式都是隐蔽的，因此，政府将转变社会态度和价值观念以承认男女平等的地位、权利和责任放在最优先的位置上。在这方面，菲律宾政府自</w:t>
      </w:r>
      <w:r>
        <w:rPr>
          <w:rFonts w:hint="eastAsia"/>
        </w:rPr>
        <w:t>1989</w:t>
      </w:r>
      <w:r>
        <w:rPr>
          <w:rFonts w:hint="eastAsia"/>
        </w:rPr>
        <w:t>年以来为妇女通过了三项发展计划。其中，</w:t>
      </w:r>
      <w:r>
        <w:rPr>
          <w:rFonts w:hint="eastAsia"/>
        </w:rPr>
        <w:t>1989-1992</w:t>
      </w:r>
      <w:r>
        <w:rPr>
          <w:rFonts w:hint="eastAsia"/>
        </w:rPr>
        <w:t>年的菲律宾妇女发展计划承认在实施妇女进步方案中各政府机构共同承担责任。各政府机构建立了性别与发展协调中心，以协调计划的执行，并</w:t>
      </w:r>
      <w:r>
        <w:rPr>
          <w:rFonts w:hint="eastAsia"/>
        </w:rPr>
        <w:t>引导本机构将性别观点纳入主流的能力建设。截至</w:t>
      </w:r>
      <w:r>
        <w:rPr>
          <w:rFonts w:hint="eastAsia"/>
        </w:rPr>
        <w:t>2002</w:t>
      </w:r>
      <w:r>
        <w:rPr>
          <w:rFonts w:hint="eastAsia"/>
        </w:rPr>
        <w:t>年，大约有</w:t>
      </w:r>
      <w:r>
        <w:rPr>
          <w:rFonts w:hint="eastAsia"/>
        </w:rPr>
        <w:t>100</w:t>
      </w:r>
      <w:r>
        <w:rPr>
          <w:rFonts w:hint="eastAsia"/>
        </w:rPr>
        <w:t>家机构建立了可以运行的性别与发展协调中心。与此同时，</w:t>
      </w:r>
      <w:r>
        <w:rPr>
          <w:rFonts w:hint="eastAsia"/>
        </w:rPr>
        <w:t>1995-2025</w:t>
      </w:r>
      <w:r>
        <w:rPr>
          <w:rFonts w:hint="eastAsia"/>
        </w:rPr>
        <w:t>年的菲律宾促进两性平等发展计划有意成为一项长期的远景计划，其目的是为妇女问题框架计划等中期计划提供指导，中期计划的目标、方案和项目都是短期的。</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列入年度预算法的菲律宾性别与发展预算政策，要求必须将各机构预算的</w:t>
      </w:r>
      <w:r>
        <w:rPr>
          <w:rFonts w:hint="eastAsia"/>
        </w:rPr>
        <w:t>5%</w:t>
      </w:r>
      <w:r>
        <w:rPr>
          <w:rFonts w:hint="eastAsia"/>
        </w:rPr>
        <w:t>用来执行本机构根据菲律宾促进两性平等发展计划和菲律宾妇女问题框架计划制订的计划。妇女委员会与国家经济和发展管理局、预算和管理部共同负责监测菲律宾妇女问题框架计划</w:t>
      </w:r>
      <w:r>
        <w:rPr>
          <w:rFonts w:hint="eastAsia"/>
        </w:rPr>
        <w:t>和预算政策的执行情况。</w:t>
      </w:r>
      <w:r>
        <w:rPr>
          <w:rFonts w:hint="eastAsia"/>
        </w:rPr>
        <w:t>1999-2003</w:t>
      </w:r>
      <w:r>
        <w:rPr>
          <w:rFonts w:hint="eastAsia"/>
        </w:rPr>
        <w:t>年间，妇女委员会从</w:t>
      </w:r>
      <w:r>
        <w:rPr>
          <w:rFonts w:hint="eastAsia"/>
        </w:rPr>
        <w:t>335</w:t>
      </w:r>
      <w:r>
        <w:rPr>
          <w:rFonts w:hint="eastAsia"/>
        </w:rPr>
        <w:t>个部门及其附属机构中总共收到</w:t>
      </w:r>
      <w:r>
        <w:rPr>
          <w:rFonts w:hint="eastAsia"/>
        </w:rPr>
        <w:t>130</w:t>
      </w:r>
      <w:r>
        <w:rPr>
          <w:rFonts w:hint="eastAsia"/>
        </w:rPr>
        <w:t>份性别与发展问题国家计划提交件。</w:t>
      </w:r>
    </w:p>
    <w:p w:rsidR="00000000" w:rsidRDefault="00821B8F">
      <w:pPr>
        <w:numPr>
          <w:ilvl w:val="0"/>
          <w:numId w:val="1236"/>
        </w:numPr>
        <w:spacing w:after="240" w:line="360" w:lineRule="exact"/>
        <w:ind w:left="540" w:hanging="540"/>
        <w:rPr>
          <w:rFonts w:hint="eastAsia"/>
          <w:color w:val="000000"/>
        </w:rPr>
      </w:pPr>
      <w:r>
        <w:rPr>
          <w:rFonts w:hint="eastAsia"/>
          <w:color w:val="000000"/>
        </w:rPr>
        <w:t xml:space="preserve"> </w:t>
      </w:r>
      <w:r>
        <w:rPr>
          <w:rFonts w:hint="eastAsia"/>
          <w:color w:val="000000"/>
        </w:rPr>
        <w:t>妇女委员会在</w:t>
      </w:r>
      <w:r>
        <w:rPr>
          <w:rFonts w:hint="eastAsia"/>
          <w:color w:val="000000"/>
        </w:rPr>
        <w:t>1997</w:t>
      </w:r>
      <w:r>
        <w:rPr>
          <w:rFonts w:hint="eastAsia"/>
          <w:color w:val="000000"/>
        </w:rPr>
        <w:t>年得到了加强。该委员会根据其在将性别观点纳入主流中的作用进行了改组。增设了约</w:t>
      </w:r>
      <w:r>
        <w:rPr>
          <w:rFonts w:hint="eastAsia"/>
          <w:color w:val="000000"/>
        </w:rPr>
        <w:t>17</w:t>
      </w:r>
      <w:r>
        <w:rPr>
          <w:rFonts w:hint="eastAsia"/>
          <w:color w:val="000000"/>
        </w:rPr>
        <w:t>个职位。差不多在同一时间，加拿大国际开发署批准了妇女委员会体制建设项目的第二阶段。随后在五至九年的时间里为妇女委员会十分有限的方案预算注入了</w:t>
      </w:r>
      <w:r>
        <w:rPr>
          <w:rFonts w:hint="eastAsia"/>
          <w:color w:val="000000"/>
        </w:rPr>
        <w:t>500</w:t>
      </w:r>
      <w:r>
        <w:rPr>
          <w:rFonts w:hint="eastAsia"/>
          <w:color w:val="000000"/>
        </w:rPr>
        <w:t>万加元。由于增加了人员和经费，妇女委员会可以在以下各具体领域执行委员会能力建设方案以及政府重点监督、执行机构以及地方政府试点单位的方</w:t>
      </w:r>
      <w:r>
        <w:rPr>
          <w:rFonts w:hint="eastAsia"/>
          <w:color w:val="000000"/>
        </w:rPr>
        <w:t>案：</w:t>
      </w:r>
    </w:p>
    <w:p w:rsidR="00000000" w:rsidRDefault="00821B8F">
      <w:pPr>
        <w:numPr>
          <w:ilvl w:val="0"/>
          <w:numId w:val="1324"/>
        </w:numPr>
        <w:tabs>
          <w:tab w:val="clear" w:pos="285"/>
          <w:tab w:val="num" w:pos="1080"/>
        </w:tabs>
        <w:spacing w:after="240" w:line="360" w:lineRule="exact"/>
        <w:ind w:left="1080" w:hanging="480"/>
        <w:rPr>
          <w:rFonts w:hint="eastAsia"/>
          <w:color w:val="000000"/>
        </w:rPr>
      </w:pPr>
      <w:r>
        <w:rPr>
          <w:rFonts w:hint="eastAsia"/>
          <w:color w:val="000000"/>
        </w:rPr>
        <w:t>妇女委员会：作为技术资源基地，负责以对性别问题有敏感认识的方式进行政策分析和制订、项目编制和执行、监测和评估。</w:t>
      </w:r>
    </w:p>
    <w:p w:rsidR="00000000" w:rsidRDefault="00821B8F">
      <w:pPr>
        <w:numPr>
          <w:ilvl w:val="0"/>
          <w:numId w:val="1324"/>
        </w:numPr>
        <w:tabs>
          <w:tab w:val="clear" w:pos="285"/>
          <w:tab w:val="num" w:pos="1080"/>
        </w:tabs>
        <w:spacing w:after="240" w:line="360" w:lineRule="exact"/>
        <w:ind w:left="1080" w:hanging="480"/>
        <w:rPr>
          <w:rFonts w:hint="eastAsia"/>
        </w:rPr>
      </w:pPr>
      <w:r>
        <w:rPr>
          <w:rFonts w:hint="eastAsia"/>
        </w:rPr>
        <w:t>监督机构（国家经济和发展管理局、预算和管理部、内政和地方政府部、公务员制度委员会）和众议院：负责创造有利的环境，以对性别问题有敏感认识的方式在政府内部进行决策、规划、人力资源开发和管理。</w:t>
      </w:r>
    </w:p>
    <w:p w:rsidR="00000000" w:rsidRDefault="00821B8F">
      <w:pPr>
        <w:numPr>
          <w:ilvl w:val="0"/>
          <w:numId w:val="1324"/>
        </w:numPr>
        <w:tabs>
          <w:tab w:val="clear" w:pos="285"/>
          <w:tab w:val="num" w:pos="1080"/>
        </w:tabs>
        <w:spacing w:after="240" w:line="360" w:lineRule="exact"/>
        <w:ind w:left="1080" w:hanging="480"/>
        <w:rPr>
          <w:rFonts w:hint="eastAsia"/>
        </w:rPr>
      </w:pPr>
      <w:r>
        <w:rPr>
          <w:rFonts w:hint="eastAsia"/>
        </w:rPr>
        <w:t>统计机构（国家统计局、国家统计协调委员会及统计研究和培训中心）：以对性别问题有敏感认识的方式负责统计工作。</w:t>
      </w:r>
    </w:p>
    <w:p w:rsidR="00000000" w:rsidRDefault="00821B8F">
      <w:pPr>
        <w:numPr>
          <w:ilvl w:val="0"/>
          <w:numId w:val="1324"/>
        </w:numPr>
        <w:tabs>
          <w:tab w:val="clear" w:pos="285"/>
          <w:tab w:val="num" w:pos="1080"/>
        </w:tabs>
        <w:spacing w:after="240" w:line="360" w:lineRule="exact"/>
        <w:ind w:left="1080" w:hanging="480"/>
        <w:rPr>
          <w:rFonts w:hint="eastAsia"/>
        </w:rPr>
      </w:pPr>
      <w:r>
        <w:rPr>
          <w:rFonts w:hint="eastAsia"/>
        </w:rPr>
        <w:t>创造对性别问题有敏感认识的政策和方案的有利环境的专项内容的试点机构：农业部，负责具体到实地一级的政</w:t>
      </w:r>
      <w:r>
        <w:rPr>
          <w:rFonts w:hint="eastAsia"/>
        </w:rPr>
        <w:t>策分析和执行；贸易和工业部，负责性别与发展问题的体制能力建设；劳工和就业部，负责在方案一级以对性别问题有敏感认识的方式进行监测和评估；环境和自然资源部，负责实地一级的人员参与。</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各机构在项目内容方面取得的重要成果包括：用来指导本机构和官僚机构其他部门开展将性别观点纳入工作主流的手册、工具和指南：</w:t>
      </w:r>
    </w:p>
    <w:p w:rsidR="00000000" w:rsidRDefault="00821B8F">
      <w:pPr>
        <w:numPr>
          <w:ilvl w:val="0"/>
          <w:numId w:val="1325"/>
        </w:numPr>
        <w:tabs>
          <w:tab w:val="clear" w:pos="285"/>
          <w:tab w:val="num" w:pos="1080"/>
        </w:tabs>
        <w:spacing w:after="240" w:line="360" w:lineRule="exact"/>
        <w:ind w:left="1080" w:hanging="480"/>
        <w:rPr>
          <w:rFonts w:hint="eastAsia"/>
        </w:rPr>
      </w:pPr>
      <w:r>
        <w:rPr>
          <w:rFonts w:hint="eastAsia"/>
        </w:rPr>
        <w:t>政府内部处理性骚扰案件手册（公务员制度委员会）；制订对性别问题有敏感认识的发展计划手册（国家经济和发展管理局）；地方政府机构的性别与发展问题计划和预算编制以及镇级处理和预防家庭暴力案件的技术帮助套件（内政和地方政</w:t>
      </w:r>
      <w:r>
        <w:rPr>
          <w:rFonts w:hint="eastAsia"/>
        </w:rPr>
        <w:t>府部）；菲律宾国民警察部队对性别问题有敏感认识的教育课程——基本招聘课程和基础课程（菲律宾公安学院）；预算官员和工作人员的性别与发展计划和预算基础知识（预算和管理部）；全国统一时间的调查方法（国家统计局）；对性别问题有敏感认识的地方发展计划统计培训手册（统计研究和培训中心）；以及对妇女儿童的暴力统计数据产生方法（国家统计协调委员会）。</w:t>
      </w:r>
    </w:p>
    <w:p w:rsidR="00000000" w:rsidRDefault="00821B8F">
      <w:pPr>
        <w:numPr>
          <w:ilvl w:val="0"/>
          <w:numId w:val="1325"/>
        </w:numPr>
        <w:tabs>
          <w:tab w:val="clear" w:pos="285"/>
          <w:tab w:val="num" w:pos="1080"/>
          <w:tab w:val="left" w:pos="5400"/>
        </w:tabs>
        <w:spacing w:after="240" w:line="360" w:lineRule="exact"/>
        <w:ind w:left="1080" w:hanging="480"/>
        <w:rPr>
          <w:rFonts w:hint="eastAsia"/>
        </w:rPr>
      </w:pPr>
      <w:r>
        <w:rPr>
          <w:rFonts w:hint="eastAsia"/>
        </w:rPr>
        <w:t>卫生部为指导其工作人员执行对性别问题有敏感认识的方案和计划编制了工具，其中包括：面向卫生工作人员的性别与保健培训模块、对妇女儿童暴力幸存者的治疗管理规程、生殖保健服务规程、对</w:t>
      </w:r>
      <w:r>
        <w:rPr>
          <w:rFonts w:hint="eastAsia"/>
        </w:rPr>
        <w:t>性别问题有敏感认识的初级保健培训模块，以及对性别有敏感认识的优质保健服务标准。</w:t>
      </w:r>
    </w:p>
    <w:p w:rsidR="00000000" w:rsidRDefault="00821B8F">
      <w:pPr>
        <w:numPr>
          <w:ilvl w:val="0"/>
          <w:numId w:val="1325"/>
        </w:numPr>
        <w:tabs>
          <w:tab w:val="clear" w:pos="285"/>
          <w:tab w:val="num" w:pos="1080"/>
          <w:tab w:val="left" w:pos="5400"/>
        </w:tabs>
        <w:spacing w:after="240" w:line="360" w:lineRule="exact"/>
        <w:ind w:left="1080" w:hanging="480"/>
        <w:rPr>
          <w:rFonts w:hint="eastAsia"/>
        </w:rPr>
      </w:pPr>
      <w:r>
        <w:rPr>
          <w:rFonts w:hint="eastAsia"/>
        </w:rPr>
        <w:t>社会福利部的性别与发展问题成套培训模块，其中最突出的是能与该部的培训方案整合的性别与发展问题培训模块、面向检察官和警官的接待和管理性骚扰和性剥削的妇女儿童受害者的培训模块，以及将性别观点纳入主流和基于权利的方案制订培训模块。</w:t>
      </w:r>
    </w:p>
    <w:p w:rsidR="00000000" w:rsidRDefault="00821B8F">
      <w:pPr>
        <w:numPr>
          <w:ilvl w:val="0"/>
          <w:numId w:val="1325"/>
        </w:numPr>
        <w:tabs>
          <w:tab w:val="clear" w:pos="285"/>
          <w:tab w:val="num" w:pos="1080"/>
          <w:tab w:val="left" w:pos="5400"/>
        </w:tabs>
        <w:spacing w:after="240" w:line="360" w:lineRule="exact"/>
        <w:ind w:left="1080" w:hanging="480"/>
        <w:rPr>
          <w:rFonts w:hint="eastAsia"/>
        </w:rPr>
      </w:pPr>
      <w:r>
        <w:rPr>
          <w:rFonts w:hint="eastAsia"/>
        </w:rPr>
        <w:t>人口委员会的“对性别问题有敏感认识的人口政策的生殖保健角度分析框架”和“人口方案工作人员的两性平等和生殖保健基本概念宣传和培训手册”。</w:t>
      </w:r>
    </w:p>
    <w:p w:rsidR="00000000" w:rsidRDefault="00821B8F">
      <w:pPr>
        <w:numPr>
          <w:ilvl w:val="0"/>
          <w:numId w:val="1325"/>
        </w:numPr>
        <w:tabs>
          <w:tab w:val="clear" w:pos="285"/>
          <w:tab w:val="num" w:pos="1080"/>
          <w:tab w:val="left" w:pos="5400"/>
        </w:tabs>
        <w:spacing w:after="240" w:line="360" w:lineRule="exact"/>
        <w:ind w:left="1080" w:hanging="480"/>
        <w:rPr>
          <w:rFonts w:hint="eastAsia"/>
        </w:rPr>
      </w:pPr>
      <w:r>
        <w:rPr>
          <w:rFonts w:hint="eastAsia"/>
        </w:rPr>
        <w:t>妇女委员会为各机构编制的工具有：政府机构性别与发展培训手册，其中包括性</w:t>
      </w:r>
      <w:r>
        <w:rPr>
          <w:rFonts w:hint="eastAsia"/>
        </w:rPr>
        <w:t>别与发展字典；将性别观点纳入主流的评估框架；以及怎样成为对性别问题有敏感认识的组织等。</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作为对性别问题有敏感认识的组织和计划的发展动力，妇女委员会向各政府机构和地方政府提供技术援助。委员会还与各地区的性别与发展资源中心建立联系，加强本地区的性别与发展宣传员、教学和研究人员之间的信息交流和联网，帮助建立性别与发展培训、研究和技术援助资源库。截至</w:t>
      </w:r>
      <w:r>
        <w:rPr>
          <w:rFonts w:hint="eastAsia"/>
        </w:rPr>
        <w:t>2003</w:t>
      </w:r>
      <w:r>
        <w:rPr>
          <w:rFonts w:hint="eastAsia"/>
        </w:rPr>
        <w:t>年，五个地区共建立了八个积极活动的中心。</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为促进妇女发展和进步而制订的其他政策声明和机制包括：</w:t>
      </w:r>
    </w:p>
    <w:p w:rsidR="00000000" w:rsidRDefault="00821B8F">
      <w:pPr>
        <w:numPr>
          <w:ilvl w:val="0"/>
          <w:numId w:val="1326"/>
        </w:numPr>
        <w:tabs>
          <w:tab w:val="clear" w:pos="360"/>
          <w:tab w:val="num" w:pos="1080"/>
        </w:tabs>
        <w:spacing w:after="240" w:line="360" w:lineRule="exact"/>
        <w:ind w:left="1080" w:hanging="480"/>
        <w:rPr>
          <w:rFonts w:hint="eastAsia"/>
        </w:rPr>
      </w:pPr>
      <w:r>
        <w:rPr>
          <w:rFonts w:hint="eastAsia"/>
        </w:rPr>
        <w:t>1996</w:t>
      </w:r>
      <w:r>
        <w:rPr>
          <w:rFonts w:hint="eastAsia"/>
        </w:rPr>
        <w:t>年</w:t>
      </w:r>
      <w:r>
        <w:rPr>
          <w:rFonts w:hint="eastAsia"/>
        </w:rPr>
        <w:t>9</w:t>
      </w:r>
      <w:r>
        <w:rPr>
          <w:rFonts w:hint="eastAsia"/>
        </w:rPr>
        <w:t>月</w:t>
      </w:r>
      <w:r>
        <w:rPr>
          <w:rFonts w:hint="eastAsia"/>
        </w:rPr>
        <w:t>5</w:t>
      </w:r>
      <w:r>
        <w:rPr>
          <w:rFonts w:hint="eastAsia"/>
        </w:rPr>
        <w:t>日第</w:t>
      </w:r>
      <w:r>
        <w:rPr>
          <w:rFonts w:hint="eastAsia"/>
        </w:rPr>
        <w:t>368</w:t>
      </w:r>
      <w:r>
        <w:rPr>
          <w:rFonts w:hint="eastAsia"/>
        </w:rPr>
        <w:t>号政令，提供了快速跟踪社会改革议程</w:t>
      </w:r>
      <w:r>
        <w:rPr>
          <w:rFonts w:hint="eastAsia"/>
        </w:rPr>
        <w:t>的地方化和把妇女委员会吸纳为社会改革委员会成员的机构安排的执行指南。社会改革议程是为满足穷人（包括妇女和非正规部门）的需要并将他们纳入发展主流而制订的一整套干预措施。</w:t>
      </w:r>
    </w:p>
    <w:p w:rsidR="00000000" w:rsidRDefault="00821B8F">
      <w:pPr>
        <w:numPr>
          <w:ilvl w:val="0"/>
          <w:numId w:val="1326"/>
        </w:numPr>
        <w:tabs>
          <w:tab w:val="clear" w:pos="360"/>
          <w:tab w:val="num" w:pos="1080"/>
        </w:tabs>
        <w:spacing w:after="240" w:line="360" w:lineRule="exact"/>
        <w:ind w:left="1080" w:hanging="480"/>
        <w:rPr>
          <w:rFonts w:hint="eastAsia"/>
        </w:rPr>
      </w:pPr>
      <w:r>
        <w:rPr>
          <w:rFonts w:hint="eastAsia"/>
        </w:rPr>
        <w:t>第</w:t>
      </w:r>
      <w:r>
        <w:rPr>
          <w:rFonts w:hint="eastAsia"/>
        </w:rPr>
        <w:t>8371</w:t>
      </w:r>
      <w:r>
        <w:rPr>
          <w:rFonts w:hint="eastAsia"/>
        </w:rPr>
        <w:t>号共和国法令，即《</w:t>
      </w:r>
      <w:r>
        <w:rPr>
          <w:rFonts w:hint="eastAsia"/>
        </w:rPr>
        <w:t>1997</w:t>
      </w:r>
      <w:r>
        <w:rPr>
          <w:rFonts w:hint="eastAsia"/>
        </w:rPr>
        <w:t>年土著人民权利法》，其中包括肯定男女平等权利的条款，并提供了促进妇女进步、妇女充分接受教育、孕产、托儿、保健、营养和住房服务及培训设施，以及妇女在所在部门所有各级的决策部门中的代表措施。</w:t>
      </w:r>
    </w:p>
    <w:p w:rsidR="00000000" w:rsidRDefault="00821B8F">
      <w:pPr>
        <w:numPr>
          <w:ilvl w:val="0"/>
          <w:numId w:val="1326"/>
        </w:numPr>
        <w:tabs>
          <w:tab w:val="clear" w:pos="360"/>
          <w:tab w:val="num" w:pos="1080"/>
        </w:tabs>
        <w:spacing w:after="240" w:line="360" w:lineRule="exact"/>
        <w:ind w:left="1080" w:hanging="480"/>
        <w:rPr>
          <w:rFonts w:hint="eastAsia"/>
        </w:rPr>
      </w:pPr>
      <w:r>
        <w:rPr>
          <w:rFonts w:hint="eastAsia"/>
        </w:rPr>
        <w:t>第</w:t>
      </w:r>
      <w:r>
        <w:rPr>
          <w:rFonts w:hint="eastAsia"/>
        </w:rPr>
        <w:t>8850</w:t>
      </w:r>
      <w:r>
        <w:rPr>
          <w:rFonts w:hint="eastAsia"/>
        </w:rPr>
        <w:t>号共和国法令，即《</w:t>
      </w:r>
      <w:r>
        <w:rPr>
          <w:rFonts w:hint="eastAsia"/>
        </w:rPr>
        <w:t>1998</w:t>
      </w:r>
      <w:r>
        <w:rPr>
          <w:rFonts w:hint="eastAsia"/>
        </w:rPr>
        <w:t>年渔业法》，要求执行政府沿海资源管理方案的市级渔业和水产资源管理委员会必须吸纳妇女为</w:t>
      </w:r>
      <w:r>
        <w:rPr>
          <w:rFonts w:hint="eastAsia"/>
        </w:rPr>
        <w:t>成员。</w:t>
      </w:r>
    </w:p>
    <w:p w:rsidR="00000000" w:rsidRDefault="00821B8F">
      <w:pPr>
        <w:numPr>
          <w:ilvl w:val="0"/>
          <w:numId w:val="1236"/>
        </w:numPr>
        <w:spacing w:after="240" w:line="360" w:lineRule="exact"/>
        <w:ind w:left="540" w:hanging="540"/>
      </w:pPr>
      <w:r>
        <w:rPr>
          <w:rFonts w:hint="eastAsia"/>
        </w:rPr>
        <w:t xml:space="preserve"> </w:t>
      </w:r>
      <w:r>
        <w:rPr>
          <w:rFonts w:hint="eastAsia"/>
        </w:rPr>
        <w:t>建立了地区和地方政府的性别与发展体制机制，如十区的地区发展委员会建立了这种机制，中吕宋的布拉干建立了省级妇女问题委员会，各地也根据地方法规建立了性别与发展问题技术委员会。</w:t>
      </w:r>
    </w:p>
    <w:p w:rsidR="00000000" w:rsidRDefault="00821B8F">
      <w:pPr>
        <w:pStyle w:val="Heading4"/>
        <w:numPr>
          <w:ilvl w:val="0"/>
          <w:numId w:val="0"/>
        </w:numPr>
        <w:rPr>
          <w:rFonts w:hint="eastAsia"/>
          <w:color w:val="FF0000"/>
          <w:u w:val="none"/>
        </w:rPr>
      </w:pPr>
      <w:r>
        <w:rPr>
          <w:rFonts w:hint="eastAsia"/>
          <w:color w:val="FF0000"/>
          <w:u w:val="none"/>
        </w:rPr>
        <w:t>C</w:t>
      </w:r>
      <w:r>
        <w:rPr>
          <w:rFonts w:hint="eastAsia"/>
          <w:color w:val="FF0000"/>
          <w:u w:val="none"/>
        </w:rPr>
        <w:t>．仍然面临的挑战和障碍</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政府官员对执行性别与发展预算的承诺和政治意愿。</w:t>
      </w:r>
      <w:r>
        <w:rPr>
          <w:rFonts w:hint="eastAsia"/>
        </w:rPr>
        <w:t>这个问题在各部部长、机构负责人和地方政府高层管理人员中表现得特别明显。由于他们对性别与发展预算及其目的不够了解，因此他们往往拒绝执行这项政策而去资助其他项目。另外，对于不执行性别与发展预算政策的人员没有任何惩罚措施。</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监督进展情况的机制不健全。</w:t>
      </w:r>
      <w:r>
        <w:rPr>
          <w:rFonts w:hint="eastAsia"/>
        </w:rPr>
        <w:t>这一方面已</w:t>
      </w:r>
      <w:r>
        <w:rPr>
          <w:rFonts w:hint="eastAsia"/>
        </w:rPr>
        <w:t>经取得了长足的进步。但是，仍然面临的挑战是，那些指标、框架和模式必须得到充分实施，才能得到诸如对妇女儿童施暴的发生率等性别问题的急需信息、定量分析妇女对经济的贡献，包括对无报酬工作的计量或对非正规部门的统计。此外，还需要使关键部门的数据用户和编制者具有敏感性并对他们进行引导，让他们有效地使用和分析目前统计系统正在产生的性别统计数据。需要继续完成的一项任务是制定一套综合监测框架，以涵盖大部分关注领域，从而采纳各政府机构的意见，把所有的报告和监测活动融为一体。</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妇女问题的体制机制。</w:t>
      </w:r>
      <w:r>
        <w:rPr>
          <w:rFonts w:hint="eastAsia"/>
        </w:rPr>
        <w:t>妇女委员会执行主任是专员委员</w:t>
      </w:r>
      <w:r>
        <w:rPr>
          <w:rFonts w:hint="eastAsia"/>
        </w:rPr>
        <w:t>会秘书处的负责人，而委员会主席全面负责委员会的工作。但是，后者既不领工资，也没有被授予法律权力。委员会主席由于没有成为内阁成员，无法了解内阁一级的决策，这就减弱了妇女委员会的政策职能。随着加拿大国际开发署计划的结束，妇女委员会的预算分配额将出现不足。委员会的结构和任务应该得到加强和扩大，预算分配额也需要增加，使之有能力去履行作为一个赋予妇女权力和两性平等的政策团体和监督机构的义务。</w:t>
      </w:r>
    </w:p>
    <w:p w:rsidR="00000000" w:rsidRDefault="00821B8F">
      <w:pPr>
        <w:pStyle w:val="TOC1"/>
        <w:tabs>
          <w:tab w:val="left" w:pos="5400"/>
        </w:tabs>
        <w:spacing w:before="120"/>
        <w:rPr>
          <w:rFonts w:hint="eastAsia"/>
        </w:rPr>
      </w:pPr>
      <w:r>
        <w:rPr>
          <w:rFonts w:hint="eastAsia"/>
        </w:rPr>
        <w:t>第四条</w:t>
      </w:r>
    </w:p>
    <w:p w:rsidR="00000000" w:rsidRDefault="00821B8F">
      <w:pPr>
        <w:tabs>
          <w:tab w:val="left" w:pos="5400"/>
        </w:tabs>
        <w:spacing w:after="240" w:line="360" w:lineRule="exact"/>
        <w:jc w:val="center"/>
        <w:rPr>
          <w:rFonts w:eastAsia="SimHei" w:hint="eastAsia"/>
          <w:bCs/>
          <w:color w:val="FF0000"/>
        </w:rPr>
      </w:pPr>
      <w:r>
        <w:rPr>
          <w:rFonts w:eastAsia="SimHei" w:hint="eastAsia"/>
          <w:bCs/>
          <w:color w:val="FF0000"/>
        </w:rPr>
        <w:t>加速实现男女平等</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为加速实现实际上的男女平等采取暂行特别措施，包括为保护母性而采取的措施</w:t>
      </w:r>
    </w:p>
    <w:p w:rsidR="00000000" w:rsidRDefault="00821B8F">
      <w:pPr>
        <w:pStyle w:val="Heading4"/>
        <w:numPr>
          <w:ilvl w:val="0"/>
          <w:numId w:val="0"/>
        </w:numPr>
        <w:rPr>
          <w:rFonts w:hint="eastAsia"/>
          <w:color w:val="FF0000"/>
          <w:u w:val="none"/>
        </w:rPr>
      </w:pPr>
      <w:r>
        <w:rPr>
          <w:rFonts w:hint="eastAsia"/>
          <w:color w:val="FF0000"/>
          <w:u w:val="none"/>
        </w:rPr>
        <w:t>A</w:t>
      </w:r>
      <w:r>
        <w:rPr>
          <w:rFonts w:hint="eastAsia"/>
          <w:color w:val="FF0000"/>
          <w:u w:val="none"/>
        </w:rPr>
        <w:t>．妇女的状况</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两性不平等</w:t>
      </w:r>
      <w:r>
        <w:rPr>
          <w:rFonts w:hint="eastAsia"/>
        </w:rPr>
        <w:t>是菲律宾社会的所有领域长期存在的一种现象，无论是在政治、经济还是社会文化方面。但是，这种不平等具有隐蔽性，因此，与歧视现象赤裸裸的社会相比，制订暂行特别措施更为困难。妇女获得更高的平均教育程度以及让她们在许多公共生活领域，包括政府和其他专业技术职业中现身，引起了是否需要采取这种措施的争议。</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《菲律宾劳动法典》第</w:t>
      </w:r>
      <w:r>
        <w:rPr>
          <w:rFonts w:hint="eastAsia"/>
        </w:rPr>
        <w:t>132</w:t>
      </w:r>
      <w:r>
        <w:rPr>
          <w:rFonts w:hint="eastAsia"/>
        </w:rPr>
        <w:t>、第</w:t>
      </w:r>
      <w:r>
        <w:rPr>
          <w:rFonts w:hint="eastAsia"/>
        </w:rPr>
        <w:t>133</w:t>
      </w:r>
      <w:r>
        <w:rPr>
          <w:rFonts w:hint="eastAsia"/>
        </w:rPr>
        <w:t>和第</w:t>
      </w:r>
      <w:r>
        <w:rPr>
          <w:rFonts w:hint="eastAsia"/>
        </w:rPr>
        <w:t>134</w:t>
      </w:r>
      <w:r>
        <w:rPr>
          <w:rFonts w:hint="eastAsia"/>
        </w:rPr>
        <w:t>条承认孕产是一种社会职能，因此给予女工在工作场所设立托儿所、享受产假、男女厕所分开、计划生育服务以及至少为女工准备一间更衣室等权利。但是，这些权利在大多数工作场所公然遭到破</w:t>
      </w:r>
      <w:r>
        <w:rPr>
          <w:rFonts w:hint="eastAsia"/>
        </w:rPr>
        <w:t>坏。研究发现，妇女必须出具医生开具的未怀孕证明，才能受聘在经济区工作。一旦被录用，她们很难享受产假。一些公司被举报违反了有关产假福利的法律，但由于妇女害怕失去工作而拒绝挺身而出，因此一直没有对此进行调查。</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在政府工作的女工享受的产假福利包括足月分娩产假和流产产假。在</w:t>
      </w:r>
      <w:r>
        <w:rPr>
          <w:rFonts w:hint="eastAsia"/>
        </w:rPr>
        <w:t>2002</w:t>
      </w:r>
      <w:r>
        <w:rPr>
          <w:rFonts w:hint="eastAsia"/>
        </w:rPr>
        <w:t>年之前，只有已婚妇女才准休产假。如果雇员的服务年限超过两年，产假为</w:t>
      </w:r>
      <w:r>
        <w:rPr>
          <w:rFonts w:hint="eastAsia"/>
        </w:rPr>
        <w:t>60</w:t>
      </w:r>
      <w:r>
        <w:rPr>
          <w:rFonts w:hint="eastAsia"/>
        </w:rPr>
        <w:t>个历日的全薪产假。服务年限超过一年而不足两年者，产假福利根据其服务期限的长短按比例计算，不足一年者的产假为</w:t>
      </w:r>
      <w:r>
        <w:rPr>
          <w:rFonts w:hint="eastAsia"/>
        </w:rPr>
        <w:t>60</w:t>
      </w:r>
      <w:r>
        <w:rPr>
          <w:rFonts w:hint="eastAsia"/>
        </w:rPr>
        <w:t>天，但工资减半。</w:t>
      </w:r>
      <w:r>
        <w:rPr>
          <w:rFonts w:hint="eastAsia"/>
        </w:rPr>
        <w:t xml:space="preserve"> </w:t>
      </w:r>
      <w:r>
        <w:rPr>
          <w:rFonts w:hint="eastAsia"/>
        </w:rPr>
        <w:t>到</w:t>
      </w:r>
      <w:r>
        <w:rPr>
          <w:rFonts w:hint="eastAsia"/>
        </w:rPr>
        <w:t>2003</w:t>
      </w:r>
      <w:r>
        <w:rPr>
          <w:rFonts w:hint="eastAsia"/>
        </w:rPr>
        <w:t>年，公务员制度委员会承认未婚</w:t>
      </w:r>
      <w:r>
        <w:rPr>
          <w:rFonts w:hint="eastAsia"/>
        </w:rPr>
        <w:t>妇女享有产假的权利，因此，它们现在准休的产假与已婚妇女一样。</w:t>
      </w:r>
    </w:p>
    <w:p w:rsidR="00000000" w:rsidRDefault="00821B8F">
      <w:pPr>
        <w:pStyle w:val="Heading4"/>
        <w:numPr>
          <w:ilvl w:val="0"/>
          <w:numId w:val="0"/>
        </w:numPr>
        <w:rPr>
          <w:rFonts w:hint="eastAsia"/>
          <w:color w:val="FF0000"/>
          <w:u w:val="none"/>
        </w:rPr>
      </w:pPr>
      <w:r>
        <w:rPr>
          <w:rFonts w:hint="eastAsia"/>
          <w:color w:val="FF0000"/>
          <w:u w:val="none"/>
        </w:rPr>
        <w:t>B</w:t>
      </w:r>
      <w:r>
        <w:rPr>
          <w:rFonts w:hint="eastAsia"/>
          <w:color w:val="FF0000"/>
          <w:u w:val="none"/>
        </w:rPr>
        <w:t>．采取的行动</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妇女参与决策。</w:t>
      </w:r>
      <w:r>
        <w:rPr>
          <w:rFonts w:hint="eastAsia"/>
        </w:rPr>
        <w:t>以下两项政策值得注意：</w:t>
      </w:r>
    </w:p>
    <w:p w:rsidR="00000000" w:rsidRDefault="00821B8F">
      <w:pPr>
        <w:numPr>
          <w:ilvl w:val="0"/>
          <w:numId w:val="1328"/>
        </w:numPr>
        <w:tabs>
          <w:tab w:val="clear" w:pos="285"/>
          <w:tab w:val="num" w:pos="960"/>
        </w:tabs>
        <w:spacing w:after="240" w:line="360" w:lineRule="exact"/>
        <w:ind w:left="960" w:hanging="360"/>
        <w:rPr>
          <w:rFonts w:hint="eastAsia"/>
        </w:rPr>
      </w:pPr>
      <w:r>
        <w:rPr>
          <w:rFonts w:hint="eastAsia"/>
        </w:rPr>
        <w:t>公务员制度委员会</w:t>
      </w:r>
      <w:r>
        <w:rPr>
          <w:rFonts w:hint="eastAsia"/>
        </w:rPr>
        <w:t>1999</w:t>
      </w:r>
      <w:r>
        <w:rPr>
          <w:rFonts w:hint="eastAsia"/>
        </w:rPr>
        <w:t>年第</w:t>
      </w:r>
      <w:r>
        <w:rPr>
          <w:rFonts w:hint="eastAsia"/>
        </w:rPr>
        <w:t>8</w:t>
      </w:r>
      <w:r>
        <w:rPr>
          <w:rFonts w:hint="eastAsia"/>
        </w:rPr>
        <w:t>号系列备忘录通告，其标题是“男女在政府三级职位中任职人数平等的政策”。颁布该通告的目的是增加妇女在职业服务最高级或行政级上的人数。公务员制度委员会监测该通告的执行情况，责令各机构定期报告提名担任三级空缺职务的妇女人数、担任职务的妇女总人数以及男女提名总人数之比。</w:t>
      </w:r>
    </w:p>
    <w:p w:rsidR="00000000" w:rsidRDefault="00821B8F">
      <w:pPr>
        <w:numPr>
          <w:ilvl w:val="0"/>
          <w:numId w:val="1328"/>
        </w:numPr>
        <w:tabs>
          <w:tab w:val="clear" w:pos="285"/>
          <w:tab w:val="num" w:pos="960"/>
        </w:tabs>
        <w:spacing w:after="240" w:line="360" w:lineRule="exact"/>
        <w:ind w:left="960" w:hanging="360"/>
        <w:rPr>
          <w:rFonts w:hint="eastAsia"/>
        </w:rPr>
      </w:pPr>
      <w:r>
        <w:rPr>
          <w:rFonts w:hint="eastAsia"/>
        </w:rPr>
        <w:t>《</w:t>
      </w:r>
      <w:r>
        <w:rPr>
          <w:rFonts w:hint="eastAsia"/>
        </w:rPr>
        <w:t>1997</w:t>
      </w:r>
      <w:r>
        <w:rPr>
          <w:rFonts w:hint="eastAsia"/>
        </w:rPr>
        <w:t>年土著人民法》指示各级决策机构中必须有土著妇女代表。尽管土著妇女已经参与了其传统领域的种种</w:t>
      </w:r>
      <w:r>
        <w:rPr>
          <w:rFonts w:hint="eastAsia"/>
        </w:rPr>
        <w:t>努力，但执行上述法律的机制还没有到位。土著妇女以成员身份参加土著人村民委员会的问题也在探讨之中。</w:t>
      </w:r>
    </w:p>
    <w:p w:rsidR="00000000" w:rsidRDefault="00821B8F">
      <w:pPr>
        <w:numPr>
          <w:ilvl w:val="0"/>
          <w:numId w:val="1236"/>
        </w:numPr>
        <w:spacing w:after="240" w:line="360" w:lineRule="exact"/>
        <w:ind w:left="540" w:hanging="540"/>
        <w:rPr>
          <w:rFonts w:hint="eastAsia"/>
        </w:rPr>
      </w:pPr>
      <w:r>
        <w:rPr>
          <w:rFonts w:eastAsia="KaiTi_GB2312" w:hint="eastAsia"/>
          <w:iCs/>
          <w:color w:val="0000FF"/>
        </w:rPr>
        <w:t xml:space="preserve"> </w:t>
      </w:r>
      <w:r>
        <w:rPr>
          <w:rFonts w:eastAsia="KaiTi_GB2312" w:hint="eastAsia"/>
          <w:iCs/>
          <w:color w:val="0000FF"/>
        </w:rPr>
        <w:t>产妇保护。</w:t>
      </w:r>
      <w:r>
        <w:rPr>
          <w:rFonts w:hint="eastAsia"/>
        </w:rPr>
        <w:t>菲律宾法律规定，在私人部门和公共部门工作的妇女，不论已婚还是未婚，均准休产假。对于在私人部门加入工会的妇女，其集体谈判协议中通常包括若干条与孕产有关的规定，例如孕妇使用弹性工作时间、不上夜班、可申请孕产贷款、不干重活、不穿公司制服或在怀孕期间提供合适的制服，以及提前给予她们社会保障系统中的孕产福利。集体谈判协议还规定向工会女会员免费提供奶头搽拭纸。</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对单身父母提供支助服务。</w:t>
      </w:r>
      <w:r>
        <w:rPr>
          <w:rFonts w:hint="eastAsia"/>
        </w:rPr>
        <w:t>第</w:t>
      </w:r>
      <w:r>
        <w:rPr>
          <w:rFonts w:hint="eastAsia"/>
        </w:rPr>
        <w:t xml:space="preserve"> 8972</w:t>
      </w:r>
      <w:r>
        <w:rPr>
          <w:rFonts w:hint="eastAsia"/>
        </w:rPr>
        <w:t>号共和国法令</w:t>
      </w:r>
      <w:r>
        <w:rPr>
          <w:rFonts w:hint="eastAsia"/>
        </w:rPr>
        <w:t>，即《</w:t>
      </w:r>
      <w:r>
        <w:rPr>
          <w:rFonts w:hint="eastAsia"/>
        </w:rPr>
        <w:t>2000</w:t>
      </w:r>
      <w:r>
        <w:rPr>
          <w:rFonts w:hint="eastAsia"/>
        </w:rPr>
        <w:t>年单身父母福利法》要求一些机构为单身父母及其子女制定和实施一套社会发展和福利服务综合方案。</w:t>
      </w:r>
    </w:p>
    <w:p w:rsidR="00000000" w:rsidRDefault="00821B8F">
      <w:pPr>
        <w:pStyle w:val="Heading4"/>
        <w:numPr>
          <w:ilvl w:val="0"/>
          <w:numId w:val="0"/>
        </w:numPr>
        <w:rPr>
          <w:rFonts w:hint="eastAsia"/>
          <w:color w:val="FF0000"/>
          <w:u w:val="none"/>
        </w:rPr>
      </w:pPr>
      <w:r>
        <w:rPr>
          <w:rFonts w:hint="eastAsia"/>
          <w:color w:val="FF0000"/>
          <w:u w:val="none"/>
        </w:rPr>
        <w:t>C</w:t>
      </w:r>
      <w:r>
        <w:rPr>
          <w:rFonts w:hint="eastAsia"/>
          <w:color w:val="FF0000"/>
          <w:u w:val="none"/>
        </w:rPr>
        <w:t>．未解决的问题和挑战</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妇女参政和参与公共生活。</w:t>
      </w:r>
      <w:r>
        <w:rPr>
          <w:rFonts w:hint="eastAsia"/>
        </w:rPr>
        <w:t>为了开放政治领域让男女平等参与，必须消除在投票人和任命机构中间存在的以及妇女自身存在的性别陈规定型观念。有必要通过一项法律来解决这个问题。在第十二届国会期间，第</w:t>
      </w:r>
      <w:r>
        <w:rPr>
          <w:rFonts w:hint="eastAsia"/>
        </w:rPr>
        <w:t>4704</w:t>
      </w:r>
      <w:r>
        <w:rPr>
          <w:rFonts w:hint="eastAsia"/>
        </w:rPr>
        <w:t>号参议院议案及第</w:t>
      </w:r>
      <w:r>
        <w:rPr>
          <w:rFonts w:hint="eastAsia"/>
        </w:rPr>
        <w:t>387</w:t>
      </w:r>
      <w:r>
        <w:rPr>
          <w:rFonts w:hint="eastAsia"/>
        </w:rPr>
        <w:t>，</w:t>
      </w:r>
      <w:r>
        <w:rPr>
          <w:rFonts w:hint="eastAsia"/>
        </w:rPr>
        <w:t>601</w:t>
      </w:r>
      <w:r>
        <w:rPr>
          <w:rFonts w:hint="eastAsia"/>
        </w:rPr>
        <w:t>号和第</w:t>
      </w:r>
      <w:r>
        <w:rPr>
          <w:rFonts w:hint="eastAsia"/>
        </w:rPr>
        <w:t>702</w:t>
      </w:r>
      <w:r>
        <w:rPr>
          <w:rFonts w:hint="eastAsia"/>
        </w:rPr>
        <w:t>号参议院议案（又称《赋予妇女权力法》）获得通过。这些议案的目标是规定妇女在政府决策职位中占到</w:t>
      </w:r>
      <w:r>
        <w:rPr>
          <w:rFonts w:hint="eastAsia"/>
        </w:rPr>
        <w:t>30%</w:t>
      </w:r>
      <w:r>
        <w:rPr>
          <w:rFonts w:hint="eastAsia"/>
        </w:rPr>
        <w:t>，同时规定国家和地方政府的某些委任职位中至少为合</w:t>
      </w:r>
      <w:r>
        <w:rPr>
          <w:rFonts w:hint="eastAsia"/>
        </w:rPr>
        <w:t>格妇女保留占总数三分之一的职位。此外，上述提案还建议，正式批准的政党必须在其党派的正式候选人中为妇女至少保留三分之一的名额，国家和地方政府机构或单位的奖学金、赠款、研究金和培训至少要为合格妇女保留三分之一的名额。</w:t>
      </w:r>
    </w:p>
    <w:p w:rsidR="00000000" w:rsidRDefault="00821B8F">
      <w:pPr>
        <w:pStyle w:val="TOC1"/>
        <w:tabs>
          <w:tab w:val="left" w:pos="5400"/>
        </w:tabs>
        <w:spacing w:before="120"/>
        <w:rPr>
          <w:rFonts w:hint="eastAsia"/>
        </w:rPr>
      </w:pPr>
      <w:r>
        <w:rPr>
          <w:rFonts w:hint="eastAsia"/>
        </w:rPr>
        <w:t>第五条</w:t>
      </w:r>
    </w:p>
    <w:p w:rsidR="00000000" w:rsidRDefault="00821B8F">
      <w:pPr>
        <w:tabs>
          <w:tab w:val="left" w:pos="5400"/>
        </w:tabs>
        <w:spacing w:after="240" w:line="360" w:lineRule="exact"/>
        <w:jc w:val="center"/>
        <w:rPr>
          <w:rFonts w:eastAsia="SimHei" w:hint="eastAsia"/>
          <w:bCs/>
          <w:color w:val="FF0000"/>
        </w:rPr>
      </w:pPr>
      <w:r>
        <w:rPr>
          <w:rFonts w:eastAsia="SimHei" w:hint="eastAsia"/>
          <w:bCs/>
          <w:color w:val="FF0000"/>
        </w:rPr>
        <w:t>性别角色和陈规定型观念</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采取措施改变社会和文化行为模式，以消除对男女作用的定型观念并确保分担养育和子女的责任</w:t>
      </w:r>
    </w:p>
    <w:p w:rsidR="00000000" w:rsidRDefault="00821B8F">
      <w:pPr>
        <w:pStyle w:val="Heading4"/>
        <w:numPr>
          <w:ilvl w:val="0"/>
          <w:numId w:val="0"/>
        </w:numPr>
        <w:rPr>
          <w:rFonts w:hint="eastAsia"/>
          <w:color w:val="FF0000"/>
          <w:u w:val="none"/>
        </w:rPr>
      </w:pPr>
      <w:r>
        <w:rPr>
          <w:rFonts w:hint="eastAsia"/>
          <w:color w:val="FF0000"/>
          <w:u w:val="none"/>
        </w:rPr>
        <w:t>A</w:t>
      </w:r>
      <w:r>
        <w:rPr>
          <w:rFonts w:hint="eastAsia"/>
          <w:color w:val="FF0000"/>
          <w:u w:val="none"/>
        </w:rPr>
        <w:t>．妇女的状况</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性别角色的陈规定型仍然是阻碍妇女充分发展的绊脚石。各种社会化机构——家庭、学校、媒体、教堂甚至政府——都有意无意地坚持这种思维和行为，限制妇女获得个人发展机会和参</w:t>
      </w:r>
      <w:r>
        <w:rPr>
          <w:rFonts w:hint="eastAsia"/>
        </w:rPr>
        <w:t>与其社区和社会的发展工作。</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现在终于有了一批优秀的女记者和媒体宣传员在其栏目中报道性别问题和妇女的关注、发表对性别问题有敏感认识的公正报道、或利用她们精心雕琢的词汇、“广告语</w:t>
      </w:r>
      <w:r>
        <w:rPr>
          <w:rFonts w:hint="eastAsia"/>
        </w:rPr>
        <w:t>/</w:t>
      </w:r>
      <w:r>
        <w:rPr>
          <w:rFonts w:hint="eastAsia"/>
        </w:rPr>
        <w:t>公益广告”中的讯息以及电视记录片宣传妇女问题和关注。妇女已经在传媒界为自己打出了职业天地。其中有不少人当上了首席执行官、主编、电影导演、节目制作人等以前只有男人才能担任的职务。截至</w:t>
      </w:r>
      <w:r>
        <w:rPr>
          <w:rFonts w:hint="eastAsia"/>
        </w:rPr>
        <w:t>2003</w:t>
      </w:r>
      <w:r>
        <w:rPr>
          <w:rFonts w:hint="eastAsia"/>
        </w:rPr>
        <w:t>年</w:t>
      </w:r>
      <w:r>
        <w:rPr>
          <w:rFonts w:hint="eastAsia"/>
        </w:rPr>
        <w:t>12</w:t>
      </w:r>
      <w:r>
        <w:rPr>
          <w:rFonts w:hint="eastAsia"/>
        </w:rPr>
        <w:t>月，妇女已经在以下企业担任负责人：麦肯广告公司（首席执行官）、</w:t>
      </w:r>
      <w:r>
        <w:t>Campaigns and Grey</w:t>
      </w:r>
      <w:r>
        <w:rPr>
          <w:rFonts w:hint="eastAsia"/>
        </w:rPr>
        <w:t>广告公司（总裁）、广告委员会（主席）、</w:t>
      </w:r>
      <w:r>
        <w:rPr>
          <w:color w:val="000000"/>
        </w:rPr>
        <w:t>《菲</w:t>
      </w:r>
      <w:r>
        <w:rPr>
          <w:color w:val="000000"/>
        </w:rPr>
        <w:t>律宾每日问讯报》</w:t>
      </w:r>
      <w:r>
        <w:rPr>
          <w:rFonts w:hint="eastAsia"/>
        </w:rPr>
        <w:t>（总裁兼首席执行官）、《</w:t>
      </w:r>
      <w:r>
        <w:rPr>
          <w:color w:val="000000"/>
        </w:rPr>
        <w:t>马尼拉旗帜》</w:t>
      </w:r>
      <w:r>
        <w:rPr>
          <w:rFonts w:hint="eastAsia"/>
          <w:color w:val="000000"/>
        </w:rPr>
        <w:t>（</w:t>
      </w:r>
      <w:r>
        <w:rPr>
          <w:rFonts w:hint="eastAsia"/>
        </w:rPr>
        <w:t>主编）、新闻自由与责任中心（执行董事）以及菲律宾调查性新闻中心（执行董事）。以下几个传媒组织中有妇女担任副总裁：亚洲新闻研究所和最大的广播网、</w:t>
      </w:r>
      <w:r>
        <w:rPr>
          <w:rFonts w:hint="eastAsia"/>
        </w:rPr>
        <w:t>ABS-CBN</w:t>
      </w:r>
      <w:r>
        <w:rPr>
          <w:rFonts w:hint="eastAsia"/>
        </w:rPr>
        <w:t>新闻网和</w:t>
      </w:r>
      <w:r>
        <w:rPr>
          <w:rFonts w:hint="eastAsia"/>
        </w:rPr>
        <w:t>GMA-7</w:t>
      </w:r>
      <w:r>
        <w:rPr>
          <w:rFonts w:hint="eastAsia"/>
        </w:rPr>
        <w:t>电视台。</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但是，除了为著名的受害或幸存妇女案件以及把妇女刻画成有限的、定型的性别歧视角色以外，大众传媒继续忽视两性不平等和歧视问题。</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色情制品依然是个造成灾难性后果的大问题，使陈旧的性别观点及强奸和乱伦永久化。尽管法律（第</w:t>
      </w:r>
      <w:r>
        <w:rPr>
          <w:rFonts w:hint="eastAsia"/>
        </w:rPr>
        <w:t>6955</w:t>
      </w:r>
      <w:r>
        <w:rPr>
          <w:rFonts w:hint="eastAsia"/>
        </w:rPr>
        <w:t>号共和国法令）禁止邮购新娘，但这种现象仍然存在。</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一些媒体从业人员并不知道，性别歧视语言可能对读者、观众和听众对妇女的认识产生重大的影响。同性恋恐惧症，特别是针对女同性恋者的同性恋恐惧症成为大众传媒对待同性恋的永久化态度。</w:t>
      </w:r>
    </w:p>
    <w:p w:rsidR="00000000" w:rsidRDefault="00821B8F">
      <w:pPr>
        <w:pStyle w:val="Heading4"/>
        <w:numPr>
          <w:ilvl w:val="0"/>
          <w:numId w:val="0"/>
        </w:numPr>
        <w:rPr>
          <w:rFonts w:hint="eastAsia"/>
          <w:color w:val="FF0000"/>
          <w:u w:val="none"/>
        </w:rPr>
      </w:pPr>
      <w:r>
        <w:rPr>
          <w:rFonts w:hint="eastAsia"/>
          <w:color w:val="FF0000"/>
          <w:u w:val="none"/>
        </w:rPr>
        <w:t>B</w:t>
      </w:r>
      <w:r>
        <w:rPr>
          <w:rFonts w:hint="eastAsia"/>
          <w:color w:val="FF0000"/>
          <w:u w:val="none"/>
        </w:rPr>
        <w:t>．采取的行动</w:t>
      </w:r>
    </w:p>
    <w:p w:rsidR="00000000" w:rsidRDefault="00821B8F">
      <w:pPr>
        <w:tabs>
          <w:tab w:val="left" w:pos="5400"/>
        </w:tabs>
        <w:spacing w:after="240" w:line="360" w:lineRule="exact"/>
        <w:rPr>
          <w:rFonts w:hint="eastAsia"/>
        </w:rPr>
      </w:pPr>
      <w:r>
        <w:rPr>
          <w:rFonts w:hint="eastAsia"/>
          <w:u w:val="single"/>
        </w:rPr>
        <w:t>法律、政策和其他政府倡议</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与色情制品做斗争。</w:t>
      </w:r>
      <w:r>
        <w:rPr>
          <w:rFonts w:hint="eastAsia"/>
        </w:rPr>
        <w:t>录像片监管委员会颁布了</w:t>
      </w:r>
      <w:r>
        <w:rPr>
          <w:rFonts w:hint="eastAsia"/>
        </w:rPr>
        <w:t>98-001</w:t>
      </w:r>
      <w:r>
        <w:rPr>
          <w:rFonts w:hint="eastAsia"/>
        </w:rPr>
        <w:t>号备忘录通告，禁止在公共交通工具上播放妇女色情录像。第十二届国会期间提交的议案有第</w:t>
      </w:r>
      <w:r>
        <w:rPr>
          <w:rFonts w:hint="eastAsia"/>
        </w:rPr>
        <w:t>169</w:t>
      </w:r>
      <w:r>
        <w:rPr>
          <w:rFonts w:hint="eastAsia"/>
        </w:rPr>
        <w:t>号参议院议案，其中明确禁止在广告材料中丑化菲律宾人，特别是菲律宾妇女的形象；以及第</w:t>
      </w:r>
      <w:r>
        <w:rPr>
          <w:rFonts w:hint="eastAsia"/>
        </w:rPr>
        <w:t>2037</w:t>
      </w:r>
      <w:r>
        <w:rPr>
          <w:rFonts w:hint="eastAsia"/>
        </w:rPr>
        <w:t>号参议院议案和众议院议案，认为通过色情制品剥削妇女是有罪的行为</w:t>
      </w:r>
      <w:r>
        <w:rPr>
          <w:rFonts w:hint="eastAsia"/>
        </w:rPr>
        <w:t>。</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杜绝邮购新娘的交易。</w:t>
      </w:r>
      <w:r>
        <w:rPr>
          <w:rFonts w:hint="eastAsia"/>
        </w:rPr>
        <w:t>第十二届国会期间提交的各种议案反对通过互联网和电子邮件刊登新娘广告的做法。这些议案旨在修改第</w:t>
      </w:r>
      <w:r>
        <w:rPr>
          <w:rFonts w:hint="eastAsia"/>
        </w:rPr>
        <w:t>6955</w:t>
      </w:r>
      <w:r>
        <w:rPr>
          <w:rFonts w:hint="eastAsia"/>
        </w:rPr>
        <w:t>号共和国法令，即《禁止邮购新娘法》，以适应当前这个互联网时代。《</w:t>
      </w:r>
      <w:r>
        <w:rPr>
          <w:rFonts w:hint="eastAsia"/>
        </w:rPr>
        <w:t>2003</w:t>
      </w:r>
      <w:r>
        <w:rPr>
          <w:rFonts w:hint="eastAsia"/>
        </w:rPr>
        <w:t>年惩治贩卖人口法》加强了《禁止邮购新娘法》的效力，在贩卖人口的非法行为清单中列入了撮合行为，即撮合“任何菲律宾妇女与外国人结婚，以达到获取、购买、提供或出卖该妇女去卖淫、色情或性剥削、强迫劳动、奴役、非自愿奴役和束缚等目的”。</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改善媒体儿童节目制作和其他的儿童权利问题。</w:t>
      </w:r>
      <w:r>
        <w:rPr>
          <w:rFonts w:hint="eastAsia"/>
        </w:rPr>
        <w:t>为达到这个目的而采取的行动包括通过了第</w:t>
      </w:r>
      <w:r>
        <w:rPr>
          <w:rFonts w:hint="eastAsia"/>
        </w:rPr>
        <w:t>83</w:t>
      </w:r>
      <w:r>
        <w:rPr>
          <w:rFonts w:hint="eastAsia"/>
        </w:rPr>
        <w:t>70</w:t>
      </w:r>
      <w:r>
        <w:rPr>
          <w:rFonts w:hint="eastAsia"/>
        </w:rPr>
        <w:t>号共和国法令，即《</w:t>
      </w:r>
      <w:r>
        <w:rPr>
          <w:rFonts w:hint="eastAsia"/>
        </w:rPr>
        <w:t>1997</w:t>
      </w:r>
      <w:r>
        <w:rPr>
          <w:rFonts w:hint="eastAsia"/>
        </w:rPr>
        <w:t>年儿童电视法》，其目标是通过加强儿童的全面发展并考虑到制订教育、文化、娱乐政策与方案的儿童需要，来保护和促进儿童福祉。该法令要求每个广播网每天至少从总的播送时间中拨出</w:t>
      </w:r>
      <w:r>
        <w:rPr>
          <w:rFonts w:hint="eastAsia"/>
        </w:rPr>
        <w:t>15%</w:t>
      </w:r>
      <w:r>
        <w:rPr>
          <w:rFonts w:hint="eastAsia"/>
        </w:rPr>
        <w:t>用于播放有益于儿童的节目。根据该法案还成立了儿童电视委员会，为制作高质量的儿童电视节目制订计划和政策。另一项法律，即</w:t>
      </w:r>
      <w:r>
        <w:rPr>
          <w:rFonts w:hint="eastAsia"/>
        </w:rPr>
        <w:t>1997</w:t>
      </w:r>
      <w:r>
        <w:rPr>
          <w:rFonts w:hint="eastAsia"/>
        </w:rPr>
        <w:t>年第</w:t>
      </w:r>
      <w:r>
        <w:rPr>
          <w:rFonts w:hint="eastAsia"/>
        </w:rPr>
        <w:t>8296</w:t>
      </w:r>
      <w:r>
        <w:rPr>
          <w:rFonts w:hint="eastAsia"/>
        </w:rPr>
        <w:t>号共和国法令宣布每年</w:t>
      </w:r>
      <w:r>
        <w:rPr>
          <w:rFonts w:hint="eastAsia"/>
        </w:rPr>
        <w:t>12</w:t>
      </w:r>
      <w:r>
        <w:rPr>
          <w:rFonts w:hint="eastAsia"/>
        </w:rPr>
        <w:t>月第二个星期日为全国儿童广播日，要求全国电视台和广播电台安排三小时的时间播放儿童节目。与此同时，社会福利部</w:t>
      </w:r>
      <w:r>
        <w:rPr>
          <w:rFonts w:hint="eastAsia"/>
        </w:rPr>
        <w:t>1998</w:t>
      </w:r>
      <w:r>
        <w:rPr>
          <w:rFonts w:hint="eastAsia"/>
        </w:rPr>
        <w:t>年第</w:t>
      </w:r>
      <w:r>
        <w:rPr>
          <w:rFonts w:hint="eastAsia"/>
        </w:rPr>
        <w:t>22</w:t>
      </w:r>
      <w:r>
        <w:rPr>
          <w:rFonts w:hint="eastAsia"/>
        </w:rPr>
        <w:t>号系列部令规定了媒体对性骚扰</w:t>
      </w:r>
      <w:r>
        <w:rPr>
          <w:rFonts w:hint="eastAsia"/>
        </w:rPr>
        <w:t>和性剥削的受害者，不论是儿童、妇女还是其他弱势群体进行报道时应遵循的准则。</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促进养儿育女中的分担责任和两性平等。</w:t>
      </w:r>
      <w:r>
        <w:rPr>
          <w:rFonts w:hint="eastAsia"/>
        </w:rPr>
        <w:t>第</w:t>
      </w:r>
      <w:r>
        <w:rPr>
          <w:rFonts w:hint="eastAsia"/>
        </w:rPr>
        <w:t>8980</w:t>
      </w:r>
      <w:r>
        <w:rPr>
          <w:rFonts w:hint="eastAsia"/>
        </w:rPr>
        <w:t>号共和国法令（《</w:t>
      </w:r>
      <w:r>
        <w:rPr>
          <w:rFonts w:hint="eastAsia"/>
        </w:rPr>
        <w:t>2000</w:t>
      </w:r>
      <w:r>
        <w:rPr>
          <w:rFonts w:hint="eastAsia"/>
        </w:rPr>
        <w:t>年幼儿保育和发展法》）为幼儿保育和发展颁布了一项综合政策并制订了国家制度。该法令促进父母和社区积极参与提供全面的保健、营养、早期教育和社会服务方案，以满足幼儿从出生到六岁获得最佳成长和发展的基本需求。执行这个制度的责任由国家政府、地方政府、非政府组织和私人组织承担。随着这项法律的颁布和执行，抚养子女不再仅仅是母亲的责任。社区、国家和地方政府及其他机构正在帮助满足</w:t>
      </w:r>
      <w:r>
        <w:rPr>
          <w:rFonts w:hint="eastAsia"/>
        </w:rPr>
        <w:t>幼儿基本的综合需要。</w:t>
      </w:r>
      <w:r>
        <w:rPr>
          <w:rFonts w:hint="eastAsia"/>
        </w:rPr>
        <w:t xml:space="preserve"> </w:t>
      </w:r>
    </w:p>
    <w:p w:rsidR="00000000" w:rsidRDefault="00821B8F">
      <w:pPr>
        <w:numPr>
          <w:ilvl w:val="0"/>
          <w:numId w:val="1236"/>
        </w:numPr>
        <w:spacing w:after="240" w:line="360" w:lineRule="exact"/>
        <w:ind w:left="540" w:hanging="540"/>
        <w:rPr>
          <w:rFonts w:hint="eastAsia"/>
        </w:rPr>
      </w:pPr>
      <w:r>
        <w:rPr>
          <w:rFonts w:hint="eastAsia"/>
          <w:color w:val="000000"/>
        </w:rPr>
        <w:t xml:space="preserve"> </w:t>
      </w:r>
      <w:r>
        <w:rPr>
          <w:rFonts w:hint="eastAsia"/>
          <w:color w:val="000000"/>
        </w:rPr>
        <w:t>教育部、社会福利部和旅游部协调了其为动员媒体参与促进和保护儿童权利所做的努力。社会福利部编制并散发了适当的材料供媒体使用，并在女童周的庆祝活动上举办了媒体中应如何描述女童的论坛。</w:t>
      </w:r>
      <w:r>
        <w:rPr>
          <w:rFonts w:hint="eastAsia"/>
          <w:color w:val="000000"/>
        </w:rPr>
        <w:t>1999</w:t>
      </w:r>
      <w:r>
        <w:rPr>
          <w:rFonts w:hint="eastAsia"/>
          <w:color w:val="000000"/>
        </w:rPr>
        <w:t>年，该部还在国家首都区的</w:t>
      </w:r>
      <w:r>
        <w:rPr>
          <w:rFonts w:hint="eastAsia"/>
          <w:color w:val="000000"/>
        </w:rPr>
        <w:t>17</w:t>
      </w:r>
      <w:r>
        <w:rPr>
          <w:rFonts w:hint="eastAsia"/>
          <w:color w:val="000000"/>
        </w:rPr>
        <w:t>个市、自治市执行了流落街头儿童惩救方案，总共惩救了</w:t>
      </w:r>
      <w:r>
        <w:rPr>
          <w:rFonts w:hint="eastAsia"/>
          <w:color w:val="000000"/>
        </w:rPr>
        <w:t>726</w:t>
      </w:r>
      <w:r>
        <w:rPr>
          <w:rFonts w:hint="eastAsia"/>
          <w:color w:val="000000"/>
        </w:rPr>
        <w:t>名流落街头儿童和</w:t>
      </w:r>
      <w:r>
        <w:rPr>
          <w:rFonts w:hint="eastAsia"/>
          <w:color w:val="000000"/>
        </w:rPr>
        <w:t>19</w:t>
      </w:r>
      <w:r>
        <w:rPr>
          <w:rFonts w:hint="eastAsia"/>
          <w:color w:val="000000"/>
        </w:rPr>
        <w:t>个流落街头家庭，并把他们暂时安置在由该部及与其合作的非政府组织管理的中心。该项目还为</w:t>
      </w:r>
      <w:r>
        <w:rPr>
          <w:rFonts w:hint="eastAsia"/>
          <w:color w:val="000000"/>
        </w:rPr>
        <w:t>1 800</w:t>
      </w:r>
      <w:r>
        <w:rPr>
          <w:rFonts w:hint="eastAsia"/>
          <w:color w:val="000000"/>
        </w:rPr>
        <w:t>名儿童提供了教育援助。</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国家青年委员会组织了名为“青年之声”的组织，以与媒体从业人员达成一项协议，即</w:t>
      </w:r>
      <w:r>
        <w:rPr>
          <w:rFonts w:hint="eastAsia"/>
        </w:rPr>
        <w:t>创造一种反映青年观点和抱负并支持青年谋求幸福的更为敏感的媒体环境。青年之声联络了</w:t>
      </w:r>
      <w:r>
        <w:rPr>
          <w:rFonts w:hint="eastAsia"/>
        </w:rPr>
        <w:t>100</w:t>
      </w:r>
      <w:r>
        <w:rPr>
          <w:rFonts w:hint="eastAsia"/>
        </w:rPr>
        <w:t>多名学生和青年领袖及媒体从业人员。国家青年委员会还建立了</w:t>
      </w:r>
      <w:r>
        <w:t>Bantay Cinema</w:t>
      </w:r>
      <w:r>
        <w:rPr>
          <w:rFonts w:hint="eastAsia"/>
        </w:rPr>
        <w:t>青年网，作为监测各地情况的工作组。</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学术界、政府及私人部门的媒体从业人员的联网和倡议，使得媒体开始对国家的发展需要、妇女问题和关注更加敏感。他们致力于提高公众对妇女问题的意识和了解，使大家认识到，可以把人民动员起来采取积极的行动纠正媒体中对妇女和女孩的定型观念和丑化。这方面的努力包括：</w:t>
      </w:r>
    </w:p>
    <w:p w:rsidR="00000000" w:rsidRDefault="00821B8F">
      <w:pPr>
        <w:numPr>
          <w:ilvl w:val="0"/>
          <w:numId w:val="1332"/>
        </w:numPr>
        <w:tabs>
          <w:tab w:val="clear" w:pos="285"/>
          <w:tab w:val="num" w:pos="1080"/>
          <w:tab w:val="left" w:pos="5400"/>
        </w:tabs>
        <w:spacing w:after="240" w:line="360" w:lineRule="exact"/>
        <w:ind w:left="1080" w:hanging="480"/>
        <w:rPr>
          <w:rFonts w:hint="eastAsia"/>
          <w:color w:val="000000"/>
        </w:rPr>
      </w:pPr>
      <w:r>
        <w:rPr>
          <w:rFonts w:hint="eastAsia"/>
          <w:color w:val="000000"/>
        </w:rPr>
        <w:t>为改善媒体对妇女问题的报道，与政府、私人媒体和非政府组</w:t>
      </w:r>
      <w:r>
        <w:rPr>
          <w:rFonts w:hint="eastAsia"/>
          <w:color w:val="000000"/>
        </w:rPr>
        <w:t>织的女性媒体从业人员开展对话和举办论坛，这方面的工作是由妇女委员会发起的；</w:t>
      </w:r>
    </w:p>
    <w:p w:rsidR="00000000" w:rsidRDefault="00821B8F">
      <w:pPr>
        <w:numPr>
          <w:ilvl w:val="0"/>
          <w:numId w:val="1332"/>
        </w:numPr>
        <w:tabs>
          <w:tab w:val="clear" w:pos="285"/>
          <w:tab w:val="num" w:pos="1080"/>
          <w:tab w:val="left" w:pos="5400"/>
        </w:tabs>
        <w:spacing w:after="240" w:line="360" w:lineRule="exact"/>
        <w:ind w:left="1080" w:hanging="480"/>
        <w:rPr>
          <w:rFonts w:hint="eastAsia"/>
        </w:rPr>
      </w:pPr>
      <w:r>
        <w:rPr>
          <w:rFonts w:hint="eastAsia"/>
        </w:rPr>
        <w:t>为媒体从业人员和媒体组织及协会（广播员协会、广告委员会和电视网）的成员举办对性别问题有敏感认识的情况介绍会和研讨会，以促进塑造公平和非陈规定型的妇女形象；</w:t>
      </w:r>
    </w:p>
    <w:p w:rsidR="00000000" w:rsidRDefault="00821B8F">
      <w:pPr>
        <w:numPr>
          <w:ilvl w:val="0"/>
          <w:numId w:val="1332"/>
        </w:numPr>
        <w:tabs>
          <w:tab w:val="clear" w:pos="285"/>
          <w:tab w:val="num" w:pos="1080"/>
          <w:tab w:val="left" w:pos="5400"/>
        </w:tabs>
        <w:spacing w:after="240" w:line="360" w:lineRule="exact"/>
        <w:ind w:left="1080" w:hanging="480"/>
        <w:rPr>
          <w:rFonts w:hint="eastAsia"/>
        </w:rPr>
      </w:pPr>
      <w:r>
        <w:rPr>
          <w:rFonts w:hint="eastAsia"/>
        </w:rPr>
        <w:t>由菲律宾宣传局制作和发行关于妇女的各种关注的宣传教育运动材料，包括促进媒体塑造公平和非陈规定型的妇女形象的妇女权利简介模块。自</w:t>
      </w:r>
      <w:r>
        <w:rPr>
          <w:rFonts w:hint="eastAsia"/>
        </w:rPr>
        <w:t>1995</w:t>
      </w:r>
      <w:r>
        <w:rPr>
          <w:rFonts w:hint="eastAsia"/>
        </w:rPr>
        <w:t>年起，菲律宾宣传局一直在制作宣传其具体关注的</w:t>
      </w:r>
      <w:r>
        <w:rPr>
          <w:rFonts w:hint="eastAsia"/>
        </w:rPr>
        <w:t>30</w:t>
      </w:r>
      <w:r>
        <w:rPr>
          <w:rFonts w:hint="eastAsia"/>
        </w:rPr>
        <w:t>秒公益广告。这些广告在全国六家大电视网和有线电视频道上播放。宣传局还在其所有培训方案中加入了关于妇</w:t>
      </w:r>
      <w:r>
        <w:rPr>
          <w:rFonts w:hint="eastAsia"/>
        </w:rPr>
        <w:t>女权利的简介模块；以及</w:t>
      </w:r>
    </w:p>
    <w:p w:rsidR="00000000" w:rsidRDefault="00821B8F">
      <w:pPr>
        <w:numPr>
          <w:ilvl w:val="0"/>
          <w:numId w:val="1332"/>
        </w:numPr>
        <w:tabs>
          <w:tab w:val="clear" w:pos="285"/>
          <w:tab w:val="num" w:pos="1080"/>
          <w:tab w:val="left" w:pos="5400"/>
        </w:tabs>
        <w:spacing w:after="240" w:line="360" w:lineRule="exact"/>
        <w:ind w:left="1080" w:hanging="480"/>
        <w:rPr>
          <w:rFonts w:hint="eastAsia"/>
        </w:rPr>
      </w:pPr>
      <w:r>
        <w:rPr>
          <w:rFonts w:hint="eastAsia"/>
        </w:rPr>
        <w:t>目前菲律宾正在起草关于妇女儿童问题的媒体报道准则，积极参加此项工作的有菲律宾广播员协会、印刷媒体和广告委员会。大幅面印刷品、电视节目和广告中体现了女性媒体从业人员和女记者在继续认真地制作对性别问题有敏感认识的材料。</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在确保对儿童的养育和发展分担责任方面，社会福利部实施了一项名为</w:t>
      </w:r>
      <w:r>
        <w:rPr>
          <w:rFonts w:hint="eastAsia"/>
        </w:rPr>
        <w:t>ERPAT</w:t>
      </w:r>
      <w:r>
        <w:rPr>
          <w:rFonts w:hint="eastAsia"/>
        </w:rPr>
        <w:t>或“家长责任的赋权和肯定”（这个词在菲律宾语口语中是指“父亲”），其目的是培养父亲养育和照看子女的技能。这项计划属于全国父亲培训计划的一部分，接受培训的父亲还要担任社区里其他父亲的培训员，该计划总共</w:t>
      </w:r>
      <w:r>
        <w:rPr>
          <w:rFonts w:hint="eastAsia"/>
        </w:rPr>
        <w:t>培训了</w:t>
      </w:r>
      <w:r>
        <w:rPr>
          <w:rFonts w:hint="eastAsia"/>
        </w:rPr>
        <w:t>186</w:t>
      </w:r>
      <w:r>
        <w:rPr>
          <w:rFonts w:hint="eastAsia"/>
        </w:rPr>
        <w:t>位父亲培训员。非政府组织也在其他领域参与了这一类方案。</w:t>
      </w:r>
    </w:p>
    <w:p w:rsidR="00000000" w:rsidRDefault="00821B8F">
      <w:pPr>
        <w:pStyle w:val="50"/>
        <w:tabs>
          <w:tab w:val="left" w:pos="5400"/>
        </w:tabs>
        <w:adjustRightInd w:val="0"/>
        <w:spacing w:beforeLines="0" w:before="0" w:afterLines="0" w:after="240" w:line="360" w:lineRule="exact"/>
        <w:textAlignment w:val="baseline"/>
        <w:rPr>
          <w:rFonts w:eastAsia="KaiTi_GB2312" w:hint="eastAsia"/>
          <w:iCs/>
          <w:color w:val="0000FF"/>
          <w:kern w:val="0"/>
          <w:szCs w:val="20"/>
        </w:rPr>
      </w:pPr>
      <w:r>
        <w:rPr>
          <w:rFonts w:eastAsia="KaiTi_GB2312" w:hint="eastAsia"/>
          <w:iCs/>
          <w:color w:val="0000FF"/>
          <w:kern w:val="0"/>
          <w:szCs w:val="20"/>
        </w:rPr>
        <w:t>非政府组织和私人部门所做的努力</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妇女非政府组织和替代的传媒团体一直在合作加强其在传媒界中的宣传工作。她们做出的努力有：建立了一个由妇女个人和妇女团体组成的网络组织“</w:t>
      </w:r>
      <w:r>
        <w:rPr>
          <w:color w:val="000000"/>
        </w:rPr>
        <w:t>传媒</w:t>
      </w:r>
      <w:r>
        <w:rPr>
          <w:rFonts w:hint="eastAsia"/>
          <w:color w:val="000000"/>
        </w:rPr>
        <w:t>观察</w:t>
      </w:r>
      <w:r>
        <w:rPr>
          <w:color w:val="000000"/>
        </w:rPr>
        <w:t>组</w:t>
      </w:r>
      <w:r>
        <w:rPr>
          <w:rFonts w:hint="eastAsia"/>
          <w:color w:val="000000"/>
        </w:rPr>
        <w:t>织</w:t>
      </w:r>
      <w:r>
        <w:rPr>
          <w:rFonts w:hint="eastAsia"/>
        </w:rPr>
        <w:t>”，该组织制作幻灯片和录像片，对妇女在媒体中的形象进行评价，同时宣传员撰写致编辑部的信件以及评论文章或专栏文章，这引起了人们对媒体对妇女的负面报道和刻画的注意。还建立了一个反对对妇女施暴的非政府组织“卡拉扬”，该组织还演出了音乐喜剧，宣传女权主义的观点和价值观。</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传媒妇女继续努力重点报道妇女新闻和问题、与妇女组织、面向媒体的非政府组织以及类似团体建立联系。特别是，菲律宾调查性新闻中心（</w:t>
      </w:r>
      <w:r>
        <w:rPr>
          <w:rFonts w:hint="eastAsia"/>
        </w:rPr>
        <w:t>2003</w:t>
      </w:r>
      <w:r>
        <w:rPr>
          <w:rFonts w:hint="eastAsia"/>
        </w:rPr>
        <w:t>年其执行主任被授予</w:t>
      </w:r>
      <w:r>
        <w:rPr>
          <w:color w:val="000000"/>
        </w:rPr>
        <w:t>瑞蒙</w:t>
      </w:r>
      <w:r>
        <w:rPr>
          <w:rFonts w:hint="eastAsia"/>
          <w:color w:val="000000"/>
        </w:rPr>
        <w:t>·</w:t>
      </w:r>
      <w:r>
        <w:rPr>
          <w:color w:val="000000"/>
        </w:rPr>
        <w:t>马格赛赛</w:t>
      </w:r>
      <w:r>
        <w:rPr>
          <w:rFonts w:hint="eastAsia"/>
        </w:rPr>
        <w:t>新闻奖）继续努力让大众传媒报道当前的国家状况。其中的一项计划是创造一种对妇女健康、性别、人口和发展问题有敏感认识的舆论环境。菲律宾调查性新闻中心还培训女性媒体从业人员，使她们在报道新闻时对性别问题更具敏感认识。现在也对报纸和杂志内容进行分析，以鼓励决策者制定适当的措施改善媒体对妇女问题的报道。</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妇女团体和其他非政府组织正在制作替代的传媒节目并执</w:t>
      </w:r>
      <w:r>
        <w:rPr>
          <w:rFonts w:hint="eastAsia"/>
        </w:rPr>
        <w:t>行其他妇女与媒体项目。这些项目有：（</w:t>
      </w:r>
      <w:r>
        <w:t>a</w:t>
      </w:r>
      <w:r>
        <w:rPr>
          <w:rFonts w:hint="eastAsia"/>
        </w:rPr>
        <w:t>）由菲律宾教育剧场协会制作的关于基层妇女的问题和体验的</w:t>
      </w:r>
      <w:r>
        <w:rPr>
          <w:rFonts w:hint="eastAsia"/>
        </w:rPr>
        <w:t>24</w:t>
      </w:r>
      <w:r>
        <w:rPr>
          <w:rFonts w:hint="eastAsia"/>
        </w:rPr>
        <w:t>集电视连续剧，其中有六集涉及性别问题和关注；（</w:t>
      </w:r>
      <w:r>
        <w:t>b</w:t>
      </w:r>
      <w:r>
        <w:rPr>
          <w:rFonts w:hint="eastAsia"/>
        </w:rPr>
        <w:t>）妇女媒体圈发起的赋予青年妇女和女孩权力的三维媒体运动，其中包括一个关于保健和赋权问题（如暴力和少女怀孕）的音乐与采访广播节目，作为对一家知名杂志和印刷同一主题的出版物的一种补充；以及（</w:t>
      </w:r>
      <w:r>
        <w:t>c</w:t>
      </w:r>
      <w:r>
        <w:rPr>
          <w:rFonts w:hint="eastAsia"/>
        </w:rPr>
        <w:t>）菲律宾妇女报道服务组织就妇女、宗教和生殖保健开展的多媒体讨论。此次讨论是一家专门从妇女角度报道发展问题的国际通讯社的活动的组成部分，目的是把妇女问题纳入主流媒体中。</w:t>
      </w:r>
      <w:r>
        <w:rPr>
          <w:rFonts w:hint="eastAsia"/>
        </w:rPr>
        <w:t>2000-20</w:t>
      </w:r>
      <w:r>
        <w:rPr>
          <w:rFonts w:hint="eastAsia"/>
        </w:rPr>
        <w:t>02</w:t>
      </w:r>
      <w:r>
        <w:rPr>
          <w:rFonts w:hint="eastAsia"/>
        </w:rPr>
        <w:t>年间，妇女报道服务组织举办了一个名为“灵与肉”的论坛，在吕宋、比萨扬群岛和棉兰老播送了广播和电视访谈节目以及互联网论坛。参加论坛有穆斯林、基督教和天主教教徒以及卫生工作人员、非政府组织、媒体、政府和学术界的代表，该论坛讨论了同性恋、堕胎、青春期性行为、计划生育、避孕套与艾滋病、生殖技术、媒体与宗教以及离婚与家庭暴力等有争议的问题。</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自</w:t>
      </w:r>
      <w:r>
        <w:rPr>
          <w:rFonts w:hint="eastAsia"/>
        </w:rPr>
        <w:t>1995</w:t>
      </w:r>
      <w:r>
        <w:rPr>
          <w:rFonts w:hint="eastAsia"/>
        </w:rPr>
        <w:t>年起，妇女媒体圈就在电视（</w:t>
      </w:r>
      <w:r>
        <w:rPr>
          <w:rFonts w:hint="eastAsia"/>
        </w:rPr>
        <w:t>XYZ</w:t>
      </w:r>
      <w:r>
        <w:rPr>
          <w:rFonts w:hint="eastAsia"/>
        </w:rPr>
        <w:t>）、广播（</w:t>
      </w:r>
      <w:r>
        <w:rPr>
          <w:rFonts w:hint="eastAsia"/>
        </w:rPr>
        <w:t>XYZ</w:t>
      </w:r>
      <w:r>
        <w:t>one</w:t>
      </w:r>
      <w:r>
        <w:rPr>
          <w:rFonts w:hint="eastAsia"/>
        </w:rPr>
        <w:t>）和杂志</w:t>
      </w:r>
      <w:r>
        <w:t>(XYZine)</w:t>
      </w:r>
      <w:r>
        <w:rPr>
          <w:rFonts w:hint="eastAsia"/>
        </w:rPr>
        <w:t>上制作了讨论妇女问题和性别与发展的节目（例如针对少女和妇女的“肢体语言”和生殖保健节</w:t>
      </w:r>
      <w:r>
        <w:rPr>
          <w:rFonts w:hint="eastAsia"/>
        </w:rPr>
        <w:t>目）。非政府组织菲律宾教育剧团在国内许多地方演出了关于妇女问题的两本戏，在演出中，他们鼓励男女观众提出问题并讲述自己在生活、家庭、就业场所、性骚扰案件、工作歧视、角色定型以及其他性别问题等方面的经历。</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传媒界的女宣传员和几家广告公司（例如麦肯广告公司和</w:t>
      </w:r>
      <w:r>
        <w:t>J&amp;J</w:t>
      </w:r>
      <w:r>
        <w:rPr>
          <w:rFonts w:hint="eastAsia"/>
        </w:rPr>
        <w:t>公司）已经开始用更加正面的方式来刻画妇女。例如，有一个洗衣皂广告指出，妇女能起的作用不仅仅是家庭主妇。这个产品还为有意创办小型企业的妇女提供资金。妇女月期间播放的公益广告中强调妇女在社会中的重要作用。与此同时，电视节目（例如“满足需要”）中有几部分报道</w:t>
      </w:r>
      <w:r>
        <w:rPr>
          <w:rFonts w:hint="eastAsia"/>
        </w:rPr>
        <w:t>了对妇女的暴力、婚姻失效、非正规部门和家事法律等内容。</w:t>
      </w:r>
    </w:p>
    <w:p w:rsidR="00000000" w:rsidRDefault="00821B8F">
      <w:pPr>
        <w:pStyle w:val="Heading4"/>
        <w:numPr>
          <w:ilvl w:val="0"/>
          <w:numId w:val="0"/>
        </w:numPr>
        <w:rPr>
          <w:rFonts w:hint="eastAsia"/>
          <w:color w:val="FF0000"/>
          <w:u w:val="none"/>
        </w:rPr>
      </w:pPr>
      <w:r>
        <w:rPr>
          <w:rFonts w:hint="eastAsia"/>
          <w:color w:val="FF0000"/>
          <w:u w:val="none"/>
        </w:rPr>
        <w:t>C</w:t>
      </w:r>
      <w:r>
        <w:rPr>
          <w:rFonts w:hint="eastAsia"/>
          <w:color w:val="FF0000"/>
          <w:u w:val="none"/>
        </w:rPr>
        <w:t>．未解决的问题和挑战</w:t>
      </w:r>
      <w:r>
        <w:rPr>
          <w:rFonts w:hint="eastAsia"/>
          <w:color w:val="FF0000"/>
          <w:u w:val="none"/>
        </w:rPr>
        <w:t xml:space="preserve"> </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尽管已经有了上述倡议和结果，但还有许多工作要做。在消除男女定型角色方面，政府必须确保从性别敏感角度审查教科书、教学材料和学校课程，继续推进教育系统的性别改革。对性别问题有敏感认识的观念（例如分担养儿育女的责任、生殖权利以及以非暴力方式解决冲突）应该纳入教科书、教学材料和课程中。与此同时，教师和学校的各级管理人员需要接受更多的培训，以便对教育采取促进两性平等的态度，从而在改变社会文化模式使之善待妇女和女童的过程中充当“改变代理</w:t>
      </w:r>
      <w:r>
        <w:rPr>
          <w:rFonts w:hint="eastAsia"/>
        </w:rPr>
        <w:t>人”。</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政府还有必要提出更多的方案，确保和促进在儿童养育和发展方面分担责任以及在各组织内执行对家庭更为友善的政策和措施。</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媒体有能力影响人们看待世界的态度，因此，媒体必须促进树立非陈规定型的男女公平角色。这种观点将促进妇女获得更多的参与机会、允许妇女自由地行使其言论和表达自由权利、获得新的通信技术、或成为坐在新闻播报室或制作室的重要决策人。</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由于缺少一个牵头的政府机构或部门负责对妇女与媒体进行决策和监测，政府解决媒体中的性别问题的能力受到负面的影响。但是，即使还没有这种机构，也应该在媒体从业人员中建立</w:t>
      </w:r>
      <w:r>
        <w:rPr>
          <w:rFonts w:hint="eastAsia"/>
        </w:rPr>
        <w:t>一种积极的媒体环境。这就需要把女性媒体从业人员重新定位并引导到她们在突出报道妇女问题与其他人类问题方面扮演重要角色，同时还要建立数据库以确定三维媒体广告将妇女刻画为性别歧视、有辱人格和定型角色达到了何种程度。</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由于缺少有效立法来惩治在色情制品里描写贩卖人口的做法，缺少一个政府机构负责打击色情印刷品，消除色情制品的运动受到了阻碍（永远把妇女只当作物品）。与此同时，内政和地方政府部正在与非政府组织合作开展一场反色情运动。但是，要解决色情制品问题需要采取一种综合办法，包括通过一项取缔色情制品法。色情制品常常被看</w:t>
      </w:r>
      <w:r>
        <w:rPr>
          <w:rFonts w:hint="eastAsia"/>
        </w:rPr>
        <w:t>作是没有生活手段的人的一种逃避方式，因此，这个问题与贫穷有关。在激烈的竞争刺激下，印刷媒体、小报、特别是电影院竞相利用淫秽语言和色情镜头制造销售优势，永远把妇女和女孩描写成强奸受害者，把她们的身体当成商品。</w:t>
      </w:r>
    </w:p>
    <w:p w:rsidR="00000000" w:rsidRDefault="00821B8F">
      <w:pPr>
        <w:pStyle w:val="TOC1"/>
        <w:tabs>
          <w:tab w:val="left" w:pos="5400"/>
        </w:tabs>
        <w:spacing w:before="120"/>
        <w:rPr>
          <w:rFonts w:hint="eastAsia"/>
          <w:bCs w:val="0"/>
        </w:rPr>
      </w:pPr>
      <w:r>
        <w:rPr>
          <w:rFonts w:hint="eastAsia"/>
          <w:bCs w:val="0"/>
        </w:rPr>
        <w:t>第六条</w:t>
      </w:r>
    </w:p>
    <w:p w:rsidR="00000000" w:rsidRDefault="00821B8F">
      <w:pPr>
        <w:tabs>
          <w:tab w:val="left" w:pos="5400"/>
        </w:tabs>
        <w:spacing w:after="240" w:line="360" w:lineRule="exact"/>
        <w:jc w:val="center"/>
        <w:rPr>
          <w:rFonts w:eastAsia="SimHei" w:hint="eastAsia"/>
          <w:color w:val="FF0000"/>
        </w:rPr>
      </w:pPr>
      <w:r>
        <w:rPr>
          <w:rFonts w:eastAsia="SimHei" w:hint="eastAsia"/>
          <w:color w:val="FF0000"/>
        </w:rPr>
        <w:t>对妇女的剥削</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禁止贩卖妇女和强迫卖淫以图剥削</w:t>
      </w:r>
    </w:p>
    <w:p w:rsidR="00000000" w:rsidRDefault="00821B8F">
      <w:pPr>
        <w:pStyle w:val="Heading4"/>
        <w:numPr>
          <w:ilvl w:val="0"/>
          <w:numId w:val="0"/>
        </w:numPr>
        <w:rPr>
          <w:rFonts w:hint="eastAsia"/>
          <w:color w:val="FF0000"/>
          <w:u w:val="none"/>
        </w:rPr>
      </w:pPr>
      <w:r>
        <w:rPr>
          <w:rFonts w:hint="eastAsia"/>
          <w:color w:val="FF0000"/>
          <w:u w:val="none"/>
        </w:rPr>
        <w:t>A</w:t>
      </w:r>
      <w:r>
        <w:rPr>
          <w:rFonts w:hint="eastAsia"/>
          <w:color w:val="FF0000"/>
          <w:u w:val="none"/>
        </w:rPr>
        <w:t>．妇女的状况</w:t>
      </w:r>
    </w:p>
    <w:p w:rsidR="00000000" w:rsidRDefault="00821B8F">
      <w:pPr>
        <w:tabs>
          <w:tab w:val="left" w:pos="5400"/>
        </w:tabs>
        <w:spacing w:after="240" w:line="360" w:lineRule="exact"/>
        <w:rPr>
          <w:rFonts w:eastAsia="KaiTi_GB2312" w:hint="eastAsia"/>
          <w:color w:val="0000FF"/>
        </w:rPr>
      </w:pPr>
      <w:r>
        <w:rPr>
          <w:rFonts w:eastAsia="KaiTi_GB2312" w:hint="eastAsia"/>
          <w:b/>
          <w:color w:val="0000FF"/>
        </w:rPr>
        <w:t>贩卖妇女儿童</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一些妇女出国当女招待、给外国人做未婚妻、色情业者、游客或无证工人，但最终沦为有组织犯罪团伙的受害者。她们由于没有证件或身份非法而得不到法律的保护。</w:t>
      </w:r>
      <w:r>
        <w:rPr>
          <w:rFonts w:hint="eastAsia"/>
        </w:rPr>
        <w:t>1992</w:t>
      </w:r>
      <w:r>
        <w:rPr>
          <w:rFonts w:hint="eastAsia"/>
        </w:rPr>
        <w:t>年至</w:t>
      </w:r>
      <w:r>
        <w:rPr>
          <w:rFonts w:hint="eastAsia"/>
        </w:rPr>
        <w:t>2002</w:t>
      </w:r>
      <w:r>
        <w:rPr>
          <w:rFonts w:hint="eastAsia"/>
        </w:rPr>
        <w:t>年</w:t>
      </w:r>
      <w:r>
        <w:rPr>
          <w:rFonts w:hint="eastAsia"/>
        </w:rPr>
        <w:t>12</w:t>
      </w:r>
      <w:r>
        <w:rPr>
          <w:rFonts w:hint="eastAsia"/>
        </w:rPr>
        <w:t>月，菲律宾对外服务处总共记载了</w:t>
      </w:r>
      <w:r>
        <w:rPr>
          <w:rFonts w:hint="eastAsia"/>
        </w:rPr>
        <w:t>1 084</w:t>
      </w:r>
      <w:r>
        <w:rPr>
          <w:rFonts w:hint="eastAsia"/>
        </w:rPr>
        <w:t>起贩卖</w:t>
      </w:r>
      <w:r>
        <w:rPr>
          <w:rFonts w:hint="eastAsia"/>
        </w:rPr>
        <w:t>人口案件。报告的数据比没有报告的实际受害者低得多，其原因可能是因为缺少对菲律宾移民流动情况进行系统监测的机制。妇女占受害者的</w:t>
      </w:r>
      <w:r>
        <w:rPr>
          <w:rFonts w:hint="eastAsia"/>
        </w:rPr>
        <w:t>66%</w:t>
      </w:r>
      <w:r>
        <w:rPr>
          <w:rFonts w:hint="eastAsia"/>
        </w:rPr>
        <w:t>，其中有</w:t>
      </w:r>
      <w:r>
        <w:rPr>
          <w:rFonts w:hint="eastAsia"/>
        </w:rPr>
        <w:t>18%</w:t>
      </w:r>
      <w:r>
        <w:rPr>
          <w:rFonts w:hint="eastAsia"/>
        </w:rPr>
        <w:t>曾经被迫卖淫。受害人中有</w:t>
      </w:r>
      <w:r>
        <w:rPr>
          <w:rFonts w:hint="eastAsia"/>
        </w:rPr>
        <w:t>31%</w:t>
      </w:r>
      <w:r>
        <w:rPr>
          <w:rFonts w:hint="eastAsia"/>
        </w:rPr>
        <w:t>由政府遣送回国。</w:t>
      </w:r>
    </w:p>
    <w:p w:rsidR="00000000" w:rsidRDefault="00821B8F">
      <w:pPr>
        <w:numPr>
          <w:ilvl w:val="0"/>
          <w:numId w:val="1236"/>
        </w:numPr>
        <w:spacing w:after="240" w:line="360" w:lineRule="exact"/>
        <w:ind w:left="540" w:hanging="540"/>
        <w:rPr>
          <w:rFonts w:hint="eastAsia"/>
        </w:rPr>
      </w:pPr>
      <w:r>
        <w:rPr>
          <w:rFonts w:hint="eastAsia"/>
        </w:rPr>
        <w:t xml:space="preserve"> 2000</w:t>
      </w:r>
      <w:r>
        <w:rPr>
          <w:rFonts w:hint="eastAsia"/>
        </w:rPr>
        <w:t>年，菲律宾跨国犯罪问题中心总共记载了</w:t>
      </w:r>
      <w:r>
        <w:rPr>
          <w:rFonts w:hint="eastAsia"/>
        </w:rPr>
        <w:t>153</w:t>
      </w:r>
      <w:r>
        <w:rPr>
          <w:rFonts w:hint="eastAsia"/>
        </w:rPr>
        <w:t>起非法招聘、非法移民和贩卖人口案件。海外菲律宾人委员会建议将九名以笔友会或招工名义介绍菲律宾妇女与外国人结婚的外国人列入黑名单。</w:t>
      </w:r>
    </w:p>
    <w:p w:rsidR="00000000" w:rsidRDefault="00821B8F">
      <w:pPr>
        <w:tabs>
          <w:tab w:val="left" w:pos="5400"/>
        </w:tabs>
        <w:spacing w:after="240" w:line="360" w:lineRule="exact"/>
        <w:rPr>
          <w:rFonts w:eastAsia="KaiTi_GB2312" w:hint="eastAsia"/>
          <w:b/>
          <w:color w:val="0000FF"/>
        </w:rPr>
      </w:pPr>
    </w:p>
    <w:p w:rsidR="00000000" w:rsidRDefault="00821B8F">
      <w:pPr>
        <w:tabs>
          <w:tab w:val="left" w:pos="5400"/>
        </w:tabs>
        <w:spacing w:after="240" w:line="360" w:lineRule="exact"/>
        <w:rPr>
          <w:rFonts w:eastAsia="KaiTi_GB2312" w:hint="eastAsia"/>
          <w:b/>
          <w:color w:val="0000FF"/>
        </w:rPr>
      </w:pPr>
      <w:r>
        <w:rPr>
          <w:rFonts w:eastAsia="KaiTi_GB2312" w:hint="eastAsia"/>
          <w:b/>
          <w:color w:val="0000FF"/>
        </w:rPr>
        <w:t>卖淫</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由于贫穷和缺乏替代的收入来源，妇女继续被迫卖淫，继续遭受淫窝经营者和皮条客的剥削。在侵犯卖淫妇女权利的人中，嫖客和警官也有一份。</w:t>
      </w:r>
      <w:r>
        <w:rPr>
          <w:rFonts w:hint="eastAsia"/>
        </w:rPr>
        <w:t>旅游和娱乐业中无道德原则的经营者也利用法律中的漏洞继续对卖淫者进行剥削。由于卖淫行为被视为非法而且作恶者都在暗中进行交易，因此，卖淫妇女与儿童的总数无法确定，但估计数字令人震惊。</w:t>
      </w:r>
    </w:p>
    <w:p w:rsidR="00000000" w:rsidRDefault="00821B8F">
      <w:pPr>
        <w:tabs>
          <w:tab w:val="left" w:pos="5400"/>
        </w:tabs>
        <w:spacing w:after="240" w:line="360" w:lineRule="exact"/>
        <w:rPr>
          <w:rFonts w:eastAsia="KaiTi_GB2312" w:hint="eastAsia"/>
          <w:b/>
          <w:color w:val="0000FF"/>
        </w:rPr>
      </w:pPr>
      <w:r>
        <w:rPr>
          <w:rFonts w:eastAsia="KaiTi_GB2312" w:hint="eastAsia"/>
          <w:b/>
          <w:color w:val="0000FF"/>
        </w:rPr>
        <w:t>对妇女的暴力</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对妇女的暴力现象一直存在，</w:t>
      </w:r>
      <w:r>
        <w:rPr>
          <w:rFonts w:hint="eastAsia"/>
        </w:rPr>
        <w:t>2000-2002</w:t>
      </w:r>
      <w:r>
        <w:rPr>
          <w:rFonts w:hint="eastAsia"/>
        </w:rPr>
        <w:t>年间报案数量有所上升，但在</w:t>
      </w:r>
      <w:r>
        <w:rPr>
          <w:rFonts w:hint="eastAsia"/>
        </w:rPr>
        <w:t>2003</w:t>
      </w:r>
      <w:r>
        <w:rPr>
          <w:rFonts w:hint="eastAsia"/>
        </w:rPr>
        <w:t>年又下降到</w:t>
      </w:r>
      <w:r>
        <w:rPr>
          <w:rFonts w:hint="eastAsia"/>
        </w:rPr>
        <w:t>7 805</w:t>
      </w:r>
      <w:r>
        <w:rPr>
          <w:rFonts w:hint="eastAsia"/>
        </w:rPr>
        <w:t>起。</w:t>
      </w:r>
      <w:r>
        <w:rPr>
          <w:rFonts w:hint="eastAsia"/>
        </w:rPr>
        <w:t>2003</w:t>
      </w:r>
      <w:r>
        <w:rPr>
          <w:rFonts w:hint="eastAsia"/>
        </w:rPr>
        <w:t>年对妇女的暴力案件比</w:t>
      </w:r>
      <w:r>
        <w:rPr>
          <w:rFonts w:hint="eastAsia"/>
        </w:rPr>
        <w:t>2000</w:t>
      </w:r>
      <w:r>
        <w:rPr>
          <w:rFonts w:hint="eastAsia"/>
        </w:rPr>
        <w:t>年少</w:t>
      </w:r>
      <w:r>
        <w:rPr>
          <w:rFonts w:hint="eastAsia"/>
        </w:rPr>
        <w:t>6%</w:t>
      </w:r>
      <w:r>
        <w:rPr>
          <w:rFonts w:hint="eastAsia"/>
        </w:rPr>
        <w:t>，比</w:t>
      </w:r>
      <w:r>
        <w:rPr>
          <w:rFonts w:hint="eastAsia"/>
        </w:rPr>
        <w:t>2002</w:t>
      </w:r>
      <w:r>
        <w:rPr>
          <w:rFonts w:hint="eastAsia"/>
        </w:rPr>
        <w:t>年低</w:t>
      </w:r>
      <w:r>
        <w:rPr>
          <w:rFonts w:hint="eastAsia"/>
        </w:rPr>
        <w:t>13%</w:t>
      </w:r>
      <w:r>
        <w:rPr>
          <w:rFonts w:hint="eastAsia"/>
        </w:rPr>
        <w:t>。强奸案件或许是因为最令人憎恶，在报警的案件中占不到</w:t>
      </w:r>
      <w:r>
        <w:rPr>
          <w:rFonts w:hint="eastAsia"/>
        </w:rPr>
        <w:t>13%</w:t>
      </w:r>
      <w:r>
        <w:rPr>
          <w:rFonts w:hint="eastAsia"/>
        </w:rPr>
        <w:t>。报警案件中更常见的仍然是身体虐待和殴打妻子。</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与此同时，对儿童的暴力案件在</w:t>
      </w:r>
      <w:r>
        <w:rPr>
          <w:rFonts w:hint="eastAsia"/>
        </w:rPr>
        <w:t>2003</w:t>
      </w:r>
      <w:r>
        <w:rPr>
          <w:rFonts w:hint="eastAsia"/>
        </w:rPr>
        <w:t>年为</w:t>
      </w:r>
      <w:r>
        <w:rPr>
          <w:rFonts w:hint="eastAsia"/>
        </w:rPr>
        <w:t>7 303</w:t>
      </w:r>
      <w:r>
        <w:rPr>
          <w:rFonts w:hint="eastAsia"/>
        </w:rPr>
        <w:t>件，比</w:t>
      </w:r>
      <w:r>
        <w:rPr>
          <w:rFonts w:hint="eastAsia"/>
        </w:rPr>
        <w:t>2000</w:t>
      </w:r>
      <w:r>
        <w:rPr>
          <w:rFonts w:hint="eastAsia"/>
        </w:rPr>
        <w:t>年少</w:t>
      </w:r>
      <w:r>
        <w:rPr>
          <w:rFonts w:hint="eastAsia"/>
        </w:rPr>
        <w:t>15%</w:t>
      </w:r>
      <w:r>
        <w:rPr>
          <w:rFonts w:hint="eastAsia"/>
        </w:rPr>
        <w:t>，比</w:t>
      </w:r>
      <w:r>
        <w:rPr>
          <w:rFonts w:hint="eastAsia"/>
        </w:rPr>
        <w:t>2002</w:t>
      </w:r>
      <w:r>
        <w:rPr>
          <w:rFonts w:hint="eastAsia"/>
        </w:rPr>
        <w:t>年少</w:t>
      </w:r>
      <w:r>
        <w:rPr>
          <w:rFonts w:hint="eastAsia"/>
        </w:rPr>
        <w:t>8%</w:t>
      </w:r>
      <w:r>
        <w:rPr>
          <w:rFonts w:hint="eastAsia"/>
        </w:rPr>
        <w:t>。在这些案件中，有</w:t>
      </w:r>
      <w:r>
        <w:rPr>
          <w:rFonts w:hint="eastAsia"/>
        </w:rPr>
        <w:t>46%</w:t>
      </w:r>
      <w:r>
        <w:rPr>
          <w:rFonts w:hint="eastAsia"/>
        </w:rPr>
        <w:t>属于强奸，包括乱伦强奸（</w:t>
      </w:r>
      <w:r>
        <w:rPr>
          <w:rFonts w:hint="eastAsia"/>
        </w:rPr>
        <w:t>4%</w:t>
      </w:r>
      <w:r>
        <w:rPr>
          <w:rFonts w:hint="eastAsia"/>
        </w:rPr>
        <w:t>）；</w:t>
      </w:r>
      <w:r>
        <w:rPr>
          <w:rFonts w:hint="eastAsia"/>
        </w:rPr>
        <w:t>27%</w:t>
      </w:r>
      <w:r>
        <w:rPr>
          <w:rFonts w:hint="eastAsia"/>
        </w:rPr>
        <w:t>涉及身体虐待，</w:t>
      </w:r>
      <w:r>
        <w:rPr>
          <w:rFonts w:hint="eastAsia"/>
        </w:rPr>
        <w:t>15%</w:t>
      </w:r>
      <w:r>
        <w:rPr>
          <w:rFonts w:hint="eastAsia"/>
        </w:rPr>
        <w:t>属于猥亵行为。</w:t>
      </w:r>
      <w:r>
        <w:rPr>
          <w:rStyle w:val="FootnoteReference"/>
        </w:rPr>
        <w:footnoteReference w:id="14"/>
      </w:r>
      <w:r>
        <w:rPr>
          <w:rFonts w:hint="eastAsia"/>
        </w:rPr>
        <w:t>根据</w:t>
      </w:r>
      <w:r>
        <w:rPr>
          <w:rFonts w:hint="eastAsia"/>
        </w:rPr>
        <w:t>2002</w:t>
      </w:r>
      <w:r>
        <w:rPr>
          <w:rFonts w:hint="eastAsia"/>
        </w:rPr>
        <w:t>年的统计数字，六名受害儿童中有三名在</w:t>
      </w:r>
      <w:r>
        <w:rPr>
          <w:rFonts w:hint="eastAsia"/>
        </w:rPr>
        <w:t>12-17</w:t>
      </w:r>
      <w:r>
        <w:rPr>
          <w:rFonts w:hint="eastAsia"/>
        </w:rPr>
        <w:t>岁之间；有</w:t>
      </w:r>
      <w:r>
        <w:rPr>
          <w:rFonts w:hint="eastAsia"/>
        </w:rPr>
        <w:t>25%</w:t>
      </w:r>
      <w:r>
        <w:rPr>
          <w:rFonts w:hint="eastAsia"/>
        </w:rPr>
        <w:t>在</w:t>
      </w:r>
      <w:r>
        <w:rPr>
          <w:rFonts w:hint="eastAsia"/>
        </w:rPr>
        <w:t>6-11</w:t>
      </w:r>
      <w:r>
        <w:rPr>
          <w:rFonts w:hint="eastAsia"/>
        </w:rPr>
        <w:t>岁之间。与暴力受害妇女的情况类似，对儿童犯罪的作恶者中有半数与受害人没有亲属关系。事实上，他们中的许多人（</w:t>
      </w:r>
      <w:r>
        <w:rPr>
          <w:rFonts w:hint="eastAsia"/>
        </w:rPr>
        <w:t>31%</w:t>
      </w:r>
      <w:r>
        <w:rPr>
          <w:rFonts w:hint="eastAsia"/>
        </w:rPr>
        <w:t>）与受害儿童根本不认识。在对妇女的犯罪案件中，丈夫作恶的占</w:t>
      </w:r>
      <w:r>
        <w:rPr>
          <w:rFonts w:hint="eastAsia"/>
        </w:rPr>
        <w:t>28%</w:t>
      </w:r>
      <w:r>
        <w:rPr>
          <w:rFonts w:hint="eastAsia"/>
        </w:rPr>
        <w:t>，而在报警的对儿童暴力案件中，有</w:t>
      </w:r>
      <w:r>
        <w:rPr>
          <w:rFonts w:hint="eastAsia"/>
        </w:rPr>
        <w:t>13%</w:t>
      </w:r>
      <w:r>
        <w:rPr>
          <w:rFonts w:hint="eastAsia"/>
        </w:rPr>
        <w:t>的作恶人是受害儿童的男性近亲（国家统计协调委员会，</w:t>
      </w:r>
      <w:r>
        <w:rPr>
          <w:rFonts w:hint="eastAsia"/>
        </w:rPr>
        <w:t>2003</w:t>
      </w:r>
      <w:r>
        <w:rPr>
          <w:rFonts w:hint="eastAsia"/>
        </w:rPr>
        <w:t>年</w:t>
      </w:r>
      <w:r>
        <w:t>b</w:t>
      </w:r>
      <w:r>
        <w:rPr>
          <w:rFonts w:hint="eastAsia"/>
        </w:rPr>
        <w:t>）。</w:t>
      </w:r>
    </w:p>
    <w:p w:rsidR="00000000" w:rsidRDefault="00821B8F">
      <w:pPr>
        <w:tabs>
          <w:tab w:val="left" w:pos="5400"/>
        </w:tabs>
        <w:spacing w:after="240" w:line="360" w:lineRule="exact"/>
        <w:rPr>
          <w:rFonts w:eastAsia="KaiTi_GB2312"/>
          <w:b/>
          <w:color w:val="0000FF"/>
        </w:rPr>
      </w:pPr>
      <w:r>
        <w:rPr>
          <w:rFonts w:eastAsia="KaiTi_GB2312" w:hint="eastAsia"/>
          <w:b/>
          <w:color w:val="0000FF"/>
        </w:rPr>
        <w:t>武装冲突地区对妇女的暴力</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因武装冲突离开家园而暂住疏散中心的平民，由于生活条件差、营养不良和疾病而倍受苦难。疏散中心里人满为患、缺少食品、卫生条件差以及没有医疗设施和供应品，造成难民中腹泻、痢疾和呼吸道疾病等常见病的发病率上升并导致死亡。据社会福利部介绍，两岁以下儿童在疏散中心报告的因病死亡者中占大多数（</w:t>
      </w:r>
      <w:hyperlink r:id="rId14" w:history="1">
        <w:r>
          <w:rPr>
            <w:rStyle w:val="Hyperlink"/>
          </w:rPr>
          <w:t>www.ing7.net</w:t>
        </w:r>
      </w:hyperlink>
      <w:r>
        <w:rPr>
          <w:rFonts w:hint="eastAsia"/>
        </w:rPr>
        <w:t>）。</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下面是关于棉兰老地区战斗员犯下的侵犯平民（包括男人、妇女与儿童）人权行径的部分报道：</w:t>
      </w:r>
    </w:p>
    <w:p w:rsidR="00000000" w:rsidRDefault="00821B8F">
      <w:pPr>
        <w:numPr>
          <w:ilvl w:val="0"/>
          <w:numId w:val="1333"/>
        </w:numPr>
        <w:tabs>
          <w:tab w:val="clear" w:pos="360"/>
          <w:tab w:val="num" w:pos="1080"/>
        </w:tabs>
        <w:spacing w:after="240" w:line="360" w:lineRule="exact"/>
        <w:ind w:left="1080" w:hanging="480"/>
        <w:rPr>
          <w:rFonts w:hint="eastAsia"/>
          <w:color w:val="000000"/>
        </w:rPr>
      </w:pPr>
      <w:r>
        <w:rPr>
          <w:color w:val="000000"/>
        </w:rPr>
        <w:t>1998</w:t>
      </w:r>
      <w:r>
        <w:rPr>
          <w:rFonts w:hint="eastAsia"/>
          <w:color w:val="000000"/>
        </w:rPr>
        <w:t>年</w:t>
      </w:r>
      <w:r>
        <w:rPr>
          <w:rFonts w:hint="eastAsia"/>
          <w:color w:val="000000"/>
        </w:rPr>
        <w:t>，菲律宾北京会议记分委员会报告，有三名妇女在军事拘押期间被强奸，四个部落的</w:t>
      </w:r>
      <w:r>
        <w:rPr>
          <w:rFonts w:hint="eastAsia"/>
          <w:color w:val="000000"/>
        </w:rPr>
        <w:t>717</w:t>
      </w:r>
      <w:r>
        <w:rPr>
          <w:rFonts w:hint="eastAsia"/>
          <w:color w:val="000000"/>
        </w:rPr>
        <w:t>个家庭被迫离开他们世代居住的地盘，南阿古桑省的马诺博部落有</w:t>
      </w:r>
      <w:r>
        <w:rPr>
          <w:rFonts w:hint="eastAsia"/>
          <w:color w:val="000000"/>
        </w:rPr>
        <w:t>90</w:t>
      </w:r>
      <w:r>
        <w:rPr>
          <w:rFonts w:hint="eastAsia"/>
          <w:color w:val="000000"/>
        </w:rPr>
        <w:t>个家庭不得不为伐木作业放弃地方，八名马诺博人（其中有两名妇女和三名儿童）遭到菲律宾军方的屠杀。</w:t>
      </w:r>
    </w:p>
    <w:p w:rsidR="00000000" w:rsidRDefault="00821B8F">
      <w:pPr>
        <w:numPr>
          <w:ilvl w:val="0"/>
          <w:numId w:val="1333"/>
        </w:numPr>
        <w:tabs>
          <w:tab w:val="clear" w:pos="360"/>
          <w:tab w:val="num" w:pos="1080"/>
        </w:tabs>
        <w:spacing w:after="240" w:line="360" w:lineRule="exact"/>
        <w:ind w:left="1080" w:hanging="480"/>
        <w:rPr>
          <w:rFonts w:hint="eastAsia"/>
        </w:rPr>
      </w:pPr>
      <w:r>
        <w:rPr>
          <w:rFonts w:hint="eastAsia"/>
        </w:rPr>
        <w:t>摩洛族妇女组织报告，</w:t>
      </w:r>
      <w:r>
        <w:rPr>
          <w:rFonts w:hint="eastAsia"/>
        </w:rPr>
        <w:t>1999</w:t>
      </w:r>
      <w:r>
        <w:rPr>
          <w:rFonts w:hint="eastAsia"/>
        </w:rPr>
        <w:t>年，在宿务湖边一个村子里，一名妇女因在士兵未经批准对每家每户进行搜索时受到惊吓而几乎流产。这个妇女所在的村子里“寡妇和老姑娘”格外地多，因为男人都在战争中死去。</w:t>
      </w:r>
    </w:p>
    <w:p w:rsidR="00000000" w:rsidRDefault="00821B8F">
      <w:pPr>
        <w:numPr>
          <w:ilvl w:val="0"/>
          <w:numId w:val="1333"/>
        </w:numPr>
        <w:tabs>
          <w:tab w:val="clear" w:pos="360"/>
          <w:tab w:val="num" w:pos="1080"/>
        </w:tabs>
        <w:spacing w:after="240" w:line="360" w:lineRule="exact"/>
        <w:ind w:left="1080" w:hanging="480"/>
        <w:rPr>
          <w:rFonts w:hint="eastAsia"/>
        </w:rPr>
      </w:pPr>
      <w:r>
        <w:rPr>
          <w:rFonts w:hint="eastAsia"/>
        </w:rPr>
        <w:t>据大赦国际（</w:t>
      </w:r>
      <w:r>
        <w:rPr>
          <w:rFonts w:hint="eastAsia"/>
        </w:rPr>
        <w:t>2001</w:t>
      </w:r>
      <w:r>
        <w:rPr>
          <w:rFonts w:hint="eastAsia"/>
        </w:rPr>
        <w:t>年）报告，由于在</w:t>
      </w:r>
      <w:r>
        <w:rPr>
          <w:rFonts w:hint="eastAsia"/>
        </w:rPr>
        <w:t>2000</w:t>
      </w:r>
      <w:r>
        <w:rPr>
          <w:rFonts w:hint="eastAsia"/>
        </w:rPr>
        <w:t>年中棉兰老的武装冲突升级，</w:t>
      </w:r>
      <w:r>
        <w:rPr>
          <w:rFonts w:hint="eastAsia"/>
        </w:rPr>
        <w:t>40</w:t>
      </w:r>
      <w:r>
        <w:rPr>
          <w:rFonts w:hint="eastAsia"/>
        </w:rPr>
        <w:t>多万平民因</w:t>
      </w:r>
      <w:r>
        <w:rPr>
          <w:rFonts w:hint="eastAsia"/>
        </w:rPr>
        <w:t>菲律宾武装部队的狂轰滥炸和侵犯人权行径而流离失所。</w:t>
      </w:r>
    </w:p>
    <w:p w:rsidR="00000000" w:rsidRDefault="00821B8F">
      <w:pPr>
        <w:numPr>
          <w:ilvl w:val="0"/>
          <w:numId w:val="1333"/>
        </w:numPr>
        <w:tabs>
          <w:tab w:val="clear" w:pos="360"/>
          <w:tab w:val="num" w:pos="1080"/>
        </w:tabs>
        <w:spacing w:after="240" w:line="360" w:lineRule="exact"/>
        <w:ind w:left="1080" w:hanging="480"/>
        <w:rPr>
          <w:rFonts w:hint="eastAsia"/>
        </w:rPr>
      </w:pPr>
      <w:r>
        <w:rPr>
          <w:rFonts w:hint="eastAsia"/>
        </w:rPr>
        <w:t>根据社会福利部和非政府组织管理的疏散中心的记录，</w:t>
      </w:r>
      <w:r>
        <w:rPr>
          <w:rFonts w:hint="eastAsia"/>
        </w:rPr>
        <w:t>2001</w:t>
      </w:r>
      <w:r>
        <w:rPr>
          <w:rFonts w:hint="eastAsia"/>
        </w:rPr>
        <w:t>年</w:t>
      </w:r>
      <w:r>
        <w:rPr>
          <w:rFonts w:hint="eastAsia"/>
        </w:rPr>
        <w:t>1</w:t>
      </w:r>
      <w:r>
        <w:rPr>
          <w:rFonts w:hint="eastAsia"/>
        </w:rPr>
        <w:t>月至</w:t>
      </w:r>
      <w:r>
        <w:rPr>
          <w:rFonts w:hint="eastAsia"/>
        </w:rPr>
        <w:t>11</w:t>
      </w:r>
      <w:r>
        <w:rPr>
          <w:rFonts w:hint="eastAsia"/>
        </w:rPr>
        <w:t>月间，棉兰老有大约</w:t>
      </w:r>
      <w:r>
        <w:rPr>
          <w:rFonts w:hint="eastAsia"/>
        </w:rPr>
        <w:t>13.5</w:t>
      </w:r>
      <w:r>
        <w:rPr>
          <w:rFonts w:hint="eastAsia"/>
        </w:rPr>
        <w:t>万至</w:t>
      </w:r>
      <w:r>
        <w:rPr>
          <w:rFonts w:hint="eastAsia"/>
        </w:rPr>
        <w:t>15</w:t>
      </w:r>
      <w:r>
        <w:rPr>
          <w:rFonts w:hint="eastAsia"/>
        </w:rPr>
        <w:t>万人因武装冲突事件的影响而流离失所，其中大部分是妇女儿童。</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菲律宾人权委员会也记载了武装冲突中对妇女的暴力案件。</w:t>
      </w:r>
      <w:r>
        <w:rPr>
          <w:rFonts w:hint="eastAsia"/>
        </w:rPr>
        <w:t>1980-1999</w:t>
      </w:r>
      <w:r>
        <w:rPr>
          <w:rFonts w:hint="eastAsia"/>
        </w:rPr>
        <w:t>年间，二区、六区和九区记录发生了大约</w:t>
      </w:r>
      <w:r>
        <w:rPr>
          <w:rFonts w:hint="eastAsia"/>
        </w:rPr>
        <w:t>100</w:t>
      </w:r>
      <w:r>
        <w:rPr>
          <w:rFonts w:hint="eastAsia"/>
        </w:rPr>
        <w:t>起案件。</w:t>
      </w:r>
    </w:p>
    <w:p w:rsidR="00000000" w:rsidRDefault="00821B8F">
      <w:pPr>
        <w:pStyle w:val="Heading4"/>
        <w:numPr>
          <w:ilvl w:val="0"/>
          <w:numId w:val="0"/>
        </w:numPr>
        <w:rPr>
          <w:rFonts w:hint="eastAsia"/>
          <w:color w:val="FF0000"/>
          <w:u w:val="none"/>
        </w:rPr>
      </w:pPr>
      <w:r>
        <w:rPr>
          <w:rFonts w:hint="eastAsia"/>
          <w:color w:val="FF0000"/>
          <w:u w:val="none"/>
        </w:rPr>
        <w:t>B</w:t>
      </w:r>
      <w:r>
        <w:rPr>
          <w:rFonts w:hint="eastAsia"/>
          <w:color w:val="FF0000"/>
          <w:u w:val="none"/>
        </w:rPr>
        <w:t>．采取的行动</w:t>
      </w:r>
    </w:p>
    <w:p w:rsidR="00000000" w:rsidRDefault="00821B8F">
      <w:pPr>
        <w:tabs>
          <w:tab w:val="left" w:pos="5400"/>
        </w:tabs>
        <w:spacing w:after="240" w:line="360" w:lineRule="exact"/>
        <w:rPr>
          <w:rFonts w:eastAsia="KaiTi_GB2312" w:hint="eastAsia"/>
          <w:b/>
          <w:color w:val="0000FF"/>
        </w:rPr>
      </w:pPr>
      <w:r>
        <w:rPr>
          <w:rFonts w:eastAsia="KaiTi_GB2312" w:hint="eastAsia"/>
          <w:b/>
          <w:color w:val="0000FF"/>
        </w:rPr>
        <w:t>有关贩卖妇女和女童的立法和政策</w:t>
      </w:r>
    </w:p>
    <w:p w:rsidR="00000000" w:rsidRDefault="00821B8F">
      <w:pPr>
        <w:numPr>
          <w:ilvl w:val="0"/>
          <w:numId w:val="1236"/>
        </w:numPr>
        <w:spacing w:after="240" w:line="360" w:lineRule="exact"/>
        <w:ind w:left="540" w:hanging="540"/>
        <w:rPr>
          <w:rFonts w:hint="eastAsia"/>
        </w:rPr>
      </w:pPr>
      <w:r>
        <w:rPr>
          <w:rFonts w:hint="eastAsia"/>
        </w:rPr>
        <w:t xml:space="preserve"> 2003</w:t>
      </w:r>
      <w:r>
        <w:rPr>
          <w:rFonts w:hint="eastAsia"/>
        </w:rPr>
        <w:t>年</w:t>
      </w:r>
      <w:r>
        <w:rPr>
          <w:rFonts w:hint="eastAsia"/>
        </w:rPr>
        <w:t>5</w:t>
      </w:r>
      <w:r>
        <w:rPr>
          <w:rFonts w:hint="eastAsia"/>
        </w:rPr>
        <w:t>月</w:t>
      </w:r>
      <w:r>
        <w:rPr>
          <w:rFonts w:hint="eastAsia"/>
        </w:rPr>
        <w:t>26</w:t>
      </w:r>
      <w:r>
        <w:rPr>
          <w:rFonts w:hint="eastAsia"/>
        </w:rPr>
        <w:t>日，菲律宾总统签署了第</w:t>
      </w:r>
      <w:r>
        <w:rPr>
          <w:rFonts w:hint="eastAsia"/>
        </w:rPr>
        <w:t>9208</w:t>
      </w:r>
      <w:r>
        <w:rPr>
          <w:rFonts w:hint="eastAsia"/>
        </w:rPr>
        <w:t>号共和国法令，即《</w:t>
      </w:r>
      <w:r>
        <w:rPr>
          <w:rFonts w:hint="eastAsia"/>
        </w:rPr>
        <w:t>2003</w:t>
      </w:r>
      <w:r>
        <w:rPr>
          <w:rFonts w:hint="eastAsia"/>
        </w:rPr>
        <w:t>年惩治贩卖人口法》，随后成立了机构间打击贩卖人口委</w:t>
      </w:r>
      <w:r>
        <w:rPr>
          <w:rFonts w:hint="eastAsia"/>
        </w:rPr>
        <w:t>员会。法律中对该委员会的职能做出了阐述。下面是这部法律的主要特点：</w:t>
      </w:r>
    </w:p>
    <w:p w:rsidR="00000000" w:rsidRDefault="00821B8F">
      <w:pPr>
        <w:numPr>
          <w:ilvl w:val="0"/>
          <w:numId w:val="1334"/>
        </w:numPr>
        <w:tabs>
          <w:tab w:val="clear" w:pos="360"/>
          <w:tab w:val="num" w:pos="1080"/>
          <w:tab w:val="left" w:pos="5400"/>
        </w:tabs>
        <w:spacing w:after="240" w:line="360" w:lineRule="exact"/>
        <w:ind w:left="1080" w:hanging="480"/>
        <w:rPr>
          <w:rFonts w:hint="eastAsia"/>
        </w:rPr>
      </w:pPr>
      <w:r>
        <w:rPr>
          <w:rFonts w:hint="eastAsia"/>
        </w:rPr>
        <w:t>法律规定，贩卖人口以及纵容贩卖人口的行为均为犯罪。“贩卖”涉及许多活动，包括以卖淫、色情制品、性剥削、强迫劳动、奴役、非自愿服务或偿债奴役、切除或出卖器官为目的而从事的活动，无论这些活动发生在国内还是国外，而且也不管受害人是菲律宾人还是被贩卖到菲律宾的外国人。</w:t>
      </w:r>
    </w:p>
    <w:p w:rsidR="00000000" w:rsidRDefault="00821B8F">
      <w:pPr>
        <w:numPr>
          <w:ilvl w:val="0"/>
          <w:numId w:val="1334"/>
        </w:numPr>
        <w:tabs>
          <w:tab w:val="clear" w:pos="360"/>
          <w:tab w:val="num" w:pos="1080"/>
          <w:tab w:val="left" w:pos="5400"/>
        </w:tabs>
        <w:spacing w:after="240" w:line="360" w:lineRule="exact"/>
        <w:ind w:left="1080" w:hanging="480"/>
        <w:rPr>
          <w:rFonts w:hint="eastAsia"/>
        </w:rPr>
      </w:pPr>
      <w:r>
        <w:rPr>
          <w:rFonts w:hint="eastAsia"/>
        </w:rPr>
        <w:t>该法律对“卖淫”重新定义：从原来仅仅由妇女做出的犯罪行为改为“涉及以金钱、利润或任何其他报酬为交换条件</w:t>
      </w:r>
      <w:r>
        <w:rPr>
          <w:rFonts w:eastAsia="KaiTi_GB2312" w:hint="eastAsia"/>
        </w:rPr>
        <w:t>由他人使用某人身体</w:t>
      </w:r>
      <w:r>
        <w:rPr>
          <w:rFonts w:hint="eastAsia"/>
        </w:rPr>
        <w:t>而进行性交或淫荡举动的任何行为、安排或设计”（强调部分由作者标</w:t>
      </w:r>
      <w:r>
        <w:rPr>
          <w:rFonts w:hint="eastAsia"/>
        </w:rPr>
        <w:t>明），同时，通过贩卖人口助长卖淫者也要承担刑事责任。</w:t>
      </w:r>
    </w:p>
    <w:p w:rsidR="00000000" w:rsidRDefault="00821B8F">
      <w:pPr>
        <w:numPr>
          <w:ilvl w:val="0"/>
          <w:numId w:val="1334"/>
        </w:numPr>
        <w:tabs>
          <w:tab w:val="clear" w:pos="360"/>
          <w:tab w:val="num" w:pos="1080"/>
          <w:tab w:val="left" w:pos="5400"/>
        </w:tabs>
        <w:spacing w:after="240" w:line="360" w:lineRule="exact"/>
        <w:ind w:left="1080" w:hanging="480"/>
        <w:rPr>
          <w:rFonts w:hint="eastAsia"/>
        </w:rPr>
      </w:pPr>
      <w:r>
        <w:rPr>
          <w:rFonts w:hint="eastAsia"/>
        </w:rPr>
        <w:t>法律规定了对与贩卖人口有关的各类罪行的惩罚措施。对于贩卖儿童或被贩卖人死亡或招致艾滋病毒</w:t>
      </w:r>
      <w:r>
        <w:rPr>
          <w:rFonts w:hint="eastAsia"/>
        </w:rPr>
        <w:t>/</w:t>
      </w:r>
      <w:r>
        <w:rPr>
          <w:rFonts w:hint="eastAsia"/>
        </w:rPr>
        <w:t>艾滋病、罪犯与受害人有亲戚关系或罪犯在政府执法部门工作等涉案人员，可施以最严厉的惩罚（终身监禁和高达</w:t>
      </w:r>
      <w:r>
        <w:rPr>
          <w:rFonts w:hint="eastAsia"/>
        </w:rPr>
        <w:t>500</w:t>
      </w:r>
      <w:r>
        <w:rPr>
          <w:rFonts w:hint="eastAsia"/>
        </w:rPr>
        <w:t>万比索的罚款）。罚款将存入一项信托基金中，用来承担依法执行强制性方案以及采取措施防止贩卖人口和对受害人的康复和重新进入社会主流所需的费用。</w:t>
      </w:r>
    </w:p>
    <w:p w:rsidR="00000000" w:rsidRDefault="00821B8F">
      <w:pPr>
        <w:numPr>
          <w:ilvl w:val="0"/>
          <w:numId w:val="1334"/>
        </w:numPr>
        <w:tabs>
          <w:tab w:val="clear" w:pos="360"/>
          <w:tab w:val="num" w:pos="1080"/>
          <w:tab w:val="left" w:pos="5400"/>
        </w:tabs>
        <w:spacing w:after="240" w:line="360" w:lineRule="exact"/>
        <w:ind w:left="1080" w:hanging="480"/>
        <w:rPr>
          <w:rFonts w:hint="eastAsia"/>
        </w:rPr>
      </w:pPr>
      <w:r>
        <w:rPr>
          <w:rFonts w:hint="eastAsia"/>
        </w:rPr>
        <w:t>法律要求政府向被贩卖者提供某些义务服务，如应急住所、咨询、免费法律服务、医疗或心理服务、谋生手段及技能培训和教育援助。</w:t>
      </w:r>
    </w:p>
    <w:p w:rsidR="00000000" w:rsidRDefault="00821B8F">
      <w:pPr>
        <w:numPr>
          <w:ilvl w:val="0"/>
          <w:numId w:val="1334"/>
        </w:numPr>
        <w:tabs>
          <w:tab w:val="clear" w:pos="360"/>
          <w:tab w:val="num" w:pos="1080"/>
          <w:tab w:val="left" w:pos="5400"/>
        </w:tabs>
        <w:spacing w:after="240" w:line="360" w:lineRule="exact"/>
        <w:ind w:left="1080" w:hanging="480"/>
        <w:rPr>
          <w:rFonts w:hint="eastAsia"/>
        </w:rPr>
      </w:pPr>
      <w:r>
        <w:rPr>
          <w:rFonts w:hint="eastAsia"/>
        </w:rPr>
        <w:t>法</w:t>
      </w:r>
      <w:r>
        <w:rPr>
          <w:rFonts w:hint="eastAsia"/>
        </w:rPr>
        <w:t>律为各政府机构分派了具体任务和责任。这些机构包括：外交部，负责为贩卖到海外的人提供所需资源和设施；社会福利部，负责执行被贩卖者的康复和保护方案；以及劳工部，确保国内外的人员聘用都严格遵守有关法规和准则。</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w:t>
      </w:r>
      <w:r>
        <w:rPr>
          <w:rFonts w:hint="eastAsia"/>
        </w:rPr>
        <w:t>2003</w:t>
      </w:r>
      <w:r>
        <w:rPr>
          <w:rFonts w:hint="eastAsia"/>
        </w:rPr>
        <w:t>年惩治贩卖人口法》的通过，是政府机构、部门间委员会和既提供技术投入又施加政治压力的民间社会团体联合行动的一个范例。</w:t>
      </w:r>
    </w:p>
    <w:p w:rsidR="00000000" w:rsidRDefault="00821B8F">
      <w:pPr>
        <w:numPr>
          <w:ilvl w:val="0"/>
          <w:numId w:val="1236"/>
        </w:numPr>
        <w:spacing w:after="240" w:line="360" w:lineRule="exact"/>
        <w:ind w:left="540" w:hanging="540"/>
        <w:rPr>
          <w:rFonts w:hint="eastAsia"/>
        </w:rPr>
      </w:pPr>
      <w:r>
        <w:rPr>
          <w:rFonts w:hint="eastAsia"/>
        </w:rPr>
        <w:t xml:space="preserve"> 2003</w:t>
      </w:r>
      <w:r>
        <w:rPr>
          <w:rFonts w:hint="eastAsia"/>
        </w:rPr>
        <w:t>年年底，机构间打击贩卖人口委员会完成了这部法律的实施细则和条例，在宿务、达沃和大马尼拉地区就此开展了一系列的公共讨论，同时在两家主要报纸上刊登。委员会还开始对</w:t>
      </w:r>
      <w:r>
        <w:rPr>
          <w:rFonts w:hint="eastAsia"/>
        </w:rPr>
        <w:t>2003</w:t>
      </w:r>
      <w:r>
        <w:rPr>
          <w:rFonts w:hint="eastAsia"/>
        </w:rPr>
        <w:t>年</w:t>
      </w:r>
      <w:r>
        <w:rPr>
          <w:rFonts w:hint="eastAsia"/>
        </w:rPr>
        <w:t>1</w:t>
      </w:r>
      <w:r>
        <w:rPr>
          <w:rFonts w:hint="eastAsia"/>
        </w:rPr>
        <w:t>1</w:t>
      </w:r>
      <w:r>
        <w:rPr>
          <w:rFonts w:hint="eastAsia"/>
        </w:rPr>
        <w:t>月举办的战略计划讲习班上由机构间打击贩卖人口委员会和其他有关机构及非政府组织共同编写的《打击贩卖人口的国家战略行动计划》进行定稿，并开始编制一套宣传这部法律的指导模块，包括关于贩卖人口问题的核心讯息。根据类似的安排，机构间打击贩卖人口委员会将在国际和国内机场、海港及地面交通终端组织部门间工作队。</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菲律宾也是许多关于贩卖人口和移民的国际文书的缔约国，其中包括《禁止贩卖人口及取缔意图营利使人卖淫的公约》和《保护所有移徙工人及其家庭成员权利国际公约》。</w:t>
      </w:r>
    </w:p>
    <w:p w:rsidR="00000000" w:rsidRDefault="00821B8F">
      <w:pPr>
        <w:numPr>
          <w:ilvl w:val="0"/>
          <w:numId w:val="1236"/>
        </w:numPr>
        <w:spacing w:after="240" w:line="360" w:lineRule="exact"/>
        <w:ind w:left="540" w:hanging="540"/>
        <w:rPr>
          <w:rFonts w:hint="eastAsia"/>
        </w:rPr>
      </w:pPr>
      <w:r>
        <w:rPr>
          <w:rFonts w:hint="eastAsia"/>
        </w:rPr>
        <w:t xml:space="preserve"> 2001</w:t>
      </w:r>
      <w:r>
        <w:rPr>
          <w:rFonts w:hint="eastAsia"/>
        </w:rPr>
        <w:t>年</w:t>
      </w:r>
      <w:r>
        <w:rPr>
          <w:rFonts w:hint="eastAsia"/>
        </w:rPr>
        <w:t>10</w:t>
      </w:r>
      <w:r>
        <w:rPr>
          <w:rFonts w:hint="eastAsia"/>
        </w:rPr>
        <w:t>月</w:t>
      </w:r>
      <w:r>
        <w:rPr>
          <w:rFonts w:hint="eastAsia"/>
        </w:rPr>
        <w:t>24</w:t>
      </w:r>
      <w:r>
        <w:rPr>
          <w:rFonts w:hint="eastAsia"/>
        </w:rPr>
        <w:t>日，菲律宾批准了《联合国打击有组织</w:t>
      </w:r>
      <w:r>
        <w:rPr>
          <w:rFonts w:hint="eastAsia"/>
        </w:rPr>
        <w:t>跨国犯罪公约》及其补充议定书、《关于防止、禁止和惩治贩运人口特别是妇女和儿童的议定书》和《关于打击陆、海、空偷运移民的议定书》。这就为地方部门创造了与其他国家联系的机会，以便全世界共同努力与贩毒和其他跨国犯罪作斗争，并终止对妇女儿童的剥削和贩卖。</w:t>
      </w:r>
    </w:p>
    <w:p w:rsidR="00000000" w:rsidRDefault="00821B8F">
      <w:pPr>
        <w:numPr>
          <w:ilvl w:val="0"/>
          <w:numId w:val="1236"/>
        </w:numPr>
        <w:spacing w:after="240" w:line="360" w:lineRule="exact"/>
        <w:ind w:left="540" w:hanging="540"/>
        <w:rPr>
          <w:rFonts w:hint="eastAsia"/>
          <w:color w:val="000000"/>
        </w:rPr>
      </w:pPr>
      <w:r>
        <w:rPr>
          <w:rFonts w:hint="eastAsia"/>
          <w:color w:val="000000"/>
        </w:rPr>
        <w:t xml:space="preserve"> </w:t>
      </w:r>
      <w:r>
        <w:rPr>
          <w:rFonts w:hint="eastAsia"/>
          <w:color w:val="000000"/>
        </w:rPr>
        <w:t>菲律宾政府为解决非法移民问题所采取的其他措施包括使菲律宾护照进一步完善、继续与非法招聘作斗争、监测菲律宾人和外国人离境。执行这些措施时遵照了《</w:t>
      </w:r>
      <w:r>
        <w:rPr>
          <w:rFonts w:hint="eastAsia"/>
          <w:color w:val="000000"/>
        </w:rPr>
        <w:t>1996</w:t>
      </w:r>
      <w:r>
        <w:rPr>
          <w:rFonts w:hint="eastAsia"/>
          <w:color w:val="000000"/>
        </w:rPr>
        <w:t>年菲律宾护照法》、《菲律宾劳动法典》和《</w:t>
      </w:r>
      <w:r>
        <w:rPr>
          <w:rFonts w:hint="eastAsia"/>
          <w:color w:val="000000"/>
        </w:rPr>
        <w:t>1940</w:t>
      </w:r>
      <w:r>
        <w:rPr>
          <w:rFonts w:hint="eastAsia"/>
          <w:color w:val="000000"/>
        </w:rPr>
        <w:t>年移民法》的某些条款。不仅如此，社会福利部还要求不论何时未成年人</w:t>
      </w:r>
      <w:r>
        <w:rPr>
          <w:rFonts w:hint="eastAsia"/>
          <w:color w:val="000000"/>
        </w:rPr>
        <w:t>随父母或监护人以外的其他人旅行都必须获得许可。</w:t>
      </w:r>
    </w:p>
    <w:p w:rsidR="00000000" w:rsidRDefault="00821B8F">
      <w:pPr>
        <w:tabs>
          <w:tab w:val="left" w:pos="5400"/>
        </w:tabs>
        <w:spacing w:after="240" w:line="360" w:lineRule="exact"/>
        <w:rPr>
          <w:rFonts w:eastAsia="KaiTi_GB2312" w:hint="eastAsia"/>
          <w:b/>
          <w:color w:val="0000FF"/>
        </w:rPr>
      </w:pPr>
      <w:r>
        <w:rPr>
          <w:rFonts w:eastAsia="KaiTi_GB2312" w:hint="eastAsia"/>
          <w:b/>
          <w:color w:val="0000FF"/>
        </w:rPr>
        <w:t>防止贩卖妇女儿童的其他措施</w:t>
      </w:r>
    </w:p>
    <w:p w:rsidR="00000000" w:rsidRDefault="00821B8F">
      <w:pPr>
        <w:numPr>
          <w:ilvl w:val="0"/>
          <w:numId w:val="1236"/>
        </w:numPr>
        <w:spacing w:after="240" w:line="360" w:lineRule="exact"/>
        <w:ind w:left="540" w:hanging="540"/>
        <w:rPr>
          <w:rFonts w:hint="eastAsia"/>
        </w:rPr>
      </w:pPr>
      <w:r>
        <w:rPr>
          <w:rFonts w:hint="eastAsia"/>
          <w:color w:val="000000"/>
        </w:rPr>
        <w:t xml:space="preserve"> </w:t>
      </w:r>
      <w:r>
        <w:rPr>
          <w:rFonts w:hint="eastAsia"/>
        </w:rPr>
        <w:t>1996</w:t>
      </w:r>
      <w:r>
        <w:rPr>
          <w:rFonts w:hint="eastAsia"/>
        </w:rPr>
        <w:t>年贩卖妇女案件的数目拉响了警报，政府采取措施，立即向受害者提供帮助，同时制定和实施一项全国打击贩卖人口战略。外交部在各有关机构之间建立了信息共享系统，同时牵头进行预防、保护、起诉、遣送和康复及重返社会等方面的能力建设和培训工作。根据一份总统备忘录，建立了机构间高级别工作组来制定策略。其中一项成果是在</w:t>
      </w:r>
      <w:r>
        <w:rPr>
          <w:rFonts w:hint="eastAsia"/>
        </w:rPr>
        <w:t>2000</w:t>
      </w:r>
      <w:r>
        <w:rPr>
          <w:rFonts w:hint="eastAsia"/>
        </w:rPr>
        <w:t>年成立了禁止贩卖人口特别是妇女和儿童的执行委员会。该委员会协调所有有关政府机构和部门的活动，以便采取更有效的措施来打击</w:t>
      </w:r>
      <w:r>
        <w:rPr>
          <w:rFonts w:hint="eastAsia"/>
        </w:rPr>
        <w:t>贩卖人口活动。</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外交部及其国外的使领馆在打击贩卖妇女和儿童的运动中起着前线政府机构的作用。分管移民工人事务的副部长办公室成为与援助在海外陷入困境的菲律宾人有关的事务的核心。该办公室是根据第</w:t>
      </w:r>
      <w:r>
        <w:rPr>
          <w:rFonts w:hint="eastAsia"/>
        </w:rPr>
        <w:t>8042</w:t>
      </w:r>
      <w:r>
        <w:rPr>
          <w:rFonts w:hint="eastAsia"/>
        </w:rPr>
        <w:t>号共和国法令（《</w:t>
      </w:r>
      <w:r>
        <w:rPr>
          <w:rFonts w:hint="eastAsia"/>
        </w:rPr>
        <w:t>1995</w:t>
      </w:r>
      <w:r>
        <w:rPr>
          <w:rFonts w:hint="eastAsia"/>
        </w:rPr>
        <w:t>年移民工人和海外菲律宾人法》）成立的，负责协调菲律宾对外服务局向菲律宾人提供援助。</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菲律宾对外服务局各下属机构记录的贩卖人口案件通过急件报告给上述副部长办公室，以便迅速遣返受害者，并将指控的招工头或人贩子的情况报告地方当局。菲律宾工人资源中心为受害人提供临时避难所，同时与东道国的雇主和劳</w:t>
      </w:r>
      <w:r>
        <w:rPr>
          <w:rFonts w:hint="eastAsia"/>
        </w:rPr>
        <w:t>工部进行适当的交涉。与此同时，外交部提请有关的调查部门对被指控的招工头进行调查，待受害者一回到马尼拉便协调向其提供的援助。受害人在对涉嫌的人贩子或招工头提出起诉时也能得到援助。</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color w:val="000000"/>
        </w:rPr>
        <w:t>社会福利部随后实施一项贩卖受害者，特别是妇女儿童的重返社会项目。该项目提供了咨询和治疗及其他支助，以使这些受害人能过上正常生活。</w:t>
      </w:r>
    </w:p>
    <w:p w:rsidR="00000000" w:rsidRDefault="00821B8F">
      <w:pPr>
        <w:numPr>
          <w:ilvl w:val="0"/>
          <w:numId w:val="1236"/>
        </w:numPr>
        <w:spacing w:after="240" w:line="360" w:lineRule="exact"/>
        <w:ind w:left="540" w:hanging="540"/>
        <w:rPr>
          <w:rFonts w:hint="eastAsia"/>
        </w:rPr>
      </w:pPr>
      <w:r>
        <w:rPr>
          <w:rFonts w:hint="eastAsia"/>
        </w:rPr>
        <w:t xml:space="preserve"> 1999</w:t>
      </w:r>
      <w:r>
        <w:rPr>
          <w:rFonts w:hint="eastAsia"/>
        </w:rPr>
        <w:t>年</w:t>
      </w:r>
      <w:r>
        <w:rPr>
          <w:rFonts w:hint="eastAsia"/>
        </w:rPr>
        <w:t>1</w:t>
      </w:r>
      <w:r>
        <w:rPr>
          <w:rFonts w:hint="eastAsia"/>
        </w:rPr>
        <w:t>月成立了菲律宾跨国犯罪问题中心，其任务是建立一个中央数据库，由各政府机构共享与包括贩卖人口在内的各种跨国犯罪有关的罪犯、拘捕和判罪等信息。与此同时，海外菲律宾人委员会一直在执行社区教育方案</w:t>
      </w:r>
      <w:r>
        <w:rPr>
          <w:rFonts w:hint="eastAsia"/>
        </w:rPr>
        <w:t>，以提高公众对各种移民问题，包括贩卖人口、非法招工、婚介和海外就业的认识。该委员会还提供为处境危难的移民设立的服务网络信息。</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菲律宾与比利时的打击贩卖妇女行动试点项目是一项值得注意的双边合作活动。该项目在</w:t>
      </w:r>
      <w:r>
        <w:rPr>
          <w:rFonts w:hint="eastAsia"/>
        </w:rPr>
        <w:t>1990</w:t>
      </w:r>
      <w:r>
        <w:rPr>
          <w:rFonts w:hint="eastAsia"/>
        </w:rPr>
        <w:t>年代中期执行，其中包括跨文化法律研究内容、防范教育内容以及社会救助和保健内容。另外还有一项由海外就业管理局提出的、名为“监测行动：约旦”的倡议，也是国别小组方法中的一个典范。其中有一项活动是谈判关于雇佣赴约旦的家庭佣工的协议备忘录。</w:t>
      </w:r>
    </w:p>
    <w:p w:rsidR="00000000" w:rsidRDefault="00821B8F">
      <w:pPr>
        <w:numPr>
          <w:ilvl w:val="0"/>
          <w:numId w:val="1236"/>
        </w:numPr>
        <w:spacing w:after="240" w:line="360" w:lineRule="exact"/>
        <w:ind w:left="540" w:hanging="540"/>
        <w:rPr>
          <w:rFonts w:hint="eastAsia"/>
        </w:rPr>
      </w:pPr>
      <w:r>
        <w:rPr>
          <w:rFonts w:hint="eastAsia"/>
        </w:rPr>
        <w:t xml:space="preserve"> 2002</w:t>
      </w:r>
      <w:r>
        <w:rPr>
          <w:rFonts w:hint="eastAsia"/>
        </w:rPr>
        <w:t>年</w:t>
      </w:r>
      <w:r>
        <w:rPr>
          <w:rFonts w:hint="eastAsia"/>
        </w:rPr>
        <w:t>2</w:t>
      </w:r>
      <w:r>
        <w:rPr>
          <w:rFonts w:hint="eastAsia"/>
        </w:rPr>
        <w:t>月，菲律宾政府参加了在印度尼西亚巴厘举行的“偷渡、</w:t>
      </w:r>
      <w:r>
        <w:rPr>
          <w:rFonts w:hint="eastAsia"/>
        </w:rPr>
        <w:t>贩卖人口和有关跨国犯罪问题的第一次区域会议”。会后，总统在</w:t>
      </w:r>
      <w:r>
        <w:rPr>
          <w:rFonts w:hint="eastAsia"/>
        </w:rPr>
        <w:t>2002</w:t>
      </w:r>
      <w:r>
        <w:rPr>
          <w:rFonts w:hint="eastAsia"/>
        </w:rPr>
        <w:t>年</w:t>
      </w:r>
      <w:r>
        <w:rPr>
          <w:rFonts w:hint="eastAsia"/>
        </w:rPr>
        <w:t>3</w:t>
      </w:r>
      <w:r>
        <w:rPr>
          <w:rFonts w:hint="eastAsia"/>
        </w:rPr>
        <w:t>月命令外交部立即定期召集关于贩卖人口和偷渡问题的高级别政府工作组，工作组成员来自以下各个成员机构：司法部、劳工部、内政和地方政府部、社会福利部、旅游部、移民局、海外菲律宾人委员会、菲律宾跨国犯罪问题中心、国家调查局以及妇女委员会。在制订打击偷渡和贩卖人口活动的国家战略时，高级别政府工作组编制了政府为执行现有的计划，特别是在联合国防止跨国犯罪中心主持下制定的在菲律宾联合打击贩卖人口活动战略计划而提出的倡议汇编。在确定国家战略的内容时，高级别</w:t>
      </w:r>
      <w:r>
        <w:rPr>
          <w:rFonts w:hint="eastAsia"/>
        </w:rPr>
        <w:t>政府工作组参考了关于打击贩卖妇女儿童活动的亚洲区域倡议行动计划、现行的打击贩卖人口活动的立法建议及联合国关于贩卖人口问题的议定书。</w:t>
      </w:r>
      <w:r>
        <w:rPr>
          <w:rFonts w:hint="eastAsia"/>
        </w:rPr>
        <w:t>2003</w:t>
      </w:r>
      <w:r>
        <w:rPr>
          <w:rFonts w:hint="eastAsia"/>
        </w:rPr>
        <w:t>年</w:t>
      </w:r>
      <w:r>
        <w:rPr>
          <w:rFonts w:hint="eastAsia"/>
        </w:rPr>
        <w:t>4</w:t>
      </w:r>
      <w:r>
        <w:rPr>
          <w:rFonts w:hint="eastAsia"/>
        </w:rPr>
        <w:t>月</w:t>
      </w:r>
      <w:r>
        <w:rPr>
          <w:rFonts w:hint="eastAsia"/>
        </w:rPr>
        <w:t>21</w:t>
      </w:r>
      <w:r>
        <w:rPr>
          <w:rFonts w:hint="eastAsia"/>
        </w:rPr>
        <w:t>日，高级别政府工作组通过签订协议通过了打击偷渡和贩卖人口活动的国家战略草案。但是，高级别政府工作组的职能在</w:t>
      </w:r>
      <w:r>
        <w:rPr>
          <w:rFonts w:hint="eastAsia"/>
        </w:rPr>
        <w:t>2003</w:t>
      </w:r>
      <w:r>
        <w:rPr>
          <w:rFonts w:hint="eastAsia"/>
        </w:rPr>
        <w:t>年年底移交给</w:t>
      </w:r>
      <w:r>
        <w:rPr>
          <w:rFonts w:hint="eastAsia"/>
          <w:snapToGrid w:val="0"/>
          <w:color w:val="000000"/>
        </w:rPr>
        <w:t>机构间打击贩卖人口委员会</w:t>
      </w:r>
      <w:r>
        <w:rPr>
          <w:rFonts w:hint="eastAsia"/>
        </w:rPr>
        <w:t>。</w:t>
      </w:r>
    </w:p>
    <w:p w:rsidR="00000000" w:rsidRDefault="00821B8F">
      <w:pPr>
        <w:tabs>
          <w:tab w:val="left" w:pos="5400"/>
        </w:tabs>
        <w:spacing w:after="240" w:line="360" w:lineRule="exact"/>
        <w:rPr>
          <w:rFonts w:hint="eastAsia"/>
          <w:u w:val="single"/>
        </w:rPr>
      </w:pPr>
    </w:p>
    <w:p w:rsidR="00000000" w:rsidRDefault="00821B8F">
      <w:pPr>
        <w:tabs>
          <w:tab w:val="left" w:pos="5400"/>
        </w:tabs>
        <w:spacing w:after="240" w:line="360" w:lineRule="exact"/>
        <w:rPr>
          <w:rFonts w:hint="eastAsia"/>
        </w:rPr>
      </w:pPr>
      <w:r>
        <w:rPr>
          <w:rFonts w:hint="eastAsia"/>
          <w:u w:val="single"/>
        </w:rPr>
        <w:t>非政府组织的宣传和方案</w:t>
      </w:r>
    </w:p>
    <w:p w:rsidR="00000000" w:rsidRDefault="00821B8F">
      <w:pPr>
        <w:numPr>
          <w:ilvl w:val="0"/>
          <w:numId w:val="1236"/>
        </w:numPr>
        <w:spacing w:after="240" w:line="360" w:lineRule="exact"/>
        <w:ind w:left="540" w:hanging="540"/>
        <w:rPr>
          <w:rFonts w:hint="eastAsia"/>
        </w:rPr>
      </w:pPr>
      <w:r>
        <w:rPr>
          <w:rFonts w:hint="eastAsia"/>
          <w:color w:val="000000"/>
        </w:rPr>
        <w:t xml:space="preserve"> </w:t>
      </w:r>
      <w:r>
        <w:rPr>
          <w:rFonts w:hint="eastAsia"/>
          <w:color w:val="000000"/>
        </w:rPr>
        <w:t>非政府组织和民间社会团体参与了立法、研究以及提供住所和出国前培训及咨询等服务方面的重要宣传活动。他们还成立了跨部门观察组，并对公众开展贩卖人口问题的教育。所有这些努力都在亚太反对贩卖</w:t>
      </w:r>
      <w:r>
        <w:rPr>
          <w:rFonts w:hint="eastAsia"/>
          <w:color w:val="000000"/>
        </w:rPr>
        <w:t>妇女联盟的活动中得到反映。该联盟在国内外开展打击贩卖人口工作已有十年以上，其中包括组织以社区为依托的方案，让青年和镇（村）干部了解萨马、三宝颜及马尼拉的沙邦帕累等弱势社区发生的贩卖年轻妇女事件。该联盟定期执行人权培训方案，并开发了对妇女的暴力，特别是贩卖人口的档案系统。该联盟与菲律宾全国</w:t>
      </w:r>
      <w:r>
        <w:rPr>
          <w:rFonts w:hint="eastAsia"/>
          <w:color w:val="000000"/>
        </w:rPr>
        <w:t>22</w:t>
      </w:r>
      <w:r>
        <w:rPr>
          <w:rFonts w:hint="eastAsia"/>
          <w:color w:val="000000"/>
        </w:rPr>
        <w:t>家以上的非政府组织合作，共同监测贩卖人口事件的发生次数和程度。该联盟的成员包括妇女领导组织和</w:t>
      </w:r>
      <w:r>
        <w:rPr>
          <w:rFonts w:hint="eastAsia"/>
          <w:color w:val="000000"/>
        </w:rPr>
        <w:t>SALIGAN</w:t>
      </w:r>
      <w:r>
        <w:rPr>
          <w:rFonts w:hint="eastAsia"/>
          <w:color w:val="000000"/>
        </w:rPr>
        <w:t>，向贩卖活动受害者提供法律服务和建议。联盟通过其成员组织和合作伙伴组成的国际网，向那些已经回国（特别是从日本和韩国</w:t>
      </w:r>
      <w:r>
        <w:rPr>
          <w:rFonts w:hint="eastAsia"/>
          <w:color w:val="000000"/>
        </w:rPr>
        <w:t>回国）的贩卖活动受害者提供帮助。该联盟是被提名参加机构间打击贩卖人口委员会的三家非政府组织之一，根据法律规定，其任务是监测和预防贩卖妇女和女童现象。被提名的另两个非政府组织是菲律宾移民权利观察组织和菲律宾终止儿童卖淫、儿童色情和为性目的贩卖儿童行动。到目前为止，只有菲律宾终止儿童卖淫、儿童色情和为性目的贩卖儿童行动根据总统的任命进入了机构间打击贩卖人口委员会。</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负责援助移民儿童家佣的非政府组织比萨场基金会与菲律宾港口管理局合作，在马尼拉北港开设了一个转运站，其经费由亚洲基金会资助。该转运站为贩卖活动受害人</w:t>
      </w:r>
      <w:r>
        <w:rPr>
          <w:rFonts w:hint="eastAsia"/>
        </w:rPr>
        <w:t>，特别是妇女和儿童提供</w:t>
      </w:r>
      <w:r>
        <w:rPr>
          <w:rFonts w:hint="eastAsia"/>
        </w:rPr>
        <w:t>24</w:t>
      </w:r>
      <w:r>
        <w:rPr>
          <w:rFonts w:hint="eastAsia"/>
        </w:rPr>
        <w:t>小时服务，如应急住所、旅行、就业与可能的支助网的信息、快速报告案件、电话热线咨询、定期联系流落的旅行者、宣传和动员港口社区成员以及研究和吸收志愿者。截至</w:t>
      </w:r>
      <w:r>
        <w:rPr>
          <w:rFonts w:hint="eastAsia"/>
        </w:rPr>
        <w:t>2001</w:t>
      </w:r>
      <w:r>
        <w:rPr>
          <w:rFonts w:hint="eastAsia"/>
        </w:rPr>
        <w:t>年</w:t>
      </w:r>
      <w:r>
        <w:rPr>
          <w:rFonts w:hint="eastAsia"/>
        </w:rPr>
        <w:t>9</w:t>
      </w:r>
      <w:r>
        <w:rPr>
          <w:rFonts w:hint="eastAsia"/>
        </w:rPr>
        <w:t>月，该项目救助了</w:t>
      </w:r>
      <w:r>
        <w:rPr>
          <w:rFonts w:hint="eastAsia"/>
        </w:rPr>
        <w:t>255</w:t>
      </w:r>
      <w:r>
        <w:rPr>
          <w:rFonts w:hint="eastAsia"/>
        </w:rPr>
        <w:t>名被贩卖从事被剥削工作的人。该项目的各合作伙伴正争取在菲律宾其他主要港口开设转运站。除了管理转运站以外，该组织还牵头建立多部门打击贩卖人口网。</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民间社团组织一直在参与立法和服务的重要宣传工作、成立多部门观察小组、进行信息传播和出国前培训与咨询、提供住所服务。其中成绩突出的有庇护中心基金会和菲律宾工</w:t>
      </w:r>
      <w:r>
        <w:rPr>
          <w:rFonts w:hint="eastAsia"/>
        </w:rPr>
        <w:t>会联合会，前者是一家从国际劳工组织等机构获得资助的非政府组织；后者正在实施打击贩卖人口项目。</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菲律宾终止儿童卖淫、儿童色情和为性目的贩卖儿童行动是保护儿童免受商业色情剥削的全球网络的一个成员。该组织长期以来一直在参与以下六项活动：以防止更多的儿童沦为商业色情剥削受害者为目的的宣传运动；监测色情剥削者并通过案情调查促成对他们的起诉；向儿童受害者提供法律援助和服务；建立网络和宣传；研究和编制文件；以及儿童参与性活动。</w:t>
      </w:r>
    </w:p>
    <w:p w:rsidR="00000000" w:rsidRDefault="00821B8F">
      <w:pPr>
        <w:tabs>
          <w:tab w:val="left" w:pos="5400"/>
        </w:tabs>
        <w:spacing w:after="240" w:line="360" w:lineRule="exact"/>
        <w:rPr>
          <w:rFonts w:eastAsia="KaiTi_GB2312" w:hint="eastAsia"/>
          <w:iCs/>
          <w:color w:val="0000FF"/>
        </w:rPr>
      </w:pPr>
      <w:r>
        <w:rPr>
          <w:rFonts w:eastAsia="KaiTi_GB2312" w:hint="eastAsia"/>
          <w:iCs/>
          <w:color w:val="0000FF"/>
        </w:rPr>
        <w:t>针对卖淫问题的立法和其他措施</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对付卖淫问题以及援助卖淫妇女的干预措施已在第一部分第</w:t>
      </w:r>
      <w:r>
        <w:rPr>
          <w:rFonts w:hint="eastAsia"/>
        </w:rPr>
        <w:t>26</w:t>
      </w:r>
      <w:r>
        <w:rPr>
          <w:rFonts w:hint="eastAsia"/>
        </w:rPr>
        <w:t>至第</w:t>
      </w:r>
      <w:r>
        <w:rPr>
          <w:rFonts w:hint="eastAsia"/>
        </w:rPr>
        <w:t>28</w:t>
      </w:r>
      <w:r>
        <w:rPr>
          <w:rFonts w:hint="eastAsia"/>
        </w:rPr>
        <w:t>段中进行了讨论，这几段涉及菲律宾就消除对妇女歧视委员会关于卖淫问题的结论性意见所采取的行动。</w:t>
      </w:r>
    </w:p>
    <w:p w:rsidR="00000000" w:rsidRDefault="00821B8F">
      <w:pPr>
        <w:tabs>
          <w:tab w:val="left" w:pos="5400"/>
        </w:tabs>
        <w:spacing w:after="240" w:line="360" w:lineRule="exact"/>
        <w:rPr>
          <w:rFonts w:eastAsia="KaiTi_GB2312" w:hint="eastAsia"/>
          <w:iCs/>
          <w:color w:val="0000FF"/>
        </w:rPr>
      </w:pPr>
      <w:r>
        <w:rPr>
          <w:rFonts w:eastAsia="KaiTi_GB2312" w:hint="eastAsia"/>
          <w:iCs/>
          <w:color w:val="0000FF"/>
        </w:rPr>
        <w:t>对付对妇女暴力问题的立法和政策</w:t>
      </w:r>
    </w:p>
    <w:p w:rsidR="00000000" w:rsidRDefault="00821B8F">
      <w:pPr>
        <w:numPr>
          <w:ilvl w:val="0"/>
          <w:numId w:val="1236"/>
        </w:numPr>
        <w:spacing w:after="240" w:line="360" w:lineRule="exact"/>
        <w:ind w:left="540" w:hanging="540"/>
        <w:rPr>
          <w:rFonts w:hint="eastAsia"/>
          <w:color w:val="000000"/>
          <w:spacing w:val="-2"/>
        </w:rPr>
      </w:pPr>
      <w:r>
        <w:rPr>
          <w:rFonts w:hint="eastAsia"/>
          <w:color w:val="000000"/>
        </w:rPr>
        <w:t xml:space="preserve"> </w:t>
      </w:r>
      <w:r>
        <w:rPr>
          <w:rFonts w:hint="eastAsia"/>
          <w:color w:val="000000"/>
        </w:rPr>
        <w:t>针对第</w:t>
      </w:r>
      <w:r>
        <w:rPr>
          <w:rFonts w:hint="eastAsia"/>
          <w:color w:val="000000"/>
        </w:rPr>
        <w:t>19</w:t>
      </w:r>
      <w:r>
        <w:rPr>
          <w:rFonts w:hint="eastAsia"/>
          <w:color w:val="000000"/>
        </w:rPr>
        <w:t>条一般性建议，菲律宾颁布了两部法律来解决对妇女的暴力问题，具体地说，是关于强奸问题的一对法律：第</w:t>
      </w:r>
      <w:r>
        <w:rPr>
          <w:rFonts w:hint="eastAsia"/>
          <w:color w:val="000000"/>
        </w:rPr>
        <w:t>8353</w:t>
      </w:r>
      <w:r>
        <w:rPr>
          <w:rFonts w:hint="eastAsia"/>
          <w:color w:val="000000"/>
        </w:rPr>
        <w:t>号共和国法令（《惩治强奸法》）和第</w:t>
      </w:r>
      <w:r>
        <w:rPr>
          <w:rFonts w:hint="eastAsia"/>
          <w:color w:val="000000"/>
        </w:rPr>
        <w:t>8505</w:t>
      </w:r>
      <w:r>
        <w:rPr>
          <w:rFonts w:hint="eastAsia"/>
          <w:color w:val="000000"/>
        </w:rPr>
        <w:t>号共和国法令（《强奸案受害者援助和保护法》）。第</w:t>
      </w:r>
      <w:r>
        <w:rPr>
          <w:rFonts w:hint="eastAsia"/>
          <w:color w:val="000000"/>
        </w:rPr>
        <w:t>8505</w:t>
      </w:r>
      <w:r>
        <w:rPr>
          <w:rFonts w:hint="eastAsia"/>
          <w:color w:val="000000"/>
        </w:rPr>
        <w:t>号共和国法令的执行细则和条例已经通过。菲律宾议员委员会人口与发展基金会对这两项法律进行研究后发现，缺乏家庭、机构和社会对强奸案受害者的支助，是强奸案不能上报的一个主要障</w:t>
      </w:r>
      <w:r>
        <w:rPr>
          <w:rFonts w:hint="eastAsia"/>
          <w:color w:val="000000"/>
        </w:rPr>
        <w:t>碍（</w:t>
      </w:r>
      <w:r>
        <w:rPr>
          <w:rFonts w:hint="eastAsia"/>
          <w:color w:val="000000"/>
          <w:spacing w:val="-2"/>
        </w:rPr>
        <w:t>桑托斯、利亚里纳斯–安杰利斯和阿多尔，</w:t>
      </w:r>
      <w:r>
        <w:rPr>
          <w:color w:val="000000"/>
          <w:spacing w:val="-2"/>
        </w:rPr>
        <w:t>2001</w:t>
      </w:r>
      <w:r>
        <w:rPr>
          <w:rFonts w:hint="eastAsia"/>
          <w:color w:val="000000"/>
          <w:spacing w:val="-2"/>
        </w:rPr>
        <w:t>年）。委员会断言，如果仍然沿用现有的司法条款，如果强迫强奸受害者在出庭作证时复述案发过程的法庭程序不改变，早先的成果有可能丧失。</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在</w:t>
      </w:r>
      <w:r>
        <w:rPr>
          <w:rFonts w:hint="eastAsia"/>
          <w:spacing w:val="-2"/>
        </w:rPr>
        <w:t>2004</w:t>
      </w:r>
      <w:r>
        <w:rPr>
          <w:rFonts w:hint="eastAsia"/>
          <w:spacing w:val="-2"/>
        </w:rPr>
        <w:t>年</w:t>
      </w:r>
      <w:r>
        <w:rPr>
          <w:rFonts w:hint="eastAsia"/>
          <w:spacing w:val="-2"/>
        </w:rPr>
        <w:t>3</w:t>
      </w:r>
      <w:r>
        <w:rPr>
          <w:rFonts w:hint="eastAsia"/>
          <w:spacing w:val="-2"/>
        </w:rPr>
        <w:t>月</w:t>
      </w:r>
      <w:r>
        <w:rPr>
          <w:rFonts w:hint="eastAsia"/>
          <w:spacing w:val="-2"/>
        </w:rPr>
        <w:t>8</w:t>
      </w:r>
      <w:r>
        <w:rPr>
          <w:rFonts w:hint="eastAsia"/>
          <w:spacing w:val="-2"/>
        </w:rPr>
        <w:t>日庆祝一年一度的国际妇女节活动时，总统签署了第</w:t>
      </w:r>
      <w:r>
        <w:rPr>
          <w:rFonts w:hint="eastAsia"/>
          <w:spacing w:val="-2"/>
        </w:rPr>
        <w:t>9262</w:t>
      </w:r>
      <w:r>
        <w:rPr>
          <w:rFonts w:hint="eastAsia"/>
          <w:spacing w:val="-2"/>
        </w:rPr>
        <w:t>号共和国法令，即《惩治对妇女及其子女施暴法》。该法律旨在遏制频繁发生的对妇女暴力事件以及将作恶者定罪，保护妇女及其子女免受婚姻、约会或同居法律关系中的身体、心理和经济虐待。该法律还承认，“被殴打妇女综合征”是长期遭受殴打而被迫奋起自卫的妇女可以使用的合法辩护</w:t>
      </w:r>
      <w:r>
        <w:rPr>
          <w:rFonts w:hint="eastAsia"/>
          <w:spacing w:val="-2"/>
        </w:rPr>
        <w:t>词。该法律规定颁布“保护令”，以阻止暴力行为并防止日后再次发生暴力事件。</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根据第</w:t>
      </w:r>
      <w:r>
        <w:rPr>
          <w:rFonts w:hint="eastAsia"/>
          <w:spacing w:val="-2"/>
        </w:rPr>
        <w:t>8505</w:t>
      </w:r>
      <w:r>
        <w:rPr>
          <w:rFonts w:hint="eastAsia"/>
          <w:spacing w:val="-2"/>
        </w:rPr>
        <w:t>号共和国法令，关于处理涉及成年受害者的强奸案件的指导原则的司法部</w:t>
      </w:r>
      <w:r>
        <w:rPr>
          <w:rFonts w:hint="eastAsia"/>
          <w:spacing w:val="-2"/>
        </w:rPr>
        <w:t>1998</w:t>
      </w:r>
      <w:r>
        <w:rPr>
          <w:rFonts w:hint="eastAsia"/>
          <w:spacing w:val="-2"/>
        </w:rPr>
        <w:t>年第</w:t>
      </w:r>
      <w:r>
        <w:rPr>
          <w:rFonts w:hint="eastAsia"/>
          <w:spacing w:val="-2"/>
        </w:rPr>
        <w:t>9</w:t>
      </w:r>
      <w:r>
        <w:rPr>
          <w:rFonts w:hint="eastAsia"/>
          <w:spacing w:val="-2"/>
        </w:rPr>
        <w:t>号序列备忘录通过。这项政策确保诸多事项，包括以尊重态度公正地对待强奸案的成年受害者、指派女性调查员进行初审、防止受害者承认涉及其过去的性行为或名誉的证据（除非这种证据是与本案件有关的重要证据）、在初步调查期间禁止公布于众等。</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最高法院颁布了《少年犯法处理细则》。该细则在</w:t>
      </w:r>
      <w:r>
        <w:rPr>
          <w:rFonts w:hint="eastAsia"/>
          <w:spacing w:val="-2"/>
        </w:rPr>
        <w:t>2002</w:t>
      </w:r>
      <w:r>
        <w:rPr>
          <w:rFonts w:hint="eastAsia"/>
          <w:spacing w:val="-2"/>
        </w:rPr>
        <w:t>年</w:t>
      </w:r>
      <w:r>
        <w:rPr>
          <w:rFonts w:hint="eastAsia"/>
          <w:spacing w:val="-2"/>
        </w:rPr>
        <w:t>4</w:t>
      </w:r>
      <w:r>
        <w:rPr>
          <w:rFonts w:hint="eastAsia"/>
          <w:spacing w:val="-2"/>
        </w:rPr>
        <w:t>月</w:t>
      </w:r>
      <w:r>
        <w:rPr>
          <w:rFonts w:hint="eastAsia"/>
          <w:spacing w:val="-2"/>
        </w:rPr>
        <w:t>15</w:t>
      </w:r>
      <w:r>
        <w:rPr>
          <w:rFonts w:hint="eastAsia"/>
          <w:spacing w:val="-2"/>
        </w:rPr>
        <w:t>日生效，其中包含的条款来自《儿童权利公约》、《联合国少</w:t>
      </w:r>
      <w:r>
        <w:rPr>
          <w:rFonts w:hint="eastAsia"/>
          <w:spacing w:val="-2"/>
        </w:rPr>
        <w:t>年司法最低限度标准规则</w:t>
      </w:r>
      <w:r>
        <w:rPr>
          <w:rFonts w:hint="eastAsia"/>
          <w:spacing w:val="-2"/>
        </w:rPr>
        <w:t xml:space="preserve"> </w:t>
      </w:r>
      <w:r>
        <w:rPr>
          <w:rFonts w:hint="eastAsia"/>
          <w:spacing w:val="-2"/>
        </w:rPr>
        <w:t>》（北京规则）以及联合国其他标准规则，如一经承认即予释放、移交程序和拒绝媒体介入等保护青少年的隐私权。最高法院细则禁止将青少年称为少年犯、少年行为不轨者、卖淫者、流浪者或任何贬义名称。最高法院还发布了</w:t>
      </w:r>
      <w:r>
        <w:rPr>
          <w:rFonts w:hint="eastAsia"/>
          <w:spacing w:val="-2"/>
        </w:rPr>
        <w:t>2002</w:t>
      </w:r>
      <w:r>
        <w:rPr>
          <w:rFonts w:hint="eastAsia"/>
          <w:spacing w:val="-2"/>
        </w:rPr>
        <w:t>年</w:t>
      </w:r>
      <w:r>
        <w:rPr>
          <w:rFonts w:hint="eastAsia"/>
          <w:spacing w:val="-2"/>
        </w:rPr>
        <w:t>2</w:t>
      </w:r>
      <w:r>
        <w:rPr>
          <w:rFonts w:hint="eastAsia"/>
          <w:spacing w:val="-2"/>
        </w:rPr>
        <w:t>月</w:t>
      </w:r>
      <w:r>
        <w:rPr>
          <w:rFonts w:hint="eastAsia"/>
          <w:spacing w:val="-2"/>
        </w:rPr>
        <w:t>15</w:t>
      </w:r>
      <w:r>
        <w:rPr>
          <w:rFonts w:hint="eastAsia"/>
          <w:spacing w:val="-2"/>
        </w:rPr>
        <w:t>日第</w:t>
      </w:r>
      <w:r>
        <w:rPr>
          <w:rFonts w:hint="eastAsia"/>
          <w:spacing w:val="-2"/>
        </w:rPr>
        <w:t>04-2002</w:t>
      </w:r>
      <w:r>
        <w:rPr>
          <w:rFonts w:hint="eastAsia"/>
          <w:spacing w:val="-2"/>
        </w:rPr>
        <w:t>号行政命令，指示审判法官与有关政府官员保持定期对话，并视察监狱以检查囚犯，特别是未成年拘押者的福利状况。</w:t>
      </w:r>
    </w:p>
    <w:p w:rsidR="00000000" w:rsidRDefault="00821B8F">
      <w:pPr>
        <w:numPr>
          <w:ilvl w:val="0"/>
          <w:numId w:val="1236"/>
        </w:numPr>
        <w:spacing w:after="240" w:line="360" w:lineRule="exact"/>
        <w:ind w:left="540" w:hanging="540"/>
        <w:rPr>
          <w:rFonts w:hint="eastAsia"/>
          <w:spacing w:val="-2"/>
        </w:rPr>
      </w:pPr>
      <w:r>
        <w:rPr>
          <w:rFonts w:hint="eastAsia"/>
          <w:color w:val="000000"/>
          <w:spacing w:val="-2"/>
        </w:rPr>
        <w:t xml:space="preserve"> </w:t>
      </w:r>
      <w:r>
        <w:rPr>
          <w:rFonts w:hint="eastAsia"/>
          <w:color w:val="000000"/>
          <w:spacing w:val="-2"/>
        </w:rPr>
        <w:t>《</w:t>
      </w:r>
      <w:r>
        <w:rPr>
          <w:rFonts w:hint="eastAsia"/>
          <w:color w:val="000000"/>
          <w:spacing w:val="-2"/>
        </w:rPr>
        <w:t>1997</w:t>
      </w:r>
      <w:r>
        <w:rPr>
          <w:rFonts w:hint="eastAsia"/>
          <w:color w:val="000000"/>
          <w:spacing w:val="-2"/>
        </w:rPr>
        <w:t>年家事法庭法》（第</w:t>
      </w:r>
      <w:r>
        <w:rPr>
          <w:rFonts w:hint="eastAsia"/>
          <w:color w:val="000000"/>
          <w:spacing w:val="-2"/>
        </w:rPr>
        <w:t>8369</w:t>
      </w:r>
      <w:r>
        <w:rPr>
          <w:rFonts w:hint="eastAsia"/>
          <w:color w:val="000000"/>
          <w:spacing w:val="-2"/>
        </w:rPr>
        <w:t>号共和国法令）规定在全国各大城市建立家事法庭，采取更具前摄性的办法，保护妇女儿童免受家庭暴力和乱伦伤害的权利</w:t>
      </w:r>
      <w:r>
        <w:rPr>
          <w:rFonts w:hint="eastAsia"/>
          <w:color w:val="000000"/>
          <w:spacing w:val="-2"/>
        </w:rPr>
        <w:t>。违反第</w:t>
      </w:r>
      <w:r>
        <w:rPr>
          <w:rFonts w:hint="eastAsia"/>
          <w:color w:val="000000"/>
          <w:spacing w:val="-2"/>
        </w:rPr>
        <w:t>7610</w:t>
      </w:r>
      <w:r>
        <w:rPr>
          <w:rFonts w:hint="eastAsia"/>
          <w:color w:val="000000"/>
          <w:spacing w:val="-2"/>
        </w:rPr>
        <w:t>号共和国法令以及对妇女儿童施加家庭暴力，都在这部法律的管辖范围之内。该法律把对妇女的家庭暴力定义为“导致或可能导致对妇女的身体、性或精神伤害或痛苦的基于性别的暴力行为，以及侵犯妇女人身、完整和行动自由的殴打或威胁和胁迫等其他形式的身体虐待”。</w:t>
      </w:r>
      <w:r>
        <w:rPr>
          <w:rFonts w:hint="eastAsia"/>
          <w:color w:val="000000"/>
          <w:spacing w:val="-2"/>
        </w:rPr>
        <w:t xml:space="preserve"> </w:t>
      </w:r>
      <w:r>
        <w:rPr>
          <w:rFonts w:hint="eastAsia"/>
          <w:color w:val="000000"/>
          <w:spacing w:val="-2"/>
        </w:rPr>
        <w:t>另一方面，对儿童的家庭暴力指做出一切形式的虐待、忽视、残酷、剥削、暴力和歧视行为以及有损于儿童成长的所有其他情形。这些行为都构成了犯罪，因而必须接受相应的惩罚。</w:t>
      </w:r>
    </w:p>
    <w:p w:rsidR="00000000" w:rsidRDefault="00821B8F">
      <w:pPr>
        <w:numPr>
          <w:ilvl w:val="0"/>
          <w:numId w:val="1236"/>
        </w:numPr>
        <w:spacing w:after="240" w:line="360" w:lineRule="exact"/>
        <w:ind w:left="540" w:hanging="540"/>
        <w:rPr>
          <w:rFonts w:hint="eastAsia"/>
          <w:color w:val="000000"/>
        </w:rPr>
      </w:pPr>
      <w:r>
        <w:rPr>
          <w:rFonts w:hint="eastAsia"/>
          <w:color w:val="000000"/>
          <w:spacing w:val="-2"/>
        </w:rPr>
        <w:t xml:space="preserve"> </w:t>
      </w:r>
      <w:r>
        <w:rPr>
          <w:rFonts w:hint="eastAsia"/>
          <w:color w:val="000000"/>
          <w:spacing w:val="-2"/>
        </w:rPr>
        <w:t>根据第</w:t>
      </w:r>
      <w:r>
        <w:rPr>
          <w:rFonts w:hint="eastAsia"/>
          <w:color w:val="000000"/>
          <w:spacing w:val="-2"/>
        </w:rPr>
        <w:t>8369</w:t>
      </w:r>
      <w:r>
        <w:rPr>
          <w:rFonts w:hint="eastAsia"/>
          <w:color w:val="000000"/>
          <w:spacing w:val="-2"/>
        </w:rPr>
        <w:t>号共和国法令，最高法院颁布了儿童证人审查细则，并于</w:t>
      </w:r>
      <w:r>
        <w:rPr>
          <w:rFonts w:hint="eastAsia"/>
          <w:color w:val="000000"/>
          <w:spacing w:val="-2"/>
        </w:rPr>
        <w:t>2000</w:t>
      </w:r>
      <w:r>
        <w:rPr>
          <w:rFonts w:hint="eastAsia"/>
          <w:color w:val="000000"/>
          <w:spacing w:val="-2"/>
        </w:rPr>
        <w:t>年</w:t>
      </w:r>
      <w:r>
        <w:rPr>
          <w:rFonts w:hint="eastAsia"/>
          <w:color w:val="000000"/>
          <w:spacing w:val="-2"/>
        </w:rPr>
        <w:t>12</w:t>
      </w:r>
      <w:r>
        <w:rPr>
          <w:rFonts w:hint="eastAsia"/>
          <w:color w:val="000000"/>
          <w:spacing w:val="-2"/>
        </w:rPr>
        <w:t>月</w:t>
      </w:r>
      <w:r>
        <w:rPr>
          <w:rFonts w:hint="eastAsia"/>
          <w:color w:val="000000"/>
          <w:spacing w:val="-2"/>
        </w:rPr>
        <w:t>15</w:t>
      </w:r>
      <w:r>
        <w:rPr>
          <w:rFonts w:hint="eastAsia"/>
          <w:color w:val="000000"/>
          <w:spacing w:val="-2"/>
        </w:rPr>
        <w:t>日生</w:t>
      </w:r>
      <w:r>
        <w:rPr>
          <w:rFonts w:hint="eastAsia"/>
          <w:color w:val="000000"/>
          <w:spacing w:val="-2"/>
        </w:rPr>
        <w:t>效。这项细则的目的是要营造一种环境，允许儿童提供可靠和完整的证据且尽可能少受伤害，同时为儿童证人提供尽可能最好的安置条件。这项细则还授权法官在审判期间为儿童指定一名临时监护人、一名翻译、一名帮手和支助人员。同样，如果在作证时未成年人有可能因被告在场而受到伤害，那么还应使用实时连接的电视来作证，或利用屏幕、仪器或单向观察的镜子。目前。雅典耀人权中心正在联合国儿童基金会和阿西西发展基金会协助下，为各个司法区法庭指定的特别辩护人</w:t>
      </w:r>
      <w:r>
        <w:rPr>
          <w:rFonts w:hint="eastAsia"/>
          <w:color w:val="000000"/>
          <w:spacing w:val="-2"/>
        </w:rPr>
        <w:t>/</w:t>
      </w:r>
      <w:r>
        <w:rPr>
          <w:rFonts w:hint="eastAsia"/>
          <w:color w:val="000000"/>
          <w:spacing w:val="-2"/>
        </w:rPr>
        <w:t>监护人举办提高认识的研讨会。</w:t>
      </w:r>
    </w:p>
    <w:p w:rsidR="00000000" w:rsidRDefault="00821B8F">
      <w:pPr>
        <w:numPr>
          <w:ilvl w:val="0"/>
          <w:numId w:val="1236"/>
        </w:numPr>
        <w:spacing w:after="240" w:line="360" w:lineRule="exact"/>
        <w:ind w:left="540" w:hanging="540"/>
        <w:rPr>
          <w:rFonts w:hint="eastAsia"/>
          <w:color w:val="000000"/>
        </w:rPr>
      </w:pPr>
      <w:r>
        <w:rPr>
          <w:rFonts w:hint="eastAsia"/>
          <w:color w:val="000000"/>
          <w:spacing w:val="-2"/>
        </w:rPr>
        <w:t xml:space="preserve"> </w:t>
      </w:r>
      <w:r>
        <w:rPr>
          <w:rFonts w:hint="eastAsia"/>
          <w:color w:val="000000"/>
          <w:spacing w:val="-2"/>
        </w:rPr>
        <w:t>在地方政府一级，</w:t>
      </w:r>
      <w:r>
        <w:rPr>
          <w:color w:val="000000"/>
          <w:spacing w:val="-2"/>
        </w:rPr>
        <w:t>宿务</w:t>
      </w:r>
      <w:r>
        <w:rPr>
          <w:rFonts w:hint="eastAsia"/>
          <w:color w:val="000000"/>
          <w:spacing w:val="-2"/>
        </w:rPr>
        <w:t>市和各省政府表示，如果地方立法机</w:t>
      </w:r>
      <w:r>
        <w:rPr>
          <w:rFonts w:hint="eastAsia"/>
          <w:color w:val="000000"/>
          <w:spacing w:val="-2"/>
        </w:rPr>
        <w:t>构的官员认为有必要的话，立法机构可以援用其立法权来对付家庭暴力问题。</w:t>
      </w:r>
      <w:r>
        <w:rPr>
          <w:color w:val="000000"/>
          <w:spacing w:val="-2"/>
        </w:rPr>
        <w:t>宿务</w:t>
      </w:r>
      <w:r>
        <w:rPr>
          <w:rFonts w:hint="eastAsia"/>
          <w:color w:val="000000"/>
          <w:spacing w:val="-2"/>
        </w:rPr>
        <w:t>市议会和省委员会通过了惩罚家庭暴力及为虐待行为的妇女儿童受害者提供保护措施的法规。省级法规有许多更为突出的特点，例如，镇主席可以应受害人的要求发布“镇级保护令”。根据该保护令，地方政府官员可以“为保护受虐待人的安全，命令虐待者暂时搬出或禁止其进入受虐待者的住所，而不管该住所归谁所有”。由于通常都是妇女和儿童为了躲避施虐丈夫而被迫离开住所，因此，上述命令看起来是有必要的（</w:t>
      </w:r>
      <w:r>
        <w:rPr>
          <w:rFonts w:hint="eastAsia"/>
          <w:color w:val="000000"/>
        </w:rPr>
        <w:t>希门内斯–戴维，</w:t>
      </w:r>
      <w:r>
        <w:rPr>
          <w:color w:val="000000"/>
        </w:rPr>
        <w:t>2002</w:t>
      </w:r>
      <w:r>
        <w:rPr>
          <w:rFonts w:hint="eastAsia"/>
          <w:color w:val="000000"/>
        </w:rPr>
        <w:t>年）。</w:t>
      </w:r>
    </w:p>
    <w:p w:rsidR="00000000" w:rsidRDefault="00821B8F">
      <w:pPr>
        <w:tabs>
          <w:tab w:val="left" w:pos="5400"/>
        </w:tabs>
        <w:spacing w:after="240" w:line="360" w:lineRule="exact"/>
        <w:rPr>
          <w:rFonts w:hint="eastAsia"/>
        </w:rPr>
      </w:pPr>
      <w:r>
        <w:rPr>
          <w:rFonts w:hint="eastAsia"/>
          <w:u w:val="single"/>
        </w:rPr>
        <w:t>对付对妇女和儿童暴力的其他措施</w:t>
      </w:r>
    </w:p>
    <w:p w:rsidR="00000000" w:rsidRDefault="00821B8F">
      <w:pPr>
        <w:numPr>
          <w:ilvl w:val="0"/>
          <w:numId w:val="1236"/>
        </w:numPr>
        <w:spacing w:after="240" w:line="360" w:lineRule="exact"/>
        <w:ind w:left="540" w:hanging="540"/>
        <w:rPr>
          <w:rFonts w:hint="eastAsia"/>
          <w:color w:val="000000"/>
        </w:rPr>
      </w:pPr>
      <w:r>
        <w:rPr>
          <w:rFonts w:hint="eastAsia"/>
          <w:color w:val="000000"/>
          <w:spacing w:val="-2"/>
        </w:rPr>
        <w:t xml:space="preserve"> </w:t>
      </w:r>
      <w:r>
        <w:rPr>
          <w:rFonts w:hint="eastAsia"/>
          <w:color w:val="000000"/>
        </w:rPr>
        <w:t>2</w:t>
      </w:r>
      <w:r>
        <w:rPr>
          <w:rFonts w:hint="eastAsia"/>
          <w:color w:val="000000"/>
        </w:rPr>
        <w:t>000</w:t>
      </w:r>
      <w:r>
        <w:rPr>
          <w:rFonts w:hint="eastAsia"/>
          <w:color w:val="000000"/>
        </w:rPr>
        <w:t>年，最高法院开始对司法条款和法庭程序进行改革。指导这场改革的是通常被称为“达维德观察”的《</w:t>
      </w:r>
      <w:r>
        <w:rPr>
          <w:rFonts w:hint="eastAsia"/>
          <w:iCs/>
          <w:color w:val="000000"/>
        </w:rPr>
        <w:t>2001-2006</w:t>
      </w:r>
      <w:r>
        <w:rPr>
          <w:rFonts w:hint="eastAsia"/>
          <w:iCs/>
          <w:color w:val="000000"/>
        </w:rPr>
        <w:t>年司法改革行动纲领》</w:t>
      </w:r>
      <w:r>
        <w:rPr>
          <w:rFonts w:hint="eastAsia"/>
          <w:color w:val="000000"/>
        </w:rPr>
        <w:t>（最高法院，</w:t>
      </w:r>
      <w:r>
        <w:rPr>
          <w:rFonts w:hint="eastAsia"/>
          <w:color w:val="000000"/>
        </w:rPr>
        <w:t>2000</w:t>
      </w:r>
      <w:r>
        <w:rPr>
          <w:rFonts w:hint="eastAsia"/>
          <w:color w:val="000000"/>
        </w:rPr>
        <w:t>年）。该方案提出了一套对包括家庭暴力在内的家庭纠纷做出公正、不偏袒、不昂贵和快速的判决所需要的司法行政系统。</w:t>
      </w:r>
    </w:p>
    <w:p w:rsidR="00000000" w:rsidRDefault="00821B8F">
      <w:pPr>
        <w:numPr>
          <w:ilvl w:val="0"/>
          <w:numId w:val="1236"/>
        </w:numPr>
        <w:spacing w:after="240" w:line="360" w:lineRule="exact"/>
        <w:ind w:left="540" w:hanging="540"/>
        <w:rPr>
          <w:rFonts w:hint="eastAsia"/>
        </w:rPr>
      </w:pPr>
      <w:r>
        <w:rPr>
          <w:rFonts w:hint="eastAsia"/>
        </w:rPr>
        <w:t xml:space="preserve"> 2003</w:t>
      </w:r>
      <w:r>
        <w:rPr>
          <w:rFonts w:hint="eastAsia"/>
        </w:rPr>
        <w:t>年，最高法院首席法官成立了对性别问题有敏感认识的司法委员会，负责规划和领导使司法部门更好地解决妇女的关注和性别问题的运动。这些努力的早期成果反映在最高法院对</w:t>
      </w:r>
      <w:r>
        <w:rPr>
          <w:rFonts w:hint="eastAsia"/>
          <w:color w:val="000000"/>
        </w:rPr>
        <w:t>杰诺萨</w:t>
      </w:r>
      <w:r>
        <w:rPr>
          <w:rFonts w:hint="eastAsia"/>
        </w:rPr>
        <w:t>案件的判决中。在该案件中，承认“被殴打妇女综合征”是减刑的理由（而不是辩护）</w:t>
      </w:r>
      <w:r>
        <w:rPr>
          <w:rFonts w:hint="eastAsia"/>
        </w:rPr>
        <w:t>，结果不但推翻了死刑判决，而且由于按照该案的最低量刑被告已经刑满，因此被裁定释放。</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社会福利部的处境特困妇女康复计划为遭受非自愿或强迫卖淫、非法招工以及殴打和性虐待的受害妇女以及在武装冲突和拘押中幸存的妇女提供临时照顾和康复。这些临时家庭被称为“天堂”，其中有</w:t>
      </w:r>
      <w:r>
        <w:rPr>
          <w:rFonts w:hint="eastAsia"/>
        </w:rPr>
        <w:t>13</w:t>
      </w:r>
      <w:r>
        <w:rPr>
          <w:rFonts w:hint="eastAsia"/>
        </w:rPr>
        <w:t>家在全国经营，提供膳宿服务，包括食品、医疗和心理服务；介绍法律、精神治疗等使受害者早日康复所必须的服务以及谋生技能培训。</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社会福利部还在全国所有</w:t>
      </w:r>
      <w:r>
        <w:rPr>
          <w:rFonts w:hint="eastAsia"/>
        </w:rPr>
        <w:t>15</w:t>
      </w:r>
      <w:r>
        <w:rPr>
          <w:rFonts w:hint="eastAsia"/>
        </w:rPr>
        <w:t>个地区设立了危机干预机构。该机构设有</w:t>
      </w:r>
      <w:r>
        <w:rPr>
          <w:rFonts w:hint="eastAsia"/>
        </w:rPr>
        <w:t>24</w:t>
      </w:r>
      <w:r>
        <w:rPr>
          <w:rFonts w:hint="eastAsia"/>
        </w:rPr>
        <w:t>小时热线服务，通过电话提供咨询服务、完成抢救手术、安排适</w:t>
      </w:r>
      <w:r>
        <w:rPr>
          <w:rFonts w:hint="eastAsia"/>
        </w:rPr>
        <w:t>当的机构接待受害者以及给予其他各种支助。暴力行为（包括乱伦）的幸存妇女和女童可以在设在全国各地的</w:t>
      </w:r>
      <w:r>
        <w:rPr>
          <w:rFonts w:hint="eastAsia"/>
        </w:rPr>
        <w:t>12</w:t>
      </w:r>
      <w:r>
        <w:rPr>
          <w:rFonts w:hint="eastAsia"/>
        </w:rPr>
        <w:t>个女童之家、</w:t>
      </w:r>
      <w:r>
        <w:rPr>
          <w:rFonts w:hint="eastAsia"/>
        </w:rPr>
        <w:t>12</w:t>
      </w:r>
      <w:r>
        <w:rPr>
          <w:rFonts w:hint="eastAsia"/>
        </w:rPr>
        <w:t>个儿童收容和学习中心以及四家</w:t>
      </w:r>
      <w:r>
        <w:t>Lingap</w:t>
      </w:r>
      <w:r>
        <w:rPr>
          <w:rFonts w:hint="eastAsia"/>
        </w:rPr>
        <w:t>（照料）中心中任选一处来安身。这些中心提供全套服务，从案件分析和管理到面向个人和集体的治疗和康复的有组织的非正式活动。此外，这些机构还提供正规学校和职业教育及技能培训服务。保健服务和心理或精神治疗服务以及文娱、体育和其他社会文化活动也都属于全套服务的内容。</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卫生部在其所属的全国</w:t>
      </w:r>
      <w:r>
        <w:rPr>
          <w:rFonts w:hint="eastAsia"/>
        </w:rPr>
        <w:t>44</w:t>
      </w:r>
      <w:r>
        <w:rPr>
          <w:rFonts w:hint="eastAsia"/>
        </w:rPr>
        <w:t>家医院里使妇女儿童保护方案实现制度化。这种机构现名为妇女儿童保护机构，每</w:t>
      </w:r>
      <w:r>
        <w:rPr>
          <w:rFonts w:hint="eastAsia"/>
        </w:rPr>
        <w:t>个机构都建立</w:t>
      </w:r>
      <w:r>
        <w:rPr>
          <w:rFonts w:hint="eastAsia"/>
        </w:rPr>
        <w:t>24</w:t>
      </w:r>
      <w:r>
        <w:rPr>
          <w:rFonts w:hint="eastAsia"/>
        </w:rPr>
        <w:t>小时快速反应的工作体制，以便向幸存者提供人性化的综合保健措施。卫生部与儿童保护机构以及菲律宾总医院妇女接待处及菲律宾大学合作，</w:t>
      </w:r>
      <w:r>
        <w:rPr>
          <w:rFonts w:hint="eastAsia"/>
        </w:rPr>
        <w:t xml:space="preserve"> </w:t>
      </w:r>
      <w:r>
        <w:rPr>
          <w:rFonts w:hint="eastAsia"/>
        </w:rPr>
        <w:t>编写了一套妇女儿童保护机构医生培训方案，使他们具备能力和敏感性来满足暴力行为中幸存下来的妇女儿童的需要。该培训方案还教会医生完成法医工作，以便他们能提供证据并以专家证人的身份出庭。</w:t>
      </w:r>
    </w:p>
    <w:p w:rsidR="00000000" w:rsidRDefault="00821B8F">
      <w:pPr>
        <w:numPr>
          <w:ilvl w:val="0"/>
          <w:numId w:val="1236"/>
        </w:numPr>
        <w:spacing w:after="240" w:line="360" w:lineRule="exact"/>
        <w:ind w:left="540" w:hanging="540"/>
        <w:rPr>
          <w:rFonts w:hint="eastAsia"/>
        </w:rPr>
      </w:pPr>
      <w:r>
        <w:rPr>
          <w:rFonts w:hint="eastAsia"/>
        </w:rPr>
        <w:t xml:space="preserve"> 2002</w:t>
      </w:r>
      <w:r>
        <w:rPr>
          <w:rFonts w:hint="eastAsia"/>
        </w:rPr>
        <w:t>年，全国</w:t>
      </w:r>
      <w:r>
        <w:rPr>
          <w:rFonts w:hint="eastAsia"/>
        </w:rPr>
        <w:t>3 354</w:t>
      </w:r>
      <w:r>
        <w:rPr>
          <w:rFonts w:hint="eastAsia"/>
        </w:rPr>
        <w:t>个镇都有根据《</w:t>
      </w:r>
      <w:r>
        <w:rPr>
          <w:rFonts w:hint="eastAsia"/>
        </w:rPr>
        <w:t>1974</w:t>
      </w:r>
      <w:r>
        <w:rPr>
          <w:rFonts w:hint="eastAsia"/>
        </w:rPr>
        <w:t>年儿童和青年福利法典》成立的地方和镇保护儿童委员会。</w:t>
      </w:r>
      <w:r>
        <w:rPr>
          <w:rFonts w:hint="eastAsia"/>
        </w:rPr>
        <w:t>1997</w:t>
      </w:r>
      <w:r>
        <w:rPr>
          <w:rFonts w:hint="eastAsia"/>
        </w:rPr>
        <w:t>年，内政和地方政府部增强了这些委员会的实力，包括对候补委员会成员和镇级官员进</w:t>
      </w:r>
      <w:r>
        <w:rPr>
          <w:rFonts w:hint="eastAsia"/>
        </w:rPr>
        <w:t>行培训，使他们学会如何举办计划与咨询讲习班。</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与执法有关的机构都有各自的机构专门处理对妇女儿童的暴力。国家调查局设立了对妇女儿童暴力司，负责案件调查，并向性骚扰或强奸案的受害儿童和吸毒受害者提供保护性服务、咨询、体检和援助以及适当的监护。司法部成立了保护儿童工作队，负责对虐待和剥削儿童案件进行调查、起诉和诉讼。所有的警察站现在都设有妇女儿童问题接待处。这些机构配备的工作人员主要是女警官，专门接受受害人和幸存者的投诉。到</w:t>
      </w:r>
      <w:r>
        <w:rPr>
          <w:rFonts w:hint="eastAsia"/>
        </w:rPr>
        <w:t>2001</w:t>
      </w:r>
      <w:r>
        <w:rPr>
          <w:rFonts w:hint="eastAsia"/>
        </w:rPr>
        <w:t>年年底，菲律宾国民警察部队在全国各地的警察管区设立了</w:t>
      </w:r>
      <w:r>
        <w:rPr>
          <w:rFonts w:hint="eastAsia"/>
        </w:rPr>
        <w:t>1 612</w:t>
      </w:r>
      <w:r>
        <w:rPr>
          <w:rFonts w:hint="eastAsia"/>
        </w:rPr>
        <w:t>个妇女儿童问题接待</w:t>
      </w:r>
      <w:r>
        <w:rPr>
          <w:rFonts w:hint="eastAsia"/>
        </w:rPr>
        <w:t>处，总共配备了</w:t>
      </w:r>
      <w:r>
        <w:rPr>
          <w:rFonts w:hint="eastAsia"/>
        </w:rPr>
        <w:t>2 138</w:t>
      </w:r>
      <w:r>
        <w:rPr>
          <w:rFonts w:hint="eastAsia"/>
        </w:rPr>
        <w:t>名女性和</w:t>
      </w:r>
      <w:r>
        <w:rPr>
          <w:rFonts w:hint="eastAsia"/>
        </w:rPr>
        <w:t>405</w:t>
      </w:r>
      <w:r>
        <w:rPr>
          <w:rFonts w:hint="eastAsia"/>
        </w:rPr>
        <w:t>名男性工作人员。</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为提高有关岗位上的工作人员处理侵犯这一人权事件的能力，菲律宾采取了各种干预措施，其中包括：</w:t>
      </w:r>
    </w:p>
    <w:p w:rsidR="00000000" w:rsidRDefault="00821B8F">
      <w:pPr>
        <w:numPr>
          <w:ilvl w:val="0"/>
          <w:numId w:val="1335"/>
        </w:numPr>
        <w:tabs>
          <w:tab w:val="clear" w:pos="765"/>
          <w:tab w:val="num" w:pos="1080"/>
        </w:tabs>
        <w:spacing w:after="240" w:line="360" w:lineRule="exact"/>
        <w:ind w:left="1080" w:hanging="480"/>
        <w:rPr>
          <w:rFonts w:hint="eastAsia"/>
          <w:color w:val="000000"/>
        </w:rPr>
      </w:pPr>
      <w:r>
        <w:rPr>
          <w:rFonts w:hint="eastAsia"/>
          <w:color w:val="000000"/>
        </w:rPr>
        <w:t>内政和地方政府部协助在</w:t>
      </w:r>
      <w:r>
        <w:rPr>
          <w:color w:val="000000"/>
        </w:rPr>
        <w:t>拉乌尼翁</w:t>
      </w:r>
      <w:r>
        <w:rPr>
          <w:rFonts w:hint="eastAsia"/>
          <w:color w:val="000000"/>
        </w:rPr>
        <w:t>省的所有</w:t>
      </w:r>
      <w:r>
        <w:rPr>
          <w:rFonts w:hint="eastAsia"/>
          <w:color w:val="000000"/>
        </w:rPr>
        <w:t>19</w:t>
      </w:r>
      <w:r>
        <w:rPr>
          <w:rFonts w:hint="eastAsia"/>
          <w:color w:val="000000"/>
        </w:rPr>
        <w:t>个自治市和一个城市（</w:t>
      </w:r>
      <w:r>
        <w:rPr>
          <w:color w:val="000000"/>
        </w:rPr>
        <w:t>圣费尔南多</w:t>
      </w:r>
      <w:r>
        <w:rPr>
          <w:rFonts w:hint="eastAsia"/>
          <w:color w:val="000000"/>
        </w:rPr>
        <w:t>市）设立了基于社区的妇女接待处。该部向这方面的地方政府机构提供的服务包括对社区一线工作队进行对妇女儿童的暴力问题培训、促进村级官员和妇女组织转向性别和对妇女儿童的暴力问题、以及为制订对付对妇女儿童暴力的战略机制举行计划讲习班活动。</w:t>
      </w:r>
    </w:p>
    <w:p w:rsidR="00000000" w:rsidRDefault="00821B8F">
      <w:pPr>
        <w:numPr>
          <w:ilvl w:val="0"/>
          <w:numId w:val="1335"/>
        </w:numPr>
        <w:tabs>
          <w:tab w:val="clear" w:pos="765"/>
          <w:tab w:val="num" w:pos="1080"/>
        </w:tabs>
        <w:spacing w:after="240" w:line="360" w:lineRule="exact"/>
        <w:ind w:left="1080" w:hanging="480"/>
        <w:rPr>
          <w:rFonts w:hint="eastAsia"/>
        </w:rPr>
      </w:pPr>
      <w:r>
        <w:rPr>
          <w:rFonts w:hint="eastAsia"/>
        </w:rPr>
        <w:t>卫生部与妇女委员会、妇女危机中心和东干道医疗中心合作，发起</w:t>
      </w:r>
      <w:r>
        <w:rPr>
          <w:rFonts w:hint="eastAsia"/>
        </w:rPr>
        <w:t>了一个医院援助的暴力环境中受害</w:t>
      </w:r>
      <w:r>
        <w:rPr>
          <w:rFonts w:hint="eastAsia"/>
        </w:rPr>
        <w:t>/</w:t>
      </w:r>
      <w:r>
        <w:rPr>
          <w:rFonts w:hint="eastAsia"/>
        </w:rPr>
        <w:t>幸存妇女的危机干预行动，又称</w:t>
      </w:r>
      <w:r>
        <w:rPr>
          <w:rFonts w:hint="eastAsia"/>
        </w:rPr>
        <w:t>HAVEN</w:t>
      </w:r>
      <w:r>
        <w:rPr>
          <w:rFonts w:hint="eastAsia"/>
        </w:rPr>
        <w:t>计划，测试基于政府医院的对妇女暴力受害</w:t>
      </w:r>
      <w:r>
        <w:rPr>
          <w:rFonts w:hint="eastAsia"/>
        </w:rPr>
        <w:t>/</w:t>
      </w:r>
      <w:r>
        <w:rPr>
          <w:rFonts w:hint="eastAsia"/>
        </w:rPr>
        <w:t>幸存者救治中心的实力。这项计划所产生的成果包括为不同的政府机构制订出适当处置对妇女暴力受害</w:t>
      </w:r>
      <w:r>
        <w:rPr>
          <w:rFonts w:hint="eastAsia"/>
        </w:rPr>
        <w:t>/</w:t>
      </w:r>
      <w:r>
        <w:rPr>
          <w:rFonts w:hint="eastAsia"/>
        </w:rPr>
        <w:t>幸存者的规程，另外还包括建立基于医院的危机中心的录像手册。</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在提高公众和司法系统骨干的认识方面，菲律宾也做出了努力，其中包括：</w:t>
      </w:r>
    </w:p>
    <w:p w:rsidR="00000000" w:rsidRDefault="00821B8F">
      <w:pPr>
        <w:numPr>
          <w:ilvl w:val="0"/>
          <w:numId w:val="1336"/>
        </w:numPr>
        <w:tabs>
          <w:tab w:val="clear" w:pos="780"/>
          <w:tab w:val="left" w:pos="1080"/>
        </w:tabs>
        <w:spacing w:after="240" w:line="360" w:lineRule="exact"/>
        <w:ind w:left="1080" w:hanging="480"/>
        <w:rPr>
          <w:rFonts w:hint="eastAsia"/>
        </w:rPr>
      </w:pPr>
      <w:r>
        <w:rPr>
          <w:rFonts w:hint="eastAsia"/>
        </w:rPr>
        <w:t>菲律宾司法学院为检察官和法官举办了认识性别问题的研讨会（</w:t>
      </w:r>
      <w:r>
        <w:rPr>
          <w:rFonts w:hint="eastAsia"/>
        </w:rPr>
        <w:t>1999</w:t>
      </w:r>
      <w:r>
        <w:rPr>
          <w:rFonts w:hint="eastAsia"/>
        </w:rPr>
        <w:t>年）；为刑事司法系统的五大支柱执行了对性别问题具有敏感认识方案（</w:t>
      </w:r>
      <w:r>
        <w:rPr>
          <w:rFonts w:hint="eastAsia"/>
        </w:rPr>
        <w:t>2000</w:t>
      </w:r>
      <w:r>
        <w:rPr>
          <w:rFonts w:hint="eastAsia"/>
        </w:rPr>
        <w:t>年）；举办了八场关于青少年和家庭关系的多部门</w:t>
      </w:r>
      <w:r>
        <w:rPr>
          <w:rFonts w:hint="eastAsia"/>
        </w:rPr>
        <w:t>研讨会（</w:t>
      </w:r>
      <w:r>
        <w:rPr>
          <w:rFonts w:hint="eastAsia"/>
        </w:rPr>
        <w:t>2000</w:t>
      </w:r>
      <w:r>
        <w:rPr>
          <w:rFonts w:hint="eastAsia"/>
        </w:rPr>
        <w:t>年</w:t>
      </w:r>
      <w:r>
        <w:rPr>
          <w:rFonts w:hint="eastAsia"/>
        </w:rPr>
        <w:t>9</w:t>
      </w:r>
      <w:r>
        <w:rPr>
          <w:rFonts w:hint="eastAsia"/>
        </w:rPr>
        <w:t>月至</w:t>
      </w:r>
      <w:r>
        <w:rPr>
          <w:rFonts w:hint="eastAsia"/>
        </w:rPr>
        <w:t>2001</w:t>
      </w:r>
      <w:r>
        <w:rPr>
          <w:rFonts w:hint="eastAsia"/>
        </w:rPr>
        <w:t>年</w:t>
      </w:r>
      <w:r>
        <w:rPr>
          <w:rFonts w:hint="eastAsia"/>
        </w:rPr>
        <w:t>10</w:t>
      </w:r>
      <w:r>
        <w:rPr>
          <w:rFonts w:hint="eastAsia"/>
        </w:rPr>
        <w:t>月）；以及举办了以“实现你的经济、社会和文化权利”为题的司法讲习班（</w:t>
      </w:r>
      <w:r>
        <w:rPr>
          <w:rFonts w:hint="eastAsia"/>
        </w:rPr>
        <w:t>2001</w:t>
      </w:r>
      <w:r>
        <w:rPr>
          <w:rFonts w:hint="eastAsia"/>
        </w:rPr>
        <w:t>年</w:t>
      </w:r>
      <w:r>
        <w:rPr>
          <w:rFonts w:hint="eastAsia"/>
        </w:rPr>
        <w:t>9</w:t>
      </w:r>
      <w:r>
        <w:rPr>
          <w:rFonts w:hint="eastAsia"/>
        </w:rPr>
        <w:t>月</w:t>
      </w:r>
      <w:r>
        <w:rPr>
          <w:rFonts w:hint="eastAsia"/>
        </w:rPr>
        <w:t>12</w:t>
      </w:r>
      <w:r>
        <w:rPr>
          <w:rFonts w:hint="eastAsia"/>
        </w:rPr>
        <w:t>日至</w:t>
      </w:r>
      <w:r>
        <w:rPr>
          <w:rFonts w:hint="eastAsia"/>
        </w:rPr>
        <w:t>14</w:t>
      </w:r>
      <w:r>
        <w:rPr>
          <w:rFonts w:hint="eastAsia"/>
        </w:rPr>
        <w:t>日）。共同举办这些活动的有菲律宾大学司法行政学院、非政府组织实现自力更生倡议、联合国儿童基金会、联合国人权事务高级专员以及福特基金会。</w:t>
      </w:r>
    </w:p>
    <w:p w:rsidR="00000000" w:rsidRDefault="00821B8F">
      <w:pPr>
        <w:numPr>
          <w:ilvl w:val="0"/>
          <w:numId w:val="1336"/>
        </w:numPr>
        <w:tabs>
          <w:tab w:val="clear" w:pos="780"/>
          <w:tab w:val="left" w:pos="1080"/>
        </w:tabs>
        <w:spacing w:after="240" w:line="360" w:lineRule="exact"/>
        <w:ind w:left="1080" w:hanging="480"/>
        <w:rPr>
          <w:rFonts w:hint="eastAsia"/>
        </w:rPr>
      </w:pPr>
      <w:r>
        <w:rPr>
          <w:rFonts w:hint="eastAsia"/>
        </w:rPr>
        <w:t>好几个部在动员媒体开展宣传运动以促进和保护儿童权利以及反对虐待儿童运动方面协调了种种努力。教育部与社会福利部和旅游部及媒体经过协调，于</w:t>
      </w:r>
      <w:r>
        <w:rPr>
          <w:rFonts w:hint="eastAsia"/>
        </w:rPr>
        <w:t>1998</w:t>
      </w:r>
      <w:r>
        <w:rPr>
          <w:rFonts w:hint="eastAsia"/>
        </w:rPr>
        <w:t>年在中学里组织了</w:t>
      </w:r>
      <w:r>
        <w:t>Bantay Eskwela</w:t>
      </w:r>
      <w:r>
        <w:rPr>
          <w:rFonts w:hint="eastAsia"/>
        </w:rPr>
        <w:t>（学校观察）活动，于</w:t>
      </w:r>
      <w:r>
        <w:rPr>
          <w:rFonts w:hint="eastAsia"/>
        </w:rPr>
        <w:t>1999</w:t>
      </w:r>
      <w:r>
        <w:rPr>
          <w:rFonts w:hint="eastAsia"/>
        </w:rPr>
        <w:t>年组织了</w:t>
      </w:r>
      <w:r>
        <w:rPr>
          <w:i/>
        </w:rPr>
        <w:t>Bicol Banta</w:t>
      </w:r>
      <w:r>
        <w:rPr>
          <w:i/>
        </w:rPr>
        <w:t>y Bata</w:t>
      </w:r>
      <w:r>
        <w:rPr>
          <w:rFonts w:hint="eastAsia"/>
        </w:rPr>
        <w:t>（儿童观察）活动，散发了宣传资料，并举办了媒体如何刻画女童形象的论坛。全国青年委员会组织了“青年之声”活动，以争取与媒体从业人员达成一项协议，营造反映青年理想和生活以及对青年的幸福持支持态度的更具敏感性的媒体环境。“青年之声”共联系了</w:t>
      </w:r>
      <w:r>
        <w:rPr>
          <w:rFonts w:hint="eastAsia"/>
        </w:rPr>
        <w:t>100</w:t>
      </w:r>
      <w:r>
        <w:rPr>
          <w:rFonts w:hint="eastAsia"/>
        </w:rPr>
        <w:t>多位学生</w:t>
      </w:r>
      <w:r>
        <w:rPr>
          <w:rFonts w:hint="eastAsia"/>
        </w:rPr>
        <w:t>/</w:t>
      </w:r>
      <w:r>
        <w:rPr>
          <w:rFonts w:hint="eastAsia"/>
        </w:rPr>
        <w:t>青年领袖和媒体从业人员。青年委员会还建立了</w:t>
      </w:r>
      <w:r>
        <w:t>Bantay</w:t>
      </w:r>
      <w:r>
        <w:rPr>
          <w:rFonts w:hint="eastAsia"/>
        </w:rPr>
        <w:t>影院青年网络，作为监测各地情况的工作小组。</w:t>
      </w:r>
    </w:p>
    <w:p w:rsidR="00000000" w:rsidRDefault="00821B8F">
      <w:pPr>
        <w:numPr>
          <w:ilvl w:val="0"/>
          <w:numId w:val="1336"/>
        </w:numPr>
        <w:tabs>
          <w:tab w:val="clear" w:pos="780"/>
          <w:tab w:val="left" w:pos="1080"/>
        </w:tabs>
        <w:spacing w:after="240" w:line="360" w:lineRule="exact"/>
        <w:ind w:left="1080" w:hanging="480"/>
        <w:rPr>
          <w:rFonts w:hint="eastAsia"/>
        </w:rPr>
      </w:pPr>
      <w:r>
        <w:rPr>
          <w:rFonts w:hint="eastAsia"/>
        </w:rPr>
        <w:t>社会福利部实施了一项帮助处境危急的祖母项目，其目的是通过向以前的慰安妇采取心理干预措施和财政援助来满足其基本需求，使她们重新获得自尊。这项计划在</w:t>
      </w:r>
      <w:r>
        <w:rPr>
          <w:rFonts w:hint="eastAsia"/>
        </w:rPr>
        <w:t>2002</w:t>
      </w:r>
      <w:r>
        <w:rPr>
          <w:rFonts w:hint="eastAsia"/>
        </w:rPr>
        <w:t>年</w:t>
      </w:r>
      <w:r>
        <w:rPr>
          <w:rFonts w:hint="eastAsia"/>
        </w:rPr>
        <w:t>12</w:t>
      </w:r>
      <w:r>
        <w:rPr>
          <w:rFonts w:hint="eastAsia"/>
        </w:rPr>
        <w:t>月结束。</w:t>
      </w:r>
    </w:p>
    <w:p w:rsidR="00000000" w:rsidRDefault="00821B8F">
      <w:pPr>
        <w:numPr>
          <w:ilvl w:val="0"/>
          <w:numId w:val="1336"/>
        </w:numPr>
        <w:tabs>
          <w:tab w:val="clear" w:pos="780"/>
          <w:tab w:val="left" w:pos="1080"/>
        </w:tabs>
        <w:spacing w:after="240" w:line="360" w:lineRule="exact"/>
        <w:ind w:left="1080" w:hanging="480"/>
        <w:rPr>
          <w:rFonts w:hint="eastAsia"/>
        </w:rPr>
      </w:pPr>
      <w:r>
        <w:rPr>
          <w:rFonts w:hint="eastAsia"/>
        </w:rPr>
        <w:t>地方政府和社区还可以从加拿大国际开发署资助的项目，即地方政府支助方案出版的一本推广指南中学习经验，以帮助地方政府形成它们对妇女暴力问题的应对方案。该指南名为“远离恐惧：建立对妇女暴力的快速反应小组”（地方政府支助方案，</w:t>
      </w:r>
      <w:r>
        <w:rPr>
          <w:rFonts w:hint="eastAsia"/>
        </w:rPr>
        <w:t>2003</w:t>
      </w:r>
      <w:r>
        <w:rPr>
          <w:rFonts w:hint="eastAsia"/>
        </w:rPr>
        <w:t>年），由根据西方黑人组织处境不利妇女联盟、依托社区与对妇女暴力行为作斗争的途径、妇女危机中心以及其他基于社区的消除妇女暴力活动中的快速反应队伍的经验编写的成套手册组成。这样，“远离恐惧”</w:t>
      </w:r>
      <w:r>
        <w:rPr>
          <w:rFonts w:hint="eastAsia"/>
        </w:rPr>
        <w:t xml:space="preserve"> </w:t>
      </w:r>
      <w:r>
        <w:rPr>
          <w:rFonts w:hint="eastAsia"/>
        </w:rPr>
        <w:t>一书提供了各种各样的工具和模式，供地方政府机构研究和学习。</w:t>
      </w:r>
    </w:p>
    <w:p w:rsidR="00000000" w:rsidRDefault="00821B8F">
      <w:pPr>
        <w:tabs>
          <w:tab w:val="left" w:pos="5400"/>
        </w:tabs>
        <w:spacing w:after="240" w:line="360" w:lineRule="exact"/>
        <w:rPr>
          <w:rFonts w:hint="eastAsia"/>
          <w:u w:val="single"/>
        </w:rPr>
      </w:pPr>
      <w:r>
        <w:rPr>
          <w:rFonts w:hint="eastAsia"/>
          <w:u w:val="single"/>
        </w:rPr>
        <w:t>非政府组织对付对妇女儿</w:t>
      </w:r>
      <w:r>
        <w:rPr>
          <w:rFonts w:hint="eastAsia"/>
          <w:u w:val="single"/>
        </w:rPr>
        <w:t>童的暴力方案</w:t>
      </w:r>
    </w:p>
    <w:p w:rsidR="00000000" w:rsidRDefault="00821B8F">
      <w:pPr>
        <w:numPr>
          <w:ilvl w:val="0"/>
          <w:numId w:val="1236"/>
        </w:numPr>
        <w:spacing w:after="240" w:line="360" w:lineRule="exact"/>
        <w:ind w:left="540" w:hanging="540"/>
        <w:rPr>
          <w:rFonts w:hint="eastAsia"/>
          <w:spacing w:val="-2"/>
        </w:rPr>
      </w:pPr>
      <w:r>
        <w:rPr>
          <w:rFonts w:hint="eastAsia"/>
        </w:rPr>
        <w:t xml:space="preserve"> </w:t>
      </w:r>
      <w:r>
        <w:rPr>
          <w:rFonts w:hint="eastAsia"/>
        </w:rPr>
        <w:t>非政府组织社会的功劳不仅在于把家庭暴力提升为一个公共问题，而且早在政府有这种意识之前，它们就已经在提供这一方面的服务了。非政府组织为帮助暴力行为的受害妇女而制订的许多基于社区方案现在已经被国家政府机构和地方政府采纳并正在推广。这些方案中有依托社区与对妇女暴力行为作斗争的途径，后者是由妇女法律局和实现自力更生倡议创建的，现已被奎松市地方政府采用。</w:t>
      </w:r>
      <w:r>
        <w:rPr>
          <w:spacing w:val="-2"/>
        </w:rPr>
        <w:t xml:space="preserve">Lihok Pilipina’s </w:t>
      </w:r>
      <w:r>
        <w:rPr>
          <w:i/>
          <w:spacing w:val="-2"/>
        </w:rPr>
        <w:t>Bantay Banay</w:t>
      </w:r>
      <w:r>
        <w:rPr>
          <w:rFonts w:hint="eastAsia"/>
          <w:spacing w:val="-2"/>
        </w:rPr>
        <w:t>（或称为“社区观测方案”）则是</w:t>
      </w:r>
      <w:r>
        <w:rPr>
          <w:spacing w:val="-2"/>
        </w:rPr>
        <w:t>宿务</w:t>
      </w:r>
      <w:r>
        <w:rPr>
          <w:rFonts w:hint="eastAsia"/>
          <w:spacing w:val="-2"/>
        </w:rPr>
        <w:t>市惩治家庭暴力方案的主干。</w:t>
      </w:r>
    </w:p>
    <w:p w:rsidR="00000000" w:rsidRDefault="00821B8F">
      <w:pPr>
        <w:numPr>
          <w:ilvl w:val="0"/>
          <w:numId w:val="1236"/>
        </w:numPr>
        <w:spacing w:after="240" w:line="360" w:lineRule="exact"/>
        <w:ind w:left="540" w:hanging="540"/>
        <w:rPr>
          <w:rFonts w:hint="eastAsia"/>
          <w:color w:val="000000"/>
          <w:spacing w:val="-2"/>
        </w:rPr>
      </w:pPr>
      <w:r>
        <w:rPr>
          <w:rFonts w:hint="eastAsia"/>
          <w:color w:val="000000"/>
          <w:spacing w:val="-2"/>
        </w:rPr>
        <w:t xml:space="preserve"> </w:t>
      </w:r>
      <w:r>
        <w:rPr>
          <w:rFonts w:hint="eastAsia"/>
          <w:color w:val="000000"/>
          <w:spacing w:val="-2"/>
        </w:rPr>
        <w:t>由九个妇女团体和非政府组织联</w:t>
      </w:r>
      <w:r>
        <w:rPr>
          <w:rFonts w:hint="eastAsia"/>
          <w:color w:val="000000"/>
          <w:spacing w:val="-2"/>
        </w:rPr>
        <w:t>合组成的</w:t>
      </w:r>
      <w:r>
        <w:rPr>
          <w:rFonts w:hint="eastAsia"/>
          <w:color w:val="000000"/>
          <w:spacing w:val="-2"/>
        </w:rPr>
        <w:t>SIBOL</w:t>
      </w:r>
      <w:r>
        <w:rPr>
          <w:rFonts w:hint="eastAsia"/>
          <w:color w:val="000000"/>
          <w:spacing w:val="-2"/>
        </w:rPr>
        <w:t>在继续积极推动与妇女有关的立法。在这些组织推动下，菲律宾成功地通过了惩治性骚扰、惩治强奸和惩治对妇女及其子女施暴等法律。后一项法律依据的是</w:t>
      </w:r>
      <w:r>
        <w:rPr>
          <w:rFonts w:hint="eastAsia"/>
          <w:color w:val="000000"/>
          <w:spacing w:val="-2"/>
        </w:rPr>
        <w:t>SIBOL</w:t>
      </w:r>
      <w:r>
        <w:rPr>
          <w:rFonts w:hint="eastAsia"/>
          <w:color w:val="000000"/>
          <w:spacing w:val="-2"/>
        </w:rPr>
        <w:t>提出的惩治私密关系中的虐待妇女行为的议案。</w:t>
      </w:r>
      <w:r>
        <w:rPr>
          <w:rFonts w:hint="eastAsia"/>
          <w:color w:val="000000"/>
          <w:spacing w:val="-2"/>
        </w:rPr>
        <w:t>SIBOL</w:t>
      </w:r>
      <w:r>
        <w:rPr>
          <w:rFonts w:hint="eastAsia"/>
          <w:color w:val="000000"/>
          <w:spacing w:val="-2"/>
        </w:rPr>
        <w:t>的成员组织有妇女危机中心、立法发展中心、妇女法律局、妇女保健协会、社会研究和行动研究所、妇女教育、发展能力与研究组织、自由组织以及</w:t>
      </w:r>
      <w:r>
        <w:rPr>
          <w:color w:val="000000"/>
          <w:spacing w:val="-2"/>
        </w:rPr>
        <w:t>Sarilaya</w:t>
      </w:r>
      <w:r>
        <w:rPr>
          <w:rFonts w:hint="eastAsia"/>
          <w:color w:val="000000"/>
          <w:spacing w:val="-2"/>
        </w:rPr>
        <w:t>。</w:t>
      </w:r>
    </w:p>
    <w:p w:rsidR="00000000" w:rsidRDefault="00821B8F">
      <w:pPr>
        <w:numPr>
          <w:ilvl w:val="0"/>
          <w:numId w:val="1236"/>
        </w:numPr>
        <w:spacing w:after="240" w:line="360" w:lineRule="exact"/>
        <w:ind w:left="540" w:hanging="540"/>
        <w:rPr>
          <w:rFonts w:hint="eastAsia"/>
        </w:rPr>
      </w:pPr>
      <w:r>
        <w:rPr>
          <w:rFonts w:hint="eastAsia"/>
          <w:spacing w:val="-2"/>
        </w:rPr>
        <w:t xml:space="preserve"> </w:t>
      </w:r>
      <w:r>
        <w:rPr>
          <w:rFonts w:hint="eastAsia"/>
          <w:spacing w:val="-2"/>
        </w:rPr>
        <w:t>菲律宾第一家对妇女暴力行为的受害</w:t>
      </w:r>
      <w:r>
        <w:rPr>
          <w:rFonts w:hint="eastAsia"/>
          <w:spacing w:val="-2"/>
        </w:rPr>
        <w:t>/</w:t>
      </w:r>
      <w:r>
        <w:rPr>
          <w:rFonts w:hint="eastAsia"/>
          <w:spacing w:val="-2"/>
        </w:rPr>
        <w:t>幸存者危机中心，即“妇女危机中心”于</w:t>
      </w:r>
      <w:r>
        <w:rPr>
          <w:rFonts w:hint="eastAsia"/>
          <w:spacing w:val="-2"/>
        </w:rPr>
        <w:t>1997</w:t>
      </w:r>
      <w:r>
        <w:rPr>
          <w:rFonts w:hint="eastAsia"/>
          <w:spacing w:val="-2"/>
        </w:rPr>
        <w:t>年在全国</w:t>
      </w:r>
      <w:r>
        <w:rPr>
          <w:rFonts w:hint="eastAsia"/>
          <w:spacing w:val="-2"/>
        </w:rPr>
        <w:t>18</w:t>
      </w:r>
      <w:r>
        <w:rPr>
          <w:rFonts w:hint="eastAsia"/>
          <w:spacing w:val="-2"/>
        </w:rPr>
        <w:t>个城市和自治市推出了预防家庭暴力全国网络方案。该方案</w:t>
      </w:r>
      <w:r>
        <w:rPr>
          <w:rFonts w:hint="eastAsia"/>
          <w:spacing w:val="-2"/>
        </w:rPr>
        <w:t>是一项基于社区的战略，使家庭成员能够在暴力面前保护自己，并在家庭关系范畴内设法和平解决冲突。这个方案的目标是在从地区到村镇一级组织并动员多机构行动小组来预防家庭暴力。参与打击对妇女儿童的暴力斗争的还有三个法律组织，即</w:t>
      </w:r>
      <w:r>
        <w:rPr>
          <w:spacing w:val="-2"/>
        </w:rPr>
        <w:t>SALIGAN (</w:t>
      </w:r>
      <w:r>
        <w:rPr>
          <w:i/>
          <w:color w:val="0000FF"/>
          <w:spacing w:val="-2"/>
        </w:rPr>
        <w:t>Sentro ng Alternatibong Lingap Panlegal</w:t>
      </w:r>
      <w:r>
        <w:rPr>
          <w:spacing w:val="-2"/>
        </w:rPr>
        <w:t>)</w:t>
      </w:r>
      <w:r>
        <w:rPr>
          <w:rFonts w:hint="eastAsia"/>
          <w:spacing w:val="-2"/>
        </w:rPr>
        <w:t>、妇女法律局、以及提供住所和咨询的非政府组织</w:t>
      </w:r>
      <w:r>
        <w:rPr>
          <w:rFonts w:hint="eastAsia"/>
          <w:snapToGrid w:val="0"/>
          <w:color w:val="000000"/>
        </w:rPr>
        <w:t>消除对妇女暴力基金会</w:t>
      </w:r>
      <w:r>
        <w:rPr>
          <w:rFonts w:hint="eastAsia"/>
          <w:spacing w:val="-2"/>
        </w:rPr>
        <w:t>。这些团体维护着一个专门向暴力行为幸存妇女提供帮助的网络。举办的其他活动还有</w:t>
      </w:r>
      <w:r>
        <w:rPr>
          <w:i/>
          <w:spacing w:val="-2"/>
        </w:rPr>
        <w:t>Tigil-Bugbog</w:t>
      </w:r>
      <w:r>
        <w:rPr>
          <w:rFonts w:hint="eastAsia"/>
          <w:spacing w:val="-2"/>
        </w:rPr>
        <w:t>（禁止殴打妻子）咨询热线、妇女自卫</w:t>
      </w:r>
      <w:r>
        <w:rPr>
          <w:rFonts w:hint="eastAsia"/>
          <w:spacing w:val="-2"/>
        </w:rPr>
        <w:t>术培训班、以及对社区居民的法律保护培训。作为促进《消除对妇女一切形式歧视公约》的区域活动家网络的一部分，这些组织合作开展研究，以建立打击对妇女暴力的妇女权利基线。它们还有意识地保留了其客户和服务的记录，以帮助汇总关于对妇女暴力的程度和性质数据。妇女危机中心报告，</w:t>
      </w:r>
      <w:r>
        <w:rPr>
          <w:rFonts w:hint="eastAsia"/>
          <w:spacing w:val="-2"/>
        </w:rPr>
        <w:t>1999</w:t>
      </w:r>
      <w:r>
        <w:rPr>
          <w:rFonts w:hint="eastAsia"/>
          <w:spacing w:val="-2"/>
        </w:rPr>
        <w:t>年他们受理的案件中有大约</w:t>
      </w:r>
      <w:r>
        <w:rPr>
          <w:rFonts w:hint="eastAsia"/>
          <w:spacing w:val="-2"/>
        </w:rPr>
        <w:t>64%</w:t>
      </w:r>
      <w:r>
        <w:rPr>
          <w:rFonts w:hint="eastAsia"/>
          <w:spacing w:val="-2"/>
        </w:rPr>
        <w:t>是被殴打妇女，</w:t>
      </w:r>
      <w:r>
        <w:rPr>
          <w:rFonts w:hint="eastAsia"/>
          <w:spacing w:val="-2"/>
        </w:rPr>
        <w:t>9%</w:t>
      </w:r>
      <w:r>
        <w:rPr>
          <w:rFonts w:hint="eastAsia"/>
          <w:spacing w:val="-2"/>
        </w:rPr>
        <w:t>属于强奸或乱伦受害者，</w:t>
      </w:r>
      <w:r>
        <w:rPr>
          <w:rFonts w:hint="eastAsia"/>
          <w:spacing w:val="-2"/>
        </w:rPr>
        <w:t>6%</w:t>
      </w:r>
      <w:r>
        <w:rPr>
          <w:rFonts w:hint="eastAsia"/>
          <w:spacing w:val="-2"/>
        </w:rPr>
        <w:t>是性骚扰受害者。</w:t>
      </w:r>
    </w:p>
    <w:p w:rsidR="00000000" w:rsidRDefault="00821B8F">
      <w:pPr>
        <w:numPr>
          <w:ilvl w:val="0"/>
          <w:numId w:val="1236"/>
        </w:numPr>
        <w:spacing w:after="240" w:line="360" w:lineRule="exact"/>
        <w:ind w:left="540" w:hanging="540"/>
        <w:rPr>
          <w:rFonts w:hint="eastAsia"/>
        </w:rPr>
      </w:pPr>
      <w:r>
        <w:rPr>
          <w:rFonts w:hint="eastAsia"/>
          <w:spacing w:val="-2"/>
        </w:rPr>
        <w:t xml:space="preserve"> </w:t>
      </w:r>
      <w:r>
        <w:rPr>
          <w:rFonts w:hint="eastAsia"/>
          <w:spacing w:val="-2"/>
        </w:rPr>
        <w:t>由</w:t>
      </w:r>
      <w:r>
        <w:rPr>
          <w:spacing w:val="-2"/>
        </w:rPr>
        <w:t>Bidlisiw</w:t>
      </w:r>
      <w:r>
        <w:rPr>
          <w:rFonts w:hint="eastAsia"/>
          <w:spacing w:val="-2"/>
        </w:rPr>
        <w:t>基金会、</w:t>
      </w:r>
      <w:r>
        <w:rPr>
          <w:rFonts w:hint="eastAsia"/>
          <w:spacing w:val="-2"/>
        </w:rPr>
        <w:t>NORFIL</w:t>
      </w:r>
      <w:r>
        <w:rPr>
          <w:rFonts w:hint="eastAsia"/>
          <w:spacing w:val="-2"/>
        </w:rPr>
        <w:t>基金会、世界展望组织、妇女法律替代方案以及儿童法律局五家非政府组织组成的蔓藤基金会在</w:t>
      </w:r>
      <w:r>
        <w:rPr>
          <w:spacing w:val="-2"/>
        </w:rPr>
        <w:t>宿务</w:t>
      </w:r>
      <w:r>
        <w:rPr>
          <w:rFonts w:hint="eastAsia"/>
          <w:spacing w:val="-2"/>
        </w:rPr>
        <w:t>省的</w:t>
      </w:r>
      <w:r>
        <w:rPr>
          <w:rFonts w:hint="eastAsia"/>
        </w:rPr>
        <w:t>曼达威和拉普拉普市</w:t>
      </w:r>
      <w:r>
        <w:rPr>
          <w:rFonts w:hint="eastAsia"/>
        </w:rPr>
        <w:t>以及科尔多瓦镇和孔索拉西翁镇开展业务。该基金会的家庭发展综合方案包括宣传、培训、法律援助以及生计援助。该方案打算设立一个危机干预中心，向虐待行为的幸存妇女和儿童提供临时住所和心理社会及法律咨询，但生计援助仍是一项关键的干预措施。</w:t>
      </w:r>
    </w:p>
    <w:p w:rsidR="00000000" w:rsidRDefault="00821B8F">
      <w:pPr>
        <w:numPr>
          <w:ilvl w:val="0"/>
          <w:numId w:val="1236"/>
        </w:numPr>
        <w:spacing w:after="240" w:line="360" w:lineRule="exact"/>
        <w:ind w:left="540" w:hanging="540"/>
        <w:rPr>
          <w:rFonts w:hint="eastAsia"/>
          <w:spacing w:val="-2"/>
        </w:rPr>
      </w:pPr>
      <w:r>
        <w:rPr>
          <w:rFonts w:hint="eastAsia"/>
        </w:rPr>
        <w:t xml:space="preserve"> </w:t>
      </w:r>
      <w:r>
        <w:rPr>
          <w:rFonts w:hint="eastAsia"/>
        </w:rPr>
        <w:t>亚菲儿童希望组织五年多以前提出了“预防、保护和照顾受虐待和受性剥削儿童的社区动员”方案。这项在</w:t>
      </w:r>
      <w:r>
        <w:t>帕萨伊</w:t>
      </w:r>
      <w:r>
        <w:rPr>
          <w:rFonts w:hint="eastAsia"/>
        </w:rPr>
        <w:t>市执行、旨在动员家长和确认儿童去使用那些直接服务方案的综合方案，在继续提高</w:t>
      </w:r>
      <w:r>
        <w:t>帕萨伊</w:t>
      </w:r>
      <w:r>
        <w:rPr>
          <w:rFonts w:hint="eastAsia"/>
        </w:rPr>
        <w:t>市所有部门（市立学校、教会团体、镇宣传员和领导人）对儿童受虐和卖淫问题的意识和认识。儿童希望组织意识</w:t>
      </w:r>
      <w:r>
        <w:rPr>
          <w:rFonts w:hint="eastAsia"/>
        </w:rPr>
        <w:t>到该市儿童卖淫数量在快速增加，于是组建了</w:t>
      </w:r>
      <w:r>
        <w:t>帕萨伊</w:t>
      </w:r>
      <w:r>
        <w:rPr>
          <w:rFonts w:hint="eastAsia"/>
        </w:rPr>
        <w:t>市保护儿童网络。</w:t>
      </w:r>
      <w:r>
        <w:rPr>
          <w:rFonts w:hint="eastAsia"/>
        </w:rPr>
        <w:t>1996-1998</w:t>
      </w:r>
      <w:r>
        <w:rPr>
          <w:rFonts w:hint="eastAsia"/>
        </w:rPr>
        <w:t>年，儿童希望组织的宣传活动遍及全市的</w:t>
      </w:r>
      <w:r>
        <w:rPr>
          <w:rFonts w:hint="eastAsia"/>
        </w:rPr>
        <w:t>130</w:t>
      </w:r>
      <w:r>
        <w:rPr>
          <w:rFonts w:hint="eastAsia"/>
        </w:rPr>
        <w:t>多个镇，所从事的活动包括案件处理培训班和志愿咨询员的基本社会工作。</w:t>
      </w:r>
      <w:r>
        <w:rPr>
          <w:rFonts w:hint="eastAsia"/>
        </w:rPr>
        <w:t>300</w:t>
      </w:r>
      <w:r>
        <w:rPr>
          <w:rFonts w:hint="eastAsia"/>
        </w:rPr>
        <w:t>多名儿童、青年及非政府组织工作人员参加了关于戏剧艺术、准则阐述或辅助律师教育讲习班。到</w:t>
      </w:r>
      <w:r>
        <w:rPr>
          <w:rFonts w:hint="eastAsia"/>
        </w:rPr>
        <w:t>1998</w:t>
      </w:r>
      <w:r>
        <w:rPr>
          <w:rFonts w:hint="eastAsia"/>
        </w:rPr>
        <w:t>年，大约</w:t>
      </w:r>
      <w:r>
        <w:rPr>
          <w:rFonts w:hint="eastAsia"/>
        </w:rPr>
        <w:t>1 000</w:t>
      </w:r>
      <w:r>
        <w:rPr>
          <w:rFonts w:hint="eastAsia"/>
        </w:rPr>
        <w:t>名流落街头儿童得到了帮助。</w:t>
      </w:r>
      <w:r>
        <w:rPr>
          <w:rFonts w:hint="eastAsia"/>
        </w:rPr>
        <w:t>1996</w:t>
      </w:r>
      <w:r>
        <w:rPr>
          <w:rFonts w:hint="eastAsia"/>
        </w:rPr>
        <w:t>年</w:t>
      </w:r>
      <w:r>
        <w:rPr>
          <w:rFonts w:hint="eastAsia"/>
        </w:rPr>
        <w:t>12</w:t>
      </w:r>
      <w:r>
        <w:rPr>
          <w:rFonts w:hint="eastAsia"/>
        </w:rPr>
        <w:t>月，儿童希望组织在另一个城市卡卢坎建立了机构间行动队。</w:t>
      </w:r>
      <w:r>
        <w:rPr>
          <w:rFonts w:hint="eastAsia"/>
        </w:rPr>
        <w:t>1997</w:t>
      </w:r>
      <w:r>
        <w:rPr>
          <w:rFonts w:hint="eastAsia"/>
        </w:rPr>
        <w:t>和</w:t>
      </w:r>
      <w:r>
        <w:rPr>
          <w:rFonts w:hint="eastAsia"/>
        </w:rPr>
        <w:t>1998</w:t>
      </w:r>
      <w:r>
        <w:rPr>
          <w:rFonts w:hint="eastAsia"/>
        </w:rPr>
        <w:t>年，儿童希望组织向</w:t>
      </w:r>
      <w:r>
        <w:rPr>
          <w:rFonts w:hint="eastAsia"/>
        </w:rPr>
        <w:t>1 020</w:t>
      </w:r>
      <w:r>
        <w:rPr>
          <w:rFonts w:hint="eastAsia"/>
        </w:rPr>
        <w:t>名流落街头儿童提供了咨询、保健服务、替代教育或辅助律师援助。</w:t>
      </w:r>
      <w:r>
        <w:rPr>
          <w:rFonts w:hint="eastAsia"/>
        </w:rPr>
        <w:t>199</w:t>
      </w:r>
      <w:r>
        <w:rPr>
          <w:rFonts w:hint="eastAsia"/>
        </w:rPr>
        <w:t>8</w:t>
      </w:r>
      <w:r>
        <w:rPr>
          <w:rFonts w:hint="eastAsia"/>
        </w:rPr>
        <w:t>年，该组织的救助中心为</w:t>
      </w:r>
      <w:r>
        <w:rPr>
          <w:rFonts w:hint="eastAsia"/>
        </w:rPr>
        <w:t>140</w:t>
      </w:r>
      <w:r>
        <w:rPr>
          <w:rFonts w:hint="eastAsia"/>
        </w:rPr>
        <w:t>名遭受性剥削的女童提供了临时住处、非正规教育、医疗和保健援助、娱乐活动和咨询。</w:t>
      </w:r>
    </w:p>
    <w:p w:rsidR="00000000" w:rsidRDefault="00821B8F">
      <w:pPr>
        <w:numPr>
          <w:ilvl w:val="0"/>
          <w:numId w:val="1236"/>
        </w:numPr>
        <w:spacing w:after="240" w:line="360" w:lineRule="exact"/>
        <w:ind w:left="540" w:hanging="540"/>
        <w:rPr>
          <w:rFonts w:hint="eastAsia"/>
          <w:color w:val="000000"/>
          <w:spacing w:val="-2"/>
        </w:rPr>
      </w:pPr>
      <w:r>
        <w:rPr>
          <w:rFonts w:hint="eastAsia"/>
          <w:color w:val="000000"/>
        </w:rPr>
        <w:t xml:space="preserve"> Lunduyan</w:t>
      </w:r>
      <w:r>
        <w:rPr>
          <w:rFonts w:hint="eastAsia"/>
          <w:color w:val="000000"/>
        </w:rPr>
        <w:t>（前儿童实验室基金会）于</w:t>
      </w:r>
      <w:r>
        <w:rPr>
          <w:rFonts w:hint="eastAsia"/>
          <w:color w:val="000000"/>
        </w:rPr>
        <w:t>1998</w:t>
      </w:r>
      <w:r>
        <w:rPr>
          <w:rFonts w:hint="eastAsia"/>
          <w:color w:val="000000"/>
        </w:rPr>
        <w:t>和</w:t>
      </w:r>
      <w:r>
        <w:rPr>
          <w:rFonts w:hint="eastAsia"/>
          <w:color w:val="000000"/>
        </w:rPr>
        <w:t>1999</w:t>
      </w:r>
      <w:r>
        <w:rPr>
          <w:rFonts w:hint="eastAsia"/>
          <w:color w:val="000000"/>
        </w:rPr>
        <w:t>年在洛克萨斯和伊洛伊洛两个省级市的六个镇里分别举办了家庭暴力问题讲习班。这些讲习班培训了洛克萨斯市</w:t>
      </w:r>
      <w:r>
        <w:rPr>
          <w:rFonts w:hint="eastAsia"/>
          <w:color w:val="000000"/>
        </w:rPr>
        <w:t>170</w:t>
      </w:r>
      <w:r>
        <w:rPr>
          <w:rFonts w:hint="eastAsia"/>
          <w:color w:val="000000"/>
        </w:rPr>
        <w:t>名、伊洛伊洛市</w:t>
      </w:r>
      <w:r>
        <w:rPr>
          <w:rFonts w:hint="eastAsia"/>
          <w:color w:val="000000"/>
        </w:rPr>
        <w:t>210</w:t>
      </w:r>
      <w:r>
        <w:rPr>
          <w:rFonts w:hint="eastAsia"/>
          <w:color w:val="000000"/>
        </w:rPr>
        <w:t>名村级司法宣传员，帮助各镇裁决虐待儿童案件：洛克萨斯市三起、伊洛伊洛市五起。在比萨扬群岛的两个省级市（</w:t>
      </w:r>
      <w:r>
        <w:rPr>
          <w:color w:val="000000"/>
          <w:spacing w:val="-2"/>
        </w:rPr>
        <w:t>吉马拉斯</w:t>
      </w:r>
      <w:r>
        <w:rPr>
          <w:rFonts w:hint="eastAsia"/>
          <w:color w:val="000000"/>
          <w:spacing w:val="-2"/>
        </w:rPr>
        <w:t>和</w:t>
      </w:r>
      <w:r>
        <w:rPr>
          <w:color w:val="000000"/>
          <w:spacing w:val="-2"/>
        </w:rPr>
        <w:t>安蒂克</w:t>
      </w:r>
      <w:r>
        <w:rPr>
          <w:rFonts w:hint="eastAsia"/>
          <w:color w:val="000000"/>
          <w:spacing w:val="-2"/>
        </w:rPr>
        <w:t>）举办的培训讲习班还在进行之中，但这次培训的是法官和检察官。</w:t>
      </w:r>
    </w:p>
    <w:p w:rsidR="00000000" w:rsidRDefault="00821B8F">
      <w:pPr>
        <w:tabs>
          <w:tab w:val="left" w:pos="5400"/>
        </w:tabs>
        <w:spacing w:after="240" w:line="360" w:lineRule="exact"/>
        <w:rPr>
          <w:rFonts w:hint="eastAsia"/>
          <w:spacing w:val="-2"/>
        </w:rPr>
      </w:pPr>
    </w:p>
    <w:p w:rsidR="00000000" w:rsidRDefault="00821B8F">
      <w:pPr>
        <w:tabs>
          <w:tab w:val="left" w:pos="5400"/>
        </w:tabs>
        <w:spacing w:after="240" w:line="360" w:lineRule="exact"/>
        <w:rPr>
          <w:rFonts w:eastAsia="KaiTi_GB2312" w:hint="eastAsia"/>
          <w:iCs/>
          <w:color w:val="0000FF"/>
          <w:spacing w:val="-2"/>
        </w:rPr>
      </w:pPr>
      <w:r>
        <w:rPr>
          <w:rFonts w:eastAsia="KaiTi_GB2312" w:hint="eastAsia"/>
          <w:iCs/>
          <w:color w:val="0000FF"/>
          <w:spacing w:val="-2"/>
        </w:rPr>
        <w:t>为满足武装冲突地区妇女和其他国内流离</w:t>
      </w:r>
      <w:r>
        <w:rPr>
          <w:rFonts w:eastAsia="KaiTi_GB2312" w:hint="eastAsia"/>
          <w:iCs/>
          <w:color w:val="0000FF"/>
          <w:spacing w:val="-2"/>
        </w:rPr>
        <w:t>失所者的需要而采取的行动</w:t>
      </w:r>
    </w:p>
    <w:p w:rsidR="00000000" w:rsidRDefault="00821B8F">
      <w:pPr>
        <w:numPr>
          <w:ilvl w:val="0"/>
          <w:numId w:val="1236"/>
        </w:numPr>
        <w:spacing w:after="240" w:line="360" w:lineRule="exact"/>
        <w:ind w:left="540" w:hanging="540"/>
        <w:rPr>
          <w:rFonts w:hint="eastAsia"/>
          <w:spacing w:val="-2"/>
        </w:rPr>
      </w:pPr>
      <w:r>
        <w:rPr>
          <w:rFonts w:hint="eastAsia"/>
        </w:rPr>
        <w:t xml:space="preserve"> </w:t>
      </w:r>
      <w:r>
        <w:rPr>
          <w:rFonts w:hint="eastAsia"/>
          <w:spacing w:val="-2"/>
        </w:rPr>
        <w:t>负责管理和监督综合和平进程的总统和平进程顾问办公室正在为实现菲律宾的和平与发展执行一项包含六条途径的综合方案。这些“途径”是：进行社会、经济和政治改革，解决国内武装冲突和社会动乱的根源（途径</w:t>
      </w:r>
      <w:r>
        <w:rPr>
          <w:rFonts w:hint="eastAsia"/>
          <w:spacing w:val="-2"/>
        </w:rPr>
        <w:t>1</w:t>
      </w:r>
      <w:r>
        <w:rPr>
          <w:rFonts w:hint="eastAsia"/>
          <w:spacing w:val="-2"/>
        </w:rPr>
        <w:t>）；为和平建立共识和赋予权力（途径</w:t>
      </w:r>
      <w:r>
        <w:rPr>
          <w:rFonts w:hint="eastAsia"/>
          <w:spacing w:val="-2"/>
        </w:rPr>
        <w:t>2</w:t>
      </w:r>
      <w:r>
        <w:rPr>
          <w:rFonts w:hint="eastAsia"/>
          <w:spacing w:val="-2"/>
        </w:rPr>
        <w:t>）；通过与各叛乱集团谈判解决冲突，维持并加强和平区社会发展援助的可行性（途径</w:t>
      </w:r>
      <w:r>
        <w:rPr>
          <w:rFonts w:hint="eastAsia"/>
          <w:spacing w:val="-2"/>
        </w:rPr>
        <w:t>3</w:t>
      </w:r>
      <w:r>
        <w:rPr>
          <w:rFonts w:hint="eastAsia"/>
          <w:spacing w:val="-2"/>
        </w:rPr>
        <w:t>）；对前战斗员及其家属执行和解、重返主流社会和康复方案（途径</w:t>
      </w:r>
      <w:r>
        <w:rPr>
          <w:rFonts w:hint="eastAsia"/>
          <w:spacing w:val="-2"/>
        </w:rPr>
        <w:t>4</w:t>
      </w:r>
      <w:r>
        <w:rPr>
          <w:rFonts w:hint="eastAsia"/>
          <w:spacing w:val="-2"/>
        </w:rPr>
        <w:t>）；通过实施国内武装冲突受害平民方案，解决持续武装敌对行动所产生的问题，如武装冲突中的儿童问题和紧急救济及受冲突影响</w:t>
      </w:r>
      <w:r>
        <w:rPr>
          <w:rFonts w:hint="eastAsia"/>
          <w:spacing w:val="-2"/>
        </w:rPr>
        <w:t>的家庭和社区恢复（途径</w:t>
      </w:r>
      <w:r>
        <w:rPr>
          <w:rFonts w:hint="eastAsia"/>
          <w:spacing w:val="-2"/>
        </w:rPr>
        <w:t>5</w:t>
      </w:r>
      <w:r>
        <w:rPr>
          <w:rFonts w:hint="eastAsia"/>
          <w:spacing w:val="-2"/>
        </w:rPr>
        <w:t>）；以及建造和培养有助于和平的氛围（途径</w:t>
      </w:r>
      <w:r>
        <w:rPr>
          <w:rFonts w:hint="eastAsia"/>
          <w:spacing w:val="-2"/>
        </w:rPr>
        <w:t>6</w:t>
      </w:r>
      <w:r>
        <w:rPr>
          <w:rFonts w:hint="eastAsia"/>
          <w:spacing w:val="-2"/>
        </w:rPr>
        <w:t>）。</w:t>
      </w:r>
    </w:p>
    <w:p w:rsidR="00000000" w:rsidRDefault="00821B8F">
      <w:pPr>
        <w:numPr>
          <w:ilvl w:val="0"/>
          <w:numId w:val="1236"/>
        </w:numPr>
        <w:spacing w:after="240" w:line="360" w:lineRule="exact"/>
        <w:ind w:left="540" w:hanging="540"/>
        <w:rPr>
          <w:rFonts w:hint="eastAsia"/>
        </w:rPr>
      </w:pPr>
      <w:r>
        <w:rPr>
          <w:rFonts w:hint="eastAsia"/>
          <w:spacing w:val="-2"/>
        </w:rPr>
        <w:t xml:space="preserve"> </w:t>
      </w:r>
      <w:r>
        <w:rPr>
          <w:rFonts w:hint="eastAsia"/>
          <w:spacing w:val="-2"/>
        </w:rPr>
        <w:t>妇女领导能力研究所在亚洲基金会协助下，为成立棉兰老妇女委员会举行了多次会议。该委员会由来自政府、民间社会和私人部门的穆斯林、基督教和土著妇女领导人组成，在棉兰老争取实现和平与发展议程，同时特别强调在缔造和平中培训青年妇女领导人（亚洲基金会，</w:t>
      </w:r>
      <w:r>
        <w:rPr>
          <w:rFonts w:hint="eastAsia"/>
          <w:spacing w:val="-2"/>
        </w:rPr>
        <w:t>2002</w:t>
      </w:r>
      <w:r>
        <w:rPr>
          <w:rFonts w:hint="eastAsia"/>
          <w:spacing w:val="-2"/>
        </w:rPr>
        <w:t>年）。</w:t>
      </w:r>
    </w:p>
    <w:p w:rsidR="00000000" w:rsidRDefault="00821B8F">
      <w:pPr>
        <w:numPr>
          <w:ilvl w:val="0"/>
          <w:numId w:val="1236"/>
        </w:numPr>
        <w:spacing w:after="240" w:line="360" w:lineRule="exact"/>
        <w:ind w:left="540" w:hanging="540"/>
        <w:rPr>
          <w:rFonts w:hint="eastAsia"/>
          <w:color w:val="000000"/>
        </w:rPr>
      </w:pPr>
      <w:r>
        <w:rPr>
          <w:rFonts w:hint="eastAsia"/>
          <w:color w:val="000000"/>
          <w:spacing w:val="-2"/>
        </w:rPr>
        <w:t xml:space="preserve"> </w:t>
      </w:r>
      <w:r>
        <w:rPr>
          <w:rFonts w:hint="eastAsia"/>
          <w:color w:val="000000"/>
          <w:spacing w:val="-2"/>
        </w:rPr>
        <w:t>由驻菲律宾的联合国机构和</w:t>
      </w:r>
      <w:r>
        <w:rPr>
          <w:rFonts w:hint="eastAsia"/>
          <w:color w:val="000000"/>
          <w:spacing w:val="-2"/>
        </w:rPr>
        <w:t>10</w:t>
      </w:r>
      <w:r>
        <w:rPr>
          <w:rFonts w:hint="eastAsia"/>
          <w:color w:val="000000"/>
          <w:spacing w:val="-2"/>
        </w:rPr>
        <w:t>个捐助国参加的菲律宾政府–联合国</w:t>
      </w:r>
      <w:r>
        <w:rPr>
          <w:rFonts w:hint="eastAsia"/>
          <w:color w:val="000000"/>
          <w:spacing w:val="-2"/>
        </w:rPr>
        <w:t>/</w:t>
      </w:r>
      <w:r>
        <w:rPr>
          <w:rFonts w:hint="eastAsia"/>
          <w:color w:val="000000"/>
          <w:spacing w:val="-2"/>
        </w:rPr>
        <w:t>多方捐助者援助方案（第一和第二期）支助了大约</w:t>
      </w:r>
      <w:r>
        <w:rPr>
          <w:rFonts w:hint="eastAsia"/>
          <w:color w:val="000000"/>
          <w:spacing w:val="-2"/>
        </w:rPr>
        <w:t>70 000</w:t>
      </w:r>
      <w:r>
        <w:rPr>
          <w:rFonts w:hint="eastAsia"/>
          <w:color w:val="000000"/>
          <w:spacing w:val="-2"/>
        </w:rPr>
        <w:t>名前</w:t>
      </w:r>
      <w:r>
        <w:rPr>
          <w:color w:val="000000"/>
          <w:spacing w:val="-2"/>
        </w:rPr>
        <w:t>摩洛</w:t>
      </w:r>
      <w:r>
        <w:rPr>
          <w:rFonts w:hint="eastAsia"/>
          <w:color w:val="000000"/>
          <w:spacing w:val="-2"/>
        </w:rPr>
        <w:t>全国解放阵线战斗员、支持者及其家人重返民间、经济和社会</w:t>
      </w:r>
      <w:r>
        <w:rPr>
          <w:rFonts w:hint="eastAsia"/>
          <w:color w:val="000000"/>
          <w:spacing w:val="-2"/>
        </w:rPr>
        <w:t>生活的主流。该方案的活动和成果包括：联合创造并由社区来组织生计活动，从中受益的有</w:t>
      </w:r>
      <w:r>
        <w:rPr>
          <w:rFonts w:hint="eastAsia"/>
          <w:color w:val="000000"/>
          <w:spacing w:val="-2"/>
        </w:rPr>
        <w:t>14 056</w:t>
      </w:r>
      <w:r>
        <w:rPr>
          <w:rFonts w:hint="eastAsia"/>
          <w:color w:val="000000"/>
          <w:spacing w:val="-2"/>
        </w:rPr>
        <w:t>人；开展以农业为基础的生计培训，包括水产养殖、作物种植、农用机械、牲畜饲养以及妇女关注的问题，学员将近</w:t>
      </w:r>
      <w:r>
        <w:rPr>
          <w:rFonts w:hint="eastAsia"/>
          <w:color w:val="000000"/>
          <w:spacing w:val="-2"/>
        </w:rPr>
        <w:t>2 000</w:t>
      </w:r>
      <w:r>
        <w:rPr>
          <w:rFonts w:hint="eastAsia"/>
          <w:color w:val="000000"/>
          <w:spacing w:val="-2"/>
        </w:rPr>
        <w:t>人，促成了</w:t>
      </w:r>
      <w:r>
        <w:rPr>
          <w:rFonts w:hint="eastAsia"/>
          <w:color w:val="000000"/>
          <w:spacing w:val="-2"/>
        </w:rPr>
        <w:t>532</w:t>
      </w:r>
      <w:r>
        <w:rPr>
          <w:rFonts w:hint="eastAsia"/>
          <w:color w:val="000000"/>
          <w:spacing w:val="-2"/>
        </w:rPr>
        <w:t>项生计活动，使</w:t>
      </w:r>
      <w:r>
        <w:rPr>
          <w:rFonts w:hint="eastAsia"/>
          <w:color w:val="000000"/>
          <w:spacing w:val="-2"/>
        </w:rPr>
        <w:t>20 084</w:t>
      </w:r>
      <w:r>
        <w:rPr>
          <w:rFonts w:hint="eastAsia"/>
          <w:color w:val="000000"/>
          <w:spacing w:val="-2"/>
        </w:rPr>
        <w:t>个</w:t>
      </w:r>
      <w:r>
        <w:rPr>
          <w:color w:val="000000"/>
          <w:spacing w:val="-2"/>
        </w:rPr>
        <w:t>摩洛</w:t>
      </w:r>
      <w:r>
        <w:rPr>
          <w:rFonts w:hint="eastAsia"/>
          <w:color w:val="000000"/>
          <w:spacing w:val="-2"/>
        </w:rPr>
        <w:t>全国解放阵线战斗员及其家庭获益（</w:t>
      </w:r>
      <w:r>
        <w:rPr>
          <w:color w:val="000000"/>
        </w:rPr>
        <w:t>菲律宾政府</w:t>
      </w:r>
      <w:r>
        <w:rPr>
          <w:rFonts w:hint="eastAsia"/>
          <w:color w:val="000000"/>
        </w:rPr>
        <w:t>–</w:t>
      </w:r>
      <w:r>
        <w:rPr>
          <w:color w:val="000000"/>
        </w:rPr>
        <w:t>开发计划署</w:t>
      </w:r>
      <w:r>
        <w:rPr>
          <w:color w:val="000000"/>
        </w:rPr>
        <w:t>/</w:t>
      </w:r>
      <w:r>
        <w:rPr>
          <w:rFonts w:hint="eastAsia"/>
          <w:color w:val="000000"/>
        </w:rPr>
        <w:t>多方捐助者方案，未标注日期）。此外，技术教育和技能发展管理局发放了</w:t>
      </w:r>
      <w:r>
        <w:rPr>
          <w:rFonts w:hint="eastAsia"/>
          <w:color w:val="000000"/>
        </w:rPr>
        <w:t>1 150</w:t>
      </w:r>
      <w:r>
        <w:rPr>
          <w:rFonts w:hint="eastAsia"/>
          <w:color w:val="000000"/>
        </w:rPr>
        <w:t>万菲律宾比索，资助基于社区的兴办企业培训班。在荷兰和联合国人口基金支持下，</w:t>
      </w:r>
      <w:r>
        <w:rPr>
          <w:rFonts w:hint="eastAsia"/>
          <w:color w:val="000000"/>
        </w:rPr>
        <w:t>1 286</w:t>
      </w:r>
      <w:r>
        <w:rPr>
          <w:rFonts w:hint="eastAsia"/>
          <w:color w:val="000000"/>
        </w:rPr>
        <w:t>名地方保健人员接受培训，有</w:t>
      </w:r>
      <w:r>
        <w:rPr>
          <w:rFonts w:hint="eastAsia"/>
          <w:color w:val="000000"/>
        </w:rPr>
        <w:t>24</w:t>
      </w:r>
      <w:r>
        <w:rPr>
          <w:rFonts w:hint="eastAsia"/>
          <w:color w:val="000000"/>
        </w:rPr>
        <w:t>个</w:t>
      </w:r>
      <w:r>
        <w:rPr>
          <w:color w:val="000000"/>
        </w:rPr>
        <w:t>摩洛</w:t>
      </w:r>
      <w:r>
        <w:rPr>
          <w:rFonts w:hint="eastAsia"/>
          <w:color w:val="000000"/>
        </w:rPr>
        <w:t>全国解放</w:t>
      </w:r>
      <w:r>
        <w:rPr>
          <w:rFonts w:hint="eastAsia"/>
          <w:color w:val="000000"/>
        </w:rPr>
        <w:t>阵线社区从计划生育和生殖保健方案中得到好处。</w:t>
      </w:r>
      <w:r>
        <w:rPr>
          <w:color w:val="000000"/>
        </w:rPr>
        <w:t>摩洛</w:t>
      </w:r>
      <w:r>
        <w:rPr>
          <w:rFonts w:hint="eastAsia"/>
          <w:color w:val="000000"/>
        </w:rPr>
        <w:t>民族妇女和平与发展基金会是这些方案，特别是开展基于社区的调查方面的主要合作伙伴。</w:t>
      </w:r>
    </w:p>
    <w:p w:rsidR="00000000" w:rsidRDefault="00821B8F">
      <w:pPr>
        <w:pStyle w:val="Heading4"/>
        <w:numPr>
          <w:ilvl w:val="0"/>
          <w:numId w:val="0"/>
        </w:numPr>
        <w:rPr>
          <w:rFonts w:hint="eastAsia"/>
          <w:color w:val="FF0000"/>
          <w:u w:val="none"/>
        </w:rPr>
      </w:pPr>
      <w:r>
        <w:rPr>
          <w:rFonts w:hint="eastAsia"/>
          <w:color w:val="FF0000"/>
          <w:u w:val="none"/>
        </w:rPr>
        <w:t>C</w:t>
      </w:r>
      <w:r>
        <w:rPr>
          <w:rFonts w:hint="eastAsia"/>
          <w:color w:val="FF0000"/>
          <w:u w:val="none"/>
        </w:rPr>
        <w:t>．仍然面临的挑战和困难</w:t>
      </w:r>
    </w:p>
    <w:p w:rsidR="00000000" w:rsidRDefault="00821B8F">
      <w:pPr>
        <w:numPr>
          <w:ilvl w:val="0"/>
          <w:numId w:val="1236"/>
        </w:numPr>
        <w:spacing w:after="240" w:line="360" w:lineRule="exact"/>
        <w:ind w:left="540" w:hanging="540"/>
        <w:rPr>
          <w:rFonts w:hint="eastAsia"/>
        </w:rPr>
      </w:pPr>
      <w:r>
        <w:rPr>
          <w:rFonts w:hint="eastAsia"/>
          <w:spacing w:val="-2"/>
        </w:rPr>
        <w:t xml:space="preserve"> </w:t>
      </w:r>
      <w:r>
        <w:rPr>
          <w:rFonts w:hint="eastAsia"/>
        </w:rPr>
        <w:t>由于缺乏对妇女暴力和其他基于性别的暴力发生情况的基本数据及可靠的估计数字，政府不能衡量这一方面取得的具体进展。相反，某些挑战却引人注目。</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打击贩卖人口</w:t>
      </w:r>
      <w:r>
        <w:rPr>
          <w:rFonts w:hint="eastAsia"/>
          <w:iCs/>
          <w:color w:val="0000FF"/>
        </w:rPr>
        <w:t>。</w:t>
      </w:r>
      <w:r>
        <w:rPr>
          <w:rFonts w:hint="eastAsia"/>
          <w:iCs/>
        </w:rPr>
        <w:t>《</w:t>
      </w:r>
      <w:r>
        <w:rPr>
          <w:rFonts w:hint="eastAsia"/>
        </w:rPr>
        <w:t>2003</w:t>
      </w:r>
      <w:r>
        <w:rPr>
          <w:rFonts w:hint="eastAsia"/>
        </w:rPr>
        <w:t>年打击贩卖人口法》的实施需要得到保障。有必要建立有效的数据产生机制，以便对贩卖人口案件进行监测并弥补数据差距。这种数据机制应该建立在菲律宾和目的地国家目前取得的成绩和到位的机制基础上，并且让</w:t>
      </w:r>
      <w:r>
        <w:rPr>
          <w:rFonts w:hint="eastAsia"/>
        </w:rPr>
        <w:t>政府和非政府组织参与。对于热点问题，应该优先采取双边合作。</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eastAsia="KaiTi_GB2312" w:hint="eastAsia"/>
          <w:iCs/>
          <w:color w:val="0000FF"/>
        </w:rPr>
        <w:t>对妇女的暴力。</w:t>
      </w:r>
      <w:r>
        <w:rPr>
          <w:rFonts w:hint="eastAsia"/>
        </w:rPr>
        <w:t>打击对妇女的暴力运动还面临着许多挑战，其中包括：</w:t>
      </w:r>
    </w:p>
    <w:p w:rsidR="00000000" w:rsidRDefault="00821B8F">
      <w:pPr>
        <w:numPr>
          <w:ilvl w:val="0"/>
          <w:numId w:val="1340"/>
        </w:numPr>
        <w:tabs>
          <w:tab w:val="clear" w:pos="765"/>
          <w:tab w:val="left" w:pos="1080"/>
        </w:tabs>
        <w:spacing w:after="240" w:line="360" w:lineRule="exact"/>
        <w:ind w:left="1080" w:hanging="480"/>
        <w:rPr>
          <w:rFonts w:hint="eastAsia"/>
        </w:rPr>
      </w:pPr>
      <w:r>
        <w:rPr>
          <w:rFonts w:hint="eastAsia"/>
        </w:rPr>
        <w:t>解决数据和信息的差距问题。政府不应通过国家统计协调委员会进行研究设计以产生对妇女儿童暴力的全国发生情况的基本数据，而是应该与非政府组织和其他研究机构协调，建立一个更全面且更深刻的妇女儿童暴力问题数据库。</w:t>
      </w:r>
    </w:p>
    <w:p w:rsidR="00000000" w:rsidRDefault="00821B8F">
      <w:pPr>
        <w:numPr>
          <w:ilvl w:val="0"/>
          <w:numId w:val="1340"/>
        </w:numPr>
        <w:tabs>
          <w:tab w:val="clear" w:pos="765"/>
          <w:tab w:val="left" w:pos="360"/>
          <w:tab w:val="left" w:pos="1080"/>
        </w:tabs>
        <w:spacing w:after="240" w:line="360" w:lineRule="exact"/>
        <w:ind w:left="1080" w:hanging="480"/>
        <w:rPr>
          <w:rFonts w:hint="eastAsia"/>
        </w:rPr>
      </w:pPr>
      <w:r>
        <w:rPr>
          <w:rFonts w:hint="eastAsia"/>
        </w:rPr>
        <w:t>对参与援助幸存受害人的警方调查员、社会工作者、警察和卫生官员进行更持久的对性别问题有敏感认识的教育和培训。</w:t>
      </w:r>
    </w:p>
    <w:p w:rsidR="00000000" w:rsidRDefault="00821B8F">
      <w:pPr>
        <w:numPr>
          <w:ilvl w:val="0"/>
          <w:numId w:val="1340"/>
        </w:numPr>
        <w:tabs>
          <w:tab w:val="clear" w:pos="765"/>
          <w:tab w:val="left" w:pos="1080"/>
        </w:tabs>
        <w:spacing w:after="240" w:line="360" w:lineRule="exact"/>
        <w:ind w:left="1080" w:hanging="480"/>
        <w:rPr>
          <w:rFonts w:hint="eastAsia"/>
        </w:rPr>
      </w:pPr>
      <w:r>
        <w:rPr>
          <w:rFonts w:hint="eastAsia"/>
        </w:rPr>
        <w:t>对付对妇女暴力问题采用一种更为完善、更加协调的多机构方法，以确保为受害妇女</w:t>
      </w:r>
      <w:r>
        <w:rPr>
          <w:rFonts w:hint="eastAsia"/>
        </w:rPr>
        <w:t>创造一种及时而敏感的环境，包括对妇女友善的司法框架，通过刑事司法系统的过程和程序捍卫受害人的安全和福利。</w:t>
      </w:r>
    </w:p>
    <w:p w:rsidR="00000000" w:rsidRDefault="00821B8F">
      <w:pPr>
        <w:numPr>
          <w:ilvl w:val="0"/>
          <w:numId w:val="1340"/>
        </w:numPr>
        <w:tabs>
          <w:tab w:val="clear" w:pos="765"/>
          <w:tab w:val="left" w:pos="1080"/>
        </w:tabs>
        <w:spacing w:after="240" w:line="360" w:lineRule="exact"/>
        <w:ind w:left="1080" w:hanging="480"/>
        <w:rPr>
          <w:rFonts w:hint="eastAsia"/>
        </w:rPr>
      </w:pPr>
      <w:r>
        <w:rPr>
          <w:rFonts w:hint="eastAsia"/>
        </w:rPr>
        <w:t>采取一种更全面的途径，解决暴力案件反复发生的问题，同时集中力量对罪犯进行改造和重新安置。在解决方案中还应纳入预防措施，例如，开展更为强劲的教育运动，以使妇女知道其权利、知道如何及从哪里获得包括法律求助在内的支助、以及对受害妇女和对妇女暴力犯罪的作恶者进行对性别问题有敏感认识的培训。</w:t>
      </w:r>
    </w:p>
    <w:p w:rsidR="00000000" w:rsidRDefault="00821B8F">
      <w:pPr>
        <w:numPr>
          <w:ilvl w:val="0"/>
          <w:numId w:val="1340"/>
        </w:numPr>
        <w:tabs>
          <w:tab w:val="clear" w:pos="765"/>
          <w:tab w:val="left" w:pos="1080"/>
        </w:tabs>
        <w:spacing w:after="240" w:line="360" w:lineRule="exact"/>
        <w:ind w:left="1080" w:hanging="480"/>
        <w:rPr>
          <w:rFonts w:hint="eastAsia"/>
        </w:rPr>
      </w:pPr>
      <w:r>
        <w:rPr>
          <w:rFonts w:hint="eastAsia"/>
        </w:rPr>
        <w:t>为处理对妇女暴力问题的政府机构承付资源。例如，菲律宾国民警察部队妇女接待处缺少受过训练的武装警察和法医官员来对受害人进行处</w:t>
      </w:r>
      <w:r>
        <w:rPr>
          <w:rFonts w:hint="eastAsia"/>
        </w:rPr>
        <w:t>理和诊治。这些人员还需要配有单独的房间，以保证在会见受害人和对其进行检查时的私密性。有些省市还没有家事法庭和法官来接待虐待和暴力受害者。</w:t>
      </w:r>
    </w:p>
    <w:p w:rsidR="00000000" w:rsidRDefault="00821B8F">
      <w:pPr>
        <w:numPr>
          <w:ilvl w:val="0"/>
          <w:numId w:val="1236"/>
        </w:numPr>
        <w:spacing w:after="240" w:line="360" w:lineRule="exact"/>
        <w:ind w:left="540" w:hanging="540"/>
        <w:rPr>
          <w:rFonts w:hint="eastAsia"/>
          <w:color w:val="000000"/>
        </w:rPr>
      </w:pPr>
      <w:r>
        <w:rPr>
          <w:rFonts w:hint="eastAsia"/>
          <w:color w:val="000000"/>
        </w:rPr>
        <w:t xml:space="preserve"> </w:t>
      </w:r>
      <w:r>
        <w:rPr>
          <w:rFonts w:eastAsia="KaiTi_GB2312" w:hint="eastAsia"/>
          <w:iCs/>
          <w:color w:val="0000FF"/>
        </w:rPr>
        <w:t>卖淫。</w:t>
      </w:r>
      <w:r>
        <w:rPr>
          <w:rFonts w:hint="eastAsia"/>
          <w:color w:val="000000"/>
        </w:rPr>
        <w:t>必须继续解决卖淫现象的根源，例如妇女缺少可行的经济机会等。有必要提高人们的认识并正视那种导致青年妇女和女童卖淫的性别歧视态度。打击卖淫议案应该立即通过，以便为本来是受害者但被当作罪犯的那些卖淫妇女儿童给予公正。</w:t>
      </w:r>
    </w:p>
    <w:p w:rsidR="00000000" w:rsidRDefault="00821B8F">
      <w:pPr>
        <w:numPr>
          <w:ilvl w:val="0"/>
          <w:numId w:val="1236"/>
        </w:numPr>
        <w:spacing w:after="240" w:line="360" w:lineRule="exact"/>
        <w:ind w:left="540" w:hanging="540"/>
        <w:rPr>
          <w:rFonts w:hint="eastAsia"/>
        </w:rPr>
      </w:pPr>
      <w:r>
        <w:rPr>
          <w:rFonts w:hint="eastAsia"/>
          <w:i/>
        </w:rPr>
        <w:t xml:space="preserve"> </w:t>
      </w:r>
      <w:r>
        <w:rPr>
          <w:rFonts w:eastAsia="KaiTi_GB2312" w:hint="eastAsia"/>
          <w:iCs/>
          <w:color w:val="0000FF"/>
        </w:rPr>
        <w:t>武装冲突中的妇女。</w:t>
      </w:r>
      <w:r>
        <w:rPr>
          <w:rFonts w:hint="eastAsia"/>
        </w:rPr>
        <w:t>政府与叛乱部队和恐怖组织的战争对平民造成的影响必须立即得到严肃对待。正如妇女的生计和基本服务应该得到保障一样，必须使妇女能够参加和平缔</w:t>
      </w:r>
      <w:r>
        <w:rPr>
          <w:rFonts w:hint="eastAsia"/>
        </w:rPr>
        <w:t>造和社区恢复活动。</w:t>
      </w:r>
    </w:p>
    <w:p w:rsidR="00000000" w:rsidRDefault="00821B8F">
      <w:pPr>
        <w:pStyle w:val="TOC1"/>
        <w:spacing w:before="120"/>
        <w:rPr>
          <w:rFonts w:ascii="SimHei" w:hint="eastAsia"/>
        </w:rPr>
      </w:pPr>
      <w:r>
        <w:rPr>
          <w:rFonts w:ascii="SimHei" w:hint="eastAsia"/>
        </w:rPr>
        <w:t>第七条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政治和公共生活</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政治和公共生活中与男人平等的权利</w:t>
      </w:r>
    </w:p>
    <w:p w:rsidR="00000000" w:rsidRDefault="00821B8F">
      <w:pPr>
        <w:pStyle w:val="H1"/>
        <w:rPr>
          <w:rFonts w:hint="eastAsia"/>
        </w:rPr>
      </w:pPr>
      <w:r>
        <w:rPr>
          <w:rFonts w:hint="eastAsia"/>
        </w:rPr>
        <w:t>A</w:t>
      </w:r>
      <w:r>
        <w:rPr>
          <w:rFonts w:hint="eastAsia"/>
        </w:rPr>
        <w:t>．妇女的状况</w:t>
      </w:r>
    </w:p>
    <w:p w:rsidR="00000000" w:rsidRDefault="00821B8F">
      <w:pPr>
        <w:numPr>
          <w:ilvl w:val="0"/>
          <w:numId w:val="1236"/>
        </w:numPr>
        <w:spacing w:after="240" w:line="360" w:lineRule="exact"/>
        <w:ind w:left="540" w:hanging="540"/>
        <w:rPr>
          <w:rFonts w:hint="eastAsia"/>
          <w:color w:val="000000"/>
        </w:rPr>
      </w:pPr>
      <w:r>
        <w:rPr>
          <w:rFonts w:hint="eastAsia"/>
          <w:i/>
          <w:color w:val="000000"/>
        </w:rPr>
        <w:t xml:space="preserve"> </w:t>
      </w:r>
      <w:r>
        <w:rPr>
          <w:rFonts w:hint="eastAsia"/>
          <w:iCs/>
          <w:color w:val="000000"/>
        </w:rPr>
        <w:t>《</w:t>
      </w:r>
      <w:r>
        <w:rPr>
          <w:rFonts w:hint="eastAsia"/>
          <w:color w:val="000000"/>
        </w:rPr>
        <w:t>菲律宾宪法》保障男女在政治和公共生活中享有平等的权利。但是，在选举政治中，在通过委任担任的最高级别公职以及在政府的行政和司法部门中，妇女仍占少数。</w:t>
      </w:r>
    </w:p>
    <w:p w:rsidR="00000000" w:rsidRDefault="00821B8F">
      <w:pPr>
        <w:spacing w:after="240" w:line="360" w:lineRule="exact"/>
        <w:rPr>
          <w:rFonts w:hint="eastAsia"/>
        </w:rPr>
      </w:pPr>
      <w:r>
        <w:rPr>
          <w:rFonts w:hint="eastAsia"/>
        </w:rPr>
        <w:t>选举政治</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也是在民权推动下，菲律宾历史上第二次有了一位女总统。但是，其他选举职务没有发生什么重大变化。例如，</w:t>
      </w:r>
      <w:r>
        <w:rPr>
          <w:rFonts w:hint="eastAsia"/>
        </w:rPr>
        <w:t>2001</w:t>
      </w:r>
      <w:r>
        <w:rPr>
          <w:rFonts w:hint="eastAsia"/>
        </w:rPr>
        <w:t>年与</w:t>
      </w:r>
      <w:r>
        <w:rPr>
          <w:rFonts w:hint="eastAsia"/>
        </w:rPr>
        <w:t>1998</w:t>
      </w:r>
      <w:r>
        <w:rPr>
          <w:rFonts w:hint="eastAsia"/>
        </w:rPr>
        <w:t>年一样，妇女在候选人中没有超过</w:t>
      </w:r>
      <w:r>
        <w:rPr>
          <w:rFonts w:hint="eastAsia"/>
        </w:rPr>
        <w:t>20%</w:t>
      </w:r>
      <w:r>
        <w:rPr>
          <w:rFonts w:hint="eastAsia"/>
        </w:rPr>
        <w:t>。另外，在选举中妇女当选的比例也没有超过</w:t>
      </w:r>
      <w:r>
        <w:rPr>
          <w:rFonts w:hint="eastAsia"/>
        </w:rPr>
        <w:t>20%</w:t>
      </w:r>
      <w:r>
        <w:rPr>
          <w:rFonts w:hint="eastAsia"/>
        </w:rPr>
        <w:t>。尽管女选民在数量上超过了男选民，但上述趋势没有改变。</w:t>
      </w:r>
      <w:r>
        <w:rPr>
          <w:rFonts w:hint="eastAsia"/>
        </w:rPr>
        <w:t>在</w:t>
      </w:r>
      <w:r>
        <w:rPr>
          <w:rFonts w:hint="eastAsia"/>
        </w:rPr>
        <w:t>1998</w:t>
      </w:r>
      <w:r>
        <w:rPr>
          <w:rFonts w:hint="eastAsia"/>
        </w:rPr>
        <w:t>年全国大选中，登记的女选民有</w:t>
      </w:r>
      <w:r>
        <w:rPr>
          <w:rFonts w:hint="eastAsia"/>
        </w:rPr>
        <w:t>1 720</w:t>
      </w:r>
      <w:r>
        <w:rPr>
          <w:rFonts w:hint="eastAsia"/>
        </w:rPr>
        <w:t>万人，而男选民为</w:t>
      </w:r>
      <w:r>
        <w:rPr>
          <w:rFonts w:hint="eastAsia"/>
        </w:rPr>
        <w:t>1 690</w:t>
      </w:r>
      <w:r>
        <w:rPr>
          <w:rFonts w:hint="eastAsia"/>
        </w:rPr>
        <w:t>人。女选民的投票率也高于男性，两者在</w:t>
      </w:r>
      <w:r>
        <w:rPr>
          <w:rFonts w:hint="eastAsia"/>
        </w:rPr>
        <w:t>1998</w:t>
      </w:r>
      <w:r>
        <w:rPr>
          <w:rFonts w:hint="eastAsia"/>
        </w:rPr>
        <w:t>年分别为</w:t>
      </w:r>
      <w:r>
        <w:rPr>
          <w:rFonts w:hint="eastAsia"/>
        </w:rPr>
        <w:t>87</w:t>
      </w:r>
      <w:r>
        <w:t>.</w:t>
      </w:r>
      <w:r>
        <w:rPr>
          <w:rFonts w:hint="eastAsia"/>
        </w:rPr>
        <w:t>0%</w:t>
      </w:r>
      <w:r>
        <w:rPr>
          <w:rFonts w:hint="eastAsia"/>
        </w:rPr>
        <w:t>和</w:t>
      </w:r>
      <w:r>
        <w:rPr>
          <w:rFonts w:hint="eastAsia"/>
        </w:rPr>
        <w:t>85</w:t>
      </w:r>
      <w:r>
        <w:t>.</w:t>
      </w:r>
      <w:r>
        <w:rPr>
          <w:rFonts w:hint="eastAsia"/>
        </w:rPr>
        <w:t>7%</w:t>
      </w:r>
      <w:r>
        <w:rPr>
          <w:rFonts w:hint="eastAsia"/>
        </w:rPr>
        <w:t>，在</w:t>
      </w:r>
      <w:r>
        <w:rPr>
          <w:rFonts w:hint="eastAsia"/>
        </w:rPr>
        <w:t>2001</w:t>
      </w:r>
      <w:r>
        <w:rPr>
          <w:rFonts w:hint="eastAsia"/>
        </w:rPr>
        <w:t>年</w:t>
      </w:r>
      <w:r>
        <w:rPr>
          <w:rFonts w:hint="eastAsia"/>
        </w:rPr>
        <w:t>5</w:t>
      </w:r>
      <w:r>
        <w:rPr>
          <w:rFonts w:hint="eastAsia"/>
        </w:rPr>
        <w:t>月全国和地方选举中该比率分别为</w:t>
      </w:r>
      <w:r>
        <w:rPr>
          <w:rFonts w:hint="eastAsia"/>
        </w:rPr>
        <w:t>76</w:t>
      </w:r>
      <w:r>
        <w:t>.</w:t>
      </w:r>
      <w:r>
        <w:rPr>
          <w:rFonts w:hint="eastAsia"/>
        </w:rPr>
        <w:t>7%</w:t>
      </w:r>
      <w:r>
        <w:rPr>
          <w:rFonts w:hint="eastAsia"/>
        </w:rPr>
        <w:t>和</w:t>
      </w:r>
      <w:r>
        <w:rPr>
          <w:rFonts w:hint="eastAsia"/>
        </w:rPr>
        <w:t>75</w:t>
      </w:r>
      <w:r>
        <w:t>.</w:t>
      </w:r>
      <w:r>
        <w:rPr>
          <w:rFonts w:hint="eastAsia"/>
        </w:rPr>
        <w:t>9%</w:t>
      </w:r>
      <w:r>
        <w:rPr>
          <w:rFonts w:hint="eastAsia"/>
        </w:rPr>
        <w:t>。</w:t>
      </w:r>
    </w:p>
    <w:p w:rsidR="00000000" w:rsidRDefault="00821B8F">
      <w:pPr>
        <w:numPr>
          <w:ilvl w:val="0"/>
          <w:numId w:val="1236"/>
        </w:numPr>
        <w:spacing w:after="240" w:line="360" w:lineRule="exact"/>
        <w:ind w:left="540" w:hanging="540"/>
        <w:rPr>
          <w:rFonts w:hint="eastAsia"/>
          <w:spacing w:val="-2"/>
        </w:rPr>
      </w:pPr>
      <w:r>
        <w:rPr>
          <w:rFonts w:hint="eastAsia"/>
        </w:rPr>
        <w:t xml:space="preserve"> </w:t>
      </w:r>
      <w:r>
        <w:rPr>
          <w:rFonts w:hint="eastAsia"/>
        </w:rPr>
        <w:t>在立法机构，</w:t>
      </w:r>
      <w:r>
        <w:rPr>
          <w:rFonts w:hint="eastAsia"/>
        </w:rPr>
        <w:t>1995</w:t>
      </w:r>
      <w:r>
        <w:rPr>
          <w:rFonts w:hint="eastAsia"/>
        </w:rPr>
        <w:t>年，妇女在参议院所占的份额为</w:t>
      </w:r>
      <w:r>
        <w:rPr>
          <w:rFonts w:hint="eastAsia"/>
        </w:rPr>
        <w:t>17%</w:t>
      </w:r>
      <w:r>
        <w:rPr>
          <w:rFonts w:hint="eastAsia"/>
        </w:rPr>
        <w:t>，</w:t>
      </w:r>
      <w:r>
        <w:rPr>
          <w:rFonts w:hint="eastAsia"/>
        </w:rPr>
        <w:t>2001</w:t>
      </w:r>
      <w:r>
        <w:rPr>
          <w:rFonts w:hint="eastAsia"/>
        </w:rPr>
        <w:t>年下降为</w:t>
      </w:r>
      <w:r>
        <w:rPr>
          <w:rFonts w:hint="eastAsia"/>
        </w:rPr>
        <w:t>9%</w:t>
      </w:r>
      <w:r>
        <w:rPr>
          <w:rFonts w:hint="eastAsia"/>
        </w:rPr>
        <w:t>，在全部</w:t>
      </w:r>
      <w:r>
        <w:rPr>
          <w:rFonts w:hint="eastAsia"/>
        </w:rPr>
        <w:t>23</w:t>
      </w:r>
      <w:r>
        <w:rPr>
          <w:rFonts w:hint="eastAsia"/>
        </w:rPr>
        <w:t>名参议员中只有三位妇女。众议院里的趋势与此相反，妇女所占的席位从</w:t>
      </w:r>
      <w:r>
        <w:rPr>
          <w:rFonts w:hint="eastAsia"/>
        </w:rPr>
        <w:t>1995</w:t>
      </w:r>
      <w:r>
        <w:rPr>
          <w:rFonts w:hint="eastAsia"/>
        </w:rPr>
        <w:t>年的</w:t>
      </w:r>
      <w:r>
        <w:rPr>
          <w:rFonts w:hint="eastAsia"/>
        </w:rPr>
        <w:t>9%</w:t>
      </w:r>
      <w:r>
        <w:rPr>
          <w:rFonts w:hint="eastAsia"/>
        </w:rPr>
        <w:t>上升到</w:t>
      </w:r>
      <w:r>
        <w:rPr>
          <w:rFonts w:hint="eastAsia"/>
        </w:rPr>
        <w:t>2001</w:t>
      </w:r>
      <w:r>
        <w:rPr>
          <w:rFonts w:hint="eastAsia"/>
        </w:rPr>
        <w:t>年在</w:t>
      </w:r>
      <w:r>
        <w:rPr>
          <w:rFonts w:hint="eastAsia"/>
        </w:rPr>
        <w:t>205</w:t>
      </w:r>
      <w:r>
        <w:rPr>
          <w:rFonts w:hint="eastAsia"/>
        </w:rPr>
        <w:t>名众议员中占</w:t>
      </w:r>
      <w:r>
        <w:rPr>
          <w:rFonts w:hint="eastAsia"/>
        </w:rPr>
        <w:t>16%</w:t>
      </w:r>
      <w:r>
        <w:rPr>
          <w:rFonts w:hint="eastAsia"/>
        </w:rPr>
        <w:t>。</w:t>
      </w:r>
    </w:p>
    <w:p w:rsidR="00000000" w:rsidRDefault="00821B8F">
      <w:pPr>
        <w:numPr>
          <w:ilvl w:val="0"/>
          <w:numId w:val="1236"/>
        </w:numPr>
        <w:spacing w:after="240" w:line="360" w:lineRule="exact"/>
        <w:ind w:left="540" w:hanging="540"/>
        <w:rPr>
          <w:rFonts w:hint="eastAsia"/>
          <w:spacing w:val="-2"/>
        </w:rPr>
      </w:pPr>
      <w:r>
        <w:rPr>
          <w:rFonts w:hint="eastAsia"/>
        </w:rPr>
        <w:t xml:space="preserve"> </w:t>
      </w:r>
      <w:r>
        <w:rPr>
          <w:rFonts w:hint="eastAsia"/>
        </w:rPr>
        <w:t>由于执行第</w:t>
      </w:r>
      <w:r>
        <w:rPr>
          <w:rFonts w:hint="eastAsia"/>
        </w:rPr>
        <w:t>7941</w:t>
      </w:r>
      <w:r>
        <w:rPr>
          <w:rFonts w:hint="eastAsia"/>
        </w:rPr>
        <w:t>号共和国法令，即《</w:t>
      </w:r>
      <w:r>
        <w:rPr>
          <w:rFonts w:hint="eastAsia"/>
        </w:rPr>
        <w:t>1995</w:t>
      </w:r>
      <w:r>
        <w:rPr>
          <w:rFonts w:hint="eastAsia"/>
        </w:rPr>
        <w:t>年</w:t>
      </w:r>
      <w:r>
        <w:rPr>
          <w:color w:val="000000"/>
        </w:rPr>
        <w:t>政党名单比例代表制</w:t>
      </w:r>
      <w:r>
        <w:rPr>
          <w:rFonts w:hint="eastAsia"/>
        </w:rPr>
        <w:t>法》，在众</w:t>
      </w:r>
      <w:r>
        <w:rPr>
          <w:rFonts w:hint="eastAsia"/>
        </w:rPr>
        <w:t>议院中为妇女分配了</w:t>
      </w:r>
      <w:r>
        <w:rPr>
          <w:rFonts w:hint="eastAsia"/>
        </w:rPr>
        <w:t>50</w:t>
      </w:r>
      <w:r>
        <w:rPr>
          <w:rFonts w:hint="eastAsia"/>
        </w:rPr>
        <w:t>个席位，在来自农民社区、城市贫民、农场主、渔民和妇女等边际部门的党派名单代表总席位</w:t>
      </w:r>
      <w:r>
        <w:rPr>
          <w:rFonts w:hint="eastAsia"/>
        </w:rPr>
        <w:t>250</w:t>
      </w:r>
      <w:r>
        <w:rPr>
          <w:rFonts w:hint="eastAsia"/>
        </w:rPr>
        <w:t>位中占</w:t>
      </w:r>
      <w:r>
        <w:rPr>
          <w:rFonts w:hint="eastAsia"/>
        </w:rPr>
        <w:t>20%</w:t>
      </w:r>
      <w:r>
        <w:rPr>
          <w:rFonts w:hint="eastAsia"/>
        </w:rPr>
        <w:t>。在</w:t>
      </w:r>
      <w:r>
        <w:rPr>
          <w:rFonts w:hint="eastAsia"/>
        </w:rPr>
        <w:t>1998</w:t>
      </w:r>
      <w:r>
        <w:rPr>
          <w:rFonts w:hint="eastAsia"/>
        </w:rPr>
        <w:t>年选举中，选举委员会核准六个妇女政党合格，但其中只有一个政党，即</w:t>
      </w:r>
      <w:r>
        <w:rPr>
          <w:i/>
          <w:spacing w:val="-2"/>
        </w:rPr>
        <w:t>Abanse! Pinay</w:t>
      </w:r>
      <w:r>
        <w:rPr>
          <w:rFonts w:hint="eastAsia"/>
          <w:spacing w:val="-2"/>
        </w:rPr>
        <w:t>党得到了赢得一席所要求的选票百分比。在</w:t>
      </w:r>
      <w:r>
        <w:rPr>
          <w:rFonts w:hint="eastAsia"/>
          <w:spacing w:val="-2"/>
        </w:rPr>
        <w:t>2001</w:t>
      </w:r>
      <w:r>
        <w:rPr>
          <w:rFonts w:hint="eastAsia"/>
          <w:spacing w:val="-2"/>
        </w:rPr>
        <w:t>年选举中，有几个政党获得的选票较多，但因未代表边际化部门而被最高法院取消资格，结果，</w:t>
      </w:r>
      <w:r>
        <w:rPr>
          <w:rFonts w:hint="eastAsia"/>
          <w:spacing w:val="-2"/>
        </w:rPr>
        <w:t>Pinay</w:t>
      </w:r>
      <w:r>
        <w:rPr>
          <w:rFonts w:hint="eastAsia"/>
          <w:spacing w:val="-2"/>
        </w:rPr>
        <w:t>党再次赢得了一席。</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color w:val="000000"/>
        </w:rPr>
        <w:t>政党名单比例代表制</w:t>
      </w:r>
      <w:r>
        <w:rPr>
          <w:rFonts w:hint="eastAsia"/>
          <w:spacing w:val="-2"/>
        </w:rPr>
        <w:t>为妇女通过自己的代表来代表自己的利益提供了机会。但是，</w:t>
      </w:r>
      <w:r>
        <w:rPr>
          <w:color w:val="000000"/>
        </w:rPr>
        <w:t>政党名单比例代表制</w:t>
      </w:r>
      <w:r>
        <w:rPr>
          <w:rFonts w:hint="eastAsia"/>
          <w:spacing w:val="-2"/>
        </w:rPr>
        <w:t>不太为人所知，另外代表这些群体的政党</w:t>
      </w:r>
      <w:r>
        <w:rPr>
          <w:rFonts w:hint="eastAsia"/>
          <w:spacing w:val="-2"/>
        </w:rPr>
        <w:t>经验不足而且缺少资金，至今产生的影响有限。</w:t>
      </w:r>
    </w:p>
    <w:p w:rsidR="00000000" w:rsidRDefault="00821B8F">
      <w:pPr>
        <w:spacing w:after="240" w:line="360" w:lineRule="exact"/>
        <w:rPr>
          <w:rFonts w:hint="eastAsia"/>
          <w:spacing w:val="-2"/>
        </w:rPr>
      </w:pPr>
      <w:r>
        <w:rPr>
          <w:rFonts w:hint="eastAsia"/>
          <w:spacing w:val="-2"/>
          <w:u w:val="single"/>
        </w:rPr>
        <w:t>担任行政部门、司法部门和制宪委员会任命职务的妇女</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阿罗约总统的政府因在内阁成员中任命的妇女人数最多，因而引人注目。到</w:t>
      </w:r>
      <w:r>
        <w:rPr>
          <w:rFonts w:hint="eastAsia"/>
          <w:spacing w:val="-2"/>
        </w:rPr>
        <w:t>2003</w:t>
      </w:r>
      <w:r>
        <w:rPr>
          <w:rFonts w:hint="eastAsia"/>
          <w:spacing w:val="-2"/>
        </w:rPr>
        <w:t>年年底，</w:t>
      </w:r>
      <w:r>
        <w:rPr>
          <w:rFonts w:hint="eastAsia"/>
          <w:spacing w:val="-2"/>
        </w:rPr>
        <w:t>19</w:t>
      </w:r>
      <w:r>
        <w:rPr>
          <w:rFonts w:hint="eastAsia"/>
          <w:spacing w:val="-2"/>
        </w:rPr>
        <w:t>位部长中有五位是妇女。她们负责管理预算、劳工、社会福利、科学和技术及环境和自然资源部门。</w:t>
      </w:r>
      <w:r>
        <w:rPr>
          <w:rFonts w:hint="eastAsia"/>
          <w:spacing w:val="-2"/>
        </w:rPr>
        <w:t>2004</w:t>
      </w:r>
      <w:r>
        <w:rPr>
          <w:rFonts w:hint="eastAsia"/>
          <w:spacing w:val="-2"/>
        </w:rPr>
        <w:t>年初，又有三位妇女被任命为部长（财政、外交和司法）。具有内阁成员资格的妇女还有总统和平进程顾问委员会主任以及国家扶贫委员会的代理总召集人。这样，内阁中的妇女总数达到</w:t>
      </w:r>
      <w:r>
        <w:rPr>
          <w:rFonts w:hint="eastAsia"/>
          <w:spacing w:val="-2"/>
        </w:rPr>
        <w:t>10</w:t>
      </w:r>
      <w:r>
        <w:rPr>
          <w:rFonts w:hint="eastAsia"/>
          <w:spacing w:val="-2"/>
        </w:rPr>
        <w:t>位，在菲律宾历史上最高。</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与上一报告期相比，妇女在政府最高级职位</w:t>
      </w:r>
      <w:r>
        <w:rPr>
          <w:rFonts w:hint="eastAsia"/>
          <w:spacing w:val="-2"/>
        </w:rPr>
        <w:t>中所占比例有了提高。五个宪法委员会中有两个，即公务员制度委员会和人权委员会由妇女担任负责人。在选举、审计和公务员制度委员会中还有妇女担任专员。妇女还担任社会保障系统和总统贤政委员会的负责人职务。此外，国家扶贫委员会部门理事会的</w:t>
      </w:r>
      <w:r>
        <w:rPr>
          <w:rFonts w:hint="eastAsia"/>
          <w:spacing w:val="-2"/>
        </w:rPr>
        <w:t>14</w:t>
      </w:r>
      <w:r>
        <w:rPr>
          <w:rFonts w:hint="eastAsia"/>
          <w:spacing w:val="-2"/>
        </w:rPr>
        <w:t>名成员中有两位非政府组织的妇女代表（非正规部门和妇女）。</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w:t>
      </w:r>
      <w:r>
        <w:rPr>
          <w:rFonts w:hint="eastAsia"/>
          <w:spacing w:val="-2"/>
        </w:rPr>
        <w:t>1997</w:t>
      </w:r>
      <w:r>
        <w:rPr>
          <w:rFonts w:hint="eastAsia"/>
          <w:spacing w:val="-2"/>
        </w:rPr>
        <w:t>年土著人民权利法》同样规定了妇女的代表问题。由于执行了这项法令，国家土著人民委员会的七名委员中妇女占了两位。与此类似，在地方渔业和水产资源管理委员会（第</w:t>
      </w:r>
      <w:r>
        <w:rPr>
          <w:rFonts w:hint="eastAsia"/>
          <w:spacing w:val="-2"/>
        </w:rPr>
        <w:t>8850</w:t>
      </w:r>
      <w:r>
        <w:rPr>
          <w:rFonts w:hint="eastAsia"/>
          <w:spacing w:val="-2"/>
        </w:rPr>
        <w:t>号共和国法令）、土地改革机构、保护区管理委员会以及地</w:t>
      </w:r>
      <w:r>
        <w:rPr>
          <w:rFonts w:hint="eastAsia"/>
          <w:spacing w:val="-2"/>
        </w:rPr>
        <w:t>方农业和渔业理事会中至少为妇女各保留一席。</w:t>
      </w:r>
      <w:r>
        <w:rPr>
          <w:rFonts w:hint="eastAsia"/>
          <w:spacing w:val="-2"/>
        </w:rPr>
        <w:t>2001</w:t>
      </w:r>
      <w:r>
        <w:rPr>
          <w:rFonts w:hint="eastAsia"/>
          <w:spacing w:val="-2"/>
        </w:rPr>
        <w:t>年，妇女在各级农业和渔业理事会中占</w:t>
      </w:r>
      <w:r>
        <w:rPr>
          <w:rFonts w:hint="eastAsia"/>
          <w:spacing w:val="-2"/>
        </w:rPr>
        <w:t>30</w:t>
      </w:r>
      <w:r>
        <w:rPr>
          <w:spacing w:val="-2"/>
        </w:rPr>
        <w:t>%</w:t>
      </w:r>
      <w:r>
        <w:rPr>
          <w:rFonts w:hint="eastAsia"/>
          <w:spacing w:val="-2"/>
        </w:rPr>
        <w:t>至</w:t>
      </w:r>
      <w:r>
        <w:rPr>
          <w:rFonts w:hint="eastAsia"/>
          <w:spacing w:val="-2"/>
        </w:rPr>
        <w:t>45%</w:t>
      </w:r>
      <w:r>
        <w:rPr>
          <w:rFonts w:hint="eastAsia"/>
          <w:spacing w:val="-2"/>
        </w:rPr>
        <w:t>，其中在地区一级占</w:t>
      </w:r>
      <w:r>
        <w:rPr>
          <w:rFonts w:hint="eastAsia"/>
          <w:spacing w:val="-2"/>
        </w:rPr>
        <w:t>40%</w:t>
      </w:r>
      <w:r>
        <w:rPr>
          <w:rFonts w:hint="eastAsia"/>
          <w:spacing w:val="-2"/>
        </w:rPr>
        <w:t>、在省级占</w:t>
      </w:r>
      <w:r>
        <w:rPr>
          <w:rFonts w:hint="eastAsia"/>
          <w:spacing w:val="-2"/>
        </w:rPr>
        <w:t>30%</w:t>
      </w:r>
      <w:r>
        <w:rPr>
          <w:rFonts w:hint="eastAsia"/>
          <w:spacing w:val="-2"/>
        </w:rPr>
        <w:t>、在市级占</w:t>
      </w:r>
      <w:r>
        <w:rPr>
          <w:rFonts w:hint="eastAsia"/>
          <w:spacing w:val="-2"/>
        </w:rPr>
        <w:t>45%</w:t>
      </w:r>
      <w:r>
        <w:rPr>
          <w:rFonts w:hint="eastAsia"/>
          <w:spacing w:val="-2"/>
        </w:rPr>
        <w:t>。妇女在各级土地改革管理机构或理事会中所占比例要小得多，其中在市级所占份额最小（</w:t>
      </w:r>
      <w:r>
        <w:rPr>
          <w:rFonts w:hint="eastAsia"/>
          <w:spacing w:val="-2"/>
        </w:rPr>
        <w:t>23%</w:t>
      </w:r>
      <w:r>
        <w:rPr>
          <w:rFonts w:hint="eastAsia"/>
          <w:spacing w:val="-2"/>
        </w:rPr>
        <w:t>）；在环境保护区管理委员会中所占比例甚至还要小。</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截至</w:t>
      </w:r>
      <w:r>
        <w:rPr>
          <w:rFonts w:hint="eastAsia"/>
          <w:spacing w:val="-2"/>
        </w:rPr>
        <w:t>2003</w:t>
      </w:r>
      <w:r>
        <w:rPr>
          <w:rFonts w:hint="eastAsia"/>
          <w:spacing w:val="-2"/>
        </w:rPr>
        <w:t>年</w:t>
      </w:r>
      <w:r>
        <w:rPr>
          <w:rFonts w:hint="eastAsia"/>
          <w:spacing w:val="-2"/>
        </w:rPr>
        <w:t>9</w:t>
      </w:r>
      <w:r>
        <w:rPr>
          <w:rFonts w:hint="eastAsia"/>
          <w:spacing w:val="-2"/>
        </w:rPr>
        <w:t>月，最高法院的</w:t>
      </w:r>
      <w:r>
        <w:rPr>
          <w:rFonts w:hint="eastAsia"/>
          <w:spacing w:val="-2"/>
        </w:rPr>
        <w:t>15</w:t>
      </w:r>
      <w:r>
        <w:rPr>
          <w:rFonts w:hint="eastAsia"/>
          <w:spacing w:val="-2"/>
        </w:rPr>
        <w:t>位法官中有四名妇女，占</w:t>
      </w:r>
      <w:r>
        <w:rPr>
          <w:rFonts w:hint="eastAsia"/>
          <w:spacing w:val="-2"/>
        </w:rPr>
        <w:t>27%</w:t>
      </w:r>
      <w:r>
        <w:rPr>
          <w:rFonts w:hint="eastAsia"/>
          <w:spacing w:val="-2"/>
        </w:rPr>
        <w:t>；上诉法院的</w:t>
      </w:r>
      <w:r>
        <w:rPr>
          <w:rFonts w:hint="eastAsia"/>
          <w:spacing w:val="-2"/>
        </w:rPr>
        <w:t>47</w:t>
      </w:r>
      <w:r>
        <w:rPr>
          <w:rFonts w:hint="eastAsia"/>
          <w:spacing w:val="-2"/>
        </w:rPr>
        <w:t>位法官中有</w:t>
      </w:r>
      <w:r>
        <w:rPr>
          <w:rFonts w:hint="eastAsia"/>
          <w:spacing w:val="-2"/>
        </w:rPr>
        <w:t>12</w:t>
      </w:r>
      <w:r>
        <w:rPr>
          <w:rFonts w:hint="eastAsia"/>
          <w:spacing w:val="-2"/>
        </w:rPr>
        <w:t>名妇女，占</w:t>
      </w:r>
      <w:r>
        <w:rPr>
          <w:rFonts w:hint="eastAsia"/>
          <w:spacing w:val="-2"/>
        </w:rPr>
        <w:t>25%</w:t>
      </w:r>
      <w:r>
        <w:rPr>
          <w:rFonts w:hint="eastAsia"/>
          <w:spacing w:val="-2"/>
        </w:rPr>
        <w:t>；在负责处理涉及政府官员贪污和腐败案件的</w:t>
      </w:r>
      <w:r>
        <w:rPr>
          <w:color w:val="000000"/>
        </w:rPr>
        <w:t>桑迪甘巴彦</w:t>
      </w:r>
      <w:r>
        <w:rPr>
          <w:rFonts w:hint="eastAsia"/>
          <w:color w:val="000000"/>
        </w:rPr>
        <w:t>反贪</w:t>
      </w:r>
      <w:r>
        <w:rPr>
          <w:rFonts w:hint="eastAsia"/>
          <w:spacing w:val="-2"/>
        </w:rPr>
        <w:t>法院的</w:t>
      </w:r>
      <w:r>
        <w:rPr>
          <w:rFonts w:hint="eastAsia"/>
          <w:spacing w:val="-2"/>
        </w:rPr>
        <w:t>11</w:t>
      </w:r>
      <w:r>
        <w:rPr>
          <w:rFonts w:hint="eastAsia"/>
          <w:spacing w:val="-2"/>
        </w:rPr>
        <w:t>位法官中有三名妇女，占</w:t>
      </w:r>
      <w:r>
        <w:rPr>
          <w:rFonts w:hint="eastAsia"/>
          <w:spacing w:val="-2"/>
        </w:rPr>
        <w:t>27%</w:t>
      </w:r>
      <w:r>
        <w:rPr>
          <w:rFonts w:hint="eastAsia"/>
          <w:spacing w:val="-2"/>
        </w:rPr>
        <w:t>。在税务起诉法院、</w:t>
      </w:r>
      <w:r>
        <w:rPr>
          <w:color w:val="000000"/>
        </w:rPr>
        <w:t>伊</w:t>
      </w:r>
      <w:r>
        <w:rPr>
          <w:color w:val="000000"/>
        </w:rPr>
        <w:t>斯兰教教法</w:t>
      </w:r>
      <w:r>
        <w:rPr>
          <w:rFonts w:hint="eastAsia"/>
          <w:spacing w:val="-2"/>
        </w:rPr>
        <w:t>地区法院和下级</w:t>
      </w:r>
      <w:r>
        <w:rPr>
          <w:color w:val="000000"/>
        </w:rPr>
        <w:t>伊斯兰教教法</w:t>
      </w:r>
      <w:r>
        <w:rPr>
          <w:rFonts w:hint="eastAsia"/>
          <w:spacing w:val="-2"/>
        </w:rPr>
        <w:t>巡回审判法院中，所有的法官仍然全是男性。下表列示了菲律宾其他法院中现任女法官所占的比例。除了在大都市审判法院女法官在所有法官中几乎占到一半之外，在下级法院，女法官所占比例都不超过四分之一。但是，必须指出的是，在此后的</w:t>
      </w:r>
      <w:r>
        <w:rPr>
          <w:rFonts w:hint="eastAsia"/>
          <w:spacing w:val="-2"/>
        </w:rPr>
        <w:t>12</w:t>
      </w:r>
      <w:r>
        <w:rPr>
          <w:rFonts w:hint="eastAsia"/>
          <w:spacing w:val="-2"/>
        </w:rPr>
        <w:t>个月里，由于女法官填补了空缺，使得</w:t>
      </w:r>
      <w:r>
        <w:rPr>
          <w:color w:val="000000"/>
        </w:rPr>
        <w:t>伊斯兰教教法</w:t>
      </w:r>
      <w:r>
        <w:rPr>
          <w:rFonts w:hint="eastAsia"/>
          <w:spacing w:val="-2"/>
        </w:rPr>
        <w:t>巡回法院之外的下级法院的性别均衡问题有所改善。</w:t>
      </w:r>
    </w:p>
    <w:p w:rsidR="00000000" w:rsidRDefault="00821B8F">
      <w:pPr>
        <w:spacing w:after="240" w:line="360" w:lineRule="exact"/>
        <w:rPr>
          <w:rFonts w:ascii="SimHei" w:eastAsia="SimHei" w:hint="eastAsia"/>
          <w:bCs/>
          <w:color w:val="FF0000"/>
        </w:rPr>
      </w:pPr>
      <w:r>
        <w:rPr>
          <w:rFonts w:ascii="SimHei" w:eastAsia="SimHei" w:hint="eastAsia"/>
          <w:bCs/>
          <w:color w:val="FF0000"/>
        </w:rPr>
        <w:t>妇女在菲律宾审判法院任职法官中所占的比例（最高法院，</w:t>
      </w:r>
      <w:r>
        <w:rPr>
          <w:rFonts w:ascii="SimHei" w:eastAsia="SimHei" w:hint="eastAsia"/>
          <w:bCs/>
          <w:color w:val="FF0000"/>
        </w:rPr>
        <w:t>2002</w:t>
      </w:r>
      <w:r>
        <w:rPr>
          <w:rFonts w:ascii="SimHei" w:eastAsia="SimHei" w:hint="eastAsia"/>
          <w:bCs/>
          <w:color w:val="FF0000"/>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2013"/>
        <w:gridCol w:w="2237"/>
        <w:gridCol w:w="2460"/>
      </w:tblGrid>
      <w:tr w:rsidR="00000000">
        <w:tblPrEx>
          <w:tblCellMar>
            <w:top w:w="0" w:type="dxa"/>
            <w:bottom w:w="0" w:type="dxa"/>
          </w:tblCellMar>
        </w:tblPrEx>
        <w:tc>
          <w:tcPr>
            <w:tcW w:w="1667" w:type="pct"/>
          </w:tcPr>
          <w:p w:rsidR="00000000" w:rsidRDefault="00821B8F">
            <w:pPr>
              <w:tabs>
                <w:tab w:val="num" w:pos="1140"/>
              </w:tabs>
              <w:spacing w:after="120" w:line="360" w:lineRule="exact"/>
              <w:jc w:val="center"/>
              <w:rPr>
                <w:rFonts w:eastAsia="SimHei" w:hint="eastAsia"/>
                <w:bCs/>
                <w:color w:val="FF0000"/>
              </w:rPr>
            </w:pPr>
            <w:r>
              <w:rPr>
                <w:rFonts w:eastAsia="SimHei" w:hint="eastAsia"/>
                <w:bCs/>
                <w:color w:val="FF0000"/>
              </w:rPr>
              <w:t>菲律宾法院</w:t>
            </w:r>
          </w:p>
        </w:tc>
        <w:tc>
          <w:tcPr>
            <w:tcW w:w="1000" w:type="pct"/>
          </w:tcPr>
          <w:p w:rsidR="00000000" w:rsidRDefault="00821B8F">
            <w:pPr>
              <w:tabs>
                <w:tab w:val="num" w:pos="1140"/>
              </w:tabs>
              <w:spacing w:after="120" w:line="360" w:lineRule="exact"/>
              <w:jc w:val="center"/>
              <w:rPr>
                <w:rFonts w:eastAsia="SimHei" w:hint="eastAsia"/>
                <w:bCs/>
                <w:color w:val="FF0000"/>
              </w:rPr>
            </w:pPr>
            <w:r>
              <w:rPr>
                <w:rFonts w:eastAsia="SimHei" w:hint="eastAsia"/>
                <w:bCs/>
                <w:color w:val="FF0000"/>
              </w:rPr>
              <w:t>女法官人数</w:t>
            </w:r>
          </w:p>
        </w:tc>
        <w:tc>
          <w:tcPr>
            <w:tcW w:w="1111" w:type="pct"/>
          </w:tcPr>
          <w:p w:rsidR="00000000" w:rsidRDefault="00821B8F">
            <w:pPr>
              <w:tabs>
                <w:tab w:val="num" w:pos="1140"/>
              </w:tabs>
              <w:spacing w:after="120" w:line="360" w:lineRule="exact"/>
              <w:jc w:val="center"/>
              <w:rPr>
                <w:rFonts w:eastAsia="SimHei" w:hint="eastAsia"/>
                <w:bCs/>
                <w:color w:val="FF0000"/>
              </w:rPr>
            </w:pPr>
            <w:r>
              <w:rPr>
                <w:rFonts w:eastAsia="SimHei" w:hint="eastAsia"/>
                <w:bCs/>
                <w:color w:val="FF0000"/>
              </w:rPr>
              <w:t>法官总数</w:t>
            </w:r>
          </w:p>
        </w:tc>
        <w:tc>
          <w:tcPr>
            <w:tcW w:w="1222" w:type="pct"/>
          </w:tcPr>
          <w:p w:rsidR="00000000" w:rsidRDefault="00821B8F">
            <w:pPr>
              <w:tabs>
                <w:tab w:val="num" w:pos="1140"/>
              </w:tabs>
              <w:spacing w:after="120" w:line="360" w:lineRule="exact"/>
              <w:jc w:val="center"/>
              <w:rPr>
                <w:rFonts w:eastAsia="SimHei" w:hint="eastAsia"/>
                <w:bCs/>
                <w:color w:val="FF0000"/>
              </w:rPr>
            </w:pPr>
            <w:r>
              <w:rPr>
                <w:rFonts w:eastAsia="SimHei" w:hint="eastAsia"/>
                <w:bCs/>
                <w:color w:val="FF0000"/>
              </w:rPr>
              <w:t>女性所占百分比</w:t>
            </w:r>
          </w:p>
        </w:tc>
      </w:tr>
      <w:tr w:rsidR="00000000">
        <w:tblPrEx>
          <w:tblCellMar>
            <w:top w:w="0" w:type="dxa"/>
            <w:bottom w:w="0" w:type="dxa"/>
          </w:tblCellMar>
        </w:tblPrEx>
        <w:tc>
          <w:tcPr>
            <w:tcW w:w="1667" w:type="pct"/>
          </w:tcPr>
          <w:p w:rsidR="00000000" w:rsidRDefault="00821B8F">
            <w:pPr>
              <w:pStyle w:val="Footer"/>
              <w:tabs>
                <w:tab w:val="num" w:pos="1140"/>
              </w:tabs>
              <w:spacing w:after="120" w:line="360" w:lineRule="exact"/>
              <w:rPr>
                <w:rFonts w:hint="eastAsia"/>
                <w:sz w:val="21"/>
              </w:rPr>
            </w:pPr>
            <w:r>
              <w:rPr>
                <w:rFonts w:hint="eastAsia"/>
                <w:sz w:val="21"/>
              </w:rPr>
              <w:t>地区审判法院</w:t>
            </w:r>
          </w:p>
        </w:tc>
        <w:tc>
          <w:tcPr>
            <w:tcW w:w="1000" w:type="pct"/>
          </w:tcPr>
          <w:p w:rsidR="00000000" w:rsidRDefault="00821B8F">
            <w:pPr>
              <w:tabs>
                <w:tab w:val="num" w:pos="1140"/>
              </w:tabs>
              <w:spacing w:after="120" w:line="360" w:lineRule="exact"/>
              <w:jc w:val="center"/>
            </w:pPr>
            <w:r>
              <w:t xml:space="preserve">165 </w:t>
            </w:r>
          </w:p>
        </w:tc>
        <w:tc>
          <w:tcPr>
            <w:tcW w:w="1111" w:type="pct"/>
          </w:tcPr>
          <w:p w:rsidR="00000000" w:rsidRDefault="00821B8F">
            <w:pPr>
              <w:tabs>
                <w:tab w:val="num" w:pos="1140"/>
              </w:tabs>
              <w:spacing w:after="120" w:line="360" w:lineRule="exact"/>
              <w:jc w:val="center"/>
            </w:pPr>
            <w:r>
              <w:t>778</w:t>
            </w:r>
          </w:p>
        </w:tc>
        <w:tc>
          <w:tcPr>
            <w:tcW w:w="1222" w:type="pct"/>
          </w:tcPr>
          <w:p w:rsidR="00000000" w:rsidRDefault="00821B8F">
            <w:pPr>
              <w:tabs>
                <w:tab w:val="num" w:pos="1140"/>
              </w:tabs>
              <w:spacing w:after="120" w:line="360" w:lineRule="exact"/>
              <w:jc w:val="center"/>
            </w:pPr>
            <w:r>
              <w:t>21</w:t>
            </w:r>
          </w:p>
        </w:tc>
      </w:tr>
      <w:tr w:rsidR="00000000">
        <w:tblPrEx>
          <w:tblCellMar>
            <w:top w:w="0" w:type="dxa"/>
            <w:bottom w:w="0" w:type="dxa"/>
          </w:tblCellMar>
        </w:tblPrEx>
        <w:tc>
          <w:tcPr>
            <w:tcW w:w="1667" w:type="pct"/>
          </w:tcPr>
          <w:p w:rsidR="00000000" w:rsidRDefault="00821B8F">
            <w:pPr>
              <w:tabs>
                <w:tab w:val="num" w:pos="1140"/>
              </w:tabs>
              <w:spacing w:after="120" w:line="360" w:lineRule="exact"/>
              <w:rPr>
                <w:rFonts w:hint="eastAsia"/>
              </w:rPr>
            </w:pPr>
            <w:r>
              <w:rPr>
                <w:rFonts w:hint="eastAsia"/>
              </w:rPr>
              <w:t>大都</w:t>
            </w:r>
            <w:r>
              <w:rPr>
                <w:rFonts w:hint="eastAsia"/>
              </w:rPr>
              <w:t>市审判法院</w:t>
            </w:r>
          </w:p>
        </w:tc>
        <w:tc>
          <w:tcPr>
            <w:tcW w:w="1000" w:type="pct"/>
          </w:tcPr>
          <w:p w:rsidR="00000000" w:rsidRDefault="00821B8F">
            <w:pPr>
              <w:tabs>
                <w:tab w:val="num" w:pos="1140"/>
              </w:tabs>
              <w:spacing w:after="120" w:line="360" w:lineRule="exact"/>
              <w:jc w:val="center"/>
            </w:pPr>
            <w:r>
              <w:t xml:space="preserve"> 29 </w:t>
            </w:r>
          </w:p>
        </w:tc>
        <w:tc>
          <w:tcPr>
            <w:tcW w:w="1111" w:type="pct"/>
          </w:tcPr>
          <w:p w:rsidR="00000000" w:rsidRDefault="00821B8F">
            <w:pPr>
              <w:tabs>
                <w:tab w:val="num" w:pos="1140"/>
              </w:tabs>
              <w:spacing w:after="120" w:line="360" w:lineRule="exact"/>
              <w:jc w:val="center"/>
            </w:pPr>
            <w:r>
              <w:t>64</w:t>
            </w:r>
          </w:p>
        </w:tc>
        <w:tc>
          <w:tcPr>
            <w:tcW w:w="1222" w:type="pct"/>
          </w:tcPr>
          <w:p w:rsidR="00000000" w:rsidRDefault="00821B8F">
            <w:pPr>
              <w:tabs>
                <w:tab w:val="num" w:pos="1140"/>
              </w:tabs>
              <w:spacing w:after="120" w:line="360" w:lineRule="exact"/>
              <w:jc w:val="center"/>
            </w:pPr>
            <w:r>
              <w:t>45</w:t>
            </w:r>
          </w:p>
        </w:tc>
      </w:tr>
      <w:tr w:rsidR="00000000">
        <w:tblPrEx>
          <w:tblCellMar>
            <w:top w:w="0" w:type="dxa"/>
            <w:bottom w:w="0" w:type="dxa"/>
          </w:tblCellMar>
        </w:tblPrEx>
        <w:tc>
          <w:tcPr>
            <w:tcW w:w="1667" w:type="pct"/>
          </w:tcPr>
          <w:p w:rsidR="00000000" w:rsidRDefault="00821B8F">
            <w:pPr>
              <w:tabs>
                <w:tab w:val="num" w:pos="1140"/>
              </w:tabs>
              <w:spacing w:after="120" w:line="360" w:lineRule="exact"/>
              <w:rPr>
                <w:rFonts w:hint="eastAsia"/>
              </w:rPr>
            </w:pPr>
            <w:r>
              <w:rPr>
                <w:rFonts w:hint="eastAsia"/>
              </w:rPr>
              <w:t>各城市的市审判法院</w:t>
            </w:r>
          </w:p>
        </w:tc>
        <w:tc>
          <w:tcPr>
            <w:tcW w:w="1000" w:type="pct"/>
          </w:tcPr>
          <w:p w:rsidR="00000000" w:rsidRDefault="00821B8F">
            <w:pPr>
              <w:tabs>
                <w:tab w:val="num" w:pos="1140"/>
              </w:tabs>
              <w:spacing w:after="120" w:line="360" w:lineRule="exact"/>
              <w:jc w:val="center"/>
            </w:pPr>
            <w:r>
              <w:t xml:space="preserve"> 31 </w:t>
            </w:r>
          </w:p>
        </w:tc>
        <w:tc>
          <w:tcPr>
            <w:tcW w:w="1111" w:type="pct"/>
          </w:tcPr>
          <w:p w:rsidR="00000000" w:rsidRDefault="00821B8F">
            <w:pPr>
              <w:tabs>
                <w:tab w:val="num" w:pos="1140"/>
              </w:tabs>
              <w:spacing w:after="120" w:line="360" w:lineRule="exact"/>
              <w:jc w:val="center"/>
            </w:pPr>
            <w:r>
              <w:t>132</w:t>
            </w:r>
          </w:p>
        </w:tc>
        <w:tc>
          <w:tcPr>
            <w:tcW w:w="1222" w:type="pct"/>
          </w:tcPr>
          <w:p w:rsidR="00000000" w:rsidRDefault="00821B8F">
            <w:pPr>
              <w:tabs>
                <w:tab w:val="num" w:pos="1140"/>
              </w:tabs>
              <w:spacing w:after="120" w:line="360" w:lineRule="exact"/>
              <w:jc w:val="center"/>
            </w:pPr>
            <w:r>
              <w:t>24</w:t>
            </w:r>
          </w:p>
        </w:tc>
      </w:tr>
      <w:tr w:rsidR="00000000">
        <w:tblPrEx>
          <w:tblCellMar>
            <w:top w:w="0" w:type="dxa"/>
            <w:bottom w:w="0" w:type="dxa"/>
          </w:tblCellMar>
        </w:tblPrEx>
        <w:tc>
          <w:tcPr>
            <w:tcW w:w="1667" w:type="pct"/>
          </w:tcPr>
          <w:p w:rsidR="00000000" w:rsidRDefault="00821B8F">
            <w:pPr>
              <w:tabs>
                <w:tab w:val="num" w:pos="1140"/>
              </w:tabs>
              <w:spacing w:after="120" w:line="360" w:lineRule="exact"/>
              <w:rPr>
                <w:rFonts w:hint="eastAsia"/>
              </w:rPr>
            </w:pPr>
            <w:r>
              <w:rPr>
                <w:rFonts w:hint="eastAsia"/>
              </w:rPr>
              <w:t>市审判法院</w:t>
            </w:r>
          </w:p>
        </w:tc>
        <w:tc>
          <w:tcPr>
            <w:tcW w:w="1000" w:type="pct"/>
          </w:tcPr>
          <w:p w:rsidR="00000000" w:rsidRDefault="00821B8F">
            <w:pPr>
              <w:tabs>
                <w:tab w:val="num" w:pos="1140"/>
              </w:tabs>
              <w:spacing w:after="120" w:line="360" w:lineRule="exact"/>
              <w:jc w:val="center"/>
            </w:pPr>
            <w:r>
              <w:t xml:space="preserve"> 56 </w:t>
            </w:r>
          </w:p>
        </w:tc>
        <w:tc>
          <w:tcPr>
            <w:tcW w:w="1111" w:type="pct"/>
          </w:tcPr>
          <w:p w:rsidR="00000000" w:rsidRDefault="00821B8F">
            <w:pPr>
              <w:tabs>
                <w:tab w:val="num" w:pos="1140"/>
              </w:tabs>
              <w:spacing w:after="120" w:line="360" w:lineRule="exact"/>
              <w:jc w:val="center"/>
            </w:pPr>
            <w:r>
              <w:t>220</w:t>
            </w:r>
          </w:p>
        </w:tc>
        <w:tc>
          <w:tcPr>
            <w:tcW w:w="1222" w:type="pct"/>
          </w:tcPr>
          <w:p w:rsidR="00000000" w:rsidRDefault="00821B8F">
            <w:pPr>
              <w:tabs>
                <w:tab w:val="num" w:pos="1140"/>
              </w:tabs>
              <w:spacing w:after="120" w:line="360" w:lineRule="exact"/>
              <w:jc w:val="center"/>
            </w:pPr>
            <w:r>
              <w:t>26</w:t>
            </w:r>
          </w:p>
        </w:tc>
      </w:tr>
      <w:tr w:rsidR="00000000">
        <w:tblPrEx>
          <w:tblCellMar>
            <w:top w:w="0" w:type="dxa"/>
            <w:bottom w:w="0" w:type="dxa"/>
          </w:tblCellMar>
        </w:tblPrEx>
        <w:tc>
          <w:tcPr>
            <w:tcW w:w="1667" w:type="pct"/>
          </w:tcPr>
          <w:p w:rsidR="00000000" w:rsidRDefault="00821B8F">
            <w:pPr>
              <w:tabs>
                <w:tab w:val="num" w:pos="1140"/>
              </w:tabs>
              <w:spacing w:after="120" w:line="360" w:lineRule="exact"/>
              <w:rPr>
                <w:rFonts w:hint="eastAsia"/>
              </w:rPr>
            </w:pPr>
            <w:r>
              <w:rPr>
                <w:rFonts w:hint="eastAsia"/>
              </w:rPr>
              <w:t>市巡回审判法院</w:t>
            </w:r>
          </w:p>
        </w:tc>
        <w:tc>
          <w:tcPr>
            <w:tcW w:w="1000" w:type="pct"/>
          </w:tcPr>
          <w:p w:rsidR="00000000" w:rsidRDefault="00821B8F">
            <w:pPr>
              <w:tabs>
                <w:tab w:val="num" w:pos="1140"/>
              </w:tabs>
              <w:spacing w:after="120" w:line="360" w:lineRule="exact"/>
              <w:jc w:val="center"/>
            </w:pPr>
            <w:r>
              <w:t xml:space="preserve"> 41 </w:t>
            </w:r>
          </w:p>
        </w:tc>
        <w:tc>
          <w:tcPr>
            <w:tcW w:w="1111" w:type="pct"/>
          </w:tcPr>
          <w:p w:rsidR="00000000" w:rsidRDefault="00821B8F">
            <w:pPr>
              <w:tabs>
                <w:tab w:val="num" w:pos="1140"/>
              </w:tabs>
              <w:spacing w:after="120" w:line="360" w:lineRule="exact"/>
              <w:jc w:val="center"/>
            </w:pPr>
            <w:r>
              <w:t>201</w:t>
            </w:r>
          </w:p>
        </w:tc>
        <w:tc>
          <w:tcPr>
            <w:tcW w:w="1222" w:type="pct"/>
          </w:tcPr>
          <w:p w:rsidR="00000000" w:rsidRDefault="00821B8F">
            <w:pPr>
              <w:tabs>
                <w:tab w:val="num" w:pos="1140"/>
              </w:tabs>
              <w:spacing w:after="120" w:line="360" w:lineRule="exact"/>
              <w:jc w:val="center"/>
            </w:pPr>
            <w:r>
              <w:t>20</w:t>
            </w:r>
          </w:p>
        </w:tc>
      </w:tr>
    </w:tbl>
    <w:p w:rsidR="00000000" w:rsidRDefault="00821B8F">
      <w:pPr>
        <w:numPr>
          <w:ilvl w:val="0"/>
          <w:numId w:val="1236"/>
        </w:numPr>
        <w:spacing w:before="120" w:after="240" w:line="360" w:lineRule="exact"/>
        <w:ind w:left="539" w:hanging="539"/>
        <w:rPr>
          <w:rFonts w:hint="eastAsia"/>
          <w:spacing w:val="-2"/>
        </w:rPr>
      </w:pPr>
      <w:r>
        <w:rPr>
          <w:rFonts w:hint="eastAsia"/>
          <w:spacing w:val="-2"/>
        </w:rPr>
        <w:t xml:space="preserve"> </w:t>
      </w:r>
      <w:r>
        <w:rPr>
          <w:rFonts w:hint="eastAsia"/>
        </w:rPr>
        <w:t>1999</w:t>
      </w:r>
      <w:r>
        <w:rPr>
          <w:rFonts w:hint="eastAsia"/>
        </w:rPr>
        <w:t>年，在</w:t>
      </w:r>
      <w:r>
        <w:rPr>
          <w:rFonts w:hint="eastAsia"/>
        </w:rPr>
        <w:t>145</w:t>
      </w:r>
      <w:r>
        <w:rPr>
          <w:rFonts w:hint="eastAsia"/>
        </w:rPr>
        <w:t>万名政府雇员中妇女占一半以上（</w:t>
      </w:r>
      <w:r>
        <w:rPr>
          <w:rFonts w:hint="eastAsia"/>
        </w:rPr>
        <w:t>53%</w:t>
      </w:r>
      <w:r>
        <w:rPr>
          <w:rFonts w:hint="eastAsia"/>
        </w:rPr>
        <w:t>）。与上个报告期一样，妇女在二级雇员（指专业、技术和科学类）中占主导地位（占</w:t>
      </w:r>
      <w:r>
        <w:rPr>
          <w:rFonts w:hint="eastAsia"/>
        </w:rPr>
        <w:t>71.9%</w:t>
      </w:r>
      <w:r>
        <w:rPr>
          <w:rFonts w:hint="eastAsia"/>
        </w:rPr>
        <w:t>）。然而，在三级或职业行政职位上，任命妇女仅占总数的约三分之一（</w:t>
      </w:r>
      <w:r>
        <w:rPr>
          <w:rFonts w:hint="eastAsia"/>
        </w:rPr>
        <w:t>34.8%</w:t>
      </w:r>
      <w:r>
        <w:rPr>
          <w:rFonts w:hint="eastAsia"/>
        </w:rPr>
        <w:t>）。同样，妇女在水利局、菲律宾港口管理局、菲律宾渔业发展管理局以及基地转型发展管理局</w:t>
      </w:r>
      <w:r>
        <w:rPr>
          <w:rFonts w:hint="eastAsia"/>
          <w:spacing w:val="-2"/>
        </w:rPr>
        <w:t>等政府所有或控制的公司的二级职位上仍占少数。这说</w:t>
      </w:r>
      <w:r>
        <w:rPr>
          <w:rFonts w:hint="eastAsia"/>
          <w:spacing w:val="-2"/>
        </w:rPr>
        <w:t>明在官僚机构内，基于性别的隔离现象还继续存在。</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也许由于执行了公务员制度委员会方案，妇女在官僚机构内决策职位上所占份额有所增加。</w:t>
      </w:r>
      <w:r>
        <w:rPr>
          <w:rFonts w:hint="eastAsia"/>
          <w:spacing w:val="-2"/>
        </w:rPr>
        <w:t>2002</w:t>
      </w:r>
      <w:r>
        <w:rPr>
          <w:rFonts w:hint="eastAsia"/>
          <w:spacing w:val="-2"/>
        </w:rPr>
        <w:t>年，妇女担任着</w:t>
      </w:r>
      <w:r>
        <w:rPr>
          <w:rFonts w:hint="eastAsia"/>
          <w:spacing w:val="-2"/>
        </w:rPr>
        <w:t>1 148</w:t>
      </w:r>
      <w:r>
        <w:rPr>
          <w:rFonts w:hint="eastAsia"/>
          <w:spacing w:val="-2"/>
        </w:rPr>
        <w:t>个职业行政服务职务，包括被任命到宪法机构和国家政府机构担任代理主任或负责人职务。这些职务在有人任职的全部职业行政服务职务中约占</w:t>
      </w:r>
      <w:r>
        <w:rPr>
          <w:rFonts w:hint="eastAsia"/>
          <w:spacing w:val="-2"/>
        </w:rPr>
        <w:t>36%</w:t>
      </w:r>
      <w:r>
        <w:rPr>
          <w:rFonts w:hint="eastAsia"/>
          <w:spacing w:val="-2"/>
        </w:rPr>
        <w:t>（</w:t>
      </w:r>
      <w:r>
        <w:rPr>
          <w:rFonts w:hint="eastAsia"/>
          <w:spacing w:val="-2"/>
        </w:rPr>
        <w:t>1999</w:t>
      </w:r>
      <w:r>
        <w:rPr>
          <w:rFonts w:hint="eastAsia"/>
          <w:spacing w:val="-2"/>
        </w:rPr>
        <w:t>年为</w:t>
      </w:r>
      <w:r>
        <w:rPr>
          <w:rFonts w:hint="eastAsia"/>
          <w:spacing w:val="-2"/>
        </w:rPr>
        <w:t>34.8%</w:t>
      </w:r>
      <w:r>
        <w:rPr>
          <w:rFonts w:hint="eastAsia"/>
          <w:spacing w:val="-2"/>
        </w:rPr>
        <w:t>）。在政府所有或控制的公司里，担任职业行政服务职务的妇女共有</w:t>
      </w:r>
      <w:r>
        <w:rPr>
          <w:rFonts w:hint="eastAsia"/>
          <w:spacing w:val="-2"/>
        </w:rPr>
        <w:t>963</w:t>
      </w:r>
      <w:r>
        <w:rPr>
          <w:rFonts w:hint="eastAsia"/>
          <w:spacing w:val="-2"/>
        </w:rPr>
        <w:t>位，占总数的</w:t>
      </w:r>
      <w:r>
        <w:rPr>
          <w:rFonts w:hint="eastAsia"/>
          <w:spacing w:val="-2"/>
        </w:rPr>
        <w:t>43%</w:t>
      </w:r>
      <w:r>
        <w:rPr>
          <w:rFonts w:hint="eastAsia"/>
          <w:spacing w:val="-2"/>
        </w:rPr>
        <w:t>。在宪法机构和国家政府机构的职业行政服务一级的任命职务中，妇女任职人数较少（</w:t>
      </w:r>
      <w:r>
        <w:rPr>
          <w:rFonts w:hint="eastAsia"/>
          <w:spacing w:val="-2"/>
        </w:rPr>
        <w:t>1 056</w:t>
      </w:r>
      <w:r>
        <w:rPr>
          <w:rFonts w:hint="eastAsia"/>
          <w:spacing w:val="-2"/>
        </w:rPr>
        <w:t>名，占总数的</w:t>
      </w:r>
      <w:r>
        <w:rPr>
          <w:rFonts w:hint="eastAsia"/>
          <w:spacing w:val="-2"/>
        </w:rPr>
        <w:t>37%</w:t>
      </w:r>
      <w:r>
        <w:rPr>
          <w:rFonts w:hint="eastAsia"/>
          <w:spacing w:val="-2"/>
        </w:rPr>
        <w:t>）。</w:t>
      </w:r>
    </w:p>
    <w:p w:rsidR="00000000" w:rsidRDefault="00821B8F">
      <w:pPr>
        <w:numPr>
          <w:ilvl w:val="0"/>
          <w:numId w:val="1236"/>
        </w:numPr>
        <w:spacing w:after="240" w:line="360" w:lineRule="exact"/>
        <w:ind w:left="540" w:hanging="540"/>
        <w:rPr>
          <w:rFonts w:hint="eastAsia"/>
          <w:spacing w:val="-2"/>
        </w:rPr>
      </w:pPr>
      <w:r>
        <w:rPr>
          <w:rFonts w:hint="eastAsia"/>
          <w:spacing w:val="-2"/>
        </w:rPr>
        <w:t xml:space="preserve"> </w:t>
      </w:r>
      <w:r>
        <w:rPr>
          <w:rFonts w:hint="eastAsia"/>
          <w:spacing w:val="-2"/>
        </w:rPr>
        <w:t>第</w:t>
      </w:r>
      <w:r>
        <w:rPr>
          <w:rFonts w:hint="eastAsia"/>
          <w:spacing w:val="-2"/>
        </w:rPr>
        <w:t>7192</w:t>
      </w:r>
      <w:r>
        <w:rPr>
          <w:rFonts w:hint="eastAsia"/>
          <w:spacing w:val="-2"/>
        </w:rPr>
        <w:t>号共和国法令，即《</w:t>
      </w:r>
      <w:r>
        <w:rPr>
          <w:rFonts w:hint="eastAsia"/>
          <w:spacing w:val="-2"/>
        </w:rPr>
        <w:t>1992</w:t>
      </w:r>
      <w:r>
        <w:rPr>
          <w:rFonts w:hint="eastAsia"/>
          <w:spacing w:val="-2"/>
        </w:rPr>
        <w:t>年妇女参与国家建设法》为妇女进入军界和警察系统打开了大门。自此以后，妇女取得了重大的进展。</w:t>
      </w:r>
      <w:r>
        <w:rPr>
          <w:rFonts w:hint="eastAsia"/>
          <w:spacing w:val="-2"/>
        </w:rPr>
        <w:t>1997</w:t>
      </w:r>
      <w:r>
        <w:rPr>
          <w:rFonts w:hint="eastAsia"/>
          <w:spacing w:val="-2"/>
        </w:rPr>
        <w:t>年，妇女在菲律宾军事学院的</w:t>
      </w:r>
      <w:r>
        <w:rPr>
          <w:rFonts w:hint="eastAsia"/>
          <w:spacing w:val="-2"/>
        </w:rPr>
        <w:t xml:space="preserve">47 </w:t>
      </w:r>
      <w:r>
        <w:rPr>
          <w:rFonts w:hint="eastAsia"/>
          <w:spacing w:val="-2"/>
        </w:rPr>
        <w:t>名毕业生中占</w:t>
      </w:r>
      <w:r>
        <w:rPr>
          <w:rFonts w:hint="eastAsia"/>
          <w:spacing w:val="-2"/>
        </w:rPr>
        <w:t>15%</w:t>
      </w:r>
      <w:r>
        <w:rPr>
          <w:rFonts w:hint="eastAsia"/>
          <w:spacing w:val="-2"/>
        </w:rPr>
        <w:t>。在</w:t>
      </w:r>
      <w:r>
        <w:rPr>
          <w:rFonts w:hint="eastAsia"/>
          <w:spacing w:val="-2"/>
        </w:rPr>
        <w:t>1999-2000</w:t>
      </w:r>
      <w:r>
        <w:rPr>
          <w:rFonts w:hint="eastAsia"/>
          <w:spacing w:val="-2"/>
        </w:rPr>
        <w:t>学年的入学考试中，</w:t>
      </w:r>
      <w:r>
        <w:rPr>
          <w:rFonts w:hint="eastAsia"/>
          <w:spacing w:val="-2"/>
        </w:rPr>
        <w:t>1 486</w:t>
      </w:r>
      <w:r>
        <w:rPr>
          <w:rFonts w:hint="eastAsia"/>
          <w:spacing w:val="-2"/>
        </w:rPr>
        <w:t>名女考生中有</w:t>
      </w:r>
      <w:r>
        <w:rPr>
          <w:rFonts w:hint="eastAsia"/>
          <w:spacing w:val="-2"/>
        </w:rPr>
        <w:t>17%</w:t>
      </w:r>
      <w:r>
        <w:rPr>
          <w:rFonts w:hint="eastAsia"/>
          <w:spacing w:val="-2"/>
        </w:rPr>
        <w:t>通过，考分最高的是一位妇女。在警察部队中，</w:t>
      </w:r>
      <w:r>
        <w:rPr>
          <w:rFonts w:hint="eastAsia"/>
          <w:spacing w:val="-2"/>
        </w:rPr>
        <w:t>2000</w:t>
      </w:r>
      <w:r>
        <w:rPr>
          <w:rFonts w:hint="eastAsia"/>
          <w:spacing w:val="-2"/>
        </w:rPr>
        <w:t>年，在总共</w:t>
      </w:r>
      <w:r>
        <w:rPr>
          <w:rFonts w:hint="eastAsia"/>
          <w:spacing w:val="-2"/>
        </w:rPr>
        <w:t>108 291</w:t>
      </w:r>
      <w:r>
        <w:rPr>
          <w:rFonts w:hint="eastAsia"/>
          <w:spacing w:val="-2"/>
        </w:rPr>
        <w:t>名警官中，妇女已超过</w:t>
      </w:r>
      <w:r>
        <w:rPr>
          <w:rFonts w:hint="eastAsia"/>
          <w:spacing w:val="-2"/>
        </w:rPr>
        <w:t>5 000</w:t>
      </w:r>
      <w:r>
        <w:rPr>
          <w:rFonts w:hint="eastAsia"/>
          <w:spacing w:val="-2"/>
        </w:rPr>
        <w:t>人。许多妇女被指派到妇女接待处或专门负责处理对妇女和女童的暴力案件的机构工作。但是，要促进妇女参与军事和警察服务，包括增加妇女在妇女儿童接待处之外的执法领</w:t>
      </w:r>
      <w:r>
        <w:rPr>
          <w:rFonts w:hint="eastAsia"/>
          <w:spacing w:val="-2"/>
        </w:rPr>
        <w:t>域工作的机会，还有许多工作要做。</w:t>
      </w:r>
    </w:p>
    <w:p w:rsidR="00000000" w:rsidRDefault="00821B8F">
      <w:pPr>
        <w:numPr>
          <w:ilvl w:val="0"/>
          <w:numId w:val="1236"/>
        </w:numPr>
        <w:spacing w:after="240" w:line="360" w:lineRule="exact"/>
        <w:ind w:left="540" w:hanging="540"/>
        <w:rPr>
          <w:rFonts w:hint="eastAsia"/>
        </w:rPr>
      </w:pPr>
      <w:r>
        <w:rPr>
          <w:rFonts w:hint="eastAsia"/>
          <w:spacing w:val="-2"/>
        </w:rPr>
        <w:t xml:space="preserve"> 1999</w:t>
      </w:r>
      <w:r>
        <w:rPr>
          <w:rFonts w:hint="eastAsia"/>
          <w:spacing w:val="-2"/>
        </w:rPr>
        <w:t>年，菲律宾律师总协会报告，律师中有</w:t>
      </w:r>
      <w:r>
        <w:rPr>
          <w:rFonts w:hint="eastAsia"/>
          <w:spacing w:val="-2"/>
        </w:rPr>
        <w:t>18%</w:t>
      </w:r>
      <w:r>
        <w:rPr>
          <w:rFonts w:hint="eastAsia"/>
          <w:spacing w:val="-2"/>
        </w:rPr>
        <w:t>是妇女。在菲律宾医疗协会中，负责全国事务的</w:t>
      </w:r>
      <w:r>
        <w:rPr>
          <w:rFonts w:hint="eastAsia"/>
          <w:spacing w:val="-2"/>
        </w:rPr>
        <w:t>22</w:t>
      </w:r>
      <w:r>
        <w:rPr>
          <w:rFonts w:hint="eastAsia"/>
          <w:spacing w:val="-2"/>
        </w:rPr>
        <w:t>名官员中有八位妇女（</w:t>
      </w:r>
      <w:r>
        <w:rPr>
          <w:spacing w:val="-2"/>
        </w:rPr>
        <w:t>36%</w:t>
      </w:r>
      <w:r>
        <w:rPr>
          <w:rFonts w:hint="eastAsia"/>
          <w:spacing w:val="-2"/>
        </w:rPr>
        <w:t>），但省一级的该比例要低得多。在菲律宾牙医协会，尽管妇女占总会员的</w:t>
      </w:r>
      <w:r>
        <w:rPr>
          <w:rFonts w:hint="eastAsia"/>
          <w:spacing w:val="-2"/>
        </w:rPr>
        <w:t>68%</w:t>
      </w:r>
      <w:r>
        <w:rPr>
          <w:rFonts w:hint="eastAsia"/>
          <w:spacing w:val="-2"/>
        </w:rPr>
        <w:t>，但在官员中妇女只占</w:t>
      </w:r>
      <w:r>
        <w:rPr>
          <w:rFonts w:hint="eastAsia"/>
          <w:spacing w:val="-2"/>
        </w:rPr>
        <w:t>9%</w:t>
      </w:r>
      <w:r>
        <w:rPr>
          <w:rFonts w:hint="eastAsia"/>
          <w:spacing w:val="-2"/>
        </w:rPr>
        <w:t>。</w:t>
      </w:r>
    </w:p>
    <w:p w:rsidR="00000000" w:rsidRDefault="00821B8F">
      <w:pPr>
        <w:numPr>
          <w:ilvl w:val="0"/>
          <w:numId w:val="1236"/>
        </w:numPr>
        <w:spacing w:after="240" w:line="360" w:lineRule="exact"/>
        <w:ind w:left="540" w:hanging="540"/>
        <w:rPr>
          <w:rFonts w:hint="eastAsia"/>
        </w:rPr>
      </w:pPr>
      <w:r>
        <w:rPr>
          <w:rFonts w:hint="eastAsia"/>
          <w:spacing w:val="-2"/>
        </w:rPr>
        <w:t xml:space="preserve"> </w:t>
      </w:r>
      <w:r>
        <w:rPr>
          <w:rFonts w:hint="eastAsia"/>
          <w:spacing w:val="-2"/>
        </w:rPr>
        <w:t>在各种运动协会的</w:t>
      </w:r>
      <w:r>
        <w:rPr>
          <w:rFonts w:hint="eastAsia"/>
          <w:spacing w:val="-2"/>
        </w:rPr>
        <w:t>67</w:t>
      </w:r>
      <w:r>
        <w:rPr>
          <w:rFonts w:hint="eastAsia"/>
          <w:spacing w:val="-2"/>
        </w:rPr>
        <w:t>名代表中，妇女只占</w:t>
      </w:r>
      <w:r>
        <w:rPr>
          <w:rFonts w:hint="eastAsia"/>
          <w:spacing w:val="-2"/>
        </w:rPr>
        <w:t>7%</w:t>
      </w:r>
      <w:r>
        <w:rPr>
          <w:rFonts w:hint="eastAsia"/>
          <w:spacing w:val="-2"/>
        </w:rPr>
        <w:t>，分别是国家</w:t>
      </w:r>
      <w:r>
        <w:rPr>
          <w:rFonts w:hint="eastAsia"/>
        </w:rPr>
        <w:t>射箭协会、菲律宾业余田径协会、菲律宾马术协会和菲律宾体操协会。</w:t>
      </w:r>
    </w:p>
    <w:p w:rsidR="00000000" w:rsidRDefault="00821B8F">
      <w:pPr>
        <w:pStyle w:val="H1"/>
        <w:rPr>
          <w:rFonts w:hint="eastAsia"/>
        </w:rPr>
      </w:pPr>
      <w:r>
        <w:rPr>
          <w:rFonts w:hint="eastAsia"/>
        </w:rPr>
        <w:t xml:space="preserve">B. </w:t>
      </w:r>
      <w:r>
        <w:rPr>
          <w:rFonts w:hint="eastAsia"/>
        </w:rPr>
        <w:t>采取的行动</w:t>
      </w:r>
    </w:p>
    <w:p w:rsidR="00000000" w:rsidRDefault="00821B8F">
      <w:pPr>
        <w:spacing w:after="240" w:line="360" w:lineRule="exact"/>
        <w:rPr>
          <w:rFonts w:eastAsia="KaiTi_GB2312" w:hint="eastAsia"/>
          <w:iCs/>
          <w:color w:val="0000FF"/>
        </w:rPr>
      </w:pPr>
      <w:r>
        <w:rPr>
          <w:rFonts w:eastAsia="KaiTi_GB2312" w:hint="eastAsia"/>
          <w:b/>
          <w:iCs/>
          <w:color w:val="0000FF"/>
          <w:u w:val="single"/>
        </w:rPr>
        <w:t>立法和政策</w:t>
      </w:r>
    </w:p>
    <w:p w:rsidR="00000000" w:rsidRDefault="00821B8F">
      <w:pPr>
        <w:numPr>
          <w:ilvl w:val="0"/>
          <w:numId w:val="1236"/>
        </w:numPr>
        <w:spacing w:after="240" w:line="360" w:lineRule="exact"/>
        <w:ind w:left="540" w:hanging="540"/>
        <w:rPr>
          <w:rFonts w:hint="eastAsia"/>
        </w:rPr>
      </w:pPr>
      <w:r>
        <w:rPr>
          <w:rFonts w:hint="eastAsia"/>
          <w:spacing w:val="-2"/>
        </w:rPr>
        <w:t xml:space="preserve"> </w:t>
      </w:r>
      <w:r>
        <w:rPr>
          <w:rFonts w:hint="eastAsia"/>
        </w:rPr>
        <w:t>为了增加妇女在决策中的参与率和代表份额，菲律宾通过了许多立法和执法政策，其中包括：</w:t>
      </w:r>
    </w:p>
    <w:p w:rsidR="00000000" w:rsidRDefault="00821B8F">
      <w:pPr>
        <w:numPr>
          <w:ilvl w:val="0"/>
          <w:numId w:val="1342"/>
        </w:numPr>
        <w:tabs>
          <w:tab w:val="clear" w:pos="405"/>
          <w:tab w:val="num" w:pos="1080"/>
        </w:tabs>
        <w:spacing w:after="240" w:line="360" w:lineRule="exact"/>
        <w:ind w:left="1080" w:hanging="480"/>
        <w:rPr>
          <w:rFonts w:hint="eastAsia"/>
        </w:rPr>
      </w:pPr>
      <w:r>
        <w:rPr>
          <w:rFonts w:hint="eastAsia"/>
        </w:rPr>
        <w:t>第</w:t>
      </w:r>
      <w:r>
        <w:rPr>
          <w:rFonts w:hint="eastAsia"/>
        </w:rPr>
        <w:t xml:space="preserve"> 8371</w:t>
      </w:r>
      <w:r>
        <w:rPr>
          <w:rFonts w:hint="eastAsia"/>
        </w:rPr>
        <w:t>号共和国</w:t>
      </w:r>
      <w:r>
        <w:rPr>
          <w:rFonts w:hint="eastAsia"/>
        </w:rPr>
        <w:t>法令，即《</w:t>
      </w:r>
      <w:r>
        <w:rPr>
          <w:rFonts w:hint="eastAsia"/>
        </w:rPr>
        <w:t>1997</w:t>
      </w:r>
      <w:r>
        <w:rPr>
          <w:rFonts w:hint="eastAsia"/>
        </w:rPr>
        <w:t>年土著人民权利法》：要求在所有各级决策中都有土著妇女代表。</w:t>
      </w:r>
      <w:r>
        <w:rPr>
          <w:rFonts w:hint="eastAsia"/>
        </w:rPr>
        <w:t xml:space="preserve"> </w:t>
      </w:r>
    </w:p>
    <w:p w:rsidR="00000000" w:rsidRDefault="00821B8F">
      <w:pPr>
        <w:numPr>
          <w:ilvl w:val="0"/>
          <w:numId w:val="1342"/>
        </w:numPr>
        <w:tabs>
          <w:tab w:val="clear" w:pos="405"/>
          <w:tab w:val="num" w:pos="1080"/>
        </w:tabs>
        <w:spacing w:after="240" w:line="360" w:lineRule="exact"/>
        <w:ind w:left="1080" w:hanging="480"/>
        <w:rPr>
          <w:rFonts w:hint="eastAsia"/>
        </w:rPr>
      </w:pPr>
      <w:r>
        <w:rPr>
          <w:rFonts w:hint="eastAsia"/>
        </w:rPr>
        <w:t>第</w:t>
      </w:r>
      <w:r>
        <w:rPr>
          <w:rFonts w:hint="eastAsia"/>
        </w:rPr>
        <w:t>8425</w:t>
      </w:r>
      <w:r>
        <w:rPr>
          <w:rFonts w:hint="eastAsia"/>
        </w:rPr>
        <w:t>号共和国法令，即《</w:t>
      </w:r>
      <w:r>
        <w:rPr>
          <w:rFonts w:hint="eastAsia"/>
        </w:rPr>
        <w:t>1997</w:t>
      </w:r>
      <w:r>
        <w:rPr>
          <w:rFonts w:hint="eastAsia"/>
        </w:rPr>
        <w:t>年社会改革和减缓贫穷法》：在国家扶贫委员会中为妇女部门分配一个席位。</w:t>
      </w:r>
    </w:p>
    <w:p w:rsidR="00000000" w:rsidRDefault="00821B8F">
      <w:pPr>
        <w:numPr>
          <w:ilvl w:val="0"/>
          <w:numId w:val="1342"/>
        </w:numPr>
        <w:tabs>
          <w:tab w:val="clear" w:pos="405"/>
          <w:tab w:val="num" w:pos="1080"/>
        </w:tabs>
        <w:spacing w:after="240" w:line="360" w:lineRule="exact"/>
        <w:ind w:left="1080" w:hanging="480"/>
        <w:rPr>
          <w:rFonts w:hint="eastAsia"/>
        </w:rPr>
      </w:pPr>
      <w:r>
        <w:rPr>
          <w:rFonts w:hint="eastAsia"/>
        </w:rPr>
        <w:t>第</w:t>
      </w:r>
      <w:r>
        <w:rPr>
          <w:rFonts w:hint="eastAsia"/>
        </w:rPr>
        <w:t>8551</w:t>
      </w:r>
      <w:r>
        <w:rPr>
          <w:rFonts w:hint="eastAsia"/>
        </w:rPr>
        <w:t>号共和国法令，即《</w:t>
      </w:r>
      <w:r>
        <w:rPr>
          <w:rFonts w:hint="eastAsia"/>
        </w:rPr>
        <w:t>1998</w:t>
      </w:r>
      <w:r>
        <w:rPr>
          <w:rFonts w:hint="eastAsia"/>
        </w:rPr>
        <w:t>年国民警察委员会和菲律宾国民警察部队改组法》：规定菲律宾国民警察部队的年度招聘、培训和教育计划必须将</w:t>
      </w:r>
      <w:r>
        <w:rPr>
          <w:rFonts w:hint="eastAsia"/>
        </w:rPr>
        <w:t>10%</w:t>
      </w:r>
      <w:r>
        <w:rPr>
          <w:rFonts w:hint="eastAsia"/>
        </w:rPr>
        <w:t>的名额分配给女警官；禁止性骚扰以及基于性别和性取向的歧视。</w:t>
      </w:r>
    </w:p>
    <w:p w:rsidR="00000000" w:rsidRDefault="00821B8F">
      <w:pPr>
        <w:numPr>
          <w:ilvl w:val="0"/>
          <w:numId w:val="1342"/>
        </w:numPr>
        <w:tabs>
          <w:tab w:val="clear" w:pos="405"/>
          <w:tab w:val="num" w:pos="1080"/>
        </w:tabs>
        <w:spacing w:after="240" w:line="360" w:lineRule="exact"/>
        <w:ind w:left="1080" w:hanging="480"/>
        <w:rPr>
          <w:rFonts w:hint="eastAsia"/>
        </w:rPr>
      </w:pPr>
      <w:r>
        <w:rPr>
          <w:rFonts w:hint="eastAsia"/>
        </w:rPr>
        <w:t>第</w:t>
      </w:r>
      <w:r>
        <w:rPr>
          <w:rFonts w:hint="eastAsia"/>
        </w:rPr>
        <w:t>8850</w:t>
      </w:r>
      <w:r>
        <w:rPr>
          <w:rFonts w:hint="eastAsia"/>
        </w:rPr>
        <w:t>号共和国法令，即《</w:t>
      </w:r>
      <w:r>
        <w:rPr>
          <w:rFonts w:hint="eastAsia"/>
        </w:rPr>
        <w:t>1998</w:t>
      </w:r>
      <w:r>
        <w:rPr>
          <w:rFonts w:hint="eastAsia"/>
        </w:rPr>
        <w:t>年渔业法》：要求必须有妇女被任命为市级或自治市的渔业和水产资源管理理事会的理事。</w:t>
      </w:r>
    </w:p>
    <w:p w:rsidR="00000000" w:rsidRDefault="00821B8F">
      <w:pPr>
        <w:numPr>
          <w:ilvl w:val="0"/>
          <w:numId w:val="1342"/>
        </w:numPr>
        <w:tabs>
          <w:tab w:val="clear" w:pos="405"/>
          <w:tab w:val="num" w:pos="1080"/>
        </w:tabs>
        <w:spacing w:after="240" w:line="360" w:lineRule="exact"/>
        <w:ind w:left="1080" w:hanging="480"/>
        <w:rPr>
          <w:rFonts w:hint="eastAsia"/>
        </w:rPr>
      </w:pPr>
      <w:r>
        <w:rPr>
          <w:rFonts w:hint="eastAsia"/>
        </w:rPr>
        <w:t>环境部</w:t>
      </w:r>
      <w:r>
        <w:rPr>
          <w:rFonts w:hint="eastAsia"/>
        </w:rPr>
        <w:t>指示：要求在保护区管理委员会，即根据国家保护区综合系统的规定在每个保护区成立的多部门委员会必须吸纳妇女为委员。</w:t>
      </w:r>
    </w:p>
    <w:p w:rsidR="00000000" w:rsidRDefault="00821B8F">
      <w:pPr>
        <w:numPr>
          <w:ilvl w:val="0"/>
          <w:numId w:val="1236"/>
        </w:numPr>
        <w:spacing w:after="240" w:line="360" w:lineRule="exact"/>
        <w:ind w:left="540" w:hanging="540"/>
        <w:rPr>
          <w:rFonts w:hint="eastAsia"/>
        </w:rPr>
      </w:pPr>
      <w:r>
        <w:rPr>
          <w:rFonts w:hint="eastAsia"/>
          <w:spacing w:val="-2"/>
        </w:rPr>
        <w:t xml:space="preserve"> </w:t>
      </w:r>
      <w:r>
        <w:rPr>
          <w:rFonts w:hint="eastAsia"/>
        </w:rPr>
        <w:t>如第二部分所述，公务员制度委员会发布了一份关于在公务员系统三级职位上男女平等代表的备忘录通告。国会收到的几份议案旨在提高妇女在政府决策中的参与。其中一项是关于妇女部门在地方议会中的代表问题的授权法，目的是使《</w:t>
      </w:r>
      <w:r>
        <w:rPr>
          <w:rFonts w:hint="eastAsia"/>
        </w:rPr>
        <w:t>1991</w:t>
      </w:r>
      <w:r>
        <w:rPr>
          <w:rFonts w:hint="eastAsia"/>
        </w:rPr>
        <w:t>年地方政府法典》中的妇女部门代表条款得到实施。另一项议案是提议的《赋予妇女权力和性别均衡法》，如第</w:t>
      </w:r>
      <w:r>
        <w:rPr>
          <w:rFonts w:hint="eastAsia"/>
        </w:rPr>
        <w:t>42</w:t>
      </w:r>
      <w:r>
        <w:rPr>
          <w:rFonts w:hint="eastAsia"/>
        </w:rPr>
        <w:t>和第</w:t>
      </w:r>
      <w:r>
        <w:rPr>
          <w:rFonts w:hint="eastAsia"/>
        </w:rPr>
        <w:t>149</w:t>
      </w:r>
      <w:r>
        <w:rPr>
          <w:rFonts w:hint="eastAsia"/>
        </w:rPr>
        <w:t>段所述，该法令规定在政府的决策职位上妇女必须至少占</w:t>
      </w:r>
      <w:r>
        <w:rPr>
          <w:rFonts w:hint="eastAsia"/>
        </w:rPr>
        <w:t>30%</w:t>
      </w:r>
      <w:r>
        <w:rPr>
          <w:rFonts w:hint="eastAsia"/>
        </w:rPr>
        <w:t>。</w:t>
      </w:r>
    </w:p>
    <w:p w:rsidR="00000000" w:rsidRDefault="00821B8F">
      <w:pPr>
        <w:spacing w:after="240" w:line="360" w:lineRule="exact"/>
        <w:rPr>
          <w:rFonts w:hint="eastAsia"/>
        </w:rPr>
      </w:pPr>
      <w:r>
        <w:rPr>
          <w:rFonts w:hint="eastAsia"/>
          <w:u w:val="single"/>
        </w:rPr>
        <w:t>方案和其他</w:t>
      </w:r>
      <w:r>
        <w:rPr>
          <w:rFonts w:hint="eastAsia"/>
          <w:u w:val="single"/>
        </w:rPr>
        <w:t>措施</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公务员制度委员会正在牵头执行若干方案，以便通过提高妇女的能力和领导素质把她们送到更高层次的职位上。该委员会与妇女委员会和职业行政服务委员会等机构合作，执行了三个方案。第一个是在政府部门工作的妇女职业提升方案。该方案力图增强对女雇员的支助机制、能力建设、培训和其他扶助机制，其内容包括改善工作条件、防止工作场所的性骚扰、促进职业提升及宣传。成为制度的对性别有敏感认识的政策包括陪产假和因其他各种家庭原因请假、建立托儿所以及弹性工作安排，包括调整产假、非全时就业和弹性工作时间。委员会拟订了第二个方案，修订的</w:t>
      </w:r>
      <w:r>
        <w:rPr>
          <w:rFonts w:hint="eastAsia"/>
          <w:color w:val="000000"/>
        </w:rPr>
        <w:t>人事晋升</w:t>
      </w:r>
      <w:r>
        <w:rPr>
          <w:rFonts w:hint="eastAsia"/>
        </w:rPr>
        <w:t>计划，确保在选拔雇员时没有歧视，并强调妇女享有平等的就业机会。最后，委员会出版了《妇女提升名录》，以将适合担任高级职务的妇女推荐给任命机构供其选择。</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妇女委员会与各非政府组织和其他政府机构一道，支持采取各种措施培养当选女官员的能力。委员会在</w:t>
      </w:r>
      <w:r>
        <w:rPr>
          <w:rFonts w:hint="eastAsia"/>
        </w:rPr>
        <w:t>2003</w:t>
      </w:r>
      <w:r>
        <w:rPr>
          <w:rFonts w:hint="eastAsia"/>
        </w:rPr>
        <w:t>年</w:t>
      </w:r>
      <w:r>
        <w:rPr>
          <w:rFonts w:hint="eastAsia"/>
        </w:rPr>
        <w:t>5</w:t>
      </w:r>
      <w:r>
        <w:rPr>
          <w:rFonts w:hint="eastAsia"/>
        </w:rPr>
        <w:t>月召开了全国地方女行政人员和立法人员高峰会议，制订了一个支持女官员的方案，并帮助她们在其各自的所在地制订和</w:t>
      </w:r>
      <w:r>
        <w:rPr>
          <w:rFonts w:hint="eastAsia"/>
        </w:rPr>
        <w:t>/</w:t>
      </w:r>
      <w:r>
        <w:rPr>
          <w:rFonts w:hint="eastAsia"/>
        </w:rPr>
        <w:t>或执行对性别问题有敏感认识的政策和方案。</w:t>
      </w:r>
    </w:p>
    <w:p w:rsidR="00000000" w:rsidRDefault="00821B8F">
      <w:pPr>
        <w:spacing w:after="240" w:line="360" w:lineRule="exact"/>
        <w:rPr>
          <w:rFonts w:hint="eastAsia"/>
        </w:rPr>
      </w:pPr>
      <w:r>
        <w:rPr>
          <w:rFonts w:hint="eastAsia"/>
          <w:u w:val="single"/>
        </w:rPr>
        <w:t>非政府机构的各种努力</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几家非政府组织一直在妇女参政和参与决策这一大框架内，对地方政府中的妇女给予支</w:t>
      </w:r>
      <w:r>
        <w:rPr>
          <w:rFonts w:hint="eastAsia"/>
        </w:rPr>
        <w:t>持。妇女法律局为妇女开展法律培训和援助，包括举办妇女与法律的培训、法律和与律师助手援助及对女权活动家的法律援助。与此同时，立法发展中心通过培训、资料和立法程序的研究服务，为立法工作人员、议员和非政府组织提供关键的干预措施。该中心还为当选的地方官员和议员举办对性别问题有敏感认识的培训，并同开展妇女问题立法宣传的其他非政府组织进行经常对话。该中心目前还在牵头推行在</w:t>
      </w:r>
      <w:r>
        <w:rPr>
          <w:rFonts w:hint="eastAsia"/>
        </w:rPr>
        <w:t>2015</w:t>
      </w:r>
      <w:r>
        <w:rPr>
          <w:rFonts w:hint="eastAsia"/>
        </w:rPr>
        <w:t>年前“实现参政中的</w:t>
      </w:r>
      <w:r>
        <w:rPr>
          <w:rFonts w:hint="eastAsia"/>
        </w:rPr>
        <w:t>50/50</w:t>
      </w:r>
      <w:r>
        <w:rPr>
          <w:rFonts w:hint="eastAsia"/>
        </w:rPr>
        <w:t>性别均衡”方案。</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总部设在菲律宾的区域组织亚太妇女政治中心正在建立一大批能力强、效率高、有事业心并有志于推行改革</w:t>
      </w:r>
      <w:r>
        <w:rPr>
          <w:rFonts w:hint="eastAsia"/>
        </w:rPr>
        <w:t>型领导艺术的女政治家群体，从而推进妇女参政情况。该中心根据其建立改革型社区的宗旨，举办使妇女具备改革型领导艺术和公民素质、对性别问题有敏感认识的管理培训。</w:t>
      </w:r>
    </w:p>
    <w:p w:rsidR="00000000" w:rsidRDefault="00821B8F">
      <w:pPr>
        <w:pStyle w:val="H1"/>
        <w:rPr>
          <w:rFonts w:hint="eastAsia"/>
        </w:rPr>
      </w:pPr>
      <w:r>
        <w:rPr>
          <w:rFonts w:hint="eastAsia"/>
        </w:rPr>
        <w:t xml:space="preserve">C. </w:t>
      </w:r>
      <w:r>
        <w:rPr>
          <w:rFonts w:hint="eastAsia"/>
        </w:rPr>
        <w:t>仍然面临的挑战和困难</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政府必须加大工作力度，帮助妇女打破官僚机构的玻璃顶。必须加强执行各种倡议，使更多的妇女在接受领导艺术、沟通、谈判以及决断方面的培训后，走上官僚机构的关键岗位。</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女选民必须准备好去选举那些支持赋予妇女权利和两性平等的男女候选人。同时，还有必要长期支持关于妇女问题的政治议程和妇女政党，并重新树立妇女政治团体的能力建设干预措施的</w:t>
      </w:r>
      <w:r>
        <w:rPr>
          <w:rFonts w:hint="eastAsia"/>
        </w:rPr>
        <w:t>样板。</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有必要积极呼吁采取暂行特别措施，尤其是在司法、警察和军事学校方面。</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必须有意识地开展职业咨询、了解政治进程以及审查妇女进入这些领域的结构限制。</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正如</w:t>
      </w:r>
      <w:r>
        <w:rPr>
          <w:rFonts w:hint="eastAsia"/>
        </w:rPr>
        <w:t>2002</w:t>
      </w:r>
      <w:r>
        <w:rPr>
          <w:rFonts w:hint="eastAsia"/>
        </w:rPr>
        <w:t>年</w:t>
      </w:r>
      <w:r>
        <w:rPr>
          <w:rFonts w:hint="eastAsia"/>
        </w:rPr>
        <w:t>5</w:t>
      </w:r>
      <w:r>
        <w:rPr>
          <w:rFonts w:hint="eastAsia"/>
        </w:rPr>
        <w:t>月关于参政中的性别均衡问题的讲习班的简况文件所指出的，为了消除旧的结构、模式和框架，必须在全国发起提高对性别均衡的政治体系的重要性的社会认识运动。</w:t>
      </w:r>
    </w:p>
    <w:p w:rsidR="00000000" w:rsidRDefault="00821B8F">
      <w:pPr>
        <w:numPr>
          <w:ilvl w:val="0"/>
          <w:numId w:val="1236"/>
        </w:numPr>
        <w:spacing w:after="240" w:line="360" w:lineRule="exact"/>
        <w:ind w:left="540" w:hanging="540"/>
        <w:rPr>
          <w:rFonts w:hint="eastAsia"/>
        </w:rPr>
      </w:pPr>
      <w:r>
        <w:rPr>
          <w:rFonts w:hint="eastAsia"/>
        </w:rPr>
        <w:t xml:space="preserve"> </w:t>
      </w:r>
      <w:r>
        <w:rPr>
          <w:rFonts w:hint="eastAsia"/>
        </w:rPr>
        <w:t>需要扩大和加强社区一级的能力和改革型领导艺术及政治和组织工作，以便使妇女团体和其他基层部门团体能够支持当选的和任命的妇女官员，并与她们进行关键合作。</w:t>
      </w:r>
    </w:p>
    <w:p w:rsidR="00000000" w:rsidRDefault="00821B8F">
      <w:pPr>
        <w:pStyle w:val="TOC1"/>
        <w:spacing w:before="120"/>
        <w:rPr>
          <w:rFonts w:ascii="SimHei" w:hint="eastAsia"/>
        </w:rPr>
      </w:pPr>
      <w:r>
        <w:rPr>
          <w:rFonts w:ascii="SimHei" w:hint="eastAsia"/>
        </w:rPr>
        <w:t>第八条</w:t>
      </w:r>
      <w:r>
        <w:rPr>
          <w:rFonts w:ascii="SimHei" w:hint="eastAsia"/>
        </w:rPr>
        <w:t xml:space="preserve"> </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在国际上的代表和参与</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在国际</w:t>
      </w:r>
      <w:r>
        <w:rPr>
          <w:rFonts w:eastAsia="KaiTi_GB2312" w:hint="eastAsia"/>
          <w:b/>
          <w:color w:val="0000FF"/>
          <w:sz w:val="21"/>
        </w:rPr>
        <w:t>上代表本国政府参加各国际组织工作的平等机会</w:t>
      </w:r>
    </w:p>
    <w:p w:rsidR="00000000" w:rsidRDefault="00821B8F">
      <w:pPr>
        <w:pStyle w:val="H1"/>
        <w:rPr>
          <w:rFonts w:hint="eastAsia"/>
        </w:rPr>
      </w:pPr>
      <w:r>
        <w:t xml:space="preserve">A. </w:t>
      </w:r>
      <w:r>
        <w:rPr>
          <w:rFonts w:hint="eastAsia"/>
        </w:rPr>
        <w:t>妇女的状况</w:t>
      </w:r>
    </w:p>
    <w:p w:rsidR="00000000" w:rsidRDefault="00821B8F">
      <w:pPr>
        <w:pStyle w:val="BodyText"/>
        <w:spacing w:after="120" w:line="360" w:lineRule="exact"/>
        <w:rPr>
          <w:rFonts w:hint="eastAsia"/>
          <w:sz w:val="21"/>
          <w:u w:val="single"/>
        </w:rPr>
      </w:pPr>
      <w:r>
        <w:rPr>
          <w:rFonts w:hint="eastAsia"/>
          <w:sz w:val="21"/>
          <w:u w:val="single"/>
        </w:rPr>
        <w:t>在外交部门工作的妇女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2002</w:t>
      </w:r>
      <w:r>
        <w:rPr>
          <w:rFonts w:hint="eastAsia"/>
        </w:rPr>
        <w:t>年</w:t>
      </w:r>
      <w:r>
        <w:rPr>
          <w:rFonts w:hint="eastAsia"/>
        </w:rPr>
        <w:t>9</w:t>
      </w:r>
      <w:r>
        <w:rPr>
          <w:rFonts w:hint="eastAsia"/>
        </w:rPr>
        <w:t>月，菲律宾在全世界共设有</w:t>
      </w:r>
      <w:r>
        <w:rPr>
          <w:rFonts w:hint="eastAsia"/>
        </w:rPr>
        <w:t>80</w:t>
      </w:r>
      <w:r>
        <w:rPr>
          <w:rFonts w:hint="eastAsia"/>
        </w:rPr>
        <w:t>个使领馆。其中，由妇女负责的有</w:t>
      </w:r>
      <w:r>
        <w:rPr>
          <w:rFonts w:hint="eastAsia"/>
        </w:rPr>
        <w:t>22</w:t>
      </w:r>
      <w:r>
        <w:rPr>
          <w:rFonts w:hint="eastAsia"/>
        </w:rPr>
        <w:t>个（占</w:t>
      </w:r>
      <w:r>
        <w:rPr>
          <w:rFonts w:hint="eastAsia"/>
        </w:rPr>
        <w:t>28%</w:t>
      </w:r>
      <w:r>
        <w:rPr>
          <w:rFonts w:hint="eastAsia"/>
        </w:rPr>
        <w:t>）：</w:t>
      </w:r>
      <w:r>
        <w:rPr>
          <w:rFonts w:hint="eastAsia"/>
        </w:rPr>
        <w:t>12</w:t>
      </w:r>
      <w:r>
        <w:rPr>
          <w:rFonts w:hint="eastAsia"/>
        </w:rPr>
        <w:t>人担任大使，</w:t>
      </w:r>
      <w:r>
        <w:rPr>
          <w:rFonts w:hint="eastAsia"/>
        </w:rPr>
        <w:t>10</w:t>
      </w:r>
      <w:r>
        <w:rPr>
          <w:rFonts w:hint="eastAsia"/>
        </w:rPr>
        <w:t>人担任总领事。</w:t>
      </w:r>
      <w:r>
        <w:rPr>
          <w:rFonts w:hint="eastAsia"/>
        </w:rPr>
        <w:t>2003</w:t>
      </w:r>
      <w:r>
        <w:rPr>
          <w:rFonts w:hint="eastAsia"/>
        </w:rPr>
        <w:t>年</w:t>
      </w:r>
      <w:r>
        <w:rPr>
          <w:rFonts w:hint="eastAsia"/>
        </w:rPr>
        <w:t>11</w:t>
      </w:r>
      <w:r>
        <w:rPr>
          <w:rFonts w:hint="eastAsia"/>
        </w:rPr>
        <w:t>月，在总共</w:t>
      </w:r>
      <w:r>
        <w:rPr>
          <w:rFonts w:hint="eastAsia"/>
        </w:rPr>
        <w:t>61</w:t>
      </w:r>
      <w:r>
        <w:rPr>
          <w:rFonts w:hint="eastAsia"/>
        </w:rPr>
        <w:t>位大使和总领事中只有</w:t>
      </w:r>
      <w:r>
        <w:rPr>
          <w:rFonts w:hint="eastAsia"/>
        </w:rPr>
        <w:t>17</w:t>
      </w:r>
      <w:r>
        <w:rPr>
          <w:rFonts w:hint="eastAsia"/>
        </w:rPr>
        <w:t>位是妇女（占</w:t>
      </w:r>
      <w:r>
        <w:rPr>
          <w:rFonts w:hint="eastAsia"/>
        </w:rPr>
        <w:t>28%</w:t>
      </w:r>
      <w:r>
        <w:rPr>
          <w:rFonts w:hint="eastAsia"/>
        </w:rPr>
        <w:t>），而在</w:t>
      </w:r>
      <w:r>
        <w:rPr>
          <w:rFonts w:hint="eastAsia"/>
        </w:rPr>
        <w:t>19</w:t>
      </w:r>
      <w:r>
        <w:rPr>
          <w:rFonts w:hint="eastAsia"/>
        </w:rPr>
        <w:t>位领事中有</w:t>
      </w:r>
      <w:r>
        <w:rPr>
          <w:rFonts w:hint="eastAsia"/>
        </w:rPr>
        <w:t>10</w:t>
      </w:r>
      <w:r>
        <w:rPr>
          <w:rFonts w:hint="eastAsia"/>
        </w:rPr>
        <w:t>位是女性（占</w:t>
      </w:r>
      <w:r>
        <w:rPr>
          <w:rFonts w:hint="eastAsia"/>
        </w:rPr>
        <w:t>53%</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2001</w:t>
      </w:r>
      <w:r>
        <w:rPr>
          <w:rFonts w:hint="eastAsia"/>
        </w:rPr>
        <w:t>年</w:t>
      </w:r>
      <w:r>
        <w:rPr>
          <w:rFonts w:hint="eastAsia"/>
        </w:rPr>
        <w:t>12</w:t>
      </w:r>
      <w:r>
        <w:rPr>
          <w:rFonts w:hint="eastAsia"/>
        </w:rPr>
        <w:t>月，共有</w:t>
      </w:r>
      <w:r>
        <w:rPr>
          <w:rFonts w:hint="eastAsia"/>
        </w:rPr>
        <w:t>51</w:t>
      </w:r>
      <w:r>
        <w:rPr>
          <w:rFonts w:hint="eastAsia"/>
        </w:rPr>
        <w:t>位女随员在国外供职。到</w:t>
      </w:r>
      <w:r>
        <w:rPr>
          <w:rFonts w:hint="eastAsia"/>
        </w:rPr>
        <w:t>2003</w:t>
      </w:r>
      <w:r>
        <w:rPr>
          <w:rFonts w:hint="eastAsia"/>
        </w:rPr>
        <w:t>年</w:t>
      </w:r>
      <w:r>
        <w:rPr>
          <w:rFonts w:hint="eastAsia"/>
        </w:rPr>
        <w:t>12</w:t>
      </w:r>
      <w:r>
        <w:rPr>
          <w:rFonts w:hint="eastAsia"/>
        </w:rPr>
        <w:t>月，女随员的人数减至</w:t>
      </w:r>
      <w:r>
        <w:rPr>
          <w:rFonts w:hint="eastAsia"/>
        </w:rPr>
        <w:t>49</w:t>
      </w:r>
      <w:r>
        <w:rPr>
          <w:rFonts w:hint="eastAsia"/>
        </w:rPr>
        <w:t>位，分管贸易、劳工、旅游、农业或福利事务。</w:t>
      </w:r>
    </w:p>
    <w:p w:rsidR="00000000" w:rsidRDefault="00821B8F">
      <w:pPr>
        <w:pStyle w:val="BodyText"/>
        <w:spacing w:after="120" w:line="360" w:lineRule="exact"/>
        <w:rPr>
          <w:rFonts w:hint="eastAsia"/>
          <w:sz w:val="21"/>
          <w:u w:val="single"/>
        </w:rPr>
      </w:pPr>
      <w:r>
        <w:rPr>
          <w:rFonts w:hint="eastAsia"/>
          <w:sz w:val="21"/>
          <w:u w:val="single"/>
        </w:rPr>
        <w:t>参加国际会议和活动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菲律宾妇女在参加国际活动或代</w:t>
      </w:r>
      <w:r>
        <w:rPr>
          <w:rFonts w:hint="eastAsia"/>
        </w:rPr>
        <w:t>表国家参加包括东盟妇女委员会在内的国际组织方面没有什么困难。她们有的被任命为参加国际组织的首席代表，例如</w:t>
      </w:r>
      <w:r>
        <w:rPr>
          <w:rFonts w:hint="eastAsia"/>
        </w:rPr>
        <w:t>1997</w:t>
      </w:r>
      <w:r>
        <w:rPr>
          <w:rFonts w:hint="eastAsia"/>
        </w:rPr>
        <w:t>年至</w:t>
      </w:r>
      <w:r>
        <w:rPr>
          <w:rFonts w:hint="eastAsia"/>
        </w:rPr>
        <w:t>2002</w:t>
      </w:r>
      <w:r>
        <w:rPr>
          <w:rFonts w:hint="eastAsia"/>
        </w:rPr>
        <w:t>年一位菲律宾妇女担任菲律宾驻亚洲和太平洋经济合作组织（亚太经合组织）的高级官员代表；在亚太经合组织商业顾问委员会，三位菲律宾代表中有一位是妇女。参加有关妇女问题的所有区域和全球会议的菲律宾代表团一律由妇女担任团长。</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菲律宾妇女已当选为联合国机构的负责人，如联合国经济、社会和文化权利委员会（现任主席）和联合国妇女地位委员会（三任主席）等。她们还参加了其他联合国机构及国际和区域组织的工作</w:t>
      </w:r>
      <w:r>
        <w:rPr>
          <w:rFonts w:hint="eastAsia"/>
        </w:rPr>
        <w:t>，诸如联合国消除对妇女歧视委员会、联合国人权事务委员会、联合国妇女发展基金和国际劳工组织。</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1998</w:t>
      </w:r>
      <w:r>
        <w:rPr>
          <w:rFonts w:hint="eastAsia"/>
        </w:rPr>
        <w:t>年</w:t>
      </w:r>
      <w:r>
        <w:rPr>
          <w:rFonts w:hint="eastAsia"/>
        </w:rPr>
        <w:t>10</w:t>
      </w:r>
      <w:r>
        <w:rPr>
          <w:rFonts w:hint="eastAsia"/>
        </w:rPr>
        <w:t>月，菲律宾的女企业领导人、政府官员和性别专家与亚太经合组织各成员经济体协作，牵头在马尼拉组织了亚太经合组织第一次妇女问题部长级会议。这次会议是根据亚太经合组织领导人于</w:t>
      </w:r>
      <w:r>
        <w:rPr>
          <w:rFonts w:hint="eastAsia"/>
        </w:rPr>
        <w:t>1996</w:t>
      </w:r>
      <w:r>
        <w:rPr>
          <w:rFonts w:hint="eastAsia"/>
        </w:rPr>
        <w:t>年提出的关于吸纳妇女和青年参与经济的要求举行的，当时菲律宾任亚太经合组织主席国并倡导将性别观点纳入主流。亚太经合组织的这次部长级会议的中心议题是妇女在经济中，特别是在中小型企业、工业科技和人力资源开发中的作用与贡献。菲律宾还担任了</w:t>
      </w:r>
      <w:r>
        <w:rPr>
          <w:rFonts w:hint="eastAsia"/>
        </w:rPr>
        <w:t>亚太经合组织妇女参与经济工作组的共同组长。</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通过妇女委员会和学术界的妇女领导人，菲律宾领导了性别信息会议的发展资源小组并向亚太经合组织的所有关键论坛传递相关信息。它促进了亚太经合组织性别协调中心网概念的形成，该网络有望使性别观点纳入主流形成一种制度。菲律宾与新西兰合作，共同编写了关于贸易自由化对妇女的影响的文件，该文件已于</w:t>
      </w:r>
      <w:r>
        <w:rPr>
          <w:rFonts w:hint="eastAsia"/>
        </w:rPr>
        <w:t>2002</w:t>
      </w:r>
      <w:r>
        <w:rPr>
          <w:rFonts w:hint="eastAsia"/>
        </w:rPr>
        <w:t>年</w:t>
      </w:r>
      <w:r>
        <w:rPr>
          <w:rFonts w:hint="eastAsia"/>
        </w:rPr>
        <w:t>9</w:t>
      </w:r>
      <w:r>
        <w:rPr>
          <w:rFonts w:hint="eastAsia"/>
        </w:rPr>
        <w:t>月在墨西哥瓜达拉哈拉举行的亚太经合组织第二次妇女问题部长级会议上发表。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菲律宾妇女还通过双边安排或者通过联合国和加拿大国际开发署等组织直接或间接地在性别观点纳入主流方面帮助</w:t>
      </w:r>
      <w:r>
        <w:rPr>
          <w:rFonts w:hint="eastAsia"/>
        </w:rPr>
        <w:t>其他国家。来自印度尼西亚、印度、巴林、蒙古、老挝人民民主共和国、柬埔寨、东帝汶、中华全国妇女联合会、尼泊尔、巴基斯坦和韩国的男女官员前来菲律宾参加性别与发展问题的各种研究活动。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妇女方面的国家机构还参加和协助各国际组织的工作，在诸如武装冲突中的妇女、信息和通信技术及性别观点纳入主流等问题上，向联合国大小会议提供资料和意见。</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在妇女参加国际论坛方面情况也有所改进，她们一贯支持有关性别问题的全球政策讨论，诸如包括妇女在内的海外工人权利问题、对妇女的暴力、以及将性别问题纳入经济政策的必要性等。</w:t>
      </w:r>
    </w:p>
    <w:p w:rsidR="00000000" w:rsidRDefault="00821B8F">
      <w:pPr>
        <w:pStyle w:val="H1"/>
        <w:rPr>
          <w:rFonts w:hint="eastAsia"/>
        </w:rPr>
      </w:pPr>
      <w:r>
        <w:t xml:space="preserve">B. </w:t>
      </w:r>
      <w:r>
        <w:rPr>
          <w:rFonts w:hint="eastAsia"/>
        </w:rPr>
        <w:t>采取的行</w:t>
      </w:r>
      <w:r>
        <w:rPr>
          <w:rFonts w:hint="eastAsia"/>
        </w:rPr>
        <w:t>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为了改善在国际上代表菲律宾政府方面的两性平等所采取的措施，已归入第七条下有关促进政府中的两性平等的讨论。</w:t>
      </w:r>
    </w:p>
    <w:p w:rsidR="00000000" w:rsidRDefault="00821B8F">
      <w:pPr>
        <w:pStyle w:val="H1"/>
        <w:rPr>
          <w:rFonts w:hint="eastAsia"/>
        </w:rPr>
      </w:pPr>
      <w:r>
        <w:t xml:space="preserve">C. </w:t>
      </w:r>
      <w:r>
        <w:rPr>
          <w:rFonts w:hint="eastAsia"/>
        </w:rPr>
        <w:t>未解决的问题和挑战</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妇女的代表权仍然倾向于停留在传统上与妇女有关的领域，如人类发展或社会关注问题。其中一个原因是，妇女往往也在这些领域居主导地位或领导地位。</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应进一步努力扩大妇女在诸如经济、科技、法律和全球决策方面的代表权和参与范围。应该采取积极行动，制订参加国际活动的国家代表团中必须包括妇女代表的强制性规定。所采取的行动应该包括培训和让妇女直接参与上述领域的活动，以培养她们在国际机构中</w:t>
      </w:r>
      <w:r>
        <w:rPr>
          <w:rFonts w:hint="eastAsia"/>
        </w:rPr>
        <w:t>任职或担任代表的资格。</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要加强和扩大旨在减轻妇女的工作、家庭和社会活动多重负担的支助系统，使妇女有更多的机会参与国际活动和参加国际组织。</w:t>
      </w:r>
    </w:p>
    <w:p w:rsidR="00000000" w:rsidRDefault="00821B8F">
      <w:pPr>
        <w:pStyle w:val="TOC1"/>
        <w:spacing w:before="120"/>
        <w:rPr>
          <w:rFonts w:ascii="SimHei" w:hint="eastAsia"/>
        </w:rPr>
      </w:pPr>
      <w:r>
        <w:rPr>
          <w:rFonts w:ascii="SimHei" w:hint="eastAsia"/>
        </w:rPr>
        <w:t>第九条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国籍</w:t>
      </w:r>
      <w:r>
        <w:rPr>
          <w:rFonts w:ascii="SimHei" w:eastAsia="SimHei" w:hint="eastAsia"/>
          <w:bCs/>
          <w:color w:val="FF0000"/>
        </w:rPr>
        <w:t xml:space="preserve"> </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妇女和男子取得、改变或保留其国籍及其子女国籍的平等权利</w:t>
      </w:r>
    </w:p>
    <w:p w:rsidR="00000000" w:rsidRDefault="00821B8F">
      <w:pPr>
        <w:pStyle w:val="H1"/>
        <w:rPr>
          <w:rFonts w:hint="eastAsia"/>
        </w:rPr>
      </w:pPr>
      <w:r>
        <w:t xml:space="preserve">A. </w:t>
      </w:r>
      <w:r>
        <w:rPr>
          <w:rFonts w:hint="eastAsia"/>
        </w:rPr>
        <w:t>妇女的状况</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按照《</w:t>
      </w:r>
      <w:r>
        <w:rPr>
          <w:rFonts w:hint="eastAsia"/>
        </w:rPr>
        <w:t>1987</w:t>
      </w:r>
      <w:r>
        <w:rPr>
          <w:rFonts w:hint="eastAsia"/>
        </w:rPr>
        <w:t>年宪法》第四条第</w:t>
      </w:r>
      <w:r>
        <w:rPr>
          <w:rFonts w:hint="eastAsia"/>
        </w:rPr>
        <w:t>1</w:t>
      </w:r>
      <w:r>
        <w:rPr>
          <w:rFonts w:hint="eastAsia"/>
        </w:rPr>
        <w:t>（</w:t>
      </w:r>
      <w:r>
        <w:rPr>
          <w:rFonts w:hint="eastAsia"/>
        </w:rPr>
        <w:t>2</w:t>
      </w:r>
      <w:r>
        <w:rPr>
          <w:rFonts w:hint="eastAsia"/>
        </w:rPr>
        <w:t>）款，凡是父母为菲律宾公民的儿童，均确认为现行法律下的菲律宾公民。</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有关国籍的法律保证妇女和男子取得、改变或保留其国籍及其子女国籍的平等权利。</w:t>
      </w:r>
    </w:p>
    <w:p w:rsidR="00000000" w:rsidRDefault="00821B8F">
      <w:pPr>
        <w:pStyle w:val="H1"/>
        <w:rPr>
          <w:rFonts w:hint="eastAsia"/>
        </w:rPr>
      </w:pPr>
      <w:r>
        <w:t xml:space="preserve">B. </w:t>
      </w:r>
      <w:r>
        <w:rPr>
          <w:rFonts w:hint="eastAsia"/>
        </w:rPr>
        <w:t>采取的行动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自上次定期报告以来，在贯彻有关妇女在取得、改变或保留国籍方面不受歧视的宪法规定</w:t>
      </w:r>
      <w:r>
        <w:rPr>
          <w:rFonts w:hint="eastAsia"/>
        </w:rPr>
        <w:t>方面已取得重大进展。这些政策和指导准则考虑到各种情形和状况，譬如菲律宾妇女的国籍在哪些情况下可以得到正式确认，在哪些情况下可以重新获得国籍。</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随着颁布第</w:t>
      </w:r>
      <w:r>
        <w:rPr>
          <w:rFonts w:hint="eastAsia"/>
        </w:rPr>
        <w:t>8171</w:t>
      </w:r>
      <w:r>
        <w:rPr>
          <w:rFonts w:hint="eastAsia"/>
        </w:rPr>
        <w:t>号共和国法令，因涉外婚姻或因政治或经济上的必要性而失去菲律宾国籍的男女（只要她</w:t>
      </w:r>
      <w:r>
        <w:rPr>
          <w:rFonts w:hint="eastAsia"/>
        </w:rPr>
        <w:t>/</w:t>
      </w:r>
      <w:r>
        <w:rPr>
          <w:rFonts w:hint="eastAsia"/>
        </w:rPr>
        <w:t>他不反对有组织的政府，不教唆或维护暴力，且品行端正，精神正常），可以回到菲律宾并重新获得国籍。</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1999</w:t>
      </w:r>
      <w:r>
        <w:rPr>
          <w:rFonts w:hint="eastAsia"/>
        </w:rPr>
        <w:t>年，最高法院对双重国籍问题做出裁决，同时阐明男女可在下列情况下持有双重国籍：</w:t>
      </w:r>
    </w:p>
    <w:p w:rsidR="00000000" w:rsidRDefault="00821B8F">
      <w:pPr>
        <w:pStyle w:val="List3"/>
        <w:numPr>
          <w:ilvl w:val="0"/>
          <w:numId w:val="1374"/>
        </w:numPr>
        <w:tabs>
          <w:tab w:val="clear" w:pos="840"/>
          <w:tab w:val="num" w:pos="1080"/>
        </w:tabs>
        <w:spacing w:after="120" w:line="360" w:lineRule="exact"/>
        <w:ind w:leftChars="0" w:left="1080" w:firstLineChars="0" w:hanging="480"/>
        <w:rPr>
          <w:rFonts w:hint="eastAsia"/>
        </w:rPr>
      </w:pPr>
      <w:r>
        <w:rPr>
          <w:rFonts w:hint="eastAsia"/>
        </w:rPr>
        <w:t>出生在国外，其父和</w:t>
      </w:r>
      <w:r>
        <w:rPr>
          <w:rFonts w:hint="eastAsia"/>
        </w:rPr>
        <w:t>/</w:t>
      </w:r>
      <w:r>
        <w:rPr>
          <w:rFonts w:hint="eastAsia"/>
        </w:rPr>
        <w:t>或母为菲律宾人，即按出生地原则；</w:t>
      </w:r>
    </w:p>
    <w:p w:rsidR="00000000" w:rsidRDefault="00821B8F">
      <w:pPr>
        <w:pStyle w:val="List3"/>
        <w:numPr>
          <w:ilvl w:val="0"/>
          <w:numId w:val="1374"/>
        </w:numPr>
        <w:tabs>
          <w:tab w:val="clear" w:pos="840"/>
          <w:tab w:val="num" w:pos="1080"/>
        </w:tabs>
        <w:spacing w:after="120" w:line="360" w:lineRule="exact"/>
        <w:ind w:leftChars="0" w:left="1080" w:firstLineChars="0" w:hanging="480"/>
        <w:rPr>
          <w:rFonts w:hint="eastAsia"/>
        </w:rPr>
      </w:pPr>
      <w:r>
        <w:rPr>
          <w:rFonts w:hint="eastAsia"/>
        </w:rPr>
        <w:t>出生在菲律宾，其母为菲律宾人，其</w:t>
      </w:r>
      <w:r>
        <w:rPr>
          <w:rFonts w:hint="eastAsia"/>
        </w:rPr>
        <w:t>父为外国人，或其父为菲律宾人，其母为外国人，若按其外籍父（母）的国家法律也被视为该国公民；以及</w:t>
      </w:r>
    </w:p>
    <w:p w:rsidR="00000000" w:rsidRDefault="00821B8F">
      <w:pPr>
        <w:pStyle w:val="List3"/>
        <w:numPr>
          <w:ilvl w:val="0"/>
          <w:numId w:val="1374"/>
        </w:numPr>
        <w:tabs>
          <w:tab w:val="clear" w:pos="840"/>
          <w:tab w:val="num" w:pos="1080"/>
        </w:tabs>
        <w:spacing w:after="120" w:line="360" w:lineRule="exact"/>
        <w:ind w:leftChars="0" w:left="1080" w:firstLineChars="0" w:hanging="480"/>
        <w:rPr>
          <w:rFonts w:hint="eastAsia"/>
        </w:rPr>
      </w:pPr>
      <w:r>
        <w:rPr>
          <w:rFonts w:hint="eastAsia"/>
        </w:rPr>
        <w:t>与外国人结婚，若按丈夫</w:t>
      </w:r>
      <w:r>
        <w:rPr>
          <w:rFonts w:hint="eastAsia"/>
        </w:rPr>
        <w:t>/</w:t>
      </w:r>
      <w:r>
        <w:rPr>
          <w:rFonts w:hint="eastAsia"/>
        </w:rPr>
        <w:t>妻子的国家法律他们被视为该国公民，除非因其作为或不作为而被视为放弃了自己的菲律宾国籍。</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菲律宾政府于</w:t>
      </w:r>
      <w:r>
        <w:rPr>
          <w:rFonts w:hint="eastAsia"/>
        </w:rPr>
        <w:t>2003</w:t>
      </w:r>
      <w:r>
        <w:rPr>
          <w:rFonts w:hint="eastAsia"/>
        </w:rPr>
        <w:t>年通过一项法律（第</w:t>
      </w:r>
      <w:r>
        <w:rPr>
          <w:rFonts w:hint="eastAsia"/>
        </w:rPr>
        <w:t>9225</w:t>
      </w:r>
      <w:r>
        <w:rPr>
          <w:rFonts w:hint="eastAsia"/>
        </w:rPr>
        <w:t>号共和国法令），允许保留和重新获得菲律宾国籍。该法律宣称，本国出生的菲律宾公民变成另一国公民者，应被视为没有丧失其菲律宾国籍。</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菲律宾政府同样也确保维护妇女获得旅行证件——具体说护照——方面的权利。按照《</w:t>
      </w:r>
      <w:r>
        <w:rPr>
          <w:rFonts w:hint="eastAsia"/>
        </w:rPr>
        <w:t>1996</w:t>
      </w:r>
      <w:r>
        <w:rPr>
          <w:rFonts w:hint="eastAsia"/>
        </w:rPr>
        <w:t>年菲律宾护照法》的规定，关于向妇女签发护照</w:t>
      </w:r>
      <w:r>
        <w:rPr>
          <w:rFonts w:hint="eastAsia"/>
        </w:rPr>
        <w:t>的指导准则不要求妇女在申请该证件之前得到丈夫的同意。载入《</w:t>
      </w:r>
      <w:r>
        <w:rPr>
          <w:rFonts w:hint="eastAsia"/>
        </w:rPr>
        <w:t>2000</w:t>
      </w:r>
      <w:r>
        <w:rPr>
          <w:rFonts w:hint="eastAsia"/>
        </w:rPr>
        <w:t>年菲律宾侨民手册》的指导准则只要求女申请人提交确认公民身份或婚姻状况所需的相关证件。</w:t>
      </w:r>
    </w:p>
    <w:p w:rsidR="00000000" w:rsidRDefault="00821B8F">
      <w:pPr>
        <w:pStyle w:val="H1"/>
        <w:rPr>
          <w:rFonts w:hint="eastAsia"/>
        </w:rPr>
      </w:pPr>
      <w:r>
        <w:t xml:space="preserve">C. </w:t>
      </w:r>
      <w:r>
        <w:rPr>
          <w:rFonts w:hint="eastAsia"/>
        </w:rPr>
        <w:t>仍然面临的挑战和困难</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为了保证有效执行在取得或保留国籍方面无歧视的法律和指导准则，需要建立监测机制以跟踪违法行为和案例。</w:t>
      </w:r>
    </w:p>
    <w:p w:rsidR="00000000" w:rsidRDefault="00821B8F">
      <w:pPr>
        <w:pStyle w:val="TOC1"/>
        <w:spacing w:before="120"/>
        <w:rPr>
          <w:rFonts w:ascii="SimHei" w:hint="eastAsia"/>
        </w:rPr>
      </w:pPr>
      <w:r>
        <w:rPr>
          <w:rFonts w:ascii="SimHei" w:hint="eastAsia"/>
        </w:rPr>
        <w:t>第十条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教育</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教育平等；各级工作和职业指导；使用同样课程；消除定型观念；奖学金机会；进修机会；减少女生辍学率；运动和体育机会；了解包括计划生育在内的卫生知识的机会</w:t>
      </w:r>
    </w:p>
    <w:p w:rsidR="00000000" w:rsidRDefault="00821B8F">
      <w:pPr>
        <w:pStyle w:val="H1"/>
        <w:rPr>
          <w:rFonts w:hint="eastAsia"/>
        </w:rPr>
      </w:pPr>
      <w:r>
        <w:t xml:space="preserve">A. </w:t>
      </w:r>
      <w:r>
        <w:rPr>
          <w:rFonts w:hint="eastAsia"/>
        </w:rPr>
        <w:t>妇女的状况</w:t>
      </w:r>
    </w:p>
    <w:p w:rsidR="00000000" w:rsidRDefault="00821B8F">
      <w:pPr>
        <w:pStyle w:val="BodyText"/>
        <w:spacing w:after="120" w:line="360" w:lineRule="exact"/>
        <w:rPr>
          <w:rFonts w:hint="eastAsia"/>
          <w:sz w:val="21"/>
          <w:u w:val="single"/>
        </w:rPr>
      </w:pPr>
      <w:r>
        <w:rPr>
          <w:rFonts w:hint="eastAsia"/>
          <w:sz w:val="21"/>
          <w:u w:val="single"/>
        </w:rPr>
        <w:t>识字率</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教育是每个菲律宾人的基本权利。政府提供</w:t>
      </w:r>
      <w:r>
        <w:rPr>
          <w:rFonts w:hint="eastAsia"/>
        </w:rPr>
        <w:t>免费的初等和中等公学教育，并为遍布全国各省市的国立院校的高等教育和技术</w:t>
      </w:r>
      <w:r>
        <w:rPr>
          <w:rFonts w:hint="eastAsia"/>
        </w:rPr>
        <w:t>/</w:t>
      </w:r>
      <w:r>
        <w:rPr>
          <w:rFonts w:hint="eastAsia"/>
        </w:rPr>
        <w:t>职业教育提供补贴。</w:t>
      </w:r>
      <w:r>
        <w:rPr>
          <w:rFonts w:hint="eastAsia"/>
        </w:rPr>
        <w:t>1997</w:t>
      </w:r>
      <w:r>
        <w:rPr>
          <w:rFonts w:hint="eastAsia"/>
        </w:rPr>
        <w:t>年，国立小学校占</w:t>
      </w:r>
      <w:r>
        <w:rPr>
          <w:rFonts w:hint="eastAsia"/>
        </w:rPr>
        <w:t>92%</w:t>
      </w:r>
      <w:r>
        <w:rPr>
          <w:rFonts w:hint="eastAsia"/>
        </w:rPr>
        <w:t>，但是自</w:t>
      </w:r>
      <w:r>
        <w:rPr>
          <w:rFonts w:hint="eastAsia"/>
        </w:rPr>
        <w:t>2000</w:t>
      </w:r>
      <w:r>
        <w:t>–</w:t>
      </w:r>
      <w:r>
        <w:rPr>
          <w:rFonts w:hint="eastAsia"/>
        </w:rPr>
        <w:t>2001</w:t>
      </w:r>
      <w:r>
        <w:rPr>
          <w:rFonts w:hint="eastAsia"/>
        </w:rPr>
        <w:t>年以来，该比例降至</w:t>
      </w:r>
      <w:r>
        <w:rPr>
          <w:rFonts w:hint="eastAsia"/>
        </w:rPr>
        <w:t>89%</w:t>
      </w:r>
      <w:r>
        <w:rPr>
          <w:rFonts w:hint="eastAsia"/>
        </w:rPr>
        <w:t>。因为开办了更多的私立小学。在中学一级，官办中学约占</w:t>
      </w:r>
      <w:r>
        <w:rPr>
          <w:rFonts w:hint="eastAsia"/>
        </w:rPr>
        <w:t>59%</w:t>
      </w:r>
      <w:r>
        <w:rPr>
          <w:rFonts w:hint="eastAsia"/>
        </w:rPr>
        <w:t>。政府向符合条件且希望进入高等院校深造的学生提供奖学金。政府通过高等教育委员会向官办及私立高等院校贫穷但优秀的学生提供奖学金和贷款。</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2000</w:t>
      </w:r>
      <w:r>
        <w:rPr>
          <w:rFonts w:hint="eastAsia"/>
        </w:rPr>
        <w:t>年，</w:t>
      </w:r>
      <w:r>
        <w:rPr>
          <w:rFonts w:hint="eastAsia"/>
        </w:rPr>
        <w:t>10</w:t>
      </w:r>
      <w:r>
        <w:rPr>
          <w:rFonts w:hint="eastAsia"/>
        </w:rPr>
        <w:t>岁以上男女的简单识字率（即用任何一种语言简单读写的能力）分别占</w:t>
      </w:r>
      <w:r>
        <w:rPr>
          <w:rFonts w:hint="eastAsia"/>
        </w:rPr>
        <w:t xml:space="preserve">92.3% </w:t>
      </w:r>
      <w:r>
        <w:rPr>
          <w:rFonts w:hint="eastAsia"/>
        </w:rPr>
        <w:t>和</w:t>
      </w:r>
      <w:r>
        <w:rPr>
          <w:rFonts w:hint="eastAsia"/>
        </w:rPr>
        <w:t>92.0%</w:t>
      </w:r>
      <w:r>
        <w:rPr>
          <w:rFonts w:hint="eastAsia"/>
        </w:rPr>
        <w:t>，两性差距为</w:t>
      </w:r>
      <w:r>
        <w:rPr>
          <w:rFonts w:hint="eastAsia"/>
        </w:rPr>
        <w:t>0.3</w:t>
      </w:r>
      <w:r>
        <w:rPr>
          <w:rFonts w:hint="eastAsia"/>
        </w:rPr>
        <w:t>个百分点（国家统计局，</w:t>
      </w:r>
      <w:r>
        <w:rPr>
          <w:rFonts w:hint="eastAsia"/>
        </w:rPr>
        <w:t>200</w:t>
      </w:r>
      <w:r>
        <w:rPr>
          <w:rFonts w:hint="eastAsia"/>
        </w:rPr>
        <w:t>3</w:t>
      </w:r>
      <w:r>
        <w:rPr>
          <w:rFonts w:hint="eastAsia"/>
        </w:rPr>
        <w:t>年</w:t>
      </w:r>
      <w:r>
        <w:rPr>
          <w:rFonts w:hint="eastAsia"/>
        </w:rPr>
        <w:t>h</w:t>
      </w:r>
      <w:r>
        <w:rPr>
          <w:rFonts w:hint="eastAsia"/>
        </w:rPr>
        <w:t>）。麻烦的是，在</w:t>
      </w:r>
      <w:r>
        <w:rPr>
          <w:rFonts w:hint="eastAsia"/>
        </w:rPr>
        <w:t>1990</w:t>
      </w:r>
      <w:r>
        <w:rPr>
          <w:rFonts w:hint="eastAsia"/>
        </w:rPr>
        <w:t>和</w:t>
      </w:r>
      <w:r>
        <w:rPr>
          <w:rFonts w:hint="eastAsia"/>
        </w:rPr>
        <w:t>2000</w:t>
      </w:r>
      <w:r>
        <w:rPr>
          <w:rFonts w:hint="eastAsia"/>
        </w:rPr>
        <w:t>年人口普查年之间，识字率有所下降：</w:t>
      </w:r>
      <w:r>
        <w:rPr>
          <w:rFonts w:hint="eastAsia"/>
        </w:rPr>
        <w:t>1990</w:t>
      </w:r>
      <w:r>
        <w:rPr>
          <w:rFonts w:hint="eastAsia"/>
        </w:rPr>
        <w:t>年的男子识字率为</w:t>
      </w:r>
      <w:r>
        <w:rPr>
          <w:rFonts w:hint="eastAsia"/>
        </w:rPr>
        <w:t>93.7%</w:t>
      </w:r>
      <w:r>
        <w:rPr>
          <w:rFonts w:hint="eastAsia"/>
        </w:rPr>
        <w:t>、妇女为</w:t>
      </w:r>
      <w:r>
        <w:rPr>
          <w:rFonts w:hint="eastAsia"/>
        </w:rPr>
        <w:t>93.4%</w:t>
      </w:r>
      <w:r>
        <w:rPr>
          <w:rFonts w:hint="eastAsia"/>
        </w:rPr>
        <w:t>。而这一下降趋势是继</w:t>
      </w:r>
      <w:r>
        <w:rPr>
          <w:rFonts w:hint="eastAsia"/>
        </w:rPr>
        <w:t>1980</w:t>
      </w:r>
      <w:r>
        <w:rPr>
          <w:rFonts w:hint="eastAsia"/>
        </w:rPr>
        <w:t>年和</w:t>
      </w:r>
      <w:r>
        <w:rPr>
          <w:rFonts w:hint="eastAsia"/>
        </w:rPr>
        <w:t>1990</w:t>
      </w:r>
      <w:r>
        <w:rPr>
          <w:rFonts w:hint="eastAsia"/>
        </w:rPr>
        <w:t>年间这两个群体的识字率猛增</w:t>
      </w:r>
      <w:r>
        <w:rPr>
          <w:rFonts w:hint="eastAsia"/>
        </w:rPr>
        <w:t>17%</w:t>
      </w:r>
      <w:r>
        <w:rPr>
          <w:rFonts w:hint="eastAsia"/>
        </w:rPr>
        <w:t>以上之后发生的。这可能是两方面因素综合作用的结果：一是菲律宾的教育部门受到教育质量差的困扰（见亚洲开发银行</w:t>
      </w:r>
      <w:r>
        <w:rPr>
          <w:rFonts w:hint="eastAsia"/>
        </w:rPr>
        <w:t>/</w:t>
      </w:r>
      <w:r>
        <w:rPr>
          <w:rFonts w:hint="eastAsia"/>
        </w:rPr>
        <w:t>世界银行，</w:t>
      </w:r>
      <w:r>
        <w:rPr>
          <w:rFonts w:hint="eastAsia"/>
        </w:rPr>
        <w:t>1999</w:t>
      </w:r>
      <w:r>
        <w:rPr>
          <w:rFonts w:hint="eastAsia"/>
        </w:rPr>
        <w:t>年，伊洛，</w:t>
      </w:r>
      <w:r>
        <w:rPr>
          <w:rFonts w:hint="eastAsia"/>
        </w:rPr>
        <w:t>2002</w:t>
      </w:r>
      <w:r>
        <w:rPr>
          <w:rFonts w:hint="eastAsia"/>
        </w:rPr>
        <w:t>年</w:t>
      </w:r>
      <w:r>
        <w:rPr>
          <w:rFonts w:hint="eastAsia"/>
        </w:rPr>
        <w:t>a</w:t>
      </w:r>
      <w:r>
        <w:rPr>
          <w:rFonts w:hint="eastAsia"/>
        </w:rPr>
        <w:t>），二是受到少年儿童辍学或晚入学的危机的影响。</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与简单识字率相比，需要具备基本算术能力的男女实用识字率都比较低。</w:t>
      </w:r>
      <w:r>
        <w:rPr>
          <w:rStyle w:val="FootnoteReference"/>
          <w:szCs w:val="21"/>
        </w:rPr>
        <w:footnoteReference w:id="15"/>
      </w:r>
      <w:r>
        <w:rPr>
          <w:rFonts w:hint="eastAsia"/>
        </w:rPr>
        <w:t xml:space="preserve"> </w:t>
      </w:r>
      <w:r>
        <w:rPr>
          <w:rFonts w:hint="eastAsia"/>
        </w:rPr>
        <w:t>在这方面，妇女的情况比男子好（</w:t>
      </w:r>
      <w:r>
        <w:rPr>
          <w:rFonts w:hint="eastAsia"/>
        </w:rPr>
        <w:t>1994</w:t>
      </w:r>
      <w:r>
        <w:rPr>
          <w:rFonts w:hint="eastAsia"/>
        </w:rPr>
        <w:t>年，</w:t>
      </w:r>
      <w:r>
        <w:rPr>
          <w:rFonts w:hint="eastAsia"/>
        </w:rPr>
        <w:t>85.</w:t>
      </w:r>
      <w:r>
        <w:rPr>
          <w:rFonts w:hint="eastAsia"/>
        </w:rPr>
        <w:t xml:space="preserve">9% </w:t>
      </w:r>
      <w:r>
        <w:rPr>
          <w:rFonts w:hint="eastAsia"/>
        </w:rPr>
        <w:t>比</w:t>
      </w:r>
      <w:r>
        <w:rPr>
          <w:rFonts w:hint="eastAsia"/>
        </w:rPr>
        <w:t>81.7%</w:t>
      </w:r>
      <w:r>
        <w:rPr>
          <w:rFonts w:hint="eastAsia"/>
        </w:rPr>
        <w:t>；</w:t>
      </w:r>
      <w:r>
        <w:rPr>
          <w:rFonts w:hint="eastAsia"/>
        </w:rPr>
        <w:t>1989</w:t>
      </w:r>
      <w:r>
        <w:rPr>
          <w:rFonts w:hint="eastAsia"/>
        </w:rPr>
        <w:t>年，</w:t>
      </w:r>
      <w:r>
        <w:rPr>
          <w:rFonts w:hint="eastAsia"/>
        </w:rPr>
        <w:t xml:space="preserve">76.2% </w:t>
      </w:r>
      <w:r>
        <w:rPr>
          <w:rFonts w:hint="eastAsia"/>
        </w:rPr>
        <w:t>比</w:t>
      </w:r>
      <w:r>
        <w:rPr>
          <w:rFonts w:hint="eastAsia"/>
        </w:rPr>
        <w:t>74.5%</w:t>
      </w:r>
      <w:r>
        <w:rPr>
          <w:rFonts w:hint="eastAsia"/>
        </w:rPr>
        <w:t>）。棉兰老伊斯兰自治区并非如此，那里的妇女实用识字率较低，为</w:t>
      </w:r>
      <w:r>
        <w:rPr>
          <w:rFonts w:hint="eastAsia"/>
        </w:rPr>
        <w:t>59.1%</w:t>
      </w:r>
      <w:r>
        <w:rPr>
          <w:rFonts w:hint="eastAsia"/>
        </w:rPr>
        <w:t>，比男子低</w:t>
      </w:r>
      <w:r>
        <w:rPr>
          <w:rFonts w:hint="eastAsia"/>
        </w:rPr>
        <w:t>4.1</w:t>
      </w:r>
      <w:r>
        <w:rPr>
          <w:rFonts w:hint="eastAsia"/>
        </w:rPr>
        <w:t>个百分点（见国家统计局，</w:t>
      </w:r>
      <w:r>
        <w:rPr>
          <w:rFonts w:hint="eastAsia"/>
        </w:rPr>
        <w:t>1999</w:t>
      </w:r>
      <w:r>
        <w:rPr>
          <w:rFonts w:hint="eastAsia"/>
        </w:rPr>
        <w:t>年</w:t>
      </w:r>
      <w:r>
        <w:rPr>
          <w:rFonts w:hint="eastAsia"/>
        </w:rPr>
        <w:t>a</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城乡妇女的实用识字率有很大差别。</w:t>
      </w:r>
      <w:r>
        <w:rPr>
          <w:rFonts w:hint="eastAsia"/>
        </w:rPr>
        <w:t>1994</w:t>
      </w:r>
      <w:r>
        <w:rPr>
          <w:rFonts w:hint="eastAsia"/>
        </w:rPr>
        <w:t>年，城市妇女的实用识字率为</w:t>
      </w:r>
      <w:r>
        <w:rPr>
          <w:rFonts w:hint="eastAsia"/>
        </w:rPr>
        <w:t>83.9%</w:t>
      </w:r>
      <w:r>
        <w:rPr>
          <w:rFonts w:hint="eastAsia"/>
        </w:rPr>
        <w:t>，而农村妇女仅为</w:t>
      </w:r>
      <w:r>
        <w:rPr>
          <w:rFonts w:hint="eastAsia"/>
        </w:rPr>
        <w:t>68.8%</w:t>
      </w:r>
      <w:r>
        <w:rPr>
          <w:rFonts w:hint="eastAsia"/>
        </w:rPr>
        <w:t>。</w:t>
      </w:r>
      <w:r>
        <w:rPr>
          <w:rFonts w:hint="eastAsia"/>
        </w:rPr>
        <w:t>44</w:t>
      </w:r>
      <w:r>
        <w:rPr>
          <w:rFonts w:hint="eastAsia"/>
        </w:rPr>
        <w:t>岁以上的妇女更是低得多。这种趋势可以归因于缺乏教育机会，得不到教育设施，或者是农村地区的父母从前一连几代不愿意让女孩上学。</w:t>
      </w:r>
    </w:p>
    <w:p w:rsidR="00000000" w:rsidRDefault="00821B8F">
      <w:pPr>
        <w:pStyle w:val="BodyText"/>
        <w:spacing w:after="120" w:line="360" w:lineRule="exact"/>
        <w:rPr>
          <w:rFonts w:hint="eastAsia"/>
          <w:sz w:val="21"/>
          <w:u w:val="single"/>
        </w:rPr>
      </w:pPr>
      <w:r>
        <w:rPr>
          <w:rFonts w:hint="eastAsia"/>
          <w:sz w:val="21"/>
          <w:u w:val="single"/>
        </w:rPr>
        <w:t>正规教育</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现在，妇女求学的时间往往较长，接受高等教育的人数也较多。虽然刚入学时男生略多一些（</w:t>
      </w:r>
      <w:r>
        <w:rPr>
          <w:rFonts w:hint="eastAsia"/>
          <w:color w:val="000000"/>
        </w:rPr>
        <w:t>2000-2001</w:t>
      </w:r>
      <w:r>
        <w:rPr>
          <w:rFonts w:hint="eastAsia"/>
          <w:color w:val="000000"/>
        </w:rPr>
        <w:t>学年，男生占</w:t>
      </w:r>
      <w:r>
        <w:rPr>
          <w:rFonts w:hint="eastAsia"/>
          <w:color w:val="000000"/>
        </w:rPr>
        <w:t>51.0%</w:t>
      </w:r>
      <w:r>
        <w:rPr>
          <w:rFonts w:hint="eastAsia"/>
          <w:color w:val="000000"/>
        </w:rPr>
        <w:t>、女生占</w:t>
      </w:r>
      <w:r>
        <w:rPr>
          <w:rFonts w:hint="eastAsia"/>
          <w:color w:val="000000"/>
        </w:rPr>
        <w:t>49.0%</w:t>
      </w:r>
      <w:r>
        <w:rPr>
          <w:rFonts w:hint="eastAsia"/>
          <w:color w:val="000000"/>
        </w:rPr>
        <w:t>），但是在升入中学时女生略多一些（女生占</w:t>
      </w:r>
      <w:r>
        <w:rPr>
          <w:rFonts w:hint="eastAsia"/>
          <w:color w:val="000000"/>
        </w:rPr>
        <w:t>51.3%</w:t>
      </w:r>
      <w:r>
        <w:rPr>
          <w:rFonts w:hint="eastAsia"/>
          <w:color w:val="000000"/>
        </w:rPr>
        <w:t>，男生占</w:t>
      </w:r>
      <w:r>
        <w:rPr>
          <w:rFonts w:hint="eastAsia"/>
          <w:color w:val="000000"/>
        </w:rPr>
        <w:t>48.7%</w:t>
      </w:r>
      <w:r>
        <w:rPr>
          <w:rFonts w:hint="eastAsia"/>
          <w:color w:val="000000"/>
        </w:rPr>
        <w:t>）。这种情况在就学率或净入学率方面也很明显。</w:t>
      </w:r>
      <w:r>
        <w:rPr>
          <w:rStyle w:val="FootnoteReference"/>
          <w:color w:val="000000"/>
          <w:szCs w:val="21"/>
        </w:rPr>
        <w:footnoteReference w:id="16"/>
      </w:r>
      <w:r>
        <w:rPr>
          <w:rFonts w:hint="eastAsia"/>
          <w:color w:val="000000"/>
        </w:rPr>
        <w:t>长期以来这两个比率一直在稳步增长，而且与其他发展中国家相比也相对较高。除</w:t>
      </w:r>
      <w:r>
        <w:rPr>
          <w:rFonts w:hint="eastAsia"/>
          <w:color w:val="000000"/>
        </w:rPr>
        <w:t>1998</w:t>
      </w:r>
      <w:r>
        <w:rPr>
          <w:color w:val="000000"/>
        </w:rPr>
        <w:t>–</w:t>
      </w:r>
      <w:r>
        <w:rPr>
          <w:rFonts w:hint="eastAsia"/>
          <w:color w:val="000000"/>
        </w:rPr>
        <w:t>1999</w:t>
      </w:r>
      <w:r>
        <w:rPr>
          <w:rFonts w:hint="eastAsia"/>
          <w:color w:val="000000"/>
        </w:rPr>
        <w:t>学年以外，在小学一级，传统上男生就学率高于女生，而在较高级别上情况恰好相反。这就意味着基本不存在制度上对女孩的歧视，而且家长也承认女孩的学习成绩往往比较好（菲律宾人类发展报告，</w:t>
      </w:r>
      <w:r>
        <w:rPr>
          <w:rFonts w:hint="eastAsia"/>
          <w:color w:val="000000"/>
        </w:rPr>
        <w:t>1997</w:t>
      </w:r>
      <w:r>
        <w:rPr>
          <w:rFonts w:hint="eastAsia"/>
          <w:color w:val="000000"/>
        </w:rPr>
        <w:t>年），并且比男孩更有可能读完各学年并完成其学业（关于组群保持率，见</w:t>
      </w:r>
      <w:r>
        <w:rPr>
          <w:rFonts w:hint="eastAsia"/>
          <w:color w:val="000000"/>
        </w:rPr>
        <w:t>附件</w:t>
      </w:r>
      <w:r>
        <w:rPr>
          <w:rFonts w:hint="eastAsia"/>
          <w:color w:val="000000"/>
        </w:rPr>
        <w:t>B</w:t>
      </w:r>
      <w:r>
        <w:rPr>
          <w:rFonts w:hint="eastAsia"/>
          <w:color w:val="000000"/>
        </w:rPr>
        <w:t>附表</w:t>
      </w:r>
      <w:r>
        <w:rPr>
          <w:rFonts w:hint="eastAsia"/>
          <w:color w:val="000000"/>
        </w:rPr>
        <w:t>B10.1</w:t>
      </w:r>
      <w:r>
        <w:rPr>
          <w:rFonts w:hint="eastAsia"/>
          <w:color w:val="000000"/>
        </w:rPr>
        <w:t>）。对许多家长来说，为女孩的教育投资是明智之举。小学以上级别的男生净入学率较低，可能是因为男孩为了帮助家庭维持生计而辍学，童工当中男孩的比例明显偏高就是例证（国家统计局，</w:t>
      </w:r>
      <w:r>
        <w:rPr>
          <w:rFonts w:hint="eastAsia"/>
          <w:color w:val="000000"/>
        </w:rPr>
        <w:t>1995</w:t>
      </w:r>
      <w:r>
        <w:rPr>
          <w:rFonts w:hint="eastAsia"/>
          <w:color w:val="000000"/>
        </w:rPr>
        <w:t>年和</w:t>
      </w:r>
      <w:r>
        <w:rPr>
          <w:rFonts w:hint="eastAsia"/>
          <w:color w:val="000000"/>
        </w:rPr>
        <w:t>2001</w:t>
      </w:r>
      <w:r>
        <w:rPr>
          <w:rFonts w:hint="eastAsia"/>
          <w:color w:val="000000"/>
        </w:rPr>
        <w:t>年的童工调查）。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虽然全国的就学率比较高，但是在边远地区，在流落街头儿童和赤贫儿童中，在土著人民当中，以及在有武装冲突地区，就学率却比较低（见雷耶斯，</w:t>
      </w:r>
      <w:r>
        <w:rPr>
          <w:rFonts w:hint="eastAsia"/>
        </w:rPr>
        <w:t>2003</w:t>
      </w:r>
      <w:r>
        <w:rPr>
          <w:rFonts w:hint="eastAsia"/>
        </w:rPr>
        <w:t>年）。此外，辍学率很高、组群就读率很低，特别是在男生（见附表</w:t>
      </w:r>
      <w:r>
        <w:rPr>
          <w:rFonts w:hint="eastAsia"/>
        </w:rPr>
        <w:t>B10.1</w:t>
      </w:r>
      <w:r>
        <w:rPr>
          <w:rFonts w:hint="eastAsia"/>
        </w:rPr>
        <w:t>）和棉兰老伊斯兰自治区的儿童当中（</w:t>
      </w:r>
      <w:r>
        <w:rPr>
          <w:rFonts w:hint="eastAsia"/>
        </w:rPr>
        <w:t>1996</w:t>
      </w:r>
      <w:r>
        <w:t>-</w:t>
      </w:r>
      <w:r>
        <w:rPr>
          <w:rFonts w:hint="eastAsia"/>
        </w:rPr>
        <w:t>2001</w:t>
      </w:r>
      <w:r>
        <w:rPr>
          <w:rFonts w:hint="eastAsia"/>
        </w:rPr>
        <w:t>年该地区的平均辍学率</w:t>
      </w:r>
      <w:r>
        <w:rPr>
          <w:rFonts w:hint="eastAsia"/>
        </w:rPr>
        <w:t>在</w:t>
      </w:r>
      <w:r>
        <w:rPr>
          <w:rFonts w:hint="eastAsia"/>
        </w:rPr>
        <w:t>20%</w:t>
      </w:r>
      <w:r>
        <w:rPr>
          <w:rFonts w:hint="eastAsia"/>
        </w:rPr>
        <w:t>以上）（</w:t>
      </w:r>
      <w:r>
        <w:rPr>
          <w:rFonts w:hint="eastAsia"/>
        </w:rPr>
        <w:t>13%</w:t>
      </w:r>
      <w:r>
        <w:rPr>
          <w:rFonts w:hint="eastAsia"/>
        </w:rPr>
        <w:t>，雷耶斯，</w:t>
      </w:r>
      <w:r>
        <w:rPr>
          <w:rFonts w:hint="eastAsia"/>
        </w:rPr>
        <w:t>2003</w:t>
      </w:r>
      <w:r>
        <w:rPr>
          <w:rFonts w:hint="eastAsia"/>
        </w:rPr>
        <w:t>年）。</w:t>
      </w:r>
      <w:r>
        <w:rPr>
          <w:rStyle w:val="FootnoteReference"/>
          <w:szCs w:val="21"/>
        </w:rPr>
        <w:footnoteReference w:id="17"/>
      </w:r>
      <w:r>
        <w:rPr>
          <w:rFonts w:hint="eastAsia"/>
        </w:rPr>
        <w:t xml:space="preserve"> </w:t>
      </w:r>
      <w:r>
        <w:rPr>
          <w:rFonts w:hint="eastAsia"/>
        </w:rPr>
        <w:t>这些现象对政府的“全民教育方案”提出了持续的挑战。</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高等教育的入学率以女生居多（见附表</w:t>
      </w:r>
      <w:r>
        <w:rPr>
          <w:rFonts w:hint="eastAsia"/>
        </w:rPr>
        <w:t>B10.2</w:t>
      </w:r>
      <w:r>
        <w:rPr>
          <w:rFonts w:hint="eastAsia"/>
        </w:rPr>
        <w:t>）。不过，在</w:t>
      </w:r>
      <w:r>
        <w:rPr>
          <w:rFonts w:hint="eastAsia"/>
        </w:rPr>
        <w:t>1997</w:t>
      </w:r>
      <w:r>
        <w:rPr>
          <w:rFonts w:hint="eastAsia"/>
        </w:rPr>
        <w:t>年中爆发危机后，男生入学率从</w:t>
      </w:r>
      <w:r>
        <w:rPr>
          <w:rFonts w:hint="eastAsia"/>
        </w:rPr>
        <w:t>1998</w:t>
      </w:r>
      <w:r>
        <w:t>–</w:t>
      </w:r>
      <w:r>
        <w:rPr>
          <w:rFonts w:hint="eastAsia"/>
        </w:rPr>
        <w:t>1999</w:t>
      </w:r>
      <w:r>
        <w:rPr>
          <w:rFonts w:hint="eastAsia"/>
        </w:rPr>
        <w:t>学年的</w:t>
      </w:r>
      <w:r>
        <w:rPr>
          <w:rFonts w:hint="eastAsia"/>
        </w:rPr>
        <w:t>43.8%</w:t>
      </w:r>
      <w:r>
        <w:rPr>
          <w:rFonts w:hint="eastAsia"/>
        </w:rPr>
        <w:t>稳步增到</w:t>
      </w:r>
      <w:r>
        <w:rPr>
          <w:rFonts w:hint="eastAsia"/>
        </w:rPr>
        <w:t>2000</w:t>
      </w:r>
      <w:r>
        <w:t>–</w:t>
      </w:r>
      <w:r>
        <w:rPr>
          <w:rFonts w:hint="eastAsia"/>
        </w:rPr>
        <w:t>2001</w:t>
      </w:r>
      <w:r>
        <w:rPr>
          <w:rFonts w:hint="eastAsia"/>
        </w:rPr>
        <w:t>学年的</w:t>
      </w:r>
      <w:r>
        <w:rPr>
          <w:rFonts w:hint="eastAsia"/>
        </w:rPr>
        <w:t>48.1%</w:t>
      </w:r>
      <w:r>
        <w:rPr>
          <w:rFonts w:hint="eastAsia"/>
        </w:rPr>
        <w:t>，而女生入学率似乎受到了至今仍在持续的经济不稳定的影响。</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不论对男生还是对女生来说，工商管理一直是大专院校的最热门课程。入学率较高的其他五个领域是：教育、医学</w:t>
      </w:r>
      <w:r>
        <w:rPr>
          <w:rFonts w:hint="eastAsia"/>
        </w:rPr>
        <w:t>/</w:t>
      </w:r>
      <w:r>
        <w:rPr>
          <w:rFonts w:hint="eastAsia"/>
        </w:rPr>
        <w:t>保健课程、计算机和数学及工程技术（附表</w:t>
      </w:r>
      <w:r>
        <w:rPr>
          <w:rFonts w:hint="eastAsia"/>
        </w:rPr>
        <w:t>B10.3</w:t>
      </w:r>
      <w:r>
        <w:rPr>
          <w:rFonts w:hint="eastAsia"/>
        </w:rPr>
        <w:t>）。男女的职业选择仍然不同，但</w:t>
      </w:r>
      <w:r>
        <w:rPr>
          <w:rFonts w:hint="eastAsia"/>
        </w:rPr>
        <w:t>是差别已经不像早年间那么明显了。譬如，农业、林业、渔业和兽医专业曾经被视为男性学科，而今却实现了“性别均衡”，因为妇女约占这些专业注册学生的</w:t>
      </w:r>
      <w:r>
        <w:rPr>
          <w:rFonts w:hint="eastAsia"/>
        </w:rPr>
        <w:t>47%</w:t>
      </w:r>
      <w:r>
        <w:rPr>
          <w:rFonts w:hint="eastAsia"/>
        </w:rPr>
        <w:t>到</w:t>
      </w:r>
      <w:r>
        <w:rPr>
          <w:rFonts w:hint="eastAsia"/>
        </w:rPr>
        <w:t>50%</w:t>
      </w:r>
      <w:r>
        <w:rPr>
          <w:rFonts w:hint="eastAsia"/>
        </w:rPr>
        <w:t>。数学和计算机专业是另一个对妇女比对男子更具吸引力的领域（女生占</w:t>
      </w:r>
      <w:r>
        <w:rPr>
          <w:rFonts w:hint="eastAsia"/>
        </w:rPr>
        <w:t>55%</w:t>
      </w:r>
      <w:r>
        <w:rPr>
          <w:rFonts w:hint="eastAsia"/>
        </w:rPr>
        <w:t>以上），尽管进入该领域的男生也多起来了。同样，妇女现在已占据曾经是男子天下的贸易、手工和工艺领域。这些领域的招生名额很少，但妇女人数很多（</w:t>
      </w:r>
      <w:r>
        <w:rPr>
          <w:rFonts w:hint="eastAsia"/>
        </w:rPr>
        <w:t>1995-1996</w:t>
      </w:r>
      <w:r>
        <w:rPr>
          <w:rFonts w:hint="eastAsia"/>
        </w:rPr>
        <w:t>学年占</w:t>
      </w:r>
      <w:r>
        <w:rPr>
          <w:rFonts w:hint="eastAsia"/>
        </w:rPr>
        <w:t>81.3%, 1999-2000</w:t>
      </w:r>
      <w:r>
        <w:rPr>
          <w:rFonts w:hint="eastAsia"/>
        </w:rPr>
        <w:t>学年占</w:t>
      </w:r>
      <w:r>
        <w:rPr>
          <w:rFonts w:hint="eastAsia"/>
        </w:rPr>
        <w:t>84.0%</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妇女接受高等教育的情况或许要比男子好，但是在政府委员会考试或资格考试中</w:t>
      </w:r>
      <w:r>
        <w:rPr>
          <w:rFonts w:hint="eastAsia"/>
        </w:rPr>
        <w:t>她们却没有同样好的机会。譬如</w:t>
      </w:r>
      <w:r>
        <w:rPr>
          <w:rFonts w:hint="eastAsia"/>
        </w:rPr>
        <w:t>2000</w:t>
      </w:r>
      <w:r>
        <w:rPr>
          <w:rFonts w:hint="eastAsia"/>
        </w:rPr>
        <w:t>年，在考试合格的报考者当中，妇女占</w:t>
      </w:r>
      <w:r>
        <w:rPr>
          <w:rFonts w:hint="eastAsia"/>
        </w:rPr>
        <w:t>35.9%</w:t>
      </w:r>
      <w:r>
        <w:rPr>
          <w:rFonts w:hint="eastAsia"/>
        </w:rPr>
        <w:t>，（男子占</w:t>
      </w:r>
      <w:r>
        <w:rPr>
          <w:rFonts w:hint="eastAsia"/>
        </w:rPr>
        <w:t>37.6%</w:t>
      </w:r>
      <w:r>
        <w:rPr>
          <w:rFonts w:hint="eastAsia"/>
        </w:rPr>
        <w:t>）（见国家统计协调委员会，</w:t>
      </w:r>
      <w:r>
        <w:rPr>
          <w:rFonts w:hint="eastAsia"/>
        </w:rPr>
        <w:t>2001</w:t>
      </w:r>
      <w:r>
        <w:rPr>
          <w:rFonts w:hint="eastAsia"/>
        </w:rPr>
        <w:t>年，引自妇女与性别研究所，</w:t>
      </w:r>
      <w:r>
        <w:rPr>
          <w:rFonts w:hint="eastAsia"/>
        </w:rPr>
        <w:t>2002</w:t>
      </w:r>
      <w:r>
        <w:rPr>
          <w:rFonts w:hint="eastAsia"/>
        </w:rPr>
        <w:t>年）。在</w:t>
      </w:r>
      <w:r>
        <w:rPr>
          <w:rFonts w:hint="eastAsia"/>
        </w:rPr>
        <w:t>18</w:t>
      </w:r>
      <w:r>
        <w:rPr>
          <w:rFonts w:hint="eastAsia"/>
        </w:rPr>
        <w:t>个领域中，妇女仅在三个领域（牙医、电气工程和护理）占有优于男子的合格率，而在两次教师资格考试中，这两个群体的合格率都很低：</w:t>
      </w:r>
      <w:r>
        <w:rPr>
          <w:rFonts w:hint="eastAsia"/>
        </w:rPr>
        <w:t>35%</w:t>
      </w:r>
      <w:r>
        <w:rPr>
          <w:rFonts w:hint="eastAsia"/>
        </w:rPr>
        <w:t>至</w:t>
      </w:r>
      <w:r>
        <w:rPr>
          <w:rFonts w:hint="eastAsia"/>
        </w:rPr>
        <w:t>37%</w:t>
      </w:r>
      <w:r>
        <w:rPr>
          <w:rFonts w:hint="eastAsia"/>
        </w:rPr>
        <w:t>。在其余</w:t>
      </w:r>
      <w:r>
        <w:rPr>
          <w:rFonts w:hint="eastAsia"/>
        </w:rPr>
        <w:t>13</w:t>
      </w:r>
      <w:r>
        <w:rPr>
          <w:rFonts w:hint="eastAsia"/>
        </w:rPr>
        <w:t>个领域，男子都胜过妇女。两性合格率差距最大的领域有：助产（相差</w:t>
      </w:r>
      <w:r>
        <w:rPr>
          <w:rFonts w:hint="eastAsia"/>
        </w:rPr>
        <w:t>27.1</w:t>
      </w:r>
      <w:r>
        <w:rPr>
          <w:rFonts w:hint="eastAsia"/>
        </w:rPr>
        <w:t>个百分点：在</w:t>
      </w:r>
      <w:r>
        <w:rPr>
          <w:rFonts w:hint="eastAsia"/>
        </w:rPr>
        <w:t>51</w:t>
      </w:r>
      <w:r>
        <w:rPr>
          <w:rFonts w:hint="eastAsia"/>
        </w:rPr>
        <w:t>名男考生中合格率为</w:t>
      </w:r>
      <w:r>
        <w:rPr>
          <w:rFonts w:hint="eastAsia"/>
        </w:rPr>
        <w:t>78.4%</w:t>
      </w:r>
      <w:r>
        <w:rPr>
          <w:rFonts w:hint="eastAsia"/>
        </w:rPr>
        <w:t>；在</w:t>
      </w:r>
      <w:r>
        <w:rPr>
          <w:rFonts w:hint="eastAsia"/>
        </w:rPr>
        <w:t>2 646</w:t>
      </w:r>
      <w:r>
        <w:rPr>
          <w:rFonts w:hint="eastAsia"/>
        </w:rPr>
        <w:t>名女考生中合格率为</w:t>
      </w:r>
      <w:r>
        <w:rPr>
          <w:rFonts w:hint="eastAsia"/>
        </w:rPr>
        <w:t>51.3%</w:t>
      </w:r>
      <w:r>
        <w:rPr>
          <w:rFonts w:hint="eastAsia"/>
        </w:rPr>
        <w:t>）；医药学（相差</w:t>
      </w:r>
      <w:r>
        <w:rPr>
          <w:rFonts w:hint="eastAsia"/>
        </w:rPr>
        <w:t>12.5</w:t>
      </w:r>
      <w:r>
        <w:rPr>
          <w:rFonts w:hint="eastAsia"/>
        </w:rPr>
        <w:t>个百</w:t>
      </w:r>
      <w:r>
        <w:rPr>
          <w:rFonts w:hint="eastAsia"/>
        </w:rPr>
        <w:t>分点）；和化学工程（相差</w:t>
      </w:r>
      <w:r>
        <w:rPr>
          <w:rFonts w:hint="eastAsia"/>
        </w:rPr>
        <w:t>11.8</w:t>
      </w:r>
      <w:r>
        <w:rPr>
          <w:rFonts w:hint="eastAsia"/>
        </w:rPr>
        <w:t>个百分点）。</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另一个对妇女开放的专业是军事训练。这是</w:t>
      </w:r>
      <w:r>
        <w:rPr>
          <w:rFonts w:hint="eastAsia"/>
        </w:rPr>
        <w:t>1991</w:t>
      </w:r>
      <w:r>
        <w:rPr>
          <w:rFonts w:hint="eastAsia"/>
        </w:rPr>
        <w:t>年通过第</w:t>
      </w:r>
      <w:r>
        <w:rPr>
          <w:rFonts w:hint="eastAsia"/>
        </w:rPr>
        <w:t>7192</w:t>
      </w:r>
      <w:r>
        <w:rPr>
          <w:rFonts w:hint="eastAsia"/>
        </w:rPr>
        <w:t>号共和国法令之后才得以实现的。该法令使妇女获得了“在菲律宾武装部队和菲律宾国民警察部队所属的所有军事或类似学校里在选派、录取、训练、毕业和委任方面的平等机会”（第七条）。在菲律宾军事学院，</w:t>
      </w:r>
      <w:r>
        <w:rPr>
          <w:rFonts w:hint="eastAsia"/>
        </w:rPr>
        <w:t>1999-2000</w:t>
      </w:r>
      <w:r>
        <w:rPr>
          <w:rFonts w:hint="eastAsia"/>
        </w:rPr>
        <w:t>学年约有</w:t>
      </w:r>
      <w:r>
        <w:rPr>
          <w:rFonts w:hint="eastAsia"/>
        </w:rPr>
        <w:t>257</w:t>
      </w:r>
      <w:r>
        <w:rPr>
          <w:rFonts w:hint="eastAsia"/>
        </w:rPr>
        <w:t>名妇女通过了入学考试，占总数的</w:t>
      </w:r>
      <w:r>
        <w:rPr>
          <w:rFonts w:hint="eastAsia"/>
        </w:rPr>
        <w:t>17.3%</w:t>
      </w:r>
      <w:r>
        <w:rPr>
          <w:rFonts w:hint="eastAsia"/>
        </w:rPr>
        <w:t>。但由于设施不足，最多只能录取</w:t>
      </w:r>
      <w:r>
        <w:rPr>
          <w:rFonts w:hint="eastAsia"/>
        </w:rPr>
        <w:t>20</w:t>
      </w:r>
      <w:r>
        <w:rPr>
          <w:rFonts w:hint="eastAsia"/>
        </w:rPr>
        <w:t>名女学员。</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从高等教育委员会的奖学金方案的受益人数来看，妇女获得免费教育的机会比较多。在</w:t>
      </w:r>
      <w:r>
        <w:rPr>
          <w:rFonts w:hint="eastAsia"/>
        </w:rPr>
        <w:t>1997-1998</w:t>
      </w:r>
      <w:r>
        <w:rPr>
          <w:rFonts w:hint="eastAsia"/>
        </w:rPr>
        <w:t>学年获得奖学金的</w:t>
      </w:r>
      <w:r>
        <w:rPr>
          <w:rFonts w:hint="eastAsia"/>
        </w:rPr>
        <w:t>32 521</w:t>
      </w:r>
      <w:r>
        <w:rPr>
          <w:rFonts w:hint="eastAsia"/>
        </w:rPr>
        <w:t>名学生当中，约有</w:t>
      </w:r>
      <w:r>
        <w:rPr>
          <w:rFonts w:hint="eastAsia"/>
        </w:rPr>
        <w:t>67%</w:t>
      </w:r>
      <w:r>
        <w:rPr>
          <w:rFonts w:hint="eastAsia"/>
        </w:rPr>
        <w:t>是妇女。第二年分配得更加不均：共有</w:t>
      </w:r>
      <w:r>
        <w:rPr>
          <w:rFonts w:hint="eastAsia"/>
        </w:rPr>
        <w:t>19 426</w:t>
      </w:r>
      <w:r>
        <w:rPr>
          <w:rFonts w:hint="eastAsia"/>
        </w:rPr>
        <w:t>名女生获得了奖学金，占总数的</w:t>
      </w:r>
      <w:r>
        <w:rPr>
          <w:rFonts w:hint="eastAsia"/>
        </w:rPr>
        <w:t>69%</w:t>
      </w:r>
      <w:r>
        <w:rPr>
          <w:rFonts w:hint="eastAsia"/>
        </w:rPr>
        <w:t>。在</w:t>
      </w:r>
      <w:r>
        <w:rPr>
          <w:rFonts w:hint="eastAsia"/>
        </w:rPr>
        <w:t>2001-2002</w:t>
      </w:r>
      <w:r>
        <w:rPr>
          <w:rFonts w:hint="eastAsia"/>
        </w:rPr>
        <w:t>学年，由高等教育委员会管理的学生财政援助方案的受益人共有</w:t>
      </w:r>
      <w:r>
        <w:rPr>
          <w:rFonts w:hint="eastAsia"/>
        </w:rPr>
        <w:t>22 329</w:t>
      </w:r>
      <w:r>
        <w:rPr>
          <w:rFonts w:hint="eastAsia"/>
        </w:rPr>
        <w:t>人，其中男生</w:t>
      </w:r>
      <w:r>
        <w:rPr>
          <w:rFonts w:hint="eastAsia"/>
        </w:rPr>
        <w:t>9 601</w:t>
      </w:r>
      <w:r>
        <w:rPr>
          <w:rFonts w:hint="eastAsia"/>
        </w:rPr>
        <w:t>人（占</w:t>
      </w:r>
      <w:r>
        <w:rPr>
          <w:rFonts w:hint="eastAsia"/>
        </w:rPr>
        <w:t>43%</w:t>
      </w:r>
      <w:r>
        <w:rPr>
          <w:rFonts w:hint="eastAsia"/>
        </w:rPr>
        <w:t>）、女生</w:t>
      </w:r>
      <w:r>
        <w:rPr>
          <w:rFonts w:hint="eastAsia"/>
        </w:rPr>
        <w:t>12 728</w:t>
      </w:r>
      <w:r>
        <w:rPr>
          <w:rFonts w:hint="eastAsia"/>
        </w:rPr>
        <w:t>人（占</w:t>
      </w:r>
      <w:r>
        <w:rPr>
          <w:rFonts w:hint="eastAsia"/>
        </w:rPr>
        <w:t>57%</w:t>
      </w:r>
      <w:r>
        <w:rPr>
          <w:rFonts w:hint="eastAsia"/>
        </w:rPr>
        <w:t>）。</w:t>
      </w:r>
      <w:r>
        <w:rPr>
          <w:rFonts w:hint="eastAsia"/>
        </w:rPr>
        <w:t>2002-2003</w:t>
      </w:r>
      <w:r>
        <w:rPr>
          <w:rFonts w:hint="eastAsia"/>
        </w:rPr>
        <w:t>学年提供的奖学金和助学赠款跟前几年一样，女生在受益者中占了很大份额（附表</w:t>
      </w:r>
      <w:r>
        <w:rPr>
          <w:rFonts w:hint="eastAsia"/>
        </w:rPr>
        <w:t>B10.4</w:t>
      </w:r>
      <w:r>
        <w:rPr>
          <w:rFonts w:hint="eastAsia"/>
        </w:rPr>
        <w:t>），但授予穆斯林学生的奖学金除外，男生在受益人中占</w:t>
      </w:r>
      <w:r>
        <w:rPr>
          <w:rFonts w:hint="eastAsia"/>
        </w:rPr>
        <w:t>60%</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但是，妇女在高等教育领域继续占主导地位也引起了不少性别问题。</w:t>
      </w:r>
      <w:r>
        <w:rPr>
          <w:rFonts w:hint="eastAsia"/>
        </w:rPr>
        <w:t>其中有：</w:t>
      </w:r>
    </w:p>
    <w:p w:rsidR="00000000" w:rsidRDefault="00821B8F">
      <w:pPr>
        <w:pStyle w:val="List2"/>
        <w:numPr>
          <w:ilvl w:val="1"/>
          <w:numId w:val="1371"/>
        </w:numPr>
        <w:tabs>
          <w:tab w:val="clear" w:pos="840"/>
          <w:tab w:val="num" w:pos="1080"/>
        </w:tabs>
        <w:spacing w:after="120" w:line="360" w:lineRule="exact"/>
        <w:ind w:leftChars="0" w:left="1080" w:firstLineChars="0" w:hanging="480"/>
        <w:rPr>
          <w:rFonts w:hint="eastAsia"/>
        </w:rPr>
      </w:pPr>
      <w:r>
        <w:rPr>
          <w:rFonts w:hint="eastAsia"/>
        </w:rPr>
        <w:t>工商管理专业继续对年轻人有吸引力，因为他们希望毕业后进入私人部门，除此之外，妇女集中的职业领域（教育）不如男子的专业领域（工程）工资高（见亚洲开发银行</w:t>
      </w:r>
      <w:r>
        <w:rPr>
          <w:rFonts w:hint="eastAsia"/>
        </w:rPr>
        <w:t>/</w:t>
      </w:r>
      <w:r>
        <w:rPr>
          <w:rFonts w:hint="eastAsia"/>
        </w:rPr>
        <w:t>世界银行，</w:t>
      </w:r>
      <w:r>
        <w:rPr>
          <w:rFonts w:hint="eastAsia"/>
        </w:rPr>
        <w:t>1999</w:t>
      </w:r>
      <w:r>
        <w:rPr>
          <w:rFonts w:hint="eastAsia"/>
        </w:rPr>
        <w:t>年）。</w:t>
      </w:r>
    </w:p>
    <w:p w:rsidR="00000000" w:rsidRDefault="00821B8F">
      <w:pPr>
        <w:pStyle w:val="List2"/>
        <w:numPr>
          <w:ilvl w:val="1"/>
          <w:numId w:val="1371"/>
        </w:numPr>
        <w:tabs>
          <w:tab w:val="clear" w:pos="840"/>
          <w:tab w:val="num" w:pos="1080"/>
        </w:tabs>
        <w:spacing w:after="120" w:line="360" w:lineRule="exact"/>
        <w:ind w:leftChars="0" w:left="1080" w:firstLineChars="0" w:hanging="480"/>
        <w:rPr>
          <w:rFonts w:hint="eastAsia"/>
        </w:rPr>
      </w:pPr>
      <w:r>
        <w:rPr>
          <w:rFonts w:hint="eastAsia"/>
        </w:rPr>
        <w:t>在同一专业领域（比如工商管理或医学），女生和男生往往选修不同课程。譬如女生一般选修护理、医药和助产学，而男生则选修医学和内科疗法。然而随着海外对护理和理疗的需求与日俱增，据悉医学院校毕业生纷纷返回院校攻读这些课程。在工程领域也看到类似的性别轨迹。妇女一般往往准备从事报酬不如男子丰厚的工作。</w:t>
      </w:r>
      <w:r>
        <w:rPr>
          <w:rFonts w:hint="eastAsia"/>
        </w:rPr>
        <w:t>1998</w:t>
      </w:r>
      <w:r>
        <w:rPr>
          <w:rFonts w:hint="eastAsia"/>
        </w:rPr>
        <w:t>年教育部门进行的研究表明，</w:t>
      </w:r>
      <w:r>
        <w:rPr>
          <w:rFonts w:hint="eastAsia"/>
        </w:rPr>
        <w:t>在</w:t>
      </w:r>
      <w:r>
        <w:rPr>
          <w:rFonts w:hint="eastAsia"/>
        </w:rPr>
        <w:t>1997</w:t>
      </w:r>
      <w:r>
        <w:rPr>
          <w:rFonts w:hint="eastAsia"/>
        </w:rPr>
        <w:t>年接受调查的</w:t>
      </w:r>
      <w:r>
        <w:rPr>
          <w:rFonts w:hint="eastAsia"/>
        </w:rPr>
        <w:t>1995</w:t>
      </w:r>
      <w:r>
        <w:rPr>
          <w:rFonts w:hint="eastAsia"/>
        </w:rPr>
        <w:t>年医疗保健专业的毕业生当中，护理和医药专业的薪酬最低（月薪</w:t>
      </w:r>
      <w:r>
        <w:rPr>
          <w:rFonts w:hint="eastAsia"/>
        </w:rPr>
        <w:t>7 217</w:t>
      </w:r>
      <w:r>
        <w:rPr>
          <w:rFonts w:hint="eastAsia"/>
        </w:rPr>
        <w:t>菲律宾比索），而医学专业的月薪为</w:t>
      </w:r>
      <w:r>
        <w:rPr>
          <w:rFonts w:hint="eastAsia"/>
        </w:rPr>
        <w:t>9 508</w:t>
      </w:r>
      <w:r>
        <w:rPr>
          <w:rFonts w:hint="eastAsia"/>
        </w:rPr>
        <w:t>菲律宾比索。据报告，在工程专业占有很大招生份额的海洋工程平均月薪为</w:t>
      </w:r>
      <w:r>
        <w:rPr>
          <w:rFonts w:hint="eastAsia"/>
        </w:rPr>
        <w:t>10 832</w:t>
      </w:r>
      <w:r>
        <w:rPr>
          <w:rFonts w:hint="eastAsia"/>
        </w:rPr>
        <w:t>比索，比工程科目中女生选修的土木工程专业的月薪（</w:t>
      </w:r>
      <w:r>
        <w:rPr>
          <w:rFonts w:hint="eastAsia"/>
        </w:rPr>
        <w:t>8 476</w:t>
      </w:r>
      <w:r>
        <w:rPr>
          <w:rFonts w:hint="eastAsia"/>
        </w:rPr>
        <w:t>比索）要高得多（亚洲开发银行</w:t>
      </w:r>
      <w:r>
        <w:rPr>
          <w:rFonts w:hint="eastAsia"/>
        </w:rPr>
        <w:t>/</w:t>
      </w:r>
      <w:r>
        <w:rPr>
          <w:rFonts w:hint="eastAsia"/>
        </w:rPr>
        <w:t>世界银行，</w:t>
      </w:r>
      <w:r>
        <w:rPr>
          <w:rFonts w:hint="eastAsia"/>
        </w:rPr>
        <w:t>1999</w:t>
      </w:r>
      <w:r>
        <w:rPr>
          <w:rFonts w:hint="eastAsia"/>
        </w:rPr>
        <w:t>年）。</w:t>
      </w:r>
    </w:p>
    <w:p w:rsidR="00000000" w:rsidRDefault="00821B8F">
      <w:pPr>
        <w:pStyle w:val="List2"/>
        <w:numPr>
          <w:ilvl w:val="1"/>
          <w:numId w:val="1371"/>
        </w:numPr>
        <w:tabs>
          <w:tab w:val="clear" w:pos="840"/>
          <w:tab w:val="num" w:pos="1080"/>
        </w:tabs>
        <w:spacing w:after="120" w:line="360" w:lineRule="exact"/>
        <w:ind w:leftChars="0" w:left="1080" w:firstLineChars="0" w:hanging="480"/>
        <w:rPr>
          <w:rFonts w:hint="eastAsia"/>
        </w:rPr>
      </w:pPr>
      <w:r>
        <w:rPr>
          <w:rFonts w:hint="eastAsia"/>
        </w:rPr>
        <w:t>菲律宾妇女研究学会——妇女研究从业人员的专业组织——于</w:t>
      </w:r>
      <w:r>
        <w:rPr>
          <w:rFonts w:hint="eastAsia"/>
        </w:rPr>
        <w:t>2001</w:t>
      </w:r>
      <w:r>
        <w:rPr>
          <w:rFonts w:hint="eastAsia"/>
        </w:rPr>
        <w:t>年</w:t>
      </w:r>
      <w:r>
        <w:rPr>
          <w:rFonts w:hint="eastAsia"/>
        </w:rPr>
        <w:t>7</w:t>
      </w:r>
      <w:r>
        <w:rPr>
          <w:rFonts w:hint="eastAsia"/>
        </w:rPr>
        <w:t>月举行了一次会议，会上阐明高中指导顾问是如何促成高等教育课程中的性别陈规定型观念的。会上还指出，在基本教育阶段，教</w:t>
      </w:r>
      <w:r>
        <w:rPr>
          <w:rFonts w:hint="eastAsia"/>
        </w:rPr>
        <w:t>材和课堂活动不但在影响职业选择的性别角色方面，而且在使男女生之间的同学骚扰正常化的两性关系方面，都加强了陈规定型观念。</w:t>
      </w:r>
    </w:p>
    <w:p w:rsidR="00000000" w:rsidRDefault="00821B8F">
      <w:pPr>
        <w:pStyle w:val="BodyText"/>
        <w:spacing w:after="120" w:line="360" w:lineRule="exact"/>
        <w:rPr>
          <w:rFonts w:eastAsia="KaiTi_GB2312" w:hint="eastAsia"/>
          <w:b/>
          <w:bCs/>
          <w:color w:val="0000FF"/>
          <w:sz w:val="21"/>
        </w:rPr>
      </w:pPr>
      <w:r>
        <w:rPr>
          <w:rFonts w:eastAsia="KaiTi_GB2312" w:hint="eastAsia"/>
          <w:b/>
          <w:bCs/>
          <w:color w:val="0000FF"/>
          <w:sz w:val="21"/>
        </w:rPr>
        <w:t>技术和职业教育</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技术教育和技能发展管理局负责管理全国的技术职业教育和培训。技术职业教育和培训工作包括：学校培训；非正规培训中心（技能发展）教育；行业培训；以及社区的部门培训。基于学校的培训系统为接受了全部中学教育的男女提供一至三年的课程。该系统以私立学校为主，约占毕业生的</w:t>
      </w:r>
      <w:r>
        <w:rPr>
          <w:rFonts w:hint="eastAsia"/>
        </w:rPr>
        <w:t>90%</w:t>
      </w:r>
      <w:r>
        <w:rPr>
          <w:rFonts w:hint="eastAsia"/>
        </w:rPr>
        <w:t>。非正规教育为包括正在试图成为劳动力的辍学青年和妇女在内的广大顾客提供各种课程和培训。行业培训和行业伙伴关系指现</w:t>
      </w:r>
      <w:r>
        <w:rPr>
          <w:rFonts w:hint="eastAsia"/>
        </w:rPr>
        <w:t>有的一系列培训安排。基于社区的这一部分主要是提供生计和创业培训。</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技术教育和技能发展管理局所属的省级培训中心和合格培训单位组成的全国网络向辍学青年、失业者及就业妇女提供技能培训课程。技术教育和技能发展管理局网络每年招生达</w:t>
      </w:r>
      <w:r>
        <w:rPr>
          <w:rFonts w:hint="eastAsia"/>
        </w:rPr>
        <w:t>15</w:t>
      </w:r>
      <w:r>
        <w:rPr>
          <w:rFonts w:hint="eastAsia"/>
        </w:rPr>
        <w:t>万人以上（劳动和就业统计局，</w:t>
      </w:r>
      <w:r>
        <w:rPr>
          <w:rFonts w:hint="eastAsia"/>
        </w:rPr>
        <w:t>2000</w:t>
      </w:r>
      <w:r>
        <w:rPr>
          <w:rFonts w:hint="eastAsia"/>
        </w:rPr>
        <w:t>年）。妇女占正规培训方案注册和毕业人数的</w:t>
      </w:r>
      <w:r>
        <w:rPr>
          <w:rFonts w:hint="eastAsia"/>
        </w:rPr>
        <w:t>40%</w:t>
      </w:r>
      <w:r>
        <w:rPr>
          <w:rFonts w:hint="eastAsia"/>
        </w:rPr>
        <w:t>。其非正规培训方案已经开始吸纳更多的妇女参加。</w:t>
      </w:r>
      <w:r>
        <w:rPr>
          <w:rFonts w:hint="eastAsia"/>
        </w:rPr>
        <w:t>1997</w:t>
      </w:r>
      <w:r>
        <w:rPr>
          <w:rFonts w:hint="eastAsia"/>
        </w:rPr>
        <w:t>年，妇女占注册总数的</w:t>
      </w:r>
      <w:r>
        <w:rPr>
          <w:rFonts w:hint="eastAsia"/>
        </w:rPr>
        <w:t>45%</w:t>
      </w:r>
      <w:r>
        <w:rPr>
          <w:rFonts w:hint="eastAsia"/>
        </w:rPr>
        <w:t>，</w:t>
      </w:r>
      <w:r>
        <w:rPr>
          <w:rFonts w:hint="eastAsia"/>
        </w:rPr>
        <w:t>1998</w:t>
      </w:r>
      <w:r>
        <w:rPr>
          <w:rFonts w:hint="eastAsia"/>
        </w:rPr>
        <w:t>年，该比例增至</w:t>
      </w:r>
      <w:r>
        <w:rPr>
          <w:rFonts w:hint="eastAsia"/>
        </w:rPr>
        <w:t>64%</w:t>
      </w:r>
      <w:r>
        <w:rPr>
          <w:rFonts w:hint="eastAsia"/>
        </w:rPr>
        <w:t>，不过</w:t>
      </w:r>
      <w:r>
        <w:rPr>
          <w:rFonts w:hint="eastAsia"/>
        </w:rPr>
        <w:t>1999</w:t>
      </w:r>
      <w:r>
        <w:rPr>
          <w:rFonts w:hint="eastAsia"/>
        </w:rPr>
        <w:t>年又回落至</w:t>
      </w:r>
      <w:r>
        <w:rPr>
          <w:rFonts w:hint="eastAsia"/>
        </w:rPr>
        <w:t>59%</w:t>
      </w:r>
      <w:r>
        <w:rPr>
          <w:rFonts w:hint="eastAsia"/>
        </w:rPr>
        <w:t>。在全部注册人数当中，</w:t>
      </w:r>
      <w:r>
        <w:rPr>
          <w:rFonts w:hint="eastAsia"/>
        </w:rPr>
        <w:t>1998</w:t>
      </w:r>
      <w:r>
        <w:rPr>
          <w:rFonts w:hint="eastAsia"/>
        </w:rPr>
        <w:t>年男女生的毕业率从上一年</w:t>
      </w:r>
      <w:r>
        <w:rPr>
          <w:rFonts w:hint="eastAsia"/>
        </w:rPr>
        <w:t>66%</w:t>
      </w:r>
      <w:r>
        <w:rPr>
          <w:rFonts w:hint="eastAsia"/>
        </w:rPr>
        <w:t>的高</w:t>
      </w:r>
      <w:r>
        <w:rPr>
          <w:rFonts w:hint="eastAsia"/>
        </w:rPr>
        <w:t>比率骤然下跌至</w:t>
      </w:r>
      <w:r>
        <w:rPr>
          <w:rFonts w:hint="eastAsia"/>
        </w:rPr>
        <w:t>17%</w:t>
      </w:r>
      <w:r>
        <w:rPr>
          <w:rFonts w:hint="eastAsia"/>
        </w:rPr>
        <w:t>。</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截至</w:t>
      </w:r>
      <w:r>
        <w:rPr>
          <w:rFonts w:hint="eastAsia"/>
          <w:color w:val="000000"/>
        </w:rPr>
        <w:t>2001</w:t>
      </w:r>
      <w:r>
        <w:rPr>
          <w:rFonts w:hint="eastAsia"/>
          <w:color w:val="000000"/>
        </w:rPr>
        <w:t>年，妇女占技术职业教育和培训机构注册人数的</w:t>
      </w:r>
      <w:r>
        <w:rPr>
          <w:rFonts w:hint="eastAsia"/>
          <w:color w:val="000000"/>
        </w:rPr>
        <w:t>40%</w:t>
      </w:r>
      <w:r>
        <w:rPr>
          <w:rFonts w:hint="eastAsia"/>
          <w:color w:val="000000"/>
        </w:rPr>
        <w:t>。</w:t>
      </w:r>
      <w:r>
        <w:rPr>
          <w:rFonts w:hint="eastAsia"/>
          <w:color w:val="000000"/>
        </w:rPr>
        <w:t>2003</w:t>
      </w:r>
      <w:r>
        <w:rPr>
          <w:rFonts w:hint="eastAsia"/>
          <w:color w:val="000000"/>
        </w:rPr>
        <w:t>年，妇女占技术职业教育和培训注册和毕业人数的</w:t>
      </w:r>
      <w:r>
        <w:rPr>
          <w:rFonts w:hint="eastAsia"/>
          <w:color w:val="000000"/>
        </w:rPr>
        <w:t>53%</w:t>
      </w:r>
      <w:r>
        <w:rPr>
          <w:rFonts w:hint="eastAsia"/>
          <w:color w:val="000000"/>
        </w:rPr>
        <w:t>。这个数字高于大多数国家，但依然低于平均水平。另外，该数字起码掩盖了两个性别问题。大多数妇女集中在传统的培训科目，如缝纫、工艺美术和食品加工服务，这些工作一般薪酬都很低。另外，只有极少数妇女在完成学业之后参加全国行业考试。</w:t>
      </w:r>
      <w:r>
        <w:rPr>
          <w:rFonts w:hint="eastAsia"/>
          <w:color w:val="000000"/>
        </w:rPr>
        <w:t>1998</w:t>
      </w:r>
      <w:r>
        <w:rPr>
          <w:rFonts w:hint="eastAsia"/>
          <w:color w:val="000000"/>
        </w:rPr>
        <w:t>年，大约有</w:t>
      </w:r>
      <w:r>
        <w:rPr>
          <w:rFonts w:hint="eastAsia"/>
          <w:color w:val="000000"/>
        </w:rPr>
        <w:t>7 400</w:t>
      </w:r>
      <w:r>
        <w:rPr>
          <w:rFonts w:hint="eastAsia"/>
          <w:color w:val="000000"/>
        </w:rPr>
        <w:t>名妇女参加了考试，相比之下，应试的男子多达</w:t>
      </w:r>
      <w:r>
        <w:rPr>
          <w:rFonts w:hint="eastAsia"/>
          <w:color w:val="000000"/>
        </w:rPr>
        <w:t>26 700</w:t>
      </w:r>
      <w:r>
        <w:rPr>
          <w:rFonts w:hint="eastAsia"/>
          <w:color w:val="000000"/>
        </w:rPr>
        <w:t>人。只有</w:t>
      </w:r>
      <w:r>
        <w:rPr>
          <w:rFonts w:hint="eastAsia"/>
          <w:color w:val="000000"/>
        </w:rPr>
        <w:t>33%</w:t>
      </w:r>
      <w:r>
        <w:rPr>
          <w:rFonts w:hint="eastAsia"/>
          <w:color w:val="000000"/>
        </w:rPr>
        <w:t>的妇女通过了行业考试，而男子的合格率为</w:t>
      </w:r>
      <w:r>
        <w:rPr>
          <w:rFonts w:hint="eastAsia"/>
          <w:color w:val="000000"/>
        </w:rPr>
        <w:t>39%</w:t>
      </w:r>
      <w:r>
        <w:rPr>
          <w:rFonts w:hint="eastAsia"/>
          <w:color w:val="000000"/>
        </w:rPr>
        <w:t>。这</w:t>
      </w:r>
      <w:r>
        <w:rPr>
          <w:rFonts w:hint="eastAsia"/>
          <w:color w:val="000000"/>
        </w:rPr>
        <w:t>个问题的部分原因在于劳动力市场的性别隔离，这使得妇女在劳动力市场上的不平等收入永久不变（见第十一条下的讨论）。另一个原因是，妇女参加培训的某些方案没有行业考试，如烹饪、缝纫等。</w:t>
      </w:r>
    </w:p>
    <w:p w:rsidR="00000000" w:rsidRDefault="00821B8F">
      <w:pPr>
        <w:pStyle w:val="H1"/>
        <w:rPr>
          <w:rFonts w:hint="eastAsia"/>
        </w:rPr>
      </w:pPr>
      <w:r>
        <w:t xml:space="preserve">B. </w:t>
      </w:r>
      <w:r>
        <w:rPr>
          <w:rFonts w:hint="eastAsia"/>
        </w:rPr>
        <w:t>采取的行动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为了应对教育部门的性别问题，政府提出了各种政策和方案举措。另外，各种非政府团体，如私立教育机构、非政府组织和专业团体也发起了各种方案和项目，旨在增加妇女和女孩的教育机会并改善有利于妇女和女孩的教育环境。</w:t>
      </w:r>
    </w:p>
    <w:p w:rsidR="00000000" w:rsidRDefault="00821B8F">
      <w:pPr>
        <w:pStyle w:val="ListContinue2"/>
        <w:spacing w:line="360" w:lineRule="exact"/>
        <w:ind w:leftChars="0" w:left="0"/>
        <w:rPr>
          <w:rFonts w:eastAsia="KaiTi_GB2312" w:hint="eastAsia"/>
          <w:color w:val="0000FF"/>
        </w:rPr>
      </w:pPr>
      <w:r>
        <w:rPr>
          <w:rFonts w:eastAsia="KaiTi_GB2312" w:hint="eastAsia"/>
          <w:color w:val="0000FF"/>
        </w:rPr>
        <w:t>政策发展态势</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为了增加科学技术专业的注册人数，菲律宾国会通过了第</w:t>
      </w:r>
      <w:r>
        <w:rPr>
          <w:rFonts w:hint="eastAsia"/>
        </w:rPr>
        <w:t>8248</w:t>
      </w:r>
      <w:r>
        <w:rPr>
          <w:rFonts w:hint="eastAsia"/>
        </w:rPr>
        <w:t>号共和国法令，即《</w:t>
      </w:r>
      <w:r>
        <w:rPr>
          <w:rFonts w:hint="eastAsia"/>
        </w:rPr>
        <w:t>1997</w:t>
      </w:r>
      <w:r>
        <w:rPr>
          <w:rFonts w:hint="eastAsia"/>
        </w:rPr>
        <w:t>年科学技术</w:t>
      </w:r>
      <w:r>
        <w:rPr>
          <w:rFonts w:hint="eastAsia"/>
        </w:rPr>
        <w:t>奖学金法》。该法令的目的是扩大和提升男女追求科技生涯的机会。</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w:t>
      </w:r>
      <w:r>
        <w:rPr>
          <w:rFonts w:hint="eastAsia"/>
        </w:rPr>
        <w:t>2001</w:t>
      </w:r>
      <w:r>
        <w:rPr>
          <w:rFonts w:hint="eastAsia"/>
        </w:rPr>
        <w:t>年国家公职培训方案法》（第</w:t>
      </w:r>
      <w:r>
        <w:rPr>
          <w:rFonts w:hint="eastAsia"/>
        </w:rPr>
        <w:t>9163</w:t>
      </w:r>
      <w:r>
        <w:rPr>
          <w:rFonts w:hint="eastAsia"/>
        </w:rPr>
        <w:t>号共和国法令）将高等教育中的军事训练（即“后备军官训练团”或</w:t>
      </w:r>
      <w:r>
        <w:rPr>
          <w:rFonts w:hint="eastAsia"/>
        </w:rPr>
        <w:t>ROTC</w:t>
      </w:r>
      <w:r>
        <w:rPr>
          <w:rFonts w:hint="eastAsia"/>
        </w:rPr>
        <w:t>）确定为从</w:t>
      </w:r>
      <w:r>
        <w:rPr>
          <w:rFonts w:hint="eastAsia"/>
        </w:rPr>
        <w:t>2002-2003</w:t>
      </w:r>
      <w:r>
        <w:rPr>
          <w:rFonts w:hint="eastAsia"/>
        </w:rPr>
        <w:t>学年开始男女生可以选择的三项毕业要求之一。另外两项要求是“公民福利培训业务”和“识字培训业务”。</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菲律宾参议院收到的几项议案涉及向妇女授予奖学金或财政援助。第</w:t>
      </w:r>
      <w:r>
        <w:rPr>
          <w:rFonts w:hint="eastAsia"/>
        </w:rPr>
        <w:t>764</w:t>
      </w:r>
      <w:r>
        <w:rPr>
          <w:rFonts w:hint="eastAsia"/>
        </w:rPr>
        <w:t>、第</w:t>
      </w:r>
      <w:r>
        <w:rPr>
          <w:rFonts w:hint="eastAsia"/>
        </w:rPr>
        <w:t>1104</w:t>
      </w:r>
      <w:r>
        <w:rPr>
          <w:rFonts w:hint="eastAsia"/>
        </w:rPr>
        <w:t>、第</w:t>
      </w:r>
      <w:r>
        <w:rPr>
          <w:rFonts w:hint="eastAsia"/>
        </w:rPr>
        <w:t>1108</w:t>
      </w:r>
      <w:r>
        <w:rPr>
          <w:rFonts w:hint="eastAsia"/>
        </w:rPr>
        <w:t>和第</w:t>
      </w:r>
      <w:r>
        <w:rPr>
          <w:rFonts w:hint="eastAsia"/>
        </w:rPr>
        <w:t>1247</w:t>
      </w:r>
      <w:r>
        <w:rPr>
          <w:rFonts w:hint="eastAsia"/>
        </w:rPr>
        <w:t>号参议院议案谋求通过向妇女提供运动员奖学金课程和专业比赛同等奖金的措施，在体育领域为妇女提供与男子平等的机</w:t>
      </w:r>
      <w:r>
        <w:rPr>
          <w:rFonts w:hint="eastAsia"/>
        </w:rPr>
        <w:t>会。同时，第</w:t>
      </w:r>
      <w:r>
        <w:rPr>
          <w:rFonts w:hint="eastAsia"/>
        </w:rPr>
        <w:t>601</w:t>
      </w:r>
      <w:r>
        <w:rPr>
          <w:rFonts w:hint="eastAsia"/>
        </w:rPr>
        <w:t>和第</w:t>
      </w:r>
      <w:r>
        <w:rPr>
          <w:rFonts w:hint="eastAsia"/>
        </w:rPr>
        <w:t>1248</w:t>
      </w:r>
      <w:r>
        <w:rPr>
          <w:rFonts w:hint="eastAsia"/>
        </w:rPr>
        <w:t>号参议院议案旨在通过向妇女提供创业援助和机会，提高妇女的能力、改善她们的福利、挖掘她们的潜能及增加她们的教育机会。</w:t>
      </w:r>
    </w:p>
    <w:p w:rsidR="00000000" w:rsidRDefault="00821B8F">
      <w:pPr>
        <w:pStyle w:val="ListContinue2"/>
        <w:spacing w:line="360" w:lineRule="exact"/>
        <w:ind w:leftChars="0" w:left="0"/>
        <w:rPr>
          <w:rFonts w:hint="eastAsia"/>
          <w:u w:val="single"/>
        </w:rPr>
      </w:pPr>
      <w:r>
        <w:rPr>
          <w:rFonts w:hint="eastAsia"/>
          <w:u w:val="single"/>
        </w:rPr>
        <w:t>方案发展态势：政府</w:t>
      </w:r>
    </w:p>
    <w:p w:rsidR="00000000" w:rsidRDefault="00821B8F">
      <w:pPr>
        <w:pStyle w:val="ListContinue2"/>
        <w:spacing w:line="360" w:lineRule="exact"/>
        <w:ind w:leftChars="0" w:left="0"/>
        <w:rPr>
          <w:rFonts w:eastAsia="KaiTi_GB2312" w:hint="eastAsia"/>
          <w:iCs/>
          <w:color w:val="0000FF"/>
        </w:rPr>
      </w:pPr>
      <w:r>
        <w:rPr>
          <w:rFonts w:eastAsia="KaiTi_GB2312" w:hint="eastAsia"/>
          <w:iCs/>
          <w:color w:val="0000FF"/>
        </w:rPr>
        <w:t>正规教育</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为了向菲律宾人民提供教育服务，教育部坚持不懈地探索各种手段，通过教育改革、替代性授课方式、基于社区的培训方案、以及与社区机构和非政府组织建立合作伙伴关系，最大限度地增加其教育资源。它还吸纳了与性别有关的专题或模块，并将采用教具以便将性别专题纳入相关的学习领域。具体地说，</w:t>
      </w:r>
    </w:p>
    <w:p w:rsidR="00000000" w:rsidRDefault="00821B8F">
      <w:pPr>
        <w:pStyle w:val="List3"/>
        <w:numPr>
          <w:ilvl w:val="0"/>
          <w:numId w:val="1369"/>
        </w:numPr>
        <w:tabs>
          <w:tab w:val="clear" w:pos="841"/>
          <w:tab w:val="num" w:pos="1080"/>
        </w:tabs>
        <w:spacing w:after="120" w:line="360" w:lineRule="exact"/>
        <w:ind w:leftChars="0" w:left="1080" w:firstLineChars="0" w:hanging="480"/>
        <w:rPr>
          <w:rFonts w:hint="eastAsia"/>
        </w:rPr>
      </w:pPr>
      <w:r>
        <w:rPr>
          <w:rFonts w:hint="eastAsia"/>
        </w:rPr>
        <w:t>初等教育局将人权和性教育科目或模块纳入教学大纲。</w:t>
      </w:r>
    </w:p>
    <w:p w:rsidR="00000000" w:rsidRDefault="00821B8F">
      <w:pPr>
        <w:pStyle w:val="List3"/>
        <w:numPr>
          <w:ilvl w:val="0"/>
          <w:numId w:val="1369"/>
        </w:numPr>
        <w:tabs>
          <w:tab w:val="clear" w:pos="841"/>
          <w:tab w:val="num" w:pos="1080"/>
        </w:tabs>
        <w:spacing w:after="120" w:line="360" w:lineRule="exact"/>
        <w:ind w:leftChars="0" w:left="1080" w:firstLineChars="0" w:hanging="480"/>
        <w:rPr>
          <w:rFonts w:hint="eastAsia"/>
        </w:rPr>
      </w:pPr>
      <w:r>
        <w:rPr>
          <w:rFonts w:hint="eastAsia"/>
        </w:rPr>
        <w:t>教育部还印发</w:t>
      </w:r>
      <w:r>
        <w:rPr>
          <w:rFonts w:hint="eastAsia"/>
        </w:rPr>
        <w:t>了载有初高中课程计划范例的《教师指南》，其中，根据</w:t>
      </w:r>
      <w:r>
        <w:rPr>
          <w:rFonts w:hint="eastAsia"/>
        </w:rPr>
        <w:t>2002</w:t>
      </w:r>
      <w:r>
        <w:rPr>
          <w:rFonts w:hint="eastAsia"/>
        </w:rPr>
        <w:t>年修订的教学大纲，把性别问题纳入了如下五个学习领域：英语、科学、数学、菲律宾语和</w:t>
      </w:r>
      <w:r>
        <w:rPr>
          <w:rFonts w:hint="eastAsia"/>
          <w:i/>
        </w:rPr>
        <w:t>Makabayan</w:t>
      </w:r>
      <w:r>
        <w:rPr>
          <w:rFonts w:hint="eastAsia"/>
        </w:rPr>
        <w:t>（社会研究、历史、艺术、技术和家政学）。该《指南》已在几个省试用，并在</w:t>
      </w:r>
      <w:r>
        <w:rPr>
          <w:rFonts w:hint="eastAsia"/>
        </w:rPr>
        <w:t>2002-2003</w:t>
      </w:r>
      <w:r>
        <w:rPr>
          <w:rFonts w:hint="eastAsia"/>
        </w:rPr>
        <w:t>学年重印发行。</w:t>
      </w:r>
    </w:p>
    <w:p w:rsidR="00000000" w:rsidRDefault="00821B8F">
      <w:pPr>
        <w:pStyle w:val="List3"/>
        <w:numPr>
          <w:ilvl w:val="0"/>
          <w:numId w:val="1369"/>
        </w:numPr>
        <w:tabs>
          <w:tab w:val="clear" w:pos="841"/>
          <w:tab w:val="num" w:pos="1080"/>
        </w:tabs>
        <w:spacing w:after="120" w:line="360" w:lineRule="exact"/>
        <w:ind w:leftChars="0" w:left="1080" w:firstLineChars="0" w:hanging="480"/>
        <w:rPr>
          <w:rFonts w:hint="eastAsia"/>
        </w:rPr>
      </w:pPr>
      <w:r>
        <w:rPr>
          <w:rFonts w:hint="eastAsia"/>
        </w:rPr>
        <w:t>与性别与发展有关的专题，尤其是对妇女的暴力，已经纳入菲律宾一所主要医科大学的医学课程中。在这一开拓性努力的带动下，现在正与高等教育委员会协商，以便将处理对妇女暴力案件纳入各医学院校的课程中。</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教育部还评估了所有各级的教科书和教学材料是否对性别问题有敏</w:t>
      </w:r>
      <w:r>
        <w:rPr>
          <w:rFonts w:hint="eastAsia"/>
        </w:rPr>
        <w:t>感认识：</w:t>
      </w:r>
    </w:p>
    <w:p w:rsidR="00000000" w:rsidRDefault="00821B8F">
      <w:pPr>
        <w:pStyle w:val="List3"/>
        <w:numPr>
          <w:ilvl w:val="0"/>
          <w:numId w:val="1368"/>
        </w:numPr>
        <w:tabs>
          <w:tab w:val="clear" w:pos="840"/>
          <w:tab w:val="num" w:pos="1080"/>
        </w:tabs>
        <w:spacing w:after="120" w:line="360" w:lineRule="exact"/>
        <w:ind w:leftChars="0" w:left="1080" w:firstLineChars="0" w:hanging="480"/>
        <w:rPr>
          <w:rFonts w:hint="eastAsia"/>
        </w:rPr>
      </w:pPr>
      <w:r>
        <w:rPr>
          <w:rFonts w:hint="eastAsia"/>
        </w:rPr>
        <w:t>在初等教育一级，教育部评估了公立学校使用的新一代教科书，以使教科书对性别问题更具敏感认识，从而帮助提高女孩的自我形象、生活质量和工作机会，特别是在传统上其代表不足的专业领域，如数学、科学和技术领域。有一个用来评价教科书和教材的性别指标，这就是看教科书的课文和插图中所用的材料是否合适，在角色、职业和贡献方面是否做到了“性别均衡”。</w:t>
      </w:r>
      <w:r>
        <w:rPr>
          <w:rFonts w:hint="eastAsia"/>
        </w:rPr>
        <w:t>1996</w:t>
      </w:r>
      <w:r>
        <w:rPr>
          <w:rFonts w:hint="eastAsia"/>
        </w:rPr>
        <w:t>至</w:t>
      </w:r>
      <w:r>
        <w:rPr>
          <w:rFonts w:hint="eastAsia"/>
        </w:rPr>
        <w:t>1999</w:t>
      </w:r>
      <w:r>
        <w:rPr>
          <w:rFonts w:hint="eastAsia"/>
        </w:rPr>
        <w:t>年，公立学校的</w:t>
      </w:r>
      <w:r>
        <w:rPr>
          <w:rFonts w:hint="eastAsia"/>
        </w:rPr>
        <w:t>6-12</w:t>
      </w:r>
      <w:r>
        <w:rPr>
          <w:rFonts w:hint="eastAsia"/>
        </w:rPr>
        <w:t>岁儿童使用了私人出版商提供的经过评价的教科书清单。在</w:t>
      </w:r>
      <w:r>
        <w:rPr>
          <w:rFonts w:hint="eastAsia"/>
        </w:rPr>
        <w:t>2000-2001</w:t>
      </w:r>
      <w:r>
        <w:rPr>
          <w:rFonts w:hint="eastAsia"/>
        </w:rPr>
        <w:t>年评价的小学英语、科学、数学和</w:t>
      </w:r>
      <w:r>
        <w:rPr>
          <w:rFonts w:hint="eastAsia"/>
          <w:i/>
          <w:color w:val="0000FF"/>
        </w:rPr>
        <w:t>Sibika/Hekasi</w:t>
      </w:r>
      <w:r>
        <w:rPr>
          <w:rFonts w:hint="eastAsia"/>
        </w:rPr>
        <w:t>课本当</w:t>
      </w:r>
      <w:r>
        <w:rPr>
          <w:rFonts w:hint="eastAsia"/>
        </w:rPr>
        <w:t>中，大约有</w:t>
      </w:r>
      <w:r>
        <w:rPr>
          <w:rFonts w:hint="eastAsia"/>
        </w:rPr>
        <w:t>67</w:t>
      </w:r>
      <w:r>
        <w:rPr>
          <w:rFonts w:hint="eastAsia"/>
        </w:rPr>
        <w:t>本（占被评价教科书总数的</w:t>
      </w:r>
      <w:r>
        <w:rPr>
          <w:rFonts w:hint="eastAsia"/>
        </w:rPr>
        <w:t>71%</w:t>
      </w:r>
      <w:r>
        <w:rPr>
          <w:rFonts w:hint="eastAsia"/>
        </w:rPr>
        <w:t>）获得批准，或者被认定为适当地对性别问题具有敏感认识。第二年，获得批准的小学课本总共有</w:t>
      </w:r>
      <w:r>
        <w:rPr>
          <w:rFonts w:hint="eastAsia"/>
        </w:rPr>
        <w:t>96</w:t>
      </w:r>
      <w:r>
        <w:rPr>
          <w:rFonts w:hint="eastAsia"/>
        </w:rPr>
        <w:t>本（占总数的</w:t>
      </w:r>
      <w:r>
        <w:rPr>
          <w:rFonts w:hint="eastAsia"/>
        </w:rPr>
        <w:t>66%</w:t>
      </w:r>
      <w:r>
        <w:rPr>
          <w:rFonts w:hint="eastAsia"/>
        </w:rPr>
        <w:t>）。对于高中英语、科技、数学、菲律宾语和</w:t>
      </w:r>
      <w:r>
        <w:rPr>
          <w:rFonts w:hint="eastAsia"/>
          <w:i/>
        </w:rPr>
        <w:t>Araling Panlipunan</w:t>
      </w:r>
      <w:r>
        <w:rPr>
          <w:rFonts w:hint="eastAsia"/>
        </w:rPr>
        <w:t>（社会研究）课本，教育部只批准了小部分接受评价的课本：</w:t>
      </w:r>
      <w:r>
        <w:rPr>
          <w:rFonts w:hint="eastAsia"/>
        </w:rPr>
        <w:t>2000-2001</w:t>
      </w:r>
      <w:r>
        <w:rPr>
          <w:rFonts w:hint="eastAsia"/>
        </w:rPr>
        <w:t>年占</w:t>
      </w:r>
      <w:r>
        <w:rPr>
          <w:rFonts w:hint="eastAsia"/>
        </w:rPr>
        <w:t>47%</w:t>
      </w:r>
      <w:r>
        <w:rPr>
          <w:rFonts w:hint="eastAsia"/>
        </w:rPr>
        <w:t>（总共</w:t>
      </w:r>
      <w:r>
        <w:rPr>
          <w:rFonts w:hint="eastAsia"/>
        </w:rPr>
        <w:t>16</w:t>
      </w:r>
      <w:r>
        <w:rPr>
          <w:rFonts w:hint="eastAsia"/>
        </w:rPr>
        <w:t>本）；</w:t>
      </w:r>
      <w:r>
        <w:rPr>
          <w:rFonts w:hint="eastAsia"/>
        </w:rPr>
        <w:t>2001-2002</w:t>
      </w:r>
      <w:r>
        <w:rPr>
          <w:rFonts w:hint="eastAsia"/>
        </w:rPr>
        <w:t>年占</w:t>
      </w:r>
      <w:r>
        <w:rPr>
          <w:rFonts w:hint="eastAsia"/>
        </w:rPr>
        <w:t>38%</w:t>
      </w:r>
      <w:r>
        <w:rPr>
          <w:rFonts w:hint="eastAsia"/>
        </w:rPr>
        <w:t>（总共</w:t>
      </w:r>
      <w:r>
        <w:rPr>
          <w:rFonts w:hint="eastAsia"/>
        </w:rPr>
        <w:t>40</w:t>
      </w:r>
      <w:r>
        <w:rPr>
          <w:rFonts w:hint="eastAsia"/>
        </w:rPr>
        <w:t>本）。此外，教育部还把人权和性教育专题</w:t>
      </w:r>
      <w:r>
        <w:rPr>
          <w:rFonts w:hint="eastAsia"/>
        </w:rPr>
        <w:t>/</w:t>
      </w:r>
      <w:r>
        <w:rPr>
          <w:rFonts w:hint="eastAsia"/>
        </w:rPr>
        <w:t>模块纳入教学大纲。</w:t>
      </w:r>
    </w:p>
    <w:p w:rsidR="00000000" w:rsidRDefault="00821B8F">
      <w:pPr>
        <w:pStyle w:val="List3"/>
        <w:numPr>
          <w:ilvl w:val="0"/>
          <w:numId w:val="1368"/>
        </w:numPr>
        <w:tabs>
          <w:tab w:val="clear" w:pos="840"/>
          <w:tab w:val="num" w:pos="1080"/>
        </w:tabs>
        <w:spacing w:after="120" w:line="360" w:lineRule="exact"/>
        <w:ind w:leftChars="0" w:left="1080" w:firstLineChars="0" w:hanging="480"/>
        <w:rPr>
          <w:rFonts w:hint="eastAsia"/>
        </w:rPr>
      </w:pPr>
      <w:r>
        <w:rPr>
          <w:rFonts w:hint="eastAsia"/>
        </w:rPr>
        <w:t>教育部与菲律宾大学司法行政研究所合作，围绕如何创建具有保护性、包容性且对性别问题有敏感认</w:t>
      </w:r>
      <w:r>
        <w:rPr>
          <w:rFonts w:hint="eastAsia"/>
        </w:rPr>
        <w:t>识同时有益于儿童的学校这一主题，对各地区的试点公立学校推选的教师、辅导员、行政管理人员和督学进行培训。</w:t>
      </w:r>
    </w:p>
    <w:p w:rsidR="00000000" w:rsidRDefault="00821B8F">
      <w:pPr>
        <w:pStyle w:val="List3"/>
        <w:numPr>
          <w:ilvl w:val="0"/>
          <w:numId w:val="1368"/>
        </w:numPr>
        <w:tabs>
          <w:tab w:val="clear" w:pos="840"/>
          <w:tab w:val="num" w:pos="1080"/>
        </w:tabs>
        <w:spacing w:after="120" w:line="360" w:lineRule="exact"/>
        <w:ind w:leftChars="0" w:left="1080" w:firstLineChars="0" w:hanging="480"/>
        <w:rPr>
          <w:rFonts w:hint="eastAsia"/>
        </w:rPr>
      </w:pPr>
      <w:r>
        <w:rPr>
          <w:rFonts w:hint="eastAsia"/>
        </w:rPr>
        <w:t>高等教育围绕性别问题进行的改革在各国立大专院校的性别与发展协调中心中开展，如审查教科书、课程设置、教学材料和教学方法以对性别问题具有敏感认识。高等教育委员会继续监测将性别观点纳入主流的教学大纲实施情况及将性别与发展概念纳入选定科目课程中的情况。</w:t>
      </w:r>
    </w:p>
    <w:p w:rsidR="00000000" w:rsidRDefault="00821B8F">
      <w:pPr>
        <w:pStyle w:val="BodyText"/>
        <w:spacing w:after="120" w:line="360" w:lineRule="exact"/>
        <w:rPr>
          <w:rFonts w:eastAsia="KaiTi_GB2312" w:hint="eastAsia"/>
          <w:iCs/>
          <w:color w:val="0000FF"/>
          <w:sz w:val="21"/>
        </w:rPr>
      </w:pPr>
      <w:r>
        <w:rPr>
          <w:rFonts w:eastAsia="KaiTi_GB2312" w:hint="eastAsia"/>
          <w:iCs/>
          <w:color w:val="0000FF"/>
          <w:sz w:val="21"/>
        </w:rPr>
        <w:t>体育运动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在体育运动领域，妇女参与方面的进展不大。菲律宾体育委员会的五年部门计划提到制定一项宏伟的综合体育计划的必要性，以便在农村地区的平民百姓当中物色和培养运</w:t>
      </w:r>
      <w:r>
        <w:rPr>
          <w:rFonts w:hint="eastAsia"/>
        </w:rPr>
        <w:t>动员，其中部分上涉及女运动员和青年问题。该计划的目标之一是促进两性平等，归纳了诸如利用女性角色样板、妇女体育战略、各种出版物的性别均衡、以及妇女的替代性俱乐部比赛方案等战略。</w:t>
      </w:r>
    </w:p>
    <w:p w:rsidR="00000000" w:rsidRDefault="00821B8F">
      <w:pPr>
        <w:pStyle w:val="BodyText"/>
        <w:spacing w:after="120" w:line="360" w:lineRule="exact"/>
        <w:rPr>
          <w:rFonts w:eastAsia="KaiTi_GB2312" w:hint="eastAsia"/>
          <w:iCs/>
          <w:color w:val="0000FF"/>
          <w:sz w:val="21"/>
        </w:rPr>
      </w:pPr>
      <w:r>
        <w:rPr>
          <w:rFonts w:eastAsia="KaiTi_GB2312" w:hint="eastAsia"/>
          <w:iCs/>
          <w:color w:val="0000FF"/>
          <w:sz w:val="21"/>
        </w:rPr>
        <w:t>成人教育和在职进修</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教育部执行了阅读教育培训方案，这是对男女开放的成人识字方案，对学员分别进行初等、中等和非正规教育级别的阅读训练。该方案首先通过培训员或阅读教员的重新培训来弥补识字方法上的缺陷。在实施的第三年，有</w:t>
      </w:r>
      <w:r>
        <w:rPr>
          <w:rFonts w:hint="eastAsia"/>
        </w:rPr>
        <w:t>7 000</w:t>
      </w:r>
      <w:r>
        <w:rPr>
          <w:rFonts w:hint="eastAsia"/>
        </w:rPr>
        <w:t>名学员在教学补习和阅读能力恢复方面接受了培训，跟上了当前趋势。这种教学方法有助于恢复学习者的自信心并最大限度地</w:t>
      </w:r>
      <w:r>
        <w:rPr>
          <w:rFonts w:hint="eastAsia"/>
        </w:rPr>
        <w:t>减少辍学现象。</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对于政府雇员，公务员制度委员会执行了一项“地方奖学金方案”，以资助那些想攻读学士、硕士或博士学位的人。不论男女，只要符合要求，都可以参加全时或非全时进修并获得这种奖学金。</w:t>
      </w:r>
      <w:r>
        <w:rPr>
          <w:rFonts w:hint="eastAsia"/>
        </w:rPr>
        <w:t>1993</w:t>
      </w:r>
      <w:r>
        <w:rPr>
          <w:rFonts w:hint="eastAsia"/>
        </w:rPr>
        <w:t>年至</w:t>
      </w:r>
      <w:r>
        <w:rPr>
          <w:rFonts w:hint="eastAsia"/>
        </w:rPr>
        <w:t>2001</w:t>
      </w:r>
      <w:r>
        <w:rPr>
          <w:rFonts w:hint="eastAsia"/>
        </w:rPr>
        <w:t>年</w:t>
      </w:r>
      <w:r>
        <w:rPr>
          <w:rFonts w:hint="eastAsia"/>
        </w:rPr>
        <w:t>9</w:t>
      </w:r>
      <w:r>
        <w:rPr>
          <w:rFonts w:hint="eastAsia"/>
        </w:rPr>
        <w:t>月，该方案总共招收了</w:t>
      </w:r>
      <w:r>
        <w:rPr>
          <w:rFonts w:hint="eastAsia"/>
        </w:rPr>
        <w:t>4 261</w:t>
      </w:r>
      <w:r>
        <w:rPr>
          <w:rFonts w:hint="eastAsia"/>
        </w:rPr>
        <w:t>名政府雇员，其中妇女占</w:t>
      </w:r>
      <w:r>
        <w:rPr>
          <w:rFonts w:hint="eastAsia"/>
        </w:rPr>
        <w:t>57%</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教育部“综合奖学金方案”一向对妇女很有吸引力，甚至其生物学、数学、经济学、物理学、化学和音乐硕士课程也是如此。在教育现代化方案下，在参加全国教师计算机扫盲方案的受训教师、行政人员和辅助人员当中，</w:t>
      </w:r>
      <w:r>
        <w:rPr>
          <w:rFonts w:hint="eastAsia"/>
        </w:rPr>
        <w:t>93%</w:t>
      </w:r>
      <w:r>
        <w:rPr>
          <w:rFonts w:hint="eastAsia"/>
        </w:rPr>
        <w:t>是妇女。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菲律宾农业、林业和自然资</w:t>
      </w:r>
      <w:r>
        <w:rPr>
          <w:rFonts w:hint="eastAsia"/>
        </w:rPr>
        <w:t>源研究与发展委员会——一家政府机构——一直在积极支持国家以下各级的学术研究机构发展性别与发展能力。该委员会启动了一项方案，旨在在全国范围创建国家农业和资源研究与发展网。</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另一个机构，即菲律宾大学妇女研究中心与妇女委员会及菲律宾妇女研究协会协作，完成了建立“性别与发展资源中心”的项目，在各地区建立制订性别计划和性别政策的能力，以帮助政府确保性别与发展方面的各项方案和项目的可持续性。到</w:t>
      </w:r>
      <w:r>
        <w:rPr>
          <w:rFonts w:hint="eastAsia"/>
        </w:rPr>
        <w:t>2003</w:t>
      </w:r>
      <w:r>
        <w:rPr>
          <w:rFonts w:hint="eastAsia"/>
        </w:rPr>
        <w:t>年年底，菲律宾建立了八个性别资源中心，由性别规划、监测和评价方面训练有素的学术和专业研究工作者组成的性别与发展资源库已</w:t>
      </w:r>
      <w:r>
        <w:rPr>
          <w:rFonts w:hint="eastAsia"/>
        </w:rPr>
        <w:t>经成形。</w:t>
      </w:r>
    </w:p>
    <w:p w:rsidR="00000000" w:rsidRDefault="00821B8F">
      <w:pPr>
        <w:pStyle w:val="BodyText"/>
        <w:spacing w:after="120" w:line="360" w:lineRule="exact"/>
        <w:rPr>
          <w:rFonts w:eastAsia="KaiTi_GB2312" w:hint="eastAsia"/>
          <w:iCs/>
          <w:color w:val="0000FF"/>
          <w:sz w:val="21"/>
        </w:rPr>
      </w:pPr>
      <w:r>
        <w:rPr>
          <w:rFonts w:eastAsia="KaiTi_GB2312" w:hint="eastAsia"/>
          <w:iCs/>
          <w:color w:val="0000FF"/>
          <w:sz w:val="21"/>
        </w:rPr>
        <w:t>职业和技术教育</w:t>
      </w:r>
    </w:p>
    <w:p w:rsidR="00000000" w:rsidRDefault="00821B8F">
      <w:pPr>
        <w:numPr>
          <w:ilvl w:val="0"/>
          <w:numId w:val="1409"/>
        </w:numPr>
        <w:tabs>
          <w:tab w:val="num" w:pos="1499"/>
        </w:tabs>
        <w:spacing w:after="120" w:line="360" w:lineRule="exact"/>
        <w:ind w:left="540" w:hanging="540"/>
        <w:rPr>
          <w:rFonts w:hint="eastAsia"/>
          <w:color w:val="000000"/>
          <w:szCs w:val="18"/>
        </w:rPr>
      </w:pPr>
      <w:r>
        <w:t xml:space="preserve"> </w:t>
      </w:r>
      <w:r>
        <w:rPr>
          <w:rFonts w:hint="eastAsia"/>
        </w:rPr>
        <w:t>随着妇女在正规教育中的业绩的提高，菲律宾现在将通过由政府机构和非政府组织执行的技术职业培训和非正规教育方案，将更加注意扩大妇女的择业范围。</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1997</w:t>
      </w:r>
      <w:r>
        <w:rPr>
          <w:rFonts w:hint="eastAsia"/>
        </w:rPr>
        <w:t>年，国家通过全国妇女职业培训和发展中心，又称为技术教育和技能发展管理局妇女中心，推出了一个以技术为主的妇女教育和培训方案。该中心以通过技术教育和培训改善妇女经济状况为宗旨，提供各种有益于妇女的设施，其中包括托儿所和幼儿园，以及供非政府组织进行交流和联络的场地。除了一系列传统技能领域外，该中心还提供了一些非传统行业的培训。它通过以下途</w:t>
      </w:r>
      <w:r>
        <w:rPr>
          <w:rFonts w:hint="eastAsia"/>
        </w:rPr>
        <w:t>径来赋予妇女经济权力：技能培训、创业培训、社会技能培训、研究、宣传、择业指导、就业安置援助和咨询服务、传统行业（如食品行业、制衣等）及非传统行业培训，如焊接、通用电子设备、村镇社区电气、汽车电气、建筑业、基础焊合、汽车空调等。</w:t>
      </w:r>
      <w:r>
        <w:rPr>
          <w:rFonts w:hint="eastAsia"/>
          <w:color w:val="000000"/>
        </w:rPr>
        <w:t>该中心已着手跟踪其各专业毕业生的就业和创业情况。截至</w:t>
      </w:r>
      <w:r>
        <w:rPr>
          <w:rFonts w:hint="eastAsia"/>
          <w:color w:val="000000"/>
        </w:rPr>
        <w:t>1998</w:t>
      </w:r>
      <w:r>
        <w:rPr>
          <w:rFonts w:hint="eastAsia"/>
          <w:color w:val="000000"/>
        </w:rPr>
        <w:t>年，该方案下各专业的毕业生约为</w:t>
      </w:r>
      <w:r>
        <w:rPr>
          <w:rFonts w:hint="eastAsia"/>
          <w:color w:val="000000"/>
        </w:rPr>
        <w:t>19 199</w:t>
      </w:r>
      <w:r>
        <w:rPr>
          <w:rFonts w:hint="eastAsia"/>
          <w:color w:val="000000"/>
        </w:rPr>
        <w:t>人。</w:t>
      </w:r>
      <w:r>
        <w:rPr>
          <w:rFonts w:hint="eastAsia"/>
          <w:color w:val="000000"/>
        </w:rPr>
        <w:t>2000</w:t>
      </w:r>
      <w:r>
        <w:rPr>
          <w:rFonts w:hint="eastAsia"/>
          <w:color w:val="000000"/>
        </w:rPr>
        <w:t>年，就业前技能培训的第五批学员中的一部分，即</w:t>
      </w:r>
      <w:r>
        <w:rPr>
          <w:rFonts w:hint="eastAsia"/>
          <w:color w:val="000000"/>
        </w:rPr>
        <w:t>135</w:t>
      </w:r>
      <w:r>
        <w:rPr>
          <w:rFonts w:hint="eastAsia"/>
          <w:color w:val="000000"/>
        </w:rPr>
        <w:t>名妇女在</w:t>
      </w:r>
      <w:r>
        <w:rPr>
          <w:rFonts w:hint="eastAsia"/>
          <w:color w:val="000000"/>
        </w:rPr>
        <w:t>12</w:t>
      </w:r>
      <w:r>
        <w:rPr>
          <w:rFonts w:hint="eastAsia"/>
          <w:color w:val="000000"/>
        </w:rPr>
        <w:t>个行业领域毕业。次年，第六批学员中有</w:t>
      </w:r>
      <w:r>
        <w:rPr>
          <w:rFonts w:hint="eastAsia"/>
          <w:color w:val="000000"/>
        </w:rPr>
        <w:t>191</w:t>
      </w:r>
      <w:r>
        <w:rPr>
          <w:rFonts w:hint="eastAsia"/>
          <w:color w:val="000000"/>
        </w:rPr>
        <w:t>名妇女接受培训。大约有</w:t>
      </w:r>
      <w:r>
        <w:rPr>
          <w:rFonts w:hint="eastAsia"/>
          <w:color w:val="000000"/>
        </w:rPr>
        <w:t>73</w:t>
      </w:r>
      <w:r>
        <w:rPr>
          <w:rFonts w:hint="eastAsia"/>
          <w:color w:val="000000"/>
        </w:rPr>
        <w:t>名妇女完成了技术升级，另有</w:t>
      </w:r>
      <w:r>
        <w:rPr>
          <w:rFonts w:hint="eastAsia"/>
          <w:color w:val="000000"/>
        </w:rPr>
        <w:t>313</w:t>
      </w:r>
      <w:r>
        <w:rPr>
          <w:rFonts w:hint="eastAsia"/>
          <w:color w:val="000000"/>
        </w:rPr>
        <w:t>名妇女获得</w:t>
      </w:r>
      <w:r>
        <w:rPr>
          <w:rFonts w:hint="eastAsia"/>
          <w:color w:val="000000"/>
        </w:rPr>
        <w:t>了以社会技能和创业技能为重点的“增强能力的技能”。</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1998</w:t>
      </w:r>
      <w:r>
        <w:rPr>
          <w:rFonts w:hint="eastAsia"/>
        </w:rPr>
        <w:t>至</w:t>
      </w:r>
      <w:r>
        <w:rPr>
          <w:rFonts w:hint="eastAsia"/>
        </w:rPr>
        <w:t>2001</w:t>
      </w:r>
      <w:r>
        <w:rPr>
          <w:rFonts w:hint="eastAsia"/>
        </w:rPr>
        <w:t>年，该中心共有</w:t>
      </w:r>
      <w:r>
        <w:rPr>
          <w:rFonts w:hint="eastAsia"/>
        </w:rPr>
        <w:t>317</w:t>
      </w:r>
      <w:r>
        <w:rPr>
          <w:rFonts w:hint="eastAsia"/>
        </w:rPr>
        <w:t>名妇女在各种非传统行业培训中毕业，其中大多数在电子（</w:t>
      </w:r>
      <w:r>
        <w:rPr>
          <w:rFonts w:hint="eastAsia"/>
        </w:rPr>
        <w:t>36%</w:t>
      </w:r>
      <w:r>
        <w:rPr>
          <w:rFonts w:hint="eastAsia"/>
        </w:rPr>
        <w:t>）和汽车行业（</w:t>
      </w:r>
      <w:r>
        <w:rPr>
          <w:rFonts w:hint="eastAsia"/>
        </w:rPr>
        <w:t>29%</w:t>
      </w:r>
      <w:r>
        <w:rPr>
          <w:rFonts w:hint="eastAsia"/>
        </w:rPr>
        <w:t>）（见附表</w:t>
      </w:r>
      <w:r>
        <w:rPr>
          <w:rFonts w:hint="eastAsia"/>
        </w:rPr>
        <w:t>B10.5</w:t>
      </w:r>
      <w:r>
        <w:rPr>
          <w:rFonts w:hint="eastAsia"/>
        </w:rPr>
        <w:t>）。在全部毕业生当中，有</w:t>
      </w:r>
      <w:r>
        <w:rPr>
          <w:rFonts w:hint="eastAsia"/>
        </w:rPr>
        <w:t>83%</w:t>
      </w:r>
      <w:r>
        <w:rPr>
          <w:rFonts w:hint="eastAsia"/>
        </w:rPr>
        <w:t>完成了就业前技能培训，这种培训使受训者获得了他们所选的行业的基本知识和技能，从而为有收益的就业做好准备；有</w:t>
      </w:r>
      <w:r>
        <w:rPr>
          <w:rFonts w:hint="eastAsia"/>
        </w:rPr>
        <w:t>7%</w:t>
      </w:r>
      <w:r>
        <w:rPr>
          <w:rFonts w:hint="eastAsia"/>
        </w:rPr>
        <w:t>的学员所学的技能提高课程深化了他们所选的行业具体方面的知识和技能；还有</w:t>
      </w:r>
      <w:r>
        <w:rPr>
          <w:rFonts w:hint="eastAsia"/>
        </w:rPr>
        <w:t>10%</w:t>
      </w:r>
      <w:r>
        <w:rPr>
          <w:rFonts w:hint="eastAsia"/>
        </w:rPr>
        <w:t>的人接受为潜在的或未来的培训员举办的为期</w:t>
      </w:r>
      <w:r>
        <w:rPr>
          <w:rFonts w:hint="eastAsia"/>
        </w:rPr>
        <w:t>18</w:t>
      </w:r>
      <w:r>
        <w:rPr>
          <w:rFonts w:hint="eastAsia"/>
        </w:rPr>
        <w:t>个月的培训员综合培训班。不过。该中心的女学员往往选择传统的妇女</w:t>
      </w:r>
      <w:r>
        <w:rPr>
          <w:rFonts w:hint="eastAsia"/>
        </w:rPr>
        <w:t>技能领域。例如，</w:t>
      </w:r>
      <w:r>
        <w:rPr>
          <w:rFonts w:hint="eastAsia"/>
        </w:rPr>
        <w:t>1999</w:t>
      </w:r>
      <w:r>
        <w:rPr>
          <w:rFonts w:hint="eastAsia"/>
        </w:rPr>
        <w:t>至</w:t>
      </w:r>
      <w:r>
        <w:rPr>
          <w:rFonts w:hint="eastAsia"/>
        </w:rPr>
        <w:t>2001</w:t>
      </w:r>
      <w:r>
        <w:rPr>
          <w:rFonts w:hint="eastAsia"/>
        </w:rPr>
        <w:t>年，在总共</w:t>
      </w:r>
      <w:r>
        <w:rPr>
          <w:rFonts w:hint="eastAsia"/>
        </w:rPr>
        <w:t>651</w:t>
      </w:r>
      <w:r>
        <w:rPr>
          <w:rFonts w:hint="eastAsia"/>
        </w:rPr>
        <w:t>名毕业生中有</w:t>
      </w:r>
      <w:r>
        <w:rPr>
          <w:rFonts w:hint="eastAsia"/>
        </w:rPr>
        <w:t>479</w:t>
      </w:r>
      <w:r>
        <w:rPr>
          <w:rFonts w:hint="eastAsia"/>
        </w:rPr>
        <w:t>人（占</w:t>
      </w:r>
      <w:r>
        <w:rPr>
          <w:rFonts w:hint="eastAsia"/>
        </w:rPr>
        <w:t>74%</w:t>
      </w:r>
      <w:r>
        <w:rPr>
          <w:rFonts w:hint="eastAsia"/>
        </w:rPr>
        <w:t>）接受的是饭店和旅馆管理（</w:t>
      </w:r>
      <w:r>
        <w:rPr>
          <w:rFonts w:hint="eastAsia"/>
        </w:rPr>
        <w:t>29%</w:t>
      </w:r>
      <w:r>
        <w:rPr>
          <w:rFonts w:hint="eastAsia"/>
        </w:rPr>
        <w:t>）、成衣（</w:t>
      </w:r>
      <w:r>
        <w:rPr>
          <w:rFonts w:hint="eastAsia"/>
        </w:rPr>
        <w:t>16%</w:t>
      </w:r>
      <w:r>
        <w:rPr>
          <w:rFonts w:hint="eastAsia"/>
        </w:rPr>
        <w:t>）、手工艺品、礼品和家用器皿（</w:t>
      </w:r>
      <w:r>
        <w:rPr>
          <w:rFonts w:hint="eastAsia"/>
        </w:rPr>
        <w:t>12%</w:t>
      </w:r>
      <w:r>
        <w:rPr>
          <w:rFonts w:hint="eastAsia"/>
        </w:rPr>
        <w:t>）、食品加工（</w:t>
      </w:r>
      <w:r>
        <w:rPr>
          <w:rFonts w:hint="eastAsia"/>
        </w:rPr>
        <w:t>10%</w:t>
      </w:r>
      <w:r>
        <w:rPr>
          <w:rFonts w:hint="eastAsia"/>
        </w:rPr>
        <w:t>）和珠宝（</w:t>
      </w:r>
      <w:r>
        <w:rPr>
          <w:rFonts w:hint="eastAsia"/>
        </w:rPr>
        <w:t>6%</w:t>
      </w:r>
      <w:r>
        <w:rPr>
          <w:rFonts w:hint="eastAsia"/>
        </w:rPr>
        <w:t>）行业的培训。</w:t>
      </w:r>
    </w:p>
    <w:p w:rsidR="00000000" w:rsidRDefault="00821B8F">
      <w:pPr>
        <w:pStyle w:val="BodyText"/>
        <w:spacing w:after="120" w:line="360" w:lineRule="exact"/>
        <w:rPr>
          <w:rFonts w:eastAsia="KaiTi_GB2312" w:hint="eastAsia"/>
          <w:iCs/>
          <w:color w:val="0000FF"/>
          <w:sz w:val="21"/>
        </w:rPr>
      </w:pPr>
      <w:r>
        <w:rPr>
          <w:rFonts w:eastAsia="KaiTi_GB2312" w:hint="eastAsia"/>
          <w:iCs/>
          <w:color w:val="0000FF"/>
          <w:sz w:val="21"/>
        </w:rPr>
        <w:t>非正规教育</w:t>
      </w:r>
      <w:r>
        <w:rPr>
          <w:rFonts w:eastAsia="KaiTi_GB2312" w:hint="eastAsia"/>
          <w:iCs/>
          <w:color w:val="0000FF"/>
          <w:sz w:val="21"/>
        </w:rPr>
        <w:t>/</w:t>
      </w:r>
      <w:r>
        <w:rPr>
          <w:rFonts w:eastAsia="KaiTi_GB2312" w:hint="eastAsia"/>
          <w:iCs/>
          <w:color w:val="0000FF"/>
          <w:sz w:val="21"/>
        </w:rPr>
        <w:t>社区教育</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非正规教育局在全国</w:t>
      </w:r>
      <w:r>
        <w:rPr>
          <w:rFonts w:hint="eastAsia"/>
          <w:color w:val="000000"/>
        </w:rPr>
        <w:t>16</w:t>
      </w:r>
      <w:r>
        <w:rPr>
          <w:rFonts w:hint="eastAsia"/>
          <w:color w:val="000000"/>
        </w:rPr>
        <w:t>个地区的</w:t>
      </w:r>
      <w:r>
        <w:rPr>
          <w:rFonts w:hint="eastAsia"/>
          <w:color w:val="000000"/>
        </w:rPr>
        <w:t>10</w:t>
      </w:r>
      <w:r>
        <w:rPr>
          <w:rFonts w:hint="eastAsia"/>
          <w:color w:val="000000"/>
        </w:rPr>
        <w:t>个地区举办实用教育和识字班培训。有的地区开办了妇女实用识字班，其中心主题包括孕产护理和儿童护理。该局还扩大了替代性非正规教育系统，将其推广到土著人社区，其中包括</w:t>
      </w:r>
      <w:r>
        <w:rPr>
          <w:rFonts w:hint="eastAsia"/>
          <w:i/>
          <w:color w:val="000000"/>
        </w:rPr>
        <w:t>Magbasa Kita</w:t>
      </w:r>
      <w:r>
        <w:rPr>
          <w:rFonts w:hint="eastAsia"/>
          <w:color w:val="000000"/>
        </w:rPr>
        <w:t>（让我们读书），教妇女和女孩读书，并设立了以学校为基础的</w:t>
      </w:r>
      <w:r>
        <w:rPr>
          <w:rFonts w:hint="eastAsia"/>
          <w:color w:val="000000"/>
        </w:rPr>
        <w:t>儿童看护中心，以便让照看年幼的弟弟妹妹的大一点的孩子（多为学龄女童）在完成看孩子的任务同时能够上课。</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为了满足残疾人的需要，政府执行了许多方案，比如教育部提供了各种教育服务和教材支助；社会福利部为儿童和失学青少年举办了以社区为基础的项目，在残疾儿童康复过程中积极争取其家人的参与。社会福利部目前还在执行一个为残疾妇女提供技能培训的项目，培训内容包括缝纫、藤编和玩具工艺品、食品加工、编织、陶瓷及家庭佣工。该部还致力于提高妇女对孕产护理和个人护理、社区参与、谋生技能及社交技能的认识和实践。</w:t>
      </w:r>
      <w:r>
        <w:rPr>
          <w:rFonts w:hint="eastAsia"/>
          <w:color w:val="000000"/>
        </w:rPr>
        <w:t>1995</w:t>
      </w:r>
      <w:r>
        <w:rPr>
          <w:rFonts w:hint="eastAsia"/>
          <w:color w:val="000000"/>
        </w:rPr>
        <w:t>至</w:t>
      </w:r>
      <w:r>
        <w:rPr>
          <w:rFonts w:hint="eastAsia"/>
          <w:color w:val="000000"/>
        </w:rPr>
        <w:t>1999</w:t>
      </w:r>
      <w:r>
        <w:rPr>
          <w:rFonts w:hint="eastAsia"/>
          <w:color w:val="000000"/>
        </w:rPr>
        <w:t>年，</w:t>
      </w:r>
      <w:r>
        <w:rPr>
          <w:rFonts w:hint="eastAsia"/>
          <w:color w:val="000000"/>
        </w:rPr>
        <w:t>该方案总共为全国</w:t>
      </w:r>
      <w:r>
        <w:rPr>
          <w:rFonts w:hint="eastAsia"/>
          <w:color w:val="000000"/>
        </w:rPr>
        <w:t>166 293</w:t>
      </w:r>
      <w:r>
        <w:rPr>
          <w:rFonts w:hint="eastAsia"/>
          <w:color w:val="000000"/>
        </w:rPr>
        <w:t>名弱势妇女提供了培训服务。在女毕业生中，约有</w:t>
      </w:r>
      <w:r>
        <w:rPr>
          <w:rFonts w:hint="eastAsia"/>
          <w:color w:val="000000"/>
        </w:rPr>
        <w:t>136 262</w:t>
      </w:r>
      <w:r>
        <w:rPr>
          <w:rFonts w:hint="eastAsia"/>
          <w:color w:val="000000"/>
        </w:rPr>
        <w:t>人（占</w:t>
      </w:r>
      <w:r>
        <w:rPr>
          <w:rFonts w:hint="eastAsia"/>
          <w:color w:val="000000"/>
        </w:rPr>
        <w:t>81%</w:t>
      </w:r>
      <w:r>
        <w:rPr>
          <w:rFonts w:hint="eastAsia"/>
          <w:color w:val="000000"/>
        </w:rPr>
        <w:t>）已通过自营职业或公开就业、在残疾人作坊或社区制造厂、或从事分包工作，进入了劳动力队伍。与此同时，国家残疾人福利委员会会同贸易和工业部，分别在三座城市为残疾妇女和残疾人的父母或监护人举办食品加工和工艺品制作的技能培训班。</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2001</w:t>
      </w:r>
      <w:r>
        <w:rPr>
          <w:rFonts w:hint="eastAsia"/>
        </w:rPr>
        <w:t>年，菲律宾人权委员会在青年、公务员和群众中发起了一场促进人权宣传的运动。两个项目中有一个是与教育部协作执行的，并且涉及在各教育机构建立人权办公室，散发人权材料和完成面向学生和学术界</w:t>
      </w:r>
      <w:r>
        <w:rPr>
          <w:rFonts w:hint="eastAsia"/>
        </w:rPr>
        <w:t>的人权指导工作。</w:t>
      </w:r>
    </w:p>
    <w:p w:rsidR="00000000" w:rsidRDefault="00821B8F">
      <w:pPr>
        <w:pStyle w:val="ListContinue2"/>
        <w:spacing w:line="360" w:lineRule="exact"/>
        <w:ind w:leftChars="0" w:left="0"/>
        <w:rPr>
          <w:rFonts w:hint="eastAsia"/>
          <w:u w:val="single"/>
        </w:rPr>
      </w:pPr>
      <w:r>
        <w:rPr>
          <w:rFonts w:hint="eastAsia"/>
          <w:u w:val="single"/>
        </w:rPr>
        <w:t>教育机构、专业组织和非政府组织的各种努力</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越来越多的大专院校在从事妇女问题研究。菲律宾妇女研究学会在全国各地拥有</w:t>
      </w:r>
      <w:r>
        <w:rPr>
          <w:rFonts w:hint="eastAsia"/>
        </w:rPr>
        <w:t>50</w:t>
      </w:r>
      <w:r>
        <w:rPr>
          <w:rFonts w:hint="eastAsia"/>
        </w:rPr>
        <w:t>所成员学校和</w:t>
      </w:r>
      <w:r>
        <w:rPr>
          <w:rFonts w:hint="eastAsia"/>
        </w:rPr>
        <w:t>300</w:t>
      </w:r>
      <w:r>
        <w:rPr>
          <w:rFonts w:hint="eastAsia"/>
        </w:rPr>
        <w:t>多名教师宣传员。</w:t>
      </w:r>
      <w:r>
        <w:rPr>
          <w:rFonts w:hint="eastAsia"/>
        </w:rPr>
        <w:t>2001</w:t>
      </w:r>
      <w:r>
        <w:rPr>
          <w:rFonts w:hint="eastAsia"/>
        </w:rPr>
        <w:t>年</w:t>
      </w:r>
      <w:r>
        <w:rPr>
          <w:rFonts w:hint="eastAsia"/>
        </w:rPr>
        <w:t>7</w:t>
      </w:r>
      <w:r>
        <w:rPr>
          <w:rFonts w:hint="eastAsia"/>
        </w:rPr>
        <w:t>月，该学会举行了一次以“校园性别歧视”为主题的会议，与会者有教师、妇女问题研究人员、还有年轻的女学生，他们分别就其在学校遇到的各种形式的性别歧视发表演讲。在举行此次会议的同时，该学会还围绕男女平等指导咨询和无性别歧视职业生涯咨询举办了辅导员培训班。在本审查期内，妇女研究学会的会员还就妇女研究进行了教师培训和课程制订。例如，作为</w:t>
      </w:r>
      <w:r>
        <w:rPr>
          <w:rFonts w:hint="eastAsia"/>
        </w:rPr>
        <w:t>2</w:t>
      </w:r>
      <w:r>
        <w:rPr>
          <w:rFonts w:hint="eastAsia"/>
        </w:rPr>
        <w:t>002</w:t>
      </w:r>
      <w:r>
        <w:rPr>
          <w:rFonts w:hint="eastAsia"/>
        </w:rPr>
        <w:t>年</w:t>
      </w:r>
      <w:r>
        <w:rPr>
          <w:rFonts w:hint="eastAsia"/>
        </w:rPr>
        <w:t>3</w:t>
      </w:r>
      <w:r>
        <w:rPr>
          <w:rFonts w:hint="eastAsia"/>
        </w:rPr>
        <w:t>月举行的性别、和平与公正会议的一部分，妇女研究学会提供了和平教育培训。</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私立女子大专院校积极促进重点课程和方案。米丽娅姆学院在</w:t>
      </w:r>
      <w:r>
        <w:rPr>
          <w:rFonts w:hint="eastAsia"/>
        </w:rPr>
        <w:t>1999</w:t>
      </w:r>
      <w:r>
        <w:rPr>
          <w:rFonts w:hint="eastAsia"/>
        </w:rPr>
        <w:t>年创建了妇女与性别研究所，并每年举行一次国际妇女人权研讨会。圣斯科拉丝蒂卡学院要求学生在毕业前必修一门妇女研究课程。</w:t>
      </w:r>
      <w:r>
        <w:rPr>
          <w:rFonts w:hint="eastAsia"/>
        </w:rPr>
        <w:t>1990</w:t>
      </w:r>
      <w:r>
        <w:rPr>
          <w:rFonts w:hint="eastAsia"/>
        </w:rPr>
        <w:t>年，该校成立妇女研究学院作为其推广方案的一部分。该研究所提供正规课程，并对来自全国各地和东南亚地区的妇女举办各种培训班，培训内容涉及两性平等教育、妇女与发展、妇女与保健、女权主义理论、对妇女的暴力以及婚姻中的性别问题。与此同时，菲律宾女子大学</w:t>
      </w:r>
      <w:r>
        <w:rPr>
          <w:rFonts w:hint="eastAsia"/>
        </w:rPr>
        <w:t>的社区推广方案举办了志愿的卫生工作人员领导能力培训、识字班以及为生活贫穷妇女开设的价值观形成课程。</w:t>
      </w:r>
    </w:p>
    <w:p w:rsidR="00000000" w:rsidRDefault="00821B8F">
      <w:pPr>
        <w:pStyle w:val="H1"/>
        <w:rPr>
          <w:rFonts w:hint="eastAsia"/>
        </w:rPr>
      </w:pPr>
      <w:r>
        <w:rPr>
          <w:rFonts w:hint="eastAsia"/>
        </w:rPr>
        <w:t>C</w:t>
      </w:r>
      <w:r>
        <w:rPr>
          <w:rFonts w:hint="eastAsia"/>
        </w:rPr>
        <w:t>．仍然面临的挑战和未解决的问题</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高等教育一级的性别跟踪产生的负面结果包括妇女安置在收入较低工作中（见第十一条的讨论）。本土上缺少可行的就业机会，受过教育的妇女只好到海外去当家庭佣工。这就在两个层面上造成工作的简单化：一是在国家一级，国家失去了其受过教育的劳动者；二是在个人层面，个人从事的工作不需要那么多通过培训获得的技能。为了避免这种情况，教育需要跟上全球趋势，以便妇女能够从事与其技能和知识相称的工作。</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另外，由于国内找工作很难，所以男女求职者往往赶紧抓住得到的第一个工作机会。如果这种事发生在接受过非传统专业或职业培训的妇女身上，除非她们重新接受培训，否则在她们的职业生涯中机会就变得越来越渺茫。因此，在诸如工程、科技、建筑、甚至计算机技术等职业技术课程这种非传统职业中，女性角色样板至今依然少见。</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由于农村地区的识字率和受教育程度较低，农村妇女（和男子）必然不得不从事低收入的工作，如家庭佣工和无报酬的家务劳动；更有甚者，很容易靠卖淫为生。尽管并非所有大学毕业生都能找到工作，但中等以上的教育程度与薪酬较高的</w:t>
      </w:r>
      <w:r>
        <w:rPr>
          <w:rFonts w:hint="eastAsia"/>
        </w:rPr>
        <w:t>工作、较好的家庭健康状况、较高的节育率和较少的子女数量有直接关系。因此需要投入更多的资源，把政府教育方案扩大到农村和土著妇女。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妇女担任高层教育职务的比例过低问题依然存在。尽管她们在教育系统中人数很多而且所受的教育培训范围很广，但是妇女在本来可以应用她们的知识并在工作中进一步提高能力的决策一级从业的机会却很有限。</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目前没有足够的数据来监测妇女的教育和培训与工作是否相称。妇女大量集中在非常有限的传统领域，使得她们的薪酬一直很低，或者在女企业家中产生残酷的竞争。虽然有数据显示越来越多的妇女进入传统上以男性为</w:t>
      </w:r>
      <w:r>
        <w:rPr>
          <w:rFonts w:hint="eastAsia"/>
          <w:color w:val="000000"/>
        </w:rPr>
        <w:t>主的专业或培训领域，但重要的是，要搞清楚她们能否找到自己受训所针对的工作。例如，在</w:t>
      </w:r>
      <w:r>
        <w:rPr>
          <w:rFonts w:hint="eastAsia"/>
          <w:color w:val="000000"/>
        </w:rPr>
        <w:t>1990</w:t>
      </w:r>
      <w:r>
        <w:rPr>
          <w:rFonts w:hint="eastAsia"/>
          <w:color w:val="000000"/>
        </w:rPr>
        <w:t>年代发起的非传统行业妇女培训项目中，只有</w:t>
      </w:r>
      <w:r>
        <w:rPr>
          <w:rFonts w:hint="eastAsia"/>
          <w:color w:val="000000"/>
        </w:rPr>
        <w:t xml:space="preserve">6% </w:t>
      </w:r>
      <w:r>
        <w:rPr>
          <w:rFonts w:hint="eastAsia"/>
          <w:color w:val="000000"/>
        </w:rPr>
        <w:t>的受训妇女后来找到了付薪工作或从事其专业工作（</w:t>
      </w:r>
      <w:r>
        <w:rPr>
          <w:rFonts w:hint="eastAsia"/>
          <w:color w:val="000000"/>
        </w:rPr>
        <w:t>NMYC</w:t>
      </w:r>
      <w:r>
        <w:rPr>
          <w:rFonts w:hint="eastAsia"/>
          <w:color w:val="000000"/>
        </w:rPr>
        <w:t>，</w:t>
      </w:r>
      <w:r>
        <w:rPr>
          <w:rFonts w:hint="eastAsia"/>
          <w:color w:val="000000"/>
        </w:rPr>
        <w:t>1994</w:t>
      </w:r>
      <w:r>
        <w:rPr>
          <w:rFonts w:hint="eastAsia"/>
          <w:color w:val="000000"/>
        </w:rPr>
        <w:t>年，引自伊洛，</w:t>
      </w:r>
      <w:r>
        <w:rPr>
          <w:rFonts w:hint="eastAsia"/>
          <w:color w:val="000000"/>
        </w:rPr>
        <w:t>2002</w:t>
      </w:r>
      <w:r>
        <w:rPr>
          <w:rFonts w:hint="eastAsia"/>
          <w:color w:val="000000"/>
        </w:rPr>
        <w:t>年</w:t>
      </w:r>
      <w:r>
        <w:rPr>
          <w:rFonts w:hint="eastAsia"/>
          <w:color w:val="000000"/>
        </w:rPr>
        <w:t>b</w:t>
      </w:r>
      <w:r>
        <w:rPr>
          <w:rFonts w:hint="eastAsia"/>
          <w:color w:val="000000"/>
        </w:rPr>
        <w:t>）。就业率低归因于在开展培训项目之前缺乏市场调研。没有弄清楚对接受过非传统技能培训的妇女的需求，实际上应该将培训重点放在基本的行业技能上，而不是进一步引导她们去学更高级的技能。</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有必要扩大对高等教育以下各级公立和私立学校的课程、教科书和教材的审查工作，以消除性别定型观念，并吸纳各种对</w:t>
      </w:r>
      <w:r>
        <w:rPr>
          <w:rFonts w:hint="eastAsia"/>
        </w:rPr>
        <w:t>性别问题有敏感认识的观念，比如共同承担生儿育女的责任、生殖权利、用非暴力形式处理冲突等。同时，需要对各级学校的教师和管理人员进行培训，以推行对性别问题更具敏感认识的教育之道。</w:t>
      </w:r>
    </w:p>
    <w:p w:rsidR="00000000" w:rsidRDefault="00821B8F">
      <w:pPr>
        <w:pStyle w:val="TOC1"/>
        <w:spacing w:before="120"/>
        <w:rPr>
          <w:rFonts w:ascii="SimHei" w:hint="eastAsia"/>
        </w:rPr>
      </w:pPr>
      <w:r>
        <w:rPr>
          <w:rFonts w:ascii="SimHei" w:hint="eastAsia"/>
        </w:rPr>
        <w:t>第十一条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就业</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消除在就业所有方面的歧视；重视婚姻和孕产妇问题；不断审查保护性立法</w:t>
      </w:r>
    </w:p>
    <w:p w:rsidR="00000000" w:rsidRDefault="00821B8F">
      <w:pPr>
        <w:pStyle w:val="H1"/>
        <w:rPr>
          <w:rFonts w:hint="eastAsia"/>
        </w:rPr>
      </w:pPr>
      <w:r>
        <w:t xml:space="preserve">A. </w:t>
      </w:r>
      <w:r>
        <w:rPr>
          <w:rFonts w:hint="eastAsia"/>
        </w:rPr>
        <w:t>妇女的状况</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是国际劳工组织的各项公约的签约国，其中包括关于消除工作场所基于性别的歧视公约。鉴于此，菲律宾政府颁布了许多旨在保护女工和消除工作场所的歧视性做法的措施。《修正的劳工法典》有如下规定：禁止让女工上夜班；为女工提供便利；产假福利；</w:t>
      </w:r>
      <w:r>
        <w:rPr>
          <w:rFonts w:hint="eastAsia"/>
        </w:rPr>
        <w:t>以及提供计划生育服务。此外，现行的劳工法律禁止在聘用期限和条件（补偿、培训和晋升）方面仅以性别为由对任何女雇员做出歧视；禁止作为聘用和续聘的条件要求女工不得结婚，或者以怀孕为由解雇女雇员。</w:t>
      </w:r>
      <w:r>
        <w:rPr>
          <w:rFonts w:hint="eastAsia"/>
        </w:rPr>
        <w:t>1995</w:t>
      </w:r>
      <w:r>
        <w:rPr>
          <w:rFonts w:hint="eastAsia"/>
        </w:rPr>
        <w:t>年，菲律宾国会还通过了第</w:t>
      </w:r>
      <w:r>
        <w:rPr>
          <w:rFonts w:hint="eastAsia"/>
        </w:rPr>
        <w:t>7877</w:t>
      </w:r>
      <w:r>
        <w:rPr>
          <w:rFonts w:hint="eastAsia"/>
        </w:rPr>
        <w:t>号共和国法令，即《</w:t>
      </w:r>
      <w:r>
        <w:rPr>
          <w:rFonts w:hint="eastAsia"/>
        </w:rPr>
        <w:t>1995</w:t>
      </w:r>
      <w:r>
        <w:rPr>
          <w:rFonts w:hint="eastAsia"/>
        </w:rPr>
        <w:t>年反对性骚扰法》。</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过去的十年里，菲律宾妇女越来越像男子那样为满足家庭经济需求积极参与经济活动。她们以各种方式就业，不管是在正规部门还是在非正规部门，不管是在公共机构还是在私人机构、在工厂、在街道、在国内外做家庭佣工、卫生工作人员或表演艺人。可是，那些在</w:t>
      </w:r>
      <w:r>
        <w:rPr>
          <w:rFonts w:hint="eastAsia"/>
        </w:rPr>
        <w:t>经济区、家政服务业、非正规部门工作的妇女以及海外女工、女公务员及女童工都面临着各种问题和风险。</w:t>
      </w:r>
    </w:p>
    <w:p w:rsidR="00000000" w:rsidRDefault="00821B8F">
      <w:pPr>
        <w:pStyle w:val="ListContinue2"/>
        <w:spacing w:line="360" w:lineRule="exact"/>
        <w:ind w:leftChars="0" w:left="0"/>
        <w:rPr>
          <w:rFonts w:eastAsia="SimHei" w:hint="eastAsia"/>
          <w:color w:val="FF0000"/>
        </w:rPr>
      </w:pPr>
      <w:r>
        <w:rPr>
          <w:rFonts w:eastAsia="SimHei" w:hint="eastAsia"/>
          <w:color w:val="FF0000"/>
        </w:rPr>
        <w:t>劳动力参与率</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与前几年相同，菲律宾妇女的劳动力参与率一直呈上升趋势，只是在</w:t>
      </w:r>
      <w:r>
        <w:rPr>
          <w:rFonts w:hint="eastAsia"/>
        </w:rPr>
        <w:t>2000</w:t>
      </w:r>
      <w:r>
        <w:rPr>
          <w:rFonts w:hint="eastAsia"/>
        </w:rPr>
        <w:t>年出现下跌（附表</w:t>
      </w:r>
      <w:r>
        <w:rPr>
          <w:rFonts w:hint="eastAsia"/>
        </w:rPr>
        <w:t>B11.1</w:t>
      </w:r>
      <w:r>
        <w:rPr>
          <w:rFonts w:hint="eastAsia"/>
        </w:rPr>
        <w:t>）。</w:t>
      </w:r>
      <w:r>
        <w:rPr>
          <w:rFonts w:hint="eastAsia"/>
        </w:rPr>
        <w:t>2001</w:t>
      </w:r>
      <w:r>
        <w:rPr>
          <w:rFonts w:hint="eastAsia"/>
        </w:rPr>
        <w:t>和</w:t>
      </w:r>
      <w:r>
        <w:rPr>
          <w:rFonts w:hint="eastAsia"/>
        </w:rPr>
        <w:t>2002</w:t>
      </w:r>
      <w:r>
        <w:rPr>
          <w:rFonts w:hint="eastAsia"/>
        </w:rPr>
        <w:t>年的女性劳动力参与率创造迄今最高的纪录（分别为</w:t>
      </w:r>
      <w:r>
        <w:rPr>
          <w:rFonts w:hint="eastAsia"/>
        </w:rPr>
        <w:t>52.8%</w:t>
      </w:r>
      <w:r>
        <w:rPr>
          <w:rFonts w:hint="eastAsia"/>
        </w:rPr>
        <w:t>和</w:t>
      </w:r>
      <w:r>
        <w:rPr>
          <w:rFonts w:hint="eastAsia"/>
        </w:rPr>
        <w:t>51.7%</w:t>
      </w:r>
      <w:r>
        <w:rPr>
          <w:rFonts w:hint="eastAsia"/>
        </w:rPr>
        <w:t>，国家统计局，</w:t>
      </w:r>
      <w:r>
        <w:rPr>
          <w:rFonts w:hint="eastAsia"/>
        </w:rPr>
        <w:t>2003</w:t>
      </w:r>
      <w:r>
        <w:rPr>
          <w:rFonts w:hint="eastAsia"/>
        </w:rPr>
        <w:t>年</w:t>
      </w:r>
      <w:r>
        <w:rPr>
          <w:rFonts w:hint="eastAsia"/>
        </w:rPr>
        <w:t>c</w:t>
      </w:r>
      <w:r>
        <w:rPr>
          <w:rFonts w:hint="eastAsia"/>
        </w:rPr>
        <w:t>）。长期以来，妇女进入劳动力市场的人数一直在增长，到</w:t>
      </w:r>
      <w:r>
        <w:rPr>
          <w:rFonts w:hint="eastAsia"/>
        </w:rPr>
        <w:t>2003</w:t>
      </w:r>
      <w:r>
        <w:rPr>
          <w:rFonts w:hint="eastAsia"/>
        </w:rPr>
        <w:t>年达到</w:t>
      </w:r>
      <w:r>
        <w:rPr>
          <w:rFonts w:hint="eastAsia"/>
        </w:rPr>
        <w:t>1 310</w:t>
      </w:r>
      <w:r>
        <w:rPr>
          <w:rFonts w:hint="eastAsia"/>
        </w:rPr>
        <w:t>万人。可是，到</w:t>
      </w:r>
      <w:r>
        <w:rPr>
          <w:rFonts w:hint="eastAsia"/>
        </w:rPr>
        <w:t>2003</w:t>
      </w:r>
      <w:r>
        <w:rPr>
          <w:rFonts w:hint="eastAsia"/>
        </w:rPr>
        <w:t>年</w:t>
      </w:r>
      <w:r>
        <w:rPr>
          <w:rFonts w:hint="eastAsia"/>
        </w:rPr>
        <w:t>10</w:t>
      </w:r>
      <w:r>
        <w:rPr>
          <w:rFonts w:hint="eastAsia"/>
        </w:rPr>
        <w:t>月，妇女劳动力参与率降到</w:t>
      </w:r>
      <w:r>
        <w:rPr>
          <w:rFonts w:hint="eastAsia"/>
        </w:rPr>
        <w:t>50.9%</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女性劳动力参与率依然比男子的劳动力参与率低得多</w:t>
      </w:r>
      <w:r>
        <w:rPr>
          <w:rFonts w:hint="eastAsia"/>
        </w:rPr>
        <w:t>，其部分原因是劳动力调查方法普遍对很大一部分妇女工作打了折扣。</w:t>
      </w:r>
      <w:r>
        <w:rPr>
          <w:rFonts w:hint="eastAsia"/>
        </w:rPr>
        <w:t>1996</w:t>
      </w:r>
      <w:r>
        <w:rPr>
          <w:rFonts w:hint="eastAsia"/>
        </w:rPr>
        <w:t>年，妇女与男子的劳动力参与率分别为</w:t>
      </w:r>
      <w:r>
        <w:rPr>
          <w:rFonts w:hint="eastAsia"/>
        </w:rPr>
        <w:t>49.0%</w:t>
      </w:r>
      <w:r>
        <w:rPr>
          <w:rFonts w:hint="eastAsia"/>
        </w:rPr>
        <w:t>和</w:t>
      </w:r>
      <w:r>
        <w:rPr>
          <w:rFonts w:hint="eastAsia"/>
        </w:rPr>
        <w:t>82.7%</w:t>
      </w:r>
      <w:r>
        <w:rPr>
          <w:rFonts w:hint="eastAsia"/>
        </w:rPr>
        <w:t>；</w:t>
      </w:r>
      <w:r>
        <w:rPr>
          <w:rFonts w:hint="eastAsia"/>
        </w:rPr>
        <w:t>2002</w:t>
      </w:r>
      <w:r>
        <w:rPr>
          <w:rFonts w:hint="eastAsia"/>
        </w:rPr>
        <w:t>年为</w:t>
      </w:r>
      <w:r>
        <w:rPr>
          <w:rFonts w:hint="eastAsia"/>
        </w:rPr>
        <w:t>51.7%</w:t>
      </w:r>
      <w:r>
        <w:rPr>
          <w:rFonts w:hint="eastAsia"/>
        </w:rPr>
        <w:t>和</w:t>
      </w:r>
      <w:r>
        <w:rPr>
          <w:rFonts w:hint="eastAsia"/>
        </w:rPr>
        <w:t>80.8%</w:t>
      </w:r>
      <w:r>
        <w:rPr>
          <w:rFonts w:hint="eastAsia"/>
        </w:rPr>
        <w:t>（附表</w:t>
      </w:r>
      <w:r>
        <w:rPr>
          <w:rFonts w:hint="eastAsia"/>
        </w:rPr>
        <w:t>B11.1</w:t>
      </w:r>
      <w:r>
        <w:rPr>
          <w:rFonts w:hint="eastAsia"/>
        </w:rPr>
        <w:t>）。</w:t>
      </w:r>
      <w:r>
        <w:rPr>
          <w:rStyle w:val="FootnoteReference"/>
          <w:szCs w:val="21"/>
        </w:rPr>
        <w:footnoteReference w:id="18"/>
      </w:r>
      <w:r>
        <w:rPr>
          <w:rFonts w:hint="eastAsia"/>
        </w:rPr>
        <w:t xml:space="preserve"> </w:t>
      </w:r>
      <w:r>
        <w:rPr>
          <w:rFonts w:hint="eastAsia"/>
        </w:rPr>
        <w:t>男女劳动力参与率的差距在农村地区更加明显，因为农村的工作机会是季节性的，或者是时断时续的，而农村妇女一般在农场或其他家庭企业从事无报酬的家务活儿。然而，劳动力参与率的最大性别差距出现在棉兰老伊斯兰自治区，该区的男性劳动力参与率几乎比女性劳动力参与率高三倍（伊洛，</w:t>
      </w:r>
      <w:r>
        <w:rPr>
          <w:rFonts w:hint="eastAsia"/>
        </w:rPr>
        <w:t>2002</w:t>
      </w:r>
      <w:r>
        <w:rPr>
          <w:rFonts w:hint="eastAsia"/>
        </w:rPr>
        <w:t>年</w:t>
      </w:r>
      <w:r>
        <w:rPr>
          <w:rFonts w:hint="eastAsia"/>
        </w:rPr>
        <w:t>b</w:t>
      </w:r>
      <w:r>
        <w:rPr>
          <w:rFonts w:hint="eastAsia"/>
        </w:rPr>
        <w:t>）。许多穆斯林团体的文化准则限制妇女的迁徙，不允许她</w:t>
      </w:r>
      <w:r>
        <w:rPr>
          <w:rFonts w:hint="eastAsia"/>
        </w:rPr>
        <w:t>们远离家乡到外地去参与贸易和其他活动，因此，到</w:t>
      </w:r>
      <w:r>
        <w:rPr>
          <w:rFonts w:hint="eastAsia"/>
        </w:rPr>
        <w:t>2003</w:t>
      </w:r>
      <w:r>
        <w:rPr>
          <w:rFonts w:hint="eastAsia"/>
        </w:rPr>
        <w:t>年</w:t>
      </w:r>
      <w:r>
        <w:rPr>
          <w:rFonts w:hint="eastAsia"/>
        </w:rPr>
        <w:t>4</w:t>
      </w:r>
      <w:r>
        <w:rPr>
          <w:rFonts w:hint="eastAsia"/>
        </w:rPr>
        <w:t>月，棉兰老自治区的妇女劳动力参与率仍停留在</w:t>
      </w:r>
      <w:r>
        <w:rPr>
          <w:rFonts w:hint="eastAsia"/>
        </w:rPr>
        <w:t>35.6%</w:t>
      </w:r>
      <w:r>
        <w:rPr>
          <w:rFonts w:hint="eastAsia"/>
        </w:rPr>
        <w:t>、在三宝颜地区停留在</w:t>
      </w:r>
      <w:r>
        <w:rPr>
          <w:rFonts w:hint="eastAsia"/>
        </w:rPr>
        <w:t>43.6%</w:t>
      </w:r>
      <w:r>
        <w:rPr>
          <w:rFonts w:hint="eastAsia"/>
        </w:rPr>
        <w:t>这一低水平上。该地区连绵不断的和平与秩序问题使得妇女状况恶化。</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无论在城市还是在农村地区，各个年龄组的性别差距都在缩小（附表</w:t>
      </w:r>
      <w:r>
        <w:rPr>
          <w:rFonts w:hint="eastAsia"/>
        </w:rPr>
        <w:t>B11.2</w:t>
      </w:r>
      <w:r>
        <w:rPr>
          <w:rFonts w:hint="eastAsia"/>
        </w:rPr>
        <w:t>），因为妇女在艰难的经济环境中积极寻求有薪工作，这种环境迫使许多男子退出了劳动力市场。妇女劳动力参与率的改善在</w:t>
      </w:r>
      <w:r>
        <w:rPr>
          <w:rFonts w:hint="eastAsia"/>
        </w:rPr>
        <w:t>25-34</w:t>
      </w:r>
      <w:r>
        <w:rPr>
          <w:rFonts w:hint="eastAsia"/>
        </w:rPr>
        <w:t>岁年龄组中表现得最为一致。</w:t>
      </w:r>
    </w:p>
    <w:p w:rsidR="00000000" w:rsidRDefault="00821B8F">
      <w:pPr>
        <w:pStyle w:val="ListContinue2"/>
        <w:spacing w:line="360" w:lineRule="exact"/>
        <w:ind w:leftChars="0" w:left="0"/>
        <w:rPr>
          <w:rFonts w:eastAsia="SimHei" w:hint="eastAsia"/>
          <w:color w:val="FF0000"/>
        </w:rPr>
      </w:pPr>
      <w:r>
        <w:rPr>
          <w:rFonts w:eastAsia="SimHei" w:hint="eastAsia"/>
          <w:color w:val="FF0000"/>
        </w:rPr>
        <w:t>就业和失业</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2002</w:t>
      </w:r>
      <w:r>
        <w:rPr>
          <w:rFonts w:hint="eastAsia"/>
        </w:rPr>
        <w:t>年</w:t>
      </w:r>
      <w:r>
        <w:rPr>
          <w:rFonts w:hint="eastAsia"/>
        </w:rPr>
        <w:t>10</w:t>
      </w:r>
      <w:r>
        <w:rPr>
          <w:rFonts w:hint="eastAsia"/>
        </w:rPr>
        <w:t>月，共有</w:t>
      </w:r>
      <w:r>
        <w:rPr>
          <w:rFonts w:hint="eastAsia"/>
        </w:rPr>
        <w:t>1 180</w:t>
      </w:r>
      <w:r>
        <w:rPr>
          <w:rFonts w:hint="eastAsia"/>
        </w:rPr>
        <w:t>万妇女在有薪工作或其他有收益的岗位上就业。</w:t>
      </w:r>
      <w:r>
        <w:rPr>
          <w:rFonts w:hint="eastAsia"/>
        </w:rPr>
        <w:t>这个数字比</w:t>
      </w:r>
      <w:r>
        <w:rPr>
          <w:rFonts w:hint="eastAsia"/>
        </w:rPr>
        <w:t>1996</w:t>
      </w:r>
      <w:r>
        <w:rPr>
          <w:rFonts w:hint="eastAsia"/>
        </w:rPr>
        <w:t>年报告的数字多出</w:t>
      </w:r>
      <w:r>
        <w:rPr>
          <w:rFonts w:hint="eastAsia"/>
        </w:rPr>
        <w:t>170</w:t>
      </w:r>
      <w:r>
        <w:rPr>
          <w:rFonts w:hint="eastAsia"/>
        </w:rPr>
        <w:t>万，或者说年增长率为</w:t>
      </w:r>
      <w:r>
        <w:rPr>
          <w:rFonts w:hint="eastAsia"/>
        </w:rPr>
        <w:t>2.8%</w:t>
      </w:r>
      <w:r>
        <w:rPr>
          <w:rFonts w:hint="eastAsia"/>
        </w:rPr>
        <w:t>。男性就业增长较慢，年增长率为</w:t>
      </w:r>
      <w:r>
        <w:rPr>
          <w:rFonts w:hint="eastAsia"/>
        </w:rPr>
        <w:t>1.1%</w:t>
      </w:r>
      <w:r>
        <w:rPr>
          <w:rFonts w:hint="eastAsia"/>
        </w:rPr>
        <w:t>。而妇女占全体雇佣工人的</w:t>
      </w:r>
      <w:r>
        <w:rPr>
          <w:rFonts w:hint="eastAsia"/>
        </w:rPr>
        <w:t>39.1%</w:t>
      </w:r>
      <w:r>
        <w:rPr>
          <w:rFonts w:hint="eastAsia"/>
        </w:rPr>
        <w:t>，达到六年来的最高点（附表</w:t>
      </w:r>
      <w:r>
        <w:rPr>
          <w:rFonts w:hint="eastAsia"/>
        </w:rPr>
        <w:t>B11.3</w:t>
      </w:r>
      <w:r>
        <w:rPr>
          <w:rFonts w:hint="eastAsia"/>
        </w:rPr>
        <w:t>）。到</w:t>
      </w:r>
      <w:r>
        <w:rPr>
          <w:rFonts w:hint="eastAsia"/>
        </w:rPr>
        <w:t>2003</w:t>
      </w:r>
      <w:r>
        <w:rPr>
          <w:rFonts w:hint="eastAsia"/>
        </w:rPr>
        <w:t>年</w:t>
      </w:r>
      <w:r>
        <w:rPr>
          <w:rFonts w:hint="eastAsia"/>
        </w:rPr>
        <w:t>10</w:t>
      </w:r>
      <w:r>
        <w:rPr>
          <w:rFonts w:hint="eastAsia"/>
        </w:rPr>
        <w:t>月，妇女就业率为</w:t>
      </w:r>
      <w:r>
        <w:rPr>
          <w:rFonts w:hint="eastAsia"/>
        </w:rPr>
        <w:t>89.7%</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附表</w:t>
      </w:r>
      <w:r>
        <w:rPr>
          <w:rFonts w:hint="eastAsia"/>
        </w:rPr>
        <w:t>B11.4</w:t>
      </w:r>
      <w:r>
        <w:rPr>
          <w:rFonts w:hint="eastAsia"/>
        </w:rPr>
        <w:t>列出了</w:t>
      </w:r>
      <w:r>
        <w:rPr>
          <w:rFonts w:hint="eastAsia"/>
        </w:rPr>
        <w:t>1996</w:t>
      </w:r>
      <w:r>
        <w:rPr>
          <w:rFonts w:hint="eastAsia"/>
        </w:rPr>
        <w:t>至</w:t>
      </w:r>
      <w:r>
        <w:rPr>
          <w:rFonts w:hint="eastAsia"/>
        </w:rPr>
        <w:t>2002</w:t>
      </w:r>
      <w:r>
        <w:rPr>
          <w:rFonts w:hint="eastAsia"/>
        </w:rPr>
        <w:t>年男女就业率的比较情况。由于</w:t>
      </w:r>
      <w:r>
        <w:rPr>
          <w:rFonts w:hint="eastAsia"/>
        </w:rPr>
        <w:t>1997</w:t>
      </w:r>
      <w:r>
        <w:rPr>
          <w:rFonts w:hint="eastAsia"/>
        </w:rPr>
        <w:t>年金融危机造成的恶果，至今菲律宾仍处在复苏阶段，在这两个年份之间，不论男女总的就业率都在下降。在这一时期，城市妇女失业的人数比农村妇女略多一些。</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在城市地区，能够为受过教育的妇女提供办公室工作，或者制造基地可</w:t>
      </w:r>
      <w:r>
        <w:rPr>
          <w:rFonts w:hint="eastAsia"/>
          <w:color w:val="000000"/>
        </w:rPr>
        <w:t>以吸纳男女熟练工人，或者因为有繁荣的非正规经济，富于创业精神的妇女可以开小店铺，或者接受洗衣工作或生产分包合同，所以妇女的就业或谋生机会比男子乐观。这种情况在国家首都地区最为明显，这里的女性就业率比男子高多了（国家统计局，</w:t>
      </w:r>
      <w:r>
        <w:rPr>
          <w:rFonts w:hint="eastAsia"/>
          <w:color w:val="000000"/>
        </w:rPr>
        <w:t>2002</w:t>
      </w:r>
      <w:r>
        <w:rPr>
          <w:rFonts w:hint="eastAsia"/>
          <w:color w:val="000000"/>
        </w:rPr>
        <w:t>年）。在拥有若干经济区及其所带动的辅助活动的南他加禄地区，以及在比萨扬群岛工业较发达的地区，妇女就业率接近男子。与此相反，在有大片农业区或农业占主导地位的地区，女性就业率落后于男子。在这些地区，妇女主要被视为辅助工人（无报酬家庭劳工）。</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在两个地区，在妇女参与经济活动方面文化准则</w:t>
      </w:r>
      <w:r>
        <w:rPr>
          <w:rFonts w:hint="eastAsia"/>
          <w:color w:val="000000"/>
        </w:rPr>
        <w:t>对就业率产生了显著影响。在科迪勒拉地区，各种文化（包括卡林加族、康加奈族和伊福高族的文化）允许妇女有很大的迁徙自由，除了各种微型企业之外，她们还可以参加采矿、农业和贸易活动。有许多妇女携带家人搬到碧瑶市和其他地方，在那儿经商、乞讨或开始新的生计活动（约瑟夫，</w:t>
      </w:r>
      <w:r>
        <w:rPr>
          <w:rFonts w:hint="eastAsia"/>
          <w:color w:val="000000"/>
        </w:rPr>
        <w:t>2002</w:t>
      </w:r>
      <w:r>
        <w:rPr>
          <w:rFonts w:hint="eastAsia"/>
          <w:color w:val="000000"/>
        </w:rPr>
        <w:t>年）。所有这些积极的经济参与活动体现为该地区的妇女就业率同男子一样高。相比之下，在穆斯林地区，报告的女性失业率比男子高得多。</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正如在许多经济体所见到的，年轻工人的失业率最高。在城市地区，十几岁的男孩子最难找工作，但在农村地区，最难找工作的是十几</w:t>
      </w:r>
      <w:r>
        <w:rPr>
          <w:rFonts w:hint="eastAsia"/>
          <w:color w:val="000000"/>
        </w:rPr>
        <w:t>岁的女孩子（国家统计局，</w:t>
      </w:r>
      <w:r>
        <w:rPr>
          <w:rFonts w:hint="eastAsia"/>
          <w:color w:val="000000"/>
        </w:rPr>
        <w:t>2003</w:t>
      </w:r>
      <w:r>
        <w:rPr>
          <w:rFonts w:hint="eastAsia"/>
          <w:color w:val="000000"/>
        </w:rPr>
        <w:t>年</w:t>
      </w:r>
      <w:r>
        <w:rPr>
          <w:rFonts w:hint="eastAsia"/>
          <w:color w:val="000000"/>
        </w:rPr>
        <w:t>c</w:t>
      </w:r>
      <w:r>
        <w:rPr>
          <w:rFonts w:hint="eastAsia"/>
          <w:color w:val="000000"/>
        </w:rPr>
        <w:t>）。</w:t>
      </w:r>
      <w:r>
        <w:rPr>
          <w:rFonts w:hint="eastAsia"/>
          <w:color w:val="000000"/>
        </w:rPr>
        <w:t>15-24</w:t>
      </w:r>
      <w:r>
        <w:rPr>
          <w:rFonts w:hint="eastAsia"/>
          <w:color w:val="000000"/>
        </w:rPr>
        <w:t>岁年龄组女工的失业率最高：</w:t>
      </w:r>
      <w:r>
        <w:rPr>
          <w:rFonts w:hint="eastAsia"/>
          <w:color w:val="000000"/>
        </w:rPr>
        <w:t>2000</w:t>
      </w:r>
      <w:r>
        <w:rPr>
          <w:rFonts w:hint="eastAsia"/>
          <w:color w:val="000000"/>
        </w:rPr>
        <w:t>年为</w:t>
      </w:r>
      <w:r>
        <w:rPr>
          <w:rFonts w:hint="eastAsia"/>
          <w:color w:val="000000"/>
        </w:rPr>
        <w:t>22.2%, 2003</w:t>
      </w:r>
      <w:r>
        <w:rPr>
          <w:rFonts w:hint="eastAsia"/>
          <w:color w:val="000000"/>
        </w:rPr>
        <w:t>年为</w:t>
      </w:r>
      <w:r>
        <w:rPr>
          <w:rFonts w:hint="eastAsia"/>
          <w:color w:val="000000"/>
        </w:rPr>
        <w:t>23.8%</w:t>
      </w:r>
      <w:r>
        <w:rPr>
          <w:rFonts w:hint="eastAsia"/>
          <w:color w:val="000000"/>
        </w:rPr>
        <w:t>。青少年求职者多为辍学者，他们宁愿工作，也不想完成其高中或大学学业。那些上学时间较长但还没有读完大学的年轻妇女找工作最难。为了帮助青年人找工作，政府在许多城镇设立了公众就业事务办公室。辍学的青少年也可以在政府经营或所属的非正规教育或技术培训中心学习各种工业或谋生技能。他们也可以参加与私人部门合作提供的学徒方案。不过，不论培训中心还是学徒方案，都不是那么容易参加的。</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政府还着手直接为辍</w:t>
      </w:r>
      <w:r>
        <w:rPr>
          <w:rFonts w:hint="eastAsia"/>
          <w:color w:val="000000"/>
        </w:rPr>
        <w:t>学青少年创造就业门路。据报告，</w:t>
      </w:r>
      <w:r>
        <w:rPr>
          <w:rFonts w:hint="eastAsia"/>
          <w:color w:val="000000"/>
        </w:rPr>
        <w:t>2001</w:t>
      </w:r>
      <w:r>
        <w:rPr>
          <w:rFonts w:hint="eastAsia"/>
          <w:color w:val="000000"/>
        </w:rPr>
        <w:t>年</w:t>
      </w:r>
      <w:r>
        <w:rPr>
          <w:rFonts w:hint="eastAsia"/>
          <w:color w:val="000000"/>
        </w:rPr>
        <w:t>7</w:t>
      </w:r>
      <w:r>
        <w:rPr>
          <w:rFonts w:hint="eastAsia"/>
          <w:color w:val="000000"/>
        </w:rPr>
        <w:t>月至</w:t>
      </w:r>
      <w:r>
        <w:rPr>
          <w:rFonts w:hint="eastAsia"/>
          <w:color w:val="000000"/>
        </w:rPr>
        <w:t>2004</w:t>
      </w:r>
      <w:r>
        <w:rPr>
          <w:rFonts w:hint="eastAsia"/>
          <w:color w:val="000000"/>
        </w:rPr>
        <w:t>年</w:t>
      </w:r>
      <w:r>
        <w:rPr>
          <w:rFonts w:hint="eastAsia"/>
          <w:color w:val="000000"/>
        </w:rPr>
        <w:t>4</w:t>
      </w:r>
      <w:r>
        <w:rPr>
          <w:rFonts w:hint="eastAsia"/>
          <w:color w:val="000000"/>
        </w:rPr>
        <w:t>月，政府在卡林加和卡巴坦方案下总共为</w:t>
      </w:r>
      <w:r>
        <w:rPr>
          <w:rFonts w:hint="eastAsia"/>
          <w:color w:val="000000"/>
        </w:rPr>
        <w:t>78 563</w:t>
      </w:r>
      <w:r>
        <w:rPr>
          <w:rFonts w:hint="eastAsia"/>
          <w:color w:val="000000"/>
        </w:rPr>
        <w:t>名失学青少年提供了“应急就业”机会（国家状况演讲，截至</w:t>
      </w:r>
      <w:r>
        <w:rPr>
          <w:rFonts w:hint="eastAsia"/>
          <w:color w:val="000000"/>
        </w:rPr>
        <w:t>2004</w:t>
      </w:r>
      <w:r>
        <w:rPr>
          <w:rFonts w:hint="eastAsia"/>
          <w:color w:val="000000"/>
        </w:rPr>
        <w:t>年</w:t>
      </w:r>
      <w:r>
        <w:rPr>
          <w:rFonts w:hint="eastAsia"/>
          <w:color w:val="000000"/>
        </w:rPr>
        <w:t>4</w:t>
      </w:r>
      <w:r>
        <w:rPr>
          <w:rFonts w:hint="eastAsia"/>
          <w:color w:val="000000"/>
        </w:rPr>
        <w:t>月</w:t>
      </w:r>
      <w:r>
        <w:rPr>
          <w:rFonts w:hint="eastAsia"/>
          <w:color w:val="000000"/>
        </w:rPr>
        <w:t>30</w:t>
      </w:r>
      <w:r>
        <w:rPr>
          <w:rFonts w:hint="eastAsia"/>
          <w:color w:val="000000"/>
        </w:rPr>
        <w:t>日）。另外，</w:t>
      </w:r>
      <w:r>
        <w:rPr>
          <w:rFonts w:hint="eastAsia"/>
          <w:color w:val="000000"/>
        </w:rPr>
        <w:t>2002</w:t>
      </w:r>
      <w:r>
        <w:rPr>
          <w:rFonts w:hint="eastAsia"/>
          <w:color w:val="000000"/>
        </w:rPr>
        <w:t>年</w:t>
      </w:r>
      <w:r>
        <w:rPr>
          <w:rFonts w:hint="eastAsia"/>
          <w:color w:val="000000"/>
        </w:rPr>
        <w:t>7</w:t>
      </w:r>
      <w:r>
        <w:rPr>
          <w:rFonts w:hint="eastAsia"/>
          <w:color w:val="000000"/>
        </w:rPr>
        <w:t>月至</w:t>
      </w:r>
      <w:r>
        <w:rPr>
          <w:rFonts w:hint="eastAsia"/>
          <w:color w:val="000000"/>
        </w:rPr>
        <w:t>2003</w:t>
      </w:r>
      <w:r>
        <w:rPr>
          <w:rFonts w:hint="eastAsia"/>
          <w:color w:val="000000"/>
        </w:rPr>
        <w:t>年</w:t>
      </w:r>
      <w:r>
        <w:rPr>
          <w:rFonts w:hint="eastAsia"/>
          <w:color w:val="000000"/>
        </w:rPr>
        <w:t>1</w:t>
      </w:r>
      <w:r>
        <w:rPr>
          <w:rFonts w:hint="eastAsia"/>
          <w:color w:val="000000"/>
        </w:rPr>
        <w:t>月，政府的</w:t>
      </w:r>
      <w:r>
        <w:rPr>
          <w:rFonts w:hint="eastAsia"/>
          <w:color w:val="000000"/>
        </w:rPr>
        <w:t>OYSTER</w:t>
      </w:r>
      <w:r>
        <w:rPr>
          <w:rFonts w:hint="eastAsia"/>
          <w:color w:val="000000"/>
        </w:rPr>
        <w:t>项目（失学青少年为经济复苏效力）在全国总共培训了</w:t>
      </w:r>
      <w:r>
        <w:rPr>
          <w:rFonts w:hint="eastAsia"/>
          <w:color w:val="000000"/>
        </w:rPr>
        <w:t>62 162</w:t>
      </w:r>
      <w:r>
        <w:rPr>
          <w:rFonts w:hint="eastAsia"/>
          <w:color w:val="000000"/>
        </w:rPr>
        <w:t>名失学的青年男女，培训内容涉及各个谋生和技能领域。虽然这些努力确实为青少年创造了不少就业和谋生门路，但是工作期限都很短，或者可持续性很成问题。</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妇女不像中等教育程度的男工那样在建筑、运输和工业领域有较广泛的就业</w:t>
      </w:r>
      <w:r>
        <w:rPr>
          <w:rFonts w:hint="eastAsia"/>
        </w:rPr>
        <w:t>机会，她们的选择很有限。因此，在各个受教育程度上男子失业率一向低于女性失业率也就不足为怪了。另外，妇女的高学历并不能使她们在农村地区获得多少优势，因为那里的工作（如务农）需要的是中性教育技能。但是在工作要求高等学历的情况下，女性就业率则超过男性。这就说明了为什么在男性就业率方面城乡差距比较大，这表明受教育程度低的男子在农场和农村企业找工作要比在城市更容易。妇女的差距就不这么明显。受过教育的妇女也许在城市会有较好的工作或谋生机会，但是她们必须挣到足够的钱才能雇得起家庭佣工；而农村妇女也许不像城里妇女那样有收入</w:t>
      </w:r>
      <w:r>
        <w:rPr>
          <w:rFonts w:hint="eastAsia"/>
        </w:rPr>
        <w:t>不错的工作，但是她们更有能力兼顾其工资工作、农活儿与其家庭责任。</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总之，</w:t>
      </w:r>
      <w:r>
        <w:rPr>
          <w:rFonts w:hint="eastAsia"/>
        </w:rPr>
        <w:t>1996</w:t>
      </w:r>
      <w:r>
        <w:rPr>
          <w:rFonts w:hint="eastAsia"/>
        </w:rPr>
        <w:t>年工薪劳动者占全部雇佣工人的</w:t>
      </w:r>
      <w:r>
        <w:rPr>
          <w:rFonts w:hint="eastAsia"/>
        </w:rPr>
        <w:t>47.7%</w:t>
      </w:r>
      <w:r>
        <w:rPr>
          <w:rFonts w:hint="eastAsia"/>
        </w:rPr>
        <w:t>，</w:t>
      </w:r>
      <w:r>
        <w:rPr>
          <w:rFonts w:hint="eastAsia"/>
        </w:rPr>
        <w:t>2002</w:t>
      </w:r>
      <w:r>
        <w:rPr>
          <w:rFonts w:hint="eastAsia"/>
        </w:rPr>
        <w:t>年占</w:t>
      </w:r>
      <w:r>
        <w:rPr>
          <w:rFonts w:hint="eastAsia"/>
        </w:rPr>
        <w:t>48.3%</w:t>
      </w:r>
      <w:r>
        <w:rPr>
          <w:rFonts w:hint="eastAsia"/>
        </w:rPr>
        <w:t>。截至</w:t>
      </w:r>
      <w:r>
        <w:rPr>
          <w:rFonts w:hint="eastAsia"/>
        </w:rPr>
        <w:t>2003</w:t>
      </w:r>
      <w:r>
        <w:rPr>
          <w:rFonts w:hint="eastAsia"/>
        </w:rPr>
        <w:t>年</w:t>
      </w:r>
      <w:r>
        <w:rPr>
          <w:rFonts w:hint="eastAsia"/>
        </w:rPr>
        <w:t>10</w:t>
      </w:r>
      <w:r>
        <w:rPr>
          <w:rFonts w:hint="eastAsia"/>
        </w:rPr>
        <w:t>月，在全部工薪劳动者中妇女占</w:t>
      </w:r>
      <w:r>
        <w:rPr>
          <w:rFonts w:hint="eastAsia"/>
        </w:rPr>
        <w:t>37.5%</w:t>
      </w:r>
      <w:r>
        <w:rPr>
          <w:rFonts w:hint="eastAsia"/>
        </w:rPr>
        <w:t>。雇佣工人当中有多一半不是为工资而工作的，而是作为自营职业者或雇主（</w:t>
      </w:r>
      <w:r>
        <w:rPr>
          <w:rFonts w:hint="eastAsia"/>
        </w:rPr>
        <w:t>2002</w:t>
      </w:r>
      <w:r>
        <w:rPr>
          <w:rFonts w:hint="eastAsia"/>
        </w:rPr>
        <w:t>年约占</w:t>
      </w:r>
      <w:r>
        <w:rPr>
          <w:rFonts w:hint="eastAsia"/>
        </w:rPr>
        <w:t>38%</w:t>
      </w:r>
      <w:r>
        <w:rPr>
          <w:rFonts w:hint="eastAsia"/>
        </w:rPr>
        <w:t>），或者作为无报酬家庭工人（占</w:t>
      </w:r>
      <w:r>
        <w:rPr>
          <w:rFonts w:hint="eastAsia"/>
        </w:rPr>
        <w:t>14%</w:t>
      </w:r>
      <w:r>
        <w:rPr>
          <w:rFonts w:hint="eastAsia"/>
        </w:rPr>
        <w:t>）从事自给型工作。在无报酬家庭工人中妇女占一多半，而在自给劳动者当中男子占一多半（附表</w:t>
      </w:r>
      <w:r>
        <w:rPr>
          <w:rFonts w:hint="eastAsia"/>
        </w:rPr>
        <w:t>B11.5</w:t>
      </w:r>
      <w:r>
        <w:rPr>
          <w:rFonts w:hint="eastAsia"/>
        </w:rPr>
        <w:t>）。截至</w:t>
      </w:r>
      <w:r>
        <w:rPr>
          <w:rFonts w:hint="eastAsia"/>
        </w:rPr>
        <w:t>2003</w:t>
      </w:r>
      <w:r>
        <w:rPr>
          <w:rFonts w:hint="eastAsia"/>
        </w:rPr>
        <w:t>年</w:t>
      </w:r>
      <w:r>
        <w:rPr>
          <w:rFonts w:hint="eastAsia"/>
        </w:rPr>
        <w:t>10</w:t>
      </w:r>
      <w:r>
        <w:rPr>
          <w:rFonts w:hint="eastAsia"/>
        </w:rPr>
        <w:t>月，妇女占自营职业者</w:t>
      </w:r>
      <w:r>
        <w:rPr>
          <w:rFonts w:hint="eastAsia"/>
        </w:rPr>
        <w:t>/</w:t>
      </w:r>
      <w:r>
        <w:rPr>
          <w:rFonts w:hint="eastAsia"/>
        </w:rPr>
        <w:t>雇主的</w:t>
      </w:r>
      <w:r>
        <w:rPr>
          <w:rFonts w:hint="eastAsia"/>
        </w:rPr>
        <w:t>33.2%</w:t>
      </w:r>
      <w:r>
        <w:rPr>
          <w:rFonts w:hint="eastAsia"/>
        </w:rPr>
        <w:t>，占无报酬家庭工人的</w:t>
      </w:r>
      <w:r>
        <w:rPr>
          <w:rFonts w:hint="eastAsia"/>
        </w:rPr>
        <w:t>54.9%</w:t>
      </w:r>
      <w:r>
        <w:rPr>
          <w:rFonts w:hint="eastAsia"/>
        </w:rPr>
        <w:t>。在工薪劳动者中男子人数也超过妇女人数，尽管至少自</w:t>
      </w:r>
      <w:r>
        <w:rPr>
          <w:rFonts w:hint="eastAsia"/>
        </w:rPr>
        <w:t>1996</w:t>
      </w:r>
      <w:r>
        <w:rPr>
          <w:rFonts w:hint="eastAsia"/>
        </w:rPr>
        <w:t>年以来女工人数在工资就业中在逐年增加。</w:t>
      </w:r>
    </w:p>
    <w:p w:rsidR="00000000" w:rsidRDefault="00821B8F">
      <w:pPr>
        <w:pStyle w:val="ListContinue2"/>
        <w:spacing w:line="360" w:lineRule="exact"/>
        <w:ind w:leftChars="0" w:left="0"/>
        <w:rPr>
          <w:rFonts w:eastAsia="SimHei" w:hint="eastAsia"/>
          <w:color w:val="FF0000"/>
        </w:rPr>
      </w:pPr>
      <w:r>
        <w:rPr>
          <w:rFonts w:eastAsia="SimHei" w:hint="eastAsia"/>
          <w:color w:val="FF0000"/>
        </w:rPr>
        <w:t>职业分布、雇佣做法和加入工会</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在菲律宾，工作和生计主要是私人部门提供的，约占雇佣劳动力的</w:t>
      </w:r>
      <w:r>
        <w:rPr>
          <w:rFonts w:hint="eastAsia"/>
        </w:rPr>
        <w:t>43%</w:t>
      </w:r>
      <w:r>
        <w:rPr>
          <w:rFonts w:hint="eastAsia"/>
        </w:rPr>
        <w:t>。政府或公共部门雇佣人数约占</w:t>
      </w:r>
      <w:r>
        <w:rPr>
          <w:rFonts w:hint="eastAsia"/>
        </w:rPr>
        <w:t>6%</w:t>
      </w:r>
      <w:r>
        <w:rPr>
          <w:rFonts w:hint="eastAsia"/>
        </w:rPr>
        <w:t>。其余是无报酬家庭工人（</w:t>
      </w:r>
      <w:r>
        <w:rPr>
          <w:rFonts w:hint="eastAsia"/>
        </w:rPr>
        <w:t>10%</w:t>
      </w:r>
      <w:r>
        <w:rPr>
          <w:rFonts w:hint="eastAsia"/>
        </w:rPr>
        <w:t>）和自营职业者（</w:t>
      </w:r>
      <w:r>
        <w:rPr>
          <w:rFonts w:hint="eastAsia"/>
        </w:rPr>
        <w:t>40%</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1998</w:t>
      </w:r>
      <w:r>
        <w:rPr>
          <w:rFonts w:hint="eastAsia"/>
        </w:rPr>
        <w:t>年，大约</w:t>
      </w:r>
      <w:r>
        <w:rPr>
          <w:rFonts w:hint="eastAsia"/>
        </w:rPr>
        <w:t>40%</w:t>
      </w:r>
      <w:r>
        <w:rPr>
          <w:rFonts w:hint="eastAsia"/>
        </w:rPr>
        <w:t>的工人在农业，</w:t>
      </w:r>
      <w:r>
        <w:rPr>
          <w:rFonts w:hint="eastAsia"/>
        </w:rPr>
        <w:t>32%</w:t>
      </w:r>
      <w:r>
        <w:rPr>
          <w:rFonts w:hint="eastAsia"/>
        </w:rPr>
        <w:t>在商业和服务业，</w:t>
      </w:r>
      <w:r>
        <w:rPr>
          <w:rFonts w:hint="eastAsia"/>
        </w:rPr>
        <w:t>10%</w:t>
      </w:r>
      <w:r>
        <w:rPr>
          <w:rFonts w:hint="eastAsia"/>
        </w:rPr>
        <w:t>在制造业，</w:t>
      </w:r>
      <w:r>
        <w:rPr>
          <w:rFonts w:hint="eastAsia"/>
        </w:rPr>
        <w:t>5%</w:t>
      </w:r>
      <w:r>
        <w:rPr>
          <w:rFonts w:hint="eastAsia"/>
        </w:rPr>
        <w:t>在建筑业，其余的</w:t>
      </w:r>
      <w:r>
        <w:rPr>
          <w:rFonts w:hint="eastAsia"/>
        </w:rPr>
        <w:t>13%</w:t>
      </w:r>
      <w:r>
        <w:rPr>
          <w:rFonts w:hint="eastAsia"/>
        </w:rPr>
        <w:t>在采矿采石业和公用设施产业（劳动和就业统计局，</w:t>
      </w:r>
      <w:r>
        <w:rPr>
          <w:rFonts w:hint="eastAsia"/>
        </w:rPr>
        <w:t>2000</w:t>
      </w:r>
      <w:r>
        <w:rPr>
          <w:rFonts w:hint="eastAsia"/>
        </w:rPr>
        <w:t>年）。菲律宾妇女在两大类产业中占多数，即：商业，特别是小型零售业；服务业</w:t>
      </w:r>
      <w:r>
        <w:rPr>
          <w:rFonts w:hint="eastAsia"/>
        </w:rPr>
        <w:t>，主要是社区、社会和个人服务。</w:t>
      </w:r>
      <w:r>
        <w:rPr>
          <w:rFonts w:hint="eastAsia"/>
          <w:color w:val="000000"/>
        </w:rPr>
        <w:t>2003</w:t>
      </w:r>
      <w:r>
        <w:rPr>
          <w:rFonts w:hint="eastAsia"/>
          <w:color w:val="000000"/>
        </w:rPr>
        <w:t>年</w:t>
      </w:r>
      <w:r>
        <w:rPr>
          <w:rFonts w:hint="eastAsia"/>
          <w:color w:val="000000"/>
        </w:rPr>
        <w:t>10</w:t>
      </w:r>
      <w:r>
        <w:rPr>
          <w:rFonts w:hint="eastAsia"/>
          <w:color w:val="000000"/>
        </w:rPr>
        <w:t>月</w:t>
      </w:r>
      <w:r>
        <w:rPr>
          <w:rFonts w:hint="eastAsia"/>
        </w:rPr>
        <w:t>的劳动力调查结果显示了同样的分布格局，其中，在如下部门妇女多于男子：教育部门（</w:t>
      </w:r>
      <w:r>
        <w:rPr>
          <w:rFonts w:hint="eastAsia"/>
        </w:rPr>
        <w:t>75.8%</w:t>
      </w:r>
      <w:r>
        <w:rPr>
          <w:rFonts w:hint="eastAsia"/>
        </w:rPr>
        <w:t>）；卫生和社会工作（</w:t>
      </w:r>
      <w:r>
        <w:rPr>
          <w:rFonts w:hint="eastAsia"/>
        </w:rPr>
        <w:t>76.2%</w:t>
      </w:r>
      <w:r>
        <w:rPr>
          <w:rFonts w:hint="eastAsia"/>
        </w:rPr>
        <w:t>）；批发和零售业（</w:t>
      </w:r>
      <w:r>
        <w:rPr>
          <w:rFonts w:hint="eastAsia"/>
        </w:rPr>
        <w:t>60.2%</w:t>
      </w:r>
      <w:r>
        <w:rPr>
          <w:rFonts w:hint="eastAsia"/>
        </w:rPr>
        <w:t>）；饭店和餐馆（</w:t>
      </w:r>
      <w:r>
        <w:rPr>
          <w:rFonts w:hint="eastAsia"/>
        </w:rPr>
        <w:t>56.5%</w:t>
      </w:r>
      <w:r>
        <w:rPr>
          <w:rFonts w:hint="eastAsia"/>
        </w:rPr>
        <w:t>）。与此同时，在下列部门妇女仍居少数：建筑业（</w:t>
      </w:r>
      <w:r>
        <w:rPr>
          <w:rFonts w:hint="eastAsia"/>
        </w:rPr>
        <w:t>2.0%</w:t>
      </w:r>
      <w:r>
        <w:rPr>
          <w:rFonts w:hint="eastAsia"/>
        </w:rPr>
        <w:t>）；运输、仓储和交通（</w:t>
      </w:r>
      <w:r>
        <w:rPr>
          <w:rFonts w:hint="eastAsia"/>
        </w:rPr>
        <w:t>4.7%</w:t>
      </w:r>
      <w:r>
        <w:rPr>
          <w:rFonts w:hint="eastAsia"/>
        </w:rPr>
        <w:t>）；采矿和采石（</w:t>
      </w:r>
      <w:r>
        <w:rPr>
          <w:rFonts w:hint="eastAsia"/>
        </w:rPr>
        <w:t>5.9%</w:t>
      </w:r>
      <w:r>
        <w:rPr>
          <w:rFonts w:hint="eastAsia"/>
        </w:rPr>
        <w:t>）；渔业部门（</w:t>
      </w:r>
      <w:r>
        <w:rPr>
          <w:rFonts w:hint="eastAsia"/>
        </w:rPr>
        <w:t>7.4%</w:t>
      </w:r>
      <w:r>
        <w:rPr>
          <w:rFonts w:hint="eastAsia"/>
        </w:rPr>
        <w:t>）；电气水部门（</w:t>
      </w:r>
      <w:r>
        <w:rPr>
          <w:rFonts w:hint="eastAsia"/>
        </w:rPr>
        <w:t>18.4%</w:t>
      </w:r>
      <w:r>
        <w:rPr>
          <w:rFonts w:hint="eastAsia"/>
        </w:rPr>
        <w:t>）（国家统计局，</w:t>
      </w:r>
      <w:r>
        <w:rPr>
          <w:rFonts w:hint="eastAsia"/>
        </w:rPr>
        <w:t>2003</w:t>
      </w:r>
      <w:r>
        <w:rPr>
          <w:rFonts w:hint="eastAsia"/>
        </w:rPr>
        <w:t>年</w:t>
      </w:r>
      <w:r>
        <w:rPr>
          <w:rFonts w:hint="eastAsia"/>
        </w:rPr>
        <w:t>c</w:t>
      </w:r>
      <w:r>
        <w:rPr>
          <w:rFonts w:hint="eastAsia"/>
        </w:rPr>
        <w:t>）。女性在制造业劳动力中占</w:t>
      </w:r>
      <w:r>
        <w:rPr>
          <w:rFonts w:hint="eastAsia"/>
        </w:rPr>
        <w:t>45.0%</w:t>
      </w:r>
      <w:r>
        <w:rPr>
          <w:rFonts w:hint="eastAsia"/>
        </w:rPr>
        <w:t>；在农业中占</w:t>
      </w:r>
      <w:r>
        <w:rPr>
          <w:rFonts w:hint="eastAsia"/>
        </w:rPr>
        <w:t>27.8%</w:t>
      </w:r>
      <w:r>
        <w:rPr>
          <w:rFonts w:hint="eastAsia"/>
        </w:rPr>
        <w:t>。除了不赞成妇女经商的穆斯林社会以外，“销售”适合那</w:t>
      </w:r>
      <w:r>
        <w:rPr>
          <w:rFonts w:hint="eastAsia"/>
        </w:rPr>
        <w:t>些有耐心、有爱心和关注他人需求的“女性”</w:t>
      </w:r>
      <w:r>
        <w:rPr>
          <w:rFonts w:hint="eastAsia"/>
        </w:rPr>
        <w:t xml:space="preserve"> </w:t>
      </w:r>
      <w:r>
        <w:rPr>
          <w:rFonts w:hint="eastAsia"/>
        </w:rPr>
        <w:t>气质特征的人来做，人们认为，这些特征对于培育忠诚的顾客核心至关重要。不过，在大型批发的贸易公司，还是男工多于女工。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妇女在文秘、销售和服务岗位上居多数。跟以往一样，</w:t>
      </w:r>
      <w:r>
        <w:rPr>
          <w:rFonts w:hint="eastAsia"/>
        </w:rPr>
        <w:t>2003</w:t>
      </w:r>
      <w:r>
        <w:rPr>
          <w:rFonts w:hint="eastAsia"/>
        </w:rPr>
        <w:t>年</w:t>
      </w:r>
      <w:r>
        <w:rPr>
          <w:rFonts w:hint="eastAsia"/>
        </w:rPr>
        <w:t>10</w:t>
      </w:r>
      <w:r>
        <w:rPr>
          <w:rFonts w:hint="eastAsia"/>
        </w:rPr>
        <w:t>月，在下列人员中妇女比男子多：专业人员（</w:t>
      </w:r>
      <w:r>
        <w:rPr>
          <w:rFonts w:hint="eastAsia"/>
        </w:rPr>
        <w:t>67.4%</w:t>
      </w:r>
      <w:r>
        <w:rPr>
          <w:rFonts w:hint="eastAsia"/>
        </w:rPr>
        <w:t>）；职员（</w:t>
      </w:r>
      <w:r>
        <w:rPr>
          <w:rFonts w:hint="eastAsia"/>
        </w:rPr>
        <w:t>66.1%</w:t>
      </w:r>
      <w:r>
        <w:rPr>
          <w:rFonts w:hint="eastAsia"/>
        </w:rPr>
        <w:t>）；以及政府官员、公司高级行政人员、经理、经营者和监理（</w:t>
      </w:r>
      <w:r>
        <w:rPr>
          <w:rFonts w:hint="eastAsia"/>
        </w:rPr>
        <w:t>55.7%</w:t>
      </w:r>
      <w:r>
        <w:rPr>
          <w:rFonts w:hint="eastAsia"/>
        </w:rPr>
        <w:t>）（国家统计局，</w:t>
      </w:r>
      <w:r>
        <w:rPr>
          <w:rFonts w:hint="eastAsia"/>
        </w:rPr>
        <w:t>2003</w:t>
      </w:r>
      <w:r>
        <w:rPr>
          <w:rFonts w:hint="eastAsia"/>
        </w:rPr>
        <w:t>年</w:t>
      </w:r>
      <w:r>
        <w:rPr>
          <w:rFonts w:hint="eastAsia"/>
        </w:rPr>
        <w:t>c</w:t>
      </w:r>
      <w:r>
        <w:rPr>
          <w:rFonts w:hint="eastAsia"/>
        </w:rPr>
        <w:t>）。在服务业职工中妇女也略多于男子（</w:t>
      </w:r>
      <w:r>
        <w:rPr>
          <w:rFonts w:hint="eastAsia"/>
        </w:rPr>
        <w:t>50.2%</w:t>
      </w:r>
      <w:r>
        <w:rPr>
          <w:rFonts w:hint="eastAsia"/>
        </w:rPr>
        <w:t>）。她们接受的大学教育或技术培训有助于她们找到教师、护士和助产士的工作，这些岗位</w:t>
      </w:r>
      <w:r>
        <w:rPr>
          <w:rFonts w:hint="eastAsia"/>
        </w:rPr>
        <w:t>虽然分在“专业人员”类别下，但也可以视为妇女性别角色的延伸。相比之下，男工一般从事需要体力的“男子汉”工作。因此，妇女在以下人员中居少数：机械操作员和装配工（</w:t>
      </w:r>
      <w:r>
        <w:rPr>
          <w:rFonts w:hint="eastAsia"/>
        </w:rPr>
        <w:t>8.9%</w:t>
      </w:r>
      <w:r>
        <w:rPr>
          <w:rFonts w:hint="eastAsia"/>
        </w:rPr>
        <w:t>）；农民、渔民和伐木工（</w:t>
      </w:r>
      <w:r>
        <w:rPr>
          <w:rFonts w:hint="eastAsia"/>
        </w:rPr>
        <w:t>15.1%</w:t>
      </w:r>
      <w:r>
        <w:rPr>
          <w:rFonts w:hint="eastAsia"/>
        </w:rPr>
        <w:t>）；贸易及相关工人（</w:t>
      </w:r>
      <w:r>
        <w:rPr>
          <w:rFonts w:hint="eastAsia"/>
        </w:rPr>
        <w:t>26.1%</w:t>
      </w:r>
      <w:r>
        <w:rPr>
          <w:rFonts w:hint="eastAsia"/>
        </w:rPr>
        <w:t>）；以及劳工和非熟练工人（</w:t>
      </w:r>
      <w:r>
        <w:rPr>
          <w:rFonts w:hint="eastAsia"/>
        </w:rPr>
        <w:t>44.3%</w:t>
      </w:r>
      <w:r>
        <w:rPr>
          <w:rFonts w:hint="eastAsia"/>
        </w:rPr>
        <w:t>）。</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女工集中在某些产业或职业可能与接受大学培训或开始职业生涯时基于性别的选择有关，也可能与“就业前的性别歧视”有关，各种具有性别歧视的招聘广告就是明证（莫拉达和桑托斯，</w:t>
      </w:r>
      <w:r>
        <w:rPr>
          <w:rFonts w:hint="eastAsia"/>
          <w:color w:val="000000"/>
        </w:rPr>
        <w:t>1998</w:t>
      </w:r>
      <w:r>
        <w:rPr>
          <w:rFonts w:hint="eastAsia"/>
          <w:color w:val="000000"/>
        </w:rPr>
        <w:t>年）。</w:t>
      </w:r>
      <w:r>
        <w:rPr>
          <w:rFonts w:hint="eastAsia"/>
          <w:color w:val="000000"/>
        </w:rPr>
        <w:t>1975</w:t>
      </w:r>
      <w:r>
        <w:rPr>
          <w:rFonts w:hint="eastAsia"/>
          <w:color w:val="000000"/>
        </w:rPr>
        <w:t>至</w:t>
      </w:r>
      <w:r>
        <w:rPr>
          <w:rFonts w:hint="eastAsia"/>
          <w:color w:val="000000"/>
        </w:rPr>
        <w:t>1995</w:t>
      </w:r>
      <w:r>
        <w:rPr>
          <w:rFonts w:hint="eastAsia"/>
          <w:color w:val="000000"/>
        </w:rPr>
        <w:t>年，劳动和就业统计局注意到歧视性印刷广告的</w:t>
      </w:r>
      <w:r>
        <w:rPr>
          <w:rFonts w:hint="eastAsia"/>
          <w:color w:val="000000"/>
        </w:rPr>
        <w:t>比例普遍减少，尤其在</w:t>
      </w:r>
      <w:r>
        <w:rPr>
          <w:rFonts w:hint="eastAsia"/>
          <w:color w:val="000000"/>
        </w:rPr>
        <w:t>1975</w:t>
      </w:r>
      <w:r>
        <w:rPr>
          <w:rFonts w:hint="eastAsia"/>
          <w:color w:val="000000"/>
        </w:rPr>
        <w:t>至</w:t>
      </w:r>
      <w:r>
        <w:rPr>
          <w:rFonts w:hint="eastAsia"/>
          <w:color w:val="000000"/>
        </w:rPr>
        <w:t>1985</w:t>
      </w:r>
      <w:r>
        <w:rPr>
          <w:rFonts w:hint="eastAsia"/>
          <w:color w:val="000000"/>
        </w:rPr>
        <w:t>年间；但是也注意到招聘女会计和男侍者的倾向加重。实际上，在偏向方向上似乎也有逆转。例如，</w:t>
      </w:r>
      <w:r>
        <w:rPr>
          <w:rFonts w:hint="eastAsia"/>
          <w:color w:val="000000"/>
        </w:rPr>
        <w:t>1975</w:t>
      </w:r>
      <w:r>
        <w:rPr>
          <w:rFonts w:hint="eastAsia"/>
          <w:color w:val="000000"/>
        </w:rPr>
        <w:t>年，雇主希望雇用男会计和女厨师。二十年后，他们则登广告招聘女会计和“男厨师”。</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其他领域性别偏向也经久不衰。有些岗位仍然青睐女性，譬如收银员、秘书、护士、教师、招待员和纺织工。性别偏向似乎以雇主的一种观念为根据：妇女一般（比较）可靠、诚实、细致、有耐心。跟从前的成衣业一样，现在的半导体和电子公司据说青睐年轻妇女，因为“她们工资级别低、手指灵活，而且有耐性，肯听话。</w:t>
      </w:r>
      <w:r>
        <w:rPr>
          <w:rFonts w:hint="eastAsia"/>
          <w:lang w:val="en-GB"/>
        </w:rPr>
        <w:t>”（</w:t>
      </w:r>
      <w:r>
        <w:rPr>
          <w:rFonts w:hint="eastAsia"/>
          <w:color w:val="000000"/>
        </w:rPr>
        <w:t>阿加</w:t>
      </w:r>
      <w:r>
        <w:rPr>
          <w:rFonts w:hint="eastAsia"/>
          <w:color w:val="000000"/>
        </w:rPr>
        <w:t>尼翁</w:t>
      </w:r>
      <w:r>
        <w:rPr>
          <w:rFonts w:hint="eastAsia"/>
          <w:lang w:val="en-GB"/>
        </w:rPr>
        <w:t>，</w:t>
      </w:r>
      <w:r>
        <w:rPr>
          <w:rFonts w:hint="eastAsia"/>
        </w:rPr>
        <w:t>1999</w:t>
      </w:r>
      <w:r>
        <w:rPr>
          <w:rFonts w:hint="eastAsia"/>
        </w:rPr>
        <w:t>年：</w:t>
      </w:r>
      <w:r>
        <w:rPr>
          <w:rFonts w:hint="eastAsia"/>
        </w:rPr>
        <w:t>71</w:t>
      </w:r>
      <w:r>
        <w:rPr>
          <w:rFonts w:hint="eastAsia"/>
          <w:lang w:val="en-GB"/>
        </w:rPr>
        <w:t>）</w:t>
      </w:r>
      <w:r>
        <w:rPr>
          <w:rFonts w:hint="eastAsia"/>
        </w:rPr>
        <w:t>。招聘广告中注明“男士优先”的行业有：司机、邮递员、机械师和保安。随着女工程师增多和越来越多的女经理业绩出众，这些方面对男子的偏向也不像从前那么僵硬了。随着雇主性别偏向趋于缓和，男女的就业机会都在扩大。</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1995</w:t>
      </w:r>
      <w:r>
        <w:rPr>
          <w:rFonts w:hint="eastAsia"/>
        </w:rPr>
        <w:t>年，全国共有</w:t>
      </w:r>
      <w:r>
        <w:rPr>
          <w:rFonts w:hint="eastAsia"/>
        </w:rPr>
        <w:t>7 882</w:t>
      </w:r>
      <w:r>
        <w:rPr>
          <w:rFonts w:hint="eastAsia"/>
        </w:rPr>
        <w:t>个工会，会员总数达</w:t>
      </w:r>
      <w:r>
        <w:rPr>
          <w:rFonts w:hint="eastAsia"/>
        </w:rPr>
        <w:t>360</w:t>
      </w:r>
      <w:r>
        <w:rPr>
          <w:rFonts w:hint="eastAsia"/>
        </w:rPr>
        <w:t>万。</w:t>
      </w:r>
      <w:r>
        <w:rPr>
          <w:rFonts w:hint="eastAsia"/>
        </w:rPr>
        <w:t>1998</w:t>
      </w:r>
      <w:r>
        <w:rPr>
          <w:rFonts w:hint="eastAsia"/>
        </w:rPr>
        <w:t>年和</w:t>
      </w:r>
      <w:r>
        <w:rPr>
          <w:rFonts w:hint="eastAsia"/>
        </w:rPr>
        <w:t>2000</w:t>
      </w:r>
      <w:r>
        <w:rPr>
          <w:rFonts w:hint="eastAsia"/>
        </w:rPr>
        <w:t>年分别增至</w:t>
      </w:r>
      <w:r>
        <w:rPr>
          <w:rFonts w:hint="eastAsia"/>
        </w:rPr>
        <w:t>9 374</w:t>
      </w:r>
      <w:r>
        <w:rPr>
          <w:rFonts w:hint="eastAsia"/>
        </w:rPr>
        <w:t>个和</w:t>
      </w:r>
      <w:r>
        <w:rPr>
          <w:rFonts w:hint="eastAsia"/>
        </w:rPr>
        <w:t>10 296</w:t>
      </w:r>
      <w:r>
        <w:rPr>
          <w:rFonts w:hint="eastAsia"/>
        </w:rPr>
        <w:t>个（国家统计局，</w:t>
      </w:r>
      <w:r>
        <w:rPr>
          <w:rFonts w:hint="eastAsia"/>
        </w:rPr>
        <w:t>2002</w:t>
      </w:r>
      <w:r>
        <w:rPr>
          <w:rFonts w:hint="eastAsia"/>
        </w:rPr>
        <w:t>年）。</w:t>
      </w:r>
      <w:r>
        <w:rPr>
          <w:rFonts w:hint="eastAsia"/>
        </w:rPr>
        <w:t>2002</w:t>
      </w:r>
      <w:r>
        <w:rPr>
          <w:rFonts w:hint="eastAsia"/>
        </w:rPr>
        <w:t>年，共有</w:t>
      </w:r>
      <w:r>
        <w:rPr>
          <w:rFonts w:hint="eastAsia"/>
        </w:rPr>
        <w:t>11 365</w:t>
      </w:r>
      <w:r>
        <w:rPr>
          <w:rFonts w:hint="eastAsia"/>
        </w:rPr>
        <w:t>个劳工组织（劳动和就业统计局，</w:t>
      </w:r>
      <w:r>
        <w:rPr>
          <w:rFonts w:hint="eastAsia"/>
        </w:rPr>
        <w:t>2003</w:t>
      </w:r>
      <w:r>
        <w:rPr>
          <w:rFonts w:hint="eastAsia"/>
        </w:rPr>
        <w:t>年</w:t>
      </w:r>
      <w:r>
        <w:rPr>
          <w:rFonts w:hint="eastAsia"/>
        </w:rPr>
        <w:t>a</w:t>
      </w:r>
      <w:r>
        <w:rPr>
          <w:rFonts w:hint="eastAsia"/>
        </w:rPr>
        <w:t>）。到</w:t>
      </w:r>
      <w:r>
        <w:rPr>
          <w:rFonts w:hint="eastAsia"/>
        </w:rPr>
        <w:t>2003</w:t>
      </w:r>
      <w:r>
        <w:rPr>
          <w:rFonts w:hint="eastAsia"/>
        </w:rPr>
        <w:t>年</w:t>
      </w:r>
      <w:r>
        <w:rPr>
          <w:rFonts w:hint="eastAsia"/>
        </w:rPr>
        <w:t>9</w:t>
      </w:r>
      <w:r>
        <w:rPr>
          <w:rFonts w:hint="eastAsia"/>
        </w:rPr>
        <w:t>月，已增至</w:t>
      </w:r>
      <w:r>
        <w:rPr>
          <w:rFonts w:hint="eastAsia"/>
        </w:rPr>
        <w:t>11 796</w:t>
      </w:r>
      <w:r>
        <w:rPr>
          <w:rFonts w:hint="eastAsia"/>
        </w:rPr>
        <w:t>个（劳动和就业统计局，</w:t>
      </w:r>
      <w:r>
        <w:rPr>
          <w:rFonts w:hint="eastAsia"/>
        </w:rPr>
        <w:t>200</w:t>
      </w:r>
      <w:r>
        <w:rPr>
          <w:rFonts w:hint="eastAsia"/>
        </w:rPr>
        <w:t>3</w:t>
      </w:r>
      <w:r>
        <w:rPr>
          <w:rFonts w:hint="eastAsia"/>
        </w:rPr>
        <w:t>年）。与此同时，工会会员从</w:t>
      </w:r>
      <w:r>
        <w:rPr>
          <w:rFonts w:hint="eastAsia"/>
        </w:rPr>
        <w:t>2002</w:t>
      </w:r>
      <w:r>
        <w:rPr>
          <w:rFonts w:hint="eastAsia"/>
        </w:rPr>
        <w:t>年的</w:t>
      </w:r>
      <w:r>
        <w:rPr>
          <w:rFonts w:hint="eastAsia"/>
        </w:rPr>
        <w:t>392</w:t>
      </w:r>
      <w:r>
        <w:rPr>
          <w:rFonts w:hint="eastAsia"/>
        </w:rPr>
        <w:t>万人增至</w:t>
      </w:r>
      <w:r>
        <w:rPr>
          <w:rFonts w:hint="eastAsia"/>
        </w:rPr>
        <w:t>2003</w:t>
      </w:r>
      <w:r>
        <w:rPr>
          <w:rFonts w:hint="eastAsia"/>
        </w:rPr>
        <w:t>年</w:t>
      </w:r>
      <w:r>
        <w:rPr>
          <w:rFonts w:hint="eastAsia"/>
        </w:rPr>
        <w:t>9</w:t>
      </w:r>
      <w:r>
        <w:rPr>
          <w:rFonts w:hint="eastAsia"/>
        </w:rPr>
        <w:t>月的</w:t>
      </w:r>
      <w:r>
        <w:rPr>
          <w:rFonts w:hint="eastAsia"/>
        </w:rPr>
        <w:t>396</w:t>
      </w:r>
      <w:r>
        <w:rPr>
          <w:rFonts w:hint="eastAsia"/>
        </w:rPr>
        <w:t>万人。妇女占会员总数的三分之一以下。大约</w:t>
      </w:r>
      <w:r>
        <w:rPr>
          <w:rFonts w:hint="eastAsia"/>
        </w:rPr>
        <w:t>75%</w:t>
      </w:r>
      <w:r>
        <w:rPr>
          <w:rFonts w:hint="eastAsia"/>
        </w:rPr>
        <w:t>的工会女会员来自私人部门，</w:t>
      </w:r>
      <w:r>
        <w:rPr>
          <w:rFonts w:hint="eastAsia"/>
        </w:rPr>
        <w:t>25%</w:t>
      </w:r>
      <w:r>
        <w:rPr>
          <w:rFonts w:hint="eastAsia"/>
        </w:rPr>
        <w:t>来自公共部门。据劳工部估计，在工会领导人中妇女约占</w:t>
      </w:r>
      <w:r>
        <w:rPr>
          <w:rFonts w:hint="eastAsia"/>
        </w:rPr>
        <w:t>26%</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最高层的劳工组织，如自由工人联合会、全国劳工联合会和菲律宾工会代表大会及其所属的分会，已通过各种方式来努力解决性别关注问题（伊洛，</w:t>
      </w:r>
      <w:r>
        <w:rPr>
          <w:rFonts w:hint="eastAsia"/>
        </w:rPr>
        <w:t xml:space="preserve"> 2002</w:t>
      </w:r>
      <w:r>
        <w:rPr>
          <w:rFonts w:hint="eastAsia"/>
        </w:rPr>
        <w:t>年</w:t>
      </w:r>
      <w:r>
        <w:rPr>
          <w:rFonts w:hint="eastAsia"/>
        </w:rPr>
        <w:t>b</w:t>
      </w:r>
      <w:r>
        <w:rPr>
          <w:rFonts w:hint="eastAsia"/>
        </w:rPr>
        <w:t>）。全国劳工联合会首次任命了一位女秘书长。有一个劳工组织通过为妇女分配若干个理事会席位和</w:t>
      </w:r>
      <w:r>
        <w:rPr>
          <w:rFonts w:hint="eastAsia"/>
        </w:rPr>
        <w:t>/</w:t>
      </w:r>
      <w:r>
        <w:rPr>
          <w:rFonts w:hint="eastAsia"/>
        </w:rPr>
        <w:t>或成立一个专门小组来监督与女会员有关的方案或项目并领导本组织内</w:t>
      </w:r>
      <w:r>
        <w:rPr>
          <w:rFonts w:hint="eastAsia"/>
        </w:rPr>
        <w:t>的性别与发展倡议，为妇女创造担任领导的机会。另一个组织集中力量培养女成员的领导能力；自由工人联合会则培养女成员参加谈判以达成集体谈判协议。性别与发展倡议的第三个方面是性骚扰问题（见下文有关章节），另一个涉及非正规部门的女工问题。</w:t>
      </w:r>
    </w:p>
    <w:p w:rsidR="00000000" w:rsidRDefault="00821B8F">
      <w:pPr>
        <w:pStyle w:val="ListContinue2"/>
        <w:spacing w:line="360" w:lineRule="exact"/>
        <w:ind w:leftChars="0" w:left="0"/>
        <w:rPr>
          <w:rFonts w:eastAsia="SimHei" w:hint="eastAsia"/>
          <w:color w:val="FF0000"/>
        </w:rPr>
      </w:pPr>
      <w:r>
        <w:rPr>
          <w:rFonts w:eastAsia="SimHei" w:hint="eastAsia"/>
          <w:color w:val="FF0000"/>
        </w:rPr>
        <w:t>就业条件和工作条件</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菲律宾的正规全时工作者每周至少工作</w:t>
      </w:r>
      <w:r>
        <w:rPr>
          <w:rFonts w:hint="eastAsia"/>
        </w:rPr>
        <w:t>40</w:t>
      </w:r>
      <w:r>
        <w:rPr>
          <w:rFonts w:hint="eastAsia"/>
        </w:rPr>
        <w:t>小时。计件或按实际工作时间付酬的工人以及无报酬家庭工人和自营工作者的工作时间各不相同。</w:t>
      </w:r>
      <w:r>
        <w:rPr>
          <w:rFonts w:hint="eastAsia"/>
        </w:rPr>
        <w:t>1990</w:t>
      </w:r>
      <w:r>
        <w:rPr>
          <w:rFonts w:hint="eastAsia"/>
        </w:rPr>
        <w:t>年代末，家庭佣工的工作时间最长。从事雇佣工作或在企业工作的城市妇女工作时间最长；农村妇女工作时间最短。农村地区在工作时间上的性别</w:t>
      </w:r>
      <w:r>
        <w:rPr>
          <w:rFonts w:hint="eastAsia"/>
        </w:rPr>
        <w:t>差距最大，因为农田里的活儿或农村企业的活儿一般是偶发的而且间隔时间很长（附表</w:t>
      </w:r>
      <w:r>
        <w:rPr>
          <w:rFonts w:hint="eastAsia"/>
        </w:rPr>
        <w:t>B11.6</w:t>
      </w:r>
      <w:r>
        <w:rPr>
          <w:rFonts w:hint="eastAsia"/>
        </w:rPr>
        <w:t>）。如果计入家庭生产时间，农村地区妇女的休闲时间平均比男子少一小时，在城市地区比男子少两小时（林，</w:t>
      </w:r>
      <w:r>
        <w:rPr>
          <w:rFonts w:hint="eastAsia"/>
        </w:rPr>
        <w:t>2000</w:t>
      </w:r>
      <w:r>
        <w:rPr>
          <w:rFonts w:hint="eastAsia"/>
        </w:rPr>
        <w:t>年）。家庭生产时间的差别仍然给妇女带来问题。</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非全时工人或者每周工作时间不到</w:t>
      </w:r>
      <w:r>
        <w:rPr>
          <w:rFonts w:hint="eastAsia"/>
        </w:rPr>
        <w:t>40</w:t>
      </w:r>
      <w:r>
        <w:rPr>
          <w:rFonts w:hint="eastAsia"/>
        </w:rPr>
        <w:t>小时的人，在</w:t>
      </w:r>
      <w:r>
        <w:rPr>
          <w:rFonts w:hint="eastAsia"/>
        </w:rPr>
        <w:t>1998</w:t>
      </w:r>
      <w:r>
        <w:rPr>
          <w:rFonts w:hint="eastAsia"/>
        </w:rPr>
        <w:t>年占全部雇佣工人的</w:t>
      </w:r>
      <w:r>
        <w:rPr>
          <w:rFonts w:hint="eastAsia"/>
        </w:rPr>
        <w:t>34%</w:t>
      </w:r>
      <w:r>
        <w:rPr>
          <w:rFonts w:hint="eastAsia"/>
        </w:rPr>
        <w:t>，在</w:t>
      </w:r>
      <w:r>
        <w:rPr>
          <w:rFonts w:hint="eastAsia"/>
        </w:rPr>
        <w:t>2003</w:t>
      </w:r>
      <w:r>
        <w:rPr>
          <w:rFonts w:hint="eastAsia"/>
        </w:rPr>
        <w:t>年约占</w:t>
      </w:r>
      <w:r>
        <w:rPr>
          <w:rFonts w:hint="eastAsia"/>
        </w:rPr>
        <w:t>35.4%</w:t>
      </w:r>
      <w:r>
        <w:rPr>
          <w:rFonts w:hint="eastAsia"/>
        </w:rPr>
        <w:t>（附表</w:t>
      </w:r>
      <w:r>
        <w:rPr>
          <w:rFonts w:hint="eastAsia"/>
        </w:rPr>
        <w:t>B11.7</w:t>
      </w:r>
      <w:r>
        <w:rPr>
          <w:rFonts w:hint="eastAsia"/>
        </w:rPr>
        <w:t>）。这种劳动者在</w:t>
      </w:r>
      <w:r>
        <w:rPr>
          <w:rFonts w:hint="eastAsia"/>
        </w:rPr>
        <w:t>1998</w:t>
      </w:r>
      <w:r>
        <w:rPr>
          <w:rFonts w:hint="eastAsia"/>
        </w:rPr>
        <w:t>至</w:t>
      </w:r>
      <w:r>
        <w:rPr>
          <w:rFonts w:hint="eastAsia"/>
        </w:rPr>
        <w:t>2002</w:t>
      </w:r>
      <w:r>
        <w:rPr>
          <w:rFonts w:hint="eastAsia"/>
        </w:rPr>
        <w:t>年间总共增长了</w:t>
      </w:r>
      <w:r>
        <w:rPr>
          <w:rFonts w:hint="eastAsia"/>
        </w:rPr>
        <w:t>6.1%</w:t>
      </w:r>
      <w:r>
        <w:rPr>
          <w:rFonts w:hint="eastAsia"/>
        </w:rPr>
        <w:t>，或者说，大体相当于就业人口增长率的两倍。（劳动和就业统计局，</w:t>
      </w:r>
      <w:r>
        <w:rPr>
          <w:rFonts w:hint="eastAsia"/>
        </w:rPr>
        <w:t>2003</w:t>
      </w:r>
      <w:r>
        <w:rPr>
          <w:rFonts w:hint="eastAsia"/>
        </w:rPr>
        <w:t>年</w:t>
      </w:r>
      <w:r>
        <w:rPr>
          <w:rFonts w:hint="eastAsia"/>
        </w:rPr>
        <w:t>b</w:t>
      </w:r>
      <w:r>
        <w:rPr>
          <w:rFonts w:hint="eastAsia"/>
        </w:rPr>
        <w:t>）。不过，这些年来虽</w:t>
      </w:r>
      <w:r>
        <w:rPr>
          <w:rFonts w:hint="eastAsia"/>
        </w:rPr>
        <w:t>然在非全时工人中妇女仍比男子多，但两者的差距已经缩小。</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1992</w:t>
      </w:r>
      <w:r>
        <w:rPr>
          <w:rFonts w:hint="eastAsia"/>
        </w:rPr>
        <w:t>年，女工按小时计的薪酬低于男子（菲律宾人类发展报告，</w:t>
      </w:r>
      <w:r>
        <w:rPr>
          <w:rFonts w:hint="eastAsia"/>
        </w:rPr>
        <w:t>1997</w:t>
      </w:r>
      <w:r>
        <w:rPr>
          <w:rFonts w:hint="eastAsia"/>
        </w:rPr>
        <w:t>年）。销售和服务部门的两性收入差距最大，因为男子一般在大公司工作，那里的薪酬高一些；而妇女一般在微型或很小的企业工作。在某些以男性为主的领域中，雇员</w:t>
      </w:r>
      <w:r>
        <w:rPr>
          <w:rFonts w:hint="eastAsia"/>
        </w:rPr>
        <w:t>10</w:t>
      </w:r>
      <w:r>
        <w:rPr>
          <w:rFonts w:hint="eastAsia"/>
        </w:rPr>
        <w:t>人或</w:t>
      </w:r>
      <w:r>
        <w:rPr>
          <w:rFonts w:hint="eastAsia"/>
        </w:rPr>
        <w:t>10</w:t>
      </w:r>
      <w:r>
        <w:rPr>
          <w:rFonts w:hint="eastAsia"/>
        </w:rPr>
        <w:t>人以上的公司里，妇女的工资高于男子。这主要是因为这些行业的少数妇女占据较高的地位（伊洛，</w:t>
      </w:r>
      <w:r>
        <w:rPr>
          <w:rFonts w:hint="eastAsia"/>
        </w:rPr>
        <w:t>2002</w:t>
      </w:r>
      <w:r>
        <w:rPr>
          <w:rFonts w:hint="eastAsia"/>
        </w:rPr>
        <w:t>年</w:t>
      </w:r>
      <w:r>
        <w:rPr>
          <w:rFonts w:hint="eastAsia"/>
        </w:rPr>
        <w:t>b</w:t>
      </w:r>
      <w:r>
        <w:rPr>
          <w:rFonts w:hint="eastAsia"/>
        </w:rPr>
        <w:t>）。</w:t>
      </w:r>
      <w:r>
        <w:rPr>
          <w:rFonts w:hint="eastAsia"/>
        </w:rPr>
        <w:t>1996</w:t>
      </w:r>
      <w:r>
        <w:rPr>
          <w:rFonts w:hint="eastAsia"/>
        </w:rPr>
        <w:t>年，建筑行业的妇女月收入比男子多</w:t>
      </w:r>
      <w:r>
        <w:rPr>
          <w:rFonts w:hint="eastAsia"/>
        </w:rPr>
        <w:t>29%</w:t>
      </w:r>
      <w:r>
        <w:rPr>
          <w:rFonts w:hint="eastAsia"/>
        </w:rPr>
        <w:t>，在交通运输业比男子多</w:t>
      </w:r>
      <w:r>
        <w:rPr>
          <w:rFonts w:hint="eastAsia"/>
        </w:rPr>
        <w:t>28%</w:t>
      </w:r>
      <w:r>
        <w:rPr>
          <w:rFonts w:hint="eastAsia"/>
        </w:rPr>
        <w:t>；而在</w:t>
      </w:r>
      <w:r>
        <w:rPr>
          <w:rFonts w:hint="eastAsia"/>
        </w:rPr>
        <w:t>1998</w:t>
      </w:r>
      <w:r>
        <w:rPr>
          <w:rFonts w:hint="eastAsia"/>
        </w:rPr>
        <w:t>年，当男劳力在危机期间时，相关的数</w:t>
      </w:r>
      <w:r>
        <w:rPr>
          <w:rFonts w:hint="eastAsia"/>
        </w:rPr>
        <w:t>字分别是</w:t>
      </w:r>
      <w:r>
        <w:rPr>
          <w:rFonts w:hint="eastAsia"/>
        </w:rPr>
        <w:t xml:space="preserve">47% </w:t>
      </w:r>
      <w:r>
        <w:rPr>
          <w:rFonts w:hint="eastAsia"/>
        </w:rPr>
        <w:t>和</w:t>
      </w:r>
      <w:r>
        <w:rPr>
          <w:rFonts w:hint="eastAsia"/>
        </w:rPr>
        <w:t>35%</w:t>
      </w:r>
      <w:r>
        <w:rPr>
          <w:rFonts w:hint="eastAsia"/>
        </w:rPr>
        <w:t>（劳动和就业统计局，</w:t>
      </w:r>
      <w:r>
        <w:rPr>
          <w:rFonts w:hint="eastAsia"/>
        </w:rPr>
        <w:t>2003</w:t>
      </w:r>
      <w:r>
        <w:rPr>
          <w:rFonts w:hint="eastAsia"/>
        </w:rPr>
        <w:t>年</w:t>
      </w:r>
      <w:r>
        <w:rPr>
          <w:rFonts w:hint="eastAsia"/>
        </w:rPr>
        <w:t>c</w:t>
      </w:r>
      <w:r>
        <w:rPr>
          <w:rFonts w:hint="eastAsia"/>
        </w:rPr>
        <w:t>）。</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经过校正选择性、从工资回归中推导出的两性工资差异（或者男女雇佣劳动者平均小时工资率的差别，这种差别用相对于妇女的小时工资率来表示）发现，男工的工资在</w:t>
      </w:r>
      <w:r>
        <w:rPr>
          <w:rFonts w:hint="eastAsia"/>
          <w:color w:val="000000"/>
        </w:rPr>
        <w:t>1988</w:t>
      </w:r>
      <w:r>
        <w:rPr>
          <w:rFonts w:hint="eastAsia"/>
          <w:color w:val="000000"/>
        </w:rPr>
        <w:t>年比女工多</w:t>
      </w:r>
      <w:r>
        <w:rPr>
          <w:rFonts w:hint="eastAsia"/>
          <w:color w:val="000000"/>
        </w:rPr>
        <w:t>41</w:t>
      </w:r>
      <w:r>
        <w:rPr>
          <w:rFonts w:hint="eastAsia"/>
          <w:color w:val="000000"/>
        </w:rPr>
        <w:t>分；</w:t>
      </w:r>
      <w:r>
        <w:rPr>
          <w:rFonts w:hint="eastAsia"/>
          <w:color w:val="000000"/>
        </w:rPr>
        <w:t>1991</w:t>
      </w:r>
      <w:r>
        <w:rPr>
          <w:rFonts w:hint="eastAsia"/>
          <w:color w:val="000000"/>
        </w:rPr>
        <w:t>年多</w:t>
      </w:r>
      <w:r>
        <w:rPr>
          <w:rFonts w:hint="eastAsia"/>
          <w:color w:val="000000"/>
        </w:rPr>
        <w:t>21</w:t>
      </w:r>
      <w:r>
        <w:rPr>
          <w:rFonts w:hint="eastAsia"/>
          <w:color w:val="000000"/>
        </w:rPr>
        <w:t>分；</w:t>
      </w:r>
      <w:r>
        <w:rPr>
          <w:rFonts w:hint="eastAsia"/>
          <w:color w:val="000000"/>
        </w:rPr>
        <w:t>1994</w:t>
      </w:r>
      <w:r>
        <w:rPr>
          <w:rFonts w:hint="eastAsia"/>
          <w:color w:val="000000"/>
        </w:rPr>
        <w:t>年多</w:t>
      </w:r>
      <w:r>
        <w:rPr>
          <w:rFonts w:hint="eastAsia"/>
          <w:color w:val="000000"/>
        </w:rPr>
        <w:t>17</w:t>
      </w:r>
      <w:r>
        <w:rPr>
          <w:rFonts w:hint="eastAsia"/>
          <w:color w:val="000000"/>
        </w:rPr>
        <w:t>分。这说明基于性别的差异在缩小（</w:t>
      </w:r>
      <w:r>
        <w:rPr>
          <w:rFonts w:hint="eastAsia"/>
          <w:color w:val="000000"/>
        </w:rPr>
        <w:t>Alba</w:t>
      </w:r>
      <w:r>
        <w:rPr>
          <w:rFonts w:hint="eastAsia"/>
          <w:color w:val="000000"/>
        </w:rPr>
        <w:t>，未标注日期）。在大学毕业生中，这种差异缩小的部分原因是因为劳动力需求的变化，部分原因是因为中低水平政府雇员的薪金强制性地提高到管理层次（第</w:t>
      </w:r>
      <w:r>
        <w:rPr>
          <w:rFonts w:hint="eastAsia"/>
          <w:color w:val="000000"/>
        </w:rPr>
        <w:t>6578</w:t>
      </w:r>
      <w:r>
        <w:rPr>
          <w:rFonts w:hint="eastAsia"/>
          <w:color w:val="000000"/>
        </w:rPr>
        <w:t>号共和国法令，或《薪酬标准化法》）。后者使公立学校</w:t>
      </w:r>
      <w:r>
        <w:rPr>
          <w:rFonts w:hint="eastAsia"/>
          <w:color w:val="000000"/>
        </w:rPr>
        <w:t>教师、护士、职员和其他公共部门职工的收入增加了一倍，其中不乏女性。</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劳工法典》对工人最低工资的支付做出了规定。政府承认生活费用的差别，强制规定了地区三方委员会和生产委员会要在各自的责任范围内确定最低工资。工人已经从政府和雇主那里获得了多种工资优惠，如生活津贴、假日工资和一个月奖金。在集体谈判协议中还包括了额外补偿。可是，政府的劳工检查数据揭示，至少有五分之一企业一贯违反最低工资法：在</w:t>
      </w:r>
      <w:r>
        <w:rPr>
          <w:rFonts w:hint="eastAsia"/>
        </w:rPr>
        <w:t>1995</w:t>
      </w:r>
      <w:r>
        <w:rPr>
          <w:rFonts w:hint="eastAsia"/>
        </w:rPr>
        <w:t>年检查的</w:t>
      </w:r>
      <w:r>
        <w:rPr>
          <w:rFonts w:hint="eastAsia"/>
        </w:rPr>
        <w:t>77 849</w:t>
      </w:r>
      <w:r>
        <w:rPr>
          <w:rFonts w:hint="eastAsia"/>
        </w:rPr>
        <w:t>个单位中，违法者占</w:t>
      </w:r>
      <w:r>
        <w:rPr>
          <w:rFonts w:hint="eastAsia"/>
        </w:rPr>
        <w:t>19.6%</w:t>
      </w:r>
      <w:r>
        <w:rPr>
          <w:rFonts w:hint="eastAsia"/>
        </w:rPr>
        <w:t>；</w:t>
      </w:r>
      <w:r>
        <w:rPr>
          <w:rFonts w:hint="eastAsia"/>
        </w:rPr>
        <w:t>1998</w:t>
      </w:r>
      <w:r>
        <w:rPr>
          <w:rFonts w:hint="eastAsia"/>
        </w:rPr>
        <w:t>年，在</w:t>
      </w:r>
      <w:r>
        <w:rPr>
          <w:rFonts w:hint="eastAsia"/>
        </w:rPr>
        <w:t>37 080</w:t>
      </w:r>
      <w:r>
        <w:rPr>
          <w:rFonts w:hint="eastAsia"/>
        </w:rPr>
        <w:t>个单位中违法者占</w:t>
      </w:r>
      <w:r>
        <w:rPr>
          <w:rFonts w:hint="eastAsia"/>
        </w:rPr>
        <w:t>25.5%</w:t>
      </w:r>
      <w:r>
        <w:rPr>
          <w:rFonts w:hint="eastAsia"/>
        </w:rPr>
        <w:t>；</w:t>
      </w:r>
      <w:r>
        <w:rPr>
          <w:rFonts w:hint="eastAsia"/>
        </w:rPr>
        <w:t>2001</w:t>
      </w:r>
      <w:r>
        <w:rPr>
          <w:rFonts w:hint="eastAsia"/>
        </w:rPr>
        <w:t>年</w:t>
      </w:r>
      <w:r>
        <w:rPr>
          <w:rFonts w:hint="eastAsia"/>
        </w:rPr>
        <w:t>，在</w:t>
      </w:r>
      <w:r>
        <w:rPr>
          <w:rFonts w:hint="eastAsia"/>
        </w:rPr>
        <w:t>33 914</w:t>
      </w:r>
      <w:r>
        <w:rPr>
          <w:rFonts w:hint="eastAsia"/>
        </w:rPr>
        <w:t>个单位中违法者占</w:t>
      </w:r>
      <w:r>
        <w:rPr>
          <w:rFonts w:hint="eastAsia"/>
        </w:rPr>
        <w:t>26.4%</w:t>
      </w:r>
      <w:r>
        <w:rPr>
          <w:rFonts w:hint="eastAsia"/>
        </w:rPr>
        <w:t>（劳动和就业统计局，</w:t>
      </w:r>
      <w:r>
        <w:rPr>
          <w:rFonts w:hint="eastAsia"/>
        </w:rPr>
        <w:t>2003</w:t>
      </w:r>
      <w:r>
        <w:rPr>
          <w:rFonts w:hint="eastAsia"/>
        </w:rPr>
        <w:t>年</w:t>
      </w:r>
      <w:r>
        <w:rPr>
          <w:rFonts w:hint="eastAsia"/>
        </w:rPr>
        <w:t>d</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另一项立法（</w:t>
      </w:r>
      <w:r>
        <w:rPr>
          <w:rFonts w:hint="eastAsia"/>
        </w:rPr>
        <w:t>1989</w:t>
      </w:r>
      <w:r>
        <w:rPr>
          <w:rFonts w:hint="eastAsia"/>
        </w:rPr>
        <w:t>年颁布的第</w:t>
      </w:r>
      <w:r>
        <w:rPr>
          <w:rFonts w:hint="eastAsia"/>
        </w:rPr>
        <w:t>6725</w:t>
      </w:r>
      <w:r>
        <w:rPr>
          <w:rFonts w:hint="eastAsia"/>
        </w:rPr>
        <w:t>号共和国法令）旨在强化在聘用期限和就业条件方面歧视妇女的禁令。自那时起，劳工部发布了《执行细则》，其中界定了“同值工作”并规定了在哪些条件下对女工支付较低的补偿或津贴不构成歧视。可是，由于这些执行规则有含混不清的地方，所以有关报酬平等的规定还没有发挥效力，雇主是否遵守还没有监测。</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《劳工法典》也对节假日工作和正常工作时间之外的工作支付加班费做了规定。在</w:t>
      </w:r>
      <w:r>
        <w:rPr>
          <w:rFonts w:hint="eastAsia"/>
        </w:rPr>
        <w:t>1995</w:t>
      </w:r>
      <w:r>
        <w:rPr>
          <w:rFonts w:hint="eastAsia"/>
        </w:rPr>
        <w:t>年以来政府检查的公司中，发现</w:t>
      </w:r>
      <w:r>
        <w:rPr>
          <w:rFonts w:hint="eastAsia"/>
        </w:rPr>
        <w:t>约</w:t>
      </w:r>
      <w:r>
        <w:rPr>
          <w:rFonts w:hint="eastAsia"/>
        </w:rPr>
        <w:t>3.3%</w:t>
      </w:r>
      <w:r>
        <w:rPr>
          <w:rFonts w:hint="eastAsia"/>
        </w:rPr>
        <w:t>的公司要么少付、要么根本不付给工人加班费。这种公司的比例在</w:t>
      </w:r>
      <w:r>
        <w:rPr>
          <w:rFonts w:hint="eastAsia"/>
        </w:rPr>
        <w:t>1998</w:t>
      </w:r>
      <w:r>
        <w:rPr>
          <w:rFonts w:hint="eastAsia"/>
        </w:rPr>
        <w:t>和</w:t>
      </w:r>
      <w:r>
        <w:rPr>
          <w:rFonts w:hint="eastAsia"/>
        </w:rPr>
        <w:t>1999</w:t>
      </w:r>
      <w:r>
        <w:rPr>
          <w:rFonts w:hint="eastAsia"/>
        </w:rPr>
        <w:t>年上升到</w:t>
      </w:r>
      <w:r>
        <w:rPr>
          <w:rFonts w:hint="eastAsia"/>
        </w:rPr>
        <w:t>3.9%</w:t>
      </w:r>
      <w:r>
        <w:rPr>
          <w:rFonts w:hint="eastAsia"/>
        </w:rPr>
        <w:t>，后来又在</w:t>
      </w:r>
      <w:r>
        <w:rPr>
          <w:rFonts w:hint="eastAsia"/>
        </w:rPr>
        <w:t>2000</w:t>
      </w:r>
      <w:r>
        <w:rPr>
          <w:rFonts w:hint="eastAsia"/>
        </w:rPr>
        <w:t>和</w:t>
      </w:r>
      <w:r>
        <w:rPr>
          <w:rFonts w:hint="eastAsia"/>
        </w:rPr>
        <w:t>2001</w:t>
      </w:r>
      <w:r>
        <w:rPr>
          <w:rFonts w:hint="eastAsia"/>
        </w:rPr>
        <w:t>年回落到</w:t>
      </w:r>
      <w:r>
        <w:rPr>
          <w:rFonts w:hint="eastAsia"/>
        </w:rPr>
        <w:t>3.5%</w:t>
      </w:r>
      <w:r>
        <w:rPr>
          <w:rFonts w:hint="eastAsia"/>
        </w:rPr>
        <w:t>（劳动和就业统计局，</w:t>
      </w:r>
      <w:r>
        <w:rPr>
          <w:rFonts w:hint="eastAsia"/>
        </w:rPr>
        <w:t>2003</w:t>
      </w:r>
      <w:r>
        <w:rPr>
          <w:rFonts w:hint="eastAsia"/>
        </w:rPr>
        <w:t>年</w:t>
      </w:r>
      <w:r>
        <w:rPr>
          <w:rFonts w:hint="eastAsia"/>
        </w:rPr>
        <w:t>d</w:t>
      </w:r>
      <w:r>
        <w:rPr>
          <w:rFonts w:hint="eastAsia"/>
        </w:rPr>
        <w:t>）。另有</w:t>
      </w:r>
      <w:r>
        <w:rPr>
          <w:rFonts w:hint="eastAsia"/>
        </w:rPr>
        <w:t>10%</w:t>
      </w:r>
      <w:r>
        <w:rPr>
          <w:rFonts w:hint="eastAsia"/>
        </w:rPr>
        <w:t>的公司（</w:t>
      </w:r>
      <w:r>
        <w:rPr>
          <w:rFonts w:hint="eastAsia"/>
        </w:rPr>
        <w:t>1996</w:t>
      </w:r>
      <w:r>
        <w:rPr>
          <w:rFonts w:hint="eastAsia"/>
        </w:rPr>
        <w:t>年为</w:t>
      </w:r>
      <w:r>
        <w:rPr>
          <w:rFonts w:hint="eastAsia"/>
        </w:rPr>
        <w:t>7%</w:t>
      </w:r>
      <w:r>
        <w:rPr>
          <w:rFonts w:hint="eastAsia"/>
        </w:rPr>
        <w:t>）被发现违反了节假日和休息日工资或业务奖金的强制性规定。从现有数据不能推断在对这种违规事件处理之后工人是否得到了付款。</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《劳工法典》还禁止让女工上夜班，除非在具体规定的情况下。这项规定或许意在保护妇女，但实际上是歧视妇女，因为它并没有涉及上夜班妇女是否安全这一实际问题。对于夜班禁令是否得到遵守</w:t>
      </w:r>
      <w:r>
        <w:rPr>
          <w:rFonts w:hint="eastAsia"/>
        </w:rPr>
        <w:t>还没有搞清楚，但政府已开始对这个问题做出反应（见下文关于方案一节）。</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关于职业健康和安全，职业安全和保健中心的各研究和报告突出了与女工有关的下列问题：</w:t>
      </w:r>
    </w:p>
    <w:p w:rsidR="00000000" w:rsidRDefault="00821B8F">
      <w:pPr>
        <w:pStyle w:val="List3"/>
        <w:numPr>
          <w:ilvl w:val="0"/>
          <w:numId w:val="1366"/>
        </w:numPr>
        <w:tabs>
          <w:tab w:val="clear" w:pos="840"/>
          <w:tab w:val="num" w:pos="1080"/>
        </w:tabs>
        <w:spacing w:after="120" w:line="360" w:lineRule="exact"/>
        <w:ind w:leftChars="0" w:left="1080" w:firstLineChars="0" w:hanging="480"/>
        <w:rPr>
          <w:rFonts w:hint="eastAsia"/>
          <w:color w:val="000000"/>
        </w:rPr>
      </w:pPr>
      <w:r>
        <w:rPr>
          <w:rFonts w:eastAsia="KaiTi_GB2312" w:hint="eastAsia"/>
          <w:color w:val="0000FF"/>
        </w:rPr>
        <w:t>在半导体行业接触铅和溶剂。</w:t>
      </w:r>
      <w:r>
        <w:rPr>
          <w:rFonts w:hint="eastAsia"/>
          <w:color w:val="000000"/>
        </w:rPr>
        <w:t>有些接触铅的妇女出现产科和妇科病症，比如自发流产（职业安全和保健中心，</w:t>
      </w:r>
      <w:r>
        <w:rPr>
          <w:rFonts w:hint="eastAsia"/>
          <w:color w:val="000000"/>
        </w:rPr>
        <w:t>1996</w:t>
      </w:r>
      <w:r>
        <w:rPr>
          <w:rFonts w:hint="eastAsia"/>
          <w:color w:val="000000"/>
        </w:rPr>
        <w:t>年）。半导体和微电子公司安装了局部和整体排气系统以控制溶剂的有害影响，但是工人（主要是女工）仍经常抱怨麻醉效应和呼吸道过敏及皮肤过敏。虽然关于接触溶剂对工人的影响的临床、实验室和生物试验结果尚未得出最后结论，但已建议该行业持续监测和监督，以防发生可能的职</w:t>
      </w:r>
      <w:r>
        <w:rPr>
          <w:rFonts w:hint="eastAsia"/>
          <w:color w:val="000000"/>
        </w:rPr>
        <w:t>业病或与工作有关的疾病，比如史蒂文斯·约翰逊综合征（职业安全和保健中心，</w:t>
      </w:r>
      <w:r>
        <w:rPr>
          <w:rFonts w:hint="eastAsia"/>
          <w:color w:val="000000"/>
        </w:rPr>
        <w:t>2001</w:t>
      </w:r>
      <w:r>
        <w:rPr>
          <w:rFonts w:hint="eastAsia"/>
          <w:color w:val="000000"/>
        </w:rPr>
        <w:t>年</w:t>
      </w:r>
      <w:r>
        <w:rPr>
          <w:rFonts w:hint="eastAsia"/>
          <w:color w:val="000000"/>
        </w:rPr>
        <w:t>a</w:t>
      </w:r>
      <w:r>
        <w:rPr>
          <w:rFonts w:hint="eastAsia"/>
          <w:color w:val="000000"/>
        </w:rPr>
        <w:t>）。</w:t>
      </w:r>
    </w:p>
    <w:p w:rsidR="00000000" w:rsidRDefault="00821B8F">
      <w:pPr>
        <w:pStyle w:val="List3"/>
        <w:numPr>
          <w:ilvl w:val="0"/>
          <w:numId w:val="1366"/>
        </w:numPr>
        <w:tabs>
          <w:tab w:val="clear" w:pos="840"/>
          <w:tab w:val="num" w:pos="1080"/>
        </w:tabs>
        <w:spacing w:after="120" w:line="360" w:lineRule="exact"/>
        <w:ind w:leftChars="0" w:left="1080" w:firstLineChars="0" w:hanging="480"/>
        <w:rPr>
          <w:rFonts w:hint="eastAsia"/>
        </w:rPr>
      </w:pPr>
      <w:r>
        <w:rPr>
          <w:rFonts w:eastAsia="KaiTi_GB2312" w:hint="eastAsia"/>
          <w:color w:val="0000FF"/>
        </w:rPr>
        <w:t>教学压力。</w:t>
      </w:r>
      <w:r>
        <w:rPr>
          <w:rFonts w:hint="eastAsia"/>
        </w:rPr>
        <w:t>公立学校教师向政府服务保险系统和员工补偿委员会提交补偿申请表明，教师一般容易易患心脏病和心血管意外、肺结核病、过敏和支气管哮喘、胃溃疡及肺炎。同样普遍投诉的疾病还有恶性肿瘤、胃肠道紊乱、肾病和尿道疾病、生殖系统紊乱和神经问题（职业安全和保健中心，</w:t>
      </w:r>
      <w:r>
        <w:rPr>
          <w:rFonts w:hint="eastAsia"/>
        </w:rPr>
        <w:t>1997</w:t>
      </w:r>
      <w:r>
        <w:rPr>
          <w:rFonts w:hint="eastAsia"/>
        </w:rPr>
        <w:t>年</w:t>
      </w:r>
      <w:r>
        <w:rPr>
          <w:rFonts w:hint="eastAsia"/>
        </w:rPr>
        <w:t>a</w:t>
      </w:r>
      <w:r>
        <w:rPr>
          <w:rFonts w:hint="eastAsia"/>
        </w:rPr>
        <w:t>）。</w:t>
      </w:r>
    </w:p>
    <w:p w:rsidR="00000000" w:rsidRDefault="00821B8F">
      <w:pPr>
        <w:pStyle w:val="List3"/>
        <w:numPr>
          <w:ilvl w:val="0"/>
          <w:numId w:val="1366"/>
        </w:numPr>
        <w:tabs>
          <w:tab w:val="clear" w:pos="840"/>
          <w:tab w:val="num" w:pos="1080"/>
        </w:tabs>
        <w:spacing w:after="120" w:line="360" w:lineRule="exact"/>
        <w:ind w:leftChars="0" w:left="1080" w:firstLineChars="0" w:hanging="480"/>
        <w:rPr>
          <w:rFonts w:hint="eastAsia"/>
        </w:rPr>
      </w:pPr>
      <w:r>
        <w:rPr>
          <w:rFonts w:eastAsia="KaiTi_GB2312" w:hint="eastAsia"/>
          <w:color w:val="0000FF"/>
        </w:rPr>
        <w:t>与夜班有关的失眠和其他健康问题。</w:t>
      </w:r>
      <w:r>
        <w:rPr>
          <w:rFonts w:hint="eastAsia"/>
        </w:rPr>
        <w:t>某纺织厂的女工不觉得上夜班有什么健康危害，并且坦诚夜班有较高的补偿，所以很有吸引力。她们对这个问题缺乏关注似乎在一项</w:t>
      </w:r>
      <w:r>
        <w:rPr>
          <w:rFonts w:hint="eastAsia"/>
        </w:rPr>
        <w:t>研究中得到证实，该研究成果注意到一些生命体征（心率、心律变异、体温等）的微弱变化说明对夜班工作的耐受力。不过，这项研究也提醒人们，因此减少身体活动、压力和睡眠最终也可能引起某些变化（职业安全和保健中心，</w:t>
      </w:r>
      <w:r>
        <w:rPr>
          <w:rFonts w:hint="eastAsia"/>
        </w:rPr>
        <w:t>2001</w:t>
      </w:r>
      <w:r>
        <w:rPr>
          <w:rFonts w:hint="eastAsia"/>
        </w:rPr>
        <w:t>年</w:t>
      </w:r>
      <w:r>
        <w:rPr>
          <w:rFonts w:hint="eastAsia"/>
        </w:rPr>
        <w:t>b</w:t>
      </w:r>
      <w:r>
        <w:rPr>
          <w:rFonts w:hint="eastAsia"/>
        </w:rPr>
        <w:t>）。</w:t>
      </w:r>
    </w:p>
    <w:p w:rsidR="00000000" w:rsidRDefault="00821B8F">
      <w:pPr>
        <w:pStyle w:val="List3"/>
        <w:numPr>
          <w:ilvl w:val="0"/>
          <w:numId w:val="1366"/>
        </w:numPr>
        <w:tabs>
          <w:tab w:val="clear" w:pos="840"/>
          <w:tab w:val="num" w:pos="1080"/>
        </w:tabs>
        <w:spacing w:after="120" w:line="360" w:lineRule="exact"/>
        <w:ind w:leftChars="0" w:left="1080" w:firstLineChars="0" w:hanging="480"/>
        <w:rPr>
          <w:rFonts w:hint="eastAsia"/>
        </w:rPr>
      </w:pPr>
      <w:r>
        <w:rPr>
          <w:rFonts w:eastAsia="KaiTi_GB2312" w:hint="eastAsia"/>
          <w:color w:val="0000FF"/>
        </w:rPr>
        <w:t>种植园的工作接触农药。</w:t>
      </w:r>
      <w:r>
        <w:rPr>
          <w:rFonts w:hint="eastAsia"/>
        </w:rPr>
        <w:t>在农业部门，种植工人长期接触化学品，有时是在没有适当保护装置的情况下操作。</w:t>
      </w:r>
      <w:r>
        <w:rPr>
          <w:rFonts w:hint="eastAsia"/>
        </w:rPr>
        <w:t>1995</w:t>
      </w:r>
      <w:r>
        <w:rPr>
          <w:rFonts w:hint="eastAsia"/>
        </w:rPr>
        <w:t>年，据报告，棉兰老的种植园有</w:t>
      </w:r>
      <w:r>
        <w:rPr>
          <w:rFonts w:hint="eastAsia"/>
        </w:rPr>
        <w:t>3 000-5 000</w:t>
      </w:r>
      <w:r>
        <w:rPr>
          <w:rFonts w:hint="eastAsia"/>
        </w:rPr>
        <w:t>名工人受到农药毒性的影响，因此引发了对几家有过错的大型种植园提起了集体诉讼。后者选择了庭外和解。</w:t>
      </w:r>
      <w:r>
        <w:rPr>
          <w:rStyle w:val="FootnoteReference"/>
          <w:szCs w:val="21"/>
        </w:rPr>
        <w:footnoteReference w:id="19"/>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一个更加为妇女所特有的工作场所安全问</w:t>
      </w:r>
      <w:r>
        <w:rPr>
          <w:rFonts w:hint="eastAsia"/>
        </w:rPr>
        <w:t>题，即性骚扰，引起了广泛注意，这个问题促使妇女团体开展游说活动，促成了《</w:t>
      </w:r>
      <w:r>
        <w:rPr>
          <w:rFonts w:hint="eastAsia"/>
        </w:rPr>
        <w:t>1995</w:t>
      </w:r>
      <w:r>
        <w:rPr>
          <w:rFonts w:hint="eastAsia"/>
        </w:rPr>
        <w:t>年反对性骚扰法》（第</w:t>
      </w:r>
      <w:r>
        <w:rPr>
          <w:rFonts w:hint="eastAsia"/>
        </w:rPr>
        <w:t>7877</w:t>
      </w:r>
      <w:r>
        <w:rPr>
          <w:rFonts w:hint="eastAsia"/>
        </w:rPr>
        <w:t>号共和国法令）的通过。该法令规定了各种预防措施和冤情投诉程序。此后，鼓励受害者（主要是妇女）提起诉讼。在公务员系统，公务员制度委员会的法律事务处受理了</w:t>
      </w:r>
      <w:r>
        <w:rPr>
          <w:rFonts w:hint="eastAsia"/>
        </w:rPr>
        <w:t>38</w:t>
      </w:r>
      <w:r>
        <w:rPr>
          <w:rFonts w:hint="eastAsia"/>
        </w:rPr>
        <w:t>宗性骚扰案件，结果导致</w:t>
      </w:r>
      <w:r>
        <w:rPr>
          <w:rFonts w:hint="eastAsia"/>
        </w:rPr>
        <w:t>15</w:t>
      </w:r>
      <w:r>
        <w:rPr>
          <w:rFonts w:hint="eastAsia"/>
        </w:rPr>
        <w:t>名被告被开除公职，另有七名作恶者被停职</w:t>
      </w:r>
      <w:r>
        <w:rPr>
          <w:rFonts w:hint="eastAsia"/>
        </w:rPr>
        <w:t>3</w:t>
      </w:r>
      <w:r>
        <w:rPr>
          <w:rFonts w:hint="eastAsia"/>
        </w:rPr>
        <w:t>至</w:t>
      </w:r>
      <w:r>
        <w:rPr>
          <w:rFonts w:hint="eastAsia"/>
        </w:rPr>
        <w:t>12</w:t>
      </w:r>
      <w:r>
        <w:rPr>
          <w:rFonts w:hint="eastAsia"/>
        </w:rPr>
        <w:t>个月。私人部门现在也开始受理此类诉讼。</w:t>
      </w:r>
    </w:p>
    <w:p w:rsidR="00000000" w:rsidRDefault="00821B8F">
      <w:pPr>
        <w:pStyle w:val="ListContinue2"/>
        <w:spacing w:line="360" w:lineRule="exact"/>
        <w:ind w:leftChars="0" w:left="0"/>
        <w:rPr>
          <w:rFonts w:eastAsia="SimHei" w:hint="eastAsia"/>
          <w:color w:val="FF0000"/>
        </w:rPr>
      </w:pPr>
      <w:r>
        <w:rPr>
          <w:rFonts w:eastAsia="SimHei" w:hint="eastAsia"/>
          <w:color w:val="FF0000"/>
        </w:rPr>
        <w:t>特定群体的女工</w:t>
      </w:r>
    </w:p>
    <w:p w:rsidR="00000000" w:rsidRDefault="00821B8F">
      <w:pPr>
        <w:pStyle w:val="ListContinue2"/>
        <w:spacing w:line="360" w:lineRule="exact"/>
        <w:ind w:leftChars="0" w:left="0"/>
        <w:rPr>
          <w:rFonts w:hint="eastAsia"/>
          <w:iCs/>
        </w:rPr>
      </w:pPr>
      <w:r>
        <w:rPr>
          <w:rFonts w:hint="eastAsia"/>
          <w:iCs/>
        </w:rPr>
        <w:t>海外女工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据海外菲律宾人委员会称，截至</w:t>
      </w:r>
      <w:r>
        <w:rPr>
          <w:rFonts w:hint="eastAsia"/>
        </w:rPr>
        <w:t>2001</w:t>
      </w:r>
      <w:r>
        <w:rPr>
          <w:rFonts w:hint="eastAsia"/>
        </w:rPr>
        <w:t>年</w:t>
      </w:r>
      <w:r>
        <w:rPr>
          <w:rFonts w:hint="eastAsia"/>
        </w:rPr>
        <w:t>12</w:t>
      </w:r>
      <w:r>
        <w:rPr>
          <w:rFonts w:hint="eastAsia"/>
        </w:rPr>
        <w:t>月，总共有</w:t>
      </w:r>
      <w:r>
        <w:rPr>
          <w:rFonts w:hint="eastAsia"/>
        </w:rPr>
        <w:t>740</w:t>
      </w:r>
      <w:r>
        <w:rPr>
          <w:rFonts w:hint="eastAsia"/>
        </w:rPr>
        <w:t>万菲律宾人在海外：</w:t>
      </w:r>
      <w:r>
        <w:rPr>
          <w:rFonts w:hint="eastAsia"/>
        </w:rPr>
        <w:t>310</w:t>
      </w:r>
      <w:r>
        <w:rPr>
          <w:rFonts w:hint="eastAsia"/>
        </w:rPr>
        <w:t>万为移徙工人；</w:t>
      </w:r>
      <w:r>
        <w:rPr>
          <w:rFonts w:hint="eastAsia"/>
        </w:rPr>
        <w:t>270</w:t>
      </w:r>
      <w:r>
        <w:rPr>
          <w:rFonts w:hint="eastAsia"/>
        </w:rPr>
        <w:t>万为永久</w:t>
      </w:r>
      <w:r>
        <w:rPr>
          <w:rFonts w:hint="eastAsia"/>
        </w:rPr>
        <w:t>居民；还有</w:t>
      </w:r>
      <w:r>
        <w:rPr>
          <w:rFonts w:hint="eastAsia"/>
        </w:rPr>
        <w:t>160</w:t>
      </w:r>
      <w:r>
        <w:rPr>
          <w:rFonts w:hint="eastAsia"/>
        </w:rPr>
        <w:t>万为非正常客居。</w:t>
      </w:r>
      <w:r>
        <w:rPr>
          <w:rFonts w:hint="eastAsia"/>
        </w:rPr>
        <w:t>1995</w:t>
      </w:r>
      <w:r>
        <w:rPr>
          <w:rFonts w:hint="eastAsia"/>
        </w:rPr>
        <w:t>至</w:t>
      </w:r>
      <w:r>
        <w:rPr>
          <w:rFonts w:hint="eastAsia"/>
        </w:rPr>
        <w:t>2001</w:t>
      </w:r>
      <w:r>
        <w:rPr>
          <w:rFonts w:hint="eastAsia"/>
        </w:rPr>
        <w:t>年，大约安置了</w:t>
      </w:r>
      <w:r>
        <w:rPr>
          <w:rFonts w:hint="eastAsia"/>
        </w:rPr>
        <w:t>160</w:t>
      </w:r>
      <w:r>
        <w:rPr>
          <w:rFonts w:hint="eastAsia"/>
        </w:rPr>
        <w:t>万新雇工。其中大多数（</w:t>
      </w:r>
      <w:r>
        <w:rPr>
          <w:rFonts w:hint="eastAsia"/>
        </w:rPr>
        <w:t>63%</w:t>
      </w:r>
      <w:r>
        <w:rPr>
          <w:rFonts w:hint="eastAsia"/>
        </w:rPr>
        <w:t>）是妇女，她们当中从事家政服务的占</w:t>
      </w:r>
      <w:r>
        <w:rPr>
          <w:rFonts w:hint="eastAsia"/>
        </w:rPr>
        <w:t>45%</w:t>
      </w:r>
      <w:r>
        <w:rPr>
          <w:rFonts w:hint="eastAsia"/>
        </w:rPr>
        <w:t>，</w:t>
      </w:r>
      <w:r>
        <w:rPr>
          <w:rFonts w:hint="eastAsia"/>
        </w:rPr>
        <w:t>33%</w:t>
      </w:r>
      <w:r>
        <w:rPr>
          <w:rFonts w:hint="eastAsia"/>
        </w:rPr>
        <w:t>是专业人员，其中多为赴日的艺员。不少人去台湾和韩国工厂当工人。女性家庭佣工的主要目的地是香港（</w:t>
      </w:r>
      <w:r>
        <w:rPr>
          <w:rFonts w:hint="eastAsia"/>
        </w:rPr>
        <w:t>46%</w:t>
      </w:r>
      <w:r>
        <w:rPr>
          <w:rFonts w:hint="eastAsia"/>
        </w:rPr>
        <w:t>）、中东（</w:t>
      </w:r>
      <w:r>
        <w:rPr>
          <w:rFonts w:hint="eastAsia"/>
        </w:rPr>
        <w:t>38%</w:t>
      </w:r>
      <w:r>
        <w:rPr>
          <w:rFonts w:hint="eastAsia"/>
        </w:rPr>
        <w:t>）、马来西亚、新加坡和其他国家（</w:t>
      </w:r>
      <w:r>
        <w:rPr>
          <w:rFonts w:hint="eastAsia"/>
        </w:rPr>
        <w:t>16%</w:t>
      </w:r>
      <w:r>
        <w:rPr>
          <w:rFonts w:hint="eastAsia"/>
        </w:rPr>
        <w:t>）。与此形成对照的是，大多数男子（</w:t>
      </w:r>
      <w:r>
        <w:rPr>
          <w:rFonts w:hint="eastAsia"/>
        </w:rPr>
        <w:t>67%</w:t>
      </w:r>
      <w:r>
        <w:rPr>
          <w:rFonts w:hint="eastAsia"/>
        </w:rPr>
        <w:t>）到国外是当生产工人。在海上作业的所有海外菲律宾工人——</w:t>
      </w:r>
      <w:r>
        <w:rPr>
          <w:rFonts w:hint="eastAsia"/>
        </w:rPr>
        <w:t>2001</w:t>
      </w:r>
      <w:r>
        <w:rPr>
          <w:rFonts w:hint="eastAsia"/>
        </w:rPr>
        <w:t>年占全部海外菲律宾工人的</w:t>
      </w:r>
      <w:r>
        <w:rPr>
          <w:rFonts w:hint="eastAsia"/>
        </w:rPr>
        <w:t xml:space="preserve">32% </w:t>
      </w:r>
      <w:r>
        <w:rPr>
          <w:rFonts w:hint="eastAsia"/>
        </w:rPr>
        <w:t>——都是男性。</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相当多的海外菲律宾人是没有证件的移民。日本政府认为，由于菲</w:t>
      </w:r>
      <w:r>
        <w:rPr>
          <w:rFonts w:hint="eastAsia"/>
        </w:rPr>
        <w:t>律宾实行签证限制且熟练工没有就业机会，</w:t>
      </w:r>
      <w:r>
        <w:rPr>
          <w:rFonts w:hint="eastAsia"/>
        </w:rPr>
        <w:t>1998</w:t>
      </w:r>
      <w:r>
        <w:rPr>
          <w:rFonts w:hint="eastAsia"/>
        </w:rPr>
        <w:t>年进入日本的四万多菲律宾工人有一半没有证件。后者中有三分之二（</w:t>
      </w:r>
      <w:r>
        <w:rPr>
          <w:rFonts w:hint="eastAsia"/>
        </w:rPr>
        <w:t>63.8%</w:t>
      </w:r>
      <w:r>
        <w:rPr>
          <w:rFonts w:hint="eastAsia"/>
        </w:rPr>
        <w:t>）是冒着虐待和剥削风险的妇女（西纳格，</w:t>
      </w:r>
      <w:r>
        <w:rPr>
          <w:rFonts w:hint="eastAsia"/>
        </w:rPr>
        <w:t>1999</w:t>
      </w:r>
      <w:r>
        <w:rPr>
          <w:rFonts w:hint="eastAsia"/>
        </w:rPr>
        <w:t>年）。在新加坡，菲律宾劳工随员称，在八万菲佣中有</w:t>
      </w:r>
      <w:r>
        <w:rPr>
          <w:rFonts w:hint="eastAsia"/>
        </w:rPr>
        <w:t xml:space="preserve">70% </w:t>
      </w:r>
      <w:r>
        <w:rPr>
          <w:rFonts w:hint="eastAsia"/>
        </w:rPr>
        <w:t>左右是以旅游者的身份入境或者被非正规雇主雇用的。这就是说，她们的雇佣合同没有经过菲律宾政府审查。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海外菲律宾工人依然面临着违约或合同替代品的遭遇，这种情况降低了他们的工资，工作条件注定十分恶劣，而且违反当地法律；对女工来说，还容易遭到身体和性虐待。在新加坡和马来西亚的家庭帮工抱怨吃不饱、工</w:t>
      </w:r>
      <w:r>
        <w:rPr>
          <w:rFonts w:hint="eastAsia"/>
        </w:rPr>
        <w:t>作太多、很少有休息时间、不准她们使用电话、不准社交、不准每天洗澡、女雇主出口伤人、男主人进行性骚扰和做出猥亵行为。</w:t>
      </w:r>
    </w:p>
    <w:p w:rsidR="00000000" w:rsidRDefault="00821B8F">
      <w:pPr>
        <w:pStyle w:val="ListContinue2"/>
        <w:spacing w:line="360" w:lineRule="exact"/>
        <w:ind w:leftChars="0" w:left="0"/>
        <w:rPr>
          <w:rFonts w:eastAsia="KaiTi_GB2312" w:hint="eastAsia"/>
          <w:b/>
          <w:bCs/>
          <w:iCs/>
          <w:color w:val="0000FF"/>
        </w:rPr>
      </w:pPr>
      <w:r>
        <w:rPr>
          <w:rFonts w:eastAsia="KaiTi_GB2312" w:hint="eastAsia"/>
          <w:b/>
          <w:bCs/>
          <w:iCs/>
          <w:color w:val="0000FF"/>
        </w:rPr>
        <w:t>经济区的妇女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菲律宾成立菲律宾经济区管理局是为了在全国建立、经营和管理经济区。截至</w:t>
      </w:r>
      <w:r>
        <w:rPr>
          <w:rFonts w:hint="eastAsia"/>
        </w:rPr>
        <w:t>2001</w:t>
      </w:r>
      <w:r>
        <w:rPr>
          <w:rFonts w:hint="eastAsia"/>
        </w:rPr>
        <w:t>年</w:t>
      </w:r>
      <w:r>
        <w:rPr>
          <w:rFonts w:hint="eastAsia"/>
        </w:rPr>
        <w:t>12</w:t>
      </w:r>
      <w:r>
        <w:rPr>
          <w:rFonts w:hint="eastAsia"/>
        </w:rPr>
        <w:t>月，经济区管理局在全国经营或管理四个公共经济区和</w:t>
      </w:r>
      <w:r>
        <w:rPr>
          <w:rFonts w:hint="eastAsia"/>
        </w:rPr>
        <w:t>34</w:t>
      </w:r>
      <w:r>
        <w:rPr>
          <w:rFonts w:hint="eastAsia"/>
        </w:rPr>
        <w:t>个私人经济区、九个信息技术园区和大厦。截至</w:t>
      </w:r>
      <w:r>
        <w:rPr>
          <w:rFonts w:hint="eastAsia"/>
        </w:rPr>
        <w:t>2003</w:t>
      </w:r>
      <w:r>
        <w:rPr>
          <w:rFonts w:hint="eastAsia"/>
        </w:rPr>
        <w:t>年，这些经济区总共雇用了</w:t>
      </w:r>
      <w:r>
        <w:rPr>
          <w:rFonts w:hint="eastAsia"/>
        </w:rPr>
        <w:t>907 127</w:t>
      </w:r>
      <w:r>
        <w:rPr>
          <w:rFonts w:hint="eastAsia"/>
        </w:rPr>
        <w:t>名雇员，其中</w:t>
      </w:r>
      <w:r>
        <w:rPr>
          <w:rFonts w:hint="eastAsia"/>
        </w:rPr>
        <w:t>80%</w:t>
      </w:r>
      <w:r>
        <w:rPr>
          <w:rFonts w:hint="eastAsia"/>
        </w:rPr>
        <w:t>是妇女，她们大都在服装和纺织业、食品和饮料加工业、木材加工业和电子行业工作。</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甲米地经济区的女工列举了她们遇到的最严重问题：薪酬低、克扣工</w:t>
      </w:r>
      <w:r>
        <w:rPr>
          <w:rFonts w:hint="eastAsia"/>
        </w:rPr>
        <w:t>资现象严重、强迫加班、生产定额高和没有奖励。其他问题是：通风条件差、“没有工会政策”、不给加班费、不缴社保费、无章可循、性骚扰、获准产假和让医生开证明都很难、以及晋升方面有性别歧视。妇女们还进一步列举了与工作有关的健康问题：过度疲劳，因为加班太多、睡眠不足导致的偏头痛和头痛（皮纳达·奥夫李尼奥等，</w:t>
      </w:r>
      <w:r>
        <w:rPr>
          <w:rFonts w:hint="eastAsia"/>
        </w:rPr>
        <w:t>1999</w:t>
      </w:r>
      <w:r>
        <w:rPr>
          <w:rFonts w:hint="eastAsia"/>
        </w:rPr>
        <w:t>年）。视力模糊、呼吸道疾病和事故据信都是恶劣的工作条件造成的。虽然各公司名义上配备了公司医生，但他们很少巡诊；即便巡诊，女工也没时间去找他们咨询，因为工作时间太长，或者工休时间太短。计划生育服务也做得不充分</w:t>
      </w:r>
      <w:r>
        <w:rPr>
          <w:rFonts w:hint="eastAsia"/>
        </w:rPr>
        <w:t>，违反了《劳工法典》（埃德拉林，</w:t>
      </w:r>
      <w:r>
        <w:rPr>
          <w:rFonts w:hint="eastAsia"/>
        </w:rPr>
        <w:t>2001</w:t>
      </w:r>
      <w:r>
        <w:rPr>
          <w:rFonts w:hint="eastAsia"/>
        </w:rPr>
        <w:t>年）。只有</w:t>
      </w:r>
      <w:r>
        <w:rPr>
          <w:rFonts w:hint="eastAsia"/>
        </w:rPr>
        <w:t>7%</w:t>
      </w:r>
      <w:r>
        <w:rPr>
          <w:rFonts w:hint="eastAsia"/>
        </w:rPr>
        <w:t>的公司组织了工会，而工人也没有机会参与决策，这样，工人就很难提出自己的问题。</w:t>
      </w:r>
    </w:p>
    <w:p w:rsidR="00000000" w:rsidRDefault="00821B8F">
      <w:pPr>
        <w:pStyle w:val="ListContinue2"/>
        <w:spacing w:line="360" w:lineRule="exact"/>
        <w:ind w:leftChars="0" w:left="0"/>
        <w:rPr>
          <w:rFonts w:eastAsia="KaiTi_GB2312" w:hint="eastAsia"/>
          <w:b/>
          <w:bCs/>
          <w:iCs/>
          <w:color w:val="0000FF"/>
        </w:rPr>
      </w:pPr>
      <w:r>
        <w:rPr>
          <w:rFonts w:eastAsia="KaiTi_GB2312" w:hint="eastAsia"/>
          <w:b/>
          <w:bCs/>
          <w:iCs/>
          <w:color w:val="0000FF"/>
        </w:rPr>
        <w:t>非正规部门的妇女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1987</w:t>
      </w:r>
      <w:r>
        <w:rPr>
          <w:rFonts w:hint="eastAsia"/>
        </w:rPr>
        <w:t>至</w:t>
      </w:r>
      <w:r>
        <w:rPr>
          <w:rFonts w:hint="eastAsia"/>
        </w:rPr>
        <w:t>1993</w:t>
      </w:r>
      <w:r>
        <w:rPr>
          <w:rFonts w:hint="eastAsia"/>
        </w:rPr>
        <w:t>年，估计非正规部门为国家的国民生产总值所做的贡献总共达</w:t>
      </w:r>
      <w:r>
        <w:rPr>
          <w:rFonts w:hint="eastAsia"/>
        </w:rPr>
        <w:t>45%</w:t>
      </w:r>
      <w:r>
        <w:rPr>
          <w:rFonts w:hint="eastAsia"/>
        </w:rPr>
        <w:t>（劳工研究所，</w:t>
      </w:r>
      <w:r>
        <w:rPr>
          <w:rFonts w:hint="eastAsia"/>
        </w:rPr>
        <w:t>1994</w:t>
      </w:r>
      <w:r>
        <w:rPr>
          <w:rFonts w:hint="eastAsia"/>
        </w:rPr>
        <w:t>年）。可以把该部门视为刺激经济发展的企业家精神的温床。尽管这个部门条件差，但是却具有促进平等和经济发展的强大潜力，因为它富有创造力。</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非正规部门的职工，或者说没有工薪的雇佣工人，占全国就业总人数的一半以上（国家统计局，</w:t>
      </w:r>
      <w:r>
        <w:rPr>
          <w:rFonts w:hint="eastAsia"/>
        </w:rPr>
        <w:t>2003</w:t>
      </w:r>
      <w:r>
        <w:rPr>
          <w:rFonts w:hint="eastAsia"/>
        </w:rPr>
        <w:t>年</w:t>
      </w:r>
      <w:r>
        <w:rPr>
          <w:rFonts w:hint="eastAsia"/>
        </w:rPr>
        <w:t>c</w:t>
      </w:r>
      <w:r>
        <w:rPr>
          <w:rFonts w:hint="eastAsia"/>
        </w:rPr>
        <w:t>）。</w:t>
      </w:r>
      <w:r>
        <w:rPr>
          <w:rFonts w:hint="eastAsia"/>
        </w:rPr>
        <w:t>1996</w:t>
      </w:r>
      <w:r>
        <w:rPr>
          <w:rFonts w:hint="eastAsia"/>
        </w:rPr>
        <w:t>至</w:t>
      </w:r>
      <w:r>
        <w:rPr>
          <w:rFonts w:hint="eastAsia"/>
        </w:rPr>
        <w:t>2002</w:t>
      </w:r>
      <w:r>
        <w:rPr>
          <w:rFonts w:hint="eastAsia"/>
        </w:rPr>
        <w:t>年，该</w:t>
      </w:r>
      <w:r>
        <w:rPr>
          <w:rFonts w:hint="eastAsia"/>
        </w:rPr>
        <w:t>部门一直在以每年约</w:t>
      </w:r>
      <w:r>
        <w:rPr>
          <w:rFonts w:hint="eastAsia"/>
        </w:rPr>
        <w:t>1.5%</w:t>
      </w:r>
      <w:r>
        <w:rPr>
          <w:rFonts w:hint="eastAsia"/>
        </w:rPr>
        <w:t>的速度扩展（附表</w:t>
      </w:r>
      <w:r>
        <w:rPr>
          <w:rFonts w:hint="eastAsia"/>
        </w:rPr>
        <w:t>B11.8</w:t>
      </w:r>
      <w:r>
        <w:rPr>
          <w:rFonts w:hint="eastAsia"/>
        </w:rPr>
        <w:t>），低于总就业增长率（约</w:t>
      </w:r>
      <w:r>
        <w:rPr>
          <w:rFonts w:hint="eastAsia"/>
        </w:rPr>
        <w:t>1.7%</w:t>
      </w:r>
      <w:r>
        <w:rPr>
          <w:rFonts w:hint="eastAsia"/>
        </w:rPr>
        <w:t>）。非正规部门就业率的增长，很大一部分来自妇女自营职业者，自</w:t>
      </w:r>
      <w:r>
        <w:rPr>
          <w:rFonts w:hint="eastAsia"/>
        </w:rPr>
        <w:t>1996</w:t>
      </w:r>
      <w:r>
        <w:rPr>
          <w:rFonts w:hint="eastAsia"/>
        </w:rPr>
        <w:t>年以来，其人数增长了</w:t>
      </w:r>
      <w:r>
        <w:rPr>
          <w:rFonts w:hint="eastAsia"/>
        </w:rPr>
        <w:t>22%</w:t>
      </w:r>
      <w:r>
        <w:rPr>
          <w:rFonts w:hint="eastAsia"/>
        </w:rPr>
        <w:t>。随着重点保护的行业纷纷垮台，下岗工人谋求通过自营职业来自救，以获得经济支助的手段。由于国家的经济绩效仍不稳定，越来越多的工人，特别是女工被迫进入非正规经济（伊洛，</w:t>
      </w:r>
      <w:r>
        <w:rPr>
          <w:rFonts w:hint="eastAsia"/>
        </w:rPr>
        <w:t>1999</w:t>
      </w:r>
      <w:r>
        <w:rPr>
          <w:rFonts w:hint="eastAsia"/>
        </w:rPr>
        <w:t>年）。</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六个非正规部门的劳动者中实际上有一半是小农场主和无报酬家庭工人。除了农业之外，自营职业者约占雇佣劳动者的</w:t>
      </w:r>
      <w:r>
        <w:rPr>
          <w:rFonts w:hint="eastAsia"/>
        </w:rPr>
        <w:t>86%</w:t>
      </w:r>
      <w:r>
        <w:rPr>
          <w:rFonts w:hint="eastAsia"/>
        </w:rPr>
        <w:t>，其中</w:t>
      </w:r>
      <w:r>
        <w:rPr>
          <w:rFonts w:hint="eastAsia"/>
        </w:rPr>
        <w:t>46%</w:t>
      </w:r>
      <w:r>
        <w:rPr>
          <w:rFonts w:hint="eastAsia"/>
        </w:rPr>
        <w:t>从事商贸活动、</w:t>
      </w:r>
      <w:r>
        <w:rPr>
          <w:rFonts w:hint="eastAsia"/>
        </w:rPr>
        <w:t>28%</w:t>
      </w:r>
      <w:r>
        <w:rPr>
          <w:rFonts w:hint="eastAsia"/>
        </w:rPr>
        <w:t>从事小生产</w:t>
      </w:r>
      <w:r>
        <w:rPr>
          <w:rFonts w:hint="eastAsia"/>
        </w:rPr>
        <w:t>、</w:t>
      </w:r>
      <w:r>
        <w:rPr>
          <w:rFonts w:hint="eastAsia"/>
        </w:rPr>
        <w:t>7%</w:t>
      </w:r>
      <w:r>
        <w:rPr>
          <w:rFonts w:hint="eastAsia"/>
        </w:rPr>
        <w:t>从事各种服务工作（伊洛，</w:t>
      </w:r>
      <w:r>
        <w:rPr>
          <w:rFonts w:hint="eastAsia"/>
        </w:rPr>
        <w:t>2002</w:t>
      </w:r>
      <w:r>
        <w:rPr>
          <w:rFonts w:hint="eastAsia"/>
        </w:rPr>
        <w:t>年</w:t>
      </w:r>
      <w:r>
        <w:rPr>
          <w:rFonts w:hint="eastAsia"/>
        </w:rPr>
        <w:t>b</w:t>
      </w:r>
      <w:r>
        <w:rPr>
          <w:rFonts w:hint="eastAsia"/>
        </w:rPr>
        <w:t>）。根据</w:t>
      </w:r>
      <w:r>
        <w:rPr>
          <w:rFonts w:hint="eastAsia"/>
        </w:rPr>
        <w:t>1995</w:t>
      </w:r>
      <w:r>
        <w:rPr>
          <w:rFonts w:hint="eastAsia"/>
        </w:rPr>
        <w:t>年国家统计局城市非正规部门调查报告，妇女至少占非农业企业经营者的</w:t>
      </w:r>
      <w:r>
        <w:rPr>
          <w:rFonts w:hint="eastAsia"/>
        </w:rPr>
        <w:t>51%</w:t>
      </w:r>
      <w:r>
        <w:rPr>
          <w:rFonts w:hint="eastAsia"/>
        </w:rPr>
        <w:t>。其中大多数扮演传统角色，譬如制衣或</w:t>
      </w:r>
      <w:r>
        <w:rPr>
          <w:rFonts w:hint="eastAsia"/>
          <w:i/>
        </w:rPr>
        <w:t>retaso</w:t>
      </w:r>
      <w:r>
        <w:rPr>
          <w:rFonts w:hint="eastAsia"/>
        </w:rPr>
        <w:t>（成衣业的积压旧衣服），洗衣、沿街或在市场上贩卖食品或零食（皮纳达·奥夫李尼奥，</w:t>
      </w:r>
      <w:r>
        <w:rPr>
          <w:rFonts w:hint="eastAsia"/>
        </w:rPr>
        <w:t>1999</w:t>
      </w:r>
      <w:r>
        <w:rPr>
          <w:rFonts w:hint="eastAsia"/>
        </w:rPr>
        <w:t>年）。家庭工作者当中也有很大一部分妇女从事成衣、食品、鞋类和其他制造行业的工作。菲律宾大约有</w:t>
      </w:r>
      <w:r>
        <w:rPr>
          <w:rFonts w:hint="eastAsia"/>
        </w:rPr>
        <w:t>500-700</w:t>
      </w:r>
      <w:r>
        <w:rPr>
          <w:rFonts w:hint="eastAsia"/>
        </w:rPr>
        <w:t>万在家工作的妇女从事出口行业的计件工作，而且人数在与日俱增。他们大都根据分包合同进行工作。</w:t>
      </w:r>
      <w:r>
        <w:rPr>
          <w:rFonts w:hint="eastAsia"/>
        </w:rPr>
        <w:t xml:space="preserve"> </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非正规部门的劳动者获得信贷和正规部门的雇员所享</w:t>
      </w:r>
      <w:r>
        <w:rPr>
          <w:rFonts w:hint="eastAsia"/>
        </w:rPr>
        <w:t>有的社会保护的机会非常有限，这主要是因为他们当中有许多人是从事边际活动的自营职业者。在存在着类似于雇主与雇员关系的情况下，往往没有正式合同，只有关于工作期限和条件的口头协议，分包工人和家庭工人也存在这种情况。因此，非正规部门的劳动者普遍受到以下不利条件之害：就业不正规、工资低、包括无权享受社会保障福利在内的工作期限和工作条件差（劳工研究所，</w:t>
      </w:r>
      <w:r>
        <w:rPr>
          <w:rFonts w:hint="eastAsia"/>
        </w:rPr>
        <w:t>1996</w:t>
      </w:r>
      <w:r>
        <w:rPr>
          <w:rFonts w:hint="eastAsia"/>
        </w:rPr>
        <w:t>年）。</w:t>
      </w:r>
    </w:p>
    <w:p w:rsidR="00000000" w:rsidRDefault="00821B8F">
      <w:pPr>
        <w:pStyle w:val="ListContinue2"/>
        <w:spacing w:line="360" w:lineRule="exact"/>
        <w:ind w:leftChars="0" w:left="0"/>
        <w:rPr>
          <w:rFonts w:eastAsia="KaiTi_GB2312" w:hint="eastAsia"/>
          <w:b/>
          <w:bCs/>
          <w:iCs/>
          <w:color w:val="0000FF"/>
        </w:rPr>
      </w:pPr>
      <w:r>
        <w:rPr>
          <w:rFonts w:eastAsia="KaiTi_GB2312" w:hint="eastAsia"/>
          <w:b/>
          <w:bCs/>
          <w:iCs/>
          <w:color w:val="0000FF"/>
        </w:rPr>
        <w:t>政府部门的妇女</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菲律宾的公务员制度把政府职务分为职业员额和非职业员额两类。职业员额是永久或临时任命担任行政和非行政职务。非职业员额包括行政（委任）任命、</w:t>
      </w:r>
      <w:r>
        <w:rPr>
          <w:rFonts w:hint="eastAsia"/>
          <w:color w:val="000000"/>
        </w:rPr>
        <w:t>选举任命、与职务相符的任命及合同任命。非职业行政员额包括部长和副部长、制宪机构主席和成员及其他高级任命人员；选举产生的官员；以及与职务相符的雇员、或选举产生的及非职业行政官员的机要或侍从人员。</w:t>
      </w:r>
      <w:r>
        <w:rPr>
          <w:rFonts w:hint="eastAsia"/>
          <w:color w:val="000000"/>
        </w:rPr>
        <w:t>1999</w:t>
      </w:r>
      <w:r>
        <w:rPr>
          <w:rFonts w:hint="eastAsia"/>
          <w:color w:val="000000"/>
        </w:rPr>
        <w:t>年，政府有</w:t>
      </w:r>
      <w:r>
        <w:rPr>
          <w:rFonts w:hint="eastAsia"/>
          <w:color w:val="000000"/>
        </w:rPr>
        <w:t>140</w:t>
      </w:r>
      <w:r>
        <w:rPr>
          <w:rFonts w:hint="eastAsia"/>
          <w:color w:val="000000"/>
        </w:rPr>
        <w:t>万雇员。其中妇女占职业员额的</w:t>
      </w:r>
      <w:r>
        <w:rPr>
          <w:rFonts w:hint="eastAsia"/>
          <w:color w:val="000000"/>
        </w:rPr>
        <w:t>55.5%</w:t>
      </w:r>
      <w:r>
        <w:rPr>
          <w:rFonts w:hint="eastAsia"/>
          <w:color w:val="000000"/>
        </w:rPr>
        <w:t>，占非职业员额的</w:t>
      </w:r>
      <w:r>
        <w:rPr>
          <w:rFonts w:hint="eastAsia"/>
          <w:color w:val="000000"/>
        </w:rPr>
        <w:t>36.5%</w:t>
      </w:r>
      <w:r>
        <w:rPr>
          <w:rFonts w:hint="eastAsia"/>
          <w:color w:val="000000"/>
        </w:rPr>
        <w:t>。虽然她们在二级职业员额中占了近四分之三，但在决策者（三级职业员额和非职业行政人员）和高薪雇员中却居少数。在选举产生的官员中妇女也占很小的比例（劳动和就业统计局，</w:t>
      </w:r>
      <w:r>
        <w:rPr>
          <w:rFonts w:hint="eastAsia"/>
          <w:color w:val="000000"/>
        </w:rPr>
        <w:t>2003</w:t>
      </w:r>
      <w:r>
        <w:rPr>
          <w:rFonts w:hint="eastAsia"/>
          <w:color w:val="000000"/>
        </w:rPr>
        <w:t>年</w:t>
      </w:r>
      <w:r>
        <w:rPr>
          <w:rFonts w:hint="eastAsia"/>
          <w:color w:val="000000"/>
        </w:rPr>
        <w:t>d</w:t>
      </w:r>
      <w:r>
        <w:rPr>
          <w:rFonts w:hint="eastAsia"/>
          <w:color w:val="000000"/>
        </w:rPr>
        <w:t>）。</w:t>
      </w:r>
    </w:p>
    <w:p w:rsidR="00000000" w:rsidRDefault="00821B8F">
      <w:pPr>
        <w:numPr>
          <w:ilvl w:val="0"/>
          <w:numId w:val="1409"/>
        </w:numPr>
        <w:tabs>
          <w:tab w:val="num" w:pos="1499"/>
        </w:tabs>
        <w:spacing w:after="120" w:line="360" w:lineRule="exact"/>
        <w:ind w:left="540" w:hanging="540"/>
        <w:rPr>
          <w:rFonts w:hint="eastAsia"/>
          <w:color w:val="000000"/>
        </w:rPr>
      </w:pPr>
      <w:r>
        <w:t xml:space="preserve"> </w:t>
      </w:r>
      <w:r>
        <w:rPr>
          <w:rFonts w:hint="eastAsia"/>
        </w:rPr>
        <w:t>一项关于在政府部门工作的男女的多重负担研究表明，他</w:t>
      </w:r>
      <w:r>
        <w:rPr>
          <w:rFonts w:hint="eastAsia"/>
        </w:rPr>
        <w:t>们在家里和工作上感受到的不同压力来源（职业安全和保健中心，</w:t>
      </w:r>
      <w:r>
        <w:rPr>
          <w:rFonts w:hint="eastAsia"/>
        </w:rPr>
        <w:t>1999</w:t>
      </w:r>
      <w:r>
        <w:rPr>
          <w:rFonts w:hint="eastAsia"/>
        </w:rPr>
        <w:t>年）。人数明显居多的女性被采访者报告说，下班以后“在家里根本得不到放松”，因为家务活儿的压力太大。这说明职业妇女承受了多重负担。对此，该项研究的处方是，灵活安排工作，以便妇女能够出外工作，</w:t>
      </w:r>
      <w:r>
        <w:rPr>
          <w:rFonts w:hint="eastAsia"/>
          <w:color w:val="000000"/>
        </w:rPr>
        <w:t>同时加强妇女支助网。</w:t>
      </w:r>
    </w:p>
    <w:p w:rsidR="00000000" w:rsidRDefault="00821B8F">
      <w:pPr>
        <w:pStyle w:val="ListContinue2"/>
        <w:spacing w:line="360" w:lineRule="exact"/>
        <w:ind w:leftChars="0" w:left="0"/>
        <w:rPr>
          <w:rFonts w:eastAsia="KaiTi_GB2312" w:hint="eastAsia"/>
          <w:b/>
          <w:bCs/>
          <w:iCs/>
          <w:color w:val="0000FF"/>
        </w:rPr>
      </w:pPr>
      <w:r>
        <w:rPr>
          <w:rFonts w:eastAsia="KaiTi_GB2312" w:hint="eastAsia"/>
          <w:b/>
          <w:bCs/>
          <w:iCs/>
          <w:color w:val="0000FF"/>
        </w:rPr>
        <w:t>女企业家</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妇女商业理事会于</w:t>
      </w:r>
      <w:r>
        <w:rPr>
          <w:rFonts w:hint="eastAsia"/>
        </w:rPr>
        <w:t>1998</w:t>
      </w:r>
      <w:r>
        <w:rPr>
          <w:rFonts w:hint="eastAsia"/>
        </w:rPr>
        <w:t>年开展的调查显示，所有部门都有妇女拥有和领导的企业，其中涉及电子和电器、运输、房地产、金融咨询、餐馆、营销和公关及出版。不过，妇女拥有和管理的中小型企业大多从事制造业（</w:t>
      </w:r>
      <w:r>
        <w:rPr>
          <w:rFonts w:hint="eastAsia"/>
        </w:rPr>
        <w:t>41%</w:t>
      </w:r>
      <w:r>
        <w:rPr>
          <w:rFonts w:hint="eastAsia"/>
        </w:rPr>
        <w:t>）；服装、珠宝和家具（</w:t>
      </w:r>
      <w:r>
        <w:rPr>
          <w:rFonts w:hint="eastAsia"/>
        </w:rPr>
        <w:t>37</w:t>
      </w:r>
      <w:r>
        <w:rPr>
          <w:rFonts w:hint="eastAsia"/>
        </w:rPr>
        <w:t>%</w:t>
      </w:r>
      <w:r>
        <w:rPr>
          <w:rFonts w:hint="eastAsia"/>
        </w:rPr>
        <w:t>）；营销（</w:t>
      </w:r>
      <w:r>
        <w:rPr>
          <w:rFonts w:hint="eastAsia"/>
        </w:rPr>
        <w:t>9%</w:t>
      </w:r>
      <w:r>
        <w:rPr>
          <w:rFonts w:hint="eastAsia"/>
        </w:rPr>
        <w:t>）和房地产（</w:t>
      </w:r>
      <w:r>
        <w:rPr>
          <w:rFonts w:hint="eastAsia"/>
        </w:rPr>
        <w:t>7%</w:t>
      </w:r>
      <w:r>
        <w:rPr>
          <w:rFonts w:hint="eastAsia"/>
        </w:rPr>
        <w:t>）。</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菲律宾商工会在</w:t>
      </w:r>
      <w:r>
        <w:rPr>
          <w:rFonts w:hint="eastAsia"/>
        </w:rPr>
        <w:t>1998</w:t>
      </w:r>
      <w:r>
        <w:rPr>
          <w:rFonts w:hint="eastAsia"/>
        </w:rPr>
        <w:t>年开展的调查注意到，妇女领导的企业也许数量不多、规模不如男子领导的企业大，但是对经济产生了重要影响。</w:t>
      </w:r>
      <w:r>
        <w:rPr>
          <w:rFonts w:hint="eastAsia"/>
        </w:rPr>
        <w:t>1998</w:t>
      </w:r>
      <w:r>
        <w:rPr>
          <w:rFonts w:hint="eastAsia"/>
        </w:rPr>
        <w:t>年，妇女领导的企业资产总额达到</w:t>
      </w:r>
      <w:r>
        <w:rPr>
          <w:rFonts w:hint="eastAsia"/>
        </w:rPr>
        <w:t>70</w:t>
      </w:r>
      <w:r>
        <w:rPr>
          <w:rFonts w:hint="eastAsia"/>
        </w:rPr>
        <w:t>亿菲律宾比索。不过，一般来说，妇女带给企业的工作经验和管理培训都很有限。由于商务活动与家庭需求的冲突，加上缺少一个商业合同和支助网，她们一般都处境不利。所有这一切导致政策上以及像</w:t>
      </w:r>
      <w:r>
        <w:rPr>
          <w:rFonts w:hint="eastAsia"/>
        </w:rPr>
        <w:t>1990</w:t>
      </w:r>
      <w:r>
        <w:rPr>
          <w:rFonts w:hint="eastAsia"/>
        </w:rPr>
        <w:t>年代末重创菲律宾的那种危机带来了具有性别差异的影响（李川安，</w:t>
      </w:r>
      <w:r>
        <w:rPr>
          <w:rFonts w:hint="eastAsia"/>
        </w:rPr>
        <w:t>1998</w:t>
      </w:r>
      <w:r>
        <w:rPr>
          <w:rFonts w:hint="eastAsia"/>
        </w:rPr>
        <w:t>年）。</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非正规部门的工商企业向地方政府机构领取营业执</w:t>
      </w:r>
      <w:r>
        <w:rPr>
          <w:rFonts w:hint="eastAsia"/>
          <w:color w:val="000000"/>
        </w:rPr>
        <w:t>照，而正规经济中的工商企业一般在贸易和工业部公平贸易和消费者权益局注册。</w:t>
      </w:r>
      <w:r>
        <w:rPr>
          <w:rFonts w:hint="eastAsia"/>
          <w:color w:val="000000"/>
        </w:rPr>
        <w:t>2003</w:t>
      </w:r>
      <w:r>
        <w:rPr>
          <w:rFonts w:hint="eastAsia"/>
          <w:color w:val="000000"/>
        </w:rPr>
        <w:t>年</w:t>
      </w:r>
      <w:r>
        <w:rPr>
          <w:rFonts w:hint="eastAsia"/>
          <w:color w:val="000000"/>
        </w:rPr>
        <w:t>5</w:t>
      </w:r>
      <w:r>
        <w:rPr>
          <w:rFonts w:hint="eastAsia"/>
          <w:color w:val="000000"/>
        </w:rPr>
        <w:t>月，该局开始按业主性别对公司名称注册数据库进行分类。在按性别分列的总共</w:t>
      </w:r>
      <w:r>
        <w:rPr>
          <w:rFonts w:hint="eastAsia"/>
          <w:color w:val="000000"/>
        </w:rPr>
        <w:t>242 178</w:t>
      </w:r>
      <w:r>
        <w:rPr>
          <w:rFonts w:hint="eastAsia"/>
          <w:color w:val="000000"/>
        </w:rPr>
        <w:t>个公司名称中，约有</w:t>
      </w:r>
      <w:r>
        <w:rPr>
          <w:rFonts w:hint="eastAsia"/>
          <w:color w:val="000000"/>
        </w:rPr>
        <w:t>11%</w:t>
      </w:r>
      <w:r>
        <w:rPr>
          <w:rFonts w:hint="eastAsia"/>
          <w:color w:val="000000"/>
        </w:rPr>
        <w:t>注册为公司、合作社或合伙公司；</w:t>
      </w:r>
      <w:r>
        <w:rPr>
          <w:rFonts w:hint="eastAsia"/>
          <w:color w:val="000000"/>
        </w:rPr>
        <w:t>89%</w:t>
      </w:r>
      <w:r>
        <w:rPr>
          <w:rFonts w:hint="eastAsia"/>
          <w:color w:val="000000"/>
        </w:rPr>
        <w:t>注册为独资企业。后者当中有</w:t>
      </w:r>
      <w:r>
        <w:rPr>
          <w:rFonts w:hint="eastAsia"/>
          <w:color w:val="000000"/>
        </w:rPr>
        <w:t>113 167</w:t>
      </w:r>
      <w:r>
        <w:rPr>
          <w:rFonts w:hint="eastAsia"/>
          <w:color w:val="000000"/>
        </w:rPr>
        <w:t>家企业以妇女名义注册，占总注册公司的</w:t>
      </w:r>
      <w:r>
        <w:rPr>
          <w:rFonts w:hint="eastAsia"/>
          <w:color w:val="000000"/>
        </w:rPr>
        <w:t>47%</w:t>
      </w:r>
      <w:r>
        <w:rPr>
          <w:rFonts w:hint="eastAsia"/>
          <w:color w:val="000000"/>
        </w:rPr>
        <w:t>，占独资企业的</w:t>
      </w:r>
      <w:r>
        <w:rPr>
          <w:rFonts w:hint="eastAsia"/>
          <w:color w:val="000000"/>
        </w:rPr>
        <w:t>52%</w:t>
      </w:r>
      <w:r>
        <w:rPr>
          <w:rFonts w:hint="eastAsia"/>
          <w:color w:val="000000"/>
        </w:rPr>
        <w:t>。鉴于合伙公司、公司和合作社一般都由男子控制，所以可认定</w:t>
      </w:r>
      <w:r>
        <w:rPr>
          <w:rFonts w:hint="eastAsia"/>
          <w:color w:val="000000"/>
        </w:rPr>
        <w:t>47%</w:t>
      </w:r>
      <w:r>
        <w:rPr>
          <w:rFonts w:hint="eastAsia"/>
          <w:color w:val="000000"/>
        </w:rPr>
        <w:t>（而不是</w:t>
      </w:r>
      <w:r>
        <w:rPr>
          <w:rFonts w:hint="eastAsia"/>
          <w:color w:val="000000"/>
        </w:rPr>
        <w:t>52%</w:t>
      </w:r>
      <w:r>
        <w:rPr>
          <w:rFonts w:hint="eastAsia"/>
          <w:color w:val="000000"/>
        </w:rPr>
        <w:t>）作为菲律宾妇女所有的中小型企业的大致估算比例。</w:t>
      </w:r>
    </w:p>
    <w:p w:rsidR="00000000" w:rsidRDefault="00821B8F">
      <w:pPr>
        <w:pStyle w:val="ListContinue2"/>
        <w:spacing w:line="360" w:lineRule="exact"/>
        <w:ind w:leftChars="0" w:left="0"/>
        <w:rPr>
          <w:rFonts w:eastAsia="KaiTi_GB2312" w:hint="eastAsia"/>
          <w:b/>
          <w:bCs/>
          <w:iCs/>
          <w:color w:val="0000FF"/>
        </w:rPr>
      </w:pPr>
      <w:r>
        <w:rPr>
          <w:rFonts w:eastAsia="KaiTi_GB2312" w:hint="eastAsia"/>
          <w:b/>
          <w:bCs/>
          <w:iCs/>
          <w:color w:val="0000FF"/>
        </w:rPr>
        <w:t>女童工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1995</w:t>
      </w:r>
      <w:r>
        <w:rPr>
          <w:rFonts w:hint="eastAsia"/>
        </w:rPr>
        <w:t>年全国童工调查报告，在</w:t>
      </w:r>
      <w:r>
        <w:rPr>
          <w:rFonts w:hint="eastAsia"/>
        </w:rPr>
        <w:t>360</w:t>
      </w:r>
      <w:r>
        <w:rPr>
          <w:rFonts w:hint="eastAsia"/>
        </w:rPr>
        <w:t>万童工（</w:t>
      </w:r>
      <w:r>
        <w:rPr>
          <w:rFonts w:hint="eastAsia"/>
        </w:rPr>
        <w:t>5</w:t>
      </w:r>
      <w:r>
        <w:rPr>
          <w:rFonts w:hint="eastAsia"/>
        </w:rPr>
        <w:t>-17</w:t>
      </w:r>
      <w:r>
        <w:rPr>
          <w:rFonts w:hint="eastAsia"/>
        </w:rPr>
        <w:t>岁）中大约有</w:t>
      </w:r>
      <w:r>
        <w:rPr>
          <w:rFonts w:hint="eastAsia"/>
        </w:rPr>
        <w:t>130</w:t>
      </w:r>
      <w:r>
        <w:rPr>
          <w:rFonts w:hint="eastAsia"/>
        </w:rPr>
        <w:t>万是女童。她们大多来自农村地区，其中四分之一以上因工作而无法上学。多数童工（</w:t>
      </w:r>
      <w:r>
        <w:rPr>
          <w:rFonts w:hint="eastAsia"/>
        </w:rPr>
        <w:t>65%</w:t>
      </w:r>
      <w:r>
        <w:rPr>
          <w:rFonts w:hint="eastAsia"/>
        </w:rPr>
        <w:t>）远离家庭，而其中的大多数（</w:t>
      </w:r>
      <w:r>
        <w:rPr>
          <w:rFonts w:hint="eastAsia"/>
        </w:rPr>
        <w:t>79%</w:t>
      </w:r>
      <w:r>
        <w:rPr>
          <w:rFonts w:hint="eastAsia"/>
        </w:rPr>
        <w:t>）成为家庭帮工。</w:t>
      </w:r>
      <w:r>
        <w:rPr>
          <w:rFonts w:hint="eastAsia"/>
        </w:rPr>
        <w:t>2001</w:t>
      </w:r>
      <w:r>
        <w:rPr>
          <w:rFonts w:hint="eastAsia"/>
        </w:rPr>
        <w:t>年，童工人数增至</w:t>
      </w:r>
      <w:r>
        <w:rPr>
          <w:rFonts w:hint="eastAsia"/>
        </w:rPr>
        <w:t>402</w:t>
      </w:r>
      <w:r>
        <w:rPr>
          <w:rFonts w:hint="eastAsia"/>
        </w:rPr>
        <w:t>万。男童仍然多于女童（</w:t>
      </w:r>
      <w:r>
        <w:rPr>
          <w:rFonts w:hint="eastAsia"/>
        </w:rPr>
        <w:t>255</w:t>
      </w:r>
      <w:r>
        <w:rPr>
          <w:rFonts w:hint="eastAsia"/>
        </w:rPr>
        <w:t>万对</w:t>
      </w:r>
      <w:r>
        <w:rPr>
          <w:rFonts w:hint="eastAsia"/>
        </w:rPr>
        <w:t>147</w:t>
      </w:r>
      <w:r>
        <w:rPr>
          <w:rFonts w:hint="eastAsia"/>
        </w:rPr>
        <w:t>万），但是女童工劳动力的增长速度（年增长速度约为</w:t>
      </w:r>
      <w:r>
        <w:rPr>
          <w:rFonts w:hint="eastAsia"/>
        </w:rPr>
        <w:t>2.20%</w:t>
      </w:r>
      <w:r>
        <w:rPr>
          <w:rFonts w:hint="eastAsia"/>
        </w:rPr>
        <w:t>）比男童工劳动力（</w:t>
      </w:r>
      <w:r>
        <w:rPr>
          <w:rFonts w:hint="eastAsia"/>
        </w:rPr>
        <w:t>1.90%</w:t>
      </w:r>
      <w:r>
        <w:rPr>
          <w:rFonts w:hint="eastAsia"/>
        </w:rPr>
        <w:t>）快（国际劳工组织–消除童工现象国际方案</w:t>
      </w:r>
      <w:r>
        <w:rPr>
          <w:rFonts w:hint="eastAsia"/>
        </w:rPr>
        <w:t>/</w:t>
      </w:r>
      <w:r>
        <w:rPr>
          <w:rFonts w:hint="eastAsia"/>
        </w:rPr>
        <w:t>国家统计局，</w:t>
      </w:r>
      <w:r>
        <w:rPr>
          <w:rFonts w:hint="eastAsia"/>
        </w:rPr>
        <w:t>2003</w:t>
      </w:r>
      <w:r>
        <w:rPr>
          <w:rFonts w:hint="eastAsia"/>
        </w:rPr>
        <w:t>年）。</w:t>
      </w:r>
    </w:p>
    <w:p w:rsidR="00000000" w:rsidRDefault="00821B8F">
      <w:pPr>
        <w:pStyle w:val="H1"/>
        <w:rPr>
          <w:rFonts w:hint="eastAsia"/>
        </w:rPr>
      </w:pPr>
      <w:r>
        <w:t xml:space="preserve">B. </w:t>
      </w:r>
      <w:r>
        <w:rPr>
          <w:rFonts w:hint="eastAsia"/>
        </w:rPr>
        <w:t>采取的行动</w:t>
      </w:r>
    </w:p>
    <w:p w:rsidR="00000000" w:rsidRDefault="00821B8F">
      <w:pPr>
        <w:pStyle w:val="BodyText"/>
        <w:spacing w:after="120" w:line="360" w:lineRule="exact"/>
        <w:rPr>
          <w:rFonts w:hint="eastAsia"/>
          <w:sz w:val="21"/>
          <w:u w:val="single"/>
        </w:rPr>
      </w:pPr>
      <w:r>
        <w:rPr>
          <w:rFonts w:hint="eastAsia"/>
          <w:sz w:val="21"/>
          <w:u w:val="single"/>
        </w:rPr>
        <w:t>一般政策和方案发展态势</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《劳工法典》根据宪法规定的男女就业机会平等的保证，承认女工的某些生理和社会因素。因此，该</w:t>
      </w:r>
      <w:r>
        <w:rPr>
          <w:rFonts w:hint="eastAsia"/>
        </w:rPr>
        <w:t>法典要求雇主在工作场所开办托儿所、准休产假，男女卫生间分开、提供计划生育服务、及至少为妇女提供一间更衣室。可是，至今劳工法律和标准的遵守情况很糟糕，几乎没有对两性平等和与妇女有关法律的执行情况进行监测。菲律宾正在采取步骤处理这些问题，以便把有关性别的问题纳入各企业的劳工总体检查中，制定女工关注事项的检查指导准则，并加强有关家庭工人的国家政策。</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在本审查期内，菲律宾国会颁布了几项针对工作场所的性别歧视问题的立法。《单亲父母法》规定，雇主不得在雇用期限和条件上歧视任何单亲父母。另一项法律，即第</w:t>
      </w:r>
      <w:r>
        <w:rPr>
          <w:rFonts w:hint="eastAsia"/>
        </w:rPr>
        <w:t>8187</w:t>
      </w:r>
      <w:r>
        <w:rPr>
          <w:rFonts w:hint="eastAsia"/>
        </w:rPr>
        <w:t>号共和国</w:t>
      </w:r>
      <w:r>
        <w:rPr>
          <w:rFonts w:hint="eastAsia"/>
        </w:rPr>
        <w:t>法令规定，无论在公共部门还是私人部门，对于已婚男雇员，如果其合法配偶分娩或流产，要准予他七天带薪陪产假，以便在其配偶分娩期间和分娩之后给予有效的照料和支助，并帮助照看新生儿。此外，参议院还有几项议案（第</w:t>
      </w:r>
      <w:r>
        <w:rPr>
          <w:rFonts w:hint="eastAsia"/>
        </w:rPr>
        <w:t>601</w:t>
      </w:r>
      <w:r>
        <w:rPr>
          <w:rFonts w:hint="eastAsia"/>
        </w:rPr>
        <w:t>和第</w:t>
      </w:r>
      <w:r>
        <w:rPr>
          <w:rFonts w:hint="eastAsia"/>
        </w:rPr>
        <w:t>1248</w:t>
      </w:r>
      <w:r>
        <w:rPr>
          <w:rFonts w:hint="eastAsia"/>
        </w:rPr>
        <w:t>号议案）旨在通过制定发展方案、提供经济援助以促进向妇女经营的企业投资、以及提供教育和信息援助等方面的规定，提高妇女的能力。</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在最高法院受理的几起歧视案件中，法院做出了有利于妇女投诉人的裁决。根据《宪法》第十一条第</w:t>
      </w:r>
      <w:r>
        <w:rPr>
          <w:rFonts w:hint="eastAsia"/>
        </w:rPr>
        <w:t>2</w:t>
      </w:r>
      <w:r>
        <w:rPr>
          <w:rFonts w:hint="eastAsia"/>
        </w:rPr>
        <w:t>款的规定，最高法院援引了禁止在就业期限和条件上歧视妇女的公约，作为纠正性劳工</w:t>
      </w:r>
      <w:r>
        <w:rPr>
          <w:rFonts w:hint="eastAsia"/>
        </w:rPr>
        <w:t>和社会法律的依据，即某女工在就业期间结婚而被解雇（最高法院注释报告，</w:t>
      </w:r>
      <w:r>
        <w:rPr>
          <w:rFonts w:hint="eastAsia"/>
        </w:rPr>
        <w:t>1997</w:t>
      </w:r>
      <w:r>
        <w:rPr>
          <w:rFonts w:hint="eastAsia"/>
        </w:rPr>
        <w:t>年）。</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在本审查期内进行了几项研究，其目的在于提高对如下问题的认识：全球化对妇女的影响、工作场所的性别歧视及妇女对经济的贡献。开展这些研究部分上为了决策。其中包括下列研究：</w:t>
      </w:r>
    </w:p>
    <w:p w:rsidR="00000000" w:rsidRDefault="00821B8F">
      <w:pPr>
        <w:pStyle w:val="List3"/>
        <w:numPr>
          <w:ilvl w:val="0"/>
          <w:numId w:val="1377"/>
        </w:numPr>
        <w:tabs>
          <w:tab w:val="clear" w:pos="841"/>
          <w:tab w:val="num" w:pos="1080"/>
        </w:tabs>
        <w:spacing w:after="120" w:line="360" w:lineRule="exact"/>
        <w:ind w:leftChars="0" w:left="1080" w:firstLineChars="0" w:hanging="480"/>
        <w:rPr>
          <w:rFonts w:hint="eastAsia"/>
        </w:rPr>
      </w:pPr>
      <w:r>
        <w:rPr>
          <w:rFonts w:hint="eastAsia"/>
        </w:rPr>
        <w:t>1997</w:t>
      </w:r>
      <w:r>
        <w:rPr>
          <w:rFonts w:hint="eastAsia"/>
        </w:rPr>
        <w:t>至</w:t>
      </w:r>
      <w:r>
        <w:rPr>
          <w:rFonts w:hint="eastAsia"/>
        </w:rPr>
        <w:t>2001</w:t>
      </w:r>
      <w:r>
        <w:rPr>
          <w:rFonts w:hint="eastAsia"/>
        </w:rPr>
        <w:t>年，国家统计协调委员会参与制定计量男女对经济的贡献的框架。它利用二级数据和国家统计局的试验性时间使用调查，</w:t>
      </w:r>
      <w:r>
        <w:rPr>
          <w:rStyle w:val="FootnoteReference"/>
          <w:szCs w:val="21"/>
        </w:rPr>
        <w:footnoteReference w:id="20"/>
      </w:r>
      <w:r>
        <w:rPr>
          <w:rFonts w:hint="eastAsia"/>
        </w:rPr>
        <w:t xml:space="preserve"> </w:t>
      </w:r>
      <w:r>
        <w:rPr>
          <w:rFonts w:hint="eastAsia"/>
        </w:rPr>
        <w:t>来检验计量妇女在拟议的国民账户体系附属账户中所做贡献的框架。</w:t>
      </w:r>
    </w:p>
    <w:p w:rsidR="00000000" w:rsidRDefault="00821B8F">
      <w:pPr>
        <w:pStyle w:val="List3"/>
        <w:numPr>
          <w:ilvl w:val="0"/>
          <w:numId w:val="1377"/>
        </w:numPr>
        <w:tabs>
          <w:tab w:val="clear" w:pos="841"/>
          <w:tab w:val="num" w:pos="1080"/>
        </w:tabs>
        <w:spacing w:after="120" w:line="360" w:lineRule="exact"/>
        <w:ind w:leftChars="0" w:left="1080" w:firstLineChars="0" w:hanging="480"/>
        <w:rPr>
          <w:rFonts w:hint="eastAsia"/>
        </w:rPr>
      </w:pPr>
      <w:r>
        <w:rPr>
          <w:rFonts w:hint="eastAsia"/>
        </w:rPr>
        <w:t>2001</w:t>
      </w:r>
      <w:r>
        <w:rPr>
          <w:rFonts w:hint="eastAsia"/>
        </w:rPr>
        <w:t>年，菲律宾大学妇女研究中心支持了系列研究，以调查全球化对各种职</w:t>
      </w:r>
      <w:r>
        <w:rPr>
          <w:rFonts w:hint="eastAsia"/>
        </w:rPr>
        <w:t>业群体中的妇女的近期和长期影响：成衣业的妇女、土著妇女及移民妇女。特别是成衣业研究注意到行业结构的变化，譬如由于竞争加剧和受到金融危机的影响，只有大公司才能在竞争中幸存，因而越过了中层分承包商；由于受到廉价进口货倾销的冲击，国内生产商的市场份额在萎缩；由于采用新技术，如计算机辅助刺绣，家庭工人更容易丢掉饭碗和失去订单。</w:t>
      </w:r>
    </w:p>
    <w:p w:rsidR="00000000" w:rsidRDefault="00821B8F">
      <w:pPr>
        <w:pStyle w:val="List3"/>
        <w:numPr>
          <w:ilvl w:val="0"/>
          <w:numId w:val="1377"/>
        </w:numPr>
        <w:tabs>
          <w:tab w:val="clear" w:pos="841"/>
          <w:tab w:val="num" w:pos="1080"/>
        </w:tabs>
        <w:spacing w:after="120" w:line="360" w:lineRule="exact"/>
        <w:ind w:leftChars="0" w:left="1080" w:firstLineChars="0" w:hanging="480"/>
        <w:rPr>
          <w:rFonts w:hint="eastAsia"/>
        </w:rPr>
      </w:pPr>
      <w:r>
        <w:rPr>
          <w:rFonts w:hint="eastAsia"/>
        </w:rPr>
        <w:t>作为亚洲开发银行和国际劳工组织联合提供的、名为“加强选定的发展中成员国的国际劳工标准”的区域技术援助的一部分，</w:t>
      </w:r>
      <w:r>
        <w:rPr>
          <w:rFonts w:hint="eastAsia"/>
        </w:rPr>
        <w:t>2001</w:t>
      </w:r>
      <w:r>
        <w:rPr>
          <w:rFonts w:hint="eastAsia"/>
        </w:rPr>
        <w:t>至</w:t>
      </w:r>
      <w:r>
        <w:rPr>
          <w:rFonts w:hint="eastAsia"/>
        </w:rPr>
        <w:t>2002</w:t>
      </w:r>
      <w:r>
        <w:rPr>
          <w:rFonts w:hint="eastAsia"/>
        </w:rPr>
        <w:t>年，在菲律宾进行了一项关于工作场所中的性别歧视的调研。这项研究</w:t>
      </w:r>
      <w:r>
        <w:rPr>
          <w:rFonts w:hint="eastAsia"/>
        </w:rPr>
        <w:t>强调需要解决某些教育做法，因为这种做法使得妇女的就业和生计选择面非常有限，并且造成立法和政策与这些政策的实施之间的差距（伊洛，</w:t>
      </w:r>
      <w:r>
        <w:rPr>
          <w:rFonts w:hint="eastAsia"/>
        </w:rPr>
        <w:t>2002</w:t>
      </w:r>
      <w:r>
        <w:rPr>
          <w:rFonts w:hint="eastAsia"/>
        </w:rPr>
        <w:t>年</w:t>
      </w:r>
      <w:r>
        <w:rPr>
          <w:rFonts w:hint="eastAsia"/>
        </w:rPr>
        <w:t>b</w:t>
      </w:r>
      <w:r>
        <w:rPr>
          <w:rFonts w:hint="eastAsia"/>
        </w:rPr>
        <w:t>）。</w:t>
      </w:r>
    </w:p>
    <w:p w:rsidR="00000000" w:rsidRDefault="00821B8F">
      <w:pPr>
        <w:pStyle w:val="List3"/>
        <w:numPr>
          <w:ilvl w:val="0"/>
          <w:numId w:val="1377"/>
        </w:numPr>
        <w:tabs>
          <w:tab w:val="clear" w:pos="841"/>
          <w:tab w:val="num" w:pos="1080"/>
        </w:tabs>
        <w:spacing w:after="120" w:line="360" w:lineRule="exact"/>
        <w:ind w:leftChars="0" w:left="1080" w:firstLineChars="0" w:hanging="480"/>
        <w:rPr>
          <w:rFonts w:hint="eastAsia"/>
        </w:rPr>
      </w:pPr>
      <w:r>
        <w:rPr>
          <w:rFonts w:hint="eastAsia"/>
        </w:rPr>
        <w:t>通过与新西兰合作，菲律宾（主要是菲律宾妇女作用全国委员会和米丽娅姆大学妇女与性别学院）撰写了一份关于贸易自由化政策对妇女的影响的论文（亚太经合组织，</w:t>
      </w:r>
      <w:r>
        <w:rPr>
          <w:rFonts w:hint="eastAsia"/>
        </w:rPr>
        <w:t>2002</w:t>
      </w:r>
      <w:r>
        <w:rPr>
          <w:rFonts w:hint="eastAsia"/>
        </w:rPr>
        <w:t>年），在</w:t>
      </w:r>
      <w:r>
        <w:rPr>
          <w:rFonts w:hint="eastAsia"/>
        </w:rPr>
        <w:t>2002</w:t>
      </w:r>
      <w:r>
        <w:rPr>
          <w:rFonts w:hint="eastAsia"/>
        </w:rPr>
        <w:t>年</w:t>
      </w:r>
      <w:r>
        <w:rPr>
          <w:rFonts w:hint="eastAsia"/>
        </w:rPr>
        <w:t>9</w:t>
      </w:r>
      <w:r>
        <w:rPr>
          <w:rFonts w:hint="eastAsia"/>
        </w:rPr>
        <w:t>月在墨西哥瓜达拉哈拉举行的第二次亚太经合组织妇女问题部长级会议上发表。</w:t>
      </w:r>
    </w:p>
    <w:p w:rsidR="00000000" w:rsidRDefault="00821B8F">
      <w:pPr>
        <w:pStyle w:val="BodyText"/>
        <w:spacing w:after="120" w:line="360" w:lineRule="exact"/>
        <w:rPr>
          <w:rFonts w:hint="eastAsia"/>
          <w:iCs/>
          <w:sz w:val="21"/>
          <w:u w:val="single"/>
        </w:rPr>
      </w:pPr>
      <w:r>
        <w:rPr>
          <w:rFonts w:hint="eastAsia"/>
          <w:iCs/>
          <w:sz w:val="21"/>
          <w:u w:val="single"/>
        </w:rPr>
        <w:t>工人福利和社会保障</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私人部门的女工不论已婚还是未婚，在正常分娩的情况下均可享受</w:t>
      </w:r>
      <w:r>
        <w:rPr>
          <w:rFonts w:hint="eastAsia"/>
        </w:rPr>
        <w:t>60</w:t>
      </w:r>
      <w:r>
        <w:rPr>
          <w:rFonts w:hint="eastAsia"/>
        </w:rPr>
        <w:t>天的产假福利；如果是剖腹产，产假为</w:t>
      </w:r>
      <w:r>
        <w:rPr>
          <w:rFonts w:hint="eastAsia"/>
        </w:rPr>
        <w:t>7</w:t>
      </w:r>
      <w:r>
        <w:rPr>
          <w:rFonts w:hint="eastAsia"/>
        </w:rPr>
        <w:t>8</w:t>
      </w:r>
      <w:r>
        <w:rPr>
          <w:rFonts w:hint="eastAsia"/>
        </w:rPr>
        <w:t>天。妇女团体指控某些公司违反关于产假福利的法律，但这些指控还没有调查，因为有关妇女因为害怕影响其工作而不敢站出来作证。</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第</w:t>
      </w:r>
      <w:r>
        <w:rPr>
          <w:rFonts w:hint="eastAsia"/>
          <w:color w:val="000000"/>
        </w:rPr>
        <w:t>8291</w:t>
      </w:r>
      <w:r>
        <w:rPr>
          <w:rFonts w:hint="eastAsia"/>
          <w:color w:val="000000"/>
        </w:rPr>
        <w:t>号共和国法令修订了《政府服务保险系统法》，并将其覆盖范围扩大到所有男女工人和公务员遗孀。与此同时，修订的《社会保障法》（第</w:t>
      </w:r>
      <w:r>
        <w:rPr>
          <w:rFonts w:hint="eastAsia"/>
          <w:color w:val="000000"/>
        </w:rPr>
        <w:t>8282</w:t>
      </w:r>
      <w:r>
        <w:rPr>
          <w:rFonts w:hint="eastAsia"/>
          <w:color w:val="000000"/>
        </w:rPr>
        <w:t>号共和国法令）从制度上将社会保障系统的覆盖面扩大到自营职业者、家庭主妇和家庭帮工。虽然第</w:t>
      </w:r>
      <w:r>
        <w:rPr>
          <w:rFonts w:hint="eastAsia"/>
          <w:color w:val="000000"/>
        </w:rPr>
        <w:t>8282</w:t>
      </w:r>
      <w:r>
        <w:rPr>
          <w:rFonts w:hint="eastAsia"/>
          <w:color w:val="000000"/>
        </w:rPr>
        <w:t>号共和国法令的执行程度依然很低，许多妇女仍然享受不到社会保障，但是上述两项法律做出了如下承诺：人寿保险；健康保险（后者为进入政府服务保险系统和社会保障系</w:t>
      </w:r>
      <w:r>
        <w:rPr>
          <w:rFonts w:hint="eastAsia"/>
          <w:color w:val="000000"/>
        </w:rPr>
        <w:t>统的所有男女成员及其符合条件的家属支付固定比例的各种医疗费）及住房贷款。男女雇员只要支付最低限度的缴款，就有资格获得住房贷款，以及短期贷款、生计贷款或互助基金</w:t>
      </w:r>
      <w:r>
        <w:rPr>
          <w:rFonts w:hint="eastAsia"/>
          <w:color w:val="000000"/>
        </w:rPr>
        <w:t>/</w:t>
      </w:r>
      <w:r>
        <w:rPr>
          <w:rFonts w:hint="eastAsia"/>
          <w:color w:val="000000"/>
        </w:rPr>
        <w:t>储蓄福利金。</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其他工作期限和条件则通过雇员协会（指政府雇员）或工会（指私人企业职工）谈判及集体谈判协议达成。譬如，政府雇员可以通过其雇员协会谈判如下关注事项：孕妇的工作任务、休假安排、短程穿梭车辆服务、更加全面的医疗保险、乃至娱乐、社交和文化活动。对于私人部门加入工会的女工来说，其集体谈判协议包括了与孕产有关的各项规定，比如允许孕妇弹性上班、不派夜</w:t>
      </w:r>
      <w:r>
        <w:rPr>
          <w:rFonts w:hint="eastAsia"/>
        </w:rPr>
        <w:t>班、孕产贷款、减轻过重的工作量、怀孕期间免穿公司制服或提供适当的制服、提前支付社会保障系统中的孕产津贴。作为集体谈判协议的一部分，为所有女会员提供免费的早期癌症染色法试验。</w:t>
      </w:r>
    </w:p>
    <w:p w:rsidR="00000000" w:rsidRDefault="00821B8F">
      <w:pPr>
        <w:pStyle w:val="ListContinue2"/>
        <w:spacing w:line="360" w:lineRule="exact"/>
        <w:ind w:leftChars="0" w:left="0"/>
        <w:rPr>
          <w:rFonts w:hint="eastAsia"/>
          <w:iCs/>
          <w:u w:val="single"/>
        </w:rPr>
      </w:pPr>
      <w:r>
        <w:rPr>
          <w:rFonts w:hint="eastAsia"/>
          <w:iCs/>
          <w:u w:val="single"/>
        </w:rPr>
        <w:t>支助服务</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1990</w:t>
      </w:r>
      <w:r>
        <w:rPr>
          <w:rFonts w:hint="eastAsia"/>
        </w:rPr>
        <w:t>年，国会通过第</w:t>
      </w:r>
      <w:r>
        <w:rPr>
          <w:rFonts w:hint="eastAsia"/>
        </w:rPr>
        <w:t>6972</w:t>
      </w:r>
      <w:r>
        <w:rPr>
          <w:rFonts w:hint="eastAsia"/>
        </w:rPr>
        <w:t>号共和国法令，即《镇级儿童总体发展和保护法》，强制规定每个村庄都要建立日托中心。社会福利部报告，在全国</w:t>
      </w:r>
      <w:r>
        <w:rPr>
          <w:rFonts w:hint="eastAsia"/>
        </w:rPr>
        <w:t>41 943</w:t>
      </w:r>
      <w:r>
        <w:rPr>
          <w:rFonts w:hint="eastAsia"/>
        </w:rPr>
        <w:t>个镇中，</w:t>
      </w:r>
      <w:r>
        <w:rPr>
          <w:rFonts w:hint="eastAsia"/>
        </w:rPr>
        <w:t>37 422</w:t>
      </w:r>
      <w:r>
        <w:rPr>
          <w:rFonts w:hint="eastAsia"/>
        </w:rPr>
        <w:t>个已建立了日托中心，其中</w:t>
      </w:r>
      <w:r>
        <w:rPr>
          <w:rFonts w:hint="eastAsia"/>
        </w:rPr>
        <w:t>24 026</w:t>
      </w:r>
      <w:r>
        <w:rPr>
          <w:rFonts w:hint="eastAsia"/>
        </w:rPr>
        <w:t>个中心提供优质日托服务。</w:t>
      </w:r>
      <w:r>
        <w:rPr>
          <w:rFonts w:hint="eastAsia"/>
        </w:rPr>
        <w:t>2000</w:t>
      </w:r>
      <w:r>
        <w:rPr>
          <w:rFonts w:hint="eastAsia"/>
        </w:rPr>
        <w:t>年，总共有</w:t>
      </w:r>
      <w:r>
        <w:rPr>
          <w:rFonts w:hint="eastAsia"/>
        </w:rPr>
        <w:t>302 874</w:t>
      </w:r>
      <w:r>
        <w:rPr>
          <w:rFonts w:hint="eastAsia"/>
        </w:rPr>
        <w:t>名学龄前儿童享受日托中心的服务。尽管有人批评说这种日托中心不能给妇女提</w:t>
      </w:r>
      <w:r>
        <w:rPr>
          <w:rFonts w:hint="eastAsia"/>
        </w:rPr>
        <w:t>供足够的自由时间，使她们能够实实在在地做点儿有收益的工作，但还是能让带幼儿的妈妈腾出点儿时间，即便没有增加收入，也为自己做些其他事情。</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公众就业事务办公室是向地方政府劳工部门的顾客和选民提供就业信息和援助的“一站式”服务中心。第</w:t>
      </w:r>
      <w:r>
        <w:rPr>
          <w:rFonts w:hint="eastAsia"/>
        </w:rPr>
        <w:t>302</w:t>
      </w:r>
      <w:r>
        <w:rPr>
          <w:rFonts w:hint="eastAsia"/>
        </w:rPr>
        <w:t>段指出，公众就业事务办公室提供各种就业介绍服务，比如为本地和海外工资就业提供便利、为自营职业和谋生提供便利及提高就业能力；协助雇主招聘员工；及提供就业信息和指导服务。</w:t>
      </w:r>
      <w:r>
        <w:rPr>
          <w:rFonts w:hint="eastAsia"/>
        </w:rPr>
        <w:t>2001</w:t>
      </w:r>
      <w:r>
        <w:rPr>
          <w:rFonts w:hint="eastAsia"/>
        </w:rPr>
        <w:t>年上半年总共登记了</w:t>
      </w:r>
      <w:r>
        <w:rPr>
          <w:rFonts w:hint="eastAsia"/>
        </w:rPr>
        <w:t>456 272</w:t>
      </w:r>
      <w:r>
        <w:rPr>
          <w:rFonts w:hint="eastAsia"/>
        </w:rPr>
        <w:t>名求职者，其中</w:t>
      </w:r>
      <w:r>
        <w:rPr>
          <w:rFonts w:hint="eastAsia"/>
        </w:rPr>
        <w:t>320 123</w:t>
      </w:r>
      <w:r>
        <w:rPr>
          <w:rFonts w:hint="eastAsia"/>
        </w:rPr>
        <w:t>人得到安置或帮助。为妇女安置的工作约占</w:t>
      </w:r>
      <w:r>
        <w:rPr>
          <w:rFonts w:hint="eastAsia"/>
        </w:rPr>
        <w:t>50</w:t>
      </w:r>
      <w:r>
        <w:rPr>
          <w:rFonts w:hint="eastAsia"/>
        </w:rPr>
        <w:t>.2%</w:t>
      </w:r>
      <w:r>
        <w:rPr>
          <w:rFonts w:hint="eastAsia"/>
        </w:rPr>
        <w:t>，但这个比例还不够高，因为向公众就业事务办公室提出申请的妇女比男子多。</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2002</w:t>
      </w:r>
      <w:r>
        <w:rPr>
          <w:rFonts w:hint="eastAsia"/>
        </w:rPr>
        <w:t>年，社会福利部发起了一个为夜班妇女提供夜间托儿服务的试点项目。提供托儿服务是为了防止因忽略孩子而发生对妇女的暴力以及虐待和忽略幼儿。</w:t>
      </w:r>
    </w:p>
    <w:p w:rsidR="00000000" w:rsidRDefault="00821B8F">
      <w:pPr>
        <w:pStyle w:val="ListContinue2"/>
        <w:spacing w:line="360" w:lineRule="exact"/>
        <w:ind w:leftChars="0" w:left="0"/>
        <w:rPr>
          <w:rFonts w:hint="eastAsia"/>
          <w:iCs/>
          <w:u w:val="single"/>
        </w:rPr>
      </w:pPr>
      <w:r>
        <w:rPr>
          <w:rFonts w:hint="eastAsia"/>
          <w:iCs/>
          <w:u w:val="single"/>
        </w:rPr>
        <w:t>工作场所性骚扰的应对措施和职业保健及安全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1990</w:t>
      </w:r>
      <w:r>
        <w:rPr>
          <w:rFonts w:hint="eastAsia"/>
        </w:rPr>
        <w:t>年代末，菲律宾开始执行《反对性骚扰法》。公务员制度委员会牵头，指示各政府机构建立“礼仪与调查委员会”，负责处理对性骚扰的投诉。该委员会在法律和公务员制度委员会规则的指导下，界定各种违法行为，鉴定性骚扰的具体行为和形式，并根据违法行为的表现</w:t>
      </w:r>
      <w:r>
        <w:rPr>
          <w:rFonts w:hint="eastAsia"/>
        </w:rPr>
        <w:t>形式和严重程度以及案件处理程序实行惩处。</w:t>
      </w:r>
      <w:r>
        <w:rPr>
          <w:rFonts w:hint="eastAsia"/>
        </w:rPr>
        <w:t>1994</w:t>
      </w:r>
      <w:r>
        <w:rPr>
          <w:rFonts w:hint="eastAsia"/>
        </w:rPr>
        <w:t>年至</w:t>
      </w:r>
      <w:r>
        <w:rPr>
          <w:rFonts w:hint="eastAsia"/>
        </w:rPr>
        <w:t>2000</w:t>
      </w:r>
      <w:r>
        <w:rPr>
          <w:rFonts w:hint="eastAsia"/>
        </w:rPr>
        <w:t>年</w:t>
      </w:r>
      <w:r>
        <w:rPr>
          <w:rFonts w:hint="eastAsia"/>
        </w:rPr>
        <w:t>4</w:t>
      </w:r>
      <w:r>
        <w:rPr>
          <w:rFonts w:hint="eastAsia"/>
        </w:rPr>
        <w:t>月，公务员制度委员会先后收到</w:t>
      </w:r>
      <w:r>
        <w:rPr>
          <w:rFonts w:hint="eastAsia"/>
        </w:rPr>
        <w:t>38</w:t>
      </w:r>
      <w:r>
        <w:rPr>
          <w:rFonts w:hint="eastAsia"/>
        </w:rPr>
        <w:t>起投诉，共有</w:t>
      </w:r>
      <w:r>
        <w:rPr>
          <w:rFonts w:hint="eastAsia"/>
        </w:rPr>
        <w:t>15</w:t>
      </w:r>
      <w:r>
        <w:rPr>
          <w:rFonts w:hint="eastAsia"/>
        </w:rPr>
        <w:t>名被告被开除公职；七人停职察看三个月至一年；二人被宣判无罪。有</w:t>
      </w:r>
      <w:r>
        <w:rPr>
          <w:rFonts w:hint="eastAsia"/>
        </w:rPr>
        <w:t>14</w:t>
      </w:r>
      <w:r>
        <w:rPr>
          <w:rFonts w:hint="eastAsia"/>
        </w:rPr>
        <w:t>起案件因各种原因不予受理，其中包括缺乏初步证据的案件，投诉人为自己利益挑选起诉法院或撤诉。截至</w:t>
      </w:r>
      <w:r>
        <w:rPr>
          <w:rFonts w:hint="eastAsia"/>
        </w:rPr>
        <w:t>2002</w:t>
      </w:r>
      <w:r>
        <w:rPr>
          <w:rFonts w:hint="eastAsia"/>
        </w:rPr>
        <w:t>年，共有</w:t>
      </w:r>
      <w:r>
        <w:rPr>
          <w:rFonts w:hint="eastAsia"/>
        </w:rPr>
        <w:t>40</w:t>
      </w:r>
      <w:r>
        <w:rPr>
          <w:rFonts w:hint="eastAsia"/>
        </w:rPr>
        <w:t>起性骚扰案件提起诉讼，其中对</w:t>
      </w:r>
      <w:r>
        <w:rPr>
          <w:rFonts w:hint="eastAsia"/>
        </w:rPr>
        <w:t>27</w:t>
      </w:r>
      <w:r>
        <w:rPr>
          <w:rFonts w:hint="eastAsia"/>
        </w:rPr>
        <w:t>起案件做出有利于投诉人的裁决；</w:t>
      </w:r>
      <w:r>
        <w:rPr>
          <w:rFonts w:hint="eastAsia"/>
        </w:rPr>
        <w:t>17</w:t>
      </w:r>
      <w:r>
        <w:rPr>
          <w:rFonts w:hint="eastAsia"/>
        </w:rPr>
        <w:t>个肇事者被开除公职；</w:t>
      </w:r>
      <w:r>
        <w:rPr>
          <w:rFonts w:hint="eastAsia"/>
        </w:rPr>
        <w:t>10</w:t>
      </w:r>
      <w:r>
        <w:rPr>
          <w:rFonts w:hint="eastAsia"/>
        </w:rPr>
        <w:t>人被停职察看（公务员制度委员会，</w:t>
      </w:r>
      <w:r>
        <w:rPr>
          <w:rFonts w:hint="eastAsia"/>
        </w:rPr>
        <w:t>2002</w:t>
      </w:r>
      <w:r>
        <w:rPr>
          <w:rFonts w:hint="eastAsia"/>
        </w:rPr>
        <w:t>年）。</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1997</w:t>
      </w:r>
      <w:r>
        <w:rPr>
          <w:rFonts w:hint="eastAsia"/>
        </w:rPr>
        <w:t>年，妇女和青工局举办了一系列研讨会，以培训来自私人部门的礼仪与调查委员会</w:t>
      </w:r>
      <w:r>
        <w:rPr>
          <w:rFonts w:hint="eastAsia"/>
        </w:rPr>
        <w:t>成员处理性骚扰案件。自此以后，工会和非政府组织领导打击性骚扰的运动。菲律宾工会代表大会所属的处境不利妇女联盟与有工会组织和无工会组织的工厂管理层及工人举行了若干次情况介绍会议，并散发有关法律要点的宣传手册。该联盟与经济区管理局合作举行了多次经济区企业工作会议（见下文第</w:t>
      </w:r>
      <w:r>
        <w:rPr>
          <w:rFonts w:hint="eastAsia"/>
        </w:rPr>
        <w:t>392</w:t>
      </w:r>
      <w:r>
        <w:rPr>
          <w:rFonts w:hint="eastAsia"/>
        </w:rPr>
        <w:t>段中的讨论）。到</w:t>
      </w:r>
      <w:r>
        <w:rPr>
          <w:rFonts w:hint="eastAsia"/>
        </w:rPr>
        <w:t>2002</w:t>
      </w:r>
      <w:r>
        <w:rPr>
          <w:rFonts w:hint="eastAsia"/>
        </w:rPr>
        <w:t>年，据报告，约有</w:t>
      </w:r>
      <w:r>
        <w:rPr>
          <w:rFonts w:hint="eastAsia"/>
        </w:rPr>
        <w:t>259</w:t>
      </w:r>
      <w:r>
        <w:rPr>
          <w:rFonts w:hint="eastAsia"/>
        </w:rPr>
        <w:t>个工会或企业成立了各自的礼仪与调查委员会并制定了反性骚扰政策；现在正在调查</w:t>
      </w:r>
      <w:r>
        <w:rPr>
          <w:rFonts w:hint="eastAsia"/>
        </w:rPr>
        <w:t>432</w:t>
      </w:r>
      <w:r>
        <w:rPr>
          <w:rFonts w:hint="eastAsia"/>
        </w:rPr>
        <w:t>起性骚扰案件；已有</w:t>
      </w:r>
      <w:r>
        <w:rPr>
          <w:rFonts w:hint="eastAsia"/>
        </w:rPr>
        <w:t>20</w:t>
      </w:r>
      <w:r>
        <w:rPr>
          <w:rFonts w:hint="eastAsia"/>
        </w:rPr>
        <w:t>件投诉结案。八项集体谈判协议中包含了有关性骚扰的规定。虽然处境不利妇女联盟正努力跟踪其有关</w:t>
      </w:r>
      <w:r>
        <w:rPr>
          <w:rFonts w:hint="eastAsia"/>
        </w:rPr>
        <w:t>性骚扰的宣传活动的进展情况，但监测工作仍是个问题。政府方面根本没有监测私人部门遵守第</w:t>
      </w:r>
      <w:r>
        <w:rPr>
          <w:rFonts w:hint="eastAsia"/>
        </w:rPr>
        <w:t>7877</w:t>
      </w:r>
      <w:r>
        <w:rPr>
          <w:rFonts w:hint="eastAsia"/>
        </w:rPr>
        <w:t>号共和国法令的情况。</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为了处理女工的职业保健和安全问题，职业保健和安全中心举办了职业保健和安全讲座或培训，并根据请求提供如下体检：对半导体行业女工进行血液含铅量测定（</w:t>
      </w:r>
      <w:r>
        <w:rPr>
          <w:rFonts w:hint="eastAsia"/>
        </w:rPr>
        <w:t>1996</w:t>
      </w:r>
      <w:r>
        <w:rPr>
          <w:rFonts w:hint="eastAsia"/>
        </w:rPr>
        <w:t>年至现在）；对选定的制造业女工进行听力检查（</w:t>
      </w:r>
      <w:r>
        <w:rPr>
          <w:rFonts w:hint="eastAsia"/>
        </w:rPr>
        <w:t>1996</w:t>
      </w:r>
      <w:r>
        <w:rPr>
          <w:rFonts w:hint="eastAsia"/>
        </w:rPr>
        <w:t>年至现在）；及对半导体行业接触有机溶剂的女工进行尿检（</w:t>
      </w:r>
      <w:r>
        <w:rPr>
          <w:rFonts w:hint="eastAsia"/>
        </w:rPr>
        <w:t>1996-2001</w:t>
      </w:r>
      <w:r>
        <w:rPr>
          <w:rFonts w:hint="eastAsia"/>
        </w:rPr>
        <w:t>年）。</w:t>
      </w:r>
    </w:p>
    <w:p w:rsidR="00000000" w:rsidRDefault="00821B8F">
      <w:pPr>
        <w:pStyle w:val="ListContinue2"/>
        <w:spacing w:line="360" w:lineRule="exact"/>
        <w:ind w:leftChars="0" w:left="0"/>
        <w:rPr>
          <w:rFonts w:eastAsia="SimHei" w:hint="eastAsia"/>
          <w:color w:val="FF0000"/>
        </w:rPr>
      </w:pPr>
      <w:r>
        <w:rPr>
          <w:rFonts w:eastAsia="SimHei" w:hint="eastAsia"/>
          <w:color w:val="FF0000"/>
        </w:rPr>
        <w:t>针对具体工人群体的措施</w:t>
      </w:r>
    </w:p>
    <w:p w:rsidR="00000000" w:rsidRDefault="00821B8F">
      <w:pPr>
        <w:pStyle w:val="BodyText"/>
        <w:spacing w:after="120" w:line="360" w:lineRule="exact"/>
        <w:rPr>
          <w:rFonts w:eastAsia="KaiTi_GB2312" w:hint="eastAsia"/>
          <w:b/>
          <w:bCs/>
          <w:iCs/>
          <w:color w:val="0000FF"/>
          <w:sz w:val="21"/>
        </w:rPr>
      </w:pPr>
      <w:r>
        <w:rPr>
          <w:rFonts w:eastAsia="KaiTi_GB2312" w:hint="eastAsia"/>
          <w:b/>
          <w:bCs/>
          <w:iCs/>
          <w:color w:val="0000FF"/>
          <w:sz w:val="21"/>
        </w:rPr>
        <w:t>政府部门的妇女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政府部门女工的带薪产假适用于各种形式的分娩和流产，但仅适用于已婚妇女，</w:t>
      </w:r>
      <w:r>
        <w:rPr>
          <w:rFonts w:hint="eastAsia"/>
        </w:rPr>
        <w:t>两年以上工龄的雇员可休</w:t>
      </w:r>
      <w:r>
        <w:rPr>
          <w:rFonts w:hint="eastAsia"/>
        </w:rPr>
        <w:t>60</w:t>
      </w:r>
      <w:r>
        <w:rPr>
          <w:rFonts w:hint="eastAsia"/>
        </w:rPr>
        <w:t>个历日的带薪产假。工龄在两年以下、一年以上的妇女按其工龄比例计算其补贴，而工龄不到一年的则享受工资减半的</w:t>
      </w:r>
      <w:r>
        <w:rPr>
          <w:rFonts w:hint="eastAsia"/>
        </w:rPr>
        <w:t>60</w:t>
      </w:r>
      <w:r>
        <w:rPr>
          <w:rFonts w:hint="eastAsia"/>
        </w:rPr>
        <w:t>天产假。到</w:t>
      </w:r>
      <w:r>
        <w:rPr>
          <w:rFonts w:hint="eastAsia"/>
        </w:rPr>
        <w:t>2003</w:t>
      </w:r>
      <w:r>
        <w:rPr>
          <w:rFonts w:hint="eastAsia"/>
        </w:rPr>
        <w:t>年，公务员制度委员会承认未婚妇女享有产假权。因此，她们现在可以享受同已婚妇女一样的产假了。</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2001</w:t>
      </w:r>
      <w:r>
        <w:rPr>
          <w:rFonts w:hint="eastAsia"/>
        </w:rPr>
        <w:t>年，有人提出一份关于制订《公务员守则》的议案。它把有关公务员的现行法律和有关未婚妇女产假、陪产假、单身父母的育儿假和弹性工作时间以及对性骚扰行为的纪律处分等规定编成法典。</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不过，即便没有拟议的《公务员守则》，政府已经推出了以下措施：</w:t>
      </w:r>
    </w:p>
    <w:p w:rsidR="00000000" w:rsidRDefault="00821B8F">
      <w:pPr>
        <w:pStyle w:val="List3"/>
        <w:numPr>
          <w:ilvl w:val="0"/>
          <w:numId w:val="1380"/>
        </w:numPr>
        <w:tabs>
          <w:tab w:val="clear" w:pos="841"/>
          <w:tab w:val="num" w:pos="1080"/>
        </w:tabs>
        <w:spacing w:after="120" w:line="360" w:lineRule="exact"/>
        <w:ind w:leftChars="0" w:left="1080" w:firstLineChars="0" w:hanging="480"/>
        <w:rPr>
          <w:rFonts w:hint="eastAsia"/>
        </w:rPr>
      </w:pPr>
      <w:r>
        <w:rPr>
          <w:rFonts w:hint="eastAsia"/>
        </w:rPr>
        <w:t>弹性时间（弹性工作安排</w:t>
      </w:r>
      <w:r>
        <w:rPr>
          <w:rFonts w:hint="eastAsia"/>
        </w:rPr>
        <w:t>）：只要能完成规定的每天</w:t>
      </w:r>
      <w:r>
        <w:rPr>
          <w:rFonts w:hint="eastAsia"/>
        </w:rPr>
        <w:t>8</w:t>
      </w:r>
      <w:r>
        <w:rPr>
          <w:rFonts w:hint="eastAsia"/>
        </w:rPr>
        <w:t>小时的工作，则允许工人在上午</w:t>
      </w:r>
      <w:r>
        <w:rPr>
          <w:rFonts w:hint="eastAsia"/>
        </w:rPr>
        <w:t>7</w:t>
      </w:r>
      <w:r>
        <w:rPr>
          <w:rFonts w:hint="eastAsia"/>
        </w:rPr>
        <w:t>时至</w:t>
      </w:r>
      <w:r>
        <w:rPr>
          <w:rFonts w:hint="eastAsia"/>
        </w:rPr>
        <w:t>10</w:t>
      </w:r>
      <w:r>
        <w:rPr>
          <w:rFonts w:hint="eastAsia"/>
        </w:rPr>
        <w:t>时的任何时间上班报到、在下午</w:t>
      </w:r>
      <w:r>
        <w:rPr>
          <w:rFonts w:hint="eastAsia"/>
        </w:rPr>
        <w:t>4</w:t>
      </w:r>
      <w:r>
        <w:rPr>
          <w:rFonts w:hint="eastAsia"/>
        </w:rPr>
        <w:t>时至</w:t>
      </w:r>
      <w:r>
        <w:rPr>
          <w:rFonts w:hint="eastAsia"/>
        </w:rPr>
        <w:t>7</w:t>
      </w:r>
      <w:r>
        <w:rPr>
          <w:rFonts w:hint="eastAsia"/>
        </w:rPr>
        <w:t>时的任何时间下班。</w:t>
      </w:r>
    </w:p>
    <w:p w:rsidR="00000000" w:rsidRDefault="00821B8F">
      <w:pPr>
        <w:pStyle w:val="List3"/>
        <w:numPr>
          <w:ilvl w:val="0"/>
          <w:numId w:val="1380"/>
        </w:numPr>
        <w:tabs>
          <w:tab w:val="clear" w:pos="841"/>
          <w:tab w:val="num" w:pos="1080"/>
        </w:tabs>
        <w:spacing w:after="120" w:line="360" w:lineRule="exact"/>
        <w:ind w:leftChars="0" w:left="1080" w:firstLineChars="0" w:hanging="480"/>
        <w:rPr>
          <w:rFonts w:hint="eastAsia"/>
        </w:rPr>
      </w:pPr>
      <w:r>
        <w:rPr>
          <w:rFonts w:hint="eastAsia"/>
        </w:rPr>
        <w:t>全系统工作援助方案：本方案旨在减少雇员上下班路上花费的时间，把某人的工作岗位与另一个人交换，这样他们都可以在离家较近的地方上班。这种安排适用于具有永久资格的一二级雇员。</w:t>
      </w:r>
    </w:p>
    <w:p w:rsidR="00000000" w:rsidRDefault="00821B8F">
      <w:pPr>
        <w:pStyle w:val="List3"/>
        <w:numPr>
          <w:ilvl w:val="0"/>
          <w:numId w:val="1380"/>
        </w:numPr>
        <w:tabs>
          <w:tab w:val="clear" w:pos="841"/>
          <w:tab w:val="num" w:pos="1080"/>
        </w:tabs>
        <w:spacing w:after="120" w:line="360" w:lineRule="exact"/>
        <w:ind w:leftChars="0" w:left="1080" w:firstLineChars="0" w:hanging="480"/>
        <w:rPr>
          <w:rFonts w:hint="eastAsia"/>
        </w:rPr>
      </w:pPr>
      <w:r>
        <w:rPr>
          <w:rFonts w:hint="eastAsia"/>
        </w:rPr>
        <w:t>通过非全时就业、在工作场所建立日托中心、规定特别假特权、以及庆祝每年</w:t>
      </w:r>
      <w:r>
        <w:rPr>
          <w:rFonts w:hint="eastAsia"/>
        </w:rPr>
        <w:t>9</w:t>
      </w:r>
      <w:r>
        <w:rPr>
          <w:rFonts w:hint="eastAsia"/>
        </w:rPr>
        <w:t>月份的“家庭周”，使工作与家庭责任兼顾。在公务员制度委员会内部，被指派在离家很远的地方工作的三四级主管可以定期（每年不超过</w:t>
      </w:r>
      <w:r>
        <w:rPr>
          <w:rFonts w:hint="eastAsia"/>
        </w:rPr>
        <w:t>12</w:t>
      </w:r>
      <w:r>
        <w:rPr>
          <w:rFonts w:hint="eastAsia"/>
        </w:rPr>
        <w:t>次）回家团聚，工资照发并发</w:t>
      </w:r>
      <w:r>
        <w:rPr>
          <w:rFonts w:hint="eastAsia"/>
        </w:rPr>
        <w:t>给交通津贴。</w:t>
      </w:r>
    </w:p>
    <w:p w:rsidR="00000000" w:rsidRDefault="00821B8F">
      <w:pPr>
        <w:pStyle w:val="BodyText"/>
        <w:spacing w:after="120" w:line="360" w:lineRule="exact"/>
        <w:rPr>
          <w:rFonts w:eastAsia="KaiTi_GB2312" w:hint="eastAsia"/>
          <w:b/>
          <w:bCs/>
          <w:iCs/>
          <w:color w:val="0000FF"/>
          <w:sz w:val="21"/>
        </w:rPr>
      </w:pPr>
      <w:r>
        <w:rPr>
          <w:rFonts w:eastAsia="KaiTi_GB2312" w:hint="eastAsia"/>
          <w:b/>
          <w:bCs/>
          <w:iCs/>
          <w:color w:val="0000FF"/>
          <w:sz w:val="21"/>
        </w:rPr>
        <w:t>海外女工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第</w:t>
      </w:r>
      <w:r>
        <w:rPr>
          <w:rFonts w:hint="eastAsia"/>
        </w:rPr>
        <w:t>8042</w:t>
      </w:r>
      <w:r>
        <w:rPr>
          <w:rFonts w:hint="eastAsia"/>
        </w:rPr>
        <w:t>号共和国法令要求菲律宾海外就业管理局理事会中有移徙女工任职。根据这项规定，总统在</w:t>
      </w:r>
      <w:r>
        <w:rPr>
          <w:rFonts w:hint="eastAsia"/>
        </w:rPr>
        <w:t>2001</w:t>
      </w:r>
      <w:r>
        <w:rPr>
          <w:rFonts w:hint="eastAsia"/>
        </w:rPr>
        <w:t>年中任命了一位曾经是移徙女工的理事。</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政府提出了双边安排，并通过外交谈判与东道国就工人的福利和保护达成协定。一些国家同意采用针对技能的《标准就业合同》（适用于家庭佣工和演员）。政府已同奥地利、西班牙、联合王国、法国和加拿大就工人的社会保障承保范围进行谈判，同意大利的谈判正在进行之中。现已同魁北克省（有别于加拿大）、联合王国、瑞士和比利时签订了社会保障双边协定，但这些协定有待审查，而且</w:t>
      </w:r>
      <w:r>
        <w:rPr>
          <w:rFonts w:hint="eastAsia"/>
          <w:color w:val="000000"/>
        </w:rPr>
        <w:t>有待制定和通过执行准则。必须探讨一些新协议，其中包括欧洲国家为菲律宾家庭帮工签发互换服务签证。最后，政府已同约旦、卡塔尔、科威特、利比亚、巴布亚新几内亚和北马里亚纳群岛联邦签订了双边劳工综合协定。将与亚洲和中东其他国家达成类似的协定。</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政府正在研究在其他多边论坛上的备选机制。其中包括参加国际移徙组织召开的会议，这有助于协调和促进在区域和分区两级打击国际贩运女移民的政策和方案。在另一条不同的战线上，亚洲–太平洋经济合作组织（亚太经合组织）已开始促进妇女平等参与发展的机会。该组织在各成员经济体的人力资源开发方</w:t>
      </w:r>
      <w:r>
        <w:rPr>
          <w:rFonts w:hint="eastAsia"/>
        </w:rPr>
        <w:t>案中通过了一个对妇女问题有敏感认识的框架，并资助与亚太经合组织各工作组和工作队举行一系列性别信息会议，以帮助它们认识将妇女的关注纳入亚太经合组织政策中的重要意义。</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2001</w:t>
      </w:r>
      <w:r>
        <w:rPr>
          <w:rFonts w:hint="eastAsia"/>
        </w:rPr>
        <w:t>年政府进行了重大改革，对海外演出艺员的培训、测试和资格证明系统进行整顿，以保持其整体性并遏制已演变为一个复杂测试和认证过程的不良做法。劳工部</w:t>
      </w:r>
      <w:r>
        <w:rPr>
          <w:rFonts w:hint="eastAsia"/>
        </w:rPr>
        <w:t>10-2001</w:t>
      </w:r>
      <w:r>
        <w:rPr>
          <w:rFonts w:hint="eastAsia"/>
        </w:rPr>
        <w:t>号部令规定，改革措施包括：通过实施演员综合指导方案来取代原有的学术训练和测试；提高培训中心、培训员和考官的资格要求；将出国前彩排预审的责任移交给招聘业；把“艺人记录簿”直接或通过有关的</w:t>
      </w:r>
      <w:r>
        <w:rPr>
          <w:rFonts w:hint="eastAsia"/>
        </w:rPr>
        <w:t>招聘机构发给海外演出艺员的监管机构。这项政策指定由菲律宾海外就业管理局向招聘机构发放执照，由技术教育和技能发展管理局负责培训中心的资格认证。这样，假如非正规的演员经理人没有依照本制度取得营业执照或得到认证，他们就要承担触犯有关打击非法招聘和贩运法律的风险。</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2002</w:t>
      </w:r>
      <w:r>
        <w:rPr>
          <w:rFonts w:hint="eastAsia"/>
        </w:rPr>
        <w:t>年，菲律宾海外就业管理局实行了新的海外就业规则和条例，对新的招聘机构执照申请人提出了更严格的开业要求，对违法者规定了更严厉的惩处。这些规则和条例放宽了外方负责人的认证要求和移徙工人的文件处理要求，但对菲律宾海外劳工官员和招聘机构各自的义务和责任</w:t>
      </w:r>
      <w:r>
        <w:rPr>
          <w:rFonts w:hint="eastAsia"/>
        </w:rPr>
        <w:t>加强了问责制。</w:t>
      </w:r>
      <w:r>
        <w:rPr>
          <w:rFonts w:hint="eastAsia"/>
        </w:rPr>
        <w:t>2001</w:t>
      </w:r>
      <w:r>
        <w:rPr>
          <w:rFonts w:hint="eastAsia"/>
        </w:rPr>
        <w:t>年，劳工部通过第</w:t>
      </w:r>
      <w:r>
        <w:rPr>
          <w:rFonts w:hint="eastAsia"/>
        </w:rPr>
        <w:t>11</w:t>
      </w:r>
      <w:r>
        <w:rPr>
          <w:rFonts w:hint="eastAsia"/>
        </w:rPr>
        <w:t>号部令确认，有一种招聘菲佣到香港的替代做法日益盛行，即通过亲友口头介绍招聘，这种做法比较便宜、快捷，而且比较可靠。</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菲律宾海外就业管理局理事会认识到演员的最低年龄为</w:t>
      </w:r>
      <w:r>
        <w:rPr>
          <w:rFonts w:hint="eastAsia"/>
        </w:rPr>
        <w:t>23</w:t>
      </w:r>
      <w:r>
        <w:rPr>
          <w:rFonts w:hint="eastAsia"/>
        </w:rPr>
        <w:t>岁助长了谎报年龄，因此根据国际劳工组织公约规定的最低年龄，在</w:t>
      </w:r>
      <w:r>
        <w:rPr>
          <w:rFonts w:hint="eastAsia"/>
        </w:rPr>
        <w:t>2001</w:t>
      </w:r>
      <w:r>
        <w:rPr>
          <w:rFonts w:hint="eastAsia"/>
        </w:rPr>
        <w:t>年将移徙工人的最低年龄降为</w:t>
      </w:r>
      <w:r>
        <w:rPr>
          <w:rFonts w:hint="eastAsia"/>
        </w:rPr>
        <w:t>18</w:t>
      </w:r>
      <w:r>
        <w:rPr>
          <w:rFonts w:hint="eastAsia"/>
        </w:rPr>
        <w:t>岁，只要以东道国政府规定的高于</w:t>
      </w:r>
      <w:r>
        <w:rPr>
          <w:rFonts w:hint="eastAsia"/>
        </w:rPr>
        <w:t>18</w:t>
      </w:r>
      <w:r>
        <w:rPr>
          <w:rFonts w:hint="eastAsia"/>
        </w:rPr>
        <w:t>岁的年龄要求为准即可。</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在本审查期内，菲律宾政府执行了以提高技能为目的、针对技能（有时针对国家）的出国前教育方案。其中包括：</w:t>
      </w:r>
    </w:p>
    <w:p w:rsidR="00000000" w:rsidRDefault="00821B8F">
      <w:pPr>
        <w:pStyle w:val="List3"/>
        <w:numPr>
          <w:ilvl w:val="0"/>
          <w:numId w:val="1383"/>
        </w:numPr>
        <w:tabs>
          <w:tab w:val="clear" w:pos="841"/>
          <w:tab w:val="num" w:pos="1080"/>
        </w:tabs>
        <w:spacing w:after="120" w:line="360" w:lineRule="exact"/>
        <w:ind w:leftChars="0" w:left="1080" w:firstLineChars="0" w:hanging="480"/>
        <w:rPr>
          <w:rFonts w:hint="eastAsia"/>
        </w:rPr>
      </w:pPr>
      <w:r>
        <w:rPr>
          <w:rFonts w:hint="eastAsia"/>
        </w:rPr>
        <w:t>家庭佣工（多为妇女）出国前指导研讨会，综</w:t>
      </w:r>
      <w:r>
        <w:rPr>
          <w:rFonts w:hint="eastAsia"/>
        </w:rPr>
        <w:t>合了针对女工具体信息需要的模块，如性别与发展、健康与性行为、艾滋病毒</w:t>
      </w:r>
      <w:r>
        <w:rPr>
          <w:rFonts w:hint="eastAsia"/>
        </w:rPr>
        <w:t>/</w:t>
      </w:r>
      <w:r>
        <w:rPr>
          <w:rFonts w:hint="eastAsia"/>
        </w:rPr>
        <w:t>艾滋病及自卫技术。为了提高女工的技能水平，菲律宾海外就业管理局于</w:t>
      </w:r>
      <w:r>
        <w:rPr>
          <w:rFonts w:hint="eastAsia"/>
        </w:rPr>
        <w:t>1999</w:t>
      </w:r>
      <w:r>
        <w:rPr>
          <w:rFonts w:hint="eastAsia"/>
        </w:rPr>
        <w:t>年指示技术教育和技能发展管理局把颁发家庭佣工合格证书作为处理新雇工就业合同的要求。</w:t>
      </w:r>
    </w:p>
    <w:p w:rsidR="00000000" w:rsidRDefault="00821B8F">
      <w:pPr>
        <w:pStyle w:val="List3"/>
        <w:numPr>
          <w:ilvl w:val="0"/>
          <w:numId w:val="1383"/>
        </w:numPr>
        <w:tabs>
          <w:tab w:val="clear" w:pos="841"/>
          <w:tab w:val="num" w:pos="1080"/>
        </w:tabs>
        <w:spacing w:after="120" w:line="360" w:lineRule="exact"/>
        <w:ind w:leftChars="0" w:left="1080" w:firstLineChars="0" w:hanging="480"/>
        <w:rPr>
          <w:rFonts w:hint="eastAsia"/>
        </w:rPr>
      </w:pPr>
      <w:r>
        <w:rPr>
          <w:rFonts w:hint="eastAsia"/>
        </w:rPr>
        <w:t>演员综合指导方案，旨在确保为作海外演出艺员做好就业准备，并提高他们对继续自我发展以求得到更好的职业选择的认识和愿望。</w:t>
      </w:r>
      <w:r>
        <w:rPr>
          <w:rFonts w:hint="eastAsia"/>
        </w:rPr>
        <w:t>1994</w:t>
      </w:r>
      <w:r>
        <w:rPr>
          <w:rFonts w:hint="eastAsia"/>
        </w:rPr>
        <w:t>年通过一系列部令和通函，首次推出了海外演出艺员技能和学术培训、测试及认证制度，并在</w:t>
      </w:r>
      <w:r>
        <w:rPr>
          <w:rFonts w:hint="eastAsia"/>
        </w:rPr>
        <w:t>2001</w:t>
      </w:r>
      <w:r>
        <w:rPr>
          <w:rFonts w:hint="eastAsia"/>
        </w:rPr>
        <w:t>和</w:t>
      </w:r>
      <w:r>
        <w:rPr>
          <w:rFonts w:hint="eastAsia"/>
        </w:rPr>
        <w:t>2002</w:t>
      </w:r>
      <w:r>
        <w:rPr>
          <w:rFonts w:hint="eastAsia"/>
        </w:rPr>
        <w:t>年经过两次修订（详情见第</w:t>
      </w:r>
      <w:r>
        <w:rPr>
          <w:rFonts w:hint="eastAsia"/>
        </w:rPr>
        <w:t>382</w:t>
      </w:r>
      <w:r>
        <w:rPr>
          <w:rFonts w:hint="eastAsia"/>
        </w:rPr>
        <w:t>和第</w:t>
      </w:r>
      <w:r>
        <w:rPr>
          <w:rFonts w:hint="eastAsia"/>
        </w:rPr>
        <w:t>383</w:t>
      </w:r>
      <w:r>
        <w:rPr>
          <w:rFonts w:hint="eastAsia"/>
        </w:rPr>
        <w:t>段）。</w:t>
      </w:r>
    </w:p>
    <w:p w:rsidR="00000000" w:rsidRDefault="00821B8F">
      <w:pPr>
        <w:pStyle w:val="List3"/>
        <w:numPr>
          <w:ilvl w:val="0"/>
          <w:numId w:val="1383"/>
        </w:numPr>
        <w:tabs>
          <w:tab w:val="clear" w:pos="841"/>
          <w:tab w:val="num" w:pos="1080"/>
        </w:tabs>
        <w:spacing w:after="120" w:line="360" w:lineRule="exact"/>
        <w:ind w:leftChars="0" w:left="1080" w:firstLineChars="0" w:hanging="480"/>
        <w:rPr>
          <w:rFonts w:hint="eastAsia"/>
        </w:rPr>
      </w:pPr>
      <w:r>
        <w:rPr>
          <w:rFonts w:hint="eastAsia"/>
        </w:rPr>
        <w:t>护士在出国前必</w:t>
      </w:r>
      <w:r>
        <w:rPr>
          <w:rFonts w:hint="eastAsia"/>
        </w:rPr>
        <w:t>须经过菲律宾海外劳工官员对夜班护士的必备条件给予核准，此外还要接受语言训练和测试。</w:t>
      </w:r>
    </w:p>
    <w:p w:rsidR="00000000" w:rsidRDefault="00821B8F">
      <w:pPr>
        <w:pStyle w:val="List3"/>
        <w:numPr>
          <w:ilvl w:val="0"/>
          <w:numId w:val="1383"/>
        </w:numPr>
        <w:tabs>
          <w:tab w:val="clear" w:pos="841"/>
          <w:tab w:val="num" w:pos="1080"/>
        </w:tabs>
        <w:spacing w:after="120" w:line="360" w:lineRule="exact"/>
        <w:ind w:leftChars="0" w:left="1080" w:firstLineChars="0" w:hanging="480"/>
        <w:rPr>
          <w:rFonts w:hint="eastAsia"/>
        </w:rPr>
      </w:pPr>
      <w:r>
        <w:rPr>
          <w:rFonts w:hint="eastAsia"/>
        </w:rPr>
        <w:t>对于工厂工人，其中大多数是台湾和韩国半导体和计算机厂家愿意雇用的妇女，出国前指导研讨会的内容包括对工作场所的职业和环境安全的指导、安全装置的使用以及需要通过替代文字及外语口语的颜色、标志和信号接受指令和指示的能力。</w:t>
      </w:r>
    </w:p>
    <w:p w:rsidR="00000000" w:rsidRDefault="00821B8F">
      <w:pPr>
        <w:pStyle w:val="List3"/>
        <w:numPr>
          <w:ilvl w:val="0"/>
          <w:numId w:val="1383"/>
        </w:numPr>
        <w:tabs>
          <w:tab w:val="clear" w:pos="841"/>
          <w:tab w:val="num" w:pos="1080"/>
        </w:tabs>
        <w:spacing w:after="120" w:line="360" w:lineRule="exact"/>
        <w:ind w:leftChars="0" w:left="1080" w:firstLineChars="0" w:hanging="480"/>
        <w:rPr>
          <w:rFonts w:hint="eastAsia"/>
        </w:rPr>
      </w:pPr>
      <w:r>
        <w:rPr>
          <w:rFonts w:hint="eastAsia"/>
        </w:rPr>
        <w:t>在客运班轮或浮动旅馆工作的女海员人数虽少但在不断增加，她们主要做女服务员、船舱服务员或女招待。根据修订的《</w:t>
      </w:r>
      <w:r>
        <w:rPr>
          <w:rFonts w:hint="eastAsia"/>
        </w:rPr>
        <w:t>1978</w:t>
      </w:r>
      <w:r>
        <w:rPr>
          <w:rFonts w:hint="eastAsia"/>
        </w:rPr>
        <w:t>年培训、认证和监督标准》对所有海员提出的要求，对这些女工进行国际安全标准培训。</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女性菲律宾海外劳</w:t>
      </w:r>
      <w:r>
        <w:rPr>
          <w:rFonts w:hint="eastAsia"/>
        </w:rPr>
        <w:t>工官员由女性劳工随员、福利官员和福利中心协调员组成，她们被派到菲律宾女工较多的国家工作，接受菲律宾外交使团的行政管辖。</w:t>
      </w:r>
      <w:r>
        <w:rPr>
          <w:rFonts w:hint="eastAsia"/>
        </w:rPr>
        <w:t>2001</w:t>
      </w:r>
      <w:r>
        <w:rPr>
          <w:rFonts w:hint="eastAsia"/>
        </w:rPr>
        <w:t>年</w:t>
      </w:r>
      <w:r>
        <w:rPr>
          <w:rFonts w:hint="eastAsia"/>
        </w:rPr>
        <w:t>4</w:t>
      </w:r>
      <w:r>
        <w:rPr>
          <w:rFonts w:hint="eastAsia"/>
        </w:rPr>
        <w:t>月，在香港、韩国、新加坡和另外八个国家都设有女性劳工随员。在香港、新加坡、东京、大阪、台湾、科威特、迪拜和希腊设有女性福利官员；在香港、文莱和迪拜设有由女性福利协调员主持工作的福利中心。</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国家劳动关系委员会设立了移徙女工服务台，就包括贩卖人口受害者在内的海外菲律宾工人如何在涉及工资、工伤和损害等问题上提出索赔提供指导。该服务台由妇女操作，并由一位劳工仲裁员（或劳工法官根据最高法</w:t>
      </w:r>
      <w:r>
        <w:rPr>
          <w:rFonts w:hint="eastAsia"/>
        </w:rPr>
        <w:t>院的指示）负责。</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遵照菲律宾法律与东道国法律的相容条款并参照相关国际公约或双边协议的规定，就业合同规定菲律宾移徙工人的雇佣期限和条件。因为菲律宾招聘机构与其外方负责人共同承担连带责任，所以工人可以向国家劳动关系委员会和菲律宾海外就业管理局递交违约投诉，指明招聘机构为共同被告。</w:t>
      </w:r>
      <w:r>
        <w:rPr>
          <w:rFonts w:hint="eastAsia"/>
        </w:rPr>
        <w:t>1995</w:t>
      </w:r>
      <w:r>
        <w:rPr>
          <w:rFonts w:hint="eastAsia"/>
        </w:rPr>
        <w:t>年</w:t>
      </w:r>
      <w:r>
        <w:rPr>
          <w:rFonts w:hint="eastAsia"/>
        </w:rPr>
        <w:t>7</w:t>
      </w:r>
      <w:r>
        <w:rPr>
          <w:rFonts w:hint="eastAsia"/>
        </w:rPr>
        <w:t>月至</w:t>
      </w:r>
      <w:r>
        <w:rPr>
          <w:rFonts w:hint="eastAsia"/>
        </w:rPr>
        <w:t>2001</w:t>
      </w:r>
      <w:r>
        <w:rPr>
          <w:rFonts w:hint="eastAsia"/>
        </w:rPr>
        <w:t>年</w:t>
      </w:r>
      <w:r>
        <w:rPr>
          <w:rFonts w:hint="eastAsia"/>
        </w:rPr>
        <w:t>9</w:t>
      </w:r>
      <w:r>
        <w:rPr>
          <w:rFonts w:hint="eastAsia"/>
        </w:rPr>
        <w:t>月，国家劳动关系委员会每年大约受理</w:t>
      </w:r>
      <w:r>
        <w:rPr>
          <w:rFonts w:hint="eastAsia"/>
        </w:rPr>
        <w:t>3 370</w:t>
      </w:r>
      <w:r>
        <w:rPr>
          <w:rFonts w:hint="eastAsia"/>
        </w:rPr>
        <w:t>起投诉案件，其中有涉及非法解雇索赔的（占</w:t>
      </w:r>
      <w:r>
        <w:rPr>
          <w:rFonts w:hint="eastAsia"/>
        </w:rPr>
        <w:t>43%</w:t>
      </w:r>
      <w:r>
        <w:rPr>
          <w:rFonts w:hint="eastAsia"/>
        </w:rPr>
        <w:t>），也有涉及工资或残疾索赔的（占</w:t>
      </w:r>
      <w:r>
        <w:rPr>
          <w:rFonts w:hint="eastAsia"/>
        </w:rPr>
        <w:t>49%</w:t>
      </w:r>
      <w:r>
        <w:rPr>
          <w:rFonts w:hint="eastAsia"/>
        </w:rPr>
        <w:t>）。年处理率为</w:t>
      </w:r>
      <w:r>
        <w:rPr>
          <w:rFonts w:hint="eastAsia"/>
        </w:rPr>
        <w:t>63%</w:t>
      </w:r>
      <w:r>
        <w:rPr>
          <w:rFonts w:hint="eastAsia"/>
        </w:rPr>
        <w:t>。</w:t>
      </w:r>
      <w:r>
        <w:rPr>
          <w:rFonts w:hint="eastAsia"/>
        </w:rPr>
        <w:t>1999</w:t>
      </w:r>
      <w:r>
        <w:rPr>
          <w:rFonts w:hint="eastAsia"/>
        </w:rPr>
        <w:t>年，有</w:t>
      </w:r>
      <w:r>
        <w:rPr>
          <w:rFonts w:hint="eastAsia"/>
        </w:rPr>
        <w:t>33%</w:t>
      </w:r>
      <w:r>
        <w:rPr>
          <w:rFonts w:hint="eastAsia"/>
        </w:rPr>
        <w:t>的案件是由女工投诉的。</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自</w:t>
      </w:r>
      <w:r>
        <w:rPr>
          <w:rFonts w:hint="eastAsia"/>
          <w:color w:val="000000"/>
        </w:rPr>
        <w:t>2002</w:t>
      </w:r>
      <w:r>
        <w:rPr>
          <w:rFonts w:hint="eastAsia"/>
          <w:color w:val="000000"/>
        </w:rPr>
        <w:t>年</w:t>
      </w:r>
      <w:r>
        <w:rPr>
          <w:rFonts w:hint="eastAsia"/>
          <w:color w:val="000000"/>
        </w:rPr>
        <w:t>9</w:t>
      </w:r>
      <w:r>
        <w:rPr>
          <w:rFonts w:hint="eastAsia"/>
          <w:color w:val="000000"/>
        </w:rPr>
        <w:t>月起，一些目的国的海外菲律宾工人可以在现场得到社会福利部“菲律宾人国际社会福利服务”方案下的额外福利服务。作为该方案的一部分，社会福利部向五个中东国家（阿布扎比、迪拜、科威特、卡塔尔和沙特阿拉伯）和三个亚洲目的地（新加坡、香港和台湾）派出第一批社会工作者；并在马来西亚派驻了一位社会福利随员，向日本派驻了若干个借调社会工作者。他们将提供直接服务（运输、住房和食品援助）；案件管理，其中包括介绍其他社会服务、咨询、集体治疗、提起诉讼等；到拘留所和医院探视；提高价值和技能培训；以及宣传和社会动员。自部署这些社会</w:t>
      </w:r>
      <w:r>
        <w:rPr>
          <w:rFonts w:hint="eastAsia"/>
          <w:color w:val="000000"/>
        </w:rPr>
        <w:t>工作者一年以来，他们已经帮助了</w:t>
      </w:r>
      <w:r>
        <w:rPr>
          <w:rFonts w:hint="eastAsia"/>
          <w:color w:val="000000"/>
        </w:rPr>
        <w:t>6 429</w:t>
      </w:r>
      <w:r>
        <w:rPr>
          <w:rFonts w:hint="eastAsia"/>
          <w:color w:val="000000"/>
        </w:rPr>
        <w:t>名菲律宾人：其中</w:t>
      </w:r>
      <w:r>
        <w:rPr>
          <w:rFonts w:hint="eastAsia"/>
          <w:color w:val="000000"/>
        </w:rPr>
        <w:t>3 820</w:t>
      </w:r>
      <w:r>
        <w:rPr>
          <w:rFonts w:hint="eastAsia"/>
          <w:color w:val="000000"/>
        </w:rPr>
        <w:t>人在马来西亚，</w:t>
      </w:r>
      <w:r>
        <w:rPr>
          <w:rFonts w:hint="eastAsia"/>
          <w:color w:val="000000"/>
        </w:rPr>
        <w:t>158</w:t>
      </w:r>
      <w:r>
        <w:rPr>
          <w:rFonts w:hint="eastAsia"/>
          <w:color w:val="000000"/>
        </w:rPr>
        <w:t>人在日本和香港，还有</w:t>
      </w:r>
      <w:r>
        <w:rPr>
          <w:rFonts w:hint="eastAsia"/>
          <w:color w:val="000000"/>
        </w:rPr>
        <w:t>2 451</w:t>
      </w:r>
      <w:r>
        <w:rPr>
          <w:rFonts w:hint="eastAsia"/>
          <w:color w:val="000000"/>
        </w:rPr>
        <w:t>人在其他国家，这些社会工作者在这些国家担任劳工随员的技术助理。大约</w:t>
      </w:r>
      <w:r>
        <w:rPr>
          <w:rFonts w:hint="eastAsia"/>
          <w:color w:val="000000"/>
        </w:rPr>
        <w:t>90%</w:t>
      </w:r>
      <w:r>
        <w:rPr>
          <w:rFonts w:hint="eastAsia"/>
          <w:color w:val="000000"/>
        </w:rPr>
        <w:t>的帮助对象是</w:t>
      </w:r>
      <w:r>
        <w:rPr>
          <w:rFonts w:hint="eastAsia"/>
          <w:color w:val="000000"/>
        </w:rPr>
        <w:t>22</w:t>
      </w:r>
      <w:r>
        <w:rPr>
          <w:rFonts w:hint="eastAsia"/>
          <w:color w:val="000000"/>
        </w:rPr>
        <w:t>至</w:t>
      </w:r>
      <w:r>
        <w:rPr>
          <w:rFonts w:hint="eastAsia"/>
          <w:color w:val="000000"/>
        </w:rPr>
        <w:t>40</w:t>
      </w:r>
      <w:r>
        <w:rPr>
          <w:rFonts w:hint="eastAsia"/>
          <w:color w:val="000000"/>
        </w:rPr>
        <w:t>岁的妇女；其余的是男子和儿童。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在审查期内，海外工人福利管理局实施了许多有关海外工人安全和社会保障的方案。其中包括：</w:t>
      </w:r>
    </w:p>
    <w:p w:rsidR="00000000" w:rsidRDefault="00821B8F">
      <w:pPr>
        <w:pStyle w:val="List3"/>
        <w:numPr>
          <w:ilvl w:val="0"/>
          <w:numId w:val="1384"/>
        </w:numPr>
        <w:tabs>
          <w:tab w:val="clear" w:pos="841"/>
          <w:tab w:val="num" w:pos="1080"/>
        </w:tabs>
        <w:spacing w:after="120" w:line="360" w:lineRule="exact"/>
        <w:ind w:leftChars="0" w:left="1080" w:firstLineChars="0" w:hanging="480"/>
        <w:rPr>
          <w:rFonts w:hint="eastAsia"/>
        </w:rPr>
      </w:pPr>
      <w:r>
        <w:rPr>
          <w:rFonts w:hint="eastAsia"/>
        </w:rPr>
        <w:t>遣返援助。拨出</w:t>
      </w:r>
      <w:r>
        <w:rPr>
          <w:rFonts w:hint="eastAsia"/>
        </w:rPr>
        <w:t>1</w:t>
      </w:r>
      <w:r>
        <w:rPr>
          <w:rFonts w:hint="eastAsia"/>
        </w:rPr>
        <w:t>亿菲律宾比索的预算，用于支助有证件的工人的紧急遣返并为处境艰难的海外菲律宾工人安全回国提供便利。</w:t>
      </w:r>
    </w:p>
    <w:p w:rsidR="00000000" w:rsidRDefault="00821B8F">
      <w:pPr>
        <w:pStyle w:val="List3"/>
        <w:numPr>
          <w:ilvl w:val="0"/>
          <w:numId w:val="1384"/>
        </w:numPr>
        <w:tabs>
          <w:tab w:val="clear" w:pos="841"/>
          <w:tab w:val="num" w:pos="1080"/>
        </w:tabs>
        <w:spacing w:after="120" w:line="360" w:lineRule="exact"/>
        <w:ind w:leftChars="0" w:left="1080" w:firstLineChars="0" w:hanging="480"/>
        <w:rPr>
          <w:rFonts w:hint="eastAsia"/>
        </w:rPr>
      </w:pPr>
      <w:r>
        <w:rPr>
          <w:rFonts w:hint="eastAsia"/>
          <w:spacing w:val="2"/>
        </w:rPr>
        <w:t>保险方案。为缴纳海外工人福利管理费的所有海外菲律宾工人缴纳保险金。</w:t>
      </w:r>
      <w:r>
        <w:rPr>
          <w:rFonts w:hint="eastAsia"/>
          <w:spacing w:val="2"/>
        </w:rPr>
        <w:t>2</w:t>
      </w:r>
      <w:r>
        <w:rPr>
          <w:rFonts w:hint="eastAsia"/>
          <w:spacing w:val="2"/>
        </w:rPr>
        <w:t>000</w:t>
      </w:r>
      <w:r>
        <w:rPr>
          <w:rFonts w:hint="eastAsia"/>
          <w:spacing w:val="2"/>
        </w:rPr>
        <w:t>年，大约有</w:t>
      </w:r>
      <w:r>
        <w:rPr>
          <w:rFonts w:hint="eastAsia"/>
        </w:rPr>
        <w:t>472 153</w:t>
      </w:r>
      <w:r>
        <w:rPr>
          <w:rFonts w:hint="eastAsia"/>
        </w:rPr>
        <w:t>名海外菲律宾工人登记参加该方案，向</w:t>
      </w:r>
      <w:r>
        <w:rPr>
          <w:rFonts w:hint="eastAsia"/>
        </w:rPr>
        <w:t>4 310</w:t>
      </w:r>
      <w:r>
        <w:rPr>
          <w:rFonts w:hint="eastAsia"/>
        </w:rPr>
        <w:t>名索赔者赔付了</w:t>
      </w:r>
      <w:r>
        <w:rPr>
          <w:rFonts w:hint="eastAsia"/>
        </w:rPr>
        <w:t>1 400</w:t>
      </w:r>
      <w:r>
        <w:rPr>
          <w:rFonts w:hint="eastAsia"/>
        </w:rPr>
        <w:t>万菲律宾比索。在索赔者中女工占</w:t>
      </w:r>
      <w:r>
        <w:rPr>
          <w:rFonts w:hint="eastAsia"/>
        </w:rPr>
        <w:t>10%</w:t>
      </w:r>
      <w:r>
        <w:rPr>
          <w:rFonts w:hint="eastAsia"/>
        </w:rPr>
        <w:t>。</w:t>
      </w:r>
    </w:p>
    <w:p w:rsidR="00000000" w:rsidRDefault="00821B8F">
      <w:pPr>
        <w:pStyle w:val="List3"/>
        <w:numPr>
          <w:ilvl w:val="0"/>
          <w:numId w:val="1384"/>
        </w:numPr>
        <w:tabs>
          <w:tab w:val="clear" w:pos="841"/>
          <w:tab w:val="num" w:pos="1080"/>
        </w:tabs>
        <w:spacing w:after="120" w:line="360" w:lineRule="exact"/>
        <w:ind w:leftChars="0" w:left="1080" w:firstLineChars="0" w:hanging="480"/>
        <w:rPr>
          <w:rFonts w:hint="eastAsia"/>
        </w:rPr>
      </w:pPr>
      <w:r>
        <w:rPr>
          <w:rFonts w:hint="eastAsia"/>
        </w:rPr>
        <w:t>残疾援助。援助对象是在海外工作期间受伤或致残的移徙工人，根据残障等级，每位残疾人可得到</w:t>
      </w:r>
      <w:r>
        <w:rPr>
          <w:rFonts w:hint="eastAsia"/>
        </w:rPr>
        <w:t>1 500-10 000</w:t>
      </w:r>
      <w:r>
        <w:rPr>
          <w:rFonts w:hint="eastAsia"/>
        </w:rPr>
        <w:t>菲律宾比索的现金补偿。截至</w:t>
      </w:r>
      <w:r>
        <w:rPr>
          <w:rFonts w:hint="eastAsia"/>
        </w:rPr>
        <w:t>2001</w:t>
      </w:r>
      <w:r>
        <w:rPr>
          <w:rFonts w:hint="eastAsia"/>
        </w:rPr>
        <w:t>年，共有</w:t>
      </w:r>
      <w:r>
        <w:rPr>
          <w:rFonts w:hint="eastAsia"/>
        </w:rPr>
        <w:t>633</w:t>
      </w:r>
      <w:r>
        <w:rPr>
          <w:rFonts w:hint="eastAsia"/>
        </w:rPr>
        <w:t>位女工得到这种援助。</w:t>
      </w:r>
    </w:p>
    <w:p w:rsidR="00000000" w:rsidRDefault="00821B8F">
      <w:pPr>
        <w:pStyle w:val="List3"/>
        <w:numPr>
          <w:ilvl w:val="0"/>
          <w:numId w:val="1384"/>
        </w:numPr>
        <w:tabs>
          <w:tab w:val="clear" w:pos="841"/>
          <w:tab w:val="num" w:pos="1080"/>
        </w:tabs>
        <w:spacing w:after="120" w:line="360" w:lineRule="exact"/>
        <w:ind w:leftChars="0" w:left="1080" w:firstLineChars="0" w:hanging="480"/>
        <w:rPr>
          <w:rFonts w:hint="eastAsia"/>
        </w:rPr>
      </w:pPr>
      <w:r>
        <w:rPr>
          <w:rFonts w:hint="eastAsia"/>
        </w:rPr>
        <w:t>丧葬援助。向已故工人的合法受益人最多支付</w:t>
      </w:r>
      <w:r>
        <w:rPr>
          <w:rFonts w:hint="eastAsia"/>
        </w:rPr>
        <w:t>10 000</w:t>
      </w:r>
      <w:r>
        <w:rPr>
          <w:rFonts w:hint="eastAsia"/>
        </w:rPr>
        <w:t>菲律宾比索。这项援助对那些已经不在保险方案承保范围的海外工人福利管理局的成员也适用。</w:t>
      </w:r>
      <w:r>
        <w:rPr>
          <w:rFonts w:hint="eastAsia"/>
        </w:rPr>
        <w:t>2001</w:t>
      </w:r>
      <w:r>
        <w:rPr>
          <w:rFonts w:hint="eastAsia"/>
        </w:rPr>
        <w:t>年，约有</w:t>
      </w:r>
      <w:r>
        <w:rPr>
          <w:rFonts w:hint="eastAsia"/>
        </w:rPr>
        <w:t>945</w:t>
      </w:r>
      <w:r>
        <w:rPr>
          <w:rFonts w:hint="eastAsia"/>
        </w:rPr>
        <w:t>个女工家庭领取了丧葬援助。</w:t>
      </w:r>
    </w:p>
    <w:p w:rsidR="00000000" w:rsidRDefault="00821B8F">
      <w:pPr>
        <w:pStyle w:val="List3"/>
        <w:numPr>
          <w:ilvl w:val="0"/>
          <w:numId w:val="1384"/>
        </w:numPr>
        <w:tabs>
          <w:tab w:val="clear" w:pos="841"/>
          <w:tab w:val="num" w:pos="1080"/>
        </w:tabs>
        <w:spacing w:after="120" w:line="360" w:lineRule="exact"/>
        <w:ind w:leftChars="0" w:left="1080" w:firstLineChars="0" w:hanging="480"/>
        <w:rPr>
          <w:rFonts w:hint="eastAsia"/>
        </w:rPr>
      </w:pPr>
      <w:r>
        <w:rPr>
          <w:rFonts w:hint="eastAsia"/>
        </w:rPr>
        <w:t>经济援助</w:t>
      </w:r>
      <w:r>
        <w:rPr>
          <w:rFonts w:hint="eastAsia"/>
        </w:rPr>
        <w:t>。援助对象是作为海外工人福利管理局的成员已经没有资格获得任何其他社会福利但是因为不可避免的意外情况需要帮助的人。对这种援助对象，可提供不超过</w:t>
      </w:r>
      <w:r>
        <w:rPr>
          <w:rFonts w:hint="eastAsia"/>
        </w:rPr>
        <w:t>5 000</w:t>
      </w:r>
      <w:r>
        <w:rPr>
          <w:rFonts w:hint="eastAsia"/>
        </w:rPr>
        <w:t>菲律宾比索捐款。</w:t>
      </w:r>
      <w:r>
        <w:rPr>
          <w:rFonts w:hint="eastAsia"/>
        </w:rPr>
        <w:t>2001</w:t>
      </w:r>
      <w:r>
        <w:rPr>
          <w:rFonts w:hint="eastAsia"/>
        </w:rPr>
        <w:t>年，共有</w:t>
      </w:r>
      <w:r>
        <w:rPr>
          <w:rFonts w:hint="eastAsia"/>
        </w:rPr>
        <w:t>3 313</w:t>
      </w:r>
      <w:r>
        <w:rPr>
          <w:rFonts w:hint="eastAsia"/>
        </w:rPr>
        <w:t>名工人（其中女工占</w:t>
      </w:r>
      <w:r>
        <w:rPr>
          <w:rFonts w:hint="eastAsia"/>
        </w:rPr>
        <w:t>26%</w:t>
      </w:r>
      <w:r>
        <w:rPr>
          <w:rFonts w:hint="eastAsia"/>
        </w:rPr>
        <w:t>）获得此种经济援助。对前海外菲律宾工人和海外工人福利管理局成员中的穷人提供的经济援助不超过</w:t>
      </w:r>
      <w:r>
        <w:rPr>
          <w:rFonts w:hint="eastAsia"/>
        </w:rPr>
        <w:t>7 000</w:t>
      </w:r>
      <w:r>
        <w:rPr>
          <w:rFonts w:hint="eastAsia"/>
        </w:rPr>
        <w:t>菲律宾比索。</w:t>
      </w:r>
      <w:r>
        <w:rPr>
          <w:rFonts w:hint="eastAsia"/>
        </w:rPr>
        <w:t>2001</w:t>
      </w:r>
      <w:r>
        <w:rPr>
          <w:rFonts w:hint="eastAsia"/>
        </w:rPr>
        <w:t>年，共有</w:t>
      </w:r>
      <w:r>
        <w:rPr>
          <w:rFonts w:hint="eastAsia"/>
        </w:rPr>
        <w:t>48</w:t>
      </w:r>
      <w:r>
        <w:rPr>
          <w:rFonts w:hint="eastAsia"/>
        </w:rPr>
        <w:t>位妇女领取此种援助。</w:t>
      </w:r>
    </w:p>
    <w:p w:rsidR="00000000" w:rsidRDefault="00821B8F">
      <w:pPr>
        <w:pStyle w:val="List3"/>
        <w:numPr>
          <w:ilvl w:val="0"/>
          <w:numId w:val="1384"/>
        </w:numPr>
        <w:tabs>
          <w:tab w:val="clear" w:pos="841"/>
          <w:tab w:val="num" w:pos="1080"/>
        </w:tabs>
        <w:spacing w:after="120" w:line="360" w:lineRule="exact"/>
        <w:ind w:leftChars="0" w:left="1080" w:firstLineChars="0" w:hanging="480"/>
        <w:rPr>
          <w:rFonts w:hint="eastAsia"/>
        </w:rPr>
      </w:pPr>
      <w:r>
        <w:rPr>
          <w:rFonts w:hint="eastAsia"/>
        </w:rPr>
        <w:t>法律援助。其中包括法律咨询、提供证件、和解和调停。</w:t>
      </w:r>
      <w:r>
        <w:rPr>
          <w:rFonts w:hint="eastAsia"/>
        </w:rPr>
        <w:t>2002</w:t>
      </w:r>
      <w:r>
        <w:rPr>
          <w:rFonts w:hint="eastAsia"/>
        </w:rPr>
        <w:t>年，共有</w:t>
      </w:r>
      <w:r>
        <w:rPr>
          <w:rFonts w:hint="eastAsia"/>
        </w:rPr>
        <w:t>2 269</w:t>
      </w:r>
      <w:r>
        <w:rPr>
          <w:rFonts w:hint="eastAsia"/>
        </w:rPr>
        <w:t>名海外女工得到此种服务。</w:t>
      </w:r>
    </w:p>
    <w:p w:rsidR="00000000" w:rsidRDefault="00821B8F">
      <w:pPr>
        <w:pStyle w:val="List3"/>
        <w:numPr>
          <w:ilvl w:val="0"/>
          <w:numId w:val="1384"/>
        </w:numPr>
        <w:tabs>
          <w:tab w:val="clear" w:pos="841"/>
          <w:tab w:val="num" w:pos="1080"/>
        </w:tabs>
        <w:spacing w:after="120" w:line="360" w:lineRule="exact"/>
        <w:ind w:leftChars="0" w:left="1080" w:firstLineChars="0" w:hanging="480"/>
        <w:rPr>
          <w:rFonts w:hint="eastAsia"/>
        </w:rPr>
      </w:pPr>
      <w:r>
        <w:rPr>
          <w:rFonts w:hint="eastAsia"/>
        </w:rPr>
        <w:t>对潜在的海外菲律宾工人及其家属提供各种奖</w:t>
      </w:r>
      <w:r>
        <w:rPr>
          <w:rFonts w:hint="eastAsia"/>
        </w:rPr>
        <w:t>学金和技能培训。培训对象是贫苦但值得帮助的海外菲律宾工人及其家属；培训内容包括食品加工和农业技术。到目前为止，女工占参加免费培训班总人数的</w:t>
      </w:r>
      <w:r>
        <w:rPr>
          <w:rFonts w:hint="eastAsia"/>
        </w:rPr>
        <w:t>76%</w:t>
      </w:r>
      <w:r>
        <w:rPr>
          <w:rFonts w:hint="eastAsia"/>
        </w:rPr>
        <w:t>。他们也可以选择资助谋生项目的贷款。</w:t>
      </w:r>
      <w:r>
        <w:rPr>
          <w:rFonts w:hint="eastAsia"/>
        </w:rPr>
        <w:t>2001</w:t>
      </w:r>
      <w:r>
        <w:rPr>
          <w:rFonts w:hint="eastAsia"/>
        </w:rPr>
        <w:t>年，大约有</w:t>
      </w:r>
      <w:r>
        <w:rPr>
          <w:rFonts w:hint="eastAsia"/>
        </w:rPr>
        <w:t>1 717</w:t>
      </w:r>
      <w:r>
        <w:rPr>
          <w:rFonts w:hint="eastAsia"/>
        </w:rPr>
        <w:t>名海外菲律宾女工及其家属从就业技能奖学金方案中受益。这项为家境贫寒的海外菲律宾工人或返乡者的子女举办的中小学奖学金方案已经使</w:t>
      </w:r>
      <w:r>
        <w:rPr>
          <w:rFonts w:hint="eastAsia"/>
        </w:rPr>
        <w:t>483</w:t>
      </w:r>
      <w:r>
        <w:rPr>
          <w:rFonts w:hint="eastAsia"/>
        </w:rPr>
        <w:t>名儿童获益。其中有</w:t>
      </w:r>
      <w:r>
        <w:rPr>
          <w:rFonts w:hint="eastAsia"/>
        </w:rPr>
        <w:t>289</w:t>
      </w:r>
      <w:r>
        <w:rPr>
          <w:rFonts w:hint="eastAsia"/>
        </w:rPr>
        <w:t>名儿童（</w:t>
      </w:r>
      <w:r>
        <w:rPr>
          <w:rFonts w:hint="eastAsia"/>
        </w:rPr>
        <w:t>60%</w:t>
      </w:r>
      <w:r>
        <w:rPr>
          <w:rFonts w:hint="eastAsia"/>
        </w:rPr>
        <w:t>）为女工的孩子。</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各种非政府组织积极从事信息传播、教育和培训。例如</w:t>
      </w:r>
      <w:r>
        <w:rPr>
          <w:rFonts w:hint="eastAsia"/>
          <w:color w:val="000000"/>
        </w:rPr>
        <w:t>Kanlungan</w:t>
      </w:r>
      <w:r>
        <w:rPr>
          <w:rFonts w:hint="eastAsia"/>
        </w:rPr>
        <w:t>中心基金会在国际劳工组织支助下，为菲律宾家庭女佣出</w:t>
      </w:r>
      <w:r>
        <w:rPr>
          <w:rFonts w:hint="eastAsia"/>
        </w:rPr>
        <w:t>版了题为《目的地：中东》的手册。</w:t>
      </w:r>
    </w:p>
    <w:p w:rsidR="00000000" w:rsidRDefault="00821B8F">
      <w:pPr>
        <w:pStyle w:val="ListContinue2"/>
        <w:spacing w:line="360" w:lineRule="exact"/>
        <w:ind w:leftChars="0" w:left="0"/>
        <w:rPr>
          <w:rFonts w:eastAsia="KaiTi_GB2312" w:hint="eastAsia"/>
          <w:b/>
          <w:bCs/>
          <w:iCs/>
          <w:color w:val="0000FF"/>
        </w:rPr>
      </w:pPr>
      <w:r>
        <w:rPr>
          <w:rFonts w:eastAsia="KaiTi_GB2312"/>
          <w:b/>
          <w:bCs/>
          <w:iCs/>
          <w:color w:val="0000FF"/>
        </w:rPr>
        <w:br w:type="page"/>
      </w:r>
      <w:r>
        <w:rPr>
          <w:rFonts w:eastAsia="KaiTi_GB2312" w:hint="eastAsia"/>
          <w:b/>
          <w:bCs/>
          <w:iCs/>
          <w:color w:val="0000FF"/>
        </w:rPr>
        <w:t>经济区的妇女</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菲律宾经济区管理局为了保护经济区内的妇女利益采取了如下措施。它要求未来的投资人预先注册并提交一份《承诺备忘录》，禁止在其经营活动中雇佣童工。它还会同国际女律师协会和处境不利妇女联盟举办研讨会，提高人们对有关女工的各种法律的认识，特别是对《反对性骚扰法》的认识。共有</w:t>
      </w:r>
      <w:r>
        <w:rPr>
          <w:rFonts w:hint="eastAsia"/>
          <w:color w:val="000000"/>
        </w:rPr>
        <w:t>11</w:t>
      </w:r>
      <w:r>
        <w:rPr>
          <w:rFonts w:hint="eastAsia"/>
          <w:color w:val="000000"/>
        </w:rPr>
        <w:t>个经济区举办了这种研讨会，结果各区成立了礼仪与调查委员会（见第</w:t>
      </w:r>
      <w:r>
        <w:rPr>
          <w:rFonts w:hint="eastAsia"/>
          <w:color w:val="000000"/>
        </w:rPr>
        <w:t>374</w:t>
      </w:r>
      <w:r>
        <w:rPr>
          <w:rFonts w:hint="eastAsia"/>
          <w:color w:val="000000"/>
        </w:rPr>
        <w:t>段）。该委员会对各经济区的影响如何还有待研究。</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国家承认集体谈判是工人的一项权利，是消除基于性别的工资不平等的一种手段。为</w:t>
      </w:r>
      <w:r>
        <w:rPr>
          <w:rFonts w:hint="eastAsia"/>
        </w:rPr>
        <w:t>了支持有组织的劳工，劳工部对有工会组织和没有工会组织的企业进行了劳工教育，并围绕谈判和宣传的领导艺术为</w:t>
      </w:r>
      <w:r>
        <w:rPr>
          <w:rFonts w:hint="eastAsia"/>
        </w:rPr>
        <w:t>204</w:t>
      </w:r>
      <w:r>
        <w:rPr>
          <w:rFonts w:hint="eastAsia"/>
        </w:rPr>
        <w:t>个工人协会和劳工组织的女工会领导人和工人进行培训和协商。在各公共经济区举办了研讨班，以促进当地企业的工人、工会会员和管理层的经济权利，同时在劳工大检查中也开始包括与两性平等有关的问题。</w:t>
      </w:r>
    </w:p>
    <w:p w:rsidR="00000000" w:rsidRDefault="00821B8F">
      <w:pPr>
        <w:pStyle w:val="ListContinue2"/>
        <w:spacing w:line="360" w:lineRule="exact"/>
        <w:ind w:leftChars="0" w:left="0"/>
        <w:rPr>
          <w:rFonts w:eastAsia="KaiTi_GB2312" w:hint="eastAsia"/>
          <w:b/>
          <w:bCs/>
          <w:iCs/>
          <w:color w:val="0000FF"/>
        </w:rPr>
      </w:pPr>
      <w:r>
        <w:rPr>
          <w:rFonts w:eastAsia="KaiTi_GB2312" w:hint="eastAsia"/>
          <w:b/>
          <w:bCs/>
          <w:iCs/>
          <w:color w:val="0000FF"/>
        </w:rPr>
        <w:t>非正规部门的妇女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劳工部援助非正规部门女企业家的各项方案包括：引进可以提高小企业生产率的实用的低成本改进办法；通过向包括妇女在内的农村劳动者提供技术援助和创业培训班促进农村就业；及女工就业和企业家精神培养方案，这是一</w:t>
      </w:r>
      <w:r>
        <w:rPr>
          <w:rFonts w:hint="eastAsia"/>
        </w:rPr>
        <w:t>项旨在缓解菲律宾妇女中的弱势群体困难处境的积极举措。女工就业和企业家精神培养方案在自营职业、创办企业和合作经营领域提供资金和技术支持。</w:t>
      </w:r>
      <w:r>
        <w:rPr>
          <w:rFonts w:hint="eastAsia"/>
        </w:rPr>
        <w:t>2001</w:t>
      </w:r>
      <w:r>
        <w:rPr>
          <w:rFonts w:hint="eastAsia"/>
        </w:rPr>
        <w:t>年，其培训工作开展了</w:t>
      </w:r>
      <w:r>
        <w:rPr>
          <w:rFonts w:hint="eastAsia"/>
        </w:rPr>
        <w:t>209</w:t>
      </w:r>
      <w:r>
        <w:rPr>
          <w:rFonts w:hint="eastAsia"/>
        </w:rPr>
        <w:t>项能力建设活动，总共有</w:t>
      </w:r>
      <w:r>
        <w:rPr>
          <w:rFonts w:hint="eastAsia"/>
        </w:rPr>
        <w:t>6 390</w:t>
      </w:r>
      <w:r>
        <w:rPr>
          <w:rFonts w:hint="eastAsia"/>
        </w:rPr>
        <w:t>名妇女参加。</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2001</w:t>
      </w:r>
      <w:r>
        <w:rPr>
          <w:rFonts w:hint="eastAsia"/>
        </w:rPr>
        <w:t>年</w:t>
      </w:r>
      <w:r>
        <w:rPr>
          <w:rFonts w:hint="eastAsia"/>
        </w:rPr>
        <w:t>5</w:t>
      </w:r>
      <w:r>
        <w:rPr>
          <w:rFonts w:hint="eastAsia"/>
        </w:rPr>
        <w:t>月，技术教育和技能发展管理局妇女中心成立了“</w:t>
      </w:r>
      <w:r>
        <w:rPr>
          <w:rFonts w:hint="eastAsia"/>
          <w:color w:val="000000"/>
        </w:rPr>
        <w:t>Kasanayan-Kabuhayan</w:t>
      </w:r>
      <w:r>
        <w:rPr>
          <w:rFonts w:hint="eastAsia"/>
        </w:rPr>
        <w:t>一站式办公室”，这是一个以扩大下岗工人和非正规经济工人、特别是女工就业选择机会为目的的介绍服务机构。自那时起，该办公室已经向</w:t>
      </w:r>
      <w:r>
        <w:rPr>
          <w:rFonts w:hint="eastAsia"/>
        </w:rPr>
        <w:t>801</w:t>
      </w:r>
      <w:r>
        <w:rPr>
          <w:rFonts w:hint="eastAsia"/>
        </w:rPr>
        <w:t>位妇女提供了以下服务：技能评估、职业咨询、海外和本土就业支助服务的信息传</w:t>
      </w:r>
      <w:r>
        <w:rPr>
          <w:rFonts w:hint="eastAsia"/>
        </w:rPr>
        <w:t>播、技能培训或再培训、信息通信技术与企业家精神培养培训奖学金、信贷及联网。</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2001</w:t>
      </w:r>
      <w:r>
        <w:rPr>
          <w:rFonts w:hint="eastAsia"/>
          <w:color w:val="000000"/>
        </w:rPr>
        <w:t>至</w:t>
      </w:r>
      <w:r>
        <w:rPr>
          <w:rFonts w:hint="eastAsia"/>
          <w:color w:val="000000"/>
        </w:rPr>
        <w:t>2002</w:t>
      </w:r>
      <w:r>
        <w:rPr>
          <w:rFonts w:hint="eastAsia"/>
          <w:color w:val="000000"/>
        </w:rPr>
        <w:t>年，劳工部会同主教与商人会议、非正规部门理事会国家扶贫委员会的工作人员、国家经济和发展管理局及其他利益有关者一起，执行了旨在促进和保护非正规部门的项目。在国际劳工组织和开发计划署支持下，除其他事项外，该项目制定了一项全国非正规部门方案，名为“通过地方政府使非正规部门方案和政策制度化”。内阁的社会发展委员会于</w:t>
      </w:r>
      <w:r>
        <w:rPr>
          <w:rFonts w:hint="eastAsia"/>
          <w:color w:val="000000"/>
        </w:rPr>
        <w:t>2003</w:t>
      </w:r>
      <w:r>
        <w:rPr>
          <w:rFonts w:hint="eastAsia"/>
          <w:color w:val="000000"/>
        </w:rPr>
        <w:t>年</w:t>
      </w:r>
      <w:r>
        <w:rPr>
          <w:rFonts w:hint="eastAsia"/>
          <w:color w:val="000000"/>
        </w:rPr>
        <w:t>7</w:t>
      </w:r>
      <w:r>
        <w:rPr>
          <w:rFonts w:hint="eastAsia"/>
          <w:color w:val="000000"/>
        </w:rPr>
        <w:t>月批准了该方案。它将复制试点取得的经验，其中包括地方政府机构支持其各自的非正规部门的能力培养，并</w:t>
      </w:r>
      <w:r>
        <w:rPr>
          <w:rFonts w:hint="eastAsia"/>
          <w:color w:val="000000"/>
        </w:rPr>
        <w:t>加强地方政府一级的非正规部门工人组织。农村地区的非正规部门工人被列为这项国家方案重点。</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社会福利部通过两大方案援助贫穷和处境不利妇女：一是“自谋职业协助–民生”，这是一项基于社区的能力建设方案，旨在支持贫穷和边际化部门的微型企业和微型贷款的发展；另一个是援助处境不利妇女的生产技能的能力建设方案，为她们举办缝纫、玩具制作、食物加工、陶瓷、藤编工艺及其他谋生项目培训。该方案获得</w:t>
      </w:r>
      <w:r>
        <w:rPr>
          <w:rFonts w:hint="eastAsia"/>
        </w:rPr>
        <w:t>4.606</w:t>
      </w:r>
      <w:r>
        <w:rPr>
          <w:rFonts w:hint="eastAsia"/>
        </w:rPr>
        <w:t>亿菲律宾比索的预算，使</w:t>
      </w:r>
      <w:r>
        <w:rPr>
          <w:rFonts w:hint="eastAsia"/>
        </w:rPr>
        <w:t>115 303</w:t>
      </w:r>
      <w:r>
        <w:rPr>
          <w:rFonts w:hint="eastAsia"/>
        </w:rPr>
        <w:t>人直接受益，其中妇女占</w:t>
      </w:r>
      <w:r>
        <w:rPr>
          <w:rFonts w:hint="eastAsia"/>
        </w:rPr>
        <w:t>70%</w:t>
      </w:r>
      <w:r>
        <w:rPr>
          <w:rFonts w:hint="eastAsia"/>
        </w:rPr>
        <w:t>。它还组织了</w:t>
      </w:r>
      <w:r>
        <w:rPr>
          <w:rFonts w:hint="eastAsia"/>
        </w:rPr>
        <w:t>15</w:t>
      </w:r>
      <w:r>
        <w:rPr>
          <w:rFonts w:hint="eastAsia"/>
        </w:rPr>
        <w:t>个母亲协会，每个团体获得</w:t>
      </w:r>
      <w:r>
        <w:rPr>
          <w:rFonts w:hint="eastAsia"/>
        </w:rPr>
        <w:t>100 000</w:t>
      </w:r>
      <w:r>
        <w:rPr>
          <w:rFonts w:hint="eastAsia"/>
        </w:rPr>
        <w:t>菲律宾</w:t>
      </w:r>
      <w:r>
        <w:rPr>
          <w:rFonts w:hint="eastAsia"/>
        </w:rPr>
        <w:t>比索的原始资本。截至</w:t>
      </w:r>
      <w:r>
        <w:rPr>
          <w:rFonts w:hint="eastAsia"/>
        </w:rPr>
        <w:t>2002</w:t>
      </w:r>
      <w:r>
        <w:rPr>
          <w:rFonts w:hint="eastAsia"/>
        </w:rPr>
        <w:t>年</w:t>
      </w:r>
      <w:r>
        <w:rPr>
          <w:rFonts w:hint="eastAsia"/>
        </w:rPr>
        <w:t>4</w:t>
      </w:r>
      <w:r>
        <w:rPr>
          <w:rFonts w:hint="eastAsia"/>
        </w:rPr>
        <w:t>月，全国共有</w:t>
      </w:r>
      <w:r>
        <w:rPr>
          <w:rFonts w:hint="eastAsia"/>
        </w:rPr>
        <w:t>104</w:t>
      </w:r>
      <w:r>
        <w:rPr>
          <w:rFonts w:hint="eastAsia"/>
        </w:rPr>
        <w:t>个生产技能能力建设方案。</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2002</w:t>
      </w:r>
      <w:r>
        <w:rPr>
          <w:rFonts w:hint="eastAsia"/>
        </w:rPr>
        <w:t>年</w:t>
      </w:r>
      <w:r>
        <w:rPr>
          <w:rFonts w:hint="eastAsia"/>
        </w:rPr>
        <w:t>6</w:t>
      </w:r>
      <w:r>
        <w:rPr>
          <w:rFonts w:hint="eastAsia"/>
        </w:rPr>
        <w:t>月，菲律宾开发银行制定了一项面向非正规部门社会保障系统成员的专项储蓄方案，即</w:t>
      </w:r>
      <w:r>
        <w:rPr>
          <w:rFonts w:hint="eastAsia"/>
          <w:color w:val="000000"/>
        </w:rPr>
        <w:t>Maginhawang Manggagawa</w:t>
      </w:r>
      <w:r>
        <w:rPr>
          <w:rFonts w:hint="eastAsia"/>
        </w:rPr>
        <w:t>储蓄账户。其目的是通过把定期储蓄账户与社保成员储蓄账户的自动贷记安排结合起来，为非正规部门工人缴纳社保保险费提供便利。现正在大马尼拉、比萨扬群岛的宿务市和棉兰老岛的达沃三个城市进行试点。</w:t>
      </w:r>
    </w:p>
    <w:p w:rsidR="00000000" w:rsidRDefault="00821B8F">
      <w:pPr>
        <w:pStyle w:val="ListContinue2"/>
        <w:spacing w:line="360" w:lineRule="exact"/>
        <w:ind w:leftChars="0" w:left="0"/>
        <w:rPr>
          <w:rFonts w:eastAsia="KaiTi_GB2312" w:hint="eastAsia"/>
          <w:b/>
          <w:bCs/>
          <w:iCs/>
          <w:color w:val="0000FF"/>
        </w:rPr>
      </w:pPr>
      <w:r>
        <w:rPr>
          <w:rFonts w:eastAsia="KaiTi_GB2312" w:hint="eastAsia"/>
          <w:b/>
          <w:bCs/>
          <w:iCs/>
          <w:color w:val="0000FF"/>
        </w:rPr>
        <w:t>女企业家</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1995</w:t>
      </w:r>
      <w:r>
        <w:rPr>
          <w:rFonts w:hint="eastAsia"/>
          <w:color w:val="000000"/>
        </w:rPr>
        <w:t>年，国会通过了第</w:t>
      </w:r>
      <w:r>
        <w:rPr>
          <w:rFonts w:hint="eastAsia"/>
          <w:color w:val="000000"/>
        </w:rPr>
        <w:t>7882</w:t>
      </w:r>
      <w:r>
        <w:rPr>
          <w:rFonts w:hint="eastAsia"/>
          <w:color w:val="000000"/>
        </w:rPr>
        <w:t>号共和国法令，责令政府协助菲律宾妇女争取拥有、经营和管理小型工商企业。</w:t>
      </w:r>
      <w:r>
        <w:rPr>
          <w:rFonts w:hint="eastAsia"/>
          <w:color w:val="000000"/>
        </w:rPr>
        <w:t>根据这项法律，能证明受过政府或政府认可的培训机构提供的适当培训的任何妇女，都有资格获得政府金融机构发放的贷款；这些金融机构必须将其</w:t>
      </w:r>
      <w:r>
        <w:rPr>
          <w:rFonts w:hint="eastAsia"/>
          <w:color w:val="000000"/>
        </w:rPr>
        <w:t>5%</w:t>
      </w:r>
      <w:r>
        <w:rPr>
          <w:rFonts w:hint="eastAsia"/>
          <w:color w:val="000000"/>
        </w:rPr>
        <w:t>的贷款组合留给妇女项目。</w:t>
      </w:r>
      <w:r>
        <w:rPr>
          <w:rFonts w:hint="eastAsia"/>
          <w:color w:val="000000"/>
        </w:rPr>
        <w:t>2001</w:t>
      </w:r>
      <w:r>
        <w:rPr>
          <w:rFonts w:hint="eastAsia"/>
          <w:color w:val="000000"/>
        </w:rPr>
        <w:t>年，贸易和工业部报告，菲律宾开发银行和菲律宾土地银行为执行第</w:t>
      </w:r>
      <w:r>
        <w:rPr>
          <w:rFonts w:hint="eastAsia"/>
          <w:color w:val="000000"/>
        </w:rPr>
        <w:t>7882</w:t>
      </w:r>
      <w:r>
        <w:rPr>
          <w:rFonts w:hint="eastAsia"/>
          <w:color w:val="000000"/>
        </w:rPr>
        <w:t>号共和国法令，总共发放了近</w:t>
      </w:r>
      <w:r>
        <w:rPr>
          <w:rFonts w:hint="eastAsia"/>
          <w:color w:val="000000"/>
        </w:rPr>
        <w:t>40</w:t>
      </w:r>
      <w:r>
        <w:rPr>
          <w:rFonts w:hint="eastAsia"/>
          <w:color w:val="000000"/>
        </w:rPr>
        <w:t>亿菲律宾比索，援助全国约</w:t>
      </w:r>
      <w:r>
        <w:rPr>
          <w:rFonts w:hint="eastAsia"/>
          <w:color w:val="000000"/>
        </w:rPr>
        <w:t>4 000</w:t>
      </w:r>
      <w:r>
        <w:rPr>
          <w:rFonts w:hint="eastAsia"/>
          <w:color w:val="000000"/>
        </w:rPr>
        <w:t>名妇女。</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正如第十条所讨论的，政府于</w:t>
      </w:r>
      <w:r>
        <w:rPr>
          <w:rFonts w:hint="eastAsia"/>
        </w:rPr>
        <w:t>1996</w:t>
      </w:r>
      <w:r>
        <w:rPr>
          <w:rFonts w:hint="eastAsia"/>
        </w:rPr>
        <w:t>年在技术教育和技能发展管理局推出一项积极行动政策，确保妇女接受传统上男子一统天下的行业课程培训，培养她们获得更高层次的就业、责任和薪酬。这项政策要求在技术教育和技能发展</w:t>
      </w:r>
      <w:r>
        <w:rPr>
          <w:rFonts w:hint="eastAsia"/>
        </w:rPr>
        <w:t>管理局每年培训的全部毕业生中妇女至少要占</w:t>
      </w:r>
      <w:r>
        <w:rPr>
          <w:rFonts w:hint="eastAsia"/>
        </w:rPr>
        <w:t xml:space="preserve">10% </w:t>
      </w:r>
      <w:r>
        <w:rPr>
          <w:rFonts w:hint="eastAsia"/>
        </w:rPr>
        <w:t>。此后，技术教育和技能发展管理局一直培训妇女掌握非传统技能，</w:t>
      </w:r>
      <w:r>
        <w:rPr>
          <w:rFonts w:hint="eastAsia"/>
        </w:rPr>
        <w:t>1998</w:t>
      </w:r>
      <w:r>
        <w:rPr>
          <w:rFonts w:hint="eastAsia"/>
        </w:rPr>
        <w:t>年，总共有</w:t>
      </w:r>
      <w:r>
        <w:rPr>
          <w:rFonts w:hint="eastAsia"/>
        </w:rPr>
        <w:t>317</w:t>
      </w:r>
      <w:r>
        <w:rPr>
          <w:rFonts w:hint="eastAsia"/>
        </w:rPr>
        <w:t>名妇女经过非传统课程培训毕业了（附表</w:t>
      </w:r>
      <w:r>
        <w:rPr>
          <w:rFonts w:hint="eastAsia"/>
        </w:rPr>
        <w:t>B10.5</w:t>
      </w:r>
      <w:r>
        <w:rPr>
          <w:rFonts w:hint="eastAsia"/>
        </w:rPr>
        <w:t>）。</w:t>
      </w:r>
      <w:r>
        <w:rPr>
          <w:rFonts w:hint="eastAsia"/>
        </w:rPr>
        <w:t>1999-2001</w:t>
      </w:r>
      <w:r>
        <w:rPr>
          <w:rFonts w:hint="eastAsia"/>
        </w:rPr>
        <w:t>年，总共有</w:t>
      </w:r>
      <w:r>
        <w:rPr>
          <w:rFonts w:hint="eastAsia"/>
        </w:rPr>
        <w:t>479</w:t>
      </w:r>
      <w:r>
        <w:rPr>
          <w:rFonts w:hint="eastAsia"/>
        </w:rPr>
        <w:t>名妇女经过传统行业的培训，</w:t>
      </w:r>
      <w:r>
        <w:rPr>
          <w:rFonts w:hint="eastAsia"/>
        </w:rPr>
        <w:t>172</w:t>
      </w:r>
      <w:r>
        <w:rPr>
          <w:rFonts w:hint="eastAsia"/>
        </w:rPr>
        <w:t>名妇女接受了非传统课程培训，如汽车、焊接、陶瓷和电子。</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除了技术教育和技能发展管理局之外，贸易和工业部的各专业培训中心和地区办事处还在如下领域开展技能和生计培训：礼品和家用器皿、成衣和饰品、电子和电信、金属工艺、建筑服务、基于农业和林业的活动。它们还开办了批发、</w:t>
      </w:r>
      <w:r>
        <w:rPr>
          <w:rFonts w:hint="eastAsia"/>
          <w:color w:val="000000"/>
        </w:rPr>
        <w:t>零售、合作社、经理和监理培训课程。家庭工业技术中心在下列谋生领域提供培训：制衣、制花、制作箱包、节日装饰品制作、新颖物品、家庭造纸、食品加工、手织机编织、工艺和陶器。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立法行动以及贸易和工业部、经商妇女宣传下，激发了有关方面对创办中小型企业的妇女发放贷款的兴趣。所有这一切都集中体现在国家中小型企业发展计划之中。为了支持该计划，各政府融资机构共同协作，为满足中小型企业的资金需求量身定制了一个统一贷款方案。该方案名为“中小型企业全国发展统一贷款机会或</w:t>
      </w:r>
      <w:r>
        <w:rPr>
          <w:rFonts w:hint="eastAsia"/>
        </w:rPr>
        <w:t>SULONG</w:t>
      </w:r>
      <w:r>
        <w:rPr>
          <w:rFonts w:hint="eastAsia"/>
        </w:rPr>
        <w:t>，其目的是简化贷款程序并使之标准化，以便创建一</w:t>
      </w:r>
      <w:r>
        <w:rPr>
          <w:rFonts w:hint="eastAsia"/>
        </w:rPr>
        <w:t>个“更加广泛、无边界的融资系统”，满足中小型企业短期和长期需求。参加政府融资机构的有菲律宾开发银行、菲律宾土地银行国家生计支助基金、菲律宾进出口银行、</w:t>
      </w:r>
      <w:r>
        <w:rPr>
          <w:rFonts w:hint="eastAsia"/>
        </w:rPr>
        <w:t>Quedan</w:t>
      </w:r>
      <w:r>
        <w:rPr>
          <w:rFonts w:hint="eastAsia"/>
        </w:rPr>
        <w:t>农村信贷担保公司、小企业担保和融资公司。据报告中小型企业贷款机会的扩大创造了新的就业机会。政府声称，</w:t>
      </w:r>
      <w:r>
        <w:rPr>
          <w:rFonts w:hint="eastAsia"/>
        </w:rPr>
        <w:t>2003</w:t>
      </w:r>
      <w:r>
        <w:rPr>
          <w:rFonts w:hint="eastAsia"/>
        </w:rPr>
        <w:t>年</w:t>
      </w:r>
      <w:r>
        <w:rPr>
          <w:rFonts w:hint="eastAsia"/>
        </w:rPr>
        <w:t>1</w:t>
      </w:r>
      <w:r>
        <w:rPr>
          <w:rFonts w:hint="eastAsia"/>
        </w:rPr>
        <w:t>月至</w:t>
      </w:r>
      <w:r>
        <w:rPr>
          <w:rFonts w:hint="eastAsia"/>
        </w:rPr>
        <w:t>10</w:t>
      </w:r>
      <w:r>
        <w:rPr>
          <w:rFonts w:hint="eastAsia"/>
        </w:rPr>
        <w:t>月，中小型企业贷款总额达</w:t>
      </w:r>
      <w:r>
        <w:rPr>
          <w:rFonts w:hint="eastAsia"/>
        </w:rPr>
        <w:t>210</w:t>
      </w:r>
      <w:r>
        <w:rPr>
          <w:rFonts w:hint="eastAsia"/>
        </w:rPr>
        <w:t>亿菲律宾比索，相比之下，</w:t>
      </w:r>
      <w:r>
        <w:rPr>
          <w:rFonts w:hint="eastAsia"/>
        </w:rPr>
        <w:t>1998</w:t>
      </w:r>
      <w:r>
        <w:rPr>
          <w:rFonts w:hint="eastAsia"/>
        </w:rPr>
        <w:t>年</w:t>
      </w:r>
      <w:r>
        <w:rPr>
          <w:rFonts w:hint="eastAsia"/>
        </w:rPr>
        <w:t>7</w:t>
      </w:r>
      <w:r>
        <w:rPr>
          <w:rFonts w:hint="eastAsia"/>
        </w:rPr>
        <w:t>月至</w:t>
      </w:r>
      <w:r>
        <w:rPr>
          <w:rFonts w:hint="eastAsia"/>
        </w:rPr>
        <w:t>2000</w:t>
      </w:r>
      <w:r>
        <w:rPr>
          <w:rFonts w:hint="eastAsia"/>
        </w:rPr>
        <w:t>年</w:t>
      </w:r>
      <w:r>
        <w:rPr>
          <w:rFonts w:hint="eastAsia"/>
        </w:rPr>
        <w:t>12</w:t>
      </w:r>
      <w:r>
        <w:rPr>
          <w:rFonts w:hint="eastAsia"/>
        </w:rPr>
        <w:t>月总额为</w:t>
      </w:r>
      <w:r>
        <w:rPr>
          <w:rFonts w:hint="eastAsia"/>
        </w:rPr>
        <w:t>60</w:t>
      </w:r>
      <w:r>
        <w:rPr>
          <w:rFonts w:hint="eastAsia"/>
        </w:rPr>
        <w:t>亿菲律宾比索（国家状况演讲，</w:t>
      </w:r>
      <w:r>
        <w:rPr>
          <w:rFonts w:hint="eastAsia"/>
        </w:rPr>
        <w:t>2004</w:t>
      </w:r>
      <w:r>
        <w:rPr>
          <w:rFonts w:hint="eastAsia"/>
        </w:rPr>
        <w:t>年）。据说，有</w:t>
      </w:r>
      <w:r>
        <w:rPr>
          <w:rFonts w:hint="eastAsia"/>
        </w:rPr>
        <w:t>52</w:t>
      </w:r>
      <w:r>
        <w:rPr>
          <w:rFonts w:hint="eastAsia"/>
        </w:rPr>
        <w:t>家中小型企业在方案执行的半年内提高了贷款额度。</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贸易和工业部于</w:t>
      </w:r>
      <w:r>
        <w:rPr>
          <w:rFonts w:hint="eastAsia"/>
        </w:rPr>
        <w:t>1997</w:t>
      </w:r>
      <w:r>
        <w:rPr>
          <w:rFonts w:hint="eastAsia"/>
        </w:rPr>
        <w:t>年成立了</w:t>
      </w:r>
      <w:r>
        <w:rPr>
          <w:rFonts w:hint="eastAsia"/>
        </w:rPr>
        <w:t>菲律宾妇女商业理事会，作为“菲律宾经商妇女的首要倡导者和智囊团”。此后，该理事会对三个国家（马来西亚、泰国和菲律宾）的妇女经济贡献和</w:t>
      </w:r>
      <w:r>
        <w:rPr>
          <w:rFonts w:hint="eastAsia"/>
        </w:rPr>
        <w:t>1997-1998</w:t>
      </w:r>
      <w:r>
        <w:rPr>
          <w:rFonts w:hint="eastAsia"/>
        </w:rPr>
        <w:t>年金融危机对妇女企业的冲击进行了研究。它还拥有各种旨在增加女企业家的技能、信息、市场和信贷机会的方案。</w:t>
      </w:r>
    </w:p>
    <w:p w:rsidR="00000000" w:rsidRDefault="00821B8F">
      <w:pPr>
        <w:pStyle w:val="List3"/>
        <w:numPr>
          <w:ilvl w:val="0"/>
          <w:numId w:val="1386"/>
        </w:numPr>
        <w:tabs>
          <w:tab w:val="clear" w:pos="841"/>
          <w:tab w:val="num" w:pos="960"/>
        </w:tabs>
        <w:spacing w:after="120" w:line="360" w:lineRule="exact"/>
        <w:ind w:leftChars="0" w:left="960" w:firstLineChars="0" w:hanging="480"/>
        <w:rPr>
          <w:rFonts w:hint="eastAsia"/>
        </w:rPr>
      </w:pPr>
      <w:r>
        <w:rPr>
          <w:rFonts w:eastAsia="KaiTi_GB2312" w:hint="eastAsia"/>
          <w:color w:val="0000FF"/>
        </w:rPr>
        <w:t>获得技能和信息。</w:t>
      </w:r>
      <w:r>
        <w:rPr>
          <w:rFonts w:hint="eastAsia"/>
        </w:rPr>
        <w:t>菲律宾妇女商业理事会拟订并举办了对性别问题有敏感认识的研讨会，其中包括：商业企业家的创业；商业的改进、生存和扩展；商业发展；以及培训员的培训。据报告，通过这些能力建设方案，培训班的毕业生进一步懂得了她们作为妇女和企业家的权利，增强了她们的决策</w:t>
      </w:r>
      <w:r>
        <w:rPr>
          <w:rFonts w:hint="eastAsia"/>
        </w:rPr>
        <w:t>能力和自信心，使她们在社区活动中更加果断、更加积极。</w:t>
      </w:r>
    </w:p>
    <w:p w:rsidR="00000000" w:rsidRDefault="00821B8F">
      <w:pPr>
        <w:pStyle w:val="List3"/>
        <w:numPr>
          <w:ilvl w:val="0"/>
          <w:numId w:val="1386"/>
        </w:numPr>
        <w:tabs>
          <w:tab w:val="clear" w:pos="841"/>
          <w:tab w:val="num" w:pos="960"/>
        </w:tabs>
        <w:spacing w:after="120" w:line="360" w:lineRule="exact"/>
        <w:ind w:leftChars="0" w:left="960" w:firstLineChars="0" w:hanging="480"/>
        <w:rPr>
          <w:rFonts w:hint="eastAsia"/>
        </w:rPr>
      </w:pPr>
      <w:r>
        <w:rPr>
          <w:rFonts w:eastAsia="KaiTi_GB2312" w:hint="eastAsia"/>
          <w:color w:val="0000FF"/>
        </w:rPr>
        <w:t>进入市场和建立企业联系。</w:t>
      </w:r>
      <w:r>
        <w:rPr>
          <w:rFonts w:hint="eastAsia"/>
        </w:rPr>
        <w:t>菲律宾妇女商业理事会通过提供向加拿大出口手工艺品的培训，帮助妇女企业家与海外市场建立了联系。已有</w:t>
      </w:r>
      <w:r>
        <w:rPr>
          <w:rFonts w:hint="eastAsia"/>
        </w:rPr>
        <w:t>60</w:t>
      </w:r>
      <w:r>
        <w:rPr>
          <w:rFonts w:hint="eastAsia"/>
        </w:rPr>
        <w:t>多位女企业家通过培训获得了如何进入加拿大市场的实用信息，结果扩大了本地妇女出口商的网络。该理事会主办了一次以商业联姻为主题的国际会议；参加了一次与澳大利亚、中国、马来西亚和新加坡连线的国际电视直播会议；加入了若干个经商妇女国际组织并在其中担任领导职务，譬如亚太经合组织妇女商业理事会联合会和妇女问题全球首脑会议。</w:t>
      </w:r>
    </w:p>
    <w:p w:rsidR="00000000" w:rsidRDefault="00821B8F">
      <w:pPr>
        <w:pStyle w:val="List3"/>
        <w:numPr>
          <w:ilvl w:val="0"/>
          <w:numId w:val="1386"/>
        </w:numPr>
        <w:tabs>
          <w:tab w:val="clear" w:pos="841"/>
          <w:tab w:val="num" w:pos="960"/>
        </w:tabs>
        <w:spacing w:after="120" w:line="360" w:lineRule="exact"/>
        <w:ind w:leftChars="0" w:left="960" w:firstLineChars="0" w:hanging="480"/>
        <w:rPr>
          <w:rFonts w:hint="eastAsia"/>
          <w:color w:val="000000"/>
        </w:rPr>
      </w:pPr>
      <w:r>
        <w:rPr>
          <w:rFonts w:eastAsia="KaiTi_GB2312" w:hint="eastAsia"/>
          <w:color w:val="0000FF"/>
        </w:rPr>
        <w:t>获得信贷。</w:t>
      </w:r>
      <w:r>
        <w:rPr>
          <w:rFonts w:hint="eastAsia"/>
          <w:color w:val="000000"/>
        </w:rPr>
        <w:t>菲律宾妇女</w:t>
      </w:r>
      <w:r>
        <w:rPr>
          <w:rFonts w:hint="eastAsia"/>
          <w:color w:val="000000"/>
        </w:rPr>
        <w:t>商业理事会在成立之后的几年内，通过与各大政府金融机构，如菲律宾土地银行、菲律宾开发银行、小企业担保和融资公司，以及金融银行、建南银行等私人银行的谈判，成功地建立了总额达</w:t>
      </w:r>
      <w:r>
        <w:rPr>
          <w:rFonts w:hint="eastAsia"/>
          <w:color w:val="000000"/>
        </w:rPr>
        <w:t>31</w:t>
      </w:r>
      <w:r>
        <w:rPr>
          <w:rFonts w:hint="eastAsia"/>
          <w:color w:val="000000"/>
        </w:rPr>
        <w:t>亿菲律宾比索的妇女中小型企业贷款窗口。该理事会积极宣传贸易和工业部中小型企业全国发展统一贷款机会方案，并指定了两位顾问就该方案向理事会的理事提供协助和指导。</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女企业家还可以利用旨在满足中小型企业的特定的或一次性交易的融资需要的“交易担保和直接融资贷款”方案。</w:t>
      </w:r>
      <w:r>
        <w:rPr>
          <w:rFonts w:hint="eastAsia"/>
          <w:color w:val="000000"/>
        </w:rPr>
        <w:t>2001</w:t>
      </w:r>
      <w:r>
        <w:rPr>
          <w:rFonts w:hint="eastAsia"/>
          <w:color w:val="000000"/>
        </w:rPr>
        <w:t>年</w:t>
      </w:r>
      <w:r>
        <w:rPr>
          <w:rFonts w:hint="eastAsia"/>
          <w:color w:val="000000"/>
        </w:rPr>
        <w:t>8</w:t>
      </w:r>
      <w:r>
        <w:rPr>
          <w:rFonts w:hint="eastAsia"/>
          <w:color w:val="000000"/>
        </w:rPr>
        <w:t>月，政府恢复了对中小型企业提供政府担保的政策。自那时起，已经为总额达</w:t>
      </w:r>
      <w:r>
        <w:rPr>
          <w:rFonts w:hint="eastAsia"/>
          <w:color w:val="000000"/>
        </w:rPr>
        <w:t>17</w:t>
      </w:r>
      <w:r>
        <w:rPr>
          <w:rFonts w:hint="eastAsia"/>
          <w:color w:val="000000"/>
        </w:rPr>
        <w:t>亿菲律宾比索的</w:t>
      </w:r>
      <w:r>
        <w:rPr>
          <w:rFonts w:hint="eastAsia"/>
          <w:color w:val="000000"/>
        </w:rPr>
        <w:t>466</w:t>
      </w:r>
      <w:r>
        <w:rPr>
          <w:rFonts w:hint="eastAsia"/>
          <w:color w:val="000000"/>
        </w:rPr>
        <w:t>个贷款账户提供了担保。</w:t>
      </w:r>
    </w:p>
    <w:p w:rsidR="00000000" w:rsidRDefault="00821B8F">
      <w:pPr>
        <w:pStyle w:val="ListContinue2"/>
        <w:spacing w:line="360" w:lineRule="exact"/>
        <w:ind w:leftChars="0" w:left="0"/>
        <w:rPr>
          <w:rFonts w:eastAsia="SimHei" w:hint="eastAsia"/>
          <w:iCs/>
          <w:color w:val="FF0000"/>
        </w:rPr>
      </w:pPr>
      <w:r>
        <w:rPr>
          <w:rFonts w:eastAsia="SimHei" w:hint="eastAsia"/>
          <w:iCs/>
          <w:color w:val="FF0000"/>
        </w:rPr>
        <w:t>女童工</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由于加紧游说和宣传活动，菲律宾政府先后于</w:t>
      </w:r>
      <w:r>
        <w:rPr>
          <w:rFonts w:hint="eastAsia"/>
        </w:rPr>
        <w:t>1998</w:t>
      </w:r>
      <w:r>
        <w:rPr>
          <w:rFonts w:hint="eastAsia"/>
        </w:rPr>
        <w:t>年和</w:t>
      </w:r>
      <w:r>
        <w:rPr>
          <w:rFonts w:hint="eastAsia"/>
        </w:rPr>
        <w:t>2000</w:t>
      </w:r>
      <w:r>
        <w:rPr>
          <w:rFonts w:hint="eastAsia"/>
        </w:rPr>
        <w:t>年批准了国际劳工组织第</w:t>
      </w:r>
      <w:r>
        <w:rPr>
          <w:rFonts w:hint="eastAsia"/>
        </w:rPr>
        <w:t>138</w:t>
      </w:r>
      <w:r>
        <w:rPr>
          <w:rFonts w:hint="eastAsia"/>
        </w:rPr>
        <w:t>号公约（准予就业最低年龄）和国际劳工组织第</w:t>
      </w:r>
      <w:r>
        <w:rPr>
          <w:rFonts w:hint="eastAsia"/>
        </w:rPr>
        <w:t>182</w:t>
      </w:r>
      <w:r>
        <w:rPr>
          <w:rFonts w:hint="eastAsia"/>
        </w:rPr>
        <w:t>号公约（禁止和立即行动消除最有害的童工形式）。为了执行这两个公约，劳工部拟订了政策并制定和执行了相关的方案和项目，以逐步消除最有害的童工形式。</w:t>
      </w:r>
      <w:r>
        <w:rPr>
          <w:rFonts w:hint="eastAsia"/>
        </w:rPr>
        <w:t>1999</w:t>
      </w:r>
      <w:r>
        <w:rPr>
          <w:rFonts w:hint="eastAsia"/>
        </w:rPr>
        <w:t>年，该部发布了一份对童工有害的工作和活动最新清单，其中包括让童工遭受身心性虐待的工作，比如淫秽表演、在卡巴雷氏餐馆、酒吧和歌舞厅提供服务。截至</w:t>
      </w:r>
      <w:r>
        <w:rPr>
          <w:rFonts w:hint="eastAsia"/>
        </w:rPr>
        <w:t>2001</w:t>
      </w:r>
      <w:r>
        <w:rPr>
          <w:rFonts w:hint="eastAsia"/>
        </w:rPr>
        <w:t>年年底，已先后对触</w:t>
      </w:r>
      <w:r>
        <w:rPr>
          <w:rFonts w:hint="eastAsia"/>
        </w:rPr>
        <w:t>犯第</w:t>
      </w:r>
      <w:r>
        <w:rPr>
          <w:rFonts w:hint="eastAsia"/>
        </w:rPr>
        <w:t>7658</w:t>
      </w:r>
      <w:r>
        <w:rPr>
          <w:rFonts w:hint="eastAsia"/>
        </w:rPr>
        <w:t>号共和国法令（最低就业年龄）和第</w:t>
      </w:r>
      <w:r>
        <w:rPr>
          <w:rFonts w:hint="eastAsia"/>
        </w:rPr>
        <w:t>7610</w:t>
      </w:r>
      <w:r>
        <w:rPr>
          <w:rFonts w:hint="eastAsia"/>
        </w:rPr>
        <w:t>号共和国法令（特别保护儿童免受虐待、剥削和歧视）、特别是在淫秽出版物和下流表演中利用儿童的五个人定罪。</w:t>
      </w:r>
    </w:p>
    <w:p w:rsidR="00000000" w:rsidRDefault="00821B8F" w:rsidP="00821B8F">
      <w:pPr>
        <w:numPr>
          <w:ilvl w:val="0"/>
          <w:numId w:val="1409"/>
        </w:numPr>
        <w:tabs>
          <w:tab w:val="num" w:pos="1499"/>
        </w:tabs>
        <w:spacing w:after="120" w:line="360" w:lineRule="exact"/>
        <w:ind w:left="31680" w:hangingChars="257" w:firstLine="31680"/>
        <w:rPr>
          <w:rFonts w:hint="eastAsia"/>
          <w:color w:val="000000"/>
        </w:rPr>
      </w:pPr>
      <w:r>
        <w:rPr>
          <w:color w:val="000000"/>
        </w:rPr>
        <w:t xml:space="preserve"> </w:t>
      </w:r>
      <w:r>
        <w:rPr>
          <w:rFonts w:hint="eastAsia"/>
          <w:color w:val="000000"/>
        </w:rPr>
        <w:t>政府发起的消除童工运动载入了国家消除童工行动方案，其旗舰活动就是</w:t>
      </w:r>
      <w:r>
        <w:rPr>
          <w:rFonts w:hint="eastAsia"/>
          <w:color w:val="000000"/>
        </w:rPr>
        <w:t>Sagip Batang Manggagawa</w:t>
      </w:r>
      <w:r>
        <w:rPr>
          <w:rFonts w:hint="eastAsia"/>
          <w:color w:val="000000"/>
        </w:rPr>
        <w:t>（拯救童工）项目。该项目是在</w:t>
      </w:r>
      <w:r>
        <w:rPr>
          <w:rFonts w:hint="eastAsia"/>
          <w:color w:val="000000"/>
        </w:rPr>
        <w:t>1994</w:t>
      </w:r>
      <w:r>
        <w:rPr>
          <w:rFonts w:hint="eastAsia"/>
          <w:color w:val="000000"/>
        </w:rPr>
        <w:t>年正式发起的，是在劳工部领导下、为侦查、监测和拯救在危险和剥削工作条件下工作的童工建立的机构间快速行动机制。由一个跨学科工作队负责被营救儿童的康复及重返家庭和社区。</w:t>
      </w:r>
      <w:r>
        <w:rPr>
          <w:rFonts w:hint="eastAsia"/>
          <w:color w:val="000000"/>
        </w:rPr>
        <w:t>1993</w:t>
      </w:r>
      <w:r>
        <w:rPr>
          <w:rFonts w:hint="eastAsia"/>
          <w:color w:val="000000"/>
        </w:rPr>
        <w:t>到</w:t>
      </w:r>
      <w:r>
        <w:rPr>
          <w:rFonts w:hint="eastAsia"/>
          <w:color w:val="000000"/>
        </w:rPr>
        <w:t>2001</w:t>
      </w:r>
      <w:r>
        <w:rPr>
          <w:rFonts w:hint="eastAsia"/>
          <w:color w:val="000000"/>
        </w:rPr>
        <w:t>年上半年，该项目共发起</w:t>
      </w:r>
      <w:r>
        <w:rPr>
          <w:rFonts w:hint="eastAsia"/>
          <w:color w:val="000000"/>
        </w:rPr>
        <w:t>30</w:t>
      </w:r>
      <w:r>
        <w:rPr>
          <w:rFonts w:hint="eastAsia"/>
          <w:color w:val="000000"/>
        </w:rPr>
        <w:t>3</w:t>
      </w:r>
      <w:r>
        <w:rPr>
          <w:rFonts w:hint="eastAsia"/>
          <w:color w:val="000000"/>
        </w:rPr>
        <w:t>次拯救行动，使</w:t>
      </w:r>
      <w:r>
        <w:rPr>
          <w:rFonts w:hint="eastAsia"/>
          <w:color w:val="000000"/>
        </w:rPr>
        <w:t>1 000</w:t>
      </w:r>
      <w:r>
        <w:rPr>
          <w:rFonts w:hint="eastAsia"/>
          <w:color w:val="000000"/>
        </w:rPr>
        <w:t>名未成年人从奴役或拘役劳动、卖淫和其他有害活动中解放出来。</w:t>
      </w:r>
      <w:r>
        <w:rPr>
          <w:rFonts w:hint="eastAsia"/>
          <w:color w:val="000000"/>
        </w:rPr>
        <w:t>2000</w:t>
      </w:r>
      <w:r>
        <w:rPr>
          <w:rFonts w:hint="eastAsia"/>
          <w:color w:val="000000"/>
        </w:rPr>
        <w:t>年，政府起草了一个新的</w:t>
      </w:r>
      <w:r>
        <w:rPr>
          <w:rFonts w:hint="eastAsia"/>
          <w:color w:val="000000"/>
        </w:rPr>
        <w:t>2000-2004</w:t>
      </w:r>
      <w:r>
        <w:rPr>
          <w:rFonts w:hint="eastAsia"/>
          <w:color w:val="000000"/>
        </w:rPr>
        <w:t>年方案框架，重点在于消除最恶劣形式的童工；改变童工及其家庭和社区生活；以及确保儿童得到保护并且</w:t>
      </w:r>
      <w:r>
        <w:rPr>
          <w:rFonts w:hint="eastAsia"/>
          <w:color w:val="000000"/>
        </w:rPr>
        <w:t>/</w:t>
      </w:r>
      <w:r>
        <w:rPr>
          <w:rFonts w:hint="eastAsia"/>
          <w:color w:val="000000"/>
        </w:rPr>
        <w:t>或者摆脱有害活动、治愈并重返有爱心的社会。</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劳工部的监查方案瞄准了有雇佣童工嫌疑的企业。为了加强该方案，劳工部通过工作条件局于</w:t>
      </w:r>
      <w:r>
        <w:rPr>
          <w:rFonts w:hint="eastAsia"/>
        </w:rPr>
        <w:t>1995</w:t>
      </w:r>
      <w:r>
        <w:rPr>
          <w:rFonts w:hint="eastAsia"/>
        </w:rPr>
        <w:t>年专门就童工问题举办了劳工视察员专业培训，并编制了一份关于违反消除童工法律的检查附表。</w:t>
      </w:r>
      <w:r>
        <w:rPr>
          <w:rFonts w:hint="eastAsia"/>
        </w:rPr>
        <w:t>1996</w:t>
      </w:r>
      <w:r>
        <w:rPr>
          <w:rFonts w:hint="eastAsia"/>
        </w:rPr>
        <w:t>至</w:t>
      </w:r>
      <w:r>
        <w:rPr>
          <w:rFonts w:hint="eastAsia"/>
        </w:rPr>
        <w:t>2000</w:t>
      </w:r>
      <w:r>
        <w:rPr>
          <w:rFonts w:hint="eastAsia"/>
        </w:rPr>
        <w:t>年，总共在</w:t>
      </w:r>
      <w:r>
        <w:rPr>
          <w:rFonts w:hint="eastAsia"/>
        </w:rPr>
        <w:t>255</w:t>
      </w:r>
      <w:r>
        <w:rPr>
          <w:rFonts w:hint="eastAsia"/>
        </w:rPr>
        <w:t>家企业发现</w:t>
      </w:r>
      <w:r>
        <w:rPr>
          <w:rFonts w:hint="eastAsia"/>
        </w:rPr>
        <w:t>568</w:t>
      </w:r>
      <w:r>
        <w:rPr>
          <w:rFonts w:hint="eastAsia"/>
        </w:rPr>
        <w:t>名女童工。从</w:t>
      </w:r>
      <w:r>
        <w:rPr>
          <w:rFonts w:hint="eastAsia"/>
        </w:rPr>
        <w:t>事有害工作的儿童全都从用人单位转移出来，并且补偿了未付的津贴。</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1997</w:t>
      </w:r>
      <w:r>
        <w:rPr>
          <w:rFonts w:hint="eastAsia"/>
        </w:rPr>
        <w:t>至</w:t>
      </w:r>
      <w:r>
        <w:rPr>
          <w:rFonts w:hint="eastAsia"/>
        </w:rPr>
        <w:t>1999</w:t>
      </w:r>
      <w:r>
        <w:rPr>
          <w:rFonts w:hint="eastAsia"/>
        </w:rPr>
        <w:t>年，劳工部所属的各地区办事处分别推出了自己的举措。北吕宋办事处执行了一个名为“旅游业和旅馆业儿童综合预防和保护方案”的国际劳工组织的项目。该项目为旅馆、旅游和娱乐企业的业主和经理组织了一个有关反对童工的公民支助网络，以协助执行该方案。这一举措提高了业主、职员和顾客对童工问题的认识，使来自各省的非法招募来受虐待的女童得到好处。在比萨扬群岛、南吕宋和比科尔地区，劳工部执行了一项行动计划，以遏制为剥削雇佣目的而贩卖儿童的活动。该计</w:t>
      </w:r>
      <w:r>
        <w:rPr>
          <w:rFonts w:hint="eastAsia"/>
        </w:rPr>
        <w:t>划由各地区内和地区间的方案组成，为的是密切监测各省非法招募儿童的活动。</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1998</w:t>
      </w:r>
      <w:r>
        <w:rPr>
          <w:rFonts w:hint="eastAsia"/>
        </w:rPr>
        <w:t>年</w:t>
      </w:r>
      <w:r>
        <w:rPr>
          <w:rFonts w:hint="eastAsia"/>
        </w:rPr>
        <w:t>1</w:t>
      </w:r>
      <w:r>
        <w:rPr>
          <w:rFonts w:hint="eastAsia"/>
        </w:rPr>
        <w:t>月</w:t>
      </w:r>
      <w:r>
        <w:rPr>
          <w:rFonts w:hint="eastAsia"/>
        </w:rPr>
        <w:t>17</w:t>
      </w:r>
      <w:r>
        <w:rPr>
          <w:rFonts w:hint="eastAsia"/>
        </w:rPr>
        <w:t>日，菲律宾作为东道国发起了“全球消除童工现象大进军”倡议。童工、工会活动家、教会团体、政府和非政府组织的代表加入了这个全球大进军倡议，以动员全世界的力量，促进儿童权利，其中包括免受经济剥削的权利和不从事任何有损于儿童身体、精神、智力、道德和社会发展的工作的权利。</w:t>
      </w:r>
    </w:p>
    <w:p w:rsidR="00000000" w:rsidRDefault="00821B8F">
      <w:pPr>
        <w:pStyle w:val="H1"/>
        <w:rPr>
          <w:rFonts w:hint="eastAsia"/>
        </w:rPr>
      </w:pPr>
      <w:r>
        <w:rPr>
          <w:rFonts w:hint="eastAsia"/>
        </w:rPr>
        <w:t>C</w:t>
      </w:r>
      <w:r>
        <w:t xml:space="preserve">. </w:t>
      </w:r>
      <w:r>
        <w:rPr>
          <w:rFonts w:hint="eastAsia"/>
        </w:rPr>
        <w:t>未解决的问题和仍然面临的挑战</w:t>
      </w:r>
    </w:p>
    <w:p w:rsidR="00000000" w:rsidRDefault="00821B8F">
      <w:pPr>
        <w:pStyle w:val="BodyText"/>
        <w:spacing w:after="120" w:line="360" w:lineRule="exact"/>
        <w:rPr>
          <w:rFonts w:eastAsia="SimHei" w:hint="eastAsia"/>
          <w:color w:val="FF0000"/>
          <w:sz w:val="21"/>
        </w:rPr>
      </w:pPr>
      <w:r>
        <w:rPr>
          <w:rFonts w:eastAsia="SimHei" w:hint="eastAsia"/>
          <w:color w:val="FF0000"/>
          <w:sz w:val="21"/>
        </w:rPr>
        <w:t>全球化和经济自由化</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尽管针对各个领域的女工问题采取了各种干预措施，但是仍有一些挑战必须给予严肃对待。</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虽然有些部门或</w:t>
      </w:r>
      <w:r>
        <w:rPr>
          <w:rFonts w:hint="eastAsia"/>
        </w:rPr>
        <w:t>许能够从经济和贸易自由化的政策得到好处，但是这些政策破坏了妇女的经济状况和地位，因为各公司越来越多地依靠弹性劳动安排（裁减核心的永久工人而增加临时雇员和零工，做出非全时或在家工作安排）以保持全球竞争力。弹性就业一般超出了劳工法律和社会保障的管辖范围。被解雇的女工加入非正规部门，不得不在物价高涨的情况下接受停滞不变的工资或报酬。将性别问题纳入经济探索和经济政策分析范围内，可以在某种经济环境中缩小或者拉平两性机会上的差距，因为这就意味着，要考虑到这些政策是如何影响两性工资差距、就业保障、以及男女工作质量的。</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为了最大限度地减少全球化对妇女的负面影响，必须为女工提供更多的社会保障措施。要向从事各种非正规活动的妇女提供更多的社会保险福利和法律保护，并把这项工作摆在优先位置。为了取得这种成效，可以考虑各种替代的社会保险计划，并对有能力提供社会凝聚力和相互保险及保护的必要结构的社会团体给予支持。还应该考虑采取基于团体的战略以动员内部储蓄和信贷服务。</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中小型企业的妇女需要建立安全网，因为她们面临别国廉价产品的强劲竞争。同本地的其他产业一样，她们需要合理的保护以免遭过于廉价的进口货物和服务的冲击。</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海外劳工移徙继续构成</w:t>
      </w:r>
      <w:r>
        <w:rPr>
          <w:rFonts w:hint="eastAsia"/>
        </w:rPr>
        <w:t>危险，尤其是对女工构成危险。与接收国达成双边及多边协定的举措应该视为短期或中期措施，因为劳工移徙问题的长期解决方案需要为其男女公民创造可持续的本地就业条件。海外移徙工人寄回的美元汇款应投资于可行的、有全球竞争力的工业和农业企业，以便产生本国就业机会、确保粮食保障、刺激本国提供充分社会服务的财力。</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要有系统地调查全球化的趋势——譬如所体现的经济自由化政策——所带来的性别冲击。这就需要按性别、部门和次级部门、就业数据、工资、工时和工作性质（非全时、全时；计时、计件）、企业所有权、缩减或终止、违反劳工标准所影响</w:t>
      </w:r>
      <w:r>
        <w:rPr>
          <w:rFonts w:hint="eastAsia"/>
        </w:rPr>
        <w:t>的工人、遵守两性平等标准的数据等进行分列。有必要研究妇女企业状况，但是迄今一直难以建立相关的数据库。</w:t>
      </w:r>
    </w:p>
    <w:p w:rsidR="00000000" w:rsidRDefault="00821B8F">
      <w:pPr>
        <w:pStyle w:val="BodyText"/>
        <w:spacing w:after="120" w:line="360" w:lineRule="exact"/>
        <w:rPr>
          <w:rFonts w:eastAsia="SimHei" w:hint="eastAsia"/>
          <w:color w:val="FF0000"/>
          <w:sz w:val="21"/>
        </w:rPr>
      </w:pPr>
      <w:r>
        <w:rPr>
          <w:rFonts w:eastAsia="SimHei" w:hint="eastAsia"/>
          <w:color w:val="FF0000"/>
          <w:sz w:val="21"/>
        </w:rPr>
        <w:t>工作条件和社会保障</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必须审查《反对性骚扰法》，特别是该法律在私人部门的实用范围及其执行情况。目前，哪个部门负责监测此项法律在私人部门的遵守情况，还没有明确。迄今还没有提供此项法律在这个部门的执行情况的数据。</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需要定期监测有关性别歧视的劳工法律的遵守情况，并对违法者给予处罚。可以设想，如果雇主遵守一般劳动标准（比如最低工资和雇主缴纳社保保险费）的程度低，那么其遵守两性平等标准的程度也会低——即便不是更低。</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男女和男女儿童的职业危害一直存在。在非正规部门和小型企业，这些危害可能更严重，因为那里的工人通常不知道自己面对的职业危害和风险。有必要传播各种各样的信息，以提高人们对从事有害工种的工人所面临的风险和危险及必要的防范措施的认识。可以在有害行业的中小型企业中不时举办研讨会，借此提高工人和业主对其工作中所固有的危险的认识。</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有关受益人的数据必须按性别分列，以确定有多少男女能够享受社会福利。鉴于妇女比男子预期寿命长，更加依赖养老金来维持其晚年生活，所以以这种方式分列的数据尤为重要。在医疗保险方面，有必要提倡向</w:t>
      </w:r>
      <w:r>
        <w:rPr>
          <w:rFonts w:hint="eastAsia"/>
        </w:rPr>
        <w:t>那些全额支付住院费、医疗费、手术费以及外科和计划生育程序费用的受益者提供全额补贴。</w:t>
      </w:r>
    </w:p>
    <w:p w:rsidR="00000000" w:rsidRDefault="00821B8F">
      <w:pPr>
        <w:pStyle w:val="BodyText"/>
        <w:spacing w:after="120" w:line="360" w:lineRule="exact"/>
        <w:rPr>
          <w:rFonts w:eastAsia="SimHei" w:hint="eastAsia"/>
          <w:color w:val="FF0000"/>
          <w:sz w:val="21"/>
        </w:rPr>
      </w:pPr>
      <w:r>
        <w:rPr>
          <w:rFonts w:eastAsia="SimHei" w:hint="eastAsia"/>
          <w:color w:val="FF0000"/>
          <w:sz w:val="21"/>
        </w:rPr>
        <w:t>对自营职业者，尤其是非正规部门的自营职业者的支助</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非正规部门的劳动者依然面临着与社会保障有关的问题。因为从登记、收取缴款、审核赔付申请、到实际发放津贴的社会保障系统管理程序过于复杂，所以获得正规的社会保障措施并不容易。非正规部门劳动者的收入不定期且有季节性，在这种情况下，他们是否有财力缴纳必要的缴款，已经构成需要严肃对待的问题。鉴定缴费额和收费方式是否合适而且必要，也使问题进一步复杂。此外还有已知的裁定津贴额的困难，譬如特</w:t>
      </w:r>
      <w:r>
        <w:rPr>
          <w:rFonts w:hint="eastAsia"/>
        </w:rPr>
        <w:t>别是自营职业者加入社会保障系统的资格要求和程序。最后，非正规部门的劳动者几乎属于无组织。这种分裂状态、有时是孤立状态，使得社会发展机构、或许还有专业保险公司非常难以将社会保障和支助服务推广到他们。</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非正规部门是一个高度混杂的群体。在制定社会保障综合战略时，不论是扩大国家保障系统的承保范围还是推广创新方案，都要考虑到这一点。就像千差万别的群体那样，他们的需求和能力也各不相同。有必要特别确定那些难以组织起来接受援助的群体。</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女企业家若想突破微型企业规模，就需要技术和资金援助。</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还有必要审查家庭帮工的状况，</w:t>
      </w:r>
      <w:r>
        <w:rPr>
          <w:rFonts w:hint="eastAsia"/>
        </w:rPr>
        <w:t>为她们提供适当的培训，提升其作为专业工作者的地位，以求得到更合理工资。有关该法律对于家庭佣工的执行情况，目前还没有就最低工资、教育津贴和社保资格等方面进行适当监测。因此，国会需要通过一项关于家庭佣工</w:t>
      </w:r>
      <w:r>
        <w:rPr>
          <w:rFonts w:hint="eastAsia"/>
        </w:rPr>
        <w:t>Magna Carta</w:t>
      </w:r>
      <w:r>
        <w:rPr>
          <w:rFonts w:hint="eastAsia"/>
        </w:rPr>
        <w:t>或“</w:t>
      </w:r>
      <w:r>
        <w:rPr>
          <w:rFonts w:hint="eastAsia"/>
        </w:rPr>
        <w:t>Batas Kasambahay</w:t>
      </w:r>
      <w:r>
        <w:rPr>
          <w:rFonts w:hint="eastAsia"/>
        </w:rPr>
        <w:t>”的议案。该议案试图提升家佣行业最低限度工作参数和标准，并将其制度化。</w:t>
      </w:r>
    </w:p>
    <w:p w:rsidR="00000000" w:rsidRDefault="00821B8F">
      <w:pPr>
        <w:pStyle w:val="TOC1"/>
        <w:spacing w:before="120"/>
        <w:rPr>
          <w:rFonts w:ascii="SimHei" w:hint="eastAsia"/>
        </w:rPr>
      </w:pPr>
      <w:r>
        <w:rPr>
          <w:rFonts w:ascii="SimHei" w:hint="eastAsia"/>
        </w:rPr>
        <w:t>第十二条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平等享有健康</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保健领域的平等；享受保健服务，包括计划生育的机会；孕产期和产后适当免费服务；孕期和哺乳期适当营养</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保健是一项基本人权。《宪法》第二条第</w:t>
      </w:r>
      <w:r>
        <w:rPr>
          <w:rFonts w:hint="eastAsia"/>
          <w:szCs w:val="21"/>
        </w:rPr>
        <w:t>15</w:t>
      </w:r>
      <w:r>
        <w:rPr>
          <w:rFonts w:hint="eastAsia"/>
          <w:szCs w:val="21"/>
        </w:rPr>
        <w:t>款规定，“国家应促进</w:t>
      </w:r>
      <w:r>
        <w:rPr>
          <w:rFonts w:hint="eastAsia"/>
          <w:szCs w:val="21"/>
        </w:rPr>
        <w:t>人民的健康权，提高他们的保健意识。”同时，第十三条第</w:t>
      </w:r>
      <w:r>
        <w:rPr>
          <w:rFonts w:hint="eastAsia"/>
          <w:szCs w:val="21"/>
        </w:rPr>
        <w:t>11</w:t>
      </w:r>
      <w:r>
        <w:rPr>
          <w:rFonts w:hint="eastAsia"/>
          <w:szCs w:val="21"/>
        </w:rPr>
        <w:t>款规定，“国家应为发展保健采取全面而一体的办法。要把穷人、病人、老年人、残疾人、妇女和儿童的需要摆在优先地位。”</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妇女保健包括其整个生命期的身心健康及社会福祉，是与生殖保健、性行为、</w:t>
      </w:r>
      <w:r>
        <w:rPr>
          <w:rFonts w:hint="eastAsia"/>
        </w:rPr>
        <w:t>两性关系、对妇女的暴力、妇女人权、获得维护健康所必需的经济资源以及妇女在整个社会–文化中的形象及生育等关注事项分不开的。妇女的健康状况不仅影响到一半人口的生产能力，还影响到下一代的健康和福祉。</w:t>
      </w:r>
    </w:p>
    <w:p w:rsidR="00000000" w:rsidRDefault="00821B8F">
      <w:pPr>
        <w:pStyle w:val="H1"/>
        <w:rPr>
          <w:rFonts w:hint="eastAsia"/>
        </w:rPr>
      </w:pPr>
      <w:r>
        <w:t xml:space="preserve">A. </w:t>
      </w:r>
      <w:r>
        <w:rPr>
          <w:rFonts w:hint="eastAsia"/>
        </w:rPr>
        <w:t>妇女的状况</w:t>
      </w:r>
    </w:p>
    <w:p w:rsidR="00000000" w:rsidRDefault="00821B8F">
      <w:pPr>
        <w:spacing w:after="120" w:line="360" w:lineRule="exact"/>
        <w:rPr>
          <w:rFonts w:eastAsia="SimHei" w:hint="eastAsia"/>
          <w:color w:val="FF0000"/>
          <w:szCs w:val="21"/>
        </w:rPr>
      </w:pPr>
      <w:r>
        <w:rPr>
          <w:rFonts w:eastAsia="SimHei" w:hint="eastAsia"/>
          <w:color w:val="FF0000"/>
          <w:szCs w:val="21"/>
        </w:rPr>
        <w:t>保健供应系统</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卫生领域的领导机构，卫生部开设了各种专科医院</w:t>
      </w:r>
      <w:r>
        <w:rPr>
          <w:rFonts w:hint="eastAsia"/>
          <w:szCs w:val="21"/>
        </w:rPr>
        <w:t>、地区医院和医疗中心。在每个地区都设立了区域驻地办事处，由地方卫生委员会代表和工作人员组成省卫生工作队。私人部门大量参与维护人民健康的工作，其范围从在诊所和医院提供保健服务到提供医疗保险；药剂、药品、疫苗、医疗用品、设备及其他保健和营养品的制造；研究与开发；人力资源开发；及其他与健康有关的服务。</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随着保健服务下放到地方政府机构，各省、市或自治市都设立了由地方行政主管主持的地方卫生委员会。现在，省和地区级医院都归省政府领导，而市政府管理农村保健机构和镇保健站。</w:t>
      </w:r>
      <w:r>
        <w:rPr>
          <w:rFonts w:hint="eastAsia"/>
          <w:color w:val="000000"/>
          <w:szCs w:val="21"/>
        </w:rPr>
        <w:t>1997</w:t>
      </w:r>
      <w:r>
        <w:rPr>
          <w:rFonts w:hint="eastAsia"/>
          <w:color w:val="000000"/>
          <w:szCs w:val="21"/>
        </w:rPr>
        <w:t>年，共有</w:t>
      </w:r>
      <w:r>
        <w:rPr>
          <w:rFonts w:hint="eastAsia"/>
          <w:color w:val="000000"/>
          <w:szCs w:val="21"/>
        </w:rPr>
        <w:t>1 817</w:t>
      </w:r>
      <w:r>
        <w:rPr>
          <w:rFonts w:hint="eastAsia"/>
          <w:color w:val="000000"/>
          <w:szCs w:val="21"/>
        </w:rPr>
        <w:t>家医院，共拥有</w:t>
      </w:r>
      <w:r>
        <w:rPr>
          <w:rFonts w:hint="eastAsia"/>
          <w:color w:val="000000"/>
          <w:szCs w:val="21"/>
        </w:rPr>
        <w:t>86 4</w:t>
      </w:r>
      <w:r>
        <w:rPr>
          <w:rFonts w:hint="eastAsia"/>
          <w:color w:val="000000"/>
          <w:szCs w:val="21"/>
        </w:rPr>
        <w:t>68</w:t>
      </w:r>
      <w:r>
        <w:rPr>
          <w:rFonts w:hint="eastAsia"/>
          <w:color w:val="000000"/>
          <w:szCs w:val="21"/>
        </w:rPr>
        <w:t>个床位，或每</w:t>
      </w:r>
      <w:r>
        <w:rPr>
          <w:rFonts w:hint="eastAsia"/>
          <w:color w:val="000000"/>
          <w:szCs w:val="21"/>
        </w:rPr>
        <w:t>868</w:t>
      </w:r>
      <w:r>
        <w:rPr>
          <w:rFonts w:hint="eastAsia"/>
          <w:color w:val="000000"/>
          <w:szCs w:val="21"/>
        </w:rPr>
        <w:t>人一个床位（国家统计局，</w:t>
      </w:r>
      <w:r>
        <w:rPr>
          <w:rFonts w:hint="eastAsia"/>
          <w:color w:val="000000"/>
          <w:szCs w:val="21"/>
        </w:rPr>
        <w:t>1999</w:t>
      </w:r>
      <w:r>
        <w:rPr>
          <w:rFonts w:hint="eastAsia"/>
          <w:color w:val="000000"/>
          <w:szCs w:val="21"/>
        </w:rPr>
        <w:t>年</w:t>
      </w:r>
      <w:r>
        <w:rPr>
          <w:rFonts w:hint="eastAsia"/>
          <w:color w:val="000000"/>
          <w:szCs w:val="21"/>
        </w:rPr>
        <w:t>b</w:t>
      </w:r>
      <w:r>
        <w:rPr>
          <w:rFonts w:hint="eastAsia"/>
          <w:color w:val="000000"/>
          <w:szCs w:val="21"/>
        </w:rPr>
        <w:t>）。三年后，医院总数减至</w:t>
      </w:r>
      <w:r>
        <w:rPr>
          <w:rFonts w:hint="eastAsia"/>
          <w:color w:val="000000"/>
          <w:szCs w:val="21"/>
        </w:rPr>
        <w:t>1 712</w:t>
      </w:r>
      <w:r>
        <w:rPr>
          <w:rFonts w:hint="eastAsia"/>
          <w:color w:val="000000"/>
          <w:szCs w:val="21"/>
        </w:rPr>
        <w:t>家，共有</w:t>
      </w:r>
      <w:r>
        <w:rPr>
          <w:rFonts w:hint="eastAsia"/>
          <w:color w:val="000000"/>
          <w:szCs w:val="21"/>
        </w:rPr>
        <w:t>81 016</w:t>
      </w:r>
      <w:r>
        <w:rPr>
          <w:rFonts w:hint="eastAsia"/>
          <w:color w:val="000000"/>
          <w:szCs w:val="21"/>
        </w:rPr>
        <w:t>个床位，或每</w:t>
      </w:r>
      <w:r>
        <w:rPr>
          <w:rFonts w:hint="eastAsia"/>
          <w:color w:val="000000"/>
          <w:szCs w:val="21"/>
        </w:rPr>
        <w:t>1 060</w:t>
      </w:r>
      <w:r>
        <w:rPr>
          <w:rFonts w:hint="eastAsia"/>
          <w:color w:val="000000"/>
          <w:szCs w:val="21"/>
        </w:rPr>
        <w:t>人一个床位（国家统计局，</w:t>
      </w:r>
      <w:r>
        <w:rPr>
          <w:rFonts w:hint="eastAsia"/>
          <w:color w:val="000000"/>
          <w:szCs w:val="21"/>
        </w:rPr>
        <w:t>2002</w:t>
      </w:r>
      <w:r>
        <w:rPr>
          <w:rFonts w:hint="eastAsia"/>
          <w:color w:val="000000"/>
          <w:szCs w:val="21"/>
        </w:rPr>
        <w:t>年）。人们注意到公共和私人部门的医院都有关闭的，但是私人医院关闭的（</w:t>
      </w:r>
      <w:r>
        <w:rPr>
          <w:rFonts w:hint="eastAsia"/>
          <w:color w:val="000000"/>
          <w:szCs w:val="21"/>
        </w:rPr>
        <w:t>79</w:t>
      </w:r>
      <w:r>
        <w:rPr>
          <w:rFonts w:hint="eastAsia"/>
          <w:color w:val="000000"/>
          <w:szCs w:val="21"/>
        </w:rPr>
        <w:t>家）比公共医院关闭的（</w:t>
      </w:r>
      <w:r>
        <w:rPr>
          <w:rFonts w:hint="eastAsia"/>
          <w:color w:val="000000"/>
          <w:szCs w:val="21"/>
        </w:rPr>
        <w:t>23</w:t>
      </w:r>
      <w:r>
        <w:rPr>
          <w:rFonts w:hint="eastAsia"/>
          <w:color w:val="000000"/>
          <w:szCs w:val="21"/>
        </w:rPr>
        <w:t>家）多。到</w:t>
      </w:r>
      <w:r>
        <w:rPr>
          <w:rFonts w:hint="eastAsia"/>
          <w:color w:val="000000"/>
          <w:szCs w:val="21"/>
        </w:rPr>
        <w:t>2001</w:t>
      </w:r>
      <w:r>
        <w:rPr>
          <w:rFonts w:hint="eastAsia"/>
          <w:color w:val="000000"/>
          <w:szCs w:val="21"/>
        </w:rPr>
        <w:t>年，</w:t>
      </w:r>
      <w:r>
        <w:rPr>
          <w:rFonts w:hint="eastAsia"/>
          <w:color w:val="000000"/>
          <w:szCs w:val="21"/>
        </w:rPr>
        <w:t>640</w:t>
      </w:r>
      <w:r>
        <w:rPr>
          <w:rFonts w:hint="eastAsia"/>
          <w:color w:val="000000"/>
          <w:szCs w:val="21"/>
        </w:rPr>
        <w:t>家公共医院占医院总数的</w:t>
      </w:r>
      <w:r>
        <w:rPr>
          <w:rFonts w:hint="eastAsia"/>
          <w:color w:val="000000"/>
          <w:szCs w:val="21"/>
        </w:rPr>
        <w:t>37.5%</w:t>
      </w:r>
      <w:r>
        <w:rPr>
          <w:rFonts w:hint="eastAsia"/>
          <w:color w:val="000000"/>
          <w:szCs w:val="21"/>
        </w:rPr>
        <w:t>，比</w:t>
      </w:r>
      <w:r>
        <w:rPr>
          <w:rFonts w:hint="eastAsia"/>
          <w:color w:val="000000"/>
          <w:szCs w:val="21"/>
        </w:rPr>
        <w:t>1997</w:t>
      </w:r>
      <w:r>
        <w:rPr>
          <w:rFonts w:hint="eastAsia"/>
          <w:color w:val="000000"/>
          <w:szCs w:val="21"/>
        </w:rPr>
        <w:t>年的</w:t>
      </w:r>
      <w:r>
        <w:rPr>
          <w:rFonts w:hint="eastAsia"/>
          <w:color w:val="000000"/>
          <w:szCs w:val="21"/>
        </w:rPr>
        <w:t>35.5%</w:t>
      </w:r>
      <w:r>
        <w:rPr>
          <w:rFonts w:hint="eastAsia"/>
          <w:color w:val="000000"/>
          <w:szCs w:val="21"/>
        </w:rPr>
        <w:t>有所提高。而且公共医院的床位占全国医院总床位的一半以上。</w:t>
      </w:r>
      <w:r>
        <w:rPr>
          <w:rFonts w:hint="eastAsia"/>
          <w:color w:val="000000"/>
          <w:szCs w:val="21"/>
        </w:rPr>
        <w:t>2000</w:t>
      </w:r>
      <w:r>
        <w:rPr>
          <w:rFonts w:hint="eastAsia"/>
          <w:color w:val="000000"/>
          <w:szCs w:val="21"/>
        </w:rPr>
        <w:t>年，全国大约有</w:t>
      </w:r>
      <w:r>
        <w:rPr>
          <w:rFonts w:hint="eastAsia"/>
          <w:color w:val="000000"/>
          <w:szCs w:val="21"/>
        </w:rPr>
        <w:t>15 204</w:t>
      </w:r>
      <w:r>
        <w:rPr>
          <w:rFonts w:hint="eastAsia"/>
          <w:color w:val="000000"/>
          <w:szCs w:val="21"/>
        </w:rPr>
        <w:t>个镇保健站，为</w:t>
      </w:r>
      <w:r>
        <w:rPr>
          <w:rFonts w:hint="eastAsia"/>
          <w:color w:val="000000"/>
          <w:szCs w:val="21"/>
        </w:rPr>
        <w:t>42 020</w:t>
      </w:r>
      <w:r>
        <w:rPr>
          <w:rFonts w:hint="eastAsia"/>
          <w:color w:val="000000"/>
          <w:szCs w:val="21"/>
        </w:rPr>
        <w:t>个村服务，平均每个镇保健站要接待</w:t>
      </w:r>
      <w:r>
        <w:rPr>
          <w:rFonts w:hint="eastAsia"/>
          <w:color w:val="000000"/>
          <w:szCs w:val="21"/>
        </w:rPr>
        <w:t>5 277</w:t>
      </w:r>
      <w:r>
        <w:rPr>
          <w:rFonts w:hint="eastAsia"/>
          <w:color w:val="000000"/>
          <w:szCs w:val="21"/>
        </w:rPr>
        <w:t>人。</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虽然保健系统分布面广，但是享受保健服务，特别是穷人却因为费用高昂和物质、社会及文化障碍而受阻。卫生部门的人力资源不少，但分布不均衡。大多数保健从业人员集中在大马尼拉和其他城市中心的私人部门。</w:t>
      </w:r>
      <w:r>
        <w:rPr>
          <w:rFonts w:hint="eastAsia"/>
          <w:szCs w:val="21"/>
        </w:rPr>
        <w:t>2000</w:t>
      </w:r>
      <w:r>
        <w:rPr>
          <w:rFonts w:hint="eastAsia"/>
          <w:szCs w:val="21"/>
        </w:rPr>
        <w:t>年，政府的卫生工作人员与人口的比率分别为：每</w:t>
      </w:r>
      <w:r>
        <w:rPr>
          <w:rFonts w:hint="eastAsia"/>
          <w:szCs w:val="21"/>
        </w:rPr>
        <w:t>9 797</w:t>
      </w:r>
      <w:r>
        <w:rPr>
          <w:rFonts w:hint="eastAsia"/>
          <w:szCs w:val="21"/>
        </w:rPr>
        <w:t>人一位医生、每</w:t>
      </w:r>
      <w:r>
        <w:rPr>
          <w:rFonts w:hint="eastAsia"/>
          <w:szCs w:val="21"/>
        </w:rPr>
        <w:t>36 481</w:t>
      </w:r>
      <w:r>
        <w:rPr>
          <w:rFonts w:hint="eastAsia"/>
          <w:szCs w:val="21"/>
        </w:rPr>
        <w:t>人一位牙医、每</w:t>
      </w:r>
      <w:r>
        <w:rPr>
          <w:rFonts w:hint="eastAsia"/>
          <w:szCs w:val="21"/>
        </w:rPr>
        <w:t>7 361</w:t>
      </w:r>
      <w:r>
        <w:rPr>
          <w:rFonts w:hint="eastAsia"/>
          <w:szCs w:val="21"/>
        </w:rPr>
        <w:t>人一位护士、每</w:t>
      </w:r>
      <w:r>
        <w:rPr>
          <w:rFonts w:hint="eastAsia"/>
          <w:szCs w:val="21"/>
        </w:rPr>
        <w:t>4 503</w:t>
      </w:r>
      <w:r>
        <w:rPr>
          <w:rFonts w:hint="eastAsia"/>
          <w:szCs w:val="21"/>
        </w:rPr>
        <w:t>人一位助产士。</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城乡地区卫生资源分布不均衡，造成农村妇女处境不利。依照《地方政府法典》将卫生管理权下放到地方政府之后，如果地方政府不能立即采取措施确保分配预算、提高收入和培训医务工</w:t>
      </w:r>
      <w:r>
        <w:rPr>
          <w:rFonts w:hint="eastAsia"/>
          <w:szCs w:val="21"/>
        </w:rPr>
        <w:t>作者，就可能给妇女健康带来负面影响。</w:t>
      </w:r>
    </w:p>
    <w:p w:rsidR="00000000" w:rsidRDefault="00821B8F">
      <w:pPr>
        <w:spacing w:after="120" w:line="360" w:lineRule="exact"/>
        <w:rPr>
          <w:rFonts w:eastAsia="KaiTi_GB2312" w:hint="eastAsia"/>
          <w:b/>
          <w:bCs/>
          <w:color w:val="0000FF"/>
          <w:szCs w:val="21"/>
        </w:rPr>
      </w:pPr>
      <w:r>
        <w:rPr>
          <w:rFonts w:eastAsia="KaiTi_GB2312" w:hint="eastAsia"/>
          <w:b/>
          <w:bCs/>
          <w:color w:val="0000FF"/>
          <w:szCs w:val="21"/>
        </w:rPr>
        <w:t>妇女的营养状况</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跟大多数发展中国家一样，菲律宾的营养不良问题属于缺乏营养而不是营养过剩。营养不良现象很普遍，被认为是一个全国问题。菲律宾人的典型饮食结构是以大米和鱼肉为主，加少量蔬菜，偶尔吃一点水果。食物和营养研究所在</w:t>
      </w:r>
      <w:r>
        <w:rPr>
          <w:rFonts w:hint="eastAsia"/>
          <w:szCs w:val="21"/>
        </w:rPr>
        <w:t>1978</w:t>
      </w:r>
      <w:r>
        <w:rPr>
          <w:rFonts w:hint="eastAsia"/>
          <w:szCs w:val="21"/>
        </w:rPr>
        <w:t>至</w:t>
      </w:r>
      <w:r>
        <w:rPr>
          <w:rFonts w:hint="eastAsia"/>
          <w:szCs w:val="21"/>
        </w:rPr>
        <w:t>1993</w:t>
      </w:r>
      <w:r>
        <w:rPr>
          <w:rFonts w:hint="eastAsia"/>
          <w:szCs w:val="21"/>
        </w:rPr>
        <w:t>年进行的一系列全国食物和营养调查表明，人均食物消费总量及主要食物组别的消费量总体上呈下降趋势，特别是谷类及其产品（从</w:t>
      </w:r>
      <w:r>
        <w:rPr>
          <w:rFonts w:hint="eastAsia"/>
          <w:szCs w:val="21"/>
        </w:rPr>
        <w:t>1978</w:t>
      </w:r>
      <w:r>
        <w:rPr>
          <w:rFonts w:hint="eastAsia"/>
          <w:szCs w:val="21"/>
        </w:rPr>
        <w:t>年的</w:t>
      </w:r>
      <w:r>
        <w:rPr>
          <w:rFonts w:hint="eastAsia"/>
          <w:szCs w:val="21"/>
        </w:rPr>
        <w:t>367</w:t>
      </w:r>
      <w:r>
        <w:rPr>
          <w:rFonts w:hint="eastAsia"/>
          <w:szCs w:val="21"/>
        </w:rPr>
        <w:t>克下降到</w:t>
      </w:r>
      <w:r>
        <w:rPr>
          <w:rFonts w:hint="eastAsia"/>
          <w:szCs w:val="21"/>
        </w:rPr>
        <w:t>1993</w:t>
      </w:r>
      <w:r>
        <w:rPr>
          <w:rFonts w:hint="eastAsia"/>
          <w:szCs w:val="21"/>
        </w:rPr>
        <w:t>年的</w:t>
      </w:r>
      <w:r>
        <w:rPr>
          <w:rFonts w:hint="eastAsia"/>
          <w:szCs w:val="21"/>
        </w:rPr>
        <w:t>340</w:t>
      </w:r>
      <w:r>
        <w:rPr>
          <w:rFonts w:hint="eastAsia"/>
          <w:szCs w:val="21"/>
        </w:rPr>
        <w:t>克）和水果（从</w:t>
      </w:r>
      <w:r>
        <w:rPr>
          <w:rFonts w:hint="eastAsia"/>
          <w:szCs w:val="21"/>
        </w:rPr>
        <w:t>104</w:t>
      </w:r>
      <w:r>
        <w:rPr>
          <w:rFonts w:hint="eastAsia"/>
          <w:szCs w:val="21"/>
        </w:rPr>
        <w:t>克下降到</w:t>
      </w:r>
      <w:r>
        <w:rPr>
          <w:rFonts w:hint="eastAsia"/>
          <w:szCs w:val="21"/>
        </w:rPr>
        <w:t>77</w:t>
      </w:r>
      <w:r>
        <w:rPr>
          <w:rFonts w:hint="eastAsia"/>
          <w:szCs w:val="21"/>
        </w:rPr>
        <w:t>克）。与此同时，人均蔬菜食物消费总量呈上升趋</w:t>
      </w:r>
      <w:r>
        <w:rPr>
          <w:rFonts w:hint="eastAsia"/>
          <w:szCs w:val="21"/>
        </w:rPr>
        <w:t>势（从</w:t>
      </w:r>
      <w:r>
        <w:rPr>
          <w:rFonts w:hint="eastAsia"/>
          <w:szCs w:val="21"/>
        </w:rPr>
        <w:t>95</w:t>
      </w:r>
      <w:r>
        <w:rPr>
          <w:rFonts w:hint="eastAsia"/>
          <w:szCs w:val="21"/>
        </w:rPr>
        <w:t>克增至</w:t>
      </w:r>
      <w:r>
        <w:rPr>
          <w:rFonts w:hint="eastAsia"/>
          <w:szCs w:val="21"/>
        </w:rPr>
        <w:t>106</w:t>
      </w:r>
      <w:r>
        <w:rPr>
          <w:rFonts w:hint="eastAsia"/>
          <w:szCs w:val="21"/>
        </w:rPr>
        <w:t>克）。只有鱼、肉和家禽的消费仍然高于</w:t>
      </w:r>
      <w:r>
        <w:rPr>
          <w:rFonts w:hint="eastAsia"/>
          <w:szCs w:val="21"/>
        </w:rPr>
        <w:t>1978</w:t>
      </w:r>
      <w:r>
        <w:rPr>
          <w:rFonts w:hint="eastAsia"/>
          <w:szCs w:val="21"/>
        </w:rPr>
        <w:t>年的水平——尽管在</w:t>
      </w:r>
      <w:r>
        <w:rPr>
          <w:rFonts w:hint="eastAsia"/>
          <w:szCs w:val="21"/>
        </w:rPr>
        <w:t>1987</w:t>
      </w:r>
      <w:r>
        <w:rPr>
          <w:rFonts w:hint="eastAsia"/>
          <w:szCs w:val="21"/>
        </w:rPr>
        <w:t>至</w:t>
      </w:r>
      <w:r>
        <w:rPr>
          <w:rFonts w:hint="eastAsia"/>
          <w:szCs w:val="21"/>
        </w:rPr>
        <w:t>1993</w:t>
      </w:r>
      <w:r>
        <w:rPr>
          <w:rFonts w:hint="eastAsia"/>
          <w:szCs w:val="21"/>
        </w:rPr>
        <w:t>年间曾一度大幅降低（从</w:t>
      </w:r>
      <w:r>
        <w:rPr>
          <w:rFonts w:hint="eastAsia"/>
          <w:szCs w:val="21"/>
        </w:rPr>
        <w:t>157</w:t>
      </w:r>
      <w:r>
        <w:rPr>
          <w:rFonts w:hint="eastAsia"/>
          <w:szCs w:val="21"/>
        </w:rPr>
        <w:t>克降至</w:t>
      </w:r>
      <w:r>
        <w:rPr>
          <w:rFonts w:hint="eastAsia"/>
          <w:szCs w:val="21"/>
        </w:rPr>
        <w:t>147</w:t>
      </w:r>
      <w:r>
        <w:rPr>
          <w:rFonts w:hint="eastAsia"/>
          <w:szCs w:val="21"/>
        </w:rPr>
        <w:t>克）。</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1998</w:t>
      </w:r>
      <w:r>
        <w:rPr>
          <w:rFonts w:hint="eastAsia"/>
          <w:szCs w:val="21"/>
        </w:rPr>
        <w:t>年全国营养调查显示，与</w:t>
      </w:r>
      <w:r>
        <w:rPr>
          <w:rFonts w:hint="eastAsia"/>
          <w:szCs w:val="21"/>
        </w:rPr>
        <w:t>1993</w:t>
      </w:r>
      <w:r>
        <w:rPr>
          <w:rFonts w:hint="eastAsia"/>
          <w:szCs w:val="21"/>
        </w:rPr>
        <w:t>和</w:t>
      </w:r>
      <w:r>
        <w:rPr>
          <w:rFonts w:hint="eastAsia"/>
          <w:szCs w:val="21"/>
        </w:rPr>
        <w:t>1996</w:t>
      </w:r>
      <w:r>
        <w:rPr>
          <w:rFonts w:hint="eastAsia"/>
          <w:szCs w:val="21"/>
        </w:rPr>
        <w:t>年的调查结果相比，各个年龄段的男女都经历了相似的营养退化。总的来说，女性的各个生命阶段都比男性同龄人短而脆弱。在营养不良的发生率方面，下面的格局值得注意：</w:t>
      </w:r>
      <w:r>
        <w:rPr>
          <w:rFonts w:hint="eastAsia"/>
          <w:szCs w:val="21"/>
        </w:rPr>
        <w:t>0-5</w:t>
      </w:r>
      <w:r>
        <w:rPr>
          <w:rFonts w:hint="eastAsia"/>
          <w:szCs w:val="21"/>
        </w:rPr>
        <w:t>岁的男女儿童基本上营养状况相同。而</w:t>
      </w:r>
      <w:r>
        <w:rPr>
          <w:rFonts w:hint="eastAsia"/>
          <w:szCs w:val="21"/>
        </w:rPr>
        <w:t>6-10</w:t>
      </w:r>
      <w:r>
        <w:rPr>
          <w:rFonts w:hint="eastAsia"/>
          <w:szCs w:val="21"/>
        </w:rPr>
        <w:t>岁儿童，女孩营养不良的比率低于男孩：体重不足的女孩为</w:t>
      </w:r>
      <w:r>
        <w:rPr>
          <w:rFonts w:hint="eastAsia"/>
          <w:szCs w:val="21"/>
        </w:rPr>
        <w:t>25%</w:t>
      </w:r>
      <w:r>
        <w:rPr>
          <w:rFonts w:hint="eastAsia"/>
          <w:szCs w:val="21"/>
        </w:rPr>
        <w:t>，男孩为</w:t>
      </w:r>
      <w:r>
        <w:rPr>
          <w:rFonts w:hint="eastAsia"/>
          <w:szCs w:val="21"/>
        </w:rPr>
        <w:t>35%</w:t>
      </w:r>
      <w:r>
        <w:rPr>
          <w:rFonts w:hint="eastAsia"/>
          <w:szCs w:val="21"/>
        </w:rPr>
        <w:t>；身材矮小的女孩为</w:t>
      </w:r>
      <w:r>
        <w:rPr>
          <w:rFonts w:hint="eastAsia"/>
          <w:szCs w:val="21"/>
        </w:rPr>
        <w:t>35%</w:t>
      </w:r>
      <w:r>
        <w:rPr>
          <w:rFonts w:hint="eastAsia"/>
          <w:szCs w:val="21"/>
        </w:rPr>
        <w:t>，男孩为</w:t>
      </w:r>
      <w:r>
        <w:rPr>
          <w:rFonts w:hint="eastAsia"/>
          <w:szCs w:val="21"/>
        </w:rPr>
        <w:t>47%</w:t>
      </w:r>
      <w:r>
        <w:rPr>
          <w:rFonts w:hint="eastAsia"/>
          <w:szCs w:val="21"/>
        </w:rPr>
        <w:t>。但是，在</w:t>
      </w:r>
      <w:r>
        <w:rPr>
          <w:rFonts w:hint="eastAsia"/>
          <w:szCs w:val="21"/>
        </w:rPr>
        <w:t>11-12</w:t>
      </w:r>
      <w:r>
        <w:rPr>
          <w:rFonts w:hint="eastAsia"/>
          <w:szCs w:val="21"/>
        </w:rPr>
        <w:t>岁的发育期以及</w:t>
      </w:r>
      <w:r>
        <w:rPr>
          <w:rFonts w:hint="eastAsia"/>
          <w:szCs w:val="21"/>
        </w:rPr>
        <w:t>13-19</w:t>
      </w:r>
      <w:r>
        <w:rPr>
          <w:rFonts w:hint="eastAsia"/>
          <w:szCs w:val="21"/>
        </w:rPr>
        <w:t>的青春期，女性超重的风险比男性大。</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在成年人当中，女性比男性在营养上处于更为不利状况：长期能量缺乏和身体超重的比率较高。特别是孕产期的妇女营养状况不佳，说明了青春期少女和成年妇女在营养方面易受伤害。各种形式的营养不良问题，特别是缺乏蛋白质和微量元素顽固地存在。在</w:t>
      </w:r>
      <w:r>
        <w:rPr>
          <w:rFonts w:hint="eastAsia"/>
          <w:color w:val="000000"/>
          <w:szCs w:val="21"/>
        </w:rPr>
        <w:t>20</w:t>
      </w:r>
      <w:r>
        <w:rPr>
          <w:rFonts w:hint="eastAsia"/>
          <w:color w:val="000000"/>
          <w:szCs w:val="21"/>
        </w:rPr>
        <w:t>岁以上成年人中，妇女方面长期能量缺乏问题比男子更为普遍。罹患缺铁性贫血的妇女比男子多，而在孕产妇当中发病率最高。患甲状腺肿及硫安素和核黄素缺乏症的人仍然是妇女比男子更普遍。</w:t>
      </w:r>
    </w:p>
    <w:p w:rsidR="00000000" w:rsidRDefault="00821B8F">
      <w:pPr>
        <w:spacing w:after="120" w:line="360" w:lineRule="exact"/>
        <w:rPr>
          <w:rFonts w:eastAsia="KaiTi_GB2312" w:hint="eastAsia"/>
          <w:b/>
          <w:bCs/>
          <w:color w:val="0000FF"/>
          <w:szCs w:val="21"/>
        </w:rPr>
      </w:pPr>
      <w:r>
        <w:rPr>
          <w:rFonts w:eastAsia="KaiTi_GB2312" w:hint="eastAsia"/>
          <w:b/>
          <w:bCs/>
          <w:color w:val="0000FF"/>
          <w:szCs w:val="21"/>
        </w:rPr>
        <w:t>妇女的健康状况</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尽管顽固</w:t>
      </w:r>
      <w:r>
        <w:rPr>
          <w:rFonts w:hint="eastAsia"/>
          <w:szCs w:val="21"/>
        </w:rPr>
        <w:t>与营养有关的问题依然存在，但近年来全国的总体健康状况一直在稳步改善。看来政府大刀阔斧地改进保健工作的努力和医学及保健方面的进步，给妇女带来了实惠。近年来，菲律宾妇女的健康状况不断改善，突出表现为其预期寿命提高、死亡率下降（妇女委员会，</w:t>
      </w:r>
      <w:r>
        <w:rPr>
          <w:rFonts w:hint="eastAsia"/>
          <w:szCs w:val="21"/>
        </w:rPr>
        <w:t>2000</w:t>
      </w:r>
      <w:r>
        <w:rPr>
          <w:rFonts w:hint="eastAsia"/>
          <w:szCs w:val="21"/>
        </w:rPr>
        <w:t>年）。</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这些年来，男女的生命期一直在延长。这一趋势可以归功于保健服务的改善、生活条件的改善和健康教育的加强。这些因素也促成了死亡率的降低。必须注意的是，妇女，尤其是女婴和老年妇女的死亡率降幅更大。妇女的寿命仍然比男子长，而且这种性别差距在</w:t>
      </w:r>
      <w:r>
        <w:rPr>
          <w:rFonts w:hint="eastAsia"/>
          <w:szCs w:val="21"/>
        </w:rPr>
        <w:t>1990</w:t>
      </w:r>
      <w:r>
        <w:rPr>
          <w:rFonts w:hint="eastAsia"/>
          <w:szCs w:val="21"/>
        </w:rPr>
        <w:t>至</w:t>
      </w:r>
      <w:r>
        <w:rPr>
          <w:rFonts w:hint="eastAsia"/>
          <w:szCs w:val="21"/>
        </w:rPr>
        <w:t>2000</w:t>
      </w:r>
      <w:r>
        <w:rPr>
          <w:rFonts w:hint="eastAsia"/>
          <w:szCs w:val="21"/>
        </w:rPr>
        <w:t>年间进一步拉</w:t>
      </w:r>
      <w:r>
        <w:rPr>
          <w:rFonts w:hint="eastAsia"/>
          <w:szCs w:val="21"/>
        </w:rPr>
        <w:t>大。</w:t>
      </w:r>
      <w:r>
        <w:rPr>
          <w:rFonts w:hint="eastAsia"/>
          <w:szCs w:val="21"/>
        </w:rPr>
        <w:t>1990</w:t>
      </w:r>
      <w:r>
        <w:rPr>
          <w:rFonts w:hint="eastAsia"/>
          <w:szCs w:val="21"/>
        </w:rPr>
        <w:t>年，女性的预期寿命为</w:t>
      </w:r>
      <w:r>
        <w:rPr>
          <w:rFonts w:hint="eastAsia"/>
          <w:szCs w:val="21"/>
        </w:rPr>
        <w:t>66.4</w:t>
      </w:r>
      <w:r>
        <w:rPr>
          <w:rFonts w:hint="eastAsia"/>
          <w:szCs w:val="21"/>
        </w:rPr>
        <w:t>岁，比男子寿命长</w:t>
      </w:r>
      <w:r>
        <w:rPr>
          <w:rFonts w:hint="eastAsia"/>
          <w:szCs w:val="21"/>
        </w:rPr>
        <w:t>3.6</w:t>
      </w:r>
      <w:r>
        <w:rPr>
          <w:rFonts w:hint="eastAsia"/>
          <w:szCs w:val="21"/>
        </w:rPr>
        <w:t>岁。</w:t>
      </w:r>
      <w:r>
        <w:rPr>
          <w:rFonts w:hint="eastAsia"/>
          <w:szCs w:val="21"/>
        </w:rPr>
        <w:t>2000</w:t>
      </w:r>
      <w:r>
        <w:rPr>
          <w:rFonts w:hint="eastAsia"/>
          <w:szCs w:val="21"/>
        </w:rPr>
        <w:t>年，妇女的预期寿命为</w:t>
      </w:r>
      <w:r>
        <w:rPr>
          <w:rFonts w:hint="eastAsia"/>
          <w:szCs w:val="21"/>
        </w:rPr>
        <w:t>71.6</w:t>
      </w:r>
      <w:r>
        <w:rPr>
          <w:rFonts w:hint="eastAsia"/>
          <w:szCs w:val="21"/>
        </w:rPr>
        <w:t>岁，性别差距拉大到</w:t>
      </w:r>
      <w:r>
        <w:rPr>
          <w:rFonts w:hint="eastAsia"/>
          <w:szCs w:val="21"/>
        </w:rPr>
        <w:t>5.3</w:t>
      </w:r>
      <w:r>
        <w:rPr>
          <w:rFonts w:hint="eastAsia"/>
          <w:szCs w:val="21"/>
        </w:rPr>
        <w:t>岁。预计</w:t>
      </w:r>
      <w:r>
        <w:rPr>
          <w:rFonts w:hint="eastAsia"/>
          <w:szCs w:val="21"/>
        </w:rPr>
        <w:t>2004</w:t>
      </w:r>
      <w:r>
        <w:rPr>
          <w:rFonts w:hint="eastAsia"/>
          <w:szCs w:val="21"/>
        </w:rPr>
        <w:t>年的出生时预期寿命为：妇女</w:t>
      </w:r>
      <w:r>
        <w:rPr>
          <w:rFonts w:hint="eastAsia"/>
          <w:szCs w:val="21"/>
        </w:rPr>
        <w:t>72.8</w:t>
      </w:r>
      <w:r>
        <w:rPr>
          <w:rFonts w:hint="eastAsia"/>
          <w:szCs w:val="21"/>
        </w:rPr>
        <w:t>岁、男子</w:t>
      </w:r>
      <w:r>
        <w:rPr>
          <w:rFonts w:hint="eastAsia"/>
          <w:szCs w:val="21"/>
        </w:rPr>
        <w:t>67.5</w:t>
      </w:r>
      <w:r>
        <w:rPr>
          <w:rFonts w:hint="eastAsia"/>
          <w:szCs w:val="21"/>
        </w:rPr>
        <w:t>岁（国家统计协调委员会网站援引国家统计局的数据）。</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1946</w:t>
      </w:r>
      <w:r>
        <w:rPr>
          <w:rFonts w:hint="eastAsia"/>
          <w:color w:val="000000"/>
          <w:szCs w:val="21"/>
        </w:rPr>
        <w:t>年到现在，菲律宾的男女死亡率都大幅度降低：粗死亡率从</w:t>
      </w:r>
      <w:r>
        <w:rPr>
          <w:rFonts w:hint="eastAsia"/>
          <w:color w:val="000000"/>
          <w:szCs w:val="21"/>
        </w:rPr>
        <w:t>1946</w:t>
      </w:r>
      <w:r>
        <w:rPr>
          <w:rFonts w:hint="eastAsia"/>
          <w:color w:val="000000"/>
          <w:szCs w:val="21"/>
        </w:rPr>
        <w:t>年记录的</w:t>
      </w:r>
      <w:r>
        <w:rPr>
          <w:rFonts w:hint="eastAsia"/>
          <w:color w:val="000000"/>
          <w:szCs w:val="21"/>
        </w:rPr>
        <w:t>15.1</w:t>
      </w:r>
      <w:r>
        <w:rPr>
          <w:rFonts w:hint="eastAsia"/>
          <w:color w:val="000000"/>
          <w:szCs w:val="21"/>
        </w:rPr>
        <w:t>‰</w:t>
      </w:r>
      <w:r>
        <w:rPr>
          <w:rFonts w:hint="eastAsia"/>
          <w:color w:val="000000"/>
          <w:szCs w:val="21"/>
        </w:rPr>
        <w:t xml:space="preserve"> </w:t>
      </w:r>
      <w:r>
        <w:rPr>
          <w:rFonts w:hint="eastAsia"/>
          <w:color w:val="000000"/>
          <w:szCs w:val="21"/>
        </w:rPr>
        <w:t>骤减至</w:t>
      </w:r>
      <w:r>
        <w:rPr>
          <w:rFonts w:hint="eastAsia"/>
          <w:color w:val="000000"/>
          <w:szCs w:val="21"/>
        </w:rPr>
        <w:t>1959</w:t>
      </w:r>
      <w:r>
        <w:rPr>
          <w:rFonts w:hint="eastAsia"/>
          <w:color w:val="000000"/>
          <w:szCs w:val="21"/>
        </w:rPr>
        <w:t>年的</w:t>
      </w:r>
      <w:r>
        <w:rPr>
          <w:rFonts w:hint="eastAsia"/>
          <w:color w:val="000000"/>
          <w:szCs w:val="21"/>
        </w:rPr>
        <w:t>7.3</w:t>
      </w:r>
      <w:r>
        <w:rPr>
          <w:rFonts w:hint="eastAsia"/>
          <w:color w:val="000000"/>
          <w:szCs w:val="21"/>
        </w:rPr>
        <w:t>‰</w:t>
      </w:r>
      <w:r>
        <w:rPr>
          <w:rFonts w:hint="eastAsia"/>
          <w:color w:val="000000"/>
          <w:szCs w:val="21"/>
        </w:rPr>
        <w:t xml:space="preserve"> </w:t>
      </w:r>
      <w:r>
        <w:rPr>
          <w:rFonts w:hint="eastAsia"/>
          <w:color w:val="000000"/>
          <w:szCs w:val="21"/>
        </w:rPr>
        <w:t>和</w:t>
      </w:r>
      <w:r>
        <w:rPr>
          <w:rFonts w:hint="eastAsia"/>
          <w:color w:val="000000"/>
          <w:szCs w:val="21"/>
        </w:rPr>
        <w:t>1994</w:t>
      </w:r>
      <w:r>
        <w:rPr>
          <w:rFonts w:hint="eastAsia"/>
          <w:color w:val="000000"/>
          <w:szCs w:val="21"/>
        </w:rPr>
        <w:t>年的</w:t>
      </w:r>
      <w:r>
        <w:rPr>
          <w:rFonts w:hint="eastAsia"/>
          <w:color w:val="000000"/>
          <w:szCs w:val="21"/>
        </w:rPr>
        <w:t>4.7</w:t>
      </w:r>
      <w:r>
        <w:rPr>
          <w:rFonts w:hint="eastAsia"/>
          <w:color w:val="000000"/>
          <w:szCs w:val="21"/>
        </w:rPr>
        <w:t>‰；</w:t>
      </w:r>
      <w:r>
        <w:rPr>
          <w:rFonts w:hint="eastAsia"/>
          <w:color w:val="000000"/>
          <w:szCs w:val="21"/>
        </w:rPr>
        <w:t>1995</w:t>
      </w:r>
      <w:r>
        <w:rPr>
          <w:rFonts w:hint="eastAsia"/>
          <w:color w:val="000000"/>
          <w:szCs w:val="21"/>
        </w:rPr>
        <w:t>至</w:t>
      </w:r>
      <w:r>
        <w:rPr>
          <w:rFonts w:hint="eastAsia"/>
          <w:color w:val="000000"/>
          <w:szCs w:val="21"/>
        </w:rPr>
        <w:t>1999</w:t>
      </w:r>
      <w:r>
        <w:rPr>
          <w:rFonts w:hint="eastAsia"/>
          <w:color w:val="000000"/>
          <w:szCs w:val="21"/>
        </w:rPr>
        <w:t>年间，粗死亡率徘徊在</w:t>
      </w:r>
      <w:r>
        <w:rPr>
          <w:rFonts w:hint="eastAsia"/>
          <w:color w:val="000000"/>
          <w:szCs w:val="21"/>
        </w:rPr>
        <w:t>3.7</w:t>
      </w:r>
      <w:r>
        <w:rPr>
          <w:rFonts w:hint="eastAsia"/>
          <w:color w:val="000000"/>
          <w:szCs w:val="21"/>
        </w:rPr>
        <w:t>‰</w:t>
      </w:r>
      <w:r>
        <w:rPr>
          <w:rFonts w:hint="eastAsia"/>
          <w:color w:val="000000"/>
          <w:szCs w:val="21"/>
        </w:rPr>
        <w:t xml:space="preserve"> </w:t>
      </w:r>
      <w:r>
        <w:rPr>
          <w:rFonts w:hint="eastAsia"/>
          <w:color w:val="000000"/>
          <w:szCs w:val="21"/>
        </w:rPr>
        <w:t>至</w:t>
      </w:r>
      <w:r>
        <w:rPr>
          <w:rFonts w:hint="eastAsia"/>
          <w:color w:val="000000"/>
          <w:szCs w:val="21"/>
        </w:rPr>
        <w:t>5.0</w:t>
      </w:r>
      <w:r>
        <w:rPr>
          <w:rFonts w:hint="eastAsia"/>
          <w:color w:val="000000"/>
          <w:szCs w:val="21"/>
        </w:rPr>
        <w:t>‰</w:t>
      </w:r>
      <w:r>
        <w:rPr>
          <w:rFonts w:hint="eastAsia"/>
          <w:color w:val="000000"/>
          <w:szCs w:val="21"/>
        </w:rPr>
        <w:t xml:space="preserve"> </w:t>
      </w:r>
      <w:r>
        <w:rPr>
          <w:rFonts w:hint="eastAsia"/>
          <w:color w:val="000000"/>
          <w:szCs w:val="21"/>
        </w:rPr>
        <w:t>之间（国家统计局，</w:t>
      </w:r>
      <w:r>
        <w:rPr>
          <w:rFonts w:hint="eastAsia"/>
          <w:color w:val="000000"/>
          <w:szCs w:val="21"/>
        </w:rPr>
        <w:t>2002</w:t>
      </w:r>
      <w:r>
        <w:rPr>
          <w:rFonts w:hint="eastAsia"/>
          <w:color w:val="000000"/>
          <w:szCs w:val="21"/>
        </w:rPr>
        <w:t>年）。主要死因是心脏病、心脑血管疾病、肺</w:t>
      </w:r>
      <w:r>
        <w:rPr>
          <w:rFonts w:hint="eastAsia"/>
          <w:color w:val="000000"/>
          <w:szCs w:val="21"/>
        </w:rPr>
        <w:t>炎、恶性肿瘤以及各种结核病（卫生部，</w:t>
      </w:r>
      <w:r>
        <w:rPr>
          <w:rFonts w:hint="eastAsia"/>
          <w:color w:val="000000"/>
          <w:szCs w:val="21"/>
        </w:rPr>
        <w:t>1999</w:t>
      </w:r>
      <w:r>
        <w:rPr>
          <w:rFonts w:hint="eastAsia"/>
          <w:color w:val="000000"/>
          <w:szCs w:val="21"/>
        </w:rPr>
        <w:t>年）。</w:t>
      </w:r>
      <w:r>
        <w:rPr>
          <w:rFonts w:hint="eastAsia"/>
          <w:color w:val="000000"/>
          <w:szCs w:val="21"/>
        </w:rPr>
        <w:t>2000</w:t>
      </w:r>
      <w:r>
        <w:rPr>
          <w:rFonts w:hint="eastAsia"/>
          <w:color w:val="000000"/>
          <w:szCs w:val="21"/>
        </w:rPr>
        <w:t>年妇女的粗死亡率为</w:t>
      </w:r>
      <w:r>
        <w:rPr>
          <w:rFonts w:hint="eastAsia"/>
          <w:color w:val="000000"/>
          <w:szCs w:val="21"/>
        </w:rPr>
        <w:t>3.9</w:t>
      </w:r>
      <w:r>
        <w:rPr>
          <w:rFonts w:hint="eastAsia"/>
          <w:color w:val="000000"/>
          <w:szCs w:val="21"/>
        </w:rPr>
        <w:t>‰，而男子的粗死亡率为</w:t>
      </w:r>
      <w:r>
        <w:rPr>
          <w:rFonts w:hint="eastAsia"/>
          <w:color w:val="000000"/>
          <w:szCs w:val="21"/>
        </w:rPr>
        <w:t>5.6</w:t>
      </w:r>
      <w:r>
        <w:rPr>
          <w:rFonts w:hint="eastAsia"/>
          <w:color w:val="000000"/>
          <w:szCs w:val="21"/>
        </w:rPr>
        <w:t>‰。</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1995</w:t>
      </w:r>
      <w:r>
        <w:rPr>
          <w:rFonts w:hint="eastAsia"/>
          <w:color w:val="000000"/>
          <w:szCs w:val="21"/>
        </w:rPr>
        <w:t>至</w:t>
      </w:r>
      <w:r>
        <w:rPr>
          <w:rFonts w:hint="eastAsia"/>
          <w:color w:val="000000"/>
          <w:szCs w:val="21"/>
        </w:rPr>
        <w:t>1997</w:t>
      </w:r>
      <w:r>
        <w:rPr>
          <w:rFonts w:hint="eastAsia"/>
          <w:color w:val="000000"/>
          <w:szCs w:val="21"/>
        </w:rPr>
        <w:t>年，菲律宾的总生育率估计为每个妇女生</w:t>
      </w:r>
      <w:r>
        <w:rPr>
          <w:rFonts w:hint="eastAsia"/>
          <w:color w:val="000000"/>
          <w:szCs w:val="21"/>
        </w:rPr>
        <w:t>3.7</w:t>
      </w:r>
      <w:r>
        <w:rPr>
          <w:rFonts w:hint="eastAsia"/>
          <w:color w:val="000000"/>
          <w:szCs w:val="21"/>
        </w:rPr>
        <w:t>胎（国家统计局，</w:t>
      </w:r>
      <w:r>
        <w:rPr>
          <w:rFonts w:hint="eastAsia"/>
          <w:color w:val="000000"/>
          <w:szCs w:val="21"/>
        </w:rPr>
        <w:t>1998</w:t>
      </w:r>
      <w:r>
        <w:rPr>
          <w:rFonts w:hint="eastAsia"/>
          <w:color w:val="000000"/>
          <w:szCs w:val="21"/>
        </w:rPr>
        <w:t>年）。虽然与其他东南亚国家相比，菲律宾的生育率依然较高（马来西亚为</w:t>
      </w:r>
      <w:r>
        <w:rPr>
          <w:rFonts w:hint="eastAsia"/>
          <w:color w:val="000000"/>
          <w:szCs w:val="21"/>
        </w:rPr>
        <w:t>3.2</w:t>
      </w:r>
      <w:r>
        <w:rPr>
          <w:rFonts w:hint="eastAsia"/>
          <w:color w:val="000000"/>
          <w:szCs w:val="21"/>
        </w:rPr>
        <w:t>、印度尼西亚</w:t>
      </w:r>
      <w:r>
        <w:rPr>
          <w:rFonts w:hint="eastAsia"/>
          <w:color w:val="000000"/>
          <w:szCs w:val="21"/>
        </w:rPr>
        <w:t>2.3</w:t>
      </w:r>
      <w:r>
        <w:rPr>
          <w:rFonts w:hint="eastAsia"/>
          <w:color w:val="000000"/>
          <w:szCs w:val="21"/>
        </w:rPr>
        <w:t>、泰国</w:t>
      </w:r>
      <w:r>
        <w:rPr>
          <w:rFonts w:hint="eastAsia"/>
          <w:color w:val="000000"/>
          <w:szCs w:val="21"/>
        </w:rPr>
        <w:t>2.0</w:t>
      </w:r>
      <w:r>
        <w:rPr>
          <w:rFonts w:hint="eastAsia"/>
          <w:color w:val="000000"/>
          <w:szCs w:val="21"/>
        </w:rPr>
        <w:t>、新加坡</w:t>
      </w:r>
      <w:r>
        <w:rPr>
          <w:rFonts w:hint="eastAsia"/>
          <w:color w:val="000000"/>
          <w:szCs w:val="21"/>
        </w:rPr>
        <w:t>1.7</w:t>
      </w:r>
      <w:r>
        <w:rPr>
          <w:rFonts w:hint="eastAsia"/>
          <w:color w:val="000000"/>
          <w:szCs w:val="21"/>
        </w:rPr>
        <w:t>），但是据报告其</w:t>
      </w:r>
      <w:r>
        <w:rPr>
          <w:rFonts w:hint="eastAsia"/>
          <w:color w:val="000000"/>
          <w:szCs w:val="21"/>
        </w:rPr>
        <w:t>1990</w:t>
      </w:r>
      <w:r>
        <w:rPr>
          <w:rFonts w:hint="eastAsia"/>
          <w:color w:val="000000"/>
          <w:szCs w:val="21"/>
        </w:rPr>
        <w:t>至</w:t>
      </w:r>
      <w:r>
        <w:rPr>
          <w:rFonts w:hint="eastAsia"/>
          <w:color w:val="000000"/>
          <w:szCs w:val="21"/>
        </w:rPr>
        <w:t>1993</w:t>
      </w:r>
      <w:r>
        <w:rPr>
          <w:rFonts w:hint="eastAsia"/>
          <w:color w:val="000000"/>
          <w:szCs w:val="21"/>
        </w:rPr>
        <w:t>年的生育率低于</w:t>
      </w:r>
      <w:r>
        <w:rPr>
          <w:rFonts w:hint="eastAsia"/>
          <w:color w:val="000000"/>
          <w:szCs w:val="21"/>
        </w:rPr>
        <w:t>4.1</w:t>
      </w:r>
      <w:r>
        <w:rPr>
          <w:rFonts w:hint="eastAsia"/>
          <w:color w:val="000000"/>
          <w:szCs w:val="21"/>
        </w:rPr>
        <w:t>。预计</w:t>
      </w:r>
      <w:r>
        <w:rPr>
          <w:rFonts w:hint="eastAsia"/>
          <w:color w:val="000000"/>
          <w:szCs w:val="21"/>
        </w:rPr>
        <w:t>2003</w:t>
      </w:r>
      <w:r>
        <w:rPr>
          <w:rFonts w:hint="eastAsia"/>
          <w:color w:val="000000"/>
          <w:szCs w:val="21"/>
        </w:rPr>
        <w:t>年的总生育率为</w:t>
      </w:r>
      <w:r>
        <w:rPr>
          <w:rFonts w:hint="eastAsia"/>
          <w:color w:val="000000"/>
          <w:szCs w:val="21"/>
        </w:rPr>
        <w:t>3.15</w:t>
      </w:r>
      <w:r>
        <w:rPr>
          <w:rFonts w:hint="eastAsia"/>
          <w:color w:val="000000"/>
          <w:szCs w:val="21"/>
        </w:rPr>
        <w:t>胎；预计</w:t>
      </w:r>
      <w:r>
        <w:rPr>
          <w:rFonts w:hint="eastAsia"/>
          <w:color w:val="000000"/>
          <w:szCs w:val="21"/>
        </w:rPr>
        <w:t>2004</w:t>
      </w:r>
      <w:r>
        <w:rPr>
          <w:rFonts w:hint="eastAsia"/>
          <w:color w:val="000000"/>
          <w:szCs w:val="21"/>
        </w:rPr>
        <w:t>年会降至</w:t>
      </w:r>
      <w:r>
        <w:rPr>
          <w:rFonts w:hint="eastAsia"/>
          <w:color w:val="000000"/>
          <w:szCs w:val="21"/>
        </w:rPr>
        <w:t>3.08</w:t>
      </w:r>
      <w:r>
        <w:rPr>
          <w:rFonts w:hint="eastAsia"/>
          <w:color w:val="000000"/>
          <w:szCs w:val="21"/>
        </w:rPr>
        <w:t>‰。实际上，</w:t>
      </w:r>
      <w:r>
        <w:rPr>
          <w:rFonts w:hint="eastAsia"/>
          <w:color w:val="000000"/>
          <w:szCs w:val="21"/>
        </w:rPr>
        <w:t>1999</w:t>
      </w:r>
      <w:r>
        <w:rPr>
          <w:rFonts w:hint="eastAsia"/>
          <w:color w:val="000000"/>
          <w:szCs w:val="21"/>
        </w:rPr>
        <w:t>年的总生育率为每个妇女生</w:t>
      </w:r>
      <w:r>
        <w:rPr>
          <w:rFonts w:hint="eastAsia"/>
          <w:color w:val="000000"/>
          <w:szCs w:val="21"/>
        </w:rPr>
        <w:t>3.4</w:t>
      </w:r>
      <w:r>
        <w:rPr>
          <w:rFonts w:hint="eastAsia"/>
          <w:color w:val="000000"/>
          <w:szCs w:val="21"/>
        </w:rPr>
        <w:t>胎（城市地区为</w:t>
      </w:r>
      <w:r>
        <w:rPr>
          <w:rFonts w:hint="eastAsia"/>
          <w:color w:val="000000"/>
          <w:szCs w:val="21"/>
        </w:rPr>
        <w:t>3.0</w:t>
      </w:r>
      <w:r>
        <w:rPr>
          <w:rFonts w:hint="eastAsia"/>
          <w:color w:val="000000"/>
          <w:szCs w:val="21"/>
        </w:rPr>
        <w:t>、</w:t>
      </w:r>
      <w:r>
        <w:rPr>
          <w:rFonts w:hint="eastAsia"/>
          <w:color w:val="000000"/>
          <w:szCs w:val="21"/>
        </w:rPr>
        <w:t>农村地区</w:t>
      </w:r>
      <w:r>
        <w:rPr>
          <w:rFonts w:hint="eastAsia"/>
          <w:color w:val="000000"/>
          <w:szCs w:val="21"/>
        </w:rPr>
        <w:t>4.7</w:t>
      </w:r>
      <w:r>
        <w:rPr>
          <w:rFonts w:hint="eastAsia"/>
          <w:color w:val="000000"/>
          <w:szCs w:val="21"/>
        </w:rPr>
        <w:t>）。预计</w:t>
      </w:r>
      <w:r>
        <w:rPr>
          <w:rFonts w:hint="eastAsia"/>
          <w:color w:val="000000"/>
          <w:szCs w:val="21"/>
        </w:rPr>
        <w:t>2005</w:t>
      </w:r>
      <w:r>
        <w:rPr>
          <w:rFonts w:hint="eastAsia"/>
          <w:color w:val="000000"/>
          <w:szCs w:val="21"/>
        </w:rPr>
        <w:t>年会进一步降至</w:t>
      </w:r>
      <w:r>
        <w:rPr>
          <w:rFonts w:hint="eastAsia"/>
          <w:color w:val="000000"/>
          <w:szCs w:val="21"/>
        </w:rPr>
        <w:t>3</w:t>
      </w:r>
      <w:r>
        <w:rPr>
          <w:rFonts w:hint="eastAsia"/>
          <w:color w:val="000000"/>
          <w:szCs w:val="21"/>
        </w:rPr>
        <w:t>胎。</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1990</w:t>
      </w:r>
      <w:r>
        <w:rPr>
          <w:rFonts w:hint="eastAsia"/>
          <w:szCs w:val="21"/>
        </w:rPr>
        <w:t>年代末期，有</w:t>
      </w:r>
      <w:r>
        <w:rPr>
          <w:rFonts w:hint="eastAsia"/>
          <w:szCs w:val="21"/>
        </w:rPr>
        <w:t>92%</w:t>
      </w:r>
      <w:r>
        <w:rPr>
          <w:rFonts w:hint="eastAsia"/>
          <w:szCs w:val="21"/>
        </w:rPr>
        <w:t>的母亲得到医生、护士或助产士或</w:t>
      </w:r>
      <w:r>
        <w:rPr>
          <w:rFonts w:hint="eastAsia"/>
          <w:i/>
          <w:szCs w:val="21"/>
        </w:rPr>
        <w:t>hilot</w:t>
      </w:r>
      <w:r>
        <w:rPr>
          <w:rFonts w:hint="eastAsia"/>
          <w:szCs w:val="21"/>
        </w:rPr>
        <w:t>（传统助产士）的产前护理（国家统计局，</w:t>
      </w:r>
      <w:r>
        <w:rPr>
          <w:rFonts w:hint="eastAsia"/>
          <w:szCs w:val="21"/>
        </w:rPr>
        <w:t>1998</w:t>
      </w:r>
      <w:r>
        <w:rPr>
          <w:rFonts w:hint="eastAsia"/>
          <w:szCs w:val="21"/>
        </w:rPr>
        <w:t>年）。由传统助产士接生的占</w:t>
      </w:r>
      <w:r>
        <w:rPr>
          <w:rFonts w:hint="eastAsia"/>
          <w:szCs w:val="21"/>
        </w:rPr>
        <w:t>41%</w:t>
      </w:r>
      <w:r>
        <w:rPr>
          <w:rFonts w:hint="eastAsia"/>
          <w:szCs w:val="21"/>
        </w:rPr>
        <w:t>，由医生接生的占</w:t>
      </w:r>
      <w:r>
        <w:rPr>
          <w:rFonts w:hint="eastAsia"/>
          <w:szCs w:val="21"/>
        </w:rPr>
        <w:t>31%</w:t>
      </w:r>
      <w:r>
        <w:rPr>
          <w:rFonts w:hint="eastAsia"/>
          <w:szCs w:val="21"/>
        </w:rPr>
        <w:t>，由护士和助产士接生的占</w:t>
      </w:r>
      <w:r>
        <w:rPr>
          <w:rFonts w:hint="eastAsia"/>
          <w:szCs w:val="21"/>
        </w:rPr>
        <w:t>26%</w:t>
      </w:r>
      <w:r>
        <w:rPr>
          <w:rFonts w:hint="eastAsia"/>
          <w:szCs w:val="21"/>
        </w:rPr>
        <w:t>。在家中分娩的占三分之二。生孩子较少的妇女分娩时接受医疗协助的更普遍，这些妇女住在城市地区，其受教育程度较高，她们在产前能接受四次以上的检查。在大马尼拉，由专业卫生工作人员接生的占</w:t>
      </w:r>
      <w:r>
        <w:rPr>
          <w:rFonts w:hint="eastAsia"/>
          <w:szCs w:val="21"/>
        </w:rPr>
        <w:t>92%</w:t>
      </w:r>
      <w:r>
        <w:rPr>
          <w:rFonts w:hint="eastAsia"/>
          <w:szCs w:val="21"/>
        </w:rPr>
        <w:t>，而在穆斯林棉兰老自治区，该比例仅为</w:t>
      </w:r>
      <w:r>
        <w:rPr>
          <w:rFonts w:hint="eastAsia"/>
          <w:szCs w:val="21"/>
        </w:rPr>
        <w:t>16%</w:t>
      </w:r>
      <w:r>
        <w:rPr>
          <w:rFonts w:hint="eastAsia"/>
          <w:szCs w:val="21"/>
        </w:rPr>
        <w:t>（卫生部，</w:t>
      </w:r>
      <w:r>
        <w:rPr>
          <w:rFonts w:hint="eastAsia"/>
          <w:szCs w:val="21"/>
        </w:rPr>
        <w:t>1999</w:t>
      </w:r>
      <w:r>
        <w:rPr>
          <w:rFonts w:hint="eastAsia"/>
          <w:szCs w:val="21"/>
        </w:rPr>
        <w:t>年）。</w:t>
      </w:r>
      <w:r>
        <w:rPr>
          <w:rFonts w:hint="eastAsia"/>
          <w:szCs w:val="21"/>
        </w:rPr>
        <w:t xml:space="preserve"> </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菲律</w:t>
      </w:r>
      <w:r>
        <w:rPr>
          <w:rFonts w:hint="eastAsia"/>
          <w:szCs w:val="21"/>
        </w:rPr>
        <w:t>宾的婴儿死亡率非常高：</w:t>
      </w:r>
      <w:r>
        <w:rPr>
          <w:rFonts w:hint="eastAsia"/>
          <w:szCs w:val="21"/>
        </w:rPr>
        <w:t>1985</w:t>
      </w:r>
      <w:r>
        <w:rPr>
          <w:rFonts w:hint="eastAsia"/>
          <w:szCs w:val="21"/>
        </w:rPr>
        <w:t>年为每</w:t>
      </w:r>
      <w:r>
        <w:rPr>
          <w:rFonts w:hint="eastAsia"/>
          <w:szCs w:val="21"/>
        </w:rPr>
        <w:t>1 000</w:t>
      </w:r>
      <w:r>
        <w:rPr>
          <w:rFonts w:hint="eastAsia"/>
          <w:szCs w:val="21"/>
        </w:rPr>
        <w:t>个活产中</w:t>
      </w:r>
      <w:r>
        <w:rPr>
          <w:rFonts w:hint="eastAsia"/>
          <w:szCs w:val="21"/>
        </w:rPr>
        <w:t>45.3</w:t>
      </w:r>
      <w:r>
        <w:rPr>
          <w:rFonts w:hint="eastAsia"/>
          <w:szCs w:val="21"/>
        </w:rPr>
        <w:t>人、</w:t>
      </w:r>
      <w:r>
        <w:rPr>
          <w:rFonts w:hint="eastAsia"/>
          <w:szCs w:val="21"/>
        </w:rPr>
        <w:t>1990</w:t>
      </w:r>
      <w:r>
        <w:rPr>
          <w:rFonts w:hint="eastAsia"/>
          <w:szCs w:val="21"/>
        </w:rPr>
        <w:t>年为</w:t>
      </w:r>
      <w:r>
        <w:rPr>
          <w:rFonts w:hint="eastAsia"/>
          <w:szCs w:val="21"/>
        </w:rPr>
        <w:t>36.8</w:t>
      </w:r>
      <w:r>
        <w:rPr>
          <w:rFonts w:hint="eastAsia"/>
        </w:rPr>
        <w:t>人、</w:t>
      </w:r>
      <w:r>
        <w:rPr>
          <w:rFonts w:hint="eastAsia"/>
        </w:rPr>
        <w:t>1995</w:t>
      </w:r>
      <w:r>
        <w:rPr>
          <w:rFonts w:hint="eastAsia"/>
        </w:rPr>
        <w:t>年为</w:t>
      </w:r>
      <w:r>
        <w:rPr>
          <w:rFonts w:hint="eastAsia"/>
        </w:rPr>
        <w:t>35.3</w:t>
      </w:r>
      <w:r>
        <w:rPr>
          <w:rFonts w:hint="eastAsia"/>
        </w:rPr>
        <w:t>人（国家统计局，</w:t>
      </w:r>
      <w:r>
        <w:rPr>
          <w:rFonts w:hint="eastAsia"/>
        </w:rPr>
        <w:t>1998</w:t>
      </w:r>
      <w:r>
        <w:rPr>
          <w:rFonts w:hint="eastAsia"/>
        </w:rPr>
        <w:t>年）。据报告，</w:t>
      </w:r>
      <w:r>
        <w:rPr>
          <w:rFonts w:hint="eastAsia"/>
        </w:rPr>
        <w:t>2001</w:t>
      </w:r>
      <w:r>
        <w:rPr>
          <w:rFonts w:hint="eastAsia"/>
        </w:rPr>
        <w:t>至</w:t>
      </w:r>
      <w:r>
        <w:rPr>
          <w:rFonts w:hint="eastAsia"/>
        </w:rPr>
        <w:t>2003</w:t>
      </w:r>
      <w:r>
        <w:rPr>
          <w:rFonts w:hint="eastAsia"/>
        </w:rPr>
        <w:t>年的活产死亡率为</w:t>
      </w:r>
      <w:r>
        <w:rPr>
          <w:rFonts w:hint="eastAsia"/>
          <w:szCs w:val="21"/>
        </w:rPr>
        <w:t>每</w:t>
      </w:r>
      <w:r>
        <w:rPr>
          <w:rFonts w:hint="eastAsia"/>
          <w:szCs w:val="21"/>
        </w:rPr>
        <w:t>1 000</w:t>
      </w:r>
      <w:r>
        <w:rPr>
          <w:rFonts w:hint="eastAsia"/>
          <w:szCs w:val="21"/>
        </w:rPr>
        <w:t>个活产中</w:t>
      </w:r>
      <w:r>
        <w:rPr>
          <w:rFonts w:hint="eastAsia"/>
        </w:rPr>
        <w:t>29</w:t>
      </w:r>
      <w:r>
        <w:rPr>
          <w:rFonts w:hint="eastAsia"/>
        </w:rPr>
        <w:t>人（国家统计局），但仍然比邻国高，特别是新加坡（</w:t>
      </w:r>
      <w:r>
        <w:rPr>
          <w:rFonts w:hint="eastAsia"/>
        </w:rPr>
        <w:t>7</w:t>
      </w:r>
      <w:r>
        <w:rPr>
          <w:rFonts w:hint="eastAsia"/>
        </w:rPr>
        <w:t>人）和马来西亚（</w:t>
      </w:r>
      <w:r>
        <w:rPr>
          <w:rFonts w:hint="eastAsia"/>
        </w:rPr>
        <w:t>8</w:t>
      </w:r>
      <w:r>
        <w:rPr>
          <w:rFonts w:hint="eastAsia"/>
        </w:rPr>
        <w:t>人）。婴儿死亡率因社会经济和人口统计因素而异：</w:t>
      </w:r>
      <w:r>
        <w:rPr>
          <w:rFonts w:hint="eastAsia"/>
        </w:rPr>
        <w:t>1985</w:t>
      </w:r>
      <w:r>
        <w:rPr>
          <w:rFonts w:hint="eastAsia"/>
        </w:rPr>
        <w:t>至</w:t>
      </w:r>
      <w:r>
        <w:rPr>
          <w:rFonts w:hint="eastAsia"/>
        </w:rPr>
        <w:t>1995</w:t>
      </w:r>
      <w:r>
        <w:rPr>
          <w:rFonts w:hint="eastAsia"/>
        </w:rPr>
        <w:t>年间，城市地区为</w:t>
      </w:r>
      <w:r>
        <w:rPr>
          <w:rFonts w:hint="eastAsia"/>
        </w:rPr>
        <w:t>30.9</w:t>
      </w:r>
      <w:r>
        <w:rPr>
          <w:rFonts w:hint="eastAsia"/>
        </w:rPr>
        <w:t>，而农村地区为</w:t>
      </w:r>
      <w:r>
        <w:rPr>
          <w:rFonts w:hint="eastAsia"/>
        </w:rPr>
        <w:t>40.9</w:t>
      </w:r>
      <w:r>
        <w:rPr>
          <w:rFonts w:hint="eastAsia"/>
        </w:rPr>
        <w:t>。如果母亲</w:t>
      </w:r>
      <w:r>
        <w:rPr>
          <w:rFonts w:hint="eastAsia"/>
          <w:szCs w:val="21"/>
        </w:rPr>
        <w:t>没受过教育、没有产前及分娩护理、年龄在</w:t>
      </w:r>
      <w:r>
        <w:rPr>
          <w:rFonts w:hint="eastAsia"/>
          <w:szCs w:val="21"/>
        </w:rPr>
        <w:t>20</w:t>
      </w:r>
      <w:r>
        <w:rPr>
          <w:rFonts w:hint="eastAsia"/>
          <w:szCs w:val="21"/>
        </w:rPr>
        <w:t>岁以下和</w:t>
      </w:r>
      <w:r>
        <w:rPr>
          <w:rFonts w:hint="eastAsia"/>
          <w:szCs w:val="21"/>
        </w:rPr>
        <w:t>40</w:t>
      </w:r>
      <w:r>
        <w:rPr>
          <w:rFonts w:hint="eastAsia"/>
          <w:szCs w:val="21"/>
        </w:rPr>
        <w:t>岁以上者，婴儿死亡率则非常高。男婴死亡率也很高（男婴为每</w:t>
      </w:r>
      <w:r>
        <w:rPr>
          <w:rFonts w:hint="eastAsia"/>
          <w:szCs w:val="21"/>
        </w:rPr>
        <w:t>1 00</w:t>
      </w:r>
      <w:r>
        <w:rPr>
          <w:rFonts w:hint="eastAsia"/>
          <w:szCs w:val="21"/>
        </w:rPr>
        <w:t>0</w:t>
      </w:r>
      <w:r>
        <w:rPr>
          <w:rFonts w:hint="eastAsia"/>
          <w:szCs w:val="21"/>
        </w:rPr>
        <w:t>个活产中</w:t>
      </w:r>
      <w:r>
        <w:rPr>
          <w:rFonts w:hint="eastAsia"/>
          <w:szCs w:val="21"/>
        </w:rPr>
        <w:t>39.4</w:t>
      </w:r>
      <w:r>
        <w:rPr>
          <w:rFonts w:hint="eastAsia"/>
          <w:szCs w:val="21"/>
        </w:rPr>
        <w:t>人、女婴为每</w:t>
      </w:r>
      <w:r>
        <w:rPr>
          <w:rFonts w:hint="eastAsia"/>
          <w:szCs w:val="21"/>
        </w:rPr>
        <w:t>1 000</w:t>
      </w:r>
      <w:r>
        <w:rPr>
          <w:rFonts w:hint="eastAsia"/>
          <w:szCs w:val="21"/>
        </w:rPr>
        <w:t>个活产中</w:t>
      </w:r>
      <w:r>
        <w:rPr>
          <w:rFonts w:hint="eastAsia"/>
          <w:szCs w:val="21"/>
        </w:rPr>
        <w:t>32.3</w:t>
      </w:r>
      <w:r>
        <w:rPr>
          <w:rFonts w:hint="eastAsia"/>
          <w:szCs w:val="21"/>
        </w:rPr>
        <w:t>人）（国家统计协调委员会，</w:t>
      </w:r>
      <w:r>
        <w:rPr>
          <w:rFonts w:hint="eastAsia"/>
          <w:szCs w:val="21"/>
        </w:rPr>
        <w:t>2003</w:t>
      </w:r>
      <w:r>
        <w:rPr>
          <w:rFonts w:hint="eastAsia"/>
          <w:szCs w:val="21"/>
        </w:rPr>
        <w:t>年）。造成婴儿死亡的两个最常见病因是胎儿和新生儿的呼吸器官疾病和肺炎。</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产妇死亡率虽然仍然较高，但也呈下降趋势，已从</w:t>
      </w:r>
      <w:r>
        <w:rPr>
          <w:rFonts w:hint="eastAsia"/>
          <w:szCs w:val="21"/>
        </w:rPr>
        <w:t>1990-1992</w:t>
      </w:r>
      <w:r>
        <w:rPr>
          <w:rFonts w:hint="eastAsia"/>
          <w:szCs w:val="21"/>
        </w:rPr>
        <w:t>年的每</w:t>
      </w:r>
      <w:r>
        <w:rPr>
          <w:rFonts w:hint="eastAsia"/>
          <w:szCs w:val="21"/>
        </w:rPr>
        <w:t>10</w:t>
      </w:r>
      <w:r>
        <w:rPr>
          <w:rFonts w:hint="eastAsia"/>
          <w:szCs w:val="21"/>
        </w:rPr>
        <w:t>万活产中</w:t>
      </w:r>
      <w:r>
        <w:rPr>
          <w:rFonts w:hint="eastAsia"/>
          <w:szCs w:val="21"/>
        </w:rPr>
        <w:t>209</w:t>
      </w:r>
      <w:r>
        <w:rPr>
          <w:rFonts w:hint="eastAsia"/>
          <w:szCs w:val="21"/>
        </w:rPr>
        <w:t>人下降到</w:t>
      </w:r>
      <w:r>
        <w:rPr>
          <w:rFonts w:hint="eastAsia"/>
          <w:szCs w:val="21"/>
        </w:rPr>
        <w:t>1995-1997</w:t>
      </w:r>
      <w:r>
        <w:rPr>
          <w:rFonts w:hint="eastAsia"/>
          <w:szCs w:val="21"/>
        </w:rPr>
        <w:t>年的</w:t>
      </w:r>
      <w:r>
        <w:rPr>
          <w:rFonts w:hint="eastAsia"/>
          <w:szCs w:val="21"/>
        </w:rPr>
        <w:t>172</w:t>
      </w:r>
      <w:r>
        <w:rPr>
          <w:rFonts w:hint="eastAsia"/>
          <w:szCs w:val="21"/>
        </w:rPr>
        <w:t>人（国家统计局，</w:t>
      </w:r>
      <w:r>
        <w:rPr>
          <w:rFonts w:hint="eastAsia"/>
          <w:szCs w:val="21"/>
        </w:rPr>
        <w:t>1998</w:t>
      </w:r>
      <w:r>
        <w:rPr>
          <w:rFonts w:hint="eastAsia"/>
          <w:szCs w:val="21"/>
        </w:rPr>
        <w:t>年），又进一步降至</w:t>
      </w:r>
      <w:r>
        <w:rPr>
          <w:rFonts w:hint="eastAsia"/>
          <w:szCs w:val="21"/>
        </w:rPr>
        <w:t>2000</w:t>
      </w:r>
      <w:r>
        <w:rPr>
          <w:rFonts w:hint="eastAsia"/>
        </w:rPr>
        <w:t>年的</w:t>
      </w:r>
      <w:r>
        <w:rPr>
          <w:rFonts w:hint="eastAsia"/>
          <w:szCs w:val="21"/>
        </w:rPr>
        <w:t>每</w:t>
      </w:r>
      <w:r>
        <w:rPr>
          <w:rFonts w:hint="eastAsia"/>
          <w:szCs w:val="21"/>
        </w:rPr>
        <w:t>10</w:t>
      </w:r>
      <w:r>
        <w:rPr>
          <w:rFonts w:hint="eastAsia"/>
          <w:szCs w:val="21"/>
        </w:rPr>
        <w:t>万活产中</w:t>
      </w:r>
      <w:r>
        <w:rPr>
          <w:rFonts w:hint="eastAsia"/>
        </w:rPr>
        <w:t>96.1</w:t>
      </w:r>
      <w:r>
        <w:rPr>
          <w:rFonts w:hint="eastAsia"/>
        </w:rPr>
        <w:t>（国家统计局，</w:t>
      </w:r>
      <w:r>
        <w:rPr>
          <w:rFonts w:hint="eastAsia"/>
        </w:rPr>
        <w:t>2000</w:t>
      </w:r>
      <w:r>
        <w:rPr>
          <w:rFonts w:hint="eastAsia"/>
        </w:rPr>
        <w:t>年）。产妇死亡人数占全国死亡总人数的</w:t>
      </w:r>
      <w:r>
        <w:rPr>
          <w:rFonts w:hint="eastAsia"/>
        </w:rPr>
        <w:t>1%</w:t>
      </w:r>
      <w:r>
        <w:rPr>
          <w:rFonts w:hint="eastAsia"/>
        </w:rPr>
        <w:t>以下，但是却占</w:t>
      </w:r>
      <w:r>
        <w:rPr>
          <w:rFonts w:hint="eastAsia"/>
        </w:rPr>
        <w:t>15-49</w:t>
      </w:r>
      <w:r>
        <w:rPr>
          <w:rFonts w:hint="eastAsia"/>
        </w:rPr>
        <w:t>岁妇女死亡总人数的</w:t>
      </w:r>
      <w:r>
        <w:rPr>
          <w:rFonts w:hint="eastAsia"/>
        </w:rPr>
        <w:t>14%</w:t>
      </w:r>
      <w:r>
        <w:rPr>
          <w:rFonts w:hint="eastAsia"/>
        </w:rPr>
        <w:t>（国家统计局，</w:t>
      </w:r>
      <w:r>
        <w:rPr>
          <w:rFonts w:hint="eastAsia"/>
        </w:rPr>
        <w:t>1998</w:t>
      </w:r>
      <w:r>
        <w:rPr>
          <w:rFonts w:hint="eastAsia"/>
        </w:rPr>
        <w:t>年）。产妇死因主要</w:t>
      </w:r>
      <w:r>
        <w:rPr>
          <w:rFonts w:hint="eastAsia"/>
        </w:rPr>
        <w:t>包括：在</w:t>
      </w:r>
      <w:r>
        <w:rPr>
          <w:rFonts w:hint="eastAsia"/>
          <w:szCs w:val="21"/>
        </w:rPr>
        <w:t>孕期、分娩和产后与怀孕有关的并发症（</w:t>
      </w:r>
      <w:r>
        <w:rPr>
          <w:rFonts w:hint="eastAsia"/>
          <w:szCs w:val="21"/>
        </w:rPr>
        <w:t>40%</w:t>
      </w:r>
      <w:r>
        <w:rPr>
          <w:rFonts w:hint="eastAsia"/>
          <w:szCs w:val="21"/>
        </w:rPr>
        <w:t>）、高血压及并发症（</w:t>
      </w:r>
      <w:r>
        <w:rPr>
          <w:rFonts w:hint="eastAsia"/>
          <w:szCs w:val="21"/>
        </w:rPr>
        <w:t>23%</w:t>
      </w:r>
      <w:r>
        <w:rPr>
          <w:rFonts w:hint="eastAsia"/>
          <w:szCs w:val="21"/>
        </w:rPr>
        <w:t>）、产后大出血（</w:t>
      </w:r>
      <w:r>
        <w:rPr>
          <w:rFonts w:hint="eastAsia"/>
          <w:szCs w:val="21"/>
        </w:rPr>
        <w:t>19%</w:t>
      </w:r>
      <w:r>
        <w:rPr>
          <w:rFonts w:hint="eastAsia"/>
          <w:szCs w:val="21"/>
        </w:rPr>
        <w:t>）、堕胎产生的后果（</w:t>
      </w:r>
      <w:r>
        <w:rPr>
          <w:rFonts w:hint="eastAsia"/>
          <w:szCs w:val="21"/>
        </w:rPr>
        <w:t>13%</w:t>
      </w:r>
      <w:r>
        <w:rPr>
          <w:rFonts w:hint="eastAsia"/>
          <w:szCs w:val="21"/>
        </w:rPr>
        <w:t>）及与怀孕有关的大出血（</w:t>
      </w:r>
      <w:r>
        <w:rPr>
          <w:rFonts w:hint="eastAsia"/>
          <w:szCs w:val="21"/>
        </w:rPr>
        <w:t>8%</w:t>
      </w:r>
      <w:r>
        <w:rPr>
          <w:rFonts w:hint="eastAsia"/>
          <w:szCs w:val="21"/>
        </w:rPr>
        <w:t>）（国家统计局，</w:t>
      </w:r>
      <w:r>
        <w:rPr>
          <w:rFonts w:hint="eastAsia"/>
          <w:szCs w:val="21"/>
        </w:rPr>
        <w:t>1997</w:t>
      </w:r>
      <w:r>
        <w:rPr>
          <w:rFonts w:hint="eastAsia"/>
          <w:szCs w:val="21"/>
        </w:rPr>
        <w:t>年）。得不到产前护理以及孕期和分娩时获得专业保健有限，也可能导致产妇死亡。对大多数生育（</w:t>
      </w:r>
      <w:r>
        <w:rPr>
          <w:rFonts w:hint="eastAsia"/>
          <w:szCs w:val="21"/>
        </w:rPr>
        <w:t>77%</w:t>
      </w:r>
      <w:r>
        <w:rPr>
          <w:rFonts w:hint="eastAsia"/>
          <w:szCs w:val="21"/>
        </w:rPr>
        <w:t>）来说，母亲都接受三次或三次以上的产前检查；有将近一半生育的初次产前检查是在妊娠的头三个月。接受专业卫生工作人员的产前检查的比例很高（</w:t>
      </w:r>
      <w:r>
        <w:rPr>
          <w:rFonts w:hint="eastAsia"/>
          <w:szCs w:val="21"/>
        </w:rPr>
        <w:t>86%</w:t>
      </w:r>
      <w:r>
        <w:rPr>
          <w:rFonts w:hint="eastAsia"/>
          <w:szCs w:val="21"/>
        </w:rPr>
        <w:t>），但是只有</w:t>
      </w:r>
      <w:r>
        <w:rPr>
          <w:rFonts w:hint="eastAsia"/>
          <w:szCs w:val="21"/>
        </w:rPr>
        <w:t>56%</w:t>
      </w:r>
      <w:r>
        <w:rPr>
          <w:rFonts w:hint="eastAsia"/>
          <w:szCs w:val="21"/>
        </w:rPr>
        <w:t>的人在分娩时得到这种卫生工作人员的帮助。</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在妇女中促进避孕做法依然构成挑战。地域、</w:t>
      </w:r>
      <w:r>
        <w:rPr>
          <w:rFonts w:hint="eastAsia"/>
        </w:rPr>
        <w:t>宗教信仰、受教育程度和年龄往往影响采取避孕措施。总的来说，城市妇女、受过小学以上教育的妇女以及</w:t>
      </w:r>
      <w:r>
        <w:rPr>
          <w:rFonts w:hint="eastAsia"/>
        </w:rPr>
        <w:t>25-39</w:t>
      </w:r>
      <w:r>
        <w:rPr>
          <w:rFonts w:hint="eastAsia"/>
        </w:rPr>
        <w:t>岁的妇女的避孕率较高。</w:t>
      </w:r>
      <w:r>
        <w:rPr>
          <w:rFonts w:hint="eastAsia"/>
        </w:rPr>
        <w:t>1996</w:t>
      </w:r>
      <w:r>
        <w:rPr>
          <w:rFonts w:hint="eastAsia"/>
        </w:rPr>
        <w:t>年，不到一半（</w:t>
      </w:r>
      <w:r>
        <w:rPr>
          <w:rFonts w:hint="eastAsia"/>
        </w:rPr>
        <w:t>48.1%</w:t>
      </w:r>
      <w:r>
        <w:rPr>
          <w:rFonts w:hint="eastAsia"/>
        </w:rPr>
        <w:t>）的已婚妇女至少采用一种避孕方法。</w:t>
      </w:r>
      <w:r>
        <w:rPr>
          <w:rFonts w:hint="eastAsia"/>
        </w:rPr>
        <w:t>2001</w:t>
      </w:r>
      <w:r>
        <w:rPr>
          <w:rFonts w:hint="eastAsia"/>
        </w:rPr>
        <w:t>和</w:t>
      </w:r>
      <w:r>
        <w:rPr>
          <w:rFonts w:hint="eastAsia"/>
          <w:szCs w:val="21"/>
        </w:rPr>
        <w:t>2002</w:t>
      </w:r>
      <w:r>
        <w:rPr>
          <w:rFonts w:hint="eastAsia"/>
          <w:szCs w:val="21"/>
        </w:rPr>
        <w:t>年采取避孕措施的妇女略微增多（前者为</w:t>
      </w:r>
      <w:r>
        <w:rPr>
          <w:rFonts w:hint="eastAsia"/>
          <w:szCs w:val="21"/>
        </w:rPr>
        <w:t>49.8%</w:t>
      </w:r>
      <w:r>
        <w:rPr>
          <w:rFonts w:hint="eastAsia"/>
          <w:szCs w:val="21"/>
        </w:rPr>
        <w:t>、后者为</w:t>
      </w:r>
      <w:r>
        <w:rPr>
          <w:rFonts w:hint="eastAsia"/>
          <w:szCs w:val="21"/>
        </w:rPr>
        <w:t>48.8%</w:t>
      </w:r>
      <w:r>
        <w:rPr>
          <w:rFonts w:hint="eastAsia"/>
          <w:szCs w:val="21"/>
        </w:rPr>
        <w:t>）（国家统计局，</w:t>
      </w:r>
      <w:r>
        <w:rPr>
          <w:rFonts w:hint="eastAsia"/>
          <w:szCs w:val="21"/>
        </w:rPr>
        <w:t>2003</w:t>
      </w:r>
      <w:r>
        <w:rPr>
          <w:rFonts w:hint="eastAsia"/>
          <w:szCs w:val="21"/>
        </w:rPr>
        <w:t>年</w:t>
      </w:r>
      <w:r>
        <w:rPr>
          <w:rFonts w:hint="eastAsia"/>
          <w:szCs w:val="21"/>
        </w:rPr>
        <w:t>e</w:t>
      </w:r>
      <w:r>
        <w:rPr>
          <w:rFonts w:hint="eastAsia"/>
          <w:szCs w:val="21"/>
        </w:rPr>
        <w:t>）。尽管天主教会禁止避孕，但采用先进避孕方法的比率还是从</w:t>
      </w:r>
      <w:r>
        <w:rPr>
          <w:rFonts w:hint="eastAsia"/>
          <w:szCs w:val="21"/>
        </w:rPr>
        <w:t>1996</w:t>
      </w:r>
      <w:r>
        <w:rPr>
          <w:rFonts w:hint="eastAsia"/>
          <w:szCs w:val="21"/>
        </w:rPr>
        <w:t>年的</w:t>
      </w:r>
      <w:r>
        <w:rPr>
          <w:rFonts w:hint="eastAsia"/>
          <w:szCs w:val="21"/>
        </w:rPr>
        <w:t>30.2%</w:t>
      </w:r>
      <w:r>
        <w:rPr>
          <w:rFonts w:hint="eastAsia"/>
          <w:szCs w:val="21"/>
        </w:rPr>
        <w:t>上升到</w:t>
      </w:r>
      <w:r>
        <w:rPr>
          <w:rFonts w:hint="eastAsia"/>
          <w:szCs w:val="21"/>
        </w:rPr>
        <w:t>2002</w:t>
      </w:r>
      <w:r>
        <w:rPr>
          <w:rFonts w:hint="eastAsia"/>
          <w:szCs w:val="21"/>
        </w:rPr>
        <w:t>年的</w:t>
      </w:r>
      <w:r>
        <w:rPr>
          <w:rFonts w:hint="eastAsia"/>
          <w:szCs w:val="21"/>
        </w:rPr>
        <w:t>35.1%</w:t>
      </w:r>
      <w:r>
        <w:rPr>
          <w:rFonts w:hint="eastAsia"/>
          <w:szCs w:val="21"/>
        </w:rPr>
        <w:t>。使服用口服避孕药的显著增加，超过了采用传统方法的比率的下降，后者从</w:t>
      </w:r>
      <w:r>
        <w:rPr>
          <w:rFonts w:hint="eastAsia"/>
          <w:szCs w:val="21"/>
        </w:rPr>
        <w:t>18%</w:t>
      </w:r>
      <w:r>
        <w:rPr>
          <w:rFonts w:hint="eastAsia"/>
          <w:szCs w:val="21"/>
        </w:rPr>
        <w:t>降至</w:t>
      </w:r>
      <w:r>
        <w:rPr>
          <w:rFonts w:hint="eastAsia"/>
          <w:szCs w:val="21"/>
        </w:rPr>
        <w:t>14%</w:t>
      </w:r>
      <w:r>
        <w:rPr>
          <w:rFonts w:hint="eastAsia"/>
          <w:szCs w:val="21"/>
        </w:rPr>
        <w:t>。</w:t>
      </w:r>
      <w:r>
        <w:rPr>
          <w:rFonts w:hint="eastAsia"/>
          <w:szCs w:val="21"/>
        </w:rPr>
        <w:t>2002</w:t>
      </w:r>
      <w:r>
        <w:rPr>
          <w:rFonts w:hint="eastAsia"/>
          <w:szCs w:val="21"/>
        </w:rPr>
        <w:t>年，最受欢</w:t>
      </w:r>
      <w:r>
        <w:rPr>
          <w:rFonts w:hint="eastAsia"/>
          <w:szCs w:val="21"/>
        </w:rPr>
        <w:t>迎的避孕方法是：药物（</w:t>
      </w:r>
      <w:r>
        <w:rPr>
          <w:rFonts w:hint="eastAsia"/>
          <w:szCs w:val="21"/>
        </w:rPr>
        <w:t>15%</w:t>
      </w:r>
      <w:r>
        <w:rPr>
          <w:rFonts w:hint="eastAsia"/>
          <w:szCs w:val="21"/>
        </w:rPr>
        <w:t>）、日历或节律和女性绝育（各为</w:t>
      </w:r>
      <w:r>
        <w:rPr>
          <w:rFonts w:hint="eastAsia"/>
          <w:szCs w:val="21"/>
        </w:rPr>
        <w:t>11%</w:t>
      </w:r>
      <w:r>
        <w:rPr>
          <w:rFonts w:hint="eastAsia"/>
          <w:szCs w:val="21"/>
        </w:rPr>
        <w:t>）（国家统计局，</w:t>
      </w:r>
      <w:r>
        <w:rPr>
          <w:rFonts w:hint="eastAsia"/>
          <w:szCs w:val="21"/>
        </w:rPr>
        <w:t>2003</w:t>
      </w:r>
      <w:r>
        <w:rPr>
          <w:rFonts w:hint="eastAsia"/>
          <w:szCs w:val="21"/>
        </w:rPr>
        <w:t>年</w:t>
      </w:r>
      <w:r>
        <w:rPr>
          <w:rFonts w:hint="eastAsia"/>
          <w:szCs w:val="21"/>
        </w:rPr>
        <w:t>f</w:t>
      </w:r>
      <w:r>
        <w:rPr>
          <w:rFonts w:hint="eastAsia"/>
          <w:szCs w:val="21"/>
        </w:rPr>
        <w:t>）。夫妻共用避孕套的占不到</w:t>
      </w:r>
      <w:r>
        <w:rPr>
          <w:rFonts w:hint="eastAsia"/>
          <w:szCs w:val="21"/>
        </w:rPr>
        <w:t>1%</w:t>
      </w:r>
      <w:r>
        <w:rPr>
          <w:rFonts w:hint="eastAsia"/>
          <w:szCs w:val="21"/>
        </w:rPr>
        <w:t>（国家统计局，</w:t>
      </w:r>
      <w:r>
        <w:rPr>
          <w:rFonts w:hint="eastAsia"/>
          <w:szCs w:val="21"/>
        </w:rPr>
        <w:t>2003</w:t>
      </w:r>
      <w:r>
        <w:rPr>
          <w:rFonts w:hint="eastAsia"/>
          <w:szCs w:val="21"/>
        </w:rPr>
        <w:t>年</w:t>
      </w:r>
      <w:r>
        <w:rPr>
          <w:rFonts w:hint="eastAsia"/>
          <w:szCs w:val="21"/>
        </w:rPr>
        <w:t>e</w:t>
      </w:r>
      <w:r>
        <w:rPr>
          <w:rFonts w:hint="eastAsia"/>
          <w:szCs w:val="21"/>
        </w:rPr>
        <w:t>）。调查显示，男子一般反对其配偶的计划生育做法，而且很少有人使用避孕套或承担避孕责任。他们往往想要更多的孩子。而绝大多数已婚妇女（</w:t>
      </w:r>
      <w:r>
        <w:rPr>
          <w:rFonts w:hint="eastAsia"/>
          <w:szCs w:val="21"/>
        </w:rPr>
        <w:t>81%</w:t>
      </w:r>
      <w:r>
        <w:rPr>
          <w:rFonts w:hint="eastAsia"/>
          <w:szCs w:val="21"/>
        </w:rPr>
        <w:t>）则不然，她们要么想要拉开孩子的出生间隔，要么限制生育（国家统计局，</w:t>
      </w:r>
      <w:r>
        <w:rPr>
          <w:rFonts w:hint="eastAsia"/>
          <w:szCs w:val="21"/>
        </w:rPr>
        <w:t>1998</w:t>
      </w:r>
      <w:r>
        <w:rPr>
          <w:rFonts w:hint="eastAsia"/>
          <w:szCs w:val="21"/>
        </w:rPr>
        <w:t>年）。</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艾滋病毒</w:t>
      </w:r>
      <w:r>
        <w:rPr>
          <w:rFonts w:hint="eastAsia"/>
          <w:szCs w:val="21"/>
        </w:rPr>
        <w:t>/</w:t>
      </w:r>
      <w:r>
        <w:rPr>
          <w:rFonts w:hint="eastAsia"/>
          <w:szCs w:val="21"/>
        </w:rPr>
        <w:t>艾滋病感染造成的威胁虽然不像别的国家那么严重，但是已经达到了不可忽略的程度。自</w:t>
      </w:r>
      <w:r>
        <w:rPr>
          <w:rFonts w:hint="eastAsia"/>
          <w:szCs w:val="21"/>
        </w:rPr>
        <w:t>1984</w:t>
      </w:r>
      <w:r>
        <w:rPr>
          <w:rFonts w:hint="eastAsia"/>
          <w:szCs w:val="21"/>
        </w:rPr>
        <w:t>年菲律宾报告首例艾滋病到</w:t>
      </w:r>
      <w:r>
        <w:rPr>
          <w:rFonts w:hint="eastAsia"/>
          <w:szCs w:val="21"/>
        </w:rPr>
        <w:t>2002</w:t>
      </w:r>
      <w:r>
        <w:rPr>
          <w:rFonts w:hint="eastAsia"/>
          <w:szCs w:val="21"/>
        </w:rPr>
        <w:t>年，已向艾滋病</w:t>
      </w:r>
      <w:r>
        <w:rPr>
          <w:rFonts w:hint="eastAsia"/>
          <w:szCs w:val="21"/>
        </w:rPr>
        <w:t>登记局报告了约</w:t>
      </w:r>
      <w:r>
        <w:rPr>
          <w:rFonts w:hint="eastAsia"/>
          <w:szCs w:val="21"/>
        </w:rPr>
        <w:t>1 789</w:t>
      </w:r>
      <w:r>
        <w:rPr>
          <w:rFonts w:hint="eastAsia"/>
          <w:szCs w:val="21"/>
        </w:rPr>
        <w:t>个艾滋病毒病例（国家统计局，</w:t>
      </w:r>
      <w:r>
        <w:rPr>
          <w:rFonts w:hint="eastAsia"/>
          <w:szCs w:val="21"/>
        </w:rPr>
        <w:t>2002</w:t>
      </w:r>
      <w:r>
        <w:rPr>
          <w:rFonts w:hint="eastAsia"/>
          <w:szCs w:val="21"/>
        </w:rPr>
        <w:t>年）。其中，</w:t>
      </w:r>
      <w:r>
        <w:rPr>
          <w:rFonts w:hint="eastAsia"/>
          <w:szCs w:val="21"/>
        </w:rPr>
        <w:t>1 078</w:t>
      </w:r>
      <w:r>
        <w:rPr>
          <w:rFonts w:hint="eastAsia"/>
          <w:szCs w:val="21"/>
        </w:rPr>
        <w:t>例（</w:t>
      </w:r>
      <w:r>
        <w:rPr>
          <w:rFonts w:hint="eastAsia"/>
          <w:szCs w:val="21"/>
        </w:rPr>
        <w:t>66%</w:t>
      </w:r>
      <w:r>
        <w:rPr>
          <w:rFonts w:hint="eastAsia"/>
          <w:szCs w:val="21"/>
        </w:rPr>
        <w:t>）呈艾滋病毒阳性、</w:t>
      </w:r>
      <w:r>
        <w:rPr>
          <w:rFonts w:hint="eastAsia"/>
          <w:szCs w:val="21"/>
        </w:rPr>
        <w:t>545</w:t>
      </w:r>
      <w:r>
        <w:rPr>
          <w:rFonts w:hint="eastAsia"/>
          <w:szCs w:val="21"/>
        </w:rPr>
        <w:t>例（</w:t>
      </w:r>
      <w:r>
        <w:rPr>
          <w:rFonts w:hint="eastAsia"/>
          <w:szCs w:val="21"/>
        </w:rPr>
        <w:t>34%</w:t>
      </w:r>
      <w:r>
        <w:rPr>
          <w:rFonts w:hint="eastAsia"/>
          <w:szCs w:val="21"/>
        </w:rPr>
        <w:t>）</w:t>
      </w:r>
      <w:r>
        <w:rPr>
          <w:rFonts w:hint="eastAsia"/>
        </w:rPr>
        <w:t>已经发展成艾滋病；已有</w:t>
      </w:r>
      <w:r>
        <w:rPr>
          <w:rFonts w:hint="eastAsia"/>
        </w:rPr>
        <w:t>234</w:t>
      </w:r>
      <w:r>
        <w:rPr>
          <w:rFonts w:hint="eastAsia"/>
        </w:rPr>
        <w:t>例（</w:t>
      </w:r>
      <w:r>
        <w:rPr>
          <w:rFonts w:hint="eastAsia"/>
        </w:rPr>
        <w:t>43%</w:t>
      </w:r>
      <w:r>
        <w:rPr>
          <w:rFonts w:hint="eastAsia"/>
        </w:rPr>
        <w:t>）艾滋病患者死去。受这种病毒打击最重的是男子（占艾滋病毒病例的</w:t>
      </w:r>
      <w:r>
        <w:rPr>
          <w:rFonts w:hint="eastAsia"/>
        </w:rPr>
        <w:t>61%</w:t>
      </w:r>
      <w:r>
        <w:rPr>
          <w:rFonts w:hint="eastAsia"/>
        </w:rPr>
        <w:t>）和有经济生产力</w:t>
      </w:r>
      <w:r>
        <w:rPr>
          <w:rFonts w:hint="eastAsia"/>
          <w:spacing w:val="-2"/>
        </w:rPr>
        <w:t>的年龄组。</w:t>
      </w:r>
      <w:r>
        <w:rPr>
          <w:rFonts w:hint="eastAsia"/>
          <w:spacing w:val="-2"/>
        </w:rPr>
        <w:t>30-39</w:t>
      </w:r>
      <w:r>
        <w:rPr>
          <w:rFonts w:hint="eastAsia"/>
          <w:spacing w:val="-2"/>
        </w:rPr>
        <w:t>岁年龄组的男子发病率最高；</w:t>
      </w:r>
      <w:r>
        <w:rPr>
          <w:rFonts w:hint="eastAsia"/>
          <w:spacing w:val="-2"/>
        </w:rPr>
        <w:t>19-29</w:t>
      </w:r>
      <w:r>
        <w:rPr>
          <w:rFonts w:hint="eastAsia"/>
          <w:spacing w:val="-2"/>
        </w:rPr>
        <w:t>岁年龄组的妇女——其中许多人是“卖淫妇女”</w:t>
      </w:r>
      <w:r>
        <w:rPr>
          <w:rFonts w:hint="eastAsia"/>
          <w:vertAlign w:val="superscript"/>
        </w:rPr>
        <w:footnoteReference w:id="21"/>
      </w:r>
      <w:r>
        <w:rPr>
          <w:rFonts w:hint="eastAsia"/>
        </w:rPr>
        <w:t>——的发病率最高。现在正对海员的妻子和海外菲佣进行艾滋病毒</w:t>
      </w:r>
      <w:r>
        <w:rPr>
          <w:rFonts w:hint="eastAsia"/>
        </w:rPr>
        <w:t>/</w:t>
      </w:r>
      <w:r>
        <w:rPr>
          <w:rFonts w:hint="eastAsia"/>
        </w:rPr>
        <w:t>艾滋病检查。</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艾滋病毒案例中有</w:t>
      </w:r>
      <w:r>
        <w:rPr>
          <w:rFonts w:hint="eastAsia"/>
          <w:color w:val="000000"/>
          <w:szCs w:val="21"/>
        </w:rPr>
        <w:t>84%</w:t>
      </w:r>
      <w:r>
        <w:rPr>
          <w:rFonts w:hint="eastAsia"/>
          <w:color w:val="000000"/>
          <w:szCs w:val="21"/>
        </w:rPr>
        <w:t>是通过性接触传播的：异性恋者占</w:t>
      </w:r>
      <w:r>
        <w:rPr>
          <w:rFonts w:hint="eastAsia"/>
          <w:color w:val="000000"/>
          <w:szCs w:val="21"/>
        </w:rPr>
        <w:t>74%</w:t>
      </w:r>
      <w:r>
        <w:rPr>
          <w:rFonts w:hint="eastAsia"/>
          <w:color w:val="000000"/>
          <w:szCs w:val="21"/>
        </w:rPr>
        <w:t>；同性恋者占</w:t>
      </w:r>
      <w:r>
        <w:rPr>
          <w:rFonts w:hint="eastAsia"/>
          <w:color w:val="000000"/>
          <w:szCs w:val="21"/>
        </w:rPr>
        <w:t>20%</w:t>
      </w:r>
      <w:r>
        <w:rPr>
          <w:rFonts w:hint="eastAsia"/>
          <w:color w:val="000000"/>
          <w:szCs w:val="21"/>
        </w:rPr>
        <w:t>；双性恋者</w:t>
      </w:r>
      <w:r>
        <w:rPr>
          <w:rFonts w:hint="eastAsia"/>
          <w:color w:val="000000"/>
          <w:szCs w:val="21"/>
        </w:rPr>
        <w:t>占</w:t>
      </w:r>
      <w:r>
        <w:rPr>
          <w:rFonts w:hint="eastAsia"/>
          <w:color w:val="000000"/>
          <w:szCs w:val="21"/>
        </w:rPr>
        <w:t>6%</w:t>
      </w:r>
      <w:r>
        <w:rPr>
          <w:rFonts w:hint="eastAsia"/>
          <w:color w:val="000000"/>
          <w:szCs w:val="21"/>
        </w:rPr>
        <w:t>。传染率较低的方式是：针头刺伤、血液或血液制品以及注射吸毒（</w:t>
      </w:r>
      <w:r>
        <w:rPr>
          <w:rFonts w:hint="eastAsia"/>
          <w:color w:val="000000"/>
          <w:szCs w:val="21"/>
        </w:rPr>
        <w:t>2%</w:t>
      </w:r>
      <w:r>
        <w:rPr>
          <w:rFonts w:hint="eastAsia"/>
          <w:color w:val="000000"/>
          <w:szCs w:val="21"/>
        </w:rPr>
        <w:t>）；其余的</w:t>
      </w:r>
      <w:r>
        <w:rPr>
          <w:rFonts w:hint="eastAsia"/>
          <w:color w:val="000000"/>
          <w:szCs w:val="21"/>
        </w:rPr>
        <w:t>14%</w:t>
      </w:r>
      <w:r>
        <w:rPr>
          <w:rFonts w:hint="eastAsia"/>
          <w:color w:val="000000"/>
          <w:szCs w:val="21"/>
        </w:rPr>
        <w:t>还没有报告感染方式。</w:t>
      </w:r>
      <w:r>
        <w:rPr>
          <w:rFonts w:hint="eastAsia"/>
          <w:color w:val="000000"/>
          <w:szCs w:val="21"/>
        </w:rPr>
        <w:t>1993</w:t>
      </w:r>
      <w:r>
        <w:rPr>
          <w:rFonts w:hint="eastAsia"/>
          <w:color w:val="000000"/>
          <w:szCs w:val="21"/>
        </w:rPr>
        <w:t>年的年度艾滋病毒感染病例猛增，从</w:t>
      </w:r>
      <w:r>
        <w:rPr>
          <w:rFonts w:hint="eastAsia"/>
          <w:color w:val="000000"/>
          <w:szCs w:val="21"/>
        </w:rPr>
        <w:t>1992</w:t>
      </w:r>
      <w:r>
        <w:rPr>
          <w:rFonts w:hint="eastAsia"/>
          <w:color w:val="000000"/>
          <w:szCs w:val="21"/>
        </w:rPr>
        <w:t>年的</w:t>
      </w:r>
      <w:r>
        <w:rPr>
          <w:rFonts w:hint="eastAsia"/>
          <w:color w:val="000000"/>
          <w:szCs w:val="21"/>
        </w:rPr>
        <w:t>69</w:t>
      </w:r>
      <w:r>
        <w:rPr>
          <w:rFonts w:hint="eastAsia"/>
          <w:color w:val="000000"/>
          <w:szCs w:val="21"/>
        </w:rPr>
        <w:t>例增至</w:t>
      </w:r>
      <w:r>
        <w:rPr>
          <w:rFonts w:hint="eastAsia"/>
          <w:color w:val="000000"/>
          <w:szCs w:val="21"/>
        </w:rPr>
        <w:t>100</w:t>
      </w:r>
      <w:r>
        <w:rPr>
          <w:rFonts w:hint="eastAsia"/>
          <w:color w:val="000000"/>
          <w:szCs w:val="21"/>
        </w:rPr>
        <w:t>例；而</w:t>
      </w:r>
      <w:r>
        <w:rPr>
          <w:rFonts w:hint="eastAsia"/>
          <w:color w:val="000000"/>
          <w:szCs w:val="21"/>
        </w:rPr>
        <w:t>1998</w:t>
      </w:r>
      <w:r>
        <w:rPr>
          <w:rFonts w:hint="eastAsia"/>
          <w:color w:val="000000"/>
          <w:szCs w:val="21"/>
        </w:rPr>
        <w:t>年达到顶峰，为</w:t>
      </w:r>
      <w:r>
        <w:rPr>
          <w:rFonts w:hint="eastAsia"/>
          <w:color w:val="000000"/>
          <w:szCs w:val="21"/>
        </w:rPr>
        <w:t>190</w:t>
      </w:r>
      <w:r>
        <w:rPr>
          <w:rFonts w:hint="eastAsia"/>
          <w:color w:val="000000"/>
          <w:szCs w:val="21"/>
        </w:rPr>
        <w:t>例。在艾滋病方面，年度病例数在</w:t>
      </w:r>
      <w:r>
        <w:rPr>
          <w:rFonts w:hint="eastAsia"/>
          <w:color w:val="000000"/>
          <w:szCs w:val="21"/>
        </w:rPr>
        <w:t>1994</w:t>
      </w:r>
      <w:r>
        <w:rPr>
          <w:rFonts w:hint="eastAsia"/>
          <w:color w:val="000000"/>
          <w:szCs w:val="21"/>
        </w:rPr>
        <w:t>年猛升到</w:t>
      </w:r>
      <w:r>
        <w:rPr>
          <w:rFonts w:hint="eastAsia"/>
          <w:color w:val="000000"/>
          <w:szCs w:val="21"/>
        </w:rPr>
        <w:t>56</w:t>
      </w:r>
      <w:r>
        <w:rPr>
          <w:rFonts w:hint="eastAsia"/>
          <w:color w:val="000000"/>
          <w:szCs w:val="21"/>
        </w:rPr>
        <w:t>例；此后平均每年新增</w:t>
      </w:r>
      <w:r>
        <w:rPr>
          <w:rFonts w:hint="eastAsia"/>
          <w:color w:val="000000"/>
          <w:szCs w:val="21"/>
        </w:rPr>
        <w:t>50</w:t>
      </w:r>
      <w:r>
        <w:rPr>
          <w:rFonts w:hint="eastAsia"/>
          <w:color w:val="000000"/>
          <w:szCs w:val="21"/>
        </w:rPr>
        <w:t>例（国家统计局，</w:t>
      </w:r>
      <w:r>
        <w:rPr>
          <w:rFonts w:hint="eastAsia"/>
          <w:color w:val="000000"/>
          <w:szCs w:val="21"/>
        </w:rPr>
        <w:t>2002</w:t>
      </w:r>
      <w:r>
        <w:rPr>
          <w:rFonts w:hint="eastAsia"/>
          <w:color w:val="000000"/>
          <w:szCs w:val="21"/>
        </w:rPr>
        <w:t>年）。到</w:t>
      </w:r>
      <w:r>
        <w:rPr>
          <w:rFonts w:hint="eastAsia"/>
          <w:color w:val="000000"/>
          <w:szCs w:val="21"/>
        </w:rPr>
        <w:t>2003</w:t>
      </w:r>
      <w:r>
        <w:rPr>
          <w:rFonts w:hint="eastAsia"/>
          <w:color w:val="000000"/>
          <w:szCs w:val="21"/>
        </w:rPr>
        <w:t>年</w:t>
      </w:r>
      <w:r>
        <w:rPr>
          <w:rFonts w:hint="eastAsia"/>
          <w:color w:val="000000"/>
          <w:szCs w:val="21"/>
        </w:rPr>
        <w:t>6</w:t>
      </w:r>
      <w:r>
        <w:rPr>
          <w:rFonts w:hint="eastAsia"/>
          <w:color w:val="000000"/>
          <w:szCs w:val="21"/>
        </w:rPr>
        <w:t>月，共有</w:t>
      </w:r>
      <w:r>
        <w:rPr>
          <w:rFonts w:hint="eastAsia"/>
          <w:color w:val="000000"/>
          <w:szCs w:val="21"/>
        </w:rPr>
        <w:t>12</w:t>
      </w:r>
      <w:r>
        <w:rPr>
          <w:rFonts w:hint="eastAsia"/>
          <w:color w:val="000000"/>
          <w:szCs w:val="21"/>
        </w:rPr>
        <w:t>个艾滋病毒病例，其中四人为妇女。</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鉴于性传播感染对妇女和新生儿造成的毁灭性并发症，它已被视为对公共健康的威胁。</w:t>
      </w:r>
      <w:r>
        <w:rPr>
          <w:rFonts w:hint="eastAsia"/>
          <w:szCs w:val="21"/>
        </w:rPr>
        <w:t>1994</w:t>
      </w:r>
      <w:r>
        <w:rPr>
          <w:rFonts w:hint="eastAsia"/>
          <w:szCs w:val="21"/>
        </w:rPr>
        <w:t>年对卖淫妇女进行的性病调查表明，淋病发病率占</w:t>
      </w:r>
      <w:r>
        <w:rPr>
          <w:rFonts w:hint="eastAsia"/>
          <w:szCs w:val="21"/>
        </w:rPr>
        <w:t>16%</w:t>
      </w:r>
      <w:r>
        <w:rPr>
          <w:rFonts w:hint="eastAsia"/>
          <w:szCs w:val="21"/>
        </w:rPr>
        <w:t>、花</w:t>
      </w:r>
      <w:r>
        <w:rPr>
          <w:rFonts w:hint="eastAsia"/>
          <w:szCs w:val="21"/>
        </w:rPr>
        <w:t>柳病占</w:t>
      </w:r>
      <w:r>
        <w:rPr>
          <w:rFonts w:hint="eastAsia"/>
          <w:szCs w:val="21"/>
        </w:rPr>
        <w:t>20%</w:t>
      </w:r>
      <w:r>
        <w:rPr>
          <w:rFonts w:hint="eastAsia"/>
          <w:szCs w:val="21"/>
        </w:rPr>
        <w:t>、毛滴虫病占</w:t>
      </w:r>
      <w:r>
        <w:rPr>
          <w:rFonts w:hint="eastAsia"/>
          <w:szCs w:val="21"/>
        </w:rPr>
        <w:t>18.6%</w:t>
      </w:r>
      <w:r>
        <w:rPr>
          <w:rFonts w:hint="eastAsia"/>
          <w:szCs w:val="21"/>
        </w:rPr>
        <w:t>、梅毒发病率占</w:t>
      </w:r>
      <w:r>
        <w:rPr>
          <w:rFonts w:hint="eastAsia"/>
          <w:szCs w:val="21"/>
        </w:rPr>
        <w:t>4.6%</w:t>
      </w:r>
      <w:r>
        <w:rPr>
          <w:rFonts w:hint="eastAsia"/>
          <w:szCs w:val="21"/>
        </w:rPr>
        <w:t>。调查还显示，代表一般人口的产前妇女的性病发病率低得多：淋病占</w:t>
      </w:r>
      <w:r>
        <w:rPr>
          <w:rFonts w:hint="eastAsia"/>
          <w:szCs w:val="21"/>
        </w:rPr>
        <w:t>1%</w:t>
      </w:r>
      <w:r>
        <w:rPr>
          <w:rFonts w:hint="eastAsia"/>
          <w:szCs w:val="21"/>
        </w:rPr>
        <w:t>、花柳病占</w:t>
      </w:r>
      <w:r>
        <w:rPr>
          <w:rFonts w:hint="eastAsia"/>
          <w:szCs w:val="21"/>
        </w:rPr>
        <w:t>6%</w:t>
      </w:r>
      <w:r>
        <w:rPr>
          <w:rFonts w:hint="eastAsia"/>
          <w:szCs w:val="21"/>
        </w:rPr>
        <w:t>、毛滴虫病占</w:t>
      </w:r>
      <w:r>
        <w:rPr>
          <w:rFonts w:hint="eastAsia"/>
          <w:szCs w:val="21"/>
        </w:rPr>
        <w:t>1%</w:t>
      </w:r>
      <w:r>
        <w:rPr>
          <w:rFonts w:hint="eastAsia"/>
          <w:szCs w:val="21"/>
        </w:rPr>
        <w:t>、梅毒占</w:t>
      </w:r>
      <w:r>
        <w:rPr>
          <w:rFonts w:hint="eastAsia"/>
          <w:szCs w:val="21"/>
        </w:rPr>
        <w:t>0.5%</w:t>
      </w:r>
      <w:r>
        <w:rPr>
          <w:rFonts w:hint="eastAsia"/>
          <w:szCs w:val="21"/>
        </w:rPr>
        <w:t>（卫生部）。</w:t>
      </w:r>
    </w:p>
    <w:p w:rsidR="00000000" w:rsidRDefault="00821B8F">
      <w:pPr>
        <w:pStyle w:val="H1"/>
        <w:rPr>
          <w:rFonts w:hint="eastAsia"/>
        </w:rPr>
      </w:pPr>
      <w:r>
        <w:t xml:space="preserve">B. </w:t>
      </w:r>
      <w:r>
        <w:rPr>
          <w:rFonts w:hint="eastAsia"/>
        </w:rPr>
        <w:t>采取的行动</w:t>
      </w:r>
    </w:p>
    <w:p w:rsidR="00000000" w:rsidRDefault="00821B8F">
      <w:pPr>
        <w:spacing w:after="120" w:line="360" w:lineRule="exact"/>
        <w:rPr>
          <w:rFonts w:eastAsia="KaiTi_GB2312" w:hint="eastAsia"/>
          <w:b/>
          <w:bCs/>
          <w:color w:val="0000FF"/>
          <w:szCs w:val="21"/>
        </w:rPr>
      </w:pPr>
      <w:r>
        <w:rPr>
          <w:rFonts w:eastAsia="KaiTi_GB2312" w:hint="eastAsia"/>
          <w:b/>
          <w:bCs/>
          <w:color w:val="0000FF"/>
          <w:szCs w:val="21"/>
        </w:rPr>
        <w:t>政策发展态势</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菲律宾政府力求为保健方案提供适当的立法权限和框架，同时发展卫生部门。</w:t>
      </w:r>
    </w:p>
    <w:p w:rsidR="00000000" w:rsidRDefault="00821B8F">
      <w:pPr>
        <w:pStyle w:val="List3"/>
        <w:numPr>
          <w:ilvl w:val="2"/>
          <w:numId w:val="1409"/>
        </w:numPr>
        <w:tabs>
          <w:tab w:val="clear" w:pos="1200"/>
          <w:tab w:val="num" w:pos="1080"/>
        </w:tabs>
        <w:spacing w:after="120" w:line="360" w:lineRule="exact"/>
        <w:ind w:leftChars="0" w:left="1080" w:firstLineChars="0" w:hanging="480"/>
        <w:rPr>
          <w:rFonts w:hint="eastAsia"/>
          <w:color w:val="000000"/>
        </w:rPr>
      </w:pPr>
      <w:r>
        <w:rPr>
          <w:rFonts w:hint="eastAsia"/>
          <w:color w:val="000000"/>
        </w:rPr>
        <w:t>第</w:t>
      </w:r>
      <w:r>
        <w:rPr>
          <w:rFonts w:hint="eastAsia"/>
          <w:color w:val="000000"/>
        </w:rPr>
        <w:t>7875</w:t>
      </w:r>
      <w:r>
        <w:rPr>
          <w:rFonts w:hint="eastAsia"/>
          <w:color w:val="000000"/>
        </w:rPr>
        <w:t>号共和国法令，即《</w:t>
      </w:r>
      <w:r>
        <w:rPr>
          <w:rFonts w:hint="eastAsia"/>
          <w:color w:val="000000"/>
        </w:rPr>
        <w:t>1995</w:t>
      </w:r>
      <w:r>
        <w:rPr>
          <w:rFonts w:hint="eastAsia"/>
          <w:color w:val="000000"/>
        </w:rPr>
        <w:t>年国家健康保险法》，专门把妇女定为应该由医疗福利所涵盖的易受伤害的弱势群体之一，并规定要向其提供医疗福利。家庭是贫穷成员加入保险的基本单位，但现在正努力解决妇女关注的更多事项，并向妇女提供平</w:t>
      </w:r>
      <w:r>
        <w:rPr>
          <w:rFonts w:hint="eastAsia"/>
          <w:color w:val="000000"/>
        </w:rPr>
        <w:t>等的机会以享受医疗福利。现在正修改该法令的执行细则和条例，其中有可能将对妇女施暴造成的伤害和经助产士鉴定在家分娩纳入有资格申请该福利的承保范围。该法律为自营职业者提供了两种医保方案：一种是自费方案，面向所有在职的和不在职的自营职业社保对象和自愿成员、有固定雇佣关系的个人、非正规部门人员以及不符合法定赡养条件的个人或国家健康保险方案的其他方案部分所涵盖的个人。保费为每年</w:t>
      </w:r>
      <w:r>
        <w:rPr>
          <w:rFonts w:hint="eastAsia"/>
          <w:color w:val="000000"/>
        </w:rPr>
        <w:t>1 200</w:t>
      </w:r>
      <w:r>
        <w:rPr>
          <w:rFonts w:hint="eastAsia"/>
          <w:color w:val="000000"/>
        </w:rPr>
        <w:t>菲律宾比索，可以按年交付，亦可每年两次或四次分期付款。另一个方案面向穷人。这是菲律宾健康保险公司与地方政府的合伙方案，旨在为国家健康</w:t>
      </w:r>
      <w:r>
        <w:rPr>
          <w:rFonts w:hint="eastAsia"/>
          <w:color w:val="000000"/>
        </w:rPr>
        <w:t>保险方案所涵盖的穷人中最穷者提供医疗补贴。除了固定的医疗补贴之外，穷人还可以从鉴定合格的农村卫生机构或保健中心获得门诊病人补贴和诊断</w:t>
      </w:r>
      <w:r>
        <w:rPr>
          <w:rFonts w:hint="eastAsia"/>
        </w:rPr>
        <w:t>包干</w:t>
      </w:r>
      <w:r>
        <w:rPr>
          <w:rFonts w:hint="eastAsia"/>
          <w:color w:val="000000"/>
        </w:rPr>
        <w:t>费。到</w:t>
      </w:r>
      <w:r>
        <w:rPr>
          <w:rFonts w:hint="eastAsia"/>
          <w:color w:val="000000"/>
        </w:rPr>
        <w:t>2003</w:t>
      </w:r>
      <w:r>
        <w:rPr>
          <w:rFonts w:hint="eastAsia"/>
          <w:color w:val="000000"/>
        </w:rPr>
        <w:t>年，一项扩大的《医疗保险法》颁布，其中包括自然分娩的产前和分娩包干费。</w:t>
      </w:r>
    </w:p>
    <w:p w:rsidR="00000000" w:rsidRDefault="00821B8F">
      <w:pPr>
        <w:pStyle w:val="List3"/>
        <w:numPr>
          <w:ilvl w:val="2"/>
          <w:numId w:val="1409"/>
        </w:numPr>
        <w:tabs>
          <w:tab w:val="clear" w:pos="1200"/>
          <w:tab w:val="num" w:pos="1080"/>
        </w:tabs>
        <w:spacing w:after="120" w:line="360" w:lineRule="exact"/>
        <w:ind w:leftChars="0" w:left="1080" w:firstLineChars="0" w:hanging="480"/>
        <w:rPr>
          <w:rFonts w:hint="eastAsia"/>
        </w:rPr>
      </w:pPr>
      <w:r>
        <w:rPr>
          <w:rFonts w:hint="eastAsia"/>
        </w:rPr>
        <w:t>根据阿罗约政府在其共同消除贫穷行动方案下所采纳的拉莫斯政府的“社会改革议程”，卫生部颁布了《镇卫生工作人员奖励法执行细则和条例》（第</w:t>
      </w:r>
      <w:r>
        <w:rPr>
          <w:rFonts w:hint="eastAsia"/>
        </w:rPr>
        <w:t>7883</w:t>
      </w:r>
      <w:r>
        <w:rPr>
          <w:rFonts w:hint="eastAsia"/>
        </w:rPr>
        <w:t>号共和国法令）。正如菲律宾依照《妇女公约》提交的第四次报告中所援引的，该法律使乡村卫生工作人员得到了具体的实惠，而他们多为妇女。但是，到本报告期还没有</w:t>
      </w:r>
      <w:r>
        <w:rPr>
          <w:rFonts w:hint="eastAsia"/>
        </w:rPr>
        <w:t>得到关于女受益人数目的数据。</w:t>
      </w:r>
    </w:p>
    <w:p w:rsidR="00000000" w:rsidRDefault="00821B8F">
      <w:pPr>
        <w:pStyle w:val="List3"/>
        <w:numPr>
          <w:ilvl w:val="2"/>
          <w:numId w:val="1409"/>
        </w:numPr>
        <w:tabs>
          <w:tab w:val="clear" w:pos="1200"/>
          <w:tab w:val="num" w:pos="1080"/>
        </w:tabs>
        <w:spacing w:after="120" w:line="360" w:lineRule="exact"/>
        <w:ind w:leftChars="0" w:left="1080" w:firstLineChars="0" w:hanging="480"/>
        <w:rPr>
          <w:rFonts w:hint="eastAsia"/>
          <w:szCs w:val="21"/>
        </w:rPr>
      </w:pPr>
      <w:r>
        <w:rPr>
          <w:rFonts w:hint="eastAsia"/>
        </w:rPr>
        <w:t>第</w:t>
      </w:r>
      <w:r>
        <w:rPr>
          <w:rFonts w:hint="eastAsia"/>
        </w:rPr>
        <w:t>8503</w:t>
      </w:r>
      <w:r>
        <w:rPr>
          <w:rFonts w:hint="eastAsia"/>
        </w:rPr>
        <w:t>号共和国法令，即《</w:t>
      </w:r>
      <w:r>
        <w:rPr>
          <w:rFonts w:hint="eastAsia"/>
        </w:rPr>
        <w:t>1998</w:t>
      </w:r>
      <w:r>
        <w:rPr>
          <w:rFonts w:hint="eastAsia"/>
        </w:rPr>
        <w:t>年保健研究与发展法》旨在促进保健研究与发展工作，并建立国家保健研究所，负责协调菲律宾大学（马尼拉）现有的研究所与其他机构以及日后可能创建的各项保健研究方案。其目标是促进保健领域的科技研究与发展，并确保各种保健研发活动的成果用于提高男女的健康水平。</w:t>
      </w:r>
    </w:p>
    <w:p w:rsidR="00000000" w:rsidRDefault="00821B8F">
      <w:pPr>
        <w:pStyle w:val="List3"/>
        <w:numPr>
          <w:ilvl w:val="2"/>
          <w:numId w:val="1409"/>
        </w:numPr>
        <w:tabs>
          <w:tab w:val="clear" w:pos="1200"/>
          <w:tab w:val="num" w:pos="1080"/>
        </w:tabs>
        <w:spacing w:after="120" w:line="360" w:lineRule="exact"/>
        <w:ind w:leftChars="0" w:left="1080" w:firstLineChars="0" w:hanging="480"/>
        <w:rPr>
          <w:rFonts w:hint="eastAsia"/>
        </w:rPr>
      </w:pPr>
      <w:r>
        <w:rPr>
          <w:rFonts w:hint="eastAsia"/>
        </w:rPr>
        <w:t>第</w:t>
      </w:r>
      <w:r>
        <w:rPr>
          <w:rFonts w:hint="eastAsia"/>
        </w:rPr>
        <w:t>8504</w:t>
      </w:r>
      <w:r>
        <w:rPr>
          <w:rFonts w:hint="eastAsia"/>
        </w:rPr>
        <w:t>号共和国法令，即《</w:t>
      </w:r>
      <w:r>
        <w:rPr>
          <w:rFonts w:hint="eastAsia"/>
        </w:rPr>
        <w:t>1998</w:t>
      </w:r>
      <w:r>
        <w:rPr>
          <w:rFonts w:hint="eastAsia"/>
        </w:rPr>
        <w:t>年菲律宾防治艾滋病法》旨在提高公众对艾滋病毒</w:t>
      </w:r>
      <w:r>
        <w:rPr>
          <w:rFonts w:hint="eastAsia"/>
        </w:rPr>
        <w:t>/</w:t>
      </w:r>
      <w:r>
        <w:rPr>
          <w:rFonts w:hint="eastAsia"/>
        </w:rPr>
        <w:t>艾滋病的认识。它要求在学校和</w:t>
      </w:r>
      <w:r>
        <w:rPr>
          <w:rFonts w:hint="eastAsia"/>
          <w:color w:val="000000"/>
        </w:rPr>
        <w:t>工作</w:t>
      </w:r>
      <w:r>
        <w:rPr>
          <w:rFonts w:hint="eastAsia"/>
        </w:rPr>
        <w:t>场所，并对出国的菲律宾人、社区及旅游者和过境者进行艾滋病毒</w:t>
      </w:r>
      <w:r>
        <w:rPr>
          <w:rFonts w:hint="eastAsia"/>
        </w:rPr>
        <w:t>/</w:t>
      </w:r>
      <w:r>
        <w:rPr>
          <w:rFonts w:hint="eastAsia"/>
        </w:rPr>
        <w:t>艾滋病教育。该法律责成国</w:t>
      </w:r>
      <w:r>
        <w:rPr>
          <w:rFonts w:hint="eastAsia"/>
        </w:rPr>
        <w:t>家探讨并谋求消除这种疾病加重和蔓延的条件，其中包括但不限于：贫穷、男女不平等、卖淫、吸毒和无知。预期该法令将帮助男女，特别是卖淫者了解艾滋病毒</w:t>
      </w:r>
      <w:r>
        <w:rPr>
          <w:rFonts w:hint="eastAsia"/>
        </w:rPr>
        <w:t>/</w:t>
      </w:r>
      <w:r>
        <w:rPr>
          <w:rFonts w:hint="eastAsia"/>
        </w:rPr>
        <w:t>艾滋病的危险，并帮助他们采取自我保护措施以免染病。</w:t>
      </w:r>
    </w:p>
    <w:p w:rsidR="00000000" w:rsidRDefault="00821B8F">
      <w:pPr>
        <w:pStyle w:val="List3"/>
        <w:numPr>
          <w:ilvl w:val="2"/>
          <w:numId w:val="1409"/>
        </w:numPr>
        <w:tabs>
          <w:tab w:val="clear" w:pos="1200"/>
          <w:tab w:val="num" w:pos="1080"/>
        </w:tabs>
        <w:spacing w:after="120" w:line="360" w:lineRule="exact"/>
        <w:ind w:leftChars="0" w:left="1080" w:firstLineChars="0" w:hanging="480"/>
        <w:rPr>
          <w:rFonts w:hint="eastAsia"/>
          <w:szCs w:val="21"/>
        </w:rPr>
      </w:pPr>
      <w:r>
        <w:rPr>
          <w:rFonts w:hint="eastAsia"/>
        </w:rPr>
        <w:t>1995</w:t>
      </w:r>
      <w:r>
        <w:rPr>
          <w:rFonts w:hint="eastAsia"/>
        </w:rPr>
        <w:t>年</w:t>
      </w:r>
      <w:r>
        <w:rPr>
          <w:rFonts w:hint="eastAsia"/>
        </w:rPr>
        <w:t>12</w:t>
      </w:r>
      <w:r>
        <w:rPr>
          <w:rFonts w:hint="eastAsia"/>
        </w:rPr>
        <w:t>月通过了第</w:t>
      </w:r>
      <w:r>
        <w:rPr>
          <w:rFonts w:hint="eastAsia"/>
        </w:rPr>
        <w:t>8172</w:t>
      </w:r>
      <w:r>
        <w:rPr>
          <w:rFonts w:hint="eastAsia"/>
        </w:rPr>
        <w:t>号共和国法令，即《全国食盐碘化法》，以消除人口当中的缺碘症，避免其产生的不良后果，其中包括脑损伤、智力缺陷和智力迟钝；先天性生理缺陷；流产或死产；及甲状腺肿。该法律使易患缺碘症的妇女儿童得到好处。据报告，迄今已有</w:t>
      </w:r>
      <w:r>
        <w:rPr>
          <w:rFonts w:hint="eastAsia"/>
        </w:rPr>
        <w:t xml:space="preserve">10% </w:t>
      </w:r>
      <w:r>
        <w:rPr>
          <w:rFonts w:hint="eastAsia"/>
        </w:rPr>
        <w:t>的菲律宾家庭在使用碘化盐，但是食用碘化盐对妇女和女童的影响还没有</w:t>
      </w:r>
      <w:r>
        <w:rPr>
          <w:rFonts w:hint="eastAsia"/>
        </w:rPr>
        <w:t>确定。</w:t>
      </w:r>
    </w:p>
    <w:p w:rsidR="00000000" w:rsidRDefault="00821B8F">
      <w:pPr>
        <w:pStyle w:val="List3"/>
        <w:numPr>
          <w:ilvl w:val="2"/>
          <w:numId w:val="1409"/>
        </w:numPr>
        <w:tabs>
          <w:tab w:val="clear" w:pos="1200"/>
          <w:tab w:val="num" w:pos="1080"/>
        </w:tabs>
        <w:spacing w:after="120" w:line="360" w:lineRule="exact"/>
        <w:ind w:leftChars="0" w:left="1080" w:firstLineChars="0" w:hanging="480"/>
        <w:rPr>
          <w:rFonts w:hint="eastAsia"/>
        </w:rPr>
      </w:pPr>
      <w:r>
        <w:rPr>
          <w:rFonts w:hint="eastAsia"/>
        </w:rPr>
        <w:t>第</w:t>
      </w:r>
      <w:r>
        <w:rPr>
          <w:rFonts w:hint="eastAsia"/>
        </w:rPr>
        <w:t>8980</w:t>
      </w:r>
      <w:r>
        <w:rPr>
          <w:rFonts w:hint="eastAsia"/>
        </w:rPr>
        <w:t>号共和国法令，即《</w:t>
      </w:r>
      <w:r>
        <w:rPr>
          <w:rFonts w:hint="eastAsia"/>
        </w:rPr>
        <w:t>2000</w:t>
      </w:r>
      <w:r>
        <w:rPr>
          <w:rFonts w:hint="eastAsia"/>
        </w:rPr>
        <w:t>年幼儿保育和发展法》旨在使幼儿保育和发展的综合政策和国家体系制度化，即满足</w:t>
      </w:r>
      <w:r>
        <w:rPr>
          <w:rFonts w:hint="eastAsia"/>
        </w:rPr>
        <w:t>0-6</w:t>
      </w:r>
      <w:r>
        <w:rPr>
          <w:rFonts w:hint="eastAsia"/>
        </w:rPr>
        <w:t>岁幼儿的整体基本需要。随着该法令的颁布和实施，抚养孩子不再仅仅由母亲承担责任。现在，社区、国家和地方政府及其他机构都帮助满足幼儿的基本需要。</w:t>
      </w:r>
    </w:p>
    <w:p w:rsidR="00000000" w:rsidRDefault="00821B8F">
      <w:pPr>
        <w:pStyle w:val="List3"/>
        <w:numPr>
          <w:ilvl w:val="2"/>
          <w:numId w:val="1409"/>
        </w:numPr>
        <w:tabs>
          <w:tab w:val="clear" w:pos="1200"/>
          <w:tab w:val="num" w:pos="1080"/>
        </w:tabs>
        <w:spacing w:after="120" w:line="360" w:lineRule="exact"/>
        <w:ind w:leftChars="0" w:left="1080" w:firstLineChars="0" w:hanging="480"/>
        <w:rPr>
          <w:rFonts w:hint="eastAsia"/>
        </w:rPr>
      </w:pPr>
      <w:r>
        <w:rPr>
          <w:rFonts w:hint="eastAsia"/>
        </w:rPr>
        <w:t>国会的两项议案（</w:t>
      </w:r>
      <w:r>
        <w:rPr>
          <w:rFonts w:hint="eastAsia"/>
        </w:rPr>
        <w:t>HB4110</w:t>
      </w:r>
      <w:r>
        <w:rPr>
          <w:rFonts w:hint="eastAsia"/>
        </w:rPr>
        <w:t>和</w:t>
      </w:r>
      <w:r>
        <w:rPr>
          <w:rFonts w:hint="eastAsia"/>
        </w:rPr>
        <w:t>SB2325</w:t>
      </w:r>
      <w:r>
        <w:rPr>
          <w:rFonts w:hint="eastAsia"/>
        </w:rPr>
        <w:t>号议案或者《</w:t>
      </w:r>
      <w:r>
        <w:rPr>
          <w:rFonts w:hint="eastAsia"/>
        </w:rPr>
        <w:t>2002</w:t>
      </w:r>
      <w:r>
        <w:rPr>
          <w:rFonts w:hint="eastAsia"/>
        </w:rPr>
        <w:t>年生殖保健法》）力求制订一项国家生殖保健综合政策和方案，承认妇女的生育权利、两性平等，并确保人们普遍享有生殖保健、服务、信息和教育。这两个议案还</w:t>
      </w:r>
      <w:r>
        <w:rPr>
          <w:rFonts w:hint="eastAsia"/>
          <w:color w:val="000000"/>
        </w:rPr>
        <w:t>试图</w:t>
      </w:r>
      <w:r>
        <w:rPr>
          <w:rFonts w:hint="eastAsia"/>
        </w:rPr>
        <w:t>努力扩大国家健康保险方案的覆盖面，将</w:t>
      </w:r>
      <w:r>
        <w:rPr>
          <w:rFonts w:hint="eastAsia"/>
        </w:rPr>
        <w:t>其扩展到更多的人口——尤其是穷人，并扩展到全方位的性保健和生殖保健服务和产品。</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健康投资影响到民众、特别是妇女的福祉，因为她们肩负着家庭健康的主要责任。完备的保健基础结构需要有人员、设备、医药及医疗供应品，还需要对公众进行有关保健服务利用的教育。公共健康和卫生事业也需要在垃圾处理、生活污水排放和家家户户的安全水供应系统方面的投资。政府认识到民众健康对国计民生和社会福利的重要意义，因此一贯追求一项适用于各种人口群体——诸如妇女、婴幼儿、老年人、学龄儿童、穷人和农村百姓、以及卫生保健工作者——的综合政策和方案</w:t>
      </w:r>
      <w:r>
        <w:rPr>
          <w:rFonts w:hint="eastAsia"/>
          <w:szCs w:val="21"/>
        </w:rPr>
        <w:t>。关键性的政策举措包括：</w:t>
      </w:r>
    </w:p>
    <w:p w:rsidR="00000000" w:rsidRDefault="00821B8F">
      <w:pPr>
        <w:numPr>
          <w:ilvl w:val="0"/>
          <w:numId w:val="1387"/>
        </w:numPr>
        <w:tabs>
          <w:tab w:val="clear" w:pos="841"/>
          <w:tab w:val="num" w:pos="1080"/>
        </w:tabs>
        <w:spacing w:after="120" w:line="360" w:lineRule="exact"/>
        <w:ind w:left="1080" w:hanging="480"/>
        <w:rPr>
          <w:rFonts w:hint="eastAsia"/>
          <w:szCs w:val="21"/>
        </w:rPr>
      </w:pPr>
      <w:r>
        <w:rPr>
          <w:rFonts w:hint="eastAsia"/>
          <w:szCs w:val="21"/>
        </w:rPr>
        <w:t>卫生部的十年投资计划（</w:t>
      </w:r>
      <w:r>
        <w:rPr>
          <w:rFonts w:hint="eastAsia"/>
          <w:szCs w:val="21"/>
        </w:rPr>
        <w:t>1996-2005</w:t>
      </w:r>
      <w:r>
        <w:rPr>
          <w:rFonts w:hint="eastAsia"/>
          <w:szCs w:val="21"/>
        </w:rPr>
        <w:t>年）规定了卫生部门的总体目标和战略，力求确保国家卫生方案的可持续性、支持下放进程、实现部门开支合理化、提高卫生体制的管理和规划能力。该计划一揽子</w:t>
      </w:r>
      <w:r>
        <w:rPr>
          <w:rFonts w:hint="eastAsia"/>
          <w:color w:val="000000"/>
          <w:szCs w:val="21"/>
        </w:rPr>
        <w:t>投资</w:t>
      </w:r>
      <w:r>
        <w:rPr>
          <w:rFonts w:hint="eastAsia"/>
          <w:szCs w:val="21"/>
        </w:rPr>
        <w:t>中约有</w:t>
      </w:r>
      <w:r>
        <w:rPr>
          <w:rFonts w:hint="eastAsia"/>
          <w:szCs w:val="21"/>
        </w:rPr>
        <w:t xml:space="preserve">30% </w:t>
      </w:r>
      <w:r>
        <w:rPr>
          <w:rFonts w:hint="eastAsia"/>
          <w:szCs w:val="21"/>
        </w:rPr>
        <w:t>专用于提高妇女健康水平，其中有些项目仍在执行之中。目前，更新和改进该计划的卫生部门改革议程是卫生部门的投资依据。该议程旨在扩大国家和地方公共卫生方案的覆盖面，特别是增加穷人享受保健服务的机会，减少单个家庭的财务负担。</w:t>
      </w:r>
    </w:p>
    <w:p w:rsidR="00000000" w:rsidRDefault="00821B8F">
      <w:pPr>
        <w:numPr>
          <w:ilvl w:val="0"/>
          <w:numId w:val="1387"/>
        </w:numPr>
        <w:tabs>
          <w:tab w:val="clear" w:pos="841"/>
          <w:tab w:val="num" w:pos="1080"/>
        </w:tabs>
        <w:spacing w:after="120" w:line="360" w:lineRule="exact"/>
        <w:ind w:left="1080" w:hanging="480"/>
        <w:rPr>
          <w:rFonts w:hint="eastAsia"/>
          <w:color w:val="000000"/>
          <w:szCs w:val="21"/>
        </w:rPr>
      </w:pPr>
      <w:r>
        <w:rPr>
          <w:rFonts w:hint="eastAsia"/>
          <w:color w:val="000000"/>
          <w:szCs w:val="21"/>
        </w:rPr>
        <w:t>《菲律宾营养行动中期计划》（</w:t>
      </w:r>
      <w:r>
        <w:rPr>
          <w:rFonts w:hint="eastAsia"/>
          <w:color w:val="000000"/>
          <w:szCs w:val="21"/>
        </w:rPr>
        <w:t>1999-2004</w:t>
      </w:r>
      <w:r>
        <w:rPr>
          <w:rFonts w:hint="eastAsia"/>
          <w:color w:val="000000"/>
          <w:szCs w:val="21"/>
        </w:rPr>
        <w:t>年）旨在提高正常体重</w:t>
      </w:r>
      <w:r>
        <w:rPr>
          <w:rFonts w:hint="eastAsia"/>
          <w:color w:val="000000"/>
          <w:szCs w:val="21"/>
        </w:rPr>
        <w:t>儿童的比率，减少儿童中的蛋白质营养不良症、成人中的慢性能量缺乏症及儿童和成年人中的微量元素缺乏症及身体超重的发生率。</w:t>
      </w:r>
    </w:p>
    <w:p w:rsidR="00000000" w:rsidRDefault="00821B8F">
      <w:pPr>
        <w:numPr>
          <w:ilvl w:val="0"/>
          <w:numId w:val="1387"/>
        </w:numPr>
        <w:tabs>
          <w:tab w:val="clear" w:pos="841"/>
          <w:tab w:val="num" w:pos="1080"/>
        </w:tabs>
        <w:spacing w:after="120" w:line="360" w:lineRule="exact"/>
        <w:ind w:left="1080" w:hanging="480"/>
        <w:rPr>
          <w:rFonts w:hint="eastAsia"/>
          <w:szCs w:val="21"/>
        </w:rPr>
      </w:pPr>
      <w:r>
        <w:rPr>
          <w:rFonts w:hint="eastAsia"/>
          <w:szCs w:val="21"/>
        </w:rPr>
        <w:t>2000</w:t>
      </w:r>
      <w:r>
        <w:rPr>
          <w:rFonts w:hint="eastAsia"/>
          <w:szCs w:val="21"/>
        </w:rPr>
        <w:t>年卫生部改组，把外方资助的保健方案和项目管理统一交由国际卫生合作局管理，其中包括为期五年的、有地方政府机构参与的妇女保健和安全孕产方案，并为满足当地社区的具体保健需要制订家庭保健一揽子计划。</w:t>
      </w:r>
    </w:p>
    <w:p w:rsidR="00000000" w:rsidRDefault="00821B8F">
      <w:pPr>
        <w:numPr>
          <w:ilvl w:val="0"/>
          <w:numId w:val="1409"/>
        </w:numPr>
        <w:tabs>
          <w:tab w:val="num" w:pos="1499"/>
        </w:tabs>
        <w:spacing w:after="120" w:line="360" w:lineRule="exact"/>
        <w:ind w:left="540" w:hanging="540"/>
        <w:rPr>
          <w:rFonts w:hint="eastAsia"/>
          <w:szCs w:val="21"/>
        </w:rPr>
      </w:pPr>
      <w:r>
        <w:t xml:space="preserve"> </w:t>
      </w:r>
      <w:r>
        <w:rPr>
          <w:rFonts w:hint="eastAsia"/>
        </w:rPr>
        <w:t>在菲律宾第四次报告中，联合国消除对妇女歧视委员会对保健服务下放管理权限导致避孕政策出现适用上的不一致表示关注，并建议颁布适当的立法以确保各个地区的妇女都能享受计划生育服务。对此，菲律宾政府做出</w:t>
      </w:r>
      <w:r>
        <w:rPr>
          <w:rFonts w:hint="eastAsia"/>
        </w:rPr>
        <w:t>的回应是通过一项政策，该政策考虑到在人口和生殖保健的做法上尊重菲律宾人的文化和价值观以及男女平等。在这方面，卫生部通过</w:t>
      </w:r>
      <w:r>
        <w:rPr>
          <w:rFonts w:hint="eastAsia"/>
        </w:rPr>
        <w:t>2001</w:t>
      </w:r>
      <w:r>
        <w:rPr>
          <w:rFonts w:hint="eastAsia"/>
        </w:rPr>
        <w:t>年第</w:t>
      </w:r>
      <w:r>
        <w:rPr>
          <w:rFonts w:hint="eastAsia"/>
        </w:rPr>
        <w:t>50-A</w:t>
      </w:r>
      <w:r>
        <w:rPr>
          <w:rFonts w:hint="eastAsia"/>
        </w:rPr>
        <w:t>号行政命令，将其计划生育方案的重心从人口驱动方案转移到促进计划生育成为促进健康、特别是妇女和儿童健康的一项保健干预措施上。与此同时，尚未见在关于人口官员长期任命的《地方政府法典》修正方面有何进展。</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rPr>
        <w:t xml:space="preserve"> </w:t>
      </w:r>
      <w:r>
        <w:rPr>
          <w:rFonts w:hint="eastAsia"/>
          <w:color w:val="000000"/>
        </w:rPr>
        <w:t>政府通过了一项对性别问题有敏感认识的人口方案框架，旨在从生殖保健观点改进人口规划和政策制定。人口委员会的《菲律宾人口管理计划》的主要章节都包括了两性平等和赋予妇女权力。政府努</w:t>
      </w:r>
      <w:r>
        <w:rPr>
          <w:rFonts w:hint="eastAsia"/>
          <w:color w:val="000000"/>
        </w:rPr>
        <w:t>力审查和修改现行方案框架，以便在概念和运作上将妇女健康、两性问题和其他关注事项的相关方面纳入，这种努力包括成立计划生育</w:t>
      </w:r>
      <w:r>
        <w:rPr>
          <w:rFonts w:hint="eastAsia"/>
          <w:color w:val="000000"/>
        </w:rPr>
        <w:t>/</w:t>
      </w:r>
      <w:r>
        <w:rPr>
          <w:rFonts w:hint="eastAsia"/>
          <w:color w:val="000000"/>
        </w:rPr>
        <w:t>生殖保健工作队、制订生殖保健指标、由菲律宾国民警察部队在各个警察站设立妇女服务台，以专门处理对妇女的暴力案件。</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卫生部通过</w:t>
      </w:r>
      <w:r>
        <w:rPr>
          <w:rFonts w:hint="eastAsia"/>
          <w:szCs w:val="21"/>
        </w:rPr>
        <w:t>1998</w:t>
      </w:r>
      <w:r>
        <w:rPr>
          <w:rFonts w:hint="eastAsia"/>
          <w:szCs w:val="21"/>
        </w:rPr>
        <w:t>年</w:t>
      </w:r>
      <w:r>
        <w:rPr>
          <w:rFonts w:hint="eastAsia"/>
          <w:szCs w:val="21"/>
        </w:rPr>
        <w:t>1</w:t>
      </w:r>
      <w:r>
        <w:rPr>
          <w:rFonts w:hint="eastAsia"/>
          <w:szCs w:val="21"/>
        </w:rPr>
        <w:t>月第</w:t>
      </w:r>
      <w:r>
        <w:rPr>
          <w:rFonts w:hint="eastAsia"/>
          <w:szCs w:val="21"/>
        </w:rPr>
        <w:t>1-A</w:t>
      </w:r>
      <w:r>
        <w:rPr>
          <w:rFonts w:hint="eastAsia"/>
          <w:szCs w:val="21"/>
        </w:rPr>
        <w:t>号行政命令界定了生殖保健框架，其中包含了“生殖保健一揽子计划”的十个要素，即：（</w:t>
      </w:r>
      <w:r>
        <w:rPr>
          <w:rFonts w:hint="eastAsia"/>
          <w:szCs w:val="21"/>
        </w:rPr>
        <w:t>1</w:t>
      </w:r>
      <w:r>
        <w:rPr>
          <w:rFonts w:hint="eastAsia"/>
          <w:szCs w:val="21"/>
        </w:rPr>
        <w:t>）计划生育；（</w:t>
      </w:r>
      <w:r>
        <w:rPr>
          <w:rFonts w:hint="eastAsia"/>
          <w:szCs w:val="21"/>
        </w:rPr>
        <w:t>2</w:t>
      </w:r>
      <w:r>
        <w:rPr>
          <w:rFonts w:hint="eastAsia"/>
          <w:szCs w:val="21"/>
        </w:rPr>
        <w:t>）母婴保健框架和营养；（</w:t>
      </w:r>
      <w:r>
        <w:rPr>
          <w:rFonts w:hint="eastAsia"/>
          <w:szCs w:val="21"/>
        </w:rPr>
        <w:t>3</w:t>
      </w:r>
      <w:r>
        <w:rPr>
          <w:rFonts w:hint="eastAsia"/>
          <w:szCs w:val="21"/>
        </w:rPr>
        <w:t>）堕胎并发症的预防和治疗；（</w:t>
      </w:r>
      <w:r>
        <w:rPr>
          <w:rFonts w:hint="eastAsia"/>
          <w:szCs w:val="21"/>
        </w:rPr>
        <w:t>4</w:t>
      </w:r>
      <w:r>
        <w:rPr>
          <w:rFonts w:hint="eastAsia"/>
          <w:szCs w:val="21"/>
        </w:rPr>
        <w:t>）生殖道感染的预防和治疗、性病和艾滋病毒</w:t>
      </w:r>
      <w:r>
        <w:rPr>
          <w:rFonts w:hint="eastAsia"/>
          <w:szCs w:val="21"/>
        </w:rPr>
        <w:t>/</w:t>
      </w:r>
      <w:r>
        <w:rPr>
          <w:rFonts w:hint="eastAsia"/>
          <w:szCs w:val="21"/>
        </w:rPr>
        <w:t>艾滋病；（</w:t>
      </w:r>
      <w:r>
        <w:rPr>
          <w:rFonts w:hint="eastAsia"/>
          <w:szCs w:val="21"/>
        </w:rPr>
        <w:t>5</w:t>
      </w:r>
      <w:r>
        <w:rPr>
          <w:rFonts w:hint="eastAsia"/>
          <w:szCs w:val="21"/>
        </w:rPr>
        <w:t>）乳腺癌和生殖道癌及其他阴道病症；（</w:t>
      </w:r>
      <w:r>
        <w:rPr>
          <w:rFonts w:hint="eastAsia"/>
          <w:szCs w:val="21"/>
        </w:rPr>
        <w:t>6</w:t>
      </w:r>
      <w:r>
        <w:rPr>
          <w:rFonts w:hint="eastAsia"/>
          <w:szCs w:val="21"/>
        </w:rPr>
        <w:t>）青春期生殖保健；（</w:t>
      </w:r>
      <w:r>
        <w:rPr>
          <w:rFonts w:hint="eastAsia"/>
          <w:szCs w:val="21"/>
        </w:rPr>
        <w:t>7</w:t>
      </w:r>
      <w:r>
        <w:rPr>
          <w:rFonts w:hint="eastAsia"/>
          <w:szCs w:val="21"/>
        </w:rPr>
        <w:t>）性行为和性健康的教育和咨询；（</w:t>
      </w:r>
      <w:r>
        <w:rPr>
          <w:rFonts w:hint="eastAsia"/>
          <w:szCs w:val="21"/>
        </w:rPr>
        <w:t>8</w:t>
      </w:r>
      <w:r>
        <w:rPr>
          <w:rFonts w:hint="eastAsia"/>
          <w:szCs w:val="21"/>
        </w:rPr>
        <w:t>）男子生殖保健；（</w:t>
      </w:r>
      <w:r>
        <w:rPr>
          <w:rFonts w:hint="eastAsia"/>
          <w:szCs w:val="21"/>
        </w:rPr>
        <w:t>9</w:t>
      </w:r>
      <w:r>
        <w:rPr>
          <w:rFonts w:hint="eastAsia"/>
          <w:szCs w:val="21"/>
        </w:rPr>
        <w:t>）对妇女的暴力；及（</w:t>
      </w:r>
      <w:r>
        <w:rPr>
          <w:rFonts w:hint="eastAsia"/>
          <w:szCs w:val="21"/>
        </w:rPr>
        <w:t>10</w:t>
      </w:r>
      <w:r>
        <w:rPr>
          <w:rFonts w:hint="eastAsia"/>
          <w:szCs w:val="21"/>
        </w:rPr>
        <w:t>）不孕症和性功能障碍的预防与治疗。</w:t>
      </w:r>
    </w:p>
    <w:p w:rsidR="00000000" w:rsidRDefault="00821B8F">
      <w:pPr>
        <w:spacing w:after="120" w:line="360" w:lineRule="exact"/>
        <w:rPr>
          <w:rFonts w:eastAsia="SimHei" w:hint="eastAsia"/>
          <w:color w:val="FF0000"/>
          <w:szCs w:val="21"/>
        </w:rPr>
      </w:pPr>
      <w:r>
        <w:rPr>
          <w:rFonts w:eastAsia="SimHei" w:hint="eastAsia"/>
          <w:color w:val="FF0000"/>
          <w:szCs w:val="21"/>
        </w:rPr>
        <w:t>针对妇女保健关注的方案</w:t>
      </w:r>
    </w:p>
    <w:p w:rsidR="00000000" w:rsidRDefault="00821B8F">
      <w:pPr>
        <w:numPr>
          <w:ilvl w:val="0"/>
          <w:numId w:val="1409"/>
        </w:numPr>
        <w:tabs>
          <w:tab w:val="num" w:pos="1499"/>
        </w:tabs>
        <w:spacing w:after="120" w:line="360" w:lineRule="exact"/>
        <w:ind w:left="540" w:hanging="540"/>
        <w:rPr>
          <w:rFonts w:hint="eastAsia"/>
          <w:szCs w:val="21"/>
        </w:rPr>
      </w:pPr>
      <w:r>
        <w:rPr>
          <w:rFonts w:hint="eastAsia"/>
          <w:szCs w:val="21"/>
        </w:rPr>
        <w:t>卫生部制订了几个提供服务和其他一揽子措施的主要方案，这些方案覆盖面普遍，所有政府卫生设施均免费提供。这些方案是：</w:t>
      </w:r>
    </w:p>
    <w:p w:rsidR="00000000" w:rsidRDefault="00821B8F">
      <w:pPr>
        <w:numPr>
          <w:ilvl w:val="0"/>
          <w:numId w:val="1388"/>
        </w:numPr>
        <w:tabs>
          <w:tab w:val="clear" w:pos="840"/>
          <w:tab w:val="num" w:pos="1080"/>
        </w:tabs>
        <w:spacing w:after="120" w:line="360" w:lineRule="exact"/>
        <w:ind w:left="1080" w:hanging="480"/>
        <w:rPr>
          <w:rFonts w:hint="eastAsia"/>
          <w:szCs w:val="21"/>
        </w:rPr>
      </w:pPr>
      <w:r>
        <w:rPr>
          <w:rFonts w:eastAsia="KaiTi_GB2312" w:hint="eastAsia"/>
          <w:color w:val="0000FF"/>
          <w:szCs w:val="21"/>
        </w:rPr>
        <w:t>妇女保健与发展方案。</w:t>
      </w:r>
      <w:r>
        <w:rPr>
          <w:rFonts w:hint="eastAsia"/>
          <w:spacing w:val="-2"/>
          <w:szCs w:val="21"/>
        </w:rPr>
        <w:t>其目的是：为性别与妇女保健问题方面的政策和行动提供可靠的技术依据；促进将性别观点融入保健政策、服务和方案中；就新出现的性别问题开发数据库并试用预防性干预措施；促进妇女参与制定、实施和评估保健方案及政策；及从性别与发展角</w:t>
      </w:r>
      <w:r>
        <w:rPr>
          <w:rFonts w:hint="eastAsia"/>
          <w:spacing w:val="-2"/>
          <w:szCs w:val="21"/>
        </w:rPr>
        <w:t>度宣传和传播妇女健康状况的信息。</w:t>
      </w:r>
    </w:p>
    <w:p w:rsidR="00000000" w:rsidRDefault="00821B8F">
      <w:pPr>
        <w:numPr>
          <w:ilvl w:val="0"/>
          <w:numId w:val="1388"/>
        </w:numPr>
        <w:tabs>
          <w:tab w:val="clear" w:pos="840"/>
          <w:tab w:val="num" w:pos="1080"/>
        </w:tabs>
        <w:spacing w:after="120" w:line="360" w:lineRule="exact"/>
        <w:ind w:left="1080" w:hanging="480"/>
        <w:rPr>
          <w:rFonts w:hint="eastAsia"/>
          <w:szCs w:val="21"/>
        </w:rPr>
      </w:pPr>
      <w:r>
        <w:rPr>
          <w:rFonts w:eastAsia="KaiTi_GB2312" w:hint="eastAsia"/>
          <w:color w:val="0000FF"/>
          <w:szCs w:val="21"/>
        </w:rPr>
        <w:t>生殖保健方案。</w:t>
      </w:r>
      <w:r>
        <w:rPr>
          <w:rFonts w:hint="eastAsia"/>
          <w:szCs w:val="21"/>
        </w:rPr>
        <w:t>采用生殖保健方法，</w:t>
      </w:r>
      <w:r>
        <w:rPr>
          <w:rFonts w:hint="eastAsia"/>
          <w:spacing w:val="-2"/>
          <w:szCs w:val="21"/>
        </w:rPr>
        <w:t>提供一系列避免措施（自然计划生育的现代方法、药物、避孕套、注射、绝育）。它还促进改善婴儿营养，并敦促保护方便母亲和婴儿医院说服母亲在婴儿零到两岁之内用母乳喂养。</w:t>
      </w:r>
    </w:p>
    <w:p w:rsidR="00000000" w:rsidRDefault="00821B8F">
      <w:pPr>
        <w:numPr>
          <w:ilvl w:val="0"/>
          <w:numId w:val="1388"/>
        </w:numPr>
        <w:tabs>
          <w:tab w:val="clear" w:pos="840"/>
          <w:tab w:val="num" w:pos="1080"/>
        </w:tabs>
        <w:spacing w:after="120" w:line="360" w:lineRule="exact"/>
        <w:ind w:left="1080" w:hanging="480"/>
        <w:rPr>
          <w:rFonts w:hint="eastAsia"/>
          <w:szCs w:val="21"/>
        </w:rPr>
      </w:pPr>
      <w:r>
        <w:rPr>
          <w:rFonts w:eastAsia="KaiTi_GB2312" w:hint="eastAsia"/>
          <w:color w:val="0000FF"/>
          <w:szCs w:val="21"/>
        </w:rPr>
        <w:t>安全孕产方案。</w:t>
      </w:r>
      <w:r>
        <w:rPr>
          <w:rFonts w:hint="eastAsia"/>
          <w:szCs w:val="21"/>
        </w:rPr>
        <w:t>制定并正在执行一套安全孕产综合方案，其中包括优质的产前、分娩和产后服务、补充微量元素、及破伤风类毒素疫苗接种。产后服务</w:t>
      </w:r>
      <w:r>
        <w:rPr>
          <w:rFonts w:hint="eastAsia"/>
          <w:spacing w:val="-2"/>
          <w:szCs w:val="21"/>
        </w:rPr>
        <w:t>包括</w:t>
      </w:r>
      <w:r>
        <w:rPr>
          <w:rFonts w:hint="eastAsia"/>
          <w:szCs w:val="21"/>
        </w:rPr>
        <w:t>对性别问题有敏感认识的生育常识咨询、做负责任的父母、包括自然计划生育在内的避孕、营养、母乳喂养、个人卫生和儿童保育。</w:t>
      </w:r>
    </w:p>
    <w:p w:rsidR="00000000" w:rsidRDefault="00821B8F">
      <w:pPr>
        <w:numPr>
          <w:ilvl w:val="0"/>
          <w:numId w:val="1388"/>
        </w:numPr>
        <w:tabs>
          <w:tab w:val="clear" w:pos="840"/>
          <w:tab w:val="num" w:pos="1080"/>
        </w:tabs>
        <w:spacing w:after="120" w:line="360" w:lineRule="exact"/>
        <w:ind w:left="1080" w:hanging="480"/>
        <w:rPr>
          <w:rFonts w:hint="eastAsia"/>
          <w:szCs w:val="21"/>
        </w:rPr>
      </w:pPr>
      <w:r>
        <w:rPr>
          <w:rFonts w:eastAsia="KaiTi_GB2312" w:hint="eastAsia"/>
          <w:color w:val="0000FF"/>
          <w:szCs w:val="21"/>
        </w:rPr>
        <w:t>预防乳房癌和宫颈癌运动。</w:t>
      </w:r>
      <w:r>
        <w:rPr>
          <w:rFonts w:hint="eastAsia"/>
          <w:spacing w:val="-2"/>
          <w:szCs w:val="21"/>
        </w:rPr>
        <w:t>在上面</w:t>
      </w:r>
      <w:r>
        <w:rPr>
          <w:rFonts w:hint="eastAsia"/>
          <w:spacing w:val="-2"/>
          <w:szCs w:val="21"/>
        </w:rPr>
        <w:t>（</w:t>
      </w:r>
      <w:r>
        <w:rPr>
          <w:rFonts w:hint="eastAsia"/>
          <w:spacing w:val="-2"/>
          <w:szCs w:val="21"/>
        </w:rPr>
        <w:t>a</w:t>
      </w:r>
      <w:r>
        <w:rPr>
          <w:rFonts w:hint="eastAsia"/>
          <w:spacing w:val="-2"/>
          <w:szCs w:val="21"/>
        </w:rPr>
        <w:t>）项和（</w:t>
      </w:r>
      <w:r>
        <w:rPr>
          <w:rFonts w:hint="eastAsia"/>
          <w:spacing w:val="-2"/>
          <w:szCs w:val="21"/>
        </w:rPr>
        <w:t>c</w:t>
      </w:r>
      <w:r>
        <w:rPr>
          <w:rFonts w:hint="eastAsia"/>
          <w:spacing w:val="-2"/>
          <w:szCs w:val="21"/>
        </w:rPr>
        <w:t>）项中的妇女保健方案支持下，国家癌症防治方案发动了一场轰轰烈烈的预防乳房癌和宫颈癌的宣传倡导运动。它还对各公共医院提供培训和后勤支助，以便使它们能够向育龄妇女提供优质服务。它促请</w:t>
      </w:r>
      <w:r>
        <w:rPr>
          <w:rFonts w:hint="eastAsia"/>
          <w:spacing w:val="-2"/>
          <w:szCs w:val="21"/>
        </w:rPr>
        <w:t>30</w:t>
      </w:r>
      <w:r>
        <w:rPr>
          <w:rFonts w:hint="eastAsia"/>
          <w:spacing w:val="-2"/>
          <w:szCs w:val="21"/>
        </w:rPr>
        <w:t>岁以上的妇女定期自查乳房，</w:t>
      </w:r>
      <w:r>
        <w:rPr>
          <w:rFonts w:hint="eastAsia"/>
          <w:spacing w:val="-2"/>
          <w:szCs w:val="21"/>
        </w:rPr>
        <w:t>34</w:t>
      </w:r>
      <w:r>
        <w:rPr>
          <w:rFonts w:hint="eastAsia"/>
          <w:spacing w:val="-2"/>
          <w:szCs w:val="21"/>
        </w:rPr>
        <w:t>岁以上的妇女要每年进行一次帕氏涂片检验。</w:t>
      </w:r>
    </w:p>
    <w:p w:rsidR="00000000" w:rsidRDefault="00821B8F">
      <w:pPr>
        <w:numPr>
          <w:ilvl w:val="0"/>
          <w:numId w:val="1388"/>
        </w:numPr>
        <w:tabs>
          <w:tab w:val="clear" w:pos="840"/>
          <w:tab w:val="num" w:pos="1080"/>
        </w:tabs>
        <w:spacing w:after="120" w:line="360" w:lineRule="exact"/>
        <w:ind w:left="1080" w:hanging="480"/>
        <w:rPr>
          <w:rFonts w:hint="eastAsia"/>
          <w:szCs w:val="21"/>
        </w:rPr>
      </w:pPr>
      <w:r>
        <w:rPr>
          <w:rFonts w:eastAsia="KaiTi_GB2312" w:hint="eastAsia"/>
          <w:color w:val="0000FF"/>
          <w:szCs w:val="21"/>
        </w:rPr>
        <w:t>国家艾滋病毒</w:t>
      </w:r>
      <w:r>
        <w:rPr>
          <w:rFonts w:eastAsia="KaiTi_GB2312" w:hint="eastAsia"/>
          <w:color w:val="0000FF"/>
          <w:szCs w:val="21"/>
        </w:rPr>
        <w:t>/</w:t>
      </w:r>
      <w:r>
        <w:rPr>
          <w:rFonts w:eastAsia="KaiTi_GB2312" w:hint="eastAsia"/>
          <w:color w:val="0000FF"/>
          <w:szCs w:val="21"/>
        </w:rPr>
        <w:t>艾滋病防治方案。</w:t>
      </w:r>
      <w:r>
        <w:rPr>
          <w:rFonts w:hint="eastAsia"/>
          <w:szCs w:val="21"/>
        </w:rPr>
        <w:t>该方案</w:t>
      </w:r>
      <w:r>
        <w:rPr>
          <w:rFonts w:hint="eastAsia"/>
          <w:spacing w:val="-2"/>
          <w:szCs w:val="21"/>
        </w:rPr>
        <w:t>开展了下列活动：持续评估国内的艾滋病毒</w:t>
      </w:r>
      <w:r>
        <w:rPr>
          <w:rFonts w:hint="eastAsia"/>
          <w:spacing w:val="-2"/>
          <w:szCs w:val="21"/>
        </w:rPr>
        <w:t>/</w:t>
      </w:r>
      <w:r>
        <w:rPr>
          <w:rFonts w:hint="eastAsia"/>
          <w:spacing w:val="-2"/>
          <w:szCs w:val="21"/>
        </w:rPr>
        <w:t>艾滋病感染情况以指导设计干预措施；对处境危险的个人和普通民众开展宣传运动；及加强临床管理。通过该方案的目的是，预防艾滋病</w:t>
      </w:r>
      <w:r>
        <w:rPr>
          <w:rFonts w:hint="eastAsia"/>
          <w:spacing w:val="-2"/>
          <w:szCs w:val="21"/>
        </w:rPr>
        <w:t>/</w:t>
      </w:r>
      <w:r>
        <w:rPr>
          <w:rFonts w:hint="eastAsia"/>
          <w:spacing w:val="-2"/>
          <w:szCs w:val="21"/>
        </w:rPr>
        <w:t>性病的蔓延，特别是在从事高危娱乐业的人中蔓延，</w:t>
      </w:r>
      <w:r>
        <w:rPr>
          <w:rFonts w:hint="eastAsia"/>
          <w:spacing w:val="-2"/>
          <w:szCs w:val="21"/>
        </w:rPr>
        <w:t>缓解疾病对病人及其家属和社区的心理冲击力。</w:t>
      </w:r>
    </w:p>
    <w:p w:rsidR="00000000" w:rsidRDefault="00821B8F">
      <w:pPr>
        <w:numPr>
          <w:ilvl w:val="0"/>
          <w:numId w:val="1388"/>
        </w:numPr>
        <w:tabs>
          <w:tab w:val="clear" w:pos="840"/>
          <w:tab w:val="num" w:pos="1080"/>
        </w:tabs>
        <w:spacing w:after="120" w:line="360" w:lineRule="exact"/>
        <w:ind w:left="1080" w:hanging="480"/>
        <w:rPr>
          <w:rFonts w:hint="eastAsia"/>
          <w:szCs w:val="21"/>
        </w:rPr>
      </w:pPr>
      <w:r>
        <w:rPr>
          <w:rFonts w:eastAsia="KaiTi_GB2312" w:hint="eastAsia"/>
          <w:color w:val="0000FF"/>
          <w:szCs w:val="21"/>
        </w:rPr>
        <w:t>全国老年人保健方案。</w:t>
      </w:r>
      <w:r>
        <w:rPr>
          <w:rFonts w:hint="eastAsia"/>
          <w:spacing w:val="-2"/>
          <w:szCs w:val="21"/>
        </w:rPr>
        <w:t>该方案旨在满足老年男女的保健需要。该方案与社会福利部协作，在全国选定地区总共建立了</w:t>
      </w:r>
      <w:r>
        <w:rPr>
          <w:rFonts w:hint="eastAsia"/>
          <w:spacing w:val="-2"/>
          <w:szCs w:val="21"/>
        </w:rPr>
        <w:t>130</w:t>
      </w:r>
      <w:r>
        <w:rPr>
          <w:rFonts w:hint="eastAsia"/>
          <w:spacing w:val="-2"/>
          <w:szCs w:val="21"/>
        </w:rPr>
        <w:t>所老年人日托中心。</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卫生部和其他政府机构旨在满足妇女和女孩保健及营养需要的其他方案包括：</w:t>
      </w:r>
    </w:p>
    <w:p w:rsidR="00000000" w:rsidRDefault="00821B8F">
      <w:pPr>
        <w:widowControl/>
        <w:numPr>
          <w:ilvl w:val="0"/>
          <w:numId w:val="1391"/>
        </w:numPr>
        <w:tabs>
          <w:tab w:val="clear" w:pos="840"/>
          <w:tab w:val="num" w:pos="1080"/>
          <w:tab w:val="num" w:pos="5760"/>
        </w:tabs>
        <w:spacing w:after="120" w:line="360" w:lineRule="exact"/>
        <w:ind w:left="1080" w:hanging="480"/>
        <w:rPr>
          <w:rFonts w:hint="eastAsia"/>
          <w:szCs w:val="21"/>
        </w:rPr>
      </w:pPr>
      <w:r>
        <w:rPr>
          <w:rFonts w:hint="eastAsia"/>
          <w:szCs w:val="21"/>
        </w:rPr>
        <w:t>社会福利方案中都有一部分内容涉及个人和儿童保育的技能发展，其中包括女性在青春期、月经期、孕期以及分娩期的自我护理、母乳喂养、断奶、乳房癌筛查和妇女常见病；和</w:t>
      </w:r>
    </w:p>
    <w:p w:rsidR="00000000" w:rsidRDefault="00821B8F">
      <w:pPr>
        <w:widowControl/>
        <w:numPr>
          <w:ilvl w:val="0"/>
          <w:numId w:val="1391"/>
        </w:numPr>
        <w:tabs>
          <w:tab w:val="clear" w:pos="840"/>
          <w:tab w:val="num" w:pos="1080"/>
          <w:tab w:val="num" w:pos="5760"/>
        </w:tabs>
        <w:spacing w:after="120" w:line="360" w:lineRule="exact"/>
        <w:ind w:left="1080" w:hanging="480"/>
        <w:rPr>
          <w:rFonts w:hint="eastAsia"/>
          <w:szCs w:val="21"/>
        </w:rPr>
      </w:pPr>
      <w:r>
        <w:rPr>
          <w:rFonts w:hint="eastAsia"/>
          <w:szCs w:val="21"/>
        </w:rPr>
        <w:t>基础保健和营养方案为妇女追求个人及其家人的健康生活持续开展宣传和指导。其中包括向孕妇和授乳母亲提供维生素</w:t>
      </w:r>
      <w:r>
        <w:rPr>
          <w:rFonts w:hint="eastAsia"/>
          <w:szCs w:val="21"/>
        </w:rPr>
        <w:t>A</w:t>
      </w:r>
      <w:r>
        <w:rPr>
          <w:rFonts w:hint="eastAsia"/>
          <w:szCs w:val="21"/>
        </w:rPr>
        <w:t>及碘</w:t>
      </w:r>
      <w:r>
        <w:rPr>
          <w:rFonts w:hint="eastAsia"/>
          <w:szCs w:val="21"/>
        </w:rPr>
        <w:t>、铁；促进为加工食品增加微量元素；针对学龄前儿童、孕妇和授乳母亲的营养不良问题进行营养教育；促进家庭、社区和学校散养家禽和开辟菜园子。</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卫生部和六个地方政府分别在全国的地区、政区和省医院设立</w:t>
      </w:r>
      <w:r>
        <w:rPr>
          <w:rFonts w:hint="eastAsia"/>
          <w:szCs w:val="21"/>
        </w:rPr>
        <w:t>44</w:t>
      </w:r>
      <w:r>
        <w:rPr>
          <w:rFonts w:hint="eastAsia"/>
          <w:szCs w:val="21"/>
        </w:rPr>
        <w:t>个妇幼保护科。在吕宋、比萨扬群岛和棉兰老岛建立了打击对妇女儿童暴力协作中心，向暴力幸存者提供一站式服务。</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编制并经高等教育委员会核准了一个模块“在护理课程中增加家庭暴力问题”。该课程现正在西利曼大学护士学院试教。同时正在与菲律宾医学院校协会协作，在医学课程中增加类似的模块。这一举措将使未来的医生和护士能够对暴力受</w:t>
      </w:r>
      <w:r>
        <w:rPr>
          <w:rFonts w:hint="eastAsia"/>
          <w:szCs w:val="21"/>
        </w:rPr>
        <w:t>害者和幸存者采取恰当的应对措施。</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值得一提的是地方一级采取的旨在改善以往在军事基地当艺妓的妇女的福祉。在奥隆阿波市，卫生和社会福利机构定期监测艾滋病毒</w:t>
      </w:r>
      <w:r>
        <w:rPr>
          <w:rFonts w:hint="eastAsia"/>
          <w:color w:val="000000"/>
          <w:szCs w:val="21"/>
        </w:rPr>
        <w:t>/</w:t>
      </w:r>
      <w:r>
        <w:rPr>
          <w:rFonts w:hint="eastAsia"/>
          <w:color w:val="000000"/>
          <w:szCs w:val="21"/>
        </w:rPr>
        <w:t>艾滋病受害者的子女的身体状况、医疗援助、技能培训和奖学金情况。它们提供的家长效益服务为以前的艺妓及其家庭重返社区提供了便利。</w:t>
      </w:r>
      <w:r>
        <w:rPr>
          <w:rFonts w:hint="eastAsia"/>
          <w:color w:val="000000"/>
          <w:szCs w:val="21"/>
        </w:rPr>
        <w:t xml:space="preserve">Buklod </w:t>
      </w:r>
      <w:r>
        <w:rPr>
          <w:rFonts w:hint="eastAsia"/>
          <w:color w:val="000000"/>
          <w:szCs w:val="21"/>
        </w:rPr>
        <w:t>和妇女教育、发展能力与研究组织等非政府组织也在做有关安赫莱斯和奥隆阿波两地卖淫妇女的工作。</w:t>
      </w:r>
    </w:p>
    <w:p w:rsidR="00000000" w:rsidRDefault="00821B8F">
      <w:pPr>
        <w:spacing w:after="120" w:line="360" w:lineRule="exact"/>
        <w:rPr>
          <w:rFonts w:eastAsia="SimHei" w:hint="eastAsia"/>
          <w:color w:val="FF0000"/>
          <w:szCs w:val="21"/>
        </w:rPr>
      </w:pPr>
      <w:r>
        <w:rPr>
          <w:rFonts w:eastAsia="SimHei" w:hint="eastAsia"/>
          <w:color w:val="FF0000"/>
          <w:szCs w:val="21"/>
        </w:rPr>
        <w:t>包括女孩在内的儿童保健方案</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菲律宾和联合国儿童基金会合作执行了一项国家儿童方案，除其他外，其中规定了营养教育、补充微量元素、家</w:t>
      </w:r>
      <w:r>
        <w:rPr>
          <w:rFonts w:hint="eastAsia"/>
          <w:szCs w:val="21"/>
        </w:rPr>
        <w:t>庭食品制作和食品安全、幼儿保育和发展及对决策者的营养宣传。其目标群体是在</w:t>
      </w:r>
      <w:r>
        <w:rPr>
          <w:rFonts w:hint="eastAsia"/>
          <w:szCs w:val="21"/>
        </w:rPr>
        <w:t>12</w:t>
      </w:r>
      <w:r>
        <w:rPr>
          <w:rFonts w:hint="eastAsia"/>
          <w:szCs w:val="21"/>
        </w:rPr>
        <w:t>个地区选定省市的所有</w:t>
      </w:r>
      <w:r>
        <w:rPr>
          <w:rFonts w:hint="eastAsia"/>
          <w:szCs w:val="21"/>
        </w:rPr>
        <w:t>0-59</w:t>
      </w:r>
      <w:r>
        <w:rPr>
          <w:rFonts w:hint="eastAsia"/>
          <w:szCs w:val="21"/>
        </w:rPr>
        <w:t>个月的男女儿童。</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1995</w:t>
      </w:r>
      <w:r>
        <w:rPr>
          <w:rFonts w:hint="eastAsia"/>
          <w:color w:val="000000"/>
          <w:szCs w:val="21"/>
        </w:rPr>
        <w:t>年确定了对女童健康有影响的如下三个与健康有关的问题而且至今仍适用，即：由于偏向其他家庭成员的传统习惯致使女童因营养不良易患缺铁性贫血、甲状腺肿和易受感染；少女怀孕和孕产；及女童由于过早地发生不加保护的性关系和成为性虐待和性剥削的受害者而易受艾滋病毒</w:t>
      </w:r>
      <w:r>
        <w:rPr>
          <w:rFonts w:hint="eastAsia"/>
          <w:color w:val="000000"/>
          <w:szCs w:val="21"/>
        </w:rPr>
        <w:t>/</w:t>
      </w:r>
      <w:r>
        <w:rPr>
          <w:rFonts w:hint="eastAsia"/>
          <w:color w:val="000000"/>
          <w:szCs w:val="21"/>
        </w:rPr>
        <w:t>艾滋病和性病感染。截至</w:t>
      </w:r>
      <w:r>
        <w:rPr>
          <w:rFonts w:hint="eastAsia"/>
          <w:color w:val="000000"/>
          <w:szCs w:val="21"/>
        </w:rPr>
        <w:t>2002</w:t>
      </w:r>
      <w:r>
        <w:rPr>
          <w:rFonts w:hint="eastAsia"/>
          <w:color w:val="000000"/>
          <w:szCs w:val="21"/>
        </w:rPr>
        <w:t>年</w:t>
      </w:r>
      <w:r>
        <w:rPr>
          <w:rFonts w:hint="eastAsia"/>
          <w:color w:val="000000"/>
          <w:szCs w:val="21"/>
        </w:rPr>
        <w:t>1</w:t>
      </w:r>
      <w:r>
        <w:rPr>
          <w:rFonts w:hint="eastAsia"/>
          <w:color w:val="000000"/>
          <w:szCs w:val="21"/>
        </w:rPr>
        <w:t>月，卫生部艾滋病登记处记录了</w:t>
      </w:r>
      <w:r>
        <w:rPr>
          <w:rFonts w:hint="eastAsia"/>
          <w:color w:val="000000"/>
          <w:szCs w:val="21"/>
        </w:rPr>
        <w:t>40</w:t>
      </w:r>
      <w:r>
        <w:rPr>
          <w:rFonts w:hint="eastAsia"/>
          <w:color w:val="000000"/>
          <w:szCs w:val="21"/>
        </w:rPr>
        <w:t>名女童和</w:t>
      </w:r>
      <w:r>
        <w:rPr>
          <w:rFonts w:hint="eastAsia"/>
          <w:color w:val="000000"/>
          <w:szCs w:val="21"/>
        </w:rPr>
        <w:t>23</w:t>
      </w:r>
      <w:r>
        <w:rPr>
          <w:rFonts w:hint="eastAsia"/>
          <w:color w:val="000000"/>
          <w:szCs w:val="21"/>
        </w:rPr>
        <w:t>名男童呈艾滋病毒阳性。</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卫生部就补充微量元素和向所</w:t>
      </w:r>
      <w:r>
        <w:rPr>
          <w:rFonts w:hint="eastAsia"/>
          <w:color w:val="000000"/>
          <w:szCs w:val="21"/>
        </w:rPr>
        <w:t>有地方政府提供技术和后勤援助制定了各项政策和指导准则。</w:t>
      </w:r>
      <w:r>
        <w:rPr>
          <w:rFonts w:hint="eastAsia"/>
          <w:color w:val="000000"/>
          <w:szCs w:val="21"/>
        </w:rPr>
        <w:t>1998</w:t>
      </w:r>
      <w:r>
        <w:rPr>
          <w:rFonts w:hint="eastAsia"/>
          <w:color w:val="000000"/>
          <w:szCs w:val="21"/>
        </w:rPr>
        <w:t>年，它向体重不足的儿童提供了补铁滴剂，其中包括</w:t>
      </w:r>
      <w:r>
        <w:rPr>
          <w:rFonts w:hint="eastAsia"/>
          <w:color w:val="000000"/>
          <w:szCs w:val="21"/>
        </w:rPr>
        <w:t>57%</w:t>
      </w:r>
      <w:r>
        <w:rPr>
          <w:rFonts w:hint="eastAsia"/>
          <w:color w:val="000000"/>
          <w:szCs w:val="21"/>
        </w:rPr>
        <w:t>女童和</w:t>
      </w:r>
      <w:r>
        <w:rPr>
          <w:rFonts w:hint="eastAsia"/>
          <w:color w:val="000000"/>
          <w:szCs w:val="21"/>
        </w:rPr>
        <w:t>56%</w:t>
      </w:r>
      <w:r>
        <w:rPr>
          <w:rFonts w:hint="eastAsia"/>
          <w:color w:val="000000"/>
          <w:szCs w:val="21"/>
        </w:rPr>
        <w:t>男童；又向</w:t>
      </w:r>
      <w:r>
        <w:rPr>
          <w:rFonts w:hint="eastAsia"/>
          <w:color w:val="000000"/>
          <w:szCs w:val="21"/>
        </w:rPr>
        <w:t>12-59</w:t>
      </w:r>
      <w:r>
        <w:rPr>
          <w:rFonts w:hint="eastAsia"/>
          <w:color w:val="000000"/>
          <w:szCs w:val="21"/>
        </w:rPr>
        <w:t>个月的学龄前儿童提供了维生素</w:t>
      </w:r>
      <w:r>
        <w:rPr>
          <w:rFonts w:hint="eastAsia"/>
          <w:color w:val="000000"/>
          <w:szCs w:val="21"/>
        </w:rPr>
        <w:t>A</w:t>
      </w:r>
      <w:r>
        <w:rPr>
          <w:rFonts w:hint="eastAsia"/>
          <w:color w:val="000000"/>
          <w:szCs w:val="21"/>
        </w:rPr>
        <w:t>，其中包括</w:t>
      </w:r>
      <w:r>
        <w:rPr>
          <w:rFonts w:hint="eastAsia"/>
          <w:color w:val="000000"/>
          <w:szCs w:val="21"/>
        </w:rPr>
        <w:t>71%</w:t>
      </w:r>
      <w:r>
        <w:rPr>
          <w:rFonts w:hint="eastAsia"/>
          <w:color w:val="000000"/>
          <w:szCs w:val="21"/>
        </w:rPr>
        <w:t>女童和</w:t>
      </w:r>
      <w:r>
        <w:rPr>
          <w:rFonts w:hint="eastAsia"/>
          <w:color w:val="000000"/>
          <w:szCs w:val="21"/>
        </w:rPr>
        <w:t>70%</w:t>
      </w:r>
      <w:r>
        <w:rPr>
          <w:rFonts w:hint="eastAsia"/>
          <w:color w:val="000000"/>
          <w:szCs w:val="21"/>
        </w:rPr>
        <w:t>男童。经费不足妨碍了卫生部向罹患甲状腺肿大的女童提供碘化油。该部通过与食品行业协商，制定了一个综合食品强化计划。需要强化维生素</w:t>
      </w:r>
      <w:r>
        <w:rPr>
          <w:rFonts w:hint="eastAsia"/>
          <w:color w:val="000000"/>
          <w:szCs w:val="21"/>
        </w:rPr>
        <w:t>A</w:t>
      </w:r>
      <w:r>
        <w:rPr>
          <w:rFonts w:hint="eastAsia"/>
          <w:color w:val="000000"/>
          <w:szCs w:val="21"/>
        </w:rPr>
        <w:t>、铁和碘元素的食品包括：面粉、食用油、盐、带有“</w:t>
      </w:r>
      <w:r>
        <w:rPr>
          <w:rFonts w:hint="eastAsia"/>
          <w:color w:val="000000"/>
          <w:szCs w:val="21"/>
        </w:rPr>
        <w:t>Sangkap Pinoy</w:t>
      </w:r>
      <w:r>
        <w:rPr>
          <w:rFonts w:hint="eastAsia"/>
          <w:color w:val="000000"/>
          <w:szCs w:val="21"/>
        </w:rPr>
        <w:t>”标记的加工食品（热狗、果汁、面条、炸土豆条、人造黄油、沙丁鱼）和婴儿食品。食品药品局监测食品制造商的守法</w:t>
      </w:r>
      <w:r>
        <w:rPr>
          <w:rFonts w:hint="eastAsia"/>
          <w:color w:val="000000"/>
          <w:szCs w:val="21"/>
        </w:rPr>
        <w:t>情况。</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政府还努力强化《奶品法典》的效力，方法是对卫生工作人员进行有关母乳喂养咨询的培训、《奶品法典》的监测进行技能培训、通过关爱母亲和婴儿的医院倡议在各医院促进母乳喂养。</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扩大免疫方案就</w:t>
      </w:r>
      <w:r>
        <w:rPr>
          <w:rFonts w:hint="eastAsia"/>
          <w:szCs w:val="21"/>
        </w:rPr>
        <w:t>0-11</w:t>
      </w:r>
      <w:r>
        <w:rPr>
          <w:rFonts w:hint="eastAsia"/>
          <w:szCs w:val="21"/>
        </w:rPr>
        <w:t>个月的所有婴儿接种预防七种疾病的疫苗颁布了政策和指导准则。</w:t>
      </w:r>
      <w:r>
        <w:rPr>
          <w:rFonts w:hint="eastAsia"/>
          <w:szCs w:val="21"/>
        </w:rPr>
        <w:t>1998</w:t>
      </w:r>
      <w:r>
        <w:rPr>
          <w:rFonts w:hint="eastAsia"/>
          <w:szCs w:val="21"/>
        </w:rPr>
        <w:t>年，通过向地方政府机构供应疫苗和培训卫生工作人员，该方案影响了</w:t>
      </w:r>
      <w:r>
        <w:rPr>
          <w:rFonts w:hint="eastAsia"/>
          <w:szCs w:val="21"/>
        </w:rPr>
        <w:t xml:space="preserve">74% </w:t>
      </w:r>
      <w:r>
        <w:rPr>
          <w:rFonts w:hint="eastAsia"/>
          <w:szCs w:val="21"/>
        </w:rPr>
        <w:t>的目标男女群体。旨在全体</w:t>
      </w:r>
      <w:r>
        <w:rPr>
          <w:rFonts w:hint="eastAsia"/>
          <w:szCs w:val="21"/>
        </w:rPr>
        <w:t>0-59</w:t>
      </w:r>
      <w:r>
        <w:rPr>
          <w:rFonts w:hint="eastAsia"/>
          <w:szCs w:val="21"/>
        </w:rPr>
        <w:t>个月儿童接种、到</w:t>
      </w:r>
      <w:r>
        <w:rPr>
          <w:rFonts w:hint="eastAsia"/>
          <w:szCs w:val="21"/>
        </w:rPr>
        <w:t>2000</w:t>
      </w:r>
      <w:r>
        <w:rPr>
          <w:rFonts w:hint="eastAsia"/>
          <w:szCs w:val="21"/>
        </w:rPr>
        <w:t>年消灭小儿麻痹症的灭绝小儿麻痹症运动在</w:t>
      </w:r>
      <w:r>
        <w:rPr>
          <w:rFonts w:hint="eastAsia"/>
          <w:szCs w:val="21"/>
        </w:rPr>
        <w:t>1996</w:t>
      </w:r>
      <w:r>
        <w:rPr>
          <w:rFonts w:hint="eastAsia"/>
          <w:szCs w:val="21"/>
        </w:rPr>
        <w:t>至</w:t>
      </w:r>
      <w:r>
        <w:rPr>
          <w:rFonts w:hint="eastAsia"/>
          <w:szCs w:val="21"/>
        </w:rPr>
        <w:t>1997</w:t>
      </w:r>
      <w:r>
        <w:rPr>
          <w:rFonts w:hint="eastAsia"/>
          <w:szCs w:val="21"/>
        </w:rPr>
        <w:t>年已实现了</w:t>
      </w:r>
      <w:r>
        <w:rPr>
          <w:rFonts w:hint="eastAsia"/>
          <w:szCs w:val="21"/>
        </w:rPr>
        <w:t xml:space="preserve">97% </w:t>
      </w:r>
      <w:r>
        <w:rPr>
          <w:rFonts w:hint="eastAsia"/>
          <w:szCs w:val="21"/>
        </w:rPr>
        <w:t>的目标。</w:t>
      </w:r>
      <w:r>
        <w:rPr>
          <w:rFonts w:hint="eastAsia"/>
          <w:szCs w:val="21"/>
        </w:rPr>
        <w:t>2000</w:t>
      </w:r>
      <w:r>
        <w:rPr>
          <w:rFonts w:hint="eastAsia"/>
          <w:szCs w:val="21"/>
        </w:rPr>
        <w:t>年，世界卫生组织宣布菲律宾为无</w:t>
      </w:r>
      <w:r>
        <w:rPr>
          <w:rFonts w:hint="eastAsia"/>
          <w:szCs w:val="21"/>
        </w:rPr>
        <w:t>小儿麻痹症国家。定于</w:t>
      </w:r>
      <w:r>
        <w:rPr>
          <w:rFonts w:hint="eastAsia"/>
          <w:szCs w:val="21"/>
        </w:rPr>
        <w:t>2004</w:t>
      </w:r>
      <w:r>
        <w:rPr>
          <w:rFonts w:hint="eastAsia"/>
          <w:szCs w:val="21"/>
        </w:rPr>
        <w:t>年</w:t>
      </w:r>
      <w:r>
        <w:rPr>
          <w:rFonts w:hint="eastAsia"/>
          <w:szCs w:val="21"/>
        </w:rPr>
        <w:t>2</w:t>
      </w:r>
      <w:r>
        <w:rPr>
          <w:rFonts w:hint="eastAsia"/>
          <w:szCs w:val="21"/>
        </w:rPr>
        <w:t>月发起的菲律宾灭绝麻疹运动旨在对</w:t>
      </w:r>
      <w:r>
        <w:rPr>
          <w:rFonts w:hint="eastAsia"/>
          <w:szCs w:val="21"/>
        </w:rPr>
        <w:t>9</w:t>
      </w:r>
      <w:r>
        <w:rPr>
          <w:rFonts w:hint="eastAsia"/>
          <w:szCs w:val="21"/>
        </w:rPr>
        <w:t>个月至</w:t>
      </w:r>
      <w:r>
        <w:rPr>
          <w:rFonts w:hint="eastAsia"/>
          <w:szCs w:val="21"/>
        </w:rPr>
        <w:t>15</w:t>
      </w:r>
      <w:r>
        <w:rPr>
          <w:rFonts w:hint="eastAsia"/>
          <w:szCs w:val="21"/>
        </w:rPr>
        <w:t>岁的所有儿童进行接种免疫以消灭麻疹，到</w:t>
      </w:r>
      <w:r>
        <w:rPr>
          <w:rFonts w:hint="eastAsia"/>
          <w:szCs w:val="21"/>
        </w:rPr>
        <w:t>2008</w:t>
      </w:r>
      <w:r>
        <w:rPr>
          <w:rFonts w:hint="eastAsia"/>
          <w:szCs w:val="21"/>
        </w:rPr>
        <w:t>年使学校中的目标群体的接种率达到</w:t>
      </w:r>
      <w:r>
        <w:rPr>
          <w:rFonts w:hint="eastAsia"/>
          <w:szCs w:val="21"/>
        </w:rPr>
        <w:t>98.4%</w:t>
      </w:r>
      <w:r>
        <w:rPr>
          <w:rFonts w:hint="eastAsia"/>
          <w:szCs w:val="21"/>
        </w:rPr>
        <w:t>。该方案战略包括在保健中心定期接种和开展逐门逐户的免疫运动。</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世界银行和亚洲开发银行支持社会福利和发展部的一个名为“幼儿发展项目”的机构间项目。该项目是</w:t>
      </w:r>
      <w:r>
        <w:rPr>
          <w:rFonts w:hint="eastAsia"/>
          <w:szCs w:val="21"/>
        </w:rPr>
        <w:t>1999</w:t>
      </w:r>
      <w:r>
        <w:rPr>
          <w:rFonts w:hint="eastAsia"/>
          <w:szCs w:val="21"/>
        </w:rPr>
        <w:t>年启动的，为期六年，力求促进以儿童和家庭为中心的服务，以提高</w:t>
      </w:r>
      <w:r>
        <w:rPr>
          <w:rFonts w:hint="eastAsia"/>
          <w:szCs w:val="21"/>
        </w:rPr>
        <w:t>0-6</w:t>
      </w:r>
      <w:r>
        <w:rPr>
          <w:rFonts w:hint="eastAsia"/>
          <w:szCs w:val="21"/>
        </w:rPr>
        <w:t>岁儿童的基本保健、营养、心理与社会发展和早期教育服务的质量和覆盖面。现在正在三个地区执行这个项目，对参与项目的地方政府单</w:t>
      </w:r>
      <w:r>
        <w:rPr>
          <w:rFonts w:hint="eastAsia"/>
          <w:szCs w:val="21"/>
        </w:rPr>
        <w:t>位的资源起到补充和提升的作用。除其他之外，该项目提供了扩大免疫方案所需的设备，就儿童疾病综合管理举办培训、提供微量元素（维生素</w:t>
      </w:r>
      <w:r>
        <w:rPr>
          <w:rFonts w:hint="eastAsia"/>
          <w:szCs w:val="21"/>
        </w:rPr>
        <w:t>A</w:t>
      </w:r>
      <w:r>
        <w:rPr>
          <w:rFonts w:hint="eastAsia"/>
          <w:szCs w:val="21"/>
        </w:rPr>
        <w:t>和铁元素）及食品添加营养剂。</w:t>
      </w:r>
    </w:p>
    <w:p w:rsidR="00000000" w:rsidRDefault="00821B8F">
      <w:pPr>
        <w:spacing w:after="120" w:line="360" w:lineRule="exact"/>
        <w:rPr>
          <w:rFonts w:eastAsia="SimHei" w:hint="eastAsia"/>
          <w:color w:val="FF0000"/>
          <w:szCs w:val="21"/>
        </w:rPr>
      </w:pPr>
      <w:r>
        <w:rPr>
          <w:rFonts w:eastAsia="SimHei" w:hint="eastAsia"/>
          <w:color w:val="FF0000"/>
          <w:szCs w:val="21"/>
        </w:rPr>
        <w:t>防治艾滋病毒</w:t>
      </w:r>
      <w:r>
        <w:rPr>
          <w:rFonts w:eastAsia="SimHei" w:hint="eastAsia"/>
          <w:color w:val="FF0000"/>
          <w:szCs w:val="21"/>
        </w:rPr>
        <w:t>/</w:t>
      </w:r>
      <w:r>
        <w:rPr>
          <w:rFonts w:eastAsia="SimHei" w:hint="eastAsia"/>
          <w:color w:val="FF0000"/>
          <w:szCs w:val="21"/>
        </w:rPr>
        <w:t>艾滋病和性病的方案</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如上文第</w:t>
      </w:r>
      <w:r>
        <w:rPr>
          <w:rFonts w:hint="eastAsia"/>
          <w:szCs w:val="21"/>
        </w:rPr>
        <w:t>444d</w:t>
      </w:r>
      <w:r>
        <w:rPr>
          <w:rFonts w:hint="eastAsia"/>
          <w:szCs w:val="21"/>
        </w:rPr>
        <w:t>段所述，第</w:t>
      </w:r>
      <w:r>
        <w:rPr>
          <w:rFonts w:hint="eastAsia"/>
          <w:szCs w:val="21"/>
        </w:rPr>
        <w:t>8504</w:t>
      </w:r>
      <w:r>
        <w:rPr>
          <w:rFonts w:hint="eastAsia"/>
          <w:szCs w:val="21"/>
        </w:rPr>
        <w:t>号共和国法令规定政府在开展防治艾滋病毒</w:t>
      </w:r>
      <w:r>
        <w:rPr>
          <w:rFonts w:hint="eastAsia"/>
          <w:szCs w:val="21"/>
        </w:rPr>
        <w:t>/</w:t>
      </w:r>
      <w:r>
        <w:rPr>
          <w:rFonts w:hint="eastAsia"/>
          <w:szCs w:val="21"/>
        </w:rPr>
        <w:t>艾滋病运动中的法律权限。该法令还保护受艾滋病毒</w:t>
      </w:r>
      <w:r>
        <w:rPr>
          <w:rFonts w:hint="eastAsia"/>
          <w:szCs w:val="21"/>
        </w:rPr>
        <w:t>/</w:t>
      </w:r>
      <w:r>
        <w:rPr>
          <w:rFonts w:hint="eastAsia"/>
          <w:szCs w:val="21"/>
        </w:rPr>
        <w:t>艾滋病感染的、疑似感染或会被感染的女孩（和男孩）的权利。菲律宾国家防治艾滋病委员会正在拟订该法令的执行细则和条例以全面执行，但是已将《儿童性病管理信息和指导方针》下发到所有各级保健提供系统，以确保</w:t>
      </w:r>
      <w:r>
        <w:rPr>
          <w:rFonts w:hint="eastAsia"/>
          <w:szCs w:val="21"/>
        </w:rPr>
        <w:t>遭到性虐待的受害女孩得到适当照顾，以防生殖道感染。卫生部还开设了一条艾滋病热线，并向艾滋病毒</w:t>
      </w:r>
      <w:r>
        <w:rPr>
          <w:rFonts w:hint="eastAsia"/>
          <w:szCs w:val="21"/>
        </w:rPr>
        <w:t>/</w:t>
      </w:r>
      <w:r>
        <w:rPr>
          <w:rFonts w:hint="eastAsia"/>
          <w:szCs w:val="21"/>
        </w:rPr>
        <w:t>艾滋病患者提供支助服务，向地方政府机构提供技术协助。</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社会福利部一直在其“遭遇吸毒和艾滋病毒</w:t>
      </w:r>
      <w:r>
        <w:rPr>
          <w:rFonts w:hint="eastAsia"/>
          <w:color w:val="000000"/>
          <w:szCs w:val="21"/>
        </w:rPr>
        <w:t>/</w:t>
      </w:r>
      <w:r>
        <w:rPr>
          <w:rFonts w:hint="eastAsia"/>
          <w:color w:val="000000"/>
          <w:szCs w:val="21"/>
        </w:rPr>
        <w:t>艾滋病危险的家庭</w:t>
      </w:r>
      <w:r>
        <w:rPr>
          <w:rFonts w:hint="eastAsia"/>
          <w:color w:val="000000"/>
          <w:szCs w:val="21"/>
        </w:rPr>
        <w:t>/</w:t>
      </w:r>
      <w:r>
        <w:rPr>
          <w:rFonts w:hint="eastAsia"/>
          <w:color w:val="000000"/>
          <w:szCs w:val="21"/>
        </w:rPr>
        <w:t>儿童综合方案”中致力于处理艾滋病毒</w:t>
      </w:r>
      <w:r>
        <w:rPr>
          <w:rFonts w:hint="eastAsia"/>
          <w:color w:val="000000"/>
          <w:szCs w:val="21"/>
        </w:rPr>
        <w:t>/</w:t>
      </w:r>
      <w:r>
        <w:rPr>
          <w:rFonts w:hint="eastAsia"/>
          <w:color w:val="000000"/>
          <w:szCs w:val="21"/>
        </w:rPr>
        <w:t>艾滋病问题。该方案围绕滥用吸毒的后果与艾滋病毒感染问题培训青少年和成年人，使其成为同侪咨询员和培训员，并对被感染的家庭成员提供家庭护理和支助服务。与此同时，卫生部根据其“青少年健康发展方案”组织了一次咨询讲习班，以制定政策、方针与框架，解决青少年的生殖保健问题、特别是</w:t>
      </w:r>
      <w:r>
        <w:rPr>
          <w:rFonts w:hint="eastAsia"/>
          <w:color w:val="000000"/>
          <w:szCs w:val="21"/>
        </w:rPr>
        <w:t>预防青少年怀孕和堕胎、预防感染性病和艾滋病毒</w:t>
      </w:r>
      <w:r>
        <w:rPr>
          <w:rFonts w:hint="eastAsia"/>
          <w:color w:val="000000"/>
          <w:szCs w:val="21"/>
        </w:rPr>
        <w:t>/</w:t>
      </w:r>
      <w:r>
        <w:rPr>
          <w:rFonts w:hint="eastAsia"/>
          <w:color w:val="000000"/>
          <w:szCs w:val="21"/>
        </w:rPr>
        <w:t>艾滋病。</w:t>
      </w:r>
      <w:r>
        <w:rPr>
          <w:rFonts w:hint="eastAsia"/>
          <w:color w:val="000000"/>
          <w:szCs w:val="21"/>
        </w:rPr>
        <w:t>1999</w:t>
      </w:r>
      <w:r>
        <w:rPr>
          <w:rFonts w:hint="eastAsia"/>
          <w:color w:val="000000"/>
          <w:szCs w:val="21"/>
        </w:rPr>
        <w:t>年第一季度起草了一份信息、教育和宣传计划，</w:t>
      </w:r>
      <w:r>
        <w:rPr>
          <w:rFonts w:hint="eastAsia"/>
          <w:color w:val="000000"/>
          <w:szCs w:val="21"/>
        </w:rPr>
        <w:t>2002</w:t>
      </w:r>
      <w:r>
        <w:rPr>
          <w:rFonts w:hint="eastAsia"/>
          <w:color w:val="000000"/>
          <w:szCs w:val="21"/>
        </w:rPr>
        <w:t>年末又拟订了一个培训模块并培养了核心培训员。但是，公共医院还没有专设未成年人门诊。虽然青少年健康发展方案尚处于发展阶段，但许多非政府组织已经在为未成年人提供咨询和其他服务。站在这些非政府组织前列的有：青少年发展基金会、蕾梅迪阿斯艾滋病基金会、母婴保健学会、</w:t>
      </w:r>
      <w:r>
        <w:rPr>
          <w:rFonts w:hint="eastAsia"/>
          <w:color w:val="000000"/>
          <w:szCs w:val="21"/>
        </w:rPr>
        <w:t>Kaugmaon</w:t>
      </w:r>
      <w:r>
        <w:rPr>
          <w:rFonts w:hint="eastAsia"/>
          <w:color w:val="000000"/>
          <w:szCs w:val="21"/>
        </w:rPr>
        <w:t>及</w:t>
      </w:r>
      <w:r>
        <w:rPr>
          <w:rFonts w:hint="eastAsia"/>
          <w:color w:val="000000"/>
          <w:szCs w:val="21"/>
        </w:rPr>
        <w:t>Baguio</w:t>
      </w:r>
      <w:r>
        <w:rPr>
          <w:rFonts w:hint="eastAsia"/>
          <w:color w:val="000000"/>
          <w:szCs w:val="21"/>
        </w:rPr>
        <w:t>青年中心。有几家非政府组织还在学校和社区的艾滋病毒</w:t>
      </w:r>
      <w:r>
        <w:rPr>
          <w:rFonts w:hint="eastAsia"/>
          <w:color w:val="000000"/>
          <w:szCs w:val="21"/>
        </w:rPr>
        <w:t>/</w:t>
      </w:r>
      <w:r>
        <w:rPr>
          <w:rFonts w:hint="eastAsia"/>
          <w:color w:val="000000"/>
          <w:szCs w:val="21"/>
        </w:rPr>
        <w:t>艾滋病同侪教育方案中培训和支持儿童及青年宣传员（伊洛，</w:t>
      </w:r>
      <w:r>
        <w:rPr>
          <w:rFonts w:hint="eastAsia"/>
          <w:color w:val="000000"/>
          <w:szCs w:val="21"/>
        </w:rPr>
        <w:t>2003</w:t>
      </w:r>
      <w:r>
        <w:rPr>
          <w:rFonts w:hint="eastAsia"/>
          <w:color w:val="000000"/>
          <w:szCs w:val="21"/>
        </w:rPr>
        <w:t>年）。</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国家艾滋病</w:t>
      </w:r>
      <w:r>
        <w:rPr>
          <w:rFonts w:hint="eastAsia"/>
          <w:szCs w:val="21"/>
        </w:rPr>
        <w:t>/</w:t>
      </w:r>
      <w:r>
        <w:rPr>
          <w:rFonts w:hint="eastAsia"/>
          <w:szCs w:val="21"/>
        </w:rPr>
        <w:t>性病方案与教育部和有关机构合作，将艾滋病毒</w:t>
      </w:r>
      <w:r>
        <w:rPr>
          <w:rFonts w:hint="eastAsia"/>
          <w:szCs w:val="21"/>
        </w:rPr>
        <w:t>/</w:t>
      </w:r>
      <w:r>
        <w:rPr>
          <w:rFonts w:hint="eastAsia"/>
          <w:szCs w:val="21"/>
        </w:rPr>
        <w:t>艾滋病教育纳入初中、高中、技术</w:t>
      </w:r>
      <w:r>
        <w:rPr>
          <w:rFonts w:hint="eastAsia"/>
          <w:szCs w:val="21"/>
        </w:rPr>
        <w:t>/</w:t>
      </w:r>
      <w:r>
        <w:rPr>
          <w:rFonts w:hint="eastAsia"/>
          <w:szCs w:val="21"/>
        </w:rPr>
        <w:t>职业教育和大学各级教学大纲中。为此制订了各种教学模块，并有专门教师教授这些模块。</w:t>
      </w:r>
    </w:p>
    <w:p w:rsidR="00000000" w:rsidRDefault="00821B8F">
      <w:pPr>
        <w:spacing w:after="120" w:line="360" w:lineRule="exact"/>
        <w:rPr>
          <w:rFonts w:eastAsia="SimHei" w:hint="eastAsia"/>
          <w:color w:val="FF0000"/>
          <w:szCs w:val="21"/>
        </w:rPr>
      </w:pPr>
      <w:r>
        <w:rPr>
          <w:rFonts w:eastAsia="SimHei" w:hint="eastAsia"/>
          <w:color w:val="FF0000"/>
          <w:szCs w:val="21"/>
        </w:rPr>
        <w:t>关于妇女保健的宣传和研究</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菲律宾开展了卫生工作人员、专业人员、学生和其他男女参与的彩带宣传运动，以提高老百姓对妇女权利、乳房自查及其他妇女保健问题的认识。每个月代表一种妇女的健康关注，宣传员相应地佩带一种彩带。菲律宾广泛利用媒体，来推动政府发起的与保健有关的方案和运动。</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1996</w:t>
      </w:r>
      <w:r>
        <w:rPr>
          <w:rFonts w:hint="eastAsia"/>
          <w:szCs w:val="21"/>
        </w:rPr>
        <w:t>年到</w:t>
      </w:r>
      <w:r>
        <w:rPr>
          <w:rFonts w:hint="eastAsia"/>
          <w:szCs w:val="21"/>
        </w:rPr>
        <w:t>1998</w:t>
      </w:r>
      <w:r>
        <w:rPr>
          <w:rFonts w:hint="eastAsia"/>
          <w:szCs w:val="21"/>
        </w:rPr>
        <w:t>年，妇女委员会与联合国人口基金联合执</w:t>
      </w:r>
      <w:r>
        <w:rPr>
          <w:rFonts w:hint="eastAsia"/>
          <w:szCs w:val="21"/>
        </w:rPr>
        <w:t>行了“妇女保健、人口和发展的政策制定和宣传”方案。推出的主要项目包括阐述和宣传立法和方案的各种文件，如：对妇女施暴的经济成本；国家健康保险法和公务员守则：适用妇女的专项规定的审查；对性别问题有敏感认识的</w:t>
      </w:r>
      <w:r>
        <w:rPr>
          <w:rFonts w:hint="eastAsia"/>
          <w:szCs w:val="21"/>
        </w:rPr>
        <w:t>CBFM</w:t>
      </w:r>
      <w:r>
        <w:rPr>
          <w:rFonts w:hint="eastAsia"/>
          <w:szCs w:val="21"/>
        </w:rPr>
        <w:t>方案；对性别问题有敏感认识的工作场所：将妇女关注事项纳入职业安全和保健中心。此外，它们还编写了有关妇女保健与人口优先问题的四项政策概述和六份政策文件，包括有关对妇女施暴的医院案例记录和对性别问题有敏感认识的技术影响评估系统。该项目还支持各种公众认识运动，如北京观察公告、媒体对话、新闻稿、宣传手册、录像</w:t>
      </w:r>
      <w:r>
        <w:rPr>
          <w:rFonts w:hint="eastAsia"/>
          <w:szCs w:val="21"/>
        </w:rPr>
        <w:t>文件。</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以各种保健关注为焦点的研究蓬勃开展。其中一些研究成果如下：</w:t>
      </w:r>
      <w:r>
        <w:rPr>
          <w:rFonts w:hint="eastAsia"/>
          <w:szCs w:val="21"/>
        </w:rPr>
        <w:t xml:space="preserve"> </w:t>
      </w:r>
    </w:p>
    <w:p w:rsidR="00000000" w:rsidRDefault="00821B8F">
      <w:pPr>
        <w:widowControl/>
        <w:numPr>
          <w:ilvl w:val="0"/>
          <w:numId w:val="1392"/>
        </w:numPr>
        <w:tabs>
          <w:tab w:val="clear" w:pos="840"/>
          <w:tab w:val="num" w:pos="1080"/>
          <w:tab w:val="num" w:pos="6000"/>
        </w:tabs>
        <w:spacing w:after="120" w:line="360" w:lineRule="exact"/>
        <w:ind w:left="1080" w:hanging="480"/>
        <w:rPr>
          <w:rFonts w:hint="eastAsia"/>
          <w:color w:val="000000"/>
          <w:szCs w:val="21"/>
        </w:rPr>
      </w:pPr>
      <w:r>
        <w:rPr>
          <w:rFonts w:hint="eastAsia"/>
          <w:color w:val="000000"/>
          <w:szCs w:val="21"/>
        </w:rPr>
        <w:t>职业安全和健康中心的两项研究探讨了职业健康问题对妇女生殖健康的影响。一项关于半导体公司女工的研究表明，长期接触铅、汞、麻醉气体、一氧化碳、电离辐射，会对妇女及其后代产生有害影响。关于职业健康环境中的负面生殖后果的另一项研究表明，有害健康的职业健康环境对月经、排卵和荷尔蒙分泌模式产生了负面影响，结果影响到夫妇的生育力和妇女的受孕能力；怀孕结果，比如增加流产的风险、早产、新生儿体重不足、后代的先天性缺陷和疾病；及由于接触化学和物理污染物而导</w:t>
      </w:r>
      <w:r>
        <w:rPr>
          <w:rFonts w:hint="eastAsia"/>
          <w:color w:val="000000"/>
          <w:szCs w:val="21"/>
        </w:rPr>
        <w:t>致与感染有关的不孕症和婴儿死亡率提高。第十一条讨论了其他研究。</w:t>
      </w:r>
    </w:p>
    <w:p w:rsidR="00000000" w:rsidRDefault="00821B8F">
      <w:pPr>
        <w:widowControl/>
        <w:numPr>
          <w:ilvl w:val="0"/>
          <w:numId w:val="1392"/>
        </w:numPr>
        <w:tabs>
          <w:tab w:val="clear" w:pos="840"/>
          <w:tab w:val="num" w:pos="1080"/>
          <w:tab w:val="num" w:pos="6000"/>
        </w:tabs>
        <w:spacing w:after="120" w:line="360" w:lineRule="exact"/>
        <w:ind w:left="1080" w:hanging="480"/>
        <w:rPr>
          <w:rFonts w:hint="eastAsia"/>
          <w:szCs w:val="21"/>
        </w:rPr>
      </w:pPr>
      <w:r>
        <w:rPr>
          <w:rFonts w:hint="eastAsia"/>
          <w:spacing w:val="-2"/>
          <w:szCs w:val="21"/>
        </w:rPr>
        <w:t>1995</w:t>
      </w:r>
      <w:r>
        <w:rPr>
          <w:rFonts w:hint="eastAsia"/>
          <w:spacing w:val="-2"/>
          <w:szCs w:val="21"/>
        </w:rPr>
        <w:t>年，菲律宾</w:t>
      </w:r>
      <w:r>
        <w:rPr>
          <w:rFonts w:hint="eastAsia"/>
          <w:color w:val="000000"/>
          <w:szCs w:val="21"/>
        </w:rPr>
        <w:t>大学</w:t>
      </w:r>
      <w:r>
        <w:rPr>
          <w:rFonts w:hint="eastAsia"/>
          <w:spacing w:val="-2"/>
          <w:szCs w:val="21"/>
        </w:rPr>
        <w:t>妇女研究中心与另外两个学术研究中心和六个妇女非政府组织共同发起了一个为期三年的妇女保健研究综合项目。在联合国人口基金资助下，该项目为了解和解决妇女关注事项提供信息和方法。研究集中在妇女对生殖权利的认识、使用者对各种生育调节技术的看法及对妇女的暴力与妇女健康问题的联系。研究成果表明，尽管妇女不愿意在生殖过程中行使自己的权利，</w:t>
      </w:r>
      <w:r>
        <w:rPr>
          <w:rFonts w:hint="eastAsia"/>
          <w:spacing w:val="-2"/>
          <w:szCs w:val="21"/>
        </w:rPr>
        <w:t xml:space="preserve"> </w:t>
      </w:r>
      <w:r>
        <w:rPr>
          <w:rFonts w:hint="eastAsia"/>
          <w:spacing w:val="-2"/>
          <w:szCs w:val="21"/>
        </w:rPr>
        <w:t>但是生育权的观念左右着妇女对其性行为和社会角色的看法。这些研究还注意到，虽然对生育调节技术的认识较高</w:t>
      </w:r>
      <w:r>
        <w:rPr>
          <w:rFonts w:hint="eastAsia"/>
          <w:spacing w:val="-2"/>
          <w:szCs w:val="21"/>
        </w:rPr>
        <w:t>，但是由于缺乏信息、缺乏服务和性别主宰，对妇女来说自由而明智的选择尚未变成现实。妇女拒绝性关系的权力有限，因为她们知道这种讨价还价的结果很可能招致暴力（菲律宾大学妇女研究中心，</w:t>
      </w:r>
      <w:r>
        <w:rPr>
          <w:rFonts w:hint="eastAsia"/>
          <w:spacing w:val="-2"/>
          <w:szCs w:val="21"/>
        </w:rPr>
        <w:t>2001</w:t>
      </w:r>
      <w:r>
        <w:rPr>
          <w:rFonts w:hint="eastAsia"/>
          <w:spacing w:val="-2"/>
          <w:szCs w:val="21"/>
        </w:rPr>
        <w:t>年）。这些研究的结论是，要促进男子参与节育，并将生物医学研究扩大到适合男子的生育调节技术。</w:t>
      </w:r>
    </w:p>
    <w:p w:rsidR="00000000" w:rsidRDefault="00821B8F">
      <w:pPr>
        <w:widowControl/>
        <w:numPr>
          <w:ilvl w:val="0"/>
          <w:numId w:val="1392"/>
        </w:numPr>
        <w:tabs>
          <w:tab w:val="clear" w:pos="840"/>
          <w:tab w:val="num" w:pos="1080"/>
          <w:tab w:val="num" w:pos="6000"/>
        </w:tabs>
        <w:spacing w:after="120" w:line="360" w:lineRule="exact"/>
        <w:ind w:left="1080" w:hanging="480"/>
        <w:rPr>
          <w:rFonts w:hint="eastAsia"/>
          <w:szCs w:val="21"/>
        </w:rPr>
      </w:pPr>
      <w:r>
        <w:rPr>
          <w:rFonts w:hint="eastAsia"/>
          <w:szCs w:val="21"/>
        </w:rPr>
        <w:t>福特基金会主办了几项由</w:t>
      </w:r>
      <w:r>
        <w:rPr>
          <w:rFonts w:hint="eastAsia"/>
          <w:spacing w:val="-2"/>
          <w:szCs w:val="21"/>
        </w:rPr>
        <w:t>菲律宾大学妇女研究中心协调的妇女生殖保健和权利的研究和出版物。</w:t>
      </w:r>
      <w:r>
        <w:rPr>
          <w:rFonts w:hint="eastAsia"/>
          <w:szCs w:val="21"/>
        </w:rPr>
        <w:t>有一项研究审查了某个农村社区两代人的性别与生殖作用的结构。它强调有必要结合性特征和性别角色拟订性行为和避孕教育课程，其中要重新界定男女角色，以便使婚姻和</w:t>
      </w:r>
      <w:r>
        <w:rPr>
          <w:rFonts w:hint="eastAsia"/>
          <w:szCs w:val="21"/>
        </w:rPr>
        <w:t>家庭关系不仅体现神圣、协调和尊重，而且体现几代男女之间的公平和平等。三项研究探讨了比萨扬群岛的两性关系和生殖保健专题：一个是关于离婚的；另一个是关于帕奈岛土著人民的传统节育做法；第三个专题是关于约会强奸和约会时的性攻击行为。</w:t>
      </w:r>
    </w:p>
    <w:p w:rsidR="00000000" w:rsidRDefault="00821B8F">
      <w:pPr>
        <w:spacing w:after="120" w:line="360" w:lineRule="exact"/>
        <w:rPr>
          <w:rFonts w:eastAsia="SimHei" w:hint="eastAsia"/>
          <w:color w:val="FF0000"/>
          <w:szCs w:val="21"/>
        </w:rPr>
      </w:pPr>
      <w:r>
        <w:rPr>
          <w:rFonts w:eastAsia="SimHei" w:hint="eastAsia"/>
          <w:color w:val="FF0000"/>
          <w:szCs w:val="21"/>
        </w:rPr>
        <w:t>非政府组织为妇女和女孩保健所做的一些努力</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自</w:t>
      </w:r>
      <w:r>
        <w:rPr>
          <w:rFonts w:hint="eastAsia"/>
          <w:szCs w:val="21"/>
        </w:rPr>
        <w:t>1994</w:t>
      </w:r>
      <w:r>
        <w:rPr>
          <w:rFonts w:hint="eastAsia"/>
          <w:szCs w:val="21"/>
        </w:rPr>
        <w:t>年以来，“亚洲菲律宾儿童希望组织”作为其面向流落街头儿童的街头教育计划的一部分，举办了各种健康教育学习班，课程内容包括初级保健、艾滋病毒</w:t>
      </w:r>
      <w:r>
        <w:rPr>
          <w:rFonts w:hint="eastAsia"/>
          <w:szCs w:val="21"/>
        </w:rPr>
        <w:t>/</w:t>
      </w:r>
      <w:r>
        <w:rPr>
          <w:rFonts w:hint="eastAsia"/>
          <w:szCs w:val="21"/>
        </w:rPr>
        <w:t>艾滋病、性病、常见病及青少年的性行为和生殖保健。</w:t>
      </w:r>
      <w:r>
        <w:rPr>
          <w:rFonts w:hint="eastAsia"/>
          <w:szCs w:val="21"/>
        </w:rPr>
        <w:t>1994</w:t>
      </w:r>
      <w:r>
        <w:rPr>
          <w:rFonts w:hint="eastAsia"/>
          <w:szCs w:val="21"/>
        </w:rPr>
        <w:t>至</w:t>
      </w:r>
      <w:r>
        <w:rPr>
          <w:rFonts w:hint="eastAsia"/>
          <w:szCs w:val="21"/>
        </w:rPr>
        <w:t>1998</w:t>
      </w:r>
      <w:r>
        <w:rPr>
          <w:rFonts w:hint="eastAsia"/>
          <w:szCs w:val="21"/>
        </w:rPr>
        <w:t>年，</w:t>
      </w:r>
      <w:r>
        <w:rPr>
          <w:rFonts w:hint="eastAsia"/>
          <w:szCs w:val="21"/>
        </w:rPr>
        <w:t>3 907</w:t>
      </w:r>
      <w:r>
        <w:rPr>
          <w:rFonts w:hint="eastAsia"/>
          <w:szCs w:val="21"/>
        </w:rPr>
        <w:t>名儿童参加了其</w:t>
      </w:r>
      <w:r>
        <w:rPr>
          <w:rFonts w:hint="eastAsia"/>
          <w:szCs w:val="21"/>
        </w:rPr>
        <w:t>健康教育培训班，其初级保健服务使</w:t>
      </w:r>
      <w:r>
        <w:rPr>
          <w:rFonts w:hint="eastAsia"/>
          <w:szCs w:val="21"/>
        </w:rPr>
        <w:t>5 808</w:t>
      </w:r>
      <w:r>
        <w:rPr>
          <w:rFonts w:hint="eastAsia"/>
          <w:szCs w:val="21"/>
        </w:rPr>
        <w:t>名儿童获益。</w:t>
      </w:r>
      <w:r>
        <w:rPr>
          <w:rFonts w:hint="eastAsia"/>
          <w:szCs w:val="21"/>
        </w:rPr>
        <w:t>1998</w:t>
      </w:r>
      <w:r>
        <w:rPr>
          <w:rFonts w:hint="eastAsia"/>
          <w:szCs w:val="21"/>
        </w:rPr>
        <w:t>年第四季度到</w:t>
      </w:r>
      <w:r>
        <w:rPr>
          <w:rFonts w:hint="eastAsia"/>
          <w:szCs w:val="21"/>
        </w:rPr>
        <w:t>1999</w:t>
      </w:r>
      <w:r>
        <w:rPr>
          <w:rFonts w:hint="eastAsia"/>
          <w:szCs w:val="21"/>
        </w:rPr>
        <w:t>年，“儿童希望组织”</w:t>
      </w:r>
      <w:r>
        <w:rPr>
          <w:rFonts w:hint="eastAsia"/>
          <w:szCs w:val="21"/>
        </w:rPr>
        <w:t xml:space="preserve"> </w:t>
      </w:r>
      <w:r>
        <w:rPr>
          <w:rFonts w:hint="eastAsia"/>
          <w:szCs w:val="21"/>
        </w:rPr>
        <w:t>开始按性别分列数据。根据这些数据计算，有</w:t>
      </w:r>
      <w:r>
        <w:rPr>
          <w:rFonts w:hint="eastAsia"/>
          <w:szCs w:val="21"/>
        </w:rPr>
        <w:t>485</w:t>
      </w:r>
      <w:r>
        <w:rPr>
          <w:rFonts w:hint="eastAsia"/>
          <w:szCs w:val="21"/>
        </w:rPr>
        <w:t>名流落街头少女从医疗保健服务中受益，另有</w:t>
      </w:r>
      <w:r>
        <w:rPr>
          <w:rFonts w:hint="eastAsia"/>
          <w:szCs w:val="21"/>
        </w:rPr>
        <w:t>198</w:t>
      </w:r>
      <w:r>
        <w:rPr>
          <w:rFonts w:hint="eastAsia"/>
          <w:szCs w:val="21"/>
        </w:rPr>
        <w:t>名流落街头少女参加了有关个人卫生、预防性病和艾滋病毒以及性教育的培训班。</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1995-1996</w:t>
      </w:r>
      <w:r>
        <w:rPr>
          <w:rFonts w:hint="eastAsia"/>
          <w:color w:val="000000"/>
          <w:szCs w:val="21"/>
        </w:rPr>
        <w:t>年，</w:t>
      </w:r>
      <w:r>
        <w:rPr>
          <w:rFonts w:hint="eastAsia"/>
          <w:color w:val="000000"/>
          <w:spacing w:val="-2"/>
          <w:szCs w:val="21"/>
        </w:rPr>
        <w:t>Lunduyan</w:t>
      </w:r>
      <w:r>
        <w:rPr>
          <w:rFonts w:hint="eastAsia"/>
          <w:color w:val="000000"/>
          <w:spacing w:val="-2"/>
          <w:szCs w:val="21"/>
        </w:rPr>
        <w:t>（即前儿童实验室基金会）在奎松市的六个镇发动了一场宣传教育运动。它举办了六场关于艾滋病毒</w:t>
      </w:r>
      <w:r>
        <w:rPr>
          <w:rFonts w:hint="eastAsia"/>
          <w:color w:val="000000"/>
          <w:spacing w:val="-2"/>
          <w:szCs w:val="21"/>
        </w:rPr>
        <w:t>/</w:t>
      </w:r>
      <w:r>
        <w:rPr>
          <w:rFonts w:hint="eastAsia"/>
          <w:color w:val="000000"/>
          <w:spacing w:val="-2"/>
          <w:szCs w:val="21"/>
        </w:rPr>
        <w:t>艾滋病和性病宣传的海报和标语比赛，培训了</w:t>
      </w:r>
      <w:r>
        <w:rPr>
          <w:rFonts w:hint="eastAsia"/>
          <w:color w:val="000000"/>
          <w:spacing w:val="-2"/>
          <w:szCs w:val="21"/>
        </w:rPr>
        <w:t>20</w:t>
      </w:r>
      <w:r>
        <w:rPr>
          <w:rFonts w:hint="eastAsia"/>
          <w:color w:val="000000"/>
          <w:spacing w:val="-2"/>
          <w:szCs w:val="21"/>
        </w:rPr>
        <w:t>位同侪教育者和</w:t>
      </w:r>
      <w:r>
        <w:rPr>
          <w:rFonts w:hint="eastAsia"/>
          <w:color w:val="000000"/>
          <w:spacing w:val="-2"/>
          <w:szCs w:val="21"/>
        </w:rPr>
        <w:t>34</w:t>
      </w:r>
      <w:r>
        <w:rPr>
          <w:rFonts w:hint="eastAsia"/>
          <w:color w:val="000000"/>
          <w:spacing w:val="-2"/>
          <w:szCs w:val="21"/>
        </w:rPr>
        <w:t>位镇级青年领导人。十位同侪教育者组织了</w:t>
      </w:r>
      <w:r>
        <w:rPr>
          <w:rFonts w:hint="eastAsia"/>
          <w:color w:val="000000"/>
          <w:spacing w:val="-2"/>
          <w:szCs w:val="21"/>
        </w:rPr>
        <w:t>35</w:t>
      </w:r>
      <w:r>
        <w:rPr>
          <w:rFonts w:hint="eastAsia"/>
          <w:color w:val="000000"/>
          <w:spacing w:val="-2"/>
          <w:szCs w:val="21"/>
        </w:rPr>
        <w:t>个培训班</w:t>
      </w:r>
      <w:r>
        <w:rPr>
          <w:rFonts w:hint="eastAsia"/>
          <w:color w:val="000000"/>
          <w:spacing w:val="-2"/>
          <w:szCs w:val="21"/>
        </w:rPr>
        <w:t>，参加的儿童和青少年达</w:t>
      </w:r>
      <w:r>
        <w:rPr>
          <w:rFonts w:hint="eastAsia"/>
          <w:color w:val="000000"/>
          <w:spacing w:val="-2"/>
          <w:szCs w:val="21"/>
        </w:rPr>
        <w:t>772</w:t>
      </w:r>
      <w:r>
        <w:rPr>
          <w:rFonts w:hint="eastAsia"/>
          <w:color w:val="000000"/>
          <w:spacing w:val="-2"/>
          <w:szCs w:val="21"/>
        </w:rPr>
        <w:t>人，他们当中将近一半人平均参加了四个月的学习班；同时，青年领导人和官员举办了领导和促进培训班、评估和计划活动，以提高社区对性病和艾滋病毒</w:t>
      </w:r>
      <w:r>
        <w:rPr>
          <w:rFonts w:hint="eastAsia"/>
          <w:color w:val="000000"/>
          <w:spacing w:val="-2"/>
          <w:szCs w:val="21"/>
        </w:rPr>
        <w:t>/</w:t>
      </w:r>
      <w:r>
        <w:rPr>
          <w:rFonts w:hint="eastAsia"/>
          <w:color w:val="000000"/>
          <w:spacing w:val="-2"/>
          <w:szCs w:val="21"/>
        </w:rPr>
        <w:t>艾滋病的认识。该项目建立了支助网络，并与六个镇合作在各镇建立了儿童服务台。现在，该项目的各种材料已经被全国流落街头儿童计划和其他非政府组织的儿童和青少年网络广泛使用。</w:t>
      </w:r>
      <w:r>
        <w:rPr>
          <w:rFonts w:hint="eastAsia"/>
          <w:color w:val="000000"/>
          <w:szCs w:val="21"/>
        </w:rPr>
        <w:t>1998</w:t>
      </w:r>
      <w:r>
        <w:rPr>
          <w:rFonts w:hint="eastAsia"/>
          <w:color w:val="000000"/>
          <w:szCs w:val="21"/>
        </w:rPr>
        <w:t>和</w:t>
      </w:r>
      <w:r>
        <w:rPr>
          <w:rFonts w:hint="eastAsia"/>
          <w:color w:val="000000"/>
          <w:szCs w:val="21"/>
        </w:rPr>
        <w:t>1999</w:t>
      </w:r>
      <w:r>
        <w:rPr>
          <w:rFonts w:hint="eastAsia"/>
          <w:color w:val="000000"/>
          <w:szCs w:val="21"/>
        </w:rPr>
        <w:t>年，</w:t>
      </w:r>
      <w:r>
        <w:rPr>
          <w:rFonts w:hint="eastAsia"/>
          <w:color w:val="000000"/>
          <w:szCs w:val="21"/>
        </w:rPr>
        <w:t xml:space="preserve">Lunduyan </w:t>
      </w:r>
      <w:r>
        <w:rPr>
          <w:rFonts w:hint="eastAsia"/>
          <w:color w:val="000000"/>
          <w:szCs w:val="21"/>
        </w:rPr>
        <w:t>与邦板牙社会行动委员会、圣方济各教会和</w:t>
      </w:r>
      <w:r>
        <w:rPr>
          <w:rFonts w:hint="eastAsia"/>
          <w:color w:val="000000"/>
          <w:szCs w:val="21"/>
        </w:rPr>
        <w:t>Bahay Tuluyan</w:t>
      </w:r>
      <w:r>
        <w:rPr>
          <w:rFonts w:hint="eastAsia"/>
          <w:color w:val="000000"/>
          <w:szCs w:val="21"/>
        </w:rPr>
        <w:t>合作，将预防艾滋病毒</w:t>
      </w:r>
      <w:r>
        <w:rPr>
          <w:rFonts w:hint="eastAsia"/>
          <w:color w:val="000000"/>
          <w:szCs w:val="21"/>
        </w:rPr>
        <w:t>/</w:t>
      </w:r>
      <w:r>
        <w:rPr>
          <w:rFonts w:hint="eastAsia"/>
          <w:color w:val="000000"/>
          <w:szCs w:val="21"/>
        </w:rPr>
        <w:t>艾滋病和儿童权利的增进及保护纳入这些组织就诸如土地获得</w:t>
      </w:r>
      <w:r>
        <w:rPr>
          <w:rFonts w:hint="eastAsia"/>
          <w:color w:val="000000"/>
          <w:szCs w:val="21"/>
        </w:rPr>
        <w:t>、安置和扶贫等问题所做的努力中。</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另一个非政府组织——性别和保健技术合作社——为卫生部官员先后就如何将性别观点纳入其项目和活动主流举办了八期培训班。其中三期是在中央办事处举办的，五期是在地区办事处举办的。在各地方政府机构也举办了响应培训班。</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菲律宾女童子军围绕营养问题（体重、喂养和发育监测）、个人卫生、保健和计划生育举办了培训班；提供免费的牙科和医疗服务、除虫和接种疫苗；并参与了卫生部举办的口服补液疗法讲座。女童子军们还致力于散发种子、</w:t>
      </w:r>
      <w:r>
        <w:rPr>
          <w:rFonts w:hint="eastAsia"/>
          <w:color w:val="000000"/>
          <w:szCs w:val="21"/>
        </w:rPr>
        <w:t>播种草药和帮助社区建造防水厕所或出粪式厕所、卫生间和安全饮水系统。</w:t>
      </w:r>
    </w:p>
    <w:p w:rsidR="00000000" w:rsidRDefault="00821B8F">
      <w:pPr>
        <w:pStyle w:val="H1"/>
        <w:rPr>
          <w:rFonts w:hint="eastAsia"/>
        </w:rPr>
      </w:pPr>
      <w:r>
        <w:t xml:space="preserve">C. </w:t>
      </w:r>
      <w:r>
        <w:rPr>
          <w:rFonts w:hint="eastAsia"/>
        </w:rPr>
        <w:t>未解决的问题和仍然面临的挑战</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政府千方百计地满足妇女的全面保健需求。可是，还必须满足老年妇女的需要，因为妇女的寿命预计越来越长。对其他年龄组，比如少年和更年期妇女尚未给予足够的注意。需要以全盘兼顾的方式加强现有方案和服务的实施，以便充分满足妇女在整个生命期的需求。必须提供更多的资源以扩大各种保健方案的覆盖面。还有必要就</w:t>
      </w:r>
      <w:r>
        <w:rPr>
          <w:rFonts w:hint="eastAsia"/>
          <w:color w:val="000000"/>
          <w:spacing w:val="-2"/>
          <w:szCs w:val="21"/>
        </w:rPr>
        <w:t>政府有关妇女保健和福祉的方案和服务的具体成效编写文件。</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地方政府机构在确保妇女保健方案和服务落实到社区方面起到关键作用。必须刻不容缓地解决下放保健服务提供管理权限所产生的各种问题，并</w:t>
      </w:r>
      <w:r>
        <w:rPr>
          <w:rFonts w:hint="eastAsia"/>
          <w:szCs w:val="21"/>
        </w:rPr>
        <w:t>且在下放管理权限时要考虑到地方政府执行方案的财力和技术能力。此外，地方治理各个方面的培训和能力建设都必须包括对性别问题有敏感认识。联合国人口基金和欧洲联盟的若干项目已经着手满足地方政府的需要，必须加以监测以免偏离目标。卫生系统的统计数据必须一律按性别和其他属性分列。</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关于对妇女的暴力，目前对这类问题的处理仍然局限于纯医学性质，尽管现已着手对卫生专业人员和各服务中心进行有关适当处理对妇女的暴力案件的教育（见第</w:t>
      </w:r>
      <w:r>
        <w:rPr>
          <w:rFonts w:hint="eastAsia"/>
          <w:szCs w:val="21"/>
        </w:rPr>
        <w:t>211</w:t>
      </w:r>
      <w:r>
        <w:rPr>
          <w:rFonts w:hint="eastAsia"/>
          <w:szCs w:val="21"/>
        </w:rPr>
        <w:t>段）。</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还必须密切监测《国家健康保险法执行细则和条例》的修订工作，以确保有利于妇女的条款得到</w:t>
      </w:r>
      <w:r>
        <w:rPr>
          <w:rFonts w:hint="eastAsia"/>
          <w:szCs w:val="21"/>
        </w:rPr>
        <w:t>考虑并纳入该方案。包括扩大国家健康保险方案在内的“计划</w:t>
      </w:r>
      <w:r>
        <w:rPr>
          <w:rFonts w:hint="eastAsia"/>
          <w:szCs w:val="21"/>
        </w:rPr>
        <w:t>500</w:t>
      </w:r>
      <w:r>
        <w:rPr>
          <w:rFonts w:hint="eastAsia"/>
          <w:szCs w:val="21"/>
        </w:rPr>
        <w:t>”也只字未提妇女。有必要对该计划的内容及其如何将性别问题纳入其主要成分进行审查。</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虽然已在各地区和中央办事处对卫生部的官员进行了性别与保健培训，但是尚未见到执行学员将性别观点纳入其项目和活动主流的行动计划。譬如，他们应当加强努力，争取男子参加和支持负责任的父母，包括计划生育和抚养儿女，以确保其子女和配偶的安康。</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在</w:t>
      </w:r>
      <w:r>
        <w:rPr>
          <w:rFonts w:hint="eastAsia"/>
          <w:szCs w:val="21"/>
        </w:rPr>
        <w:t>2002</w:t>
      </w:r>
      <w:r>
        <w:rPr>
          <w:rFonts w:hint="eastAsia"/>
          <w:szCs w:val="21"/>
        </w:rPr>
        <w:t>年起草《生殖保健议案》时出现了各种意见分歧。该议案中指出需要排除堕胎的法律障碍的解释性说明引起了激烈辩论。卫生部强调政府不要</w:t>
      </w:r>
      <w:r>
        <w:rPr>
          <w:rFonts w:hint="eastAsia"/>
          <w:szCs w:val="21"/>
        </w:rPr>
        <w:t>提倡把堕胎作为一种计划生育方法。值得关注的是预防和治疗堕胎并发症。该部之所以赞成该议案，是因为可能以此为依据在计划生育方案之外为穷人提供更多的货物和服务。但卫生部不同意在议案中列入各种应急避孕方法。此前，它曾支持采用这些方法，因为世界卫生组织证明它们对胎儿无害。后来该部邀请外国研究人员对应急避孕方法进行了研究，他们指出这些做法可能引起流产，遂采取了现政府反对人工避孕的立场。有些地方政府，比如马尼拉市，已经禁止传播有关应急避孕及人工避孕的信息并禁止销售有关药物和器具。</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当前对妇女健康的关注围绕着妇女在整个生</w:t>
      </w:r>
      <w:r>
        <w:rPr>
          <w:rFonts w:hint="eastAsia"/>
          <w:szCs w:val="21"/>
        </w:rPr>
        <w:t>命期的全面保健需要。必须结合妇女所扮演的各种角色来看待她们的保健和营养需要。除了生殖保健之外，还应注意心理健康、职业健康和安全及环境对妇女健康的影响。若想增强妇女的能力，使她们过上富有生产力的健康生活，就需要使广大妇女享受包括生殖保健在内的妇女综合保健服务。必须向男女提供适当的教育和信息，以便他们在生殖保健问题上做出明智的选择。</w:t>
      </w:r>
    </w:p>
    <w:p w:rsidR="00000000" w:rsidRDefault="00821B8F">
      <w:pPr>
        <w:pStyle w:val="TOC1"/>
        <w:spacing w:before="120"/>
        <w:rPr>
          <w:rFonts w:ascii="SimHei" w:hint="eastAsia"/>
        </w:rPr>
      </w:pPr>
      <w:r>
        <w:rPr>
          <w:rFonts w:ascii="SimHei" w:hint="eastAsia"/>
        </w:rPr>
        <w:t>第十三条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社会和经济福利</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平等地享有经济和社会生活的其他方面的权利，特别是在家属津贴、金融贷款和娱乐、体育和文化方面的机会</w:t>
      </w:r>
    </w:p>
    <w:p w:rsidR="00000000" w:rsidRDefault="00821B8F">
      <w:pPr>
        <w:pStyle w:val="H1"/>
        <w:rPr>
          <w:rFonts w:hint="eastAsia"/>
        </w:rPr>
      </w:pPr>
      <w:r>
        <w:rPr>
          <w:rFonts w:hint="eastAsia"/>
        </w:rPr>
        <w:t>A</w:t>
      </w:r>
      <w:r>
        <w:rPr>
          <w:rFonts w:hint="eastAsia"/>
        </w:rPr>
        <w:t>．妇女的状况</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《宪法》作为一项国策，主张在国家发展的</w:t>
      </w:r>
      <w:r>
        <w:rPr>
          <w:rFonts w:hint="eastAsia"/>
          <w:szCs w:val="21"/>
        </w:rPr>
        <w:t>各个方面促进公正而充满活力的社会秩序和社会正义（第二条第</w:t>
      </w:r>
      <w:r>
        <w:rPr>
          <w:rFonts w:hint="eastAsia"/>
          <w:szCs w:val="21"/>
        </w:rPr>
        <w:t>9</w:t>
      </w:r>
      <w:r>
        <w:rPr>
          <w:rFonts w:hint="eastAsia"/>
          <w:szCs w:val="21"/>
        </w:rPr>
        <w:t>款和第</w:t>
      </w:r>
      <w:r>
        <w:rPr>
          <w:rFonts w:hint="eastAsia"/>
          <w:szCs w:val="21"/>
        </w:rPr>
        <w:t>10</w:t>
      </w:r>
      <w:r>
        <w:rPr>
          <w:rFonts w:hint="eastAsia"/>
          <w:szCs w:val="21"/>
        </w:rPr>
        <w:t>款）。它谋求通过提供完备的社会服务和促进充分就业，使人民摆脱贫穷，提高生活水准，提高全民生活质量。与这些愿望相反，贫穷的经济状况和某些文化准则造成了男女、贫富以及城乡妇女之间的不平等。由于妇女扮演了家人健康和幸福看守者的角色，贫穷的负担大部分落到了她们的肩上。</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减缓贫穷一直是前政府和现政府的关注事项。因此，政府发布了各种政策、执行了各种方案来改善穷人的状况。其中不少是将妇女作为首要受益者的。</w:t>
      </w:r>
    </w:p>
    <w:p w:rsidR="00000000" w:rsidRDefault="00821B8F">
      <w:pPr>
        <w:pStyle w:val="H1"/>
        <w:rPr>
          <w:rFonts w:hint="eastAsia"/>
        </w:rPr>
      </w:pPr>
      <w:r>
        <w:rPr>
          <w:rFonts w:hint="eastAsia"/>
        </w:rPr>
        <w:t>B</w:t>
      </w:r>
      <w:r>
        <w:rPr>
          <w:rFonts w:hint="eastAsia"/>
        </w:rPr>
        <w:t>．政策和方案的制订</w:t>
      </w:r>
    </w:p>
    <w:p w:rsidR="00000000" w:rsidRDefault="00821B8F">
      <w:pPr>
        <w:pStyle w:val="BodyText"/>
        <w:tabs>
          <w:tab w:val="left" w:pos="540"/>
        </w:tabs>
        <w:spacing w:after="120" w:line="360" w:lineRule="exact"/>
        <w:rPr>
          <w:rFonts w:eastAsia="KaiTi_GB2312" w:hint="eastAsia"/>
          <w:b/>
          <w:bCs/>
          <w:color w:val="0000FF"/>
          <w:sz w:val="21"/>
          <w:szCs w:val="21"/>
        </w:rPr>
      </w:pPr>
      <w:r>
        <w:rPr>
          <w:rFonts w:eastAsia="KaiTi_GB2312" w:hint="eastAsia"/>
          <w:b/>
          <w:bCs/>
          <w:color w:val="0000FF"/>
          <w:sz w:val="21"/>
          <w:szCs w:val="21"/>
        </w:rPr>
        <w:t>家庭福利</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鉴于贫穷对菲</w:t>
      </w:r>
      <w:r>
        <w:rPr>
          <w:rFonts w:hint="eastAsia"/>
        </w:rPr>
        <w:t>律宾社会产生了深远影响，历届总统都把减缓贫穷列为其施政的一项重大目标。</w:t>
      </w:r>
    </w:p>
    <w:p w:rsidR="00000000" w:rsidRDefault="00821B8F">
      <w:pPr>
        <w:widowControl/>
        <w:numPr>
          <w:ilvl w:val="0"/>
          <w:numId w:val="1395"/>
        </w:numPr>
        <w:spacing w:after="120" w:line="360" w:lineRule="exact"/>
        <w:rPr>
          <w:rFonts w:hint="eastAsia"/>
          <w:szCs w:val="21"/>
        </w:rPr>
      </w:pPr>
      <w:r>
        <w:rPr>
          <w:rFonts w:hint="eastAsia"/>
          <w:szCs w:val="21"/>
        </w:rPr>
        <w:t>拉莫斯总统（</w:t>
      </w:r>
      <w:r>
        <w:rPr>
          <w:rFonts w:hint="eastAsia"/>
          <w:szCs w:val="21"/>
        </w:rPr>
        <w:t>1992-1998</w:t>
      </w:r>
      <w:r>
        <w:rPr>
          <w:rFonts w:hint="eastAsia"/>
          <w:szCs w:val="21"/>
        </w:rPr>
        <w:t>年）将人民参与和统一扶贫方案及项目纳入社会改革议程中并使之制度化。在最低基本需求办法和全面综合提供社会服务的框架指导下，社会改革议程载有一整套旨在使社会弱势群体融入菲律宾政治经济主流的政府干预措施。</w:t>
      </w:r>
    </w:p>
    <w:p w:rsidR="00000000" w:rsidRDefault="00821B8F">
      <w:pPr>
        <w:widowControl/>
        <w:numPr>
          <w:ilvl w:val="0"/>
          <w:numId w:val="1395"/>
        </w:numPr>
        <w:tabs>
          <w:tab w:val="num" w:pos="540"/>
          <w:tab w:val="num" w:pos="990"/>
        </w:tabs>
        <w:spacing w:after="120" w:line="360" w:lineRule="exact"/>
        <w:rPr>
          <w:rFonts w:hint="eastAsia"/>
          <w:color w:val="000000"/>
          <w:szCs w:val="21"/>
        </w:rPr>
      </w:pPr>
      <w:r>
        <w:rPr>
          <w:rFonts w:hint="eastAsia"/>
          <w:color w:val="000000"/>
          <w:spacing w:val="-2"/>
          <w:szCs w:val="21"/>
        </w:rPr>
        <w:t>埃斯特拉达总统（</w:t>
      </w:r>
      <w:r>
        <w:rPr>
          <w:rFonts w:hint="eastAsia"/>
          <w:color w:val="000000"/>
          <w:spacing w:val="-2"/>
          <w:szCs w:val="21"/>
        </w:rPr>
        <w:t>1998-2000</w:t>
      </w:r>
      <w:r>
        <w:rPr>
          <w:rFonts w:hint="eastAsia"/>
          <w:color w:val="000000"/>
          <w:spacing w:val="-2"/>
          <w:szCs w:val="21"/>
        </w:rPr>
        <w:t>年）通过其全面和</w:t>
      </w:r>
      <w:r>
        <w:rPr>
          <w:rFonts w:hint="eastAsia"/>
          <w:color w:val="000000"/>
          <w:szCs w:val="21"/>
        </w:rPr>
        <w:t>综合提供社会服务旗舰方案，为家庭和社区提供社会服务。除了提供社会服务以外，该方案还致力于增强社区和地方政府机构在社区规划、项目拟订和管理及资源调动方面的能力，其</w:t>
      </w:r>
      <w:r>
        <w:rPr>
          <w:rFonts w:hint="eastAsia"/>
          <w:color w:val="000000"/>
          <w:szCs w:val="21"/>
        </w:rPr>
        <w:t>迅速而有效的拓展能力已为国际所公认。该方案的技术办法也被社会福利部的其他旗舰方案所采纳。</w:t>
      </w:r>
      <w:r>
        <w:rPr>
          <w:rFonts w:hint="eastAsia"/>
          <w:color w:val="000000"/>
          <w:spacing w:val="-2"/>
          <w:szCs w:val="21"/>
        </w:rPr>
        <w:t>社会福利部规定了全面综合地</w:t>
      </w:r>
      <w:r>
        <w:rPr>
          <w:rFonts w:hint="eastAsia"/>
          <w:color w:val="000000"/>
          <w:szCs w:val="21"/>
        </w:rPr>
        <w:t>提供社会服务的指导准则，力求满足所有五六级自治市和城市穷镇弱势家庭和社区的最低基本需求，使他们能享有社会服务。“全面和综合提供社会服务”方案采用社区组织、家庭全面发展、融合和目标明确这四路并进的办法，帮助开发家庭从事生产活动的能力。该部宣布，</w:t>
      </w:r>
      <w:r>
        <w:rPr>
          <w:rFonts w:hint="eastAsia"/>
          <w:color w:val="000000"/>
          <w:szCs w:val="21"/>
        </w:rPr>
        <w:t>1994</w:t>
      </w:r>
      <w:r>
        <w:rPr>
          <w:rFonts w:hint="eastAsia"/>
          <w:color w:val="000000"/>
          <w:szCs w:val="21"/>
        </w:rPr>
        <w:t>至</w:t>
      </w:r>
      <w:r>
        <w:rPr>
          <w:rFonts w:hint="eastAsia"/>
          <w:color w:val="000000"/>
          <w:szCs w:val="21"/>
        </w:rPr>
        <w:t>1998</w:t>
      </w:r>
      <w:r>
        <w:rPr>
          <w:rFonts w:hint="eastAsia"/>
          <w:color w:val="000000"/>
          <w:szCs w:val="21"/>
        </w:rPr>
        <w:t>年，前</w:t>
      </w:r>
      <w:r>
        <w:rPr>
          <w:rFonts w:hint="eastAsia"/>
          <w:color w:val="000000"/>
          <w:szCs w:val="21"/>
        </w:rPr>
        <w:t>10</w:t>
      </w:r>
      <w:r>
        <w:rPr>
          <w:rFonts w:hint="eastAsia"/>
          <w:color w:val="000000"/>
          <w:szCs w:val="21"/>
        </w:rPr>
        <w:t>项未满足的最低基本需求目标平均减少了</w:t>
      </w:r>
      <w:r>
        <w:rPr>
          <w:rFonts w:hint="eastAsia"/>
          <w:color w:val="000000"/>
          <w:szCs w:val="21"/>
        </w:rPr>
        <w:t>68%</w:t>
      </w:r>
      <w:r>
        <w:rPr>
          <w:rFonts w:hint="eastAsia"/>
          <w:color w:val="000000"/>
          <w:szCs w:val="21"/>
        </w:rPr>
        <w:t>。截至</w:t>
      </w:r>
      <w:r>
        <w:rPr>
          <w:rFonts w:hint="eastAsia"/>
          <w:color w:val="000000"/>
          <w:szCs w:val="21"/>
        </w:rPr>
        <w:t>2000</w:t>
      </w:r>
      <w:r>
        <w:rPr>
          <w:rFonts w:hint="eastAsia"/>
          <w:color w:val="000000"/>
          <w:szCs w:val="21"/>
        </w:rPr>
        <w:t>年</w:t>
      </w:r>
      <w:r>
        <w:rPr>
          <w:rFonts w:hint="eastAsia"/>
          <w:color w:val="000000"/>
          <w:szCs w:val="21"/>
        </w:rPr>
        <w:t>12</w:t>
      </w:r>
      <w:r>
        <w:rPr>
          <w:rFonts w:hint="eastAsia"/>
          <w:color w:val="000000"/>
          <w:szCs w:val="21"/>
        </w:rPr>
        <w:t>月，该方案已在</w:t>
      </w:r>
      <w:r>
        <w:rPr>
          <w:rFonts w:hint="eastAsia"/>
          <w:color w:val="000000"/>
          <w:szCs w:val="21"/>
        </w:rPr>
        <w:t xml:space="preserve"> 1 084</w:t>
      </w:r>
      <w:r>
        <w:rPr>
          <w:rFonts w:hint="eastAsia"/>
          <w:color w:val="000000"/>
          <w:szCs w:val="21"/>
        </w:rPr>
        <w:t>个市的</w:t>
      </w:r>
      <w:r>
        <w:rPr>
          <w:rFonts w:hint="eastAsia"/>
          <w:color w:val="000000"/>
          <w:szCs w:val="21"/>
        </w:rPr>
        <w:t>3 250</w:t>
      </w:r>
      <w:r>
        <w:rPr>
          <w:rFonts w:hint="eastAsia"/>
          <w:color w:val="000000"/>
          <w:szCs w:val="21"/>
        </w:rPr>
        <w:t>个镇和</w:t>
      </w:r>
      <w:r>
        <w:rPr>
          <w:rFonts w:hint="eastAsia"/>
          <w:color w:val="000000"/>
          <w:szCs w:val="21"/>
        </w:rPr>
        <w:t>100</w:t>
      </w:r>
      <w:r>
        <w:rPr>
          <w:rFonts w:hint="eastAsia"/>
          <w:color w:val="000000"/>
          <w:szCs w:val="21"/>
        </w:rPr>
        <w:t>个城市贫穷社</w:t>
      </w:r>
      <w:r>
        <w:rPr>
          <w:rFonts w:hint="eastAsia"/>
          <w:color w:val="000000"/>
          <w:szCs w:val="21"/>
        </w:rPr>
        <w:t>区得到执行，</w:t>
      </w:r>
      <w:r>
        <w:rPr>
          <w:rFonts w:hint="eastAsia"/>
          <w:color w:val="000000"/>
          <w:szCs w:val="21"/>
        </w:rPr>
        <w:t>233 128</w:t>
      </w:r>
      <w:r>
        <w:rPr>
          <w:rFonts w:hint="eastAsia"/>
          <w:color w:val="000000"/>
          <w:szCs w:val="21"/>
        </w:rPr>
        <w:t>个家庭从中获益。</w:t>
      </w:r>
      <w:r>
        <w:rPr>
          <w:rFonts w:hint="eastAsia"/>
          <w:color w:val="000000"/>
          <w:spacing w:val="-2"/>
          <w:szCs w:val="21"/>
        </w:rPr>
        <w:t xml:space="preserve"> </w:t>
      </w:r>
    </w:p>
    <w:p w:rsidR="00000000" w:rsidRDefault="00821B8F">
      <w:pPr>
        <w:widowControl/>
        <w:numPr>
          <w:ilvl w:val="0"/>
          <w:numId w:val="1395"/>
        </w:numPr>
        <w:tabs>
          <w:tab w:val="num" w:pos="540"/>
          <w:tab w:val="num" w:pos="990"/>
        </w:tabs>
        <w:spacing w:after="120" w:line="360" w:lineRule="exact"/>
        <w:rPr>
          <w:rFonts w:hint="eastAsia"/>
          <w:szCs w:val="21"/>
        </w:rPr>
      </w:pPr>
      <w:r>
        <w:rPr>
          <w:rFonts w:hint="eastAsia"/>
          <w:szCs w:val="21"/>
        </w:rPr>
        <w:t>2001</w:t>
      </w:r>
      <w:r>
        <w:rPr>
          <w:rFonts w:hint="eastAsia"/>
          <w:szCs w:val="21"/>
        </w:rPr>
        <w:t>年，阿罗约总统发起了国家扶贫委员会管辖的共同消除贫穷行动方案，作为加速、集中和系统地消除贫穷的一个平台。该方案是与各贫穷部门协商后制定的。</w:t>
      </w:r>
      <w:r>
        <w:rPr>
          <w:rFonts w:hint="eastAsia"/>
          <w:szCs w:val="21"/>
        </w:rPr>
        <w:t>2002</w:t>
      </w:r>
      <w:r>
        <w:rPr>
          <w:rFonts w:hint="eastAsia"/>
          <w:szCs w:val="21"/>
        </w:rPr>
        <w:t>年，共同消除贫穷行动方案资助了一些项目，以满足全国最低收入（五六级）自治市</w:t>
      </w:r>
      <w:r>
        <w:rPr>
          <w:rFonts w:hint="eastAsia"/>
          <w:szCs w:val="21"/>
        </w:rPr>
        <w:t>367</w:t>
      </w:r>
      <w:r>
        <w:rPr>
          <w:rFonts w:hint="eastAsia"/>
          <w:szCs w:val="21"/>
        </w:rPr>
        <w:t>个镇穷人的未满足最低基本需求。这些项目主要是基础设施、电气化项目、住房援助、生计和各机构的其他基本服务方案。</w:t>
      </w:r>
      <w:r>
        <w:rPr>
          <w:rFonts w:hint="eastAsia"/>
          <w:szCs w:val="21"/>
        </w:rPr>
        <w:t>2003</w:t>
      </w:r>
      <w:r>
        <w:rPr>
          <w:rFonts w:hint="eastAsia"/>
          <w:szCs w:val="21"/>
        </w:rPr>
        <w:t>年</w:t>
      </w:r>
      <w:r>
        <w:rPr>
          <w:rFonts w:hint="eastAsia"/>
          <w:szCs w:val="21"/>
        </w:rPr>
        <w:t>1</w:t>
      </w:r>
      <w:r>
        <w:rPr>
          <w:rFonts w:hint="eastAsia"/>
          <w:szCs w:val="21"/>
        </w:rPr>
        <w:t>月，共同消除贫穷行动方案与全面和综合提供社会服务办法合二为一。共同消除贫穷行动与全面和综合提供社会服务</w:t>
      </w:r>
      <w:r>
        <w:rPr>
          <w:rFonts w:hint="eastAsia"/>
          <w:color w:val="000000"/>
          <w:szCs w:val="21"/>
        </w:rPr>
        <w:t>是“一种由</w:t>
      </w:r>
      <w:r>
        <w:rPr>
          <w:rFonts w:hint="eastAsia"/>
          <w:szCs w:val="21"/>
        </w:rPr>
        <w:t>社区推动的发展项目，其决策权归属社区……社区项目也由社区根据其善政价值及其可持续性来执行和管理”（社会福利和发展部，</w:t>
      </w:r>
      <w:r>
        <w:rPr>
          <w:rFonts w:hint="eastAsia"/>
          <w:szCs w:val="21"/>
        </w:rPr>
        <w:t>2004</w:t>
      </w:r>
      <w:r>
        <w:rPr>
          <w:rFonts w:hint="eastAsia"/>
          <w:szCs w:val="21"/>
        </w:rPr>
        <w:t>年）。</w:t>
      </w:r>
    </w:p>
    <w:p w:rsidR="00000000" w:rsidRDefault="00821B8F">
      <w:pPr>
        <w:widowControl/>
        <w:numPr>
          <w:ilvl w:val="0"/>
          <w:numId w:val="1395"/>
        </w:numPr>
        <w:tabs>
          <w:tab w:val="num" w:pos="540"/>
          <w:tab w:val="num" w:pos="990"/>
        </w:tabs>
        <w:spacing w:after="120" w:line="360" w:lineRule="exact"/>
        <w:rPr>
          <w:rFonts w:hint="eastAsia"/>
          <w:szCs w:val="21"/>
        </w:rPr>
      </w:pPr>
      <w:r>
        <w:rPr>
          <w:rFonts w:hint="eastAsia"/>
          <w:szCs w:val="21"/>
        </w:rPr>
        <w:t>自</w:t>
      </w:r>
      <w:r>
        <w:rPr>
          <w:rFonts w:hint="eastAsia"/>
          <w:szCs w:val="21"/>
        </w:rPr>
        <w:t>2003</w:t>
      </w:r>
      <w:r>
        <w:rPr>
          <w:rFonts w:hint="eastAsia"/>
          <w:szCs w:val="21"/>
        </w:rPr>
        <w:t>年</w:t>
      </w:r>
      <w:r>
        <w:rPr>
          <w:rFonts w:hint="eastAsia"/>
          <w:szCs w:val="21"/>
        </w:rPr>
        <w:t>1</w:t>
      </w:r>
      <w:r>
        <w:rPr>
          <w:rFonts w:hint="eastAsia"/>
          <w:szCs w:val="21"/>
        </w:rPr>
        <w:t>月以来，据报告，共同消除贫穷行动与全面和综合提供社会服务项目遍及</w:t>
      </w:r>
      <w:r>
        <w:rPr>
          <w:rFonts w:hint="eastAsia"/>
          <w:szCs w:val="21"/>
        </w:rPr>
        <w:t>67</w:t>
      </w:r>
      <w:r>
        <w:rPr>
          <w:rFonts w:hint="eastAsia"/>
          <w:szCs w:val="21"/>
        </w:rPr>
        <w:t>个市的</w:t>
      </w:r>
      <w:r>
        <w:rPr>
          <w:rFonts w:hint="eastAsia"/>
          <w:szCs w:val="21"/>
        </w:rPr>
        <w:t xml:space="preserve">1 503 </w:t>
      </w:r>
      <w:r>
        <w:rPr>
          <w:rFonts w:hint="eastAsia"/>
          <w:szCs w:val="21"/>
        </w:rPr>
        <w:t>个贫穷镇，相当于</w:t>
      </w:r>
      <w:r>
        <w:rPr>
          <w:rFonts w:hint="eastAsia"/>
          <w:szCs w:val="21"/>
        </w:rPr>
        <w:t>35%</w:t>
      </w:r>
      <w:r>
        <w:rPr>
          <w:rFonts w:hint="eastAsia"/>
          <w:szCs w:val="21"/>
        </w:rPr>
        <w:t>的目标镇和</w:t>
      </w:r>
      <w:r>
        <w:rPr>
          <w:rFonts w:hint="eastAsia"/>
          <w:szCs w:val="21"/>
        </w:rPr>
        <w:t>38%</w:t>
      </w:r>
      <w:r>
        <w:rPr>
          <w:rFonts w:hint="eastAsia"/>
          <w:szCs w:val="21"/>
        </w:rPr>
        <w:t>的目标市，而这一成就仅用了整个项目寿命期的</w:t>
      </w:r>
      <w:r>
        <w:rPr>
          <w:rFonts w:hint="eastAsia"/>
          <w:szCs w:val="21"/>
        </w:rPr>
        <w:t>17%</w:t>
      </w:r>
      <w:r>
        <w:rPr>
          <w:rFonts w:hint="eastAsia"/>
          <w:szCs w:val="21"/>
        </w:rPr>
        <w:t>。据称，这种项目还涵盖了目标镇</w:t>
      </w:r>
      <w:r>
        <w:rPr>
          <w:rFonts w:hint="eastAsia"/>
          <w:szCs w:val="21"/>
        </w:rPr>
        <w:t>80%</w:t>
      </w:r>
      <w:r>
        <w:rPr>
          <w:rFonts w:hint="eastAsia"/>
          <w:szCs w:val="21"/>
        </w:rPr>
        <w:t>以上的总人口，有些地区甚至达到</w:t>
      </w:r>
      <w:r>
        <w:rPr>
          <w:rFonts w:hint="eastAsia"/>
          <w:szCs w:val="21"/>
        </w:rPr>
        <w:t>98%</w:t>
      </w:r>
      <w:r>
        <w:rPr>
          <w:rFonts w:hint="eastAsia"/>
          <w:szCs w:val="21"/>
        </w:rPr>
        <w:t>。由各镇推选的社区志愿者设计了镇行动计划，日后这种行动计划提交镇议会核查。到目前为止，共同消除贫穷行动与全面和综合提供社会</w:t>
      </w:r>
      <w:r>
        <w:rPr>
          <w:rFonts w:hint="eastAsia"/>
          <w:szCs w:val="21"/>
        </w:rPr>
        <w:t>服务已在第一阶段为</w:t>
      </w:r>
      <w:r>
        <w:rPr>
          <w:rFonts w:hint="eastAsia"/>
          <w:szCs w:val="21"/>
        </w:rPr>
        <w:t>201</w:t>
      </w:r>
      <w:r>
        <w:rPr>
          <w:rFonts w:hint="eastAsia"/>
          <w:szCs w:val="21"/>
        </w:rPr>
        <w:t>个镇中的</w:t>
      </w:r>
      <w:r>
        <w:rPr>
          <w:rFonts w:hint="eastAsia"/>
          <w:szCs w:val="21"/>
        </w:rPr>
        <w:t>114</w:t>
      </w:r>
      <w:r>
        <w:rPr>
          <w:rFonts w:hint="eastAsia"/>
          <w:szCs w:val="21"/>
        </w:rPr>
        <w:t>个镇的社区发展项目提供资金；据报告，本地社区合作方的投资占项目总费用的</w:t>
      </w:r>
      <w:r>
        <w:rPr>
          <w:rFonts w:hint="eastAsia"/>
          <w:szCs w:val="21"/>
        </w:rPr>
        <w:t>37%</w:t>
      </w:r>
      <w:r>
        <w:rPr>
          <w:rFonts w:hint="eastAsia"/>
          <w:szCs w:val="21"/>
        </w:rPr>
        <w:t>。截至</w:t>
      </w:r>
      <w:r>
        <w:rPr>
          <w:rFonts w:hint="eastAsia"/>
          <w:szCs w:val="21"/>
        </w:rPr>
        <w:t>2003</w:t>
      </w:r>
      <w:r>
        <w:rPr>
          <w:rFonts w:hint="eastAsia"/>
          <w:szCs w:val="21"/>
        </w:rPr>
        <w:t>年</w:t>
      </w:r>
      <w:r>
        <w:rPr>
          <w:rFonts w:hint="eastAsia"/>
          <w:szCs w:val="21"/>
        </w:rPr>
        <w:t>11</w:t>
      </w:r>
      <w:r>
        <w:rPr>
          <w:rFonts w:hint="eastAsia"/>
          <w:szCs w:val="21"/>
        </w:rPr>
        <w:t>月</w:t>
      </w:r>
      <w:r>
        <w:rPr>
          <w:rFonts w:hint="eastAsia"/>
          <w:szCs w:val="21"/>
        </w:rPr>
        <w:t>15</w:t>
      </w:r>
      <w:r>
        <w:rPr>
          <w:rFonts w:hint="eastAsia"/>
          <w:szCs w:val="21"/>
        </w:rPr>
        <w:t>日，共同消除贫穷行动与全面和综合提供社会服务项目的资金分别划拨给供水项目（</w:t>
      </w:r>
      <w:r>
        <w:rPr>
          <w:rFonts w:hint="eastAsia"/>
          <w:szCs w:val="21"/>
        </w:rPr>
        <w:t>47%</w:t>
      </w:r>
      <w:r>
        <w:rPr>
          <w:rFonts w:hint="eastAsia"/>
          <w:szCs w:val="21"/>
        </w:rPr>
        <w:t>）、道路项目（</w:t>
      </w:r>
      <w:r>
        <w:rPr>
          <w:rFonts w:hint="eastAsia"/>
          <w:szCs w:val="21"/>
        </w:rPr>
        <w:t>24%</w:t>
      </w:r>
      <w:r>
        <w:rPr>
          <w:rFonts w:hint="eastAsia"/>
          <w:szCs w:val="21"/>
        </w:rPr>
        <w:t>）、学校教室（</w:t>
      </w:r>
      <w:r>
        <w:rPr>
          <w:rFonts w:hint="eastAsia"/>
          <w:szCs w:val="21"/>
        </w:rPr>
        <w:t>7%</w:t>
      </w:r>
      <w:r>
        <w:rPr>
          <w:rFonts w:hint="eastAsia"/>
          <w:szCs w:val="21"/>
        </w:rPr>
        <w:t>）、多功能建筑物（</w:t>
      </w:r>
      <w:r>
        <w:rPr>
          <w:rFonts w:hint="eastAsia"/>
          <w:szCs w:val="21"/>
        </w:rPr>
        <w:t>5%</w:t>
      </w:r>
      <w:r>
        <w:rPr>
          <w:rFonts w:hint="eastAsia"/>
          <w:szCs w:val="21"/>
        </w:rPr>
        <w:t>）、日托中心（</w:t>
      </w:r>
      <w:r>
        <w:rPr>
          <w:rFonts w:hint="eastAsia"/>
          <w:szCs w:val="21"/>
        </w:rPr>
        <w:t>4%</w:t>
      </w:r>
      <w:r>
        <w:rPr>
          <w:rFonts w:hint="eastAsia"/>
          <w:szCs w:val="21"/>
        </w:rPr>
        <w:t>）、卫生站（</w:t>
      </w:r>
      <w:r>
        <w:rPr>
          <w:rFonts w:hint="eastAsia"/>
          <w:szCs w:val="21"/>
        </w:rPr>
        <w:t>3%</w:t>
      </w:r>
      <w:r>
        <w:rPr>
          <w:rFonts w:hint="eastAsia"/>
          <w:szCs w:val="21"/>
        </w:rPr>
        <w:t>）及其他项目。</w:t>
      </w:r>
      <w:r>
        <w:rPr>
          <w:rFonts w:hint="eastAsia"/>
          <w:szCs w:val="21"/>
        </w:rPr>
        <w:t xml:space="preserve"> </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与此同时，菲律宾国会通过了若干法律并审议了若干议案，意在缓解妇女在各种家庭料理角色中所承受的压力，并向她们提供帮助。</w:t>
      </w:r>
    </w:p>
    <w:p w:rsidR="00000000" w:rsidRDefault="00821B8F">
      <w:pPr>
        <w:widowControl/>
        <w:numPr>
          <w:ilvl w:val="0"/>
          <w:numId w:val="1399"/>
        </w:numPr>
        <w:tabs>
          <w:tab w:val="clear" w:pos="841"/>
          <w:tab w:val="num" w:pos="1080"/>
        </w:tabs>
        <w:spacing w:after="120" w:line="360" w:lineRule="exact"/>
        <w:ind w:left="1080" w:hanging="480"/>
        <w:rPr>
          <w:rFonts w:hint="eastAsia"/>
          <w:spacing w:val="-2"/>
          <w:szCs w:val="21"/>
        </w:rPr>
      </w:pPr>
      <w:r>
        <w:rPr>
          <w:rFonts w:hint="eastAsia"/>
          <w:spacing w:val="-2"/>
          <w:szCs w:val="21"/>
        </w:rPr>
        <w:t>第十一条的讨论中指出，第</w:t>
      </w:r>
      <w:r>
        <w:rPr>
          <w:rFonts w:hint="eastAsia"/>
          <w:spacing w:val="-2"/>
          <w:szCs w:val="21"/>
        </w:rPr>
        <w:t>8972</w:t>
      </w:r>
      <w:r>
        <w:rPr>
          <w:rFonts w:hint="eastAsia"/>
          <w:spacing w:val="-2"/>
          <w:szCs w:val="21"/>
        </w:rPr>
        <w:t>号共和国法令，即《</w:t>
      </w:r>
      <w:r>
        <w:rPr>
          <w:rFonts w:hint="eastAsia"/>
          <w:spacing w:val="-2"/>
          <w:szCs w:val="21"/>
        </w:rPr>
        <w:t>2000</w:t>
      </w:r>
      <w:r>
        <w:rPr>
          <w:rFonts w:hint="eastAsia"/>
          <w:spacing w:val="-2"/>
          <w:szCs w:val="21"/>
        </w:rPr>
        <w:t>年</w:t>
      </w:r>
      <w:r>
        <w:rPr>
          <w:rFonts w:hint="eastAsia"/>
          <w:spacing w:val="-2"/>
          <w:szCs w:val="21"/>
        </w:rPr>
        <w:t>单亲父母福利法》为单亲父母及其子女提供了一个社会发展和福利服务综合方案。参与执行该方案的有社会福利部、卫生部、教育部、劳工部及内政和地方政府部，还有高等教育委员会、技术教育和技能发展管理局以及国家住房管理局。</w:t>
      </w:r>
      <w:r>
        <w:rPr>
          <w:rFonts w:hint="eastAsia"/>
          <w:spacing w:val="-2"/>
          <w:szCs w:val="21"/>
        </w:rPr>
        <w:t>2002</w:t>
      </w:r>
      <w:r>
        <w:rPr>
          <w:rFonts w:hint="eastAsia"/>
          <w:spacing w:val="-2"/>
          <w:szCs w:val="21"/>
        </w:rPr>
        <w:t>年</w:t>
      </w:r>
      <w:r>
        <w:rPr>
          <w:rFonts w:hint="eastAsia"/>
          <w:spacing w:val="-2"/>
          <w:szCs w:val="21"/>
        </w:rPr>
        <w:t>4</w:t>
      </w:r>
      <w:r>
        <w:rPr>
          <w:rFonts w:hint="eastAsia"/>
          <w:spacing w:val="-2"/>
          <w:szCs w:val="21"/>
        </w:rPr>
        <w:t>月通过了该法令的《执行细则和条例》。</w:t>
      </w:r>
    </w:p>
    <w:p w:rsidR="00000000" w:rsidRDefault="00821B8F">
      <w:pPr>
        <w:widowControl/>
        <w:numPr>
          <w:ilvl w:val="0"/>
          <w:numId w:val="1399"/>
        </w:numPr>
        <w:tabs>
          <w:tab w:val="clear" w:pos="841"/>
          <w:tab w:val="num" w:pos="1080"/>
        </w:tabs>
        <w:spacing w:after="120" w:line="360" w:lineRule="exact"/>
        <w:ind w:left="1080" w:hanging="480"/>
        <w:rPr>
          <w:rFonts w:hint="eastAsia"/>
          <w:spacing w:val="-2"/>
          <w:szCs w:val="21"/>
        </w:rPr>
      </w:pPr>
      <w:r>
        <w:rPr>
          <w:rFonts w:hint="eastAsia"/>
          <w:spacing w:val="-2"/>
          <w:szCs w:val="21"/>
        </w:rPr>
        <w:t>第</w:t>
      </w:r>
      <w:r>
        <w:rPr>
          <w:rFonts w:hint="eastAsia"/>
          <w:spacing w:val="-2"/>
          <w:szCs w:val="21"/>
        </w:rPr>
        <w:t>158</w:t>
      </w:r>
      <w:r>
        <w:rPr>
          <w:rFonts w:hint="eastAsia"/>
          <w:spacing w:val="-2"/>
          <w:szCs w:val="21"/>
        </w:rPr>
        <w:t>段还指出，《</w:t>
      </w:r>
      <w:r>
        <w:rPr>
          <w:rFonts w:hint="eastAsia"/>
          <w:spacing w:val="-2"/>
          <w:szCs w:val="21"/>
        </w:rPr>
        <w:t>2000</w:t>
      </w:r>
      <w:r>
        <w:rPr>
          <w:rFonts w:hint="eastAsia"/>
          <w:spacing w:val="-2"/>
          <w:szCs w:val="21"/>
        </w:rPr>
        <w:t>年幼儿保育和发展法》为一项全面、一体和可持续的国家方案提供了法律框架，以帮助男女照顾和培养其幼儿。</w:t>
      </w:r>
    </w:p>
    <w:p w:rsidR="00000000" w:rsidRDefault="00821B8F">
      <w:pPr>
        <w:widowControl/>
        <w:numPr>
          <w:ilvl w:val="0"/>
          <w:numId w:val="1399"/>
        </w:numPr>
        <w:tabs>
          <w:tab w:val="clear" w:pos="841"/>
          <w:tab w:val="num" w:pos="1080"/>
        </w:tabs>
        <w:spacing w:after="120" w:line="360" w:lineRule="exact"/>
        <w:ind w:left="1080" w:hanging="480"/>
        <w:rPr>
          <w:rFonts w:hint="eastAsia"/>
          <w:spacing w:val="-2"/>
          <w:szCs w:val="21"/>
        </w:rPr>
      </w:pPr>
      <w:r>
        <w:rPr>
          <w:rFonts w:hint="eastAsia"/>
          <w:spacing w:val="-2"/>
          <w:szCs w:val="21"/>
        </w:rPr>
        <w:t>《</w:t>
      </w:r>
      <w:r>
        <w:rPr>
          <w:rFonts w:hint="eastAsia"/>
          <w:spacing w:val="-2"/>
          <w:szCs w:val="21"/>
        </w:rPr>
        <w:t>2003</w:t>
      </w:r>
      <w:r>
        <w:rPr>
          <w:rFonts w:hint="eastAsia"/>
          <w:spacing w:val="-2"/>
          <w:szCs w:val="21"/>
        </w:rPr>
        <w:t>年扩大的老年公民法》（第</w:t>
      </w:r>
      <w:r>
        <w:rPr>
          <w:rFonts w:hint="eastAsia"/>
          <w:spacing w:val="-2"/>
          <w:szCs w:val="21"/>
        </w:rPr>
        <w:t>9257</w:t>
      </w:r>
      <w:r>
        <w:rPr>
          <w:rFonts w:hint="eastAsia"/>
          <w:spacing w:val="-2"/>
          <w:szCs w:val="21"/>
        </w:rPr>
        <w:t>号共和国法令）通过修正第</w:t>
      </w:r>
      <w:r>
        <w:rPr>
          <w:rFonts w:hint="eastAsia"/>
          <w:spacing w:val="-2"/>
          <w:szCs w:val="21"/>
        </w:rPr>
        <w:t>7432</w:t>
      </w:r>
      <w:r>
        <w:rPr>
          <w:rFonts w:hint="eastAsia"/>
          <w:spacing w:val="-2"/>
          <w:szCs w:val="21"/>
        </w:rPr>
        <w:t>号共和国法令，为老年公民提供了额外的福利和特权。除其</w:t>
      </w:r>
      <w:r>
        <w:rPr>
          <w:rFonts w:hint="eastAsia"/>
          <w:spacing w:val="-2"/>
          <w:szCs w:val="21"/>
        </w:rPr>
        <w:t>他以外，这些额外福利和特权包括：各单位的贴现、所得税减免、在政府设施和私营设施就医的医疗特权和牙科特权。</w:t>
      </w:r>
    </w:p>
    <w:p w:rsidR="00000000" w:rsidRDefault="00821B8F">
      <w:pPr>
        <w:widowControl/>
        <w:numPr>
          <w:ilvl w:val="0"/>
          <w:numId w:val="1399"/>
        </w:numPr>
        <w:tabs>
          <w:tab w:val="clear" w:pos="841"/>
          <w:tab w:val="num" w:pos="1080"/>
        </w:tabs>
        <w:spacing w:after="120" w:line="360" w:lineRule="exact"/>
        <w:ind w:left="1080" w:hanging="480"/>
        <w:rPr>
          <w:rFonts w:hint="eastAsia"/>
          <w:spacing w:val="-2"/>
          <w:szCs w:val="21"/>
        </w:rPr>
      </w:pPr>
      <w:r>
        <w:rPr>
          <w:rFonts w:hint="eastAsia"/>
          <w:spacing w:val="-2"/>
          <w:szCs w:val="21"/>
        </w:rPr>
        <w:t>提交众议院通过第</w:t>
      </w:r>
      <w:r>
        <w:rPr>
          <w:rFonts w:hint="eastAsia"/>
          <w:spacing w:val="-2"/>
          <w:szCs w:val="21"/>
        </w:rPr>
        <w:t>1010</w:t>
      </w:r>
      <w:r>
        <w:rPr>
          <w:rFonts w:hint="eastAsia"/>
          <w:spacing w:val="-2"/>
          <w:szCs w:val="21"/>
        </w:rPr>
        <w:t>号众议院议案拟在公共场所建立和维持哺乳站（供母乳喂养）。</w:t>
      </w:r>
      <w:r>
        <w:rPr>
          <w:rFonts w:hint="eastAsia"/>
          <w:spacing w:val="-2"/>
          <w:szCs w:val="21"/>
        </w:rPr>
        <w:t xml:space="preserve"> </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社会福利部一直在扩大其日托中心方案。在</w:t>
      </w:r>
      <w:r>
        <w:rPr>
          <w:rFonts w:hint="eastAsia"/>
          <w:color w:val="000000"/>
          <w:szCs w:val="21"/>
        </w:rPr>
        <w:t>2000</w:t>
      </w:r>
      <w:r>
        <w:rPr>
          <w:rFonts w:hint="eastAsia"/>
          <w:color w:val="000000"/>
          <w:szCs w:val="21"/>
        </w:rPr>
        <w:t>年第</w:t>
      </w:r>
      <w:r>
        <w:rPr>
          <w:rFonts w:hint="eastAsia"/>
          <w:color w:val="000000"/>
          <w:szCs w:val="21"/>
        </w:rPr>
        <w:t>11</w:t>
      </w:r>
      <w:r>
        <w:rPr>
          <w:rFonts w:hint="eastAsia"/>
          <w:color w:val="000000"/>
          <w:szCs w:val="21"/>
        </w:rPr>
        <w:t>号部令中，该部提出了通过鉴定合格的日托工作者和中心确保提供日托服务质量的最低标准和指导准则。它还着手试验把患有孤独症的儿童纳入正规日托服务方案中的战略。“老年公民和儿童综合护理中心业务”使得参加正规日托班的儿童能有老人给他们讲价值观。现在正在三个地区对一个相关的老年</w:t>
      </w:r>
      <w:r>
        <w:rPr>
          <w:rFonts w:hint="eastAsia"/>
          <w:color w:val="000000"/>
          <w:szCs w:val="21"/>
        </w:rPr>
        <w:t>人方案——“老年人街道协助服务”——进行试点，该方案承认有多种因素影响家庭赡养老人的能力，因此致力于建立家庭和社区潜在照管者的能力。这就开发了分担压力的备选办法。该部的另一个略有不同项目，一个名为“</w:t>
      </w:r>
      <w:r>
        <w:rPr>
          <w:rFonts w:hint="eastAsia"/>
          <w:i/>
          <w:color w:val="000000"/>
          <w:spacing w:val="-2"/>
          <w:szCs w:val="21"/>
        </w:rPr>
        <w:t>Sagip Kalinga</w:t>
      </w:r>
      <w:r>
        <w:rPr>
          <w:rFonts w:hint="eastAsia"/>
          <w:color w:val="000000"/>
          <w:szCs w:val="21"/>
        </w:rPr>
        <w:t>”的机构间项目处理的是都市地区日益增多的行乞问题，解决办法就是使流浪者、乞丐、经常以街头为栖身之地的儿童和成年人脱离流浪生活之苦，向其提供适当的社会照顾。</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“军属优抚”方案试图援助军官和现役军人的妻子和女儿。该方案于</w:t>
      </w:r>
      <w:r>
        <w:rPr>
          <w:rFonts w:hint="eastAsia"/>
          <w:szCs w:val="21"/>
        </w:rPr>
        <w:t>2002</w:t>
      </w:r>
      <w:r>
        <w:rPr>
          <w:rFonts w:hint="eastAsia"/>
          <w:szCs w:val="21"/>
        </w:rPr>
        <w:t>年</w:t>
      </w:r>
      <w:r>
        <w:rPr>
          <w:rFonts w:hint="eastAsia"/>
          <w:szCs w:val="21"/>
        </w:rPr>
        <w:t>7</w:t>
      </w:r>
      <w:r>
        <w:rPr>
          <w:rFonts w:hint="eastAsia"/>
          <w:szCs w:val="21"/>
        </w:rPr>
        <w:t>月启动，由菲律宾武装部队与技术教育和技能发展局共同实施，由</w:t>
      </w:r>
      <w:r>
        <w:rPr>
          <w:rFonts w:hint="eastAsia"/>
          <w:szCs w:val="21"/>
        </w:rPr>
        <w:t>后者为受益人提供技能培训，以便使其能够从事某些谋生工作。现在正在武装部队首都军区所属的三个单位执行该方案：两个单位在吕宋、另一个分别驻守在比萨扬群岛和棉兰老。该方案迄今至少使</w:t>
      </w:r>
      <w:r>
        <w:rPr>
          <w:rFonts w:hint="eastAsia"/>
          <w:szCs w:val="21"/>
        </w:rPr>
        <w:t>250</w:t>
      </w:r>
      <w:r>
        <w:rPr>
          <w:rFonts w:hint="eastAsia"/>
          <w:szCs w:val="21"/>
        </w:rPr>
        <w:t>名妇女获益，有</w:t>
      </w:r>
      <w:r>
        <w:rPr>
          <w:rFonts w:hint="eastAsia"/>
          <w:szCs w:val="21"/>
        </w:rPr>
        <w:t>150</w:t>
      </w:r>
      <w:r>
        <w:rPr>
          <w:rFonts w:hint="eastAsia"/>
          <w:szCs w:val="21"/>
        </w:rPr>
        <w:t>名妇女在技术教育和技能发展管理局妇女中心开办的创业学习班毕业。</w:t>
      </w:r>
    </w:p>
    <w:p w:rsidR="00000000" w:rsidRDefault="00821B8F">
      <w:pPr>
        <w:pStyle w:val="BodyText"/>
        <w:tabs>
          <w:tab w:val="left" w:pos="540"/>
        </w:tabs>
        <w:spacing w:after="120" w:line="360" w:lineRule="exact"/>
        <w:rPr>
          <w:rFonts w:eastAsia="KaiTi_GB2312" w:hint="eastAsia"/>
          <w:b/>
          <w:bCs/>
          <w:color w:val="0000FF"/>
          <w:sz w:val="21"/>
        </w:rPr>
      </w:pPr>
      <w:r>
        <w:rPr>
          <w:rFonts w:eastAsia="KaiTi_GB2312" w:hint="eastAsia"/>
          <w:b/>
          <w:bCs/>
          <w:color w:val="0000FF"/>
          <w:sz w:val="21"/>
        </w:rPr>
        <w:t>财政信贷和技术援助</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第十一条的讨论中还指出，第</w:t>
      </w:r>
      <w:r>
        <w:rPr>
          <w:rFonts w:hint="eastAsia"/>
          <w:szCs w:val="21"/>
        </w:rPr>
        <w:t>7882</w:t>
      </w:r>
      <w:r>
        <w:rPr>
          <w:rFonts w:hint="eastAsia"/>
          <w:szCs w:val="21"/>
        </w:rPr>
        <w:t>号共和国法令确定菲律宾开发银行和菲律宾土地银行为该贷款方案的对口银行。</w:t>
      </w:r>
      <w:r>
        <w:rPr>
          <w:rFonts w:hint="eastAsia"/>
          <w:spacing w:val="-2"/>
          <w:szCs w:val="21"/>
        </w:rPr>
        <w:t>发放贷款的目标包括从事以下服务的企业：农业和农场生产、农产品加工、普通贸易、住房和建筑、海陆运输业、制造业和服务业。</w:t>
      </w:r>
      <w:r>
        <w:rPr>
          <w:rFonts w:hint="eastAsia"/>
          <w:spacing w:val="-2"/>
          <w:szCs w:val="21"/>
        </w:rPr>
        <w:t>199</w:t>
      </w:r>
      <w:r>
        <w:rPr>
          <w:rFonts w:hint="eastAsia"/>
          <w:spacing w:val="-2"/>
          <w:szCs w:val="21"/>
        </w:rPr>
        <w:t>8</w:t>
      </w:r>
      <w:r>
        <w:rPr>
          <w:rFonts w:hint="eastAsia"/>
          <w:spacing w:val="-2"/>
          <w:szCs w:val="21"/>
        </w:rPr>
        <w:t>至</w:t>
      </w:r>
      <w:r>
        <w:rPr>
          <w:rFonts w:hint="eastAsia"/>
          <w:spacing w:val="-2"/>
          <w:szCs w:val="21"/>
        </w:rPr>
        <w:t>2001</w:t>
      </w:r>
      <w:r>
        <w:rPr>
          <w:rFonts w:hint="eastAsia"/>
          <w:spacing w:val="-2"/>
          <w:szCs w:val="21"/>
        </w:rPr>
        <w:t>年，越来越多的妇女为自己争取到贷款（见附表</w:t>
      </w:r>
      <w:r>
        <w:rPr>
          <w:rFonts w:hint="eastAsia"/>
          <w:spacing w:val="-2"/>
          <w:szCs w:val="21"/>
        </w:rPr>
        <w:t>B13.1</w:t>
      </w:r>
      <w:r>
        <w:rPr>
          <w:rFonts w:hint="eastAsia"/>
          <w:spacing w:val="-2"/>
          <w:szCs w:val="21"/>
        </w:rPr>
        <w:t>）。不过，参与该项目的政府机构对该法律的长期效益表示了某些保留意见。其中一种意见是，妇女若想扩大自己的企业，就需要申请市场上利率较高的大额贷款。除非她们愿意支付较高的利息，否则她们就会感到难以获得必要的资本，将其企业逐步扩大为微型或家庭作坊一级以外的大型企业。对于大多数政府金融机构来说，</w:t>
      </w:r>
      <w:r>
        <w:rPr>
          <w:rFonts w:hint="eastAsia"/>
          <w:spacing w:val="-2"/>
          <w:szCs w:val="21"/>
        </w:rPr>
        <w:t>12%</w:t>
      </w:r>
      <w:r>
        <w:rPr>
          <w:rFonts w:hint="eastAsia"/>
          <w:spacing w:val="-2"/>
          <w:szCs w:val="21"/>
        </w:rPr>
        <w:t>的利率实在太低，没有成本效益。</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格洛丽亚·马卡帕加尔–阿罗约总统在</w:t>
      </w:r>
      <w:r>
        <w:rPr>
          <w:rFonts w:hint="eastAsia"/>
          <w:szCs w:val="21"/>
        </w:rPr>
        <w:t>2001</w:t>
      </w:r>
      <w:r>
        <w:rPr>
          <w:rFonts w:hint="eastAsia"/>
          <w:szCs w:val="21"/>
        </w:rPr>
        <w:t>年国家状况演讲中确认微额贷款是本届政府与贫穷抗争的基石。她指示人民信贷金融公司</w:t>
      </w:r>
      <w:r>
        <w:rPr>
          <w:rFonts w:hint="eastAsia"/>
          <w:szCs w:val="21"/>
        </w:rPr>
        <w:t>在</w:t>
      </w:r>
      <w:r>
        <w:rPr>
          <w:rFonts w:hint="eastAsia"/>
          <w:szCs w:val="21"/>
        </w:rPr>
        <w:t>2004</w:t>
      </w:r>
      <w:r>
        <w:rPr>
          <w:rFonts w:hint="eastAsia"/>
          <w:szCs w:val="21"/>
        </w:rPr>
        <w:t>年</w:t>
      </w:r>
      <w:r>
        <w:rPr>
          <w:rFonts w:hint="eastAsia"/>
          <w:szCs w:val="21"/>
        </w:rPr>
        <w:t>6</w:t>
      </w:r>
      <w:r>
        <w:rPr>
          <w:rFonts w:hint="eastAsia"/>
          <w:szCs w:val="21"/>
        </w:rPr>
        <w:t>月以前向</w:t>
      </w:r>
      <w:r>
        <w:rPr>
          <w:rFonts w:hint="eastAsia"/>
          <w:szCs w:val="21"/>
        </w:rPr>
        <w:t>100</w:t>
      </w:r>
      <w:r>
        <w:rPr>
          <w:rFonts w:hint="eastAsia"/>
          <w:szCs w:val="21"/>
        </w:rPr>
        <w:t>万贷款人提供贷款。截至</w:t>
      </w:r>
      <w:r>
        <w:rPr>
          <w:rFonts w:hint="eastAsia"/>
          <w:szCs w:val="21"/>
        </w:rPr>
        <w:t>2001</w:t>
      </w:r>
      <w:r>
        <w:rPr>
          <w:rFonts w:hint="eastAsia"/>
          <w:szCs w:val="21"/>
        </w:rPr>
        <w:t>年</w:t>
      </w:r>
      <w:r>
        <w:rPr>
          <w:rFonts w:hint="eastAsia"/>
          <w:szCs w:val="21"/>
        </w:rPr>
        <w:t>6</w:t>
      </w:r>
      <w:r>
        <w:rPr>
          <w:rFonts w:hint="eastAsia"/>
          <w:szCs w:val="21"/>
        </w:rPr>
        <w:t>月，该公司已向大约</w:t>
      </w:r>
      <w:r>
        <w:rPr>
          <w:rFonts w:hint="eastAsia"/>
          <w:szCs w:val="21"/>
        </w:rPr>
        <w:t xml:space="preserve">349 036 </w:t>
      </w:r>
      <w:r>
        <w:rPr>
          <w:rFonts w:hint="eastAsia"/>
          <w:szCs w:val="21"/>
        </w:rPr>
        <w:t>位贷款人发放了贷款。据人民信贷金融公司报告，</w:t>
      </w:r>
      <w:r>
        <w:rPr>
          <w:rFonts w:hint="eastAsia"/>
          <w:szCs w:val="21"/>
        </w:rPr>
        <w:t>2001</w:t>
      </w:r>
      <w:r>
        <w:rPr>
          <w:rFonts w:hint="eastAsia"/>
          <w:szCs w:val="21"/>
        </w:rPr>
        <w:t>年</w:t>
      </w:r>
      <w:r>
        <w:rPr>
          <w:rFonts w:hint="eastAsia"/>
          <w:szCs w:val="21"/>
        </w:rPr>
        <w:t>6</w:t>
      </w:r>
      <w:r>
        <w:rPr>
          <w:rFonts w:hint="eastAsia"/>
          <w:szCs w:val="21"/>
        </w:rPr>
        <w:t>月至</w:t>
      </w:r>
      <w:r>
        <w:rPr>
          <w:rFonts w:hint="eastAsia"/>
          <w:szCs w:val="21"/>
        </w:rPr>
        <w:t>2003</w:t>
      </w:r>
      <w:r>
        <w:rPr>
          <w:rFonts w:hint="eastAsia"/>
          <w:szCs w:val="21"/>
        </w:rPr>
        <w:t>年</w:t>
      </w:r>
      <w:r>
        <w:rPr>
          <w:rFonts w:hint="eastAsia"/>
          <w:szCs w:val="21"/>
        </w:rPr>
        <w:t>12</w:t>
      </w:r>
      <w:r>
        <w:rPr>
          <w:rFonts w:hint="eastAsia"/>
          <w:szCs w:val="21"/>
        </w:rPr>
        <w:t>月，该公司已为</w:t>
      </w:r>
      <w:r>
        <w:rPr>
          <w:rFonts w:hint="eastAsia"/>
          <w:szCs w:val="21"/>
        </w:rPr>
        <w:t xml:space="preserve"> 864 965 </w:t>
      </w:r>
      <w:r>
        <w:rPr>
          <w:rFonts w:hint="eastAsia"/>
          <w:szCs w:val="21"/>
        </w:rPr>
        <w:t>位受益人提供服务，其中妇女约占</w:t>
      </w:r>
      <w:r>
        <w:rPr>
          <w:rFonts w:hint="eastAsia"/>
          <w:szCs w:val="21"/>
        </w:rPr>
        <w:t>98%</w:t>
      </w:r>
      <w:r>
        <w:rPr>
          <w:rFonts w:hint="eastAsia"/>
          <w:szCs w:val="21"/>
        </w:rPr>
        <w:t>。</w:t>
      </w:r>
      <w:r>
        <w:rPr>
          <w:rFonts w:hint="eastAsia"/>
          <w:szCs w:val="21"/>
        </w:rPr>
        <w:t xml:space="preserve"> </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为了进一步帮助经商妇女，两位女参议员提交了第</w:t>
      </w:r>
      <w:r>
        <w:rPr>
          <w:rFonts w:hint="eastAsia"/>
          <w:szCs w:val="21"/>
        </w:rPr>
        <w:t>601</w:t>
      </w:r>
      <w:r>
        <w:rPr>
          <w:rFonts w:hint="eastAsia"/>
          <w:szCs w:val="21"/>
        </w:rPr>
        <w:t>和第</w:t>
      </w:r>
      <w:r>
        <w:rPr>
          <w:rFonts w:hint="eastAsia"/>
          <w:szCs w:val="21"/>
        </w:rPr>
        <w:t>1248</w:t>
      </w:r>
      <w:r>
        <w:rPr>
          <w:rFonts w:hint="eastAsia"/>
          <w:szCs w:val="21"/>
        </w:rPr>
        <w:t>号参议院议案。这两个议案力求向女商人提供资金、教育和信息援助，以便使她们能在商贸方面出类拔萃（详细讨论见第十三条第</w:t>
      </w:r>
      <w:r>
        <w:rPr>
          <w:rFonts w:hint="eastAsia"/>
          <w:szCs w:val="21"/>
        </w:rPr>
        <w:t>494</w:t>
      </w:r>
      <w:r>
        <w:rPr>
          <w:rFonts w:hint="eastAsia"/>
          <w:szCs w:val="21"/>
        </w:rPr>
        <w:t>段）。</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第十一条中报告指出，社会福利部制订了几个旨在援助贫穷妇女的方案。第一个是“</w:t>
      </w:r>
      <w:r>
        <w:rPr>
          <w:rFonts w:hint="eastAsia"/>
          <w:szCs w:val="21"/>
        </w:rPr>
        <w:t>弱势妇女的生产技能和能力建设”方案。</w:t>
      </w:r>
      <w:r>
        <w:rPr>
          <w:rFonts w:hint="eastAsia"/>
          <w:spacing w:val="-2"/>
          <w:szCs w:val="21"/>
        </w:rPr>
        <w:t>仅在</w:t>
      </w:r>
      <w:r>
        <w:rPr>
          <w:rFonts w:hint="eastAsia"/>
          <w:spacing w:val="-2"/>
          <w:szCs w:val="21"/>
        </w:rPr>
        <w:t>2001</w:t>
      </w:r>
      <w:r>
        <w:rPr>
          <w:rFonts w:hint="eastAsia"/>
          <w:spacing w:val="-2"/>
          <w:szCs w:val="21"/>
        </w:rPr>
        <w:t>年，该方案就使约</w:t>
      </w:r>
      <w:r>
        <w:rPr>
          <w:rFonts w:hint="eastAsia"/>
          <w:spacing w:val="-2"/>
          <w:szCs w:val="21"/>
        </w:rPr>
        <w:t>31 827</w:t>
      </w:r>
      <w:r>
        <w:rPr>
          <w:rFonts w:hint="eastAsia"/>
          <w:spacing w:val="-2"/>
          <w:szCs w:val="21"/>
        </w:rPr>
        <w:t>名弱势妇女受益，她们在各种行业接受培训；其中的</w:t>
      </w:r>
      <w:r>
        <w:rPr>
          <w:rFonts w:hint="eastAsia"/>
          <w:spacing w:val="-2"/>
          <w:szCs w:val="21"/>
        </w:rPr>
        <w:t>90%</w:t>
      </w:r>
      <w:r>
        <w:rPr>
          <w:rFonts w:hint="eastAsia"/>
          <w:spacing w:val="-2"/>
          <w:szCs w:val="21"/>
        </w:rPr>
        <w:t>实现了有收益的就业，成为自营职业者、分承包训练员或各种有工资的劳动者。第二个方案的第一层次，即自谋职业协助——民生综合方案，在</w:t>
      </w:r>
      <w:r>
        <w:rPr>
          <w:rFonts w:hint="eastAsia"/>
          <w:spacing w:val="-2"/>
          <w:szCs w:val="21"/>
        </w:rPr>
        <w:t>2001</w:t>
      </w:r>
      <w:r>
        <w:rPr>
          <w:rFonts w:hint="eastAsia"/>
          <w:spacing w:val="-2"/>
          <w:szCs w:val="21"/>
        </w:rPr>
        <w:t>年使</w:t>
      </w:r>
      <w:r>
        <w:rPr>
          <w:rFonts w:hint="eastAsia"/>
          <w:spacing w:val="-2"/>
          <w:szCs w:val="21"/>
        </w:rPr>
        <w:t xml:space="preserve"> 24 422</w:t>
      </w:r>
      <w:r>
        <w:rPr>
          <w:rFonts w:hint="eastAsia"/>
          <w:spacing w:val="-2"/>
          <w:szCs w:val="21"/>
        </w:rPr>
        <w:t>个家庭获益，组织了</w:t>
      </w:r>
      <w:r>
        <w:rPr>
          <w:rFonts w:hint="eastAsia"/>
          <w:spacing w:val="-2"/>
          <w:szCs w:val="21"/>
        </w:rPr>
        <w:t xml:space="preserve">753 </w:t>
      </w:r>
      <w:r>
        <w:rPr>
          <w:rFonts w:hint="eastAsia"/>
          <w:spacing w:val="-2"/>
          <w:szCs w:val="21"/>
        </w:rPr>
        <w:t>个自谋职业协助——民生合作组织。第二层次（根据</w:t>
      </w:r>
      <w:r>
        <w:rPr>
          <w:rFonts w:hint="eastAsia"/>
          <w:spacing w:val="-2"/>
          <w:szCs w:val="21"/>
        </w:rPr>
        <w:t>1997</w:t>
      </w:r>
      <w:r>
        <w:rPr>
          <w:rFonts w:hint="eastAsia"/>
          <w:spacing w:val="-2"/>
          <w:szCs w:val="21"/>
        </w:rPr>
        <w:t>年第</w:t>
      </w:r>
      <w:r>
        <w:rPr>
          <w:rFonts w:hint="eastAsia"/>
          <w:spacing w:val="-2"/>
          <w:szCs w:val="21"/>
        </w:rPr>
        <w:t>17</w:t>
      </w:r>
      <w:r>
        <w:rPr>
          <w:rFonts w:hint="eastAsia"/>
          <w:spacing w:val="-2"/>
          <w:szCs w:val="21"/>
        </w:rPr>
        <w:t>号部令的指示）是按照自谋职业协助——民生形式组织起来的，可以得到较高额度的贷款以创办微型企业、执行房屋建造或修缮项目。</w:t>
      </w:r>
      <w:r>
        <w:rPr>
          <w:rFonts w:hint="eastAsia"/>
          <w:spacing w:val="-2"/>
          <w:szCs w:val="21"/>
        </w:rPr>
        <w:t>2001</w:t>
      </w:r>
      <w:r>
        <w:rPr>
          <w:rFonts w:hint="eastAsia"/>
          <w:spacing w:val="-2"/>
          <w:szCs w:val="21"/>
        </w:rPr>
        <w:t>年，大约有</w:t>
      </w:r>
      <w:r>
        <w:rPr>
          <w:rFonts w:hint="eastAsia"/>
          <w:spacing w:val="-2"/>
          <w:szCs w:val="21"/>
        </w:rPr>
        <w:t>17</w:t>
      </w:r>
      <w:r>
        <w:rPr>
          <w:rFonts w:hint="eastAsia"/>
          <w:spacing w:val="-2"/>
          <w:szCs w:val="21"/>
        </w:rPr>
        <w:t>个自</w:t>
      </w:r>
      <w:r>
        <w:rPr>
          <w:rFonts w:hint="eastAsia"/>
          <w:spacing w:val="-2"/>
          <w:szCs w:val="21"/>
        </w:rPr>
        <w:t>谋职业协助——民生组织、共</w:t>
      </w:r>
      <w:r>
        <w:rPr>
          <w:rFonts w:hint="eastAsia"/>
          <w:spacing w:val="-2"/>
          <w:szCs w:val="21"/>
        </w:rPr>
        <w:t>890</w:t>
      </w:r>
      <w:r>
        <w:rPr>
          <w:rFonts w:hint="eastAsia"/>
          <w:spacing w:val="-2"/>
          <w:szCs w:val="21"/>
        </w:rPr>
        <w:t>名家庭成员获得额外资金援助。第三个方案名为“促进菲律宾妇女在社会发展中的作用和地位”，旨在为妇女提供贷款便利，并促进成立各种以社区为基础的组织（</w:t>
      </w:r>
      <w:r>
        <w:rPr>
          <w:rFonts w:hint="eastAsia"/>
          <w:spacing w:val="-2"/>
          <w:szCs w:val="21"/>
        </w:rPr>
        <w:t>2000</w:t>
      </w:r>
      <w:r>
        <w:rPr>
          <w:rFonts w:hint="eastAsia"/>
          <w:spacing w:val="-2"/>
          <w:szCs w:val="21"/>
        </w:rPr>
        <w:t>年有</w:t>
      </w:r>
      <w:r>
        <w:rPr>
          <w:rFonts w:hint="eastAsia"/>
          <w:spacing w:val="-2"/>
          <w:szCs w:val="21"/>
        </w:rPr>
        <w:t>754</w:t>
      </w:r>
      <w:r>
        <w:rPr>
          <w:rFonts w:hint="eastAsia"/>
          <w:spacing w:val="-2"/>
          <w:szCs w:val="21"/>
        </w:rPr>
        <w:t>个协会），它们可以管理一种为会员提供贷款的可持续方案。</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需要资金和技术援助的女企业家可以利用贸易和工业部的“</w:t>
      </w:r>
      <w:r>
        <w:rPr>
          <w:rFonts w:hint="eastAsia"/>
          <w:color w:val="000000"/>
          <w:spacing w:val="-2"/>
          <w:szCs w:val="21"/>
        </w:rPr>
        <w:t>Tulong sa Tao</w:t>
      </w:r>
      <w:r>
        <w:rPr>
          <w:rFonts w:hint="eastAsia"/>
          <w:szCs w:val="21"/>
        </w:rPr>
        <w:t>”方案，这是微型企业的一个贷款窗口。</w:t>
      </w:r>
      <w:r>
        <w:rPr>
          <w:rFonts w:hint="eastAsia"/>
          <w:spacing w:val="-2"/>
          <w:szCs w:val="21"/>
        </w:rPr>
        <w:t>该信贷方案通过政府金融机构和鉴定合格的非政府组织来执行。</w:t>
      </w:r>
      <w:r>
        <w:rPr>
          <w:rFonts w:hint="eastAsia"/>
          <w:spacing w:val="-2"/>
          <w:szCs w:val="21"/>
        </w:rPr>
        <w:t>1998</w:t>
      </w:r>
      <w:r>
        <w:rPr>
          <w:rFonts w:hint="eastAsia"/>
          <w:spacing w:val="-2"/>
          <w:szCs w:val="21"/>
        </w:rPr>
        <w:t>至</w:t>
      </w:r>
      <w:r>
        <w:rPr>
          <w:rFonts w:hint="eastAsia"/>
          <w:spacing w:val="-2"/>
          <w:szCs w:val="21"/>
        </w:rPr>
        <w:t>2000</w:t>
      </w:r>
      <w:r>
        <w:rPr>
          <w:rFonts w:hint="eastAsia"/>
          <w:spacing w:val="-2"/>
          <w:szCs w:val="21"/>
        </w:rPr>
        <w:t>年，它使</w:t>
      </w:r>
      <w:r>
        <w:rPr>
          <w:rFonts w:hint="eastAsia"/>
          <w:spacing w:val="-2"/>
          <w:szCs w:val="21"/>
        </w:rPr>
        <w:t>1 538</w:t>
      </w:r>
      <w:r>
        <w:rPr>
          <w:rFonts w:hint="eastAsia"/>
          <w:spacing w:val="-2"/>
          <w:szCs w:val="21"/>
        </w:rPr>
        <w:t>个妇女微型企业家（占全部受益人的</w:t>
      </w:r>
      <w:r>
        <w:rPr>
          <w:rFonts w:hint="eastAsia"/>
          <w:spacing w:val="-2"/>
          <w:szCs w:val="21"/>
        </w:rPr>
        <w:t>75%</w:t>
      </w:r>
      <w:r>
        <w:rPr>
          <w:rFonts w:hint="eastAsia"/>
          <w:spacing w:val="-2"/>
          <w:szCs w:val="21"/>
        </w:rPr>
        <w:t>）获益。该方案发</w:t>
      </w:r>
      <w:r>
        <w:rPr>
          <w:rFonts w:hint="eastAsia"/>
          <w:spacing w:val="-2"/>
          <w:szCs w:val="21"/>
        </w:rPr>
        <w:t>放了近</w:t>
      </w:r>
      <w:r>
        <w:rPr>
          <w:rFonts w:hint="eastAsia"/>
          <w:spacing w:val="-2"/>
          <w:szCs w:val="21"/>
        </w:rPr>
        <w:t>5 124</w:t>
      </w:r>
      <w:r>
        <w:rPr>
          <w:rFonts w:hint="eastAsia"/>
          <w:spacing w:val="-2"/>
          <w:szCs w:val="21"/>
        </w:rPr>
        <w:t>万菲律宾比索的贷款，其中</w:t>
      </w:r>
      <w:r>
        <w:rPr>
          <w:rFonts w:hint="eastAsia"/>
          <w:spacing w:val="-2"/>
          <w:szCs w:val="21"/>
        </w:rPr>
        <w:t xml:space="preserve">68% </w:t>
      </w:r>
      <w:r>
        <w:rPr>
          <w:rFonts w:hint="eastAsia"/>
          <w:spacing w:val="-2"/>
          <w:szCs w:val="21"/>
        </w:rPr>
        <w:t>贷给了妇女。它还在全国创造了</w:t>
      </w:r>
      <w:r>
        <w:rPr>
          <w:rFonts w:hint="eastAsia"/>
          <w:spacing w:val="-2"/>
          <w:szCs w:val="21"/>
        </w:rPr>
        <w:t>8 198</w:t>
      </w:r>
      <w:r>
        <w:rPr>
          <w:rFonts w:hint="eastAsia"/>
          <w:spacing w:val="-2"/>
          <w:szCs w:val="21"/>
        </w:rPr>
        <w:t>个就业机会，其中</w:t>
      </w:r>
      <w:r>
        <w:rPr>
          <w:rFonts w:hint="eastAsia"/>
          <w:spacing w:val="-2"/>
          <w:szCs w:val="21"/>
        </w:rPr>
        <w:t>6 148</w:t>
      </w:r>
      <w:r>
        <w:rPr>
          <w:rFonts w:hint="eastAsia"/>
          <w:spacing w:val="-2"/>
          <w:szCs w:val="21"/>
        </w:rPr>
        <w:t>个工作岗位（</w:t>
      </w:r>
      <w:r>
        <w:rPr>
          <w:rFonts w:hint="eastAsia"/>
          <w:spacing w:val="-2"/>
          <w:szCs w:val="21"/>
        </w:rPr>
        <w:t>75%</w:t>
      </w:r>
      <w:r>
        <w:rPr>
          <w:rFonts w:hint="eastAsia"/>
          <w:spacing w:val="-2"/>
          <w:szCs w:val="21"/>
        </w:rPr>
        <w:t>）由妇女获得。</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贸易和工业部方案的目的之一是通过培训贷款人和训练员及咨询服务，发展并增强非政府组织的实力。</w:t>
      </w:r>
      <w:r>
        <w:rPr>
          <w:rFonts w:hint="eastAsia"/>
          <w:color w:val="000000"/>
          <w:szCs w:val="21"/>
        </w:rPr>
        <w:t>1996</w:t>
      </w:r>
      <w:r>
        <w:rPr>
          <w:rFonts w:hint="eastAsia"/>
          <w:color w:val="000000"/>
          <w:szCs w:val="21"/>
        </w:rPr>
        <w:t>至</w:t>
      </w:r>
      <w:r>
        <w:rPr>
          <w:rFonts w:hint="eastAsia"/>
          <w:color w:val="000000"/>
          <w:szCs w:val="21"/>
        </w:rPr>
        <w:t>2001</w:t>
      </w:r>
      <w:r>
        <w:rPr>
          <w:rFonts w:hint="eastAsia"/>
          <w:color w:val="000000"/>
          <w:szCs w:val="21"/>
        </w:rPr>
        <w:t>年，该部的两个培训中心——菲律宾贸易培训中心和家庭工业技术中心——总共培训了</w:t>
      </w:r>
      <w:r>
        <w:rPr>
          <w:rFonts w:hint="eastAsia"/>
          <w:color w:val="000000"/>
          <w:szCs w:val="21"/>
        </w:rPr>
        <w:t>14 071</w:t>
      </w:r>
      <w:r>
        <w:rPr>
          <w:rFonts w:hint="eastAsia"/>
          <w:color w:val="000000"/>
          <w:szCs w:val="21"/>
        </w:rPr>
        <w:t>人，其中</w:t>
      </w:r>
      <w:r>
        <w:rPr>
          <w:rFonts w:hint="eastAsia"/>
          <w:color w:val="000000"/>
          <w:szCs w:val="21"/>
        </w:rPr>
        <w:t xml:space="preserve">52% </w:t>
      </w:r>
      <w:r>
        <w:rPr>
          <w:rFonts w:hint="eastAsia"/>
          <w:color w:val="000000"/>
          <w:szCs w:val="21"/>
        </w:rPr>
        <w:t>是妇女（附表</w:t>
      </w:r>
      <w:r>
        <w:rPr>
          <w:rFonts w:hint="eastAsia"/>
          <w:color w:val="000000"/>
          <w:szCs w:val="21"/>
        </w:rPr>
        <w:t>B13.2</w:t>
      </w:r>
      <w:r>
        <w:rPr>
          <w:rFonts w:hint="eastAsia"/>
          <w:color w:val="000000"/>
          <w:szCs w:val="21"/>
        </w:rPr>
        <w:t>）。参加家庭工业培训课程的妇女人数大大超过男子（三比一），但在较大规模的外向型企业培训中情况并非如此（四比五）。该部报告说，通过培</w:t>
      </w:r>
      <w:r>
        <w:rPr>
          <w:rFonts w:hint="eastAsia"/>
          <w:color w:val="000000"/>
          <w:szCs w:val="21"/>
        </w:rPr>
        <w:t>训，妇女非政府组织在企业经营方面大有改进，表现为改进了贷款监测、有了更好的记录、提高了税收率、指示更明确及管理上更负责任。</w:t>
      </w:r>
    </w:p>
    <w:p w:rsidR="00000000" w:rsidRDefault="00821B8F">
      <w:pPr>
        <w:pStyle w:val="BodyText"/>
        <w:tabs>
          <w:tab w:val="left" w:pos="540"/>
        </w:tabs>
        <w:spacing w:after="120" w:line="360" w:lineRule="exact"/>
        <w:rPr>
          <w:rFonts w:eastAsia="KaiTi_GB2312" w:hint="eastAsia"/>
          <w:b/>
          <w:bCs/>
          <w:color w:val="0000FF"/>
          <w:sz w:val="21"/>
        </w:rPr>
      </w:pPr>
      <w:r>
        <w:rPr>
          <w:rFonts w:eastAsia="KaiTi_GB2312" w:hint="eastAsia"/>
          <w:b/>
          <w:bCs/>
          <w:color w:val="0000FF"/>
          <w:sz w:val="21"/>
        </w:rPr>
        <w:t>体育运动和休闲活动</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截至</w:t>
      </w:r>
      <w:r>
        <w:rPr>
          <w:rFonts w:hint="eastAsia"/>
          <w:szCs w:val="21"/>
        </w:rPr>
        <w:t>1998</w:t>
      </w:r>
      <w:r>
        <w:rPr>
          <w:rFonts w:hint="eastAsia"/>
          <w:szCs w:val="21"/>
        </w:rPr>
        <w:t>年</w:t>
      </w:r>
      <w:r>
        <w:rPr>
          <w:rFonts w:hint="eastAsia"/>
          <w:szCs w:val="21"/>
        </w:rPr>
        <w:t>9</w:t>
      </w:r>
      <w:r>
        <w:rPr>
          <w:rFonts w:hint="eastAsia"/>
          <w:szCs w:val="21"/>
        </w:rPr>
        <w:t>月，国家体育代表队共有</w:t>
      </w:r>
      <w:r>
        <w:rPr>
          <w:rFonts w:hint="eastAsia"/>
          <w:szCs w:val="21"/>
        </w:rPr>
        <w:t>533</w:t>
      </w:r>
      <w:r>
        <w:rPr>
          <w:rFonts w:hint="eastAsia"/>
          <w:szCs w:val="21"/>
        </w:rPr>
        <w:t>名运动员，其中女运动员有</w:t>
      </w:r>
      <w:r>
        <w:rPr>
          <w:rFonts w:hint="eastAsia"/>
          <w:szCs w:val="21"/>
        </w:rPr>
        <w:t>174</w:t>
      </w:r>
      <w:r>
        <w:rPr>
          <w:rFonts w:hint="eastAsia"/>
          <w:szCs w:val="21"/>
        </w:rPr>
        <w:t>名，仅占总数的三分之一。在教练及其助理中，男子超过妇女：</w:t>
      </w:r>
      <w:r>
        <w:rPr>
          <w:rFonts w:hint="eastAsia"/>
          <w:szCs w:val="21"/>
        </w:rPr>
        <w:t>167</w:t>
      </w:r>
      <w:r>
        <w:rPr>
          <w:rFonts w:hint="eastAsia"/>
          <w:szCs w:val="21"/>
        </w:rPr>
        <w:t>比</w:t>
      </w:r>
      <w:r>
        <w:rPr>
          <w:rFonts w:hint="eastAsia"/>
          <w:szCs w:val="21"/>
        </w:rPr>
        <w:t>15</w:t>
      </w:r>
      <w:r>
        <w:rPr>
          <w:rFonts w:hint="eastAsia"/>
          <w:szCs w:val="21"/>
        </w:rPr>
        <w:t>。</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由菲律宾体育运动委员会起草的菲律宾体育部门五年计划的目标之一，就是促进体育运动中的两性平等。为了实现这一目标，该计划包括树立妇女角色榜样、制定妇女体育战略、在各种出版物中体现性别均衡及为妇女提供参加俱乐部竞争的各种备选</w:t>
      </w:r>
      <w:r>
        <w:rPr>
          <w:rFonts w:hint="eastAsia"/>
          <w:szCs w:val="21"/>
        </w:rPr>
        <w:t>方案。国家体委还为女性少年运动员提供培养机会，以开发她们的潜能，同时各种国家级体育协会为男女运动员的训练发放补贴。此外，国家体委还适当考虑到曾经在国际比赛中为国争光的老女运动员所取得的成就。</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参议院收到的议案还有第</w:t>
      </w:r>
      <w:r>
        <w:rPr>
          <w:rFonts w:hint="eastAsia"/>
          <w:szCs w:val="21"/>
        </w:rPr>
        <w:t>764</w:t>
      </w:r>
      <w:r>
        <w:rPr>
          <w:rFonts w:hint="eastAsia"/>
          <w:szCs w:val="21"/>
        </w:rPr>
        <w:t>、第</w:t>
      </w:r>
      <w:r>
        <w:rPr>
          <w:rFonts w:hint="eastAsia"/>
          <w:szCs w:val="21"/>
        </w:rPr>
        <w:t>1104</w:t>
      </w:r>
      <w:r>
        <w:rPr>
          <w:rFonts w:hint="eastAsia"/>
          <w:szCs w:val="21"/>
        </w:rPr>
        <w:t>、第</w:t>
      </w:r>
      <w:r>
        <w:rPr>
          <w:rFonts w:hint="eastAsia"/>
          <w:szCs w:val="21"/>
        </w:rPr>
        <w:t xml:space="preserve">1108 </w:t>
      </w:r>
      <w:r>
        <w:rPr>
          <w:rFonts w:hint="eastAsia"/>
          <w:szCs w:val="21"/>
        </w:rPr>
        <w:t>和第</w:t>
      </w:r>
      <w:r>
        <w:rPr>
          <w:rFonts w:hint="eastAsia"/>
          <w:szCs w:val="21"/>
        </w:rPr>
        <w:t>1247</w:t>
      </w:r>
      <w:r>
        <w:rPr>
          <w:rFonts w:hint="eastAsia"/>
          <w:szCs w:val="21"/>
        </w:rPr>
        <w:t>号参议院议案。这些议案力求让妇女有平等的机会享受运动员奖学金和体育奖金（详情见第</w:t>
      </w:r>
      <w:r>
        <w:rPr>
          <w:rFonts w:hint="eastAsia"/>
          <w:szCs w:val="21"/>
        </w:rPr>
        <w:t>292</w:t>
      </w:r>
      <w:r>
        <w:rPr>
          <w:rFonts w:hint="eastAsia"/>
          <w:szCs w:val="21"/>
        </w:rPr>
        <w:t>段）。</w:t>
      </w:r>
    </w:p>
    <w:p w:rsidR="00000000" w:rsidRDefault="00821B8F">
      <w:pPr>
        <w:pStyle w:val="H1"/>
        <w:rPr>
          <w:rFonts w:hint="eastAsia"/>
        </w:rPr>
      </w:pPr>
      <w:r>
        <w:rPr>
          <w:rFonts w:hint="eastAsia"/>
        </w:rPr>
        <w:t>C</w:t>
      </w:r>
      <w:r>
        <w:rPr>
          <w:rFonts w:hint="eastAsia"/>
        </w:rPr>
        <w:t>．未解决的问题和仍然面临的挑战</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为使妇女享有更多的社会经济福利，政府采取了各种干预措施，但是贷款和金融机构的高利率和严格的贷款政策阻碍了妇女企业的增长。</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实际上，妇女的微型和小型企业生产的是诸如服装、</w:t>
      </w:r>
      <w:r>
        <w:rPr>
          <w:rFonts w:hint="eastAsia"/>
          <w:color w:val="000000"/>
          <w:spacing w:val="-2"/>
          <w:szCs w:val="21"/>
        </w:rPr>
        <w:t>食品和</w:t>
      </w:r>
      <w:r>
        <w:rPr>
          <w:rFonts w:hint="eastAsia"/>
          <w:color w:val="000000"/>
          <w:szCs w:val="21"/>
        </w:rPr>
        <w:t>出口市场的</w:t>
      </w:r>
      <w:r>
        <w:rPr>
          <w:rFonts w:hint="eastAsia"/>
          <w:color w:val="000000"/>
          <w:spacing w:val="-2"/>
          <w:szCs w:val="21"/>
        </w:rPr>
        <w:t>礼品等初级产品。这些企业需要得到综合技术和资金援助，以增强它们的生存能力和全球竞争力。微型企业抱怨资金匮乏、需求减少以及廉价进口货的竞争。这些问题可以通过如下措施来解决：让所有各类贫穷妇女都能享用与微型贷款相对的突破性贷款；加强妇女之间的合作；提供金融管理方面的技能培训及将贷款计划与生计和企业发展结合起来。</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对与农业有关的妇女企业大力推广贷款与技术援助相结合的路子，在她们生产和推销有全球竞争力的农产品的时候要特别注意确保食品安全。</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妇女参与</w:t>
      </w:r>
      <w:r>
        <w:rPr>
          <w:rFonts w:hint="eastAsia"/>
          <w:szCs w:val="21"/>
        </w:rPr>
        <w:t>体育运动还很有限。充其量只注意到培养女性大众体育尖子，还缺乏综合的积极进取的体育方案，以便在农村地区的平民百姓中物色和培养妇女和青少年运动员。只有那些既有财力又有个人积极性的人才会受到体育机构的注意，比如参加游泳、网球等运动的人。目前，有必要提高妇女在体育运动系统中过低的代表性。妇女不但要参与体育运动本身，而且要参与运动管理的最高层。在体育运动方面，首先可以通过提高意识来实现两性公平和平等。体育高官对女运动员的特殊需要的认识水平还很低。</w:t>
      </w:r>
    </w:p>
    <w:p w:rsidR="00000000" w:rsidRDefault="00821B8F">
      <w:pPr>
        <w:pStyle w:val="TOC1"/>
        <w:spacing w:before="120"/>
        <w:rPr>
          <w:rFonts w:ascii="SimHei" w:hint="eastAsia"/>
        </w:rPr>
      </w:pPr>
      <w:r>
        <w:rPr>
          <w:rFonts w:ascii="SimHei" w:hint="eastAsia"/>
        </w:rPr>
        <w:t>第十四条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农村妇女</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农村妇女面临的问题以及她们对家庭生计包括她们在不具</w:t>
      </w:r>
      <w:r>
        <w:rPr>
          <w:rFonts w:eastAsia="KaiTi_GB2312" w:hint="eastAsia"/>
          <w:b/>
          <w:color w:val="0000FF"/>
          <w:sz w:val="21"/>
        </w:rPr>
        <w:t>货币性的经济部门工作方面所发挥的作用；消除对农村妇女的歧视并使其平等参与发展规划；获得保健和计划生育、社会保险、教育及推广服务的机会；参加自助团体和社区活动；获得农业贷款和其他便利以及适当生活条件的机会</w:t>
      </w:r>
    </w:p>
    <w:p w:rsidR="00000000" w:rsidRDefault="00821B8F">
      <w:pPr>
        <w:pStyle w:val="H1"/>
        <w:rPr>
          <w:rFonts w:hint="eastAsia"/>
        </w:rPr>
      </w:pPr>
      <w:r>
        <w:rPr>
          <w:rFonts w:hint="eastAsia"/>
        </w:rPr>
        <w:t>A</w:t>
      </w:r>
      <w:r>
        <w:rPr>
          <w:rFonts w:hint="eastAsia"/>
        </w:rPr>
        <w:t>．妇女的状况</w:t>
      </w:r>
    </w:p>
    <w:p w:rsidR="00000000" w:rsidRDefault="00821B8F">
      <w:pPr>
        <w:numPr>
          <w:ilvl w:val="0"/>
          <w:numId w:val="1409"/>
        </w:numPr>
        <w:tabs>
          <w:tab w:val="num" w:pos="1499"/>
        </w:tabs>
        <w:spacing w:after="120" w:line="360" w:lineRule="exact"/>
        <w:ind w:left="540" w:hanging="540"/>
        <w:rPr>
          <w:rFonts w:hint="eastAsia"/>
          <w:szCs w:val="21"/>
        </w:rPr>
      </w:pPr>
      <w:r>
        <w:rPr>
          <w:spacing w:val="-2"/>
          <w:szCs w:val="21"/>
        </w:rPr>
        <w:t xml:space="preserve"> </w:t>
      </w:r>
      <w:r>
        <w:rPr>
          <w:rFonts w:hint="eastAsia"/>
          <w:spacing w:val="-2"/>
          <w:szCs w:val="21"/>
        </w:rPr>
        <w:t>2000</w:t>
      </w:r>
      <w:r>
        <w:rPr>
          <w:rFonts w:hint="eastAsia"/>
          <w:spacing w:val="-2"/>
          <w:szCs w:val="21"/>
        </w:rPr>
        <w:t>年，菲律宾总人口为</w:t>
      </w:r>
      <w:r>
        <w:rPr>
          <w:rFonts w:hint="eastAsia"/>
          <w:spacing w:val="-2"/>
          <w:szCs w:val="21"/>
        </w:rPr>
        <w:t>7 650</w:t>
      </w:r>
      <w:r>
        <w:rPr>
          <w:rFonts w:hint="eastAsia"/>
          <w:spacing w:val="-2"/>
          <w:szCs w:val="21"/>
        </w:rPr>
        <w:t>万。城市地区的人口比例已从</w:t>
      </w:r>
      <w:r>
        <w:rPr>
          <w:rFonts w:hint="eastAsia"/>
          <w:spacing w:val="-2"/>
          <w:szCs w:val="21"/>
        </w:rPr>
        <w:t>1990</w:t>
      </w:r>
      <w:r>
        <w:rPr>
          <w:rFonts w:hint="eastAsia"/>
          <w:spacing w:val="-2"/>
          <w:szCs w:val="21"/>
        </w:rPr>
        <w:t>年的</w:t>
      </w:r>
      <w:r>
        <w:rPr>
          <w:rFonts w:hint="eastAsia"/>
          <w:spacing w:val="-2"/>
          <w:szCs w:val="21"/>
        </w:rPr>
        <w:t xml:space="preserve">37.5% </w:t>
      </w:r>
      <w:r>
        <w:rPr>
          <w:rFonts w:hint="eastAsia"/>
          <w:spacing w:val="-2"/>
          <w:szCs w:val="21"/>
        </w:rPr>
        <w:t>和</w:t>
      </w:r>
      <w:r>
        <w:rPr>
          <w:rFonts w:hint="eastAsia"/>
          <w:spacing w:val="-2"/>
          <w:szCs w:val="21"/>
        </w:rPr>
        <w:t>1995</w:t>
      </w:r>
      <w:r>
        <w:rPr>
          <w:rFonts w:hint="eastAsia"/>
          <w:spacing w:val="-2"/>
          <w:szCs w:val="21"/>
        </w:rPr>
        <w:t>年的</w:t>
      </w:r>
      <w:r>
        <w:rPr>
          <w:rFonts w:hint="eastAsia"/>
          <w:spacing w:val="-2"/>
          <w:szCs w:val="21"/>
        </w:rPr>
        <w:t xml:space="preserve">48.8% </w:t>
      </w:r>
      <w:r>
        <w:rPr>
          <w:rFonts w:hint="eastAsia"/>
          <w:spacing w:val="-2"/>
          <w:szCs w:val="21"/>
        </w:rPr>
        <w:t>上升到近</w:t>
      </w:r>
      <w:r>
        <w:rPr>
          <w:rFonts w:hint="eastAsia"/>
          <w:spacing w:val="-2"/>
          <w:szCs w:val="21"/>
        </w:rPr>
        <w:t>59%</w:t>
      </w:r>
      <w:r>
        <w:rPr>
          <w:rFonts w:hint="eastAsia"/>
          <w:spacing w:val="-2"/>
          <w:szCs w:val="21"/>
        </w:rPr>
        <w:t>。城市居民最集中的地方是大马尼拉或国家首都地区——人口约为</w:t>
      </w:r>
      <w:r>
        <w:rPr>
          <w:rFonts w:hint="eastAsia"/>
          <w:spacing w:val="-2"/>
          <w:szCs w:val="21"/>
        </w:rPr>
        <w:t>1 000</w:t>
      </w:r>
      <w:r>
        <w:rPr>
          <w:rFonts w:hint="eastAsia"/>
          <w:spacing w:val="-2"/>
          <w:szCs w:val="21"/>
        </w:rPr>
        <w:t>万。除宿务省和大马尼拉之外，其他地区都是男子多于妇女。</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与第十一条有关的讨论表明，不分地域，只</w:t>
      </w:r>
      <w:r>
        <w:rPr>
          <w:rFonts w:hint="eastAsia"/>
          <w:szCs w:val="21"/>
        </w:rPr>
        <w:t>有</w:t>
      </w:r>
      <w:r>
        <w:rPr>
          <w:rFonts w:hint="eastAsia"/>
          <w:szCs w:val="21"/>
        </w:rPr>
        <w:t>51.7%</w:t>
      </w:r>
      <w:r>
        <w:rPr>
          <w:rFonts w:hint="eastAsia"/>
          <w:szCs w:val="21"/>
        </w:rPr>
        <w:t>的女性潜在劳动力在工作或在寻找工作（附表</w:t>
      </w:r>
      <w:r>
        <w:rPr>
          <w:rFonts w:hint="eastAsia"/>
          <w:szCs w:val="21"/>
        </w:rPr>
        <w:t>B11.4</w:t>
      </w:r>
      <w:r>
        <w:rPr>
          <w:rFonts w:hint="eastAsia"/>
          <w:szCs w:val="21"/>
        </w:rPr>
        <w:t>）。不过，农村地区妇女工作的性质可以让妇女把农活儿和其他经济工作与其家庭责任结合起来，这样，农村妇女的就业率就比城市妇女高。但是，这些农村工作通常都是季节性的，而且不用整日地做，每天的工时都不一样。正如附表</w:t>
      </w:r>
      <w:r>
        <w:rPr>
          <w:rFonts w:hint="eastAsia"/>
          <w:szCs w:val="21"/>
        </w:rPr>
        <w:t>B11.6</w:t>
      </w:r>
      <w:r>
        <w:rPr>
          <w:rFonts w:hint="eastAsia"/>
          <w:szCs w:val="21"/>
        </w:rPr>
        <w:t>所示，与城市地区的男女相比，总的来说，城市中心地区的男女工作时间较长。</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1980</w:t>
      </w:r>
      <w:r>
        <w:rPr>
          <w:rFonts w:hint="eastAsia"/>
          <w:szCs w:val="21"/>
        </w:rPr>
        <w:t>年代中期以前，农业吸纳了半数劳动力，但此后一二十年来其相对规模不断萎缩。</w:t>
      </w:r>
      <w:r>
        <w:rPr>
          <w:rFonts w:hint="eastAsia"/>
          <w:spacing w:val="-2"/>
          <w:szCs w:val="21"/>
        </w:rPr>
        <w:t>到</w:t>
      </w:r>
      <w:r>
        <w:rPr>
          <w:rFonts w:hint="eastAsia"/>
          <w:spacing w:val="-2"/>
          <w:szCs w:val="21"/>
        </w:rPr>
        <w:t>2000</w:t>
      </w:r>
      <w:r>
        <w:rPr>
          <w:rFonts w:hint="eastAsia"/>
          <w:spacing w:val="-2"/>
          <w:szCs w:val="21"/>
        </w:rPr>
        <w:t>年，只有</w:t>
      </w:r>
      <w:r>
        <w:rPr>
          <w:rFonts w:hint="eastAsia"/>
          <w:spacing w:val="-2"/>
          <w:szCs w:val="21"/>
        </w:rPr>
        <w:t xml:space="preserve">37% </w:t>
      </w:r>
      <w:r>
        <w:rPr>
          <w:rFonts w:hint="eastAsia"/>
          <w:spacing w:val="-2"/>
          <w:szCs w:val="21"/>
        </w:rPr>
        <w:t>的雇佣工人在农业部门，其中多为男子：全体工人中有</w:t>
      </w:r>
      <w:r>
        <w:rPr>
          <w:rFonts w:hint="eastAsia"/>
          <w:spacing w:val="-2"/>
          <w:szCs w:val="21"/>
        </w:rPr>
        <w:t>72%</w:t>
      </w:r>
      <w:r>
        <w:rPr>
          <w:rFonts w:hint="eastAsia"/>
          <w:spacing w:val="-2"/>
          <w:szCs w:val="21"/>
        </w:rPr>
        <w:t>从事农业、狩猎和伐木；</w:t>
      </w:r>
      <w:r>
        <w:rPr>
          <w:rFonts w:hint="eastAsia"/>
          <w:spacing w:val="-2"/>
          <w:szCs w:val="21"/>
        </w:rPr>
        <w:t xml:space="preserve">94% </w:t>
      </w:r>
      <w:r>
        <w:rPr>
          <w:rFonts w:hint="eastAsia"/>
          <w:spacing w:val="-2"/>
          <w:szCs w:val="21"/>
        </w:rPr>
        <w:t>从事渔业（国家统计局，</w:t>
      </w:r>
      <w:r>
        <w:rPr>
          <w:rFonts w:hint="eastAsia"/>
          <w:spacing w:val="-2"/>
          <w:szCs w:val="21"/>
        </w:rPr>
        <w:t>2002</w:t>
      </w:r>
      <w:r>
        <w:rPr>
          <w:rFonts w:hint="eastAsia"/>
          <w:spacing w:val="-2"/>
          <w:szCs w:val="21"/>
        </w:rPr>
        <w:t>年）。在</w:t>
      </w:r>
      <w:r>
        <w:rPr>
          <w:rFonts w:hint="eastAsia"/>
          <w:spacing w:val="-2"/>
          <w:szCs w:val="21"/>
        </w:rPr>
        <w:t>1 150</w:t>
      </w:r>
      <w:r>
        <w:rPr>
          <w:rFonts w:hint="eastAsia"/>
          <w:spacing w:val="-2"/>
          <w:szCs w:val="21"/>
        </w:rPr>
        <w:t>万劳动适龄的农村妇女中，有</w:t>
      </w:r>
      <w:r>
        <w:rPr>
          <w:rFonts w:hint="eastAsia"/>
          <w:spacing w:val="-2"/>
          <w:szCs w:val="21"/>
        </w:rPr>
        <w:t>490</w:t>
      </w:r>
      <w:r>
        <w:rPr>
          <w:rFonts w:hint="eastAsia"/>
          <w:spacing w:val="-2"/>
          <w:szCs w:val="21"/>
        </w:rPr>
        <w:t>万就业、</w:t>
      </w:r>
      <w:r>
        <w:rPr>
          <w:rFonts w:hint="eastAsia"/>
          <w:spacing w:val="-2"/>
          <w:szCs w:val="21"/>
        </w:rPr>
        <w:t>60</w:t>
      </w:r>
      <w:r>
        <w:rPr>
          <w:rFonts w:hint="eastAsia"/>
          <w:spacing w:val="-2"/>
          <w:szCs w:val="21"/>
        </w:rPr>
        <w:t>万失业。特别是对年轻妇女来说，其谋生机会减少，迫使她们当中许多人移徙到大马尼拉和其他城市中心地区，还有不少人到海外工作。</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2001</w:t>
      </w:r>
      <w:r>
        <w:rPr>
          <w:rFonts w:hint="eastAsia"/>
          <w:szCs w:val="21"/>
        </w:rPr>
        <w:t>年</w:t>
      </w:r>
      <w:r>
        <w:rPr>
          <w:rFonts w:hint="eastAsia"/>
          <w:szCs w:val="21"/>
        </w:rPr>
        <w:t>10</w:t>
      </w:r>
      <w:r>
        <w:rPr>
          <w:rFonts w:hint="eastAsia"/>
          <w:szCs w:val="21"/>
        </w:rPr>
        <w:t>月，农村地区的女工中大约有</w:t>
      </w:r>
      <w:r>
        <w:rPr>
          <w:rFonts w:hint="eastAsia"/>
          <w:szCs w:val="21"/>
        </w:rPr>
        <w:t>43%</w:t>
      </w:r>
      <w:r>
        <w:rPr>
          <w:rFonts w:hint="eastAsia"/>
          <w:szCs w:val="21"/>
        </w:rPr>
        <w:t>是苦力或非熟练工人；</w:t>
      </w:r>
      <w:r>
        <w:rPr>
          <w:rFonts w:hint="eastAsia"/>
          <w:szCs w:val="21"/>
        </w:rPr>
        <w:t xml:space="preserve">15% </w:t>
      </w:r>
      <w:r>
        <w:rPr>
          <w:rFonts w:hint="eastAsia"/>
          <w:szCs w:val="21"/>
        </w:rPr>
        <w:t>是农民、伐木工和渔民；</w:t>
      </w:r>
      <w:r>
        <w:rPr>
          <w:rFonts w:hint="eastAsia"/>
          <w:szCs w:val="21"/>
        </w:rPr>
        <w:t xml:space="preserve">6% </w:t>
      </w:r>
      <w:r>
        <w:rPr>
          <w:rFonts w:hint="eastAsia"/>
          <w:szCs w:val="21"/>
        </w:rPr>
        <w:t>是专业人员，一般是教师。约有</w:t>
      </w:r>
      <w:r>
        <w:rPr>
          <w:rFonts w:hint="eastAsia"/>
          <w:szCs w:val="21"/>
        </w:rPr>
        <w:t>32%</w:t>
      </w:r>
      <w:r>
        <w:rPr>
          <w:rFonts w:hint="eastAsia"/>
          <w:szCs w:val="21"/>
        </w:rPr>
        <w:t>是自营职业者、</w:t>
      </w:r>
      <w:r>
        <w:rPr>
          <w:rFonts w:hint="eastAsia"/>
          <w:szCs w:val="21"/>
        </w:rPr>
        <w:t>28%</w:t>
      </w:r>
      <w:r>
        <w:rPr>
          <w:rFonts w:hint="eastAsia"/>
          <w:szCs w:val="21"/>
        </w:rPr>
        <w:t>是无报酬家庭工人。约</w:t>
      </w:r>
      <w:r>
        <w:rPr>
          <w:rFonts w:hint="eastAsia"/>
          <w:szCs w:val="21"/>
        </w:rPr>
        <w:t>9%</w:t>
      </w:r>
      <w:r>
        <w:rPr>
          <w:rFonts w:hint="eastAsia"/>
          <w:szCs w:val="21"/>
        </w:rPr>
        <w:t>为政府工作，当教师或文秘（劳动和就业统计局，</w:t>
      </w:r>
      <w:r>
        <w:rPr>
          <w:rFonts w:hint="eastAsia"/>
          <w:szCs w:val="21"/>
        </w:rPr>
        <w:t>2003</w:t>
      </w:r>
      <w:r>
        <w:rPr>
          <w:rFonts w:hint="eastAsia"/>
          <w:szCs w:val="21"/>
        </w:rPr>
        <w:t>年</w:t>
      </w:r>
      <w:r>
        <w:rPr>
          <w:rFonts w:hint="eastAsia"/>
          <w:szCs w:val="21"/>
        </w:rPr>
        <w:t>c</w:t>
      </w:r>
      <w:r>
        <w:rPr>
          <w:rFonts w:hint="eastAsia"/>
          <w:szCs w:val="21"/>
        </w:rPr>
        <w:t>）。</w:t>
      </w:r>
      <w:r>
        <w:rPr>
          <w:rFonts w:hint="eastAsia"/>
          <w:szCs w:val="21"/>
        </w:rPr>
        <w:t xml:space="preserve"> </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pacing w:val="2"/>
          <w:szCs w:val="21"/>
        </w:rPr>
        <w:t>农村地区的经济活动不</w:t>
      </w:r>
      <w:r>
        <w:rPr>
          <w:rFonts w:hint="eastAsia"/>
          <w:color w:val="000000"/>
          <w:spacing w:val="2"/>
          <w:szCs w:val="21"/>
        </w:rPr>
        <w:t>像城市企业或工作那样能带来较多的现金收入。</w:t>
      </w:r>
      <w:r>
        <w:rPr>
          <w:rFonts w:hint="eastAsia"/>
          <w:color w:val="000000"/>
          <w:spacing w:val="2"/>
          <w:szCs w:val="21"/>
        </w:rPr>
        <w:t>2000</w:t>
      </w:r>
      <w:r>
        <w:rPr>
          <w:rFonts w:hint="eastAsia"/>
          <w:color w:val="000000"/>
          <w:spacing w:val="2"/>
          <w:szCs w:val="21"/>
        </w:rPr>
        <w:t>年，农村家庭平均收入</w:t>
      </w:r>
      <w:r>
        <w:rPr>
          <w:rFonts w:hint="eastAsia"/>
          <w:color w:val="000000"/>
          <w:szCs w:val="21"/>
        </w:rPr>
        <w:t>（</w:t>
      </w:r>
      <w:r>
        <w:rPr>
          <w:rFonts w:hint="eastAsia"/>
          <w:color w:val="000000"/>
          <w:spacing w:val="-2"/>
          <w:szCs w:val="21"/>
        </w:rPr>
        <w:t>59 820</w:t>
      </w:r>
      <w:r>
        <w:rPr>
          <w:rFonts w:hint="eastAsia"/>
          <w:color w:val="000000"/>
          <w:spacing w:val="-2"/>
          <w:szCs w:val="21"/>
        </w:rPr>
        <w:t>菲律宾比索</w:t>
      </w:r>
      <w:r>
        <w:rPr>
          <w:rFonts w:hint="eastAsia"/>
          <w:color w:val="000000"/>
          <w:szCs w:val="21"/>
        </w:rPr>
        <w:t>）还不到城市家庭平均收入</w:t>
      </w:r>
      <w:r>
        <w:rPr>
          <w:rFonts w:hint="eastAsia"/>
          <w:color w:val="000000"/>
          <w:spacing w:val="-2"/>
          <w:szCs w:val="21"/>
        </w:rPr>
        <w:t>136 338</w:t>
      </w:r>
      <w:r>
        <w:rPr>
          <w:rFonts w:hint="eastAsia"/>
          <w:color w:val="000000"/>
          <w:spacing w:val="-2"/>
          <w:szCs w:val="21"/>
        </w:rPr>
        <w:t>菲律宾比索</w:t>
      </w:r>
      <w:r>
        <w:rPr>
          <w:rFonts w:hint="eastAsia"/>
          <w:color w:val="000000"/>
          <w:szCs w:val="21"/>
        </w:rPr>
        <w:t>的一半（</w:t>
      </w:r>
      <w:r>
        <w:rPr>
          <w:rFonts w:hint="eastAsia"/>
          <w:color w:val="000000"/>
          <w:spacing w:val="-2"/>
          <w:szCs w:val="21"/>
        </w:rPr>
        <w:t>国家统计局，</w:t>
      </w:r>
      <w:r>
        <w:rPr>
          <w:rFonts w:hint="eastAsia"/>
          <w:color w:val="000000"/>
          <w:spacing w:val="-2"/>
          <w:szCs w:val="21"/>
        </w:rPr>
        <w:t>2002</w:t>
      </w:r>
      <w:r>
        <w:rPr>
          <w:rFonts w:hint="eastAsia"/>
          <w:color w:val="000000"/>
          <w:spacing w:val="-2"/>
          <w:szCs w:val="21"/>
        </w:rPr>
        <w:t>年</w:t>
      </w:r>
      <w:r>
        <w:rPr>
          <w:rFonts w:hint="eastAsia"/>
          <w:color w:val="000000"/>
          <w:szCs w:val="21"/>
        </w:rPr>
        <w:t>）。农村地区的收入贫穷率一向较高：</w:t>
      </w:r>
      <w:r>
        <w:rPr>
          <w:rFonts w:hint="eastAsia"/>
          <w:color w:val="000000"/>
          <w:szCs w:val="21"/>
        </w:rPr>
        <w:t>1991</w:t>
      </w:r>
      <w:r>
        <w:rPr>
          <w:rFonts w:hint="eastAsia"/>
          <w:color w:val="000000"/>
          <w:szCs w:val="21"/>
        </w:rPr>
        <w:t>年为</w:t>
      </w:r>
      <w:r>
        <w:rPr>
          <w:rFonts w:hint="eastAsia"/>
          <w:color w:val="000000"/>
          <w:spacing w:val="-2"/>
          <w:szCs w:val="21"/>
        </w:rPr>
        <w:t xml:space="preserve">56.0 % </w:t>
      </w:r>
      <w:r>
        <w:rPr>
          <w:rFonts w:hint="eastAsia"/>
          <w:color w:val="000000"/>
          <w:spacing w:val="-2"/>
          <w:szCs w:val="21"/>
        </w:rPr>
        <w:t>对</w:t>
      </w:r>
      <w:r>
        <w:rPr>
          <w:rFonts w:hint="eastAsia"/>
          <w:color w:val="000000"/>
          <w:spacing w:val="-2"/>
          <w:szCs w:val="21"/>
        </w:rPr>
        <w:t xml:space="preserve">37.9% </w:t>
      </w:r>
      <w:r>
        <w:rPr>
          <w:rFonts w:hint="eastAsia"/>
          <w:color w:val="000000"/>
          <w:spacing w:val="-2"/>
          <w:szCs w:val="21"/>
        </w:rPr>
        <w:t>；</w:t>
      </w:r>
      <w:r>
        <w:rPr>
          <w:rFonts w:hint="eastAsia"/>
          <w:color w:val="000000"/>
          <w:spacing w:val="-2"/>
          <w:szCs w:val="21"/>
        </w:rPr>
        <w:t>1994</w:t>
      </w:r>
      <w:r>
        <w:rPr>
          <w:rFonts w:hint="eastAsia"/>
          <w:color w:val="000000"/>
          <w:spacing w:val="-2"/>
          <w:szCs w:val="21"/>
        </w:rPr>
        <w:t>年为</w:t>
      </w:r>
      <w:r>
        <w:rPr>
          <w:rFonts w:hint="eastAsia"/>
          <w:color w:val="000000"/>
          <w:spacing w:val="-2"/>
          <w:szCs w:val="21"/>
        </w:rPr>
        <w:t>47.0%</w:t>
      </w:r>
      <w:r>
        <w:rPr>
          <w:rFonts w:hint="eastAsia"/>
          <w:color w:val="000000"/>
          <w:spacing w:val="-2"/>
          <w:szCs w:val="21"/>
        </w:rPr>
        <w:t>对</w:t>
      </w:r>
      <w:r>
        <w:rPr>
          <w:rFonts w:hint="eastAsia"/>
          <w:color w:val="000000"/>
          <w:spacing w:val="-2"/>
          <w:szCs w:val="21"/>
        </w:rPr>
        <w:t>30.1%</w:t>
      </w:r>
      <w:r>
        <w:rPr>
          <w:rFonts w:hint="eastAsia"/>
          <w:color w:val="000000"/>
          <w:spacing w:val="-2"/>
          <w:szCs w:val="21"/>
        </w:rPr>
        <w:t>；</w:t>
      </w:r>
      <w:r>
        <w:rPr>
          <w:rFonts w:hint="eastAsia"/>
          <w:color w:val="000000"/>
          <w:spacing w:val="-2"/>
          <w:szCs w:val="21"/>
        </w:rPr>
        <w:t>1997</w:t>
      </w:r>
      <w:r>
        <w:rPr>
          <w:rFonts w:hint="eastAsia"/>
          <w:color w:val="000000"/>
          <w:spacing w:val="-2"/>
          <w:szCs w:val="21"/>
        </w:rPr>
        <w:t>年为</w:t>
      </w:r>
      <w:r>
        <w:rPr>
          <w:rFonts w:hint="eastAsia"/>
          <w:color w:val="000000"/>
          <w:spacing w:val="-2"/>
          <w:szCs w:val="21"/>
        </w:rPr>
        <w:t xml:space="preserve">44.4% </w:t>
      </w:r>
      <w:r>
        <w:rPr>
          <w:rFonts w:hint="eastAsia"/>
          <w:color w:val="000000"/>
          <w:spacing w:val="-2"/>
          <w:szCs w:val="21"/>
        </w:rPr>
        <w:t>对</w:t>
      </w:r>
      <w:r>
        <w:rPr>
          <w:rFonts w:hint="eastAsia"/>
          <w:color w:val="000000"/>
          <w:spacing w:val="-2"/>
          <w:szCs w:val="21"/>
        </w:rPr>
        <w:t>23.2%</w:t>
      </w:r>
      <w:r>
        <w:rPr>
          <w:rFonts w:hint="eastAsia"/>
          <w:color w:val="000000"/>
          <w:spacing w:val="-2"/>
          <w:szCs w:val="21"/>
        </w:rPr>
        <w:t>。</w:t>
      </w:r>
      <w:r>
        <w:rPr>
          <w:rFonts w:hint="eastAsia"/>
          <w:color w:val="000000"/>
          <w:spacing w:val="-2"/>
          <w:szCs w:val="21"/>
        </w:rPr>
        <w:t>2000</w:t>
      </w:r>
      <w:r>
        <w:rPr>
          <w:rFonts w:hint="eastAsia"/>
          <w:color w:val="000000"/>
          <w:spacing w:val="-2"/>
          <w:szCs w:val="21"/>
        </w:rPr>
        <w:t>年还没有城乡地区的数据，但是根据登记情况，城市化较低的地区和省份的收入贫穷率较高（国家统计局，</w:t>
      </w:r>
      <w:r>
        <w:rPr>
          <w:rFonts w:hint="eastAsia"/>
          <w:color w:val="000000"/>
          <w:spacing w:val="-2"/>
          <w:szCs w:val="21"/>
        </w:rPr>
        <w:t>2003</w:t>
      </w:r>
      <w:r>
        <w:rPr>
          <w:rFonts w:hint="eastAsia"/>
          <w:color w:val="000000"/>
          <w:spacing w:val="-2"/>
          <w:szCs w:val="21"/>
        </w:rPr>
        <w:t>年</w:t>
      </w:r>
      <w:r>
        <w:rPr>
          <w:rFonts w:hint="eastAsia"/>
          <w:color w:val="000000"/>
          <w:spacing w:val="-2"/>
          <w:szCs w:val="21"/>
        </w:rPr>
        <w:t>a</w:t>
      </w:r>
      <w:r>
        <w:rPr>
          <w:rFonts w:hint="eastAsia"/>
          <w:color w:val="000000"/>
          <w:spacing w:val="-2"/>
          <w:szCs w:val="21"/>
        </w:rPr>
        <w:t>）。对农业部门的忽视和资源分配不平衡加剧了农村地区的贫穷状况。只有移徙工人给</w:t>
      </w:r>
      <w:r>
        <w:rPr>
          <w:rFonts w:hint="eastAsia"/>
          <w:color w:val="000000"/>
          <w:spacing w:val="-2"/>
          <w:szCs w:val="21"/>
        </w:rPr>
        <w:t>家里的汇款才使家人熬过因为农业生产停滞不前、廉价进口粮食的激烈竞争以及阶段性干旱和洪涝灾害毁灭农作物和生计所造成的民不聊生的苦日子。</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收入分配不公平依旧是个问题。最贫穷的</w:t>
      </w:r>
      <w:r>
        <w:rPr>
          <w:rFonts w:hint="eastAsia"/>
          <w:szCs w:val="21"/>
        </w:rPr>
        <w:t xml:space="preserve">30% </w:t>
      </w:r>
      <w:r>
        <w:rPr>
          <w:rFonts w:hint="eastAsia"/>
          <w:szCs w:val="21"/>
        </w:rPr>
        <w:t>家庭得到的收入低于</w:t>
      </w:r>
      <w:r>
        <w:rPr>
          <w:rFonts w:hint="eastAsia"/>
          <w:szCs w:val="21"/>
        </w:rPr>
        <w:t>8%</w:t>
      </w:r>
      <w:r>
        <w:rPr>
          <w:rFonts w:hint="eastAsia"/>
          <w:szCs w:val="21"/>
        </w:rPr>
        <w:t>，而最富裕的</w:t>
      </w:r>
      <w:r>
        <w:rPr>
          <w:rFonts w:hint="eastAsia"/>
          <w:szCs w:val="21"/>
        </w:rPr>
        <w:t>10%</w:t>
      </w:r>
      <w:r>
        <w:rPr>
          <w:rFonts w:hint="eastAsia"/>
          <w:szCs w:val="21"/>
        </w:rPr>
        <w:t>家庭却得到将近</w:t>
      </w:r>
      <w:r>
        <w:rPr>
          <w:rFonts w:hint="eastAsia"/>
          <w:szCs w:val="21"/>
        </w:rPr>
        <w:t>40%</w:t>
      </w:r>
      <w:r>
        <w:rPr>
          <w:rFonts w:hint="eastAsia"/>
          <w:szCs w:val="21"/>
        </w:rPr>
        <w:t>的总收入（国家统计局，</w:t>
      </w:r>
      <w:r>
        <w:rPr>
          <w:rFonts w:hint="eastAsia"/>
          <w:szCs w:val="21"/>
        </w:rPr>
        <w:t>2002</w:t>
      </w:r>
      <w:r>
        <w:rPr>
          <w:rFonts w:hint="eastAsia"/>
          <w:szCs w:val="21"/>
        </w:rPr>
        <w:t>年）。</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国家外债和财政赤字限制了政府支出，特别是为穷人谋福利的社会服务支出。在审查期内的几年里，社会服务预算增加了，但是由于偿债额庞大，预算依然呈逆向变化（附表</w:t>
      </w:r>
      <w:r>
        <w:rPr>
          <w:rFonts w:hint="eastAsia"/>
          <w:szCs w:val="21"/>
        </w:rPr>
        <w:t>B14.1</w:t>
      </w:r>
      <w:r>
        <w:rPr>
          <w:rFonts w:hint="eastAsia"/>
          <w:szCs w:val="21"/>
        </w:rPr>
        <w:t>）。社会服务方面的公共支出（教育、卫生、计划生育、社会福利）的削减对妇</w:t>
      </w:r>
      <w:r>
        <w:rPr>
          <w:rFonts w:hint="eastAsia"/>
          <w:szCs w:val="21"/>
        </w:rPr>
        <w:t>女的负面影响比对男子大，因为妇女占了该部门劳动力的大多数，而且指望她们来提供国家已经不再提供的服务。</w:t>
      </w:r>
    </w:p>
    <w:p w:rsidR="00000000" w:rsidRDefault="00821B8F">
      <w:pPr>
        <w:numPr>
          <w:ilvl w:val="0"/>
          <w:numId w:val="1409"/>
        </w:numPr>
        <w:tabs>
          <w:tab w:val="num" w:pos="1499"/>
        </w:tabs>
        <w:spacing w:after="120" w:line="360" w:lineRule="exact"/>
        <w:ind w:left="540" w:hanging="540"/>
        <w:rPr>
          <w:rFonts w:hint="eastAsia"/>
          <w:color w:val="000000"/>
          <w:spacing w:val="-2"/>
          <w:szCs w:val="21"/>
        </w:rPr>
      </w:pPr>
      <w:r>
        <w:rPr>
          <w:color w:val="000000"/>
          <w:szCs w:val="21"/>
        </w:rPr>
        <w:t xml:space="preserve"> </w:t>
      </w:r>
      <w:r>
        <w:rPr>
          <w:rFonts w:hint="eastAsia"/>
          <w:color w:val="000000"/>
          <w:szCs w:val="21"/>
        </w:rPr>
        <w:t>妇女作为家庭主妇和辅助型养家糊口者的观念，依然影响着政府和非政府组织招募妇女担任保健和营养志愿人员或者作为微型贷款或微型创收项目参加者的指导思想。</w:t>
      </w:r>
      <w:r>
        <w:rPr>
          <w:rFonts w:hint="eastAsia"/>
          <w:color w:val="000000"/>
          <w:spacing w:val="-2"/>
          <w:szCs w:val="21"/>
        </w:rPr>
        <w:t>长期以来，妇女生产者一直被归类为无报酬家庭工人，而很少被视为农业延伸工作或农业技术开发和转让的客户。那种把农民、渔民或农村生产者看作男性的观念顽固不化，影响到妇女享有土地和其他资源。它还把为数众多的女农民排斥在农民组织及合作社之外，因为一般认为这些组织的成员都是</w:t>
      </w:r>
      <w:r>
        <w:rPr>
          <w:rFonts w:hint="eastAsia"/>
          <w:color w:val="000000"/>
          <w:spacing w:val="-2"/>
          <w:szCs w:val="21"/>
        </w:rPr>
        <w:t>男子。最近合作社发展管理局提供的数据表明，妇女占农民合作社成员的</w:t>
      </w:r>
      <w:r>
        <w:rPr>
          <w:rFonts w:hint="eastAsia"/>
          <w:color w:val="000000"/>
          <w:spacing w:val="-2"/>
          <w:szCs w:val="21"/>
        </w:rPr>
        <w:t>35%</w:t>
      </w:r>
      <w:r>
        <w:rPr>
          <w:rFonts w:hint="eastAsia"/>
          <w:color w:val="000000"/>
          <w:spacing w:val="-2"/>
          <w:szCs w:val="21"/>
        </w:rPr>
        <w:t>，占合作社领导成员的</w:t>
      </w:r>
      <w:r>
        <w:rPr>
          <w:rFonts w:hint="eastAsia"/>
          <w:color w:val="000000"/>
          <w:spacing w:val="-2"/>
          <w:szCs w:val="21"/>
        </w:rPr>
        <w:t>21%</w:t>
      </w:r>
      <w:r>
        <w:rPr>
          <w:rFonts w:hint="eastAsia"/>
          <w:color w:val="000000"/>
          <w:spacing w:val="-2"/>
          <w:szCs w:val="21"/>
        </w:rPr>
        <w:t>。</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不过，农民合作社在菲律宾全部合作社中所占比例很小。</w:t>
      </w:r>
      <w:r>
        <w:rPr>
          <w:rFonts w:hint="eastAsia"/>
          <w:spacing w:val="-2"/>
          <w:szCs w:val="21"/>
        </w:rPr>
        <w:t>更多的是开放型社区合作社，凡对其有兴趣并能为集体权益做贡献者，不论男女均可参加。总的来说，女社员的人数比男社员多。</w:t>
      </w:r>
      <w:r>
        <w:rPr>
          <w:rFonts w:hint="eastAsia"/>
          <w:spacing w:val="-2"/>
          <w:szCs w:val="21"/>
        </w:rPr>
        <w:t>1999</w:t>
      </w:r>
      <w:r>
        <w:rPr>
          <w:rFonts w:hint="eastAsia"/>
          <w:spacing w:val="-2"/>
          <w:szCs w:val="21"/>
        </w:rPr>
        <w:t>年对全国合作社联合会——这个全国最大的、以会员为基础、以储蓄为动力的私有合作社联合会——的</w:t>
      </w:r>
      <w:r>
        <w:rPr>
          <w:rFonts w:hint="eastAsia"/>
          <w:spacing w:val="-2"/>
          <w:szCs w:val="21"/>
        </w:rPr>
        <w:t>1 200</w:t>
      </w:r>
      <w:r>
        <w:rPr>
          <w:rFonts w:hint="eastAsia"/>
          <w:spacing w:val="-2"/>
          <w:szCs w:val="21"/>
        </w:rPr>
        <w:t>个附属机构的抽样调查表明，妇女约占全部会员的</w:t>
      </w:r>
      <w:r>
        <w:rPr>
          <w:rFonts w:hint="eastAsia"/>
          <w:spacing w:val="-2"/>
          <w:szCs w:val="21"/>
        </w:rPr>
        <w:t>60%</w:t>
      </w:r>
      <w:r>
        <w:rPr>
          <w:rFonts w:hint="eastAsia"/>
          <w:spacing w:val="-2"/>
          <w:szCs w:val="21"/>
        </w:rPr>
        <w:t>、占理事会成员的</w:t>
      </w:r>
      <w:r>
        <w:rPr>
          <w:rFonts w:hint="eastAsia"/>
          <w:spacing w:val="-2"/>
          <w:szCs w:val="21"/>
        </w:rPr>
        <w:t>42%</w:t>
      </w:r>
      <w:r>
        <w:rPr>
          <w:rFonts w:hint="eastAsia"/>
          <w:spacing w:val="-2"/>
          <w:szCs w:val="21"/>
        </w:rPr>
        <w:t>、占理事长的</w:t>
      </w:r>
      <w:r>
        <w:rPr>
          <w:rFonts w:hint="eastAsia"/>
          <w:spacing w:val="-2"/>
          <w:szCs w:val="21"/>
        </w:rPr>
        <w:t>23%</w:t>
      </w:r>
      <w:r>
        <w:rPr>
          <w:rFonts w:hint="eastAsia"/>
          <w:spacing w:val="-2"/>
          <w:szCs w:val="21"/>
        </w:rPr>
        <w:t>、占合作社经理的</w:t>
      </w:r>
      <w:r>
        <w:rPr>
          <w:rFonts w:hint="eastAsia"/>
          <w:spacing w:val="-2"/>
          <w:szCs w:val="21"/>
        </w:rPr>
        <w:t>51%</w:t>
      </w:r>
      <w:r>
        <w:rPr>
          <w:rFonts w:hint="eastAsia"/>
          <w:spacing w:val="-2"/>
          <w:szCs w:val="21"/>
        </w:rPr>
        <w:t>、占雇员的</w:t>
      </w:r>
      <w:r>
        <w:rPr>
          <w:rFonts w:hint="eastAsia"/>
          <w:spacing w:val="-2"/>
          <w:szCs w:val="21"/>
        </w:rPr>
        <w:t>59%</w:t>
      </w:r>
      <w:r>
        <w:rPr>
          <w:rFonts w:hint="eastAsia"/>
          <w:spacing w:val="-2"/>
          <w:szCs w:val="21"/>
        </w:rPr>
        <w:t>。虽然资料</w:t>
      </w:r>
      <w:r>
        <w:rPr>
          <w:rFonts w:hint="eastAsia"/>
          <w:spacing w:val="-2"/>
          <w:szCs w:val="21"/>
        </w:rPr>
        <w:t>表明妇女占了合作社成员、经理和职员的大多数，但是被选为董事会成员的妇女较少。</w:t>
      </w:r>
    </w:p>
    <w:p w:rsidR="00000000" w:rsidRDefault="00821B8F">
      <w:pPr>
        <w:pStyle w:val="H1"/>
        <w:rPr>
          <w:rFonts w:hint="eastAsia"/>
        </w:rPr>
      </w:pPr>
      <w:r>
        <w:rPr>
          <w:rFonts w:hint="eastAsia"/>
        </w:rPr>
        <w:t>B</w:t>
      </w:r>
      <w:r>
        <w:rPr>
          <w:rFonts w:hint="eastAsia"/>
        </w:rPr>
        <w:t>．采取的行动：政策和方案制订</w:t>
      </w:r>
    </w:p>
    <w:p w:rsidR="00000000" w:rsidRDefault="00821B8F">
      <w:pPr>
        <w:numPr>
          <w:ilvl w:val="0"/>
          <w:numId w:val="1409"/>
        </w:numPr>
        <w:tabs>
          <w:tab w:val="num" w:pos="1499"/>
        </w:tabs>
        <w:spacing w:after="120" w:line="360" w:lineRule="exact"/>
        <w:ind w:left="540" w:hanging="540"/>
        <w:rPr>
          <w:rFonts w:hint="eastAsia"/>
        </w:rPr>
      </w:pPr>
      <w:r>
        <w:t xml:space="preserve"> </w:t>
      </w:r>
      <w:r>
        <w:rPr>
          <w:rFonts w:hint="eastAsia"/>
        </w:rPr>
        <w:t>旨在改善农村百姓状况的立法和行政举措包括：</w:t>
      </w:r>
    </w:p>
    <w:p w:rsidR="00000000" w:rsidRDefault="00821B8F">
      <w:pPr>
        <w:pStyle w:val="BodyTextIndent3"/>
        <w:numPr>
          <w:ilvl w:val="0"/>
          <w:numId w:val="1405"/>
        </w:numPr>
        <w:tabs>
          <w:tab w:val="clear" w:pos="840"/>
          <w:tab w:val="clear" w:pos="2079"/>
          <w:tab w:val="num" w:pos="1200"/>
        </w:tabs>
        <w:autoSpaceDE w:val="0"/>
        <w:autoSpaceDN w:val="0"/>
        <w:spacing w:after="120" w:line="360" w:lineRule="exact"/>
        <w:ind w:left="1200" w:hanging="600"/>
        <w:rPr>
          <w:rFonts w:hint="eastAsia"/>
          <w:szCs w:val="21"/>
        </w:rPr>
      </w:pPr>
      <w:r>
        <w:rPr>
          <w:rFonts w:hint="eastAsia"/>
          <w:spacing w:val="-2"/>
          <w:szCs w:val="21"/>
        </w:rPr>
        <w:t>《</w:t>
      </w:r>
      <w:r>
        <w:rPr>
          <w:rFonts w:hint="eastAsia"/>
          <w:spacing w:val="-2"/>
          <w:szCs w:val="21"/>
        </w:rPr>
        <w:t>1998</w:t>
      </w:r>
      <w:r>
        <w:rPr>
          <w:rFonts w:hint="eastAsia"/>
          <w:spacing w:val="-2"/>
          <w:szCs w:val="21"/>
        </w:rPr>
        <w:t>年渔业法》规定了妇女在为执行政府沿海资源管理方案而成立的地方理事会中的代表权。可是，由于下述原因该法令遭到批评：偏向于商业渔业经营者而忽视地方渔民；偏向于面向市场的生产而忽视生计生产——这些都不符合渔业社区的妇女利益。</w:t>
      </w:r>
    </w:p>
    <w:p w:rsidR="00000000" w:rsidRDefault="00821B8F">
      <w:pPr>
        <w:pStyle w:val="BodyTextIndent3"/>
        <w:numPr>
          <w:ilvl w:val="0"/>
          <w:numId w:val="1405"/>
        </w:numPr>
        <w:tabs>
          <w:tab w:val="clear" w:pos="840"/>
          <w:tab w:val="clear" w:pos="2079"/>
          <w:tab w:val="num" w:pos="1200"/>
        </w:tabs>
        <w:autoSpaceDE w:val="0"/>
        <w:autoSpaceDN w:val="0"/>
        <w:spacing w:after="120" w:line="360" w:lineRule="exact"/>
        <w:ind w:left="1200" w:hanging="600"/>
        <w:rPr>
          <w:rFonts w:hint="eastAsia"/>
          <w:color w:val="000000"/>
          <w:spacing w:val="-2"/>
          <w:szCs w:val="21"/>
        </w:rPr>
      </w:pPr>
      <w:r>
        <w:rPr>
          <w:rFonts w:hint="eastAsia"/>
          <w:color w:val="000000"/>
          <w:szCs w:val="21"/>
        </w:rPr>
        <w:t>《</w:t>
      </w:r>
      <w:r>
        <w:rPr>
          <w:rFonts w:hint="eastAsia"/>
          <w:color w:val="000000"/>
          <w:szCs w:val="21"/>
        </w:rPr>
        <w:t>1997</w:t>
      </w:r>
      <w:r>
        <w:rPr>
          <w:rFonts w:hint="eastAsia"/>
          <w:color w:val="000000"/>
          <w:szCs w:val="21"/>
        </w:rPr>
        <w:t>年社会改革和减缓贫穷法》是三届总统消灭贫穷方案的法律依据。</w:t>
      </w:r>
      <w:r>
        <w:rPr>
          <w:rFonts w:hint="eastAsia"/>
          <w:color w:val="000000"/>
          <w:szCs w:val="21"/>
        </w:rPr>
        <w:t>2001</w:t>
      </w:r>
      <w:r>
        <w:rPr>
          <w:rFonts w:hint="eastAsia"/>
          <w:color w:val="000000"/>
          <w:szCs w:val="21"/>
        </w:rPr>
        <w:t>年，阿罗约政府推出</w:t>
      </w:r>
      <w:r>
        <w:rPr>
          <w:rFonts w:hint="eastAsia"/>
          <w:color w:val="000000"/>
          <w:spacing w:val="-2"/>
          <w:szCs w:val="21"/>
        </w:rPr>
        <w:t xml:space="preserve"> </w:t>
      </w:r>
      <w:r>
        <w:rPr>
          <w:rFonts w:hint="eastAsia"/>
          <w:i/>
          <w:color w:val="0000FF"/>
          <w:spacing w:val="-2"/>
          <w:szCs w:val="21"/>
        </w:rPr>
        <w:t>Kapit-Bisig Lab</w:t>
      </w:r>
      <w:r>
        <w:rPr>
          <w:rFonts w:hint="eastAsia"/>
          <w:i/>
          <w:color w:val="0000FF"/>
          <w:spacing w:val="-2"/>
          <w:szCs w:val="21"/>
        </w:rPr>
        <w:t>an sa Kahirapan</w:t>
      </w:r>
      <w:r>
        <w:rPr>
          <w:rFonts w:hint="eastAsia"/>
          <w:color w:val="000000"/>
          <w:spacing w:val="-2"/>
          <w:szCs w:val="21"/>
        </w:rPr>
        <w:t>方案（又见第</w:t>
      </w:r>
      <w:r>
        <w:rPr>
          <w:rFonts w:hint="eastAsia"/>
          <w:color w:val="000000"/>
          <w:spacing w:val="-2"/>
          <w:szCs w:val="21"/>
        </w:rPr>
        <w:t>479c</w:t>
      </w:r>
      <w:r>
        <w:rPr>
          <w:rFonts w:hint="eastAsia"/>
          <w:color w:val="000000"/>
          <w:spacing w:val="-2"/>
          <w:szCs w:val="21"/>
        </w:rPr>
        <w:t>和第</w:t>
      </w:r>
      <w:r>
        <w:rPr>
          <w:rFonts w:hint="eastAsia"/>
          <w:color w:val="000000"/>
          <w:spacing w:val="-2"/>
          <w:szCs w:val="21"/>
        </w:rPr>
        <w:t>479d</w:t>
      </w:r>
      <w:r>
        <w:rPr>
          <w:rFonts w:hint="eastAsia"/>
          <w:color w:val="000000"/>
          <w:spacing w:val="-2"/>
          <w:szCs w:val="21"/>
        </w:rPr>
        <w:t>段），该方案提供了农村地区亟需的住房援助、基础设施、电气化、生计和其他基础服务。</w:t>
      </w:r>
    </w:p>
    <w:p w:rsidR="00000000" w:rsidRDefault="00821B8F">
      <w:pPr>
        <w:pStyle w:val="BodyTextIndent3"/>
        <w:numPr>
          <w:ilvl w:val="0"/>
          <w:numId w:val="1405"/>
        </w:numPr>
        <w:tabs>
          <w:tab w:val="clear" w:pos="840"/>
          <w:tab w:val="clear" w:pos="2079"/>
          <w:tab w:val="num" w:pos="1200"/>
        </w:tabs>
        <w:autoSpaceDE w:val="0"/>
        <w:autoSpaceDN w:val="0"/>
        <w:spacing w:after="120" w:line="360" w:lineRule="exact"/>
        <w:ind w:left="1200" w:hanging="600"/>
        <w:rPr>
          <w:rFonts w:hint="eastAsia"/>
          <w:szCs w:val="21"/>
        </w:rPr>
      </w:pPr>
      <w:r>
        <w:rPr>
          <w:rFonts w:hint="eastAsia"/>
          <w:szCs w:val="21"/>
        </w:rPr>
        <w:t>上文第</w:t>
      </w:r>
      <w:r>
        <w:rPr>
          <w:rFonts w:hint="eastAsia"/>
          <w:szCs w:val="21"/>
        </w:rPr>
        <w:t>146b</w:t>
      </w:r>
      <w:r>
        <w:rPr>
          <w:rFonts w:hint="eastAsia"/>
          <w:szCs w:val="21"/>
        </w:rPr>
        <w:t>段提到，《土著人民权利法》规定了</w:t>
      </w:r>
      <w:r>
        <w:rPr>
          <w:rFonts w:hint="eastAsia"/>
          <w:spacing w:val="-2"/>
          <w:szCs w:val="21"/>
        </w:rPr>
        <w:t>土著</w:t>
      </w:r>
      <w:r>
        <w:rPr>
          <w:rFonts w:hint="eastAsia"/>
          <w:szCs w:val="21"/>
        </w:rPr>
        <w:t>男女在各个生活领域的权利和机会平等，以及土著妇女参与各级决策过程。由于对祖传土地存在争议，该法令的执行遇到很大阻力。</w:t>
      </w:r>
    </w:p>
    <w:p w:rsidR="00000000" w:rsidRDefault="00821B8F">
      <w:pPr>
        <w:pStyle w:val="BodyTextIndent3"/>
        <w:numPr>
          <w:ilvl w:val="0"/>
          <w:numId w:val="1405"/>
        </w:numPr>
        <w:tabs>
          <w:tab w:val="clear" w:pos="840"/>
          <w:tab w:val="clear" w:pos="2079"/>
          <w:tab w:val="num" w:pos="1200"/>
        </w:tabs>
        <w:autoSpaceDE w:val="0"/>
        <w:autoSpaceDN w:val="0"/>
        <w:spacing w:after="120" w:line="360" w:lineRule="exact"/>
        <w:ind w:left="1200" w:hanging="600"/>
        <w:rPr>
          <w:rFonts w:hint="eastAsia"/>
          <w:szCs w:val="21"/>
        </w:rPr>
      </w:pPr>
      <w:r>
        <w:rPr>
          <w:rFonts w:hint="eastAsia"/>
          <w:szCs w:val="21"/>
        </w:rPr>
        <w:t>众议院收到的一项议案（第</w:t>
      </w:r>
      <w:r>
        <w:rPr>
          <w:rFonts w:hint="eastAsia"/>
          <w:szCs w:val="21"/>
        </w:rPr>
        <w:t>2970</w:t>
      </w:r>
      <w:r>
        <w:rPr>
          <w:rFonts w:hint="eastAsia"/>
          <w:szCs w:val="21"/>
        </w:rPr>
        <w:t>号众议院议案或《农村发展中的妇女</w:t>
      </w:r>
      <w:r>
        <w:rPr>
          <w:rFonts w:hint="eastAsia"/>
          <w:i/>
          <w:color w:val="0000FF"/>
          <w:szCs w:val="21"/>
        </w:rPr>
        <w:t>Magna Carta</w:t>
      </w:r>
      <w:r>
        <w:rPr>
          <w:rFonts w:hint="eastAsia"/>
          <w:szCs w:val="21"/>
        </w:rPr>
        <w:t>》）力求保护和增进农村妇女的权利。它承认农村妇女对国民经济发展和确保粮食安全的作用和贡献，并提出了旨在提升和开发农</w:t>
      </w:r>
      <w:r>
        <w:rPr>
          <w:rFonts w:hint="eastAsia"/>
          <w:szCs w:val="21"/>
        </w:rPr>
        <w:t>村妇女技能、提供就业机会、以及使</w:t>
      </w:r>
      <w:r>
        <w:rPr>
          <w:rFonts w:hint="eastAsia"/>
          <w:spacing w:val="-2"/>
          <w:szCs w:val="21"/>
        </w:rPr>
        <w:t>她们</w:t>
      </w:r>
      <w:r>
        <w:rPr>
          <w:rFonts w:hint="eastAsia"/>
          <w:szCs w:val="21"/>
        </w:rPr>
        <w:t>能够尽其最大能力为社区做出贡献的各项措施。</w:t>
      </w:r>
    </w:p>
    <w:p w:rsidR="00000000" w:rsidRDefault="00821B8F">
      <w:pPr>
        <w:pStyle w:val="BodyTextIndent3"/>
        <w:numPr>
          <w:ilvl w:val="0"/>
          <w:numId w:val="1405"/>
        </w:numPr>
        <w:tabs>
          <w:tab w:val="clear" w:pos="840"/>
          <w:tab w:val="clear" w:pos="2079"/>
          <w:tab w:val="num" w:pos="1200"/>
        </w:tabs>
        <w:autoSpaceDE w:val="0"/>
        <w:autoSpaceDN w:val="0"/>
        <w:spacing w:after="120" w:line="360" w:lineRule="exact"/>
        <w:ind w:left="1200" w:hanging="600"/>
        <w:rPr>
          <w:rFonts w:hint="eastAsia"/>
          <w:szCs w:val="21"/>
        </w:rPr>
      </w:pPr>
      <w:r>
        <w:rPr>
          <w:rFonts w:hint="eastAsia"/>
          <w:szCs w:val="21"/>
        </w:rPr>
        <w:t>《第</w:t>
      </w:r>
      <w:r>
        <w:rPr>
          <w:rFonts w:hint="eastAsia"/>
          <w:szCs w:val="21"/>
        </w:rPr>
        <w:t>1105</w:t>
      </w:r>
      <w:r>
        <w:rPr>
          <w:rFonts w:hint="eastAsia"/>
          <w:szCs w:val="21"/>
        </w:rPr>
        <w:t>号公告》宣布每年</w:t>
      </w:r>
      <w:r>
        <w:rPr>
          <w:rFonts w:hint="eastAsia"/>
          <w:szCs w:val="21"/>
        </w:rPr>
        <w:t>10</w:t>
      </w:r>
      <w:r>
        <w:rPr>
          <w:rFonts w:hint="eastAsia"/>
          <w:szCs w:val="21"/>
        </w:rPr>
        <w:t>月</w:t>
      </w:r>
      <w:r>
        <w:rPr>
          <w:rFonts w:hint="eastAsia"/>
          <w:szCs w:val="21"/>
        </w:rPr>
        <w:t>15</w:t>
      </w:r>
      <w:r>
        <w:rPr>
          <w:rFonts w:hint="eastAsia"/>
          <w:szCs w:val="21"/>
        </w:rPr>
        <w:t>日为全国农村妇女日。它呼吁注意农业部门的困境，并促进社会各界协调行动。在召开</w:t>
      </w:r>
      <w:r>
        <w:rPr>
          <w:rFonts w:hint="eastAsia"/>
          <w:szCs w:val="21"/>
        </w:rPr>
        <w:t>2003</w:t>
      </w:r>
      <w:r>
        <w:rPr>
          <w:rFonts w:hint="eastAsia"/>
          <w:szCs w:val="21"/>
        </w:rPr>
        <w:t>年全国农村妇女代表大会期间，与会者提出了载有八项议程及相应的决议提案的“农村妇女议程：十年展望”，其中包括在土地改革方案中确保农村妇女对祖传地产和沿海资源的产权，以及促进农村妇女享有充足的食物、安全饮水和各项基本服务。</w:t>
      </w:r>
    </w:p>
    <w:p w:rsidR="00000000" w:rsidRDefault="00821B8F">
      <w:pPr>
        <w:numPr>
          <w:ilvl w:val="0"/>
          <w:numId w:val="1409"/>
        </w:numPr>
        <w:tabs>
          <w:tab w:val="num" w:pos="1499"/>
        </w:tabs>
        <w:spacing w:after="120" w:line="360" w:lineRule="exact"/>
        <w:ind w:left="540" w:hanging="540"/>
        <w:rPr>
          <w:rFonts w:hint="eastAsia"/>
          <w:szCs w:val="21"/>
        </w:rPr>
      </w:pPr>
      <w:r>
        <w:rPr>
          <w:rFonts w:hint="eastAsia"/>
        </w:rPr>
        <w:t xml:space="preserve"> </w:t>
      </w:r>
      <w:r>
        <w:rPr>
          <w:rFonts w:hint="eastAsia"/>
          <w:szCs w:val="21"/>
        </w:rPr>
        <w:t>环境和自然资源部推出了旨在保障妇女平等获得自然资源的若干重大政策。</w:t>
      </w:r>
      <w:r>
        <w:rPr>
          <w:rFonts w:hint="eastAsia"/>
          <w:spacing w:val="-2"/>
          <w:szCs w:val="21"/>
        </w:rPr>
        <w:t>它的“社区林业管理方案</w:t>
      </w:r>
      <w:r>
        <w:rPr>
          <w:rFonts w:hint="eastAsia"/>
          <w:spacing w:val="-2"/>
          <w:szCs w:val="21"/>
        </w:rPr>
        <w:t>”编制了一份将性别观点纳入主流的手册，以确保执行该方案过程中的两性平等。该部还主管签发配偶双方均可领取的管理员合同证书并提供相关培训课程。可是由于当地的政治缘故、缺乏基础设施和支助服务、以及在农村和山区顽固存在的偏见和定型观念，该方案在这些地区的成功执行受到制约。</w:t>
      </w:r>
    </w:p>
    <w:p w:rsidR="00000000" w:rsidRDefault="00821B8F">
      <w:pPr>
        <w:numPr>
          <w:ilvl w:val="0"/>
          <w:numId w:val="1409"/>
        </w:numPr>
        <w:tabs>
          <w:tab w:val="num" w:pos="1499"/>
        </w:tabs>
        <w:spacing w:after="120" w:line="360" w:lineRule="exact"/>
        <w:ind w:left="540" w:hanging="540"/>
        <w:rPr>
          <w:rFonts w:hint="eastAsia"/>
          <w:szCs w:val="21"/>
        </w:rPr>
      </w:pPr>
      <w:r>
        <w:rPr>
          <w:rFonts w:hint="eastAsia"/>
          <w:szCs w:val="21"/>
        </w:rPr>
        <w:t>《土地改革综合法》规定：</w:t>
      </w:r>
      <w:r>
        <w:rPr>
          <w:rFonts w:hint="eastAsia"/>
          <w:spacing w:val="-2"/>
          <w:szCs w:val="21"/>
        </w:rPr>
        <w:t>“必须保障和落实农业劳动力中的所有合格妇女对土地所有权的平等权利、平等分享农产品及其在咨询机构和适当的决策机构中的代表权。”为了执行该法令，土地改革部决定把性别与发展作为执行土地改革综合方案的一项关键原则，并使之成为土地改</w:t>
      </w:r>
      <w:r>
        <w:rPr>
          <w:rFonts w:hint="eastAsia"/>
          <w:spacing w:val="-2"/>
          <w:szCs w:val="21"/>
        </w:rPr>
        <w:t>革社团发展途径的一个关键要素。</w:t>
      </w:r>
      <w:r>
        <w:rPr>
          <w:rStyle w:val="FootnoteReference"/>
          <w:rFonts w:hint="eastAsia"/>
          <w:szCs w:val="21"/>
        </w:rPr>
        <w:footnoteReference w:id="22"/>
      </w:r>
      <w:r>
        <w:rPr>
          <w:rFonts w:hint="eastAsia"/>
          <w:szCs w:val="21"/>
        </w:rPr>
        <w:t xml:space="preserve"> </w:t>
      </w:r>
      <w:r>
        <w:rPr>
          <w:rFonts w:hint="eastAsia"/>
          <w:szCs w:val="21"/>
        </w:rPr>
        <w:t>它还规定了分类的指导准则，确保作为土地改革受益人的配偶之间在形成和签发“公有土地让渡证书”和“土地所有权赠与证书”方面的男女平等权利。</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在过去几年中，该部推出了更多的保障措施，比如发布了</w:t>
      </w:r>
      <w:r>
        <w:rPr>
          <w:rFonts w:hint="eastAsia"/>
          <w:szCs w:val="21"/>
        </w:rPr>
        <w:t>2001</w:t>
      </w:r>
      <w:r>
        <w:rPr>
          <w:rFonts w:hint="eastAsia"/>
          <w:szCs w:val="21"/>
        </w:rPr>
        <w:t>年第</w:t>
      </w:r>
      <w:r>
        <w:rPr>
          <w:rFonts w:hint="eastAsia"/>
          <w:szCs w:val="21"/>
        </w:rPr>
        <w:t>1</w:t>
      </w:r>
      <w:r>
        <w:rPr>
          <w:rFonts w:hint="eastAsia"/>
          <w:szCs w:val="21"/>
        </w:rPr>
        <w:t>号行政命令。这项命令旨在进一步保护配偶双方的土地所有权。命令要求根据《家事法典》和《民事法典》中有关涉及合法婚姻和习惯法配偶的财产关系的适用条款，以配偶双方的名义签发“公有土地让渡证书”或“土地所有权赠与证书”。它还命令将对性别问题有敏感认识的报告系统纳入土地购买和分配报告系</w:t>
      </w:r>
      <w:r>
        <w:rPr>
          <w:rFonts w:hint="eastAsia"/>
          <w:szCs w:val="21"/>
        </w:rPr>
        <w:t>统以及该部计算机化的信息系统中。该部的国家性别与发展指导委员会通过性别与发展技术工作组协调中心对各种以性别为基础的土地改革方案进行指导和监督。地区和省级的性别与发展协调中心充当执行机构。</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近年来旨在实现土地分配方面性别均等的努力似乎取得一些成果。</w:t>
      </w:r>
      <w:r>
        <w:rPr>
          <w:rFonts w:hint="eastAsia"/>
          <w:szCs w:val="21"/>
        </w:rPr>
        <w:t>2003</w:t>
      </w:r>
      <w:r>
        <w:rPr>
          <w:rFonts w:hint="eastAsia"/>
          <w:szCs w:val="21"/>
        </w:rPr>
        <w:t>年</w:t>
      </w:r>
      <w:r>
        <w:rPr>
          <w:rFonts w:hint="eastAsia"/>
          <w:szCs w:val="21"/>
        </w:rPr>
        <w:t>1</w:t>
      </w:r>
      <w:r>
        <w:rPr>
          <w:rFonts w:hint="eastAsia"/>
          <w:szCs w:val="21"/>
        </w:rPr>
        <w:t>月至</w:t>
      </w:r>
      <w:r>
        <w:rPr>
          <w:rFonts w:hint="eastAsia"/>
          <w:szCs w:val="21"/>
        </w:rPr>
        <w:t>12</w:t>
      </w:r>
      <w:r>
        <w:rPr>
          <w:rFonts w:hint="eastAsia"/>
          <w:szCs w:val="21"/>
        </w:rPr>
        <w:t>月，妇女受益人（占全部受益人的</w:t>
      </w:r>
      <w:r>
        <w:rPr>
          <w:rFonts w:hint="eastAsia"/>
          <w:szCs w:val="21"/>
        </w:rPr>
        <w:t>33%</w:t>
      </w:r>
      <w:r>
        <w:rPr>
          <w:rFonts w:hint="eastAsia"/>
          <w:szCs w:val="21"/>
        </w:rPr>
        <w:t>）获得了</w:t>
      </w:r>
      <w:r>
        <w:rPr>
          <w:rFonts w:hint="eastAsia"/>
          <w:szCs w:val="21"/>
        </w:rPr>
        <w:t xml:space="preserve">18 205 </w:t>
      </w:r>
      <w:r>
        <w:rPr>
          <w:rFonts w:hint="eastAsia"/>
          <w:szCs w:val="21"/>
        </w:rPr>
        <w:t>份“公有土地让渡证书”或“土地所有权赠与证书”。在个人受益者当中包括选择分别签发其“公有土地让渡证书”或“土地所有权赠与证书”的丈夫和妻子；而在夫妻领取共同的“公有土地让渡证书”或“土地</w:t>
      </w:r>
      <w:r>
        <w:rPr>
          <w:rFonts w:hint="eastAsia"/>
          <w:szCs w:val="21"/>
        </w:rPr>
        <w:t>所有权赠与证书”的情况下，也是单列姓名或单独注明受益人，而不论其婚姻从属关系如何——只要他们各自对所赠予土地的既得权利经过核准并依法确立。</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1993</w:t>
      </w:r>
      <w:r>
        <w:rPr>
          <w:rFonts w:hint="eastAsia"/>
          <w:szCs w:val="21"/>
        </w:rPr>
        <w:t>年到</w:t>
      </w:r>
      <w:r>
        <w:rPr>
          <w:rFonts w:hint="eastAsia"/>
          <w:szCs w:val="21"/>
        </w:rPr>
        <w:t>2003</w:t>
      </w:r>
      <w:r>
        <w:rPr>
          <w:rFonts w:hint="eastAsia"/>
          <w:szCs w:val="21"/>
        </w:rPr>
        <w:t>年</w:t>
      </w:r>
      <w:r>
        <w:rPr>
          <w:rFonts w:hint="eastAsia"/>
          <w:szCs w:val="21"/>
        </w:rPr>
        <w:t>12</w:t>
      </w:r>
      <w:r>
        <w:rPr>
          <w:rFonts w:hint="eastAsia"/>
          <w:szCs w:val="21"/>
        </w:rPr>
        <w:t>月，土地改革部在全国启动了</w:t>
      </w:r>
      <w:r>
        <w:rPr>
          <w:rFonts w:hint="eastAsia"/>
          <w:szCs w:val="21"/>
        </w:rPr>
        <w:t>1 587</w:t>
      </w:r>
      <w:r>
        <w:rPr>
          <w:rFonts w:hint="eastAsia"/>
          <w:szCs w:val="21"/>
        </w:rPr>
        <w:t>个土改社团，总共有</w:t>
      </w:r>
      <w:r>
        <w:rPr>
          <w:rFonts w:hint="eastAsia"/>
          <w:szCs w:val="21"/>
        </w:rPr>
        <w:t>66 201</w:t>
      </w:r>
      <w:r>
        <w:rPr>
          <w:rFonts w:hint="eastAsia"/>
          <w:szCs w:val="21"/>
        </w:rPr>
        <w:t>名受益人在耕种土地。总共有</w:t>
      </w:r>
      <w:r>
        <w:rPr>
          <w:rFonts w:hint="eastAsia"/>
          <w:szCs w:val="21"/>
        </w:rPr>
        <w:t>3 391</w:t>
      </w:r>
      <w:r>
        <w:rPr>
          <w:rFonts w:hint="eastAsia"/>
          <w:szCs w:val="21"/>
        </w:rPr>
        <w:t>个农民组织或合作社在这些领域运作。女社员占</w:t>
      </w:r>
      <w:r>
        <w:rPr>
          <w:rFonts w:hint="eastAsia"/>
          <w:szCs w:val="21"/>
        </w:rPr>
        <w:t>35%</w:t>
      </w:r>
      <w:r>
        <w:rPr>
          <w:rFonts w:hint="eastAsia"/>
          <w:szCs w:val="21"/>
        </w:rPr>
        <w:t>。妇女还占委员会成员的</w:t>
      </w:r>
      <w:r>
        <w:rPr>
          <w:rFonts w:hint="eastAsia"/>
          <w:szCs w:val="21"/>
        </w:rPr>
        <w:t>41%</w:t>
      </w:r>
      <w:r>
        <w:rPr>
          <w:rFonts w:hint="eastAsia"/>
          <w:szCs w:val="21"/>
        </w:rPr>
        <w:t>，但只占领导人的</w:t>
      </w:r>
      <w:r>
        <w:rPr>
          <w:rFonts w:hint="eastAsia"/>
          <w:szCs w:val="21"/>
        </w:rPr>
        <w:t>28%</w:t>
      </w:r>
      <w:r>
        <w:rPr>
          <w:rFonts w:hint="eastAsia"/>
          <w:szCs w:val="21"/>
        </w:rPr>
        <w:t>。</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正如第十三条下所讨论的，社会福利部在向最贫穷部门提供社会服务方面一直站在最前沿。它建立并经营了镇日托中心，其中一些在农村地区。为了帮助贫穷</w:t>
      </w:r>
      <w:r>
        <w:rPr>
          <w:rFonts w:hint="eastAsia"/>
          <w:szCs w:val="21"/>
        </w:rPr>
        <w:t>家庭，该部还举办了培训，扩大了资金援助，提供了成套的社会服务。</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农业部通过其各司局和办事处提供了各种各样的对性别问题有敏感认识的方案。其中包括：</w:t>
      </w:r>
    </w:p>
    <w:p w:rsidR="00000000" w:rsidRDefault="00821B8F">
      <w:pPr>
        <w:widowControl/>
        <w:numPr>
          <w:ilvl w:val="0"/>
          <w:numId w:val="1402"/>
        </w:numPr>
        <w:tabs>
          <w:tab w:val="clear" w:pos="841"/>
          <w:tab w:val="num" w:pos="1080"/>
        </w:tabs>
        <w:spacing w:after="120" w:line="360" w:lineRule="exact"/>
        <w:ind w:left="1080" w:hanging="480"/>
        <w:rPr>
          <w:rFonts w:hint="eastAsia"/>
          <w:szCs w:val="21"/>
        </w:rPr>
      </w:pPr>
      <w:r>
        <w:rPr>
          <w:rFonts w:hint="eastAsia"/>
          <w:szCs w:val="21"/>
        </w:rPr>
        <w:t>国家农业和渔业委员会的扩大生计促进发展农业方案涵盖了</w:t>
      </w:r>
      <w:r>
        <w:rPr>
          <w:rFonts w:hint="eastAsia"/>
          <w:szCs w:val="21"/>
        </w:rPr>
        <w:t>423</w:t>
      </w:r>
      <w:r>
        <w:rPr>
          <w:rFonts w:hint="eastAsia"/>
          <w:szCs w:val="21"/>
        </w:rPr>
        <w:t>个项目，投资</w:t>
      </w:r>
      <w:r>
        <w:rPr>
          <w:rFonts w:hint="eastAsia"/>
          <w:szCs w:val="21"/>
        </w:rPr>
        <w:t>6 000</w:t>
      </w:r>
      <w:r>
        <w:rPr>
          <w:rFonts w:hint="eastAsia"/>
          <w:szCs w:val="21"/>
        </w:rPr>
        <w:t>万菲律宾比索，使</w:t>
      </w:r>
      <w:r>
        <w:rPr>
          <w:rFonts w:hint="eastAsia"/>
          <w:szCs w:val="21"/>
        </w:rPr>
        <w:t>27 150</w:t>
      </w:r>
      <w:r>
        <w:rPr>
          <w:rFonts w:hint="eastAsia"/>
          <w:szCs w:val="21"/>
        </w:rPr>
        <w:t>名农村妇女受益。该部采用经济可行性和可持续性作为衡量最终为妇女造福的项目成功与否的指标。</w:t>
      </w:r>
    </w:p>
    <w:p w:rsidR="00000000" w:rsidRDefault="00821B8F">
      <w:pPr>
        <w:widowControl/>
        <w:numPr>
          <w:ilvl w:val="0"/>
          <w:numId w:val="1402"/>
        </w:numPr>
        <w:tabs>
          <w:tab w:val="clear" w:pos="841"/>
          <w:tab w:val="num" w:pos="1080"/>
        </w:tabs>
        <w:spacing w:after="120" w:line="360" w:lineRule="exact"/>
        <w:ind w:left="1080" w:hanging="480"/>
        <w:rPr>
          <w:rFonts w:hint="eastAsia"/>
          <w:szCs w:val="21"/>
        </w:rPr>
      </w:pPr>
      <w:r>
        <w:rPr>
          <w:rFonts w:hint="eastAsia"/>
          <w:spacing w:val="-2"/>
          <w:szCs w:val="21"/>
        </w:rPr>
        <w:t>1996</w:t>
      </w:r>
      <w:r>
        <w:rPr>
          <w:rFonts w:hint="eastAsia"/>
          <w:spacing w:val="-2"/>
          <w:szCs w:val="21"/>
        </w:rPr>
        <w:t>至</w:t>
      </w:r>
      <w:r>
        <w:rPr>
          <w:rFonts w:hint="eastAsia"/>
          <w:spacing w:val="-2"/>
          <w:szCs w:val="21"/>
        </w:rPr>
        <w:t>2000</w:t>
      </w:r>
      <w:r>
        <w:rPr>
          <w:rFonts w:hint="eastAsia"/>
          <w:spacing w:val="-2"/>
          <w:szCs w:val="21"/>
        </w:rPr>
        <w:t>年，农业培训研究所围绕生产和产后技术、食品加工、创业、合作发展及其他主题开办了大约</w:t>
      </w:r>
      <w:r>
        <w:rPr>
          <w:rFonts w:hint="eastAsia"/>
          <w:spacing w:val="-2"/>
          <w:szCs w:val="21"/>
        </w:rPr>
        <w:t>10 674</w:t>
      </w:r>
      <w:r>
        <w:rPr>
          <w:rFonts w:hint="eastAsia"/>
          <w:spacing w:val="-2"/>
          <w:szCs w:val="21"/>
        </w:rPr>
        <w:t>个培训班。总共有</w:t>
      </w:r>
      <w:r>
        <w:rPr>
          <w:rFonts w:hint="eastAsia"/>
          <w:spacing w:val="-2"/>
          <w:szCs w:val="21"/>
        </w:rPr>
        <w:t>174 000</w:t>
      </w:r>
      <w:r>
        <w:rPr>
          <w:rFonts w:hint="eastAsia"/>
          <w:spacing w:val="-2"/>
          <w:szCs w:val="21"/>
        </w:rPr>
        <w:t>名妇女参加了培训，占学员</w:t>
      </w:r>
      <w:r>
        <w:rPr>
          <w:rFonts w:hint="eastAsia"/>
          <w:spacing w:val="-2"/>
          <w:szCs w:val="21"/>
        </w:rPr>
        <w:t>总数的</w:t>
      </w:r>
      <w:r>
        <w:rPr>
          <w:rFonts w:hint="eastAsia"/>
          <w:spacing w:val="-2"/>
          <w:szCs w:val="21"/>
        </w:rPr>
        <w:t>40%</w:t>
      </w:r>
      <w:r>
        <w:rPr>
          <w:rFonts w:hint="eastAsia"/>
          <w:spacing w:val="-2"/>
          <w:szCs w:val="21"/>
        </w:rPr>
        <w:t>。培训班向男女提供了推广服务，最近已采取步骤，有意识地吸纳更多的妇女参加。</w:t>
      </w:r>
    </w:p>
    <w:p w:rsidR="00000000" w:rsidRDefault="00821B8F">
      <w:pPr>
        <w:widowControl/>
        <w:numPr>
          <w:ilvl w:val="0"/>
          <w:numId w:val="1402"/>
        </w:numPr>
        <w:tabs>
          <w:tab w:val="clear" w:pos="841"/>
          <w:tab w:val="num" w:pos="1080"/>
        </w:tabs>
        <w:spacing w:after="120" w:line="360" w:lineRule="exact"/>
        <w:ind w:left="1080" w:hanging="480"/>
        <w:rPr>
          <w:rFonts w:hint="eastAsia"/>
          <w:szCs w:val="21"/>
        </w:rPr>
      </w:pPr>
      <w:r>
        <w:rPr>
          <w:rFonts w:hint="eastAsia"/>
          <w:szCs w:val="21"/>
        </w:rPr>
        <w:t>通过</w:t>
      </w:r>
      <w:r>
        <w:rPr>
          <w:rFonts w:hint="eastAsia"/>
        </w:rPr>
        <w:t>Quedan</w:t>
      </w:r>
      <w:r>
        <w:rPr>
          <w:rFonts w:hint="eastAsia"/>
        </w:rPr>
        <w:t>农村信贷担保公司</w:t>
      </w:r>
      <w:r>
        <w:rPr>
          <w:rFonts w:hint="eastAsia"/>
          <w:szCs w:val="21"/>
        </w:rPr>
        <w:t>提供农业贷款，其中妇女借贷人占</w:t>
      </w:r>
      <w:r>
        <w:rPr>
          <w:rFonts w:hint="eastAsia"/>
          <w:szCs w:val="21"/>
        </w:rPr>
        <w:t>64%</w:t>
      </w:r>
      <w:r>
        <w:rPr>
          <w:rFonts w:hint="eastAsia"/>
          <w:szCs w:val="21"/>
        </w:rPr>
        <w:t>。不过，在发放的</w:t>
      </w:r>
      <w:r>
        <w:rPr>
          <w:rFonts w:hint="eastAsia"/>
          <w:szCs w:val="21"/>
        </w:rPr>
        <w:t>478</w:t>
      </w:r>
      <w:r>
        <w:rPr>
          <w:rFonts w:hint="eastAsia"/>
          <w:szCs w:val="21"/>
        </w:rPr>
        <w:t>万菲律宾比索贷款总额中，妇女的份额仅占</w:t>
      </w:r>
      <w:r>
        <w:rPr>
          <w:rFonts w:hint="eastAsia"/>
          <w:szCs w:val="21"/>
        </w:rPr>
        <w:t>36%</w:t>
      </w:r>
      <w:r>
        <w:rPr>
          <w:rFonts w:hint="eastAsia"/>
          <w:szCs w:val="21"/>
        </w:rPr>
        <w:t>。</w:t>
      </w:r>
    </w:p>
    <w:p w:rsidR="00000000" w:rsidRDefault="00821B8F">
      <w:pPr>
        <w:widowControl/>
        <w:numPr>
          <w:ilvl w:val="0"/>
          <w:numId w:val="1402"/>
        </w:numPr>
        <w:tabs>
          <w:tab w:val="clear" w:pos="841"/>
          <w:tab w:val="num" w:pos="1080"/>
        </w:tabs>
        <w:spacing w:after="120" w:line="360" w:lineRule="exact"/>
        <w:ind w:left="1080" w:hanging="480"/>
        <w:rPr>
          <w:rFonts w:hint="eastAsia"/>
          <w:szCs w:val="21"/>
        </w:rPr>
      </w:pPr>
      <w:r>
        <w:rPr>
          <w:rFonts w:hint="eastAsia"/>
          <w:szCs w:val="21"/>
        </w:rPr>
        <w:t>农业部“借贷窗口”向</w:t>
      </w:r>
      <w:r>
        <w:rPr>
          <w:rFonts w:hint="eastAsia"/>
          <w:szCs w:val="21"/>
        </w:rPr>
        <w:t>56 000</w:t>
      </w:r>
      <w:r>
        <w:rPr>
          <w:rFonts w:hint="eastAsia"/>
          <w:szCs w:val="21"/>
        </w:rPr>
        <w:t>名妇女提供了贷款援助，以支持农业和渔业部门的妇女项目。</w:t>
      </w:r>
      <w:r>
        <w:rPr>
          <w:rFonts w:hint="eastAsia"/>
          <w:szCs w:val="21"/>
        </w:rPr>
        <w:t>1996</w:t>
      </w:r>
      <w:r>
        <w:rPr>
          <w:rFonts w:hint="eastAsia"/>
          <w:szCs w:val="21"/>
        </w:rPr>
        <w:t>至</w:t>
      </w:r>
      <w:r>
        <w:rPr>
          <w:rFonts w:hint="eastAsia"/>
          <w:szCs w:val="21"/>
        </w:rPr>
        <w:t>2003</w:t>
      </w:r>
      <w:r>
        <w:rPr>
          <w:rFonts w:hint="eastAsia"/>
          <w:szCs w:val="21"/>
        </w:rPr>
        <w:t>年总贷款额达</w:t>
      </w:r>
      <w:r>
        <w:rPr>
          <w:rFonts w:hint="eastAsia"/>
          <w:szCs w:val="21"/>
        </w:rPr>
        <w:t>112</w:t>
      </w:r>
      <w:r>
        <w:rPr>
          <w:rFonts w:hint="eastAsia"/>
          <w:szCs w:val="21"/>
        </w:rPr>
        <w:t>亿菲律宾比索，其中有</w:t>
      </w:r>
      <w:r>
        <w:rPr>
          <w:rFonts w:hint="eastAsia"/>
          <w:szCs w:val="21"/>
        </w:rPr>
        <w:t>27</w:t>
      </w:r>
      <w:r>
        <w:rPr>
          <w:rFonts w:hint="eastAsia"/>
          <w:szCs w:val="21"/>
        </w:rPr>
        <w:t>亿比索分配给了女借贷人。</w:t>
      </w:r>
    </w:p>
    <w:p w:rsidR="00000000" w:rsidRDefault="00821B8F">
      <w:pPr>
        <w:widowControl/>
        <w:numPr>
          <w:ilvl w:val="0"/>
          <w:numId w:val="1402"/>
        </w:numPr>
        <w:tabs>
          <w:tab w:val="clear" w:pos="841"/>
          <w:tab w:val="num" w:pos="1080"/>
        </w:tabs>
        <w:spacing w:after="120" w:line="360" w:lineRule="exact"/>
        <w:ind w:left="1080" w:hanging="480"/>
        <w:rPr>
          <w:rFonts w:hint="eastAsia"/>
          <w:szCs w:val="21"/>
        </w:rPr>
      </w:pPr>
      <w:r>
        <w:rPr>
          <w:rFonts w:hint="eastAsia"/>
          <w:szCs w:val="21"/>
        </w:rPr>
        <w:t>在执行《农业和渔业现代化法》方面，农业部和妇女委员会推出了一个将性别观点纳入主流的联合项目。该法令的条款包括让该部</w:t>
      </w:r>
      <w:r>
        <w:rPr>
          <w:rFonts w:hint="eastAsia"/>
          <w:szCs w:val="21"/>
        </w:rPr>
        <w:t>门的女工有机会参与农业方案的计划和执行，并有机会从这些方案中平等受益。农业部的预算至少有</w:t>
      </w:r>
      <w:r>
        <w:rPr>
          <w:rFonts w:hint="eastAsia"/>
          <w:szCs w:val="21"/>
        </w:rPr>
        <w:t xml:space="preserve">5% </w:t>
      </w:r>
      <w:r>
        <w:rPr>
          <w:rFonts w:hint="eastAsia"/>
          <w:szCs w:val="21"/>
        </w:rPr>
        <w:t>用于在发展方案中将性别观点纳入主流。</w:t>
      </w:r>
    </w:p>
    <w:p w:rsidR="00000000" w:rsidRDefault="00821B8F">
      <w:pPr>
        <w:widowControl/>
        <w:numPr>
          <w:ilvl w:val="0"/>
          <w:numId w:val="1402"/>
        </w:numPr>
        <w:tabs>
          <w:tab w:val="clear" w:pos="841"/>
          <w:tab w:val="num" w:pos="1080"/>
        </w:tabs>
        <w:spacing w:after="120" w:line="360" w:lineRule="exact"/>
        <w:ind w:left="1080" w:hanging="480"/>
        <w:rPr>
          <w:rFonts w:hint="eastAsia"/>
          <w:szCs w:val="21"/>
        </w:rPr>
      </w:pPr>
      <w:r>
        <w:rPr>
          <w:rFonts w:hint="eastAsia"/>
          <w:szCs w:val="21"/>
        </w:rPr>
        <w:t>在收获后研究和拓展局的资料收集工具中融入了性别关注事项，对收获后的技术参数设计产生了影响。该局研制并正在继续改进其有利于两性平等的加工设备，比如机械化的腰果去壳机和削皮机。</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农业部还允许妇女参加各地区、省市的农业和渔业委员会，从而鼓励妇女更多地参与农业决策过程。</w:t>
      </w:r>
      <w:r>
        <w:rPr>
          <w:rFonts w:hint="eastAsia"/>
          <w:spacing w:val="-2"/>
          <w:szCs w:val="21"/>
        </w:rPr>
        <w:t>截至</w:t>
      </w:r>
      <w:r>
        <w:rPr>
          <w:rFonts w:hint="eastAsia"/>
          <w:spacing w:val="-2"/>
          <w:szCs w:val="21"/>
        </w:rPr>
        <w:t>2001</w:t>
      </w:r>
      <w:r>
        <w:rPr>
          <w:rFonts w:hint="eastAsia"/>
          <w:spacing w:val="-2"/>
          <w:szCs w:val="21"/>
        </w:rPr>
        <w:t>年</w:t>
      </w:r>
      <w:r>
        <w:rPr>
          <w:rFonts w:hint="eastAsia"/>
          <w:spacing w:val="-2"/>
          <w:szCs w:val="21"/>
        </w:rPr>
        <w:t>6</w:t>
      </w:r>
      <w:r>
        <w:rPr>
          <w:rFonts w:hint="eastAsia"/>
          <w:spacing w:val="-2"/>
          <w:szCs w:val="21"/>
        </w:rPr>
        <w:t>月</w:t>
      </w:r>
      <w:r>
        <w:rPr>
          <w:rFonts w:hint="eastAsia"/>
          <w:spacing w:val="-2"/>
          <w:szCs w:val="21"/>
        </w:rPr>
        <w:t>30</w:t>
      </w:r>
      <w:r>
        <w:rPr>
          <w:rFonts w:hint="eastAsia"/>
          <w:spacing w:val="-2"/>
          <w:szCs w:val="21"/>
        </w:rPr>
        <w:t>日，大约有</w:t>
      </w:r>
      <w:r>
        <w:rPr>
          <w:rFonts w:hint="eastAsia"/>
          <w:spacing w:val="-2"/>
          <w:szCs w:val="21"/>
        </w:rPr>
        <w:t xml:space="preserve">40% </w:t>
      </w:r>
      <w:r>
        <w:rPr>
          <w:rFonts w:hint="eastAsia"/>
          <w:spacing w:val="-2"/>
          <w:szCs w:val="21"/>
        </w:rPr>
        <w:t>的妇女参加了地区级</w:t>
      </w:r>
      <w:r>
        <w:rPr>
          <w:rFonts w:hint="eastAsia"/>
          <w:szCs w:val="21"/>
        </w:rPr>
        <w:t>农业和渔业委员会</w:t>
      </w:r>
      <w:r>
        <w:rPr>
          <w:rFonts w:hint="eastAsia"/>
          <w:spacing w:val="-2"/>
          <w:szCs w:val="21"/>
        </w:rPr>
        <w:t>、</w:t>
      </w:r>
      <w:r>
        <w:rPr>
          <w:rFonts w:hint="eastAsia"/>
          <w:spacing w:val="-2"/>
          <w:szCs w:val="21"/>
        </w:rPr>
        <w:t xml:space="preserve">30% </w:t>
      </w:r>
      <w:r>
        <w:rPr>
          <w:rFonts w:hint="eastAsia"/>
          <w:spacing w:val="-2"/>
          <w:szCs w:val="21"/>
        </w:rPr>
        <w:t>的妇女参加了省级</w:t>
      </w:r>
      <w:r>
        <w:rPr>
          <w:rFonts w:hint="eastAsia"/>
          <w:szCs w:val="21"/>
        </w:rPr>
        <w:t>农业和渔业委员会</w:t>
      </w:r>
      <w:r>
        <w:rPr>
          <w:rFonts w:hint="eastAsia"/>
          <w:spacing w:val="-2"/>
          <w:szCs w:val="21"/>
        </w:rPr>
        <w:t>、</w:t>
      </w:r>
      <w:r>
        <w:rPr>
          <w:rFonts w:hint="eastAsia"/>
          <w:spacing w:val="-2"/>
          <w:szCs w:val="21"/>
        </w:rPr>
        <w:t xml:space="preserve">45% </w:t>
      </w:r>
      <w:r>
        <w:rPr>
          <w:rFonts w:hint="eastAsia"/>
          <w:spacing w:val="-2"/>
          <w:szCs w:val="21"/>
        </w:rPr>
        <w:t>的妇女参加了市级农业和渔业委员会管辖的农村建设项目。</w:t>
      </w:r>
    </w:p>
    <w:p w:rsidR="00000000" w:rsidRDefault="00821B8F">
      <w:pPr>
        <w:numPr>
          <w:ilvl w:val="0"/>
          <w:numId w:val="1409"/>
        </w:numPr>
        <w:tabs>
          <w:tab w:val="num" w:pos="1499"/>
        </w:tabs>
        <w:spacing w:after="120" w:line="360" w:lineRule="exact"/>
        <w:ind w:left="540" w:hanging="540"/>
        <w:rPr>
          <w:rFonts w:hint="eastAsia"/>
          <w:spacing w:val="-2"/>
          <w:szCs w:val="21"/>
        </w:rPr>
      </w:pPr>
      <w:r>
        <w:rPr>
          <w:rFonts w:hint="eastAsia"/>
          <w:szCs w:val="21"/>
        </w:rPr>
        <w:t xml:space="preserve"> </w:t>
      </w:r>
      <w:r>
        <w:rPr>
          <w:rFonts w:hint="eastAsia"/>
          <w:szCs w:val="21"/>
        </w:rPr>
        <w:t>每个市镇都有一位农业技术人员为改善农村俱乐部提供技术援助。这种俱乐部是以镇为基础的妇女组织，作为开发妇女的领导能力和潜能的一种途径以谋求家庭和社区改善。</w:t>
      </w:r>
      <w:r>
        <w:rPr>
          <w:rFonts w:hint="eastAsia"/>
          <w:spacing w:val="-2"/>
          <w:szCs w:val="21"/>
        </w:rPr>
        <w:t>截至</w:t>
      </w:r>
      <w:r>
        <w:rPr>
          <w:rFonts w:hint="eastAsia"/>
          <w:spacing w:val="-2"/>
          <w:szCs w:val="21"/>
        </w:rPr>
        <w:t>2000</w:t>
      </w:r>
      <w:r>
        <w:rPr>
          <w:rFonts w:hint="eastAsia"/>
          <w:spacing w:val="-2"/>
          <w:szCs w:val="21"/>
        </w:rPr>
        <w:t>年</w:t>
      </w:r>
      <w:r>
        <w:rPr>
          <w:rFonts w:hint="eastAsia"/>
          <w:spacing w:val="-2"/>
          <w:szCs w:val="21"/>
        </w:rPr>
        <w:t>12</w:t>
      </w:r>
      <w:r>
        <w:rPr>
          <w:rFonts w:hint="eastAsia"/>
          <w:spacing w:val="-2"/>
          <w:szCs w:val="21"/>
        </w:rPr>
        <w:t>月，全国共组织了</w:t>
      </w:r>
      <w:r>
        <w:rPr>
          <w:rFonts w:hint="eastAsia"/>
          <w:spacing w:val="-2"/>
          <w:szCs w:val="21"/>
        </w:rPr>
        <w:t>19 200</w:t>
      </w:r>
      <w:r>
        <w:rPr>
          <w:rFonts w:hint="eastAsia"/>
          <w:spacing w:val="-2"/>
          <w:szCs w:val="21"/>
        </w:rPr>
        <w:t>个俱乐部并已投入运行，会员达</w:t>
      </w:r>
      <w:r>
        <w:rPr>
          <w:rFonts w:hint="eastAsia"/>
          <w:spacing w:val="-2"/>
          <w:szCs w:val="21"/>
        </w:rPr>
        <w:t xml:space="preserve"> 480 000</w:t>
      </w:r>
      <w:r>
        <w:rPr>
          <w:rFonts w:hint="eastAsia"/>
          <w:spacing w:val="-2"/>
          <w:szCs w:val="21"/>
        </w:rPr>
        <w:t>人。</w:t>
      </w:r>
    </w:p>
    <w:p w:rsidR="00000000" w:rsidRDefault="00821B8F">
      <w:pPr>
        <w:numPr>
          <w:ilvl w:val="0"/>
          <w:numId w:val="1409"/>
        </w:numPr>
        <w:tabs>
          <w:tab w:val="num" w:pos="1499"/>
        </w:tabs>
        <w:spacing w:after="120" w:line="360" w:lineRule="exact"/>
        <w:ind w:left="540" w:hanging="540"/>
        <w:rPr>
          <w:rFonts w:hint="eastAsia"/>
          <w:spacing w:val="-2"/>
          <w:szCs w:val="21"/>
        </w:rPr>
      </w:pPr>
      <w:r>
        <w:rPr>
          <w:rFonts w:hint="eastAsia"/>
          <w:szCs w:val="21"/>
        </w:rPr>
        <w:t xml:space="preserve"> </w:t>
      </w:r>
      <w:r>
        <w:rPr>
          <w:rFonts w:hint="eastAsia"/>
          <w:szCs w:val="21"/>
        </w:rPr>
        <w:t>劳工部推出了一个名为“通过发展自营职业创业精神促进农村就业”的项目，内容包括产品企业开发、认证合格的合伙人发展和对贫困线以下的农业工人提供贷款援助的技能培训。据报告，</w:t>
      </w:r>
      <w:r>
        <w:rPr>
          <w:rFonts w:hint="eastAsia"/>
          <w:szCs w:val="21"/>
        </w:rPr>
        <w:t>1996</w:t>
      </w:r>
      <w:r>
        <w:rPr>
          <w:rFonts w:hint="eastAsia"/>
          <w:szCs w:val="21"/>
        </w:rPr>
        <w:t>至</w:t>
      </w:r>
      <w:r>
        <w:rPr>
          <w:rFonts w:hint="eastAsia"/>
          <w:szCs w:val="21"/>
        </w:rPr>
        <w:t>2000</w:t>
      </w:r>
      <w:r>
        <w:rPr>
          <w:rFonts w:hint="eastAsia"/>
          <w:szCs w:val="21"/>
        </w:rPr>
        <w:t>年，该项目总</w:t>
      </w:r>
      <w:r>
        <w:rPr>
          <w:rFonts w:hint="eastAsia"/>
          <w:szCs w:val="21"/>
        </w:rPr>
        <w:t>共为约</w:t>
      </w:r>
      <w:r>
        <w:rPr>
          <w:rFonts w:hint="eastAsia"/>
          <w:spacing w:val="-2"/>
          <w:szCs w:val="21"/>
        </w:rPr>
        <w:t>18 295</w:t>
      </w:r>
      <w:r>
        <w:rPr>
          <w:rFonts w:hint="eastAsia"/>
          <w:spacing w:val="-2"/>
          <w:szCs w:val="21"/>
        </w:rPr>
        <w:t>位妇女提供援助。</w:t>
      </w:r>
    </w:p>
    <w:p w:rsidR="00000000" w:rsidRDefault="00821B8F">
      <w:pPr>
        <w:numPr>
          <w:ilvl w:val="0"/>
          <w:numId w:val="1409"/>
        </w:numPr>
        <w:tabs>
          <w:tab w:val="num" w:pos="1499"/>
        </w:tabs>
        <w:spacing w:after="120" w:line="360" w:lineRule="exact"/>
        <w:ind w:left="540" w:hanging="540"/>
        <w:rPr>
          <w:rFonts w:hint="eastAsia"/>
          <w:szCs w:val="21"/>
        </w:rPr>
      </w:pPr>
      <w:r>
        <w:rPr>
          <w:spacing w:val="-2"/>
          <w:szCs w:val="21"/>
        </w:rPr>
        <w:t xml:space="preserve"> </w:t>
      </w:r>
      <w:r>
        <w:rPr>
          <w:rFonts w:hint="eastAsia"/>
          <w:spacing w:val="-2"/>
          <w:szCs w:val="21"/>
        </w:rPr>
        <w:t>技术教育和技能发展管理局</w:t>
      </w:r>
      <w:r>
        <w:rPr>
          <w:rFonts w:hint="eastAsia"/>
          <w:szCs w:val="21"/>
        </w:rPr>
        <w:t>继续在全国各地的地区和省级中心进行技能培训。如第十一条的讨论中所指出的，在提供传统的妇女行业技能培训的同时，</w:t>
      </w:r>
      <w:r>
        <w:rPr>
          <w:rFonts w:hint="eastAsia"/>
          <w:spacing w:val="-2"/>
          <w:szCs w:val="21"/>
        </w:rPr>
        <w:t>技术教育和技能发展管理局方案也在提供非传统行业（如焊接、汽车和电子）的培训，但是参加技术教育和技能发展管理局培训班的</w:t>
      </w:r>
      <w:r>
        <w:rPr>
          <w:rFonts w:hint="eastAsia"/>
          <w:spacing w:val="-2"/>
          <w:szCs w:val="21"/>
        </w:rPr>
        <w:t>60 000</w:t>
      </w:r>
      <w:r>
        <w:rPr>
          <w:rFonts w:hint="eastAsia"/>
          <w:spacing w:val="-2"/>
          <w:szCs w:val="21"/>
        </w:rPr>
        <w:t>名妇女大多选择了后者。根据现有的数据还不能确定有多少女学员来自农村地区。</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教育部门执行了“阅读教育培训方案”，这是一个面向社区男女的成人扫盲方案。不过，目前还没有确定在本报告期内该方案在农村的覆盖范围。</w:t>
      </w:r>
    </w:p>
    <w:p w:rsidR="00000000" w:rsidRDefault="00821B8F">
      <w:pPr>
        <w:pStyle w:val="H1"/>
        <w:rPr>
          <w:rFonts w:hint="eastAsia"/>
        </w:rPr>
      </w:pPr>
      <w:r>
        <w:rPr>
          <w:rFonts w:hint="eastAsia"/>
        </w:rPr>
        <w:t>C</w:t>
      </w:r>
      <w:r>
        <w:rPr>
          <w:rFonts w:hint="eastAsia"/>
        </w:rPr>
        <w:t>．未解</w:t>
      </w:r>
      <w:r>
        <w:rPr>
          <w:rFonts w:hint="eastAsia"/>
        </w:rPr>
        <w:t>决的问题和仍然面临的障碍</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尽管政府在努力减缓农村穷人的困境，但是贫穷依旧是农村妇女面临的一个主要问题。贫穷是与缺乏就业、教育和技能、乃至和平与秩序有关的问题。城乡地区的资源分配不平衡，造成了城乡之间严重不平等，而且有利于城市。健康状况差、没有土地、辍学和童工现象严重仅从一些侧面体现了农村贫穷。政府应该对此采取更加切合实际、更加全面的解决办法。其中一个办法是，让妇女能够更多地参与决策并向她们提供必要的手段和资源以帮助她们脱贫。《地方政府法典》将权力和资源下放到地方政府机构，在其执行过程中应确保卫生、教育、生</w:t>
      </w:r>
      <w:r>
        <w:rPr>
          <w:rFonts w:hint="eastAsia"/>
          <w:szCs w:val="21"/>
        </w:rPr>
        <w:t>计和其他社会福利资源的公平分配，以帮助农村穷人。</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为了解决城乡地区发展的不平衡，政府必须在确保粮食安全和环境保护的同时，为利用农村地区的资源的农村妇女创建各种可行的农业产业、谋生门路和就业机会。</w:t>
      </w:r>
      <w:r>
        <w:rPr>
          <w:rFonts w:hint="eastAsia"/>
          <w:spacing w:val="-2"/>
          <w:szCs w:val="21"/>
        </w:rPr>
        <w:t>妇女的培训和能力建设要适应现行的和计划中的当地产业技能要求，以便减少妇女流向各中心城市去寻求就业机会。</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地方政府机构和下放的政府机构要针对农村地区的妇女的具体需要提供基本社会服务。要在全面收集和综合分析有关当地妇女的需求和关注事项的社会经济数据的基础上，执行各项方案和提供各项服务。</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和平与秩序是菲律宾在农村地区</w:t>
      </w:r>
      <w:r>
        <w:rPr>
          <w:rFonts w:hint="eastAsia"/>
          <w:szCs w:val="21"/>
        </w:rPr>
        <w:t>付出代价最大的一个问题。本报告其他部分的讨论证明，棉兰老的某些地区一直在为分离主义运动和绑票活动所困扰。当地的农村妇女深受武装冲突之苦，不但生活赤贫，而且安全受到威胁，惶惶不可终日。必须解决棉兰老岛的和平与秩序局势，对棉兰老，尤其是武装冲突中的妇女儿童受害者执行综合发展方案。</w:t>
      </w:r>
    </w:p>
    <w:p w:rsidR="00000000" w:rsidRDefault="00821B8F">
      <w:pPr>
        <w:numPr>
          <w:ilvl w:val="0"/>
          <w:numId w:val="1409"/>
        </w:numPr>
        <w:tabs>
          <w:tab w:val="num" w:pos="1499"/>
        </w:tabs>
        <w:spacing w:after="120" w:line="360" w:lineRule="exact"/>
        <w:ind w:left="540" w:hanging="540"/>
        <w:rPr>
          <w:rFonts w:hint="eastAsia"/>
          <w:szCs w:val="21"/>
        </w:rPr>
      </w:pPr>
      <w:r>
        <w:rPr>
          <w:szCs w:val="21"/>
        </w:rPr>
        <w:t xml:space="preserve"> </w:t>
      </w:r>
      <w:r>
        <w:rPr>
          <w:rFonts w:hint="eastAsia"/>
          <w:szCs w:val="21"/>
        </w:rPr>
        <w:t>农业和渔业即使有妇女参与也被视为男性的领域。由于得不到承认，农村妇女苦不堪言。她们享用资源、农业支助系统、培训和技术都很有限。多数妇女移徙到城市或海外去工作。农村贫穷是迫使农村妇女移徙的最主要原因。</w:t>
      </w:r>
    </w:p>
    <w:p w:rsidR="00000000" w:rsidRDefault="00821B8F">
      <w:pPr>
        <w:pStyle w:val="TOC1"/>
        <w:spacing w:before="120"/>
        <w:rPr>
          <w:rFonts w:ascii="SimHei" w:hint="eastAsia"/>
        </w:rPr>
      </w:pPr>
      <w:r>
        <w:rPr>
          <w:rFonts w:ascii="SimHei" w:hint="eastAsia"/>
        </w:rPr>
        <w:t>第十五条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法律与民事事务中的平等</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妇女在法律面前的平等；在行使诸如缔结合同和财产管理方面法律能力的平等机会；除其他事项外，法庭程序方面的平等待遇</w:t>
      </w:r>
    </w:p>
    <w:p w:rsidR="00000000" w:rsidRDefault="00821B8F">
      <w:pPr>
        <w:pStyle w:val="H1"/>
        <w:rPr>
          <w:rFonts w:hint="eastAsia"/>
        </w:rPr>
      </w:pPr>
      <w:r>
        <w:rPr>
          <w:rFonts w:hint="eastAsia"/>
        </w:rPr>
        <w:t>A</w:t>
      </w:r>
      <w:r>
        <w:rPr>
          <w:rFonts w:hint="eastAsia"/>
        </w:rPr>
        <w:t>．妇女的状况</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从前面各条中的讨论可以看出，在法律面前菲律宾妇女享有与男子平等的权利，这种平等权利得到《菲律宾宪法》和其他法律的保障。</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第</w:t>
      </w:r>
      <w:r>
        <w:rPr>
          <w:rFonts w:hint="eastAsia"/>
          <w:color w:val="000000"/>
          <w:szCs w:val="21"/>
        </w:rPr>
        <w:t>7192</w:t>
      </w:r>
      <w:r>
        <w:rPr>
          <w:rFonts w:hint="eastAsia"/>
          <w:color w:val="000000"/>
          <w:szCs w:val="21"/>
        </w:rPr>
        <w:t>号共和国法令明确规定，凡法定年龄的妇女不论其婚姻状况如何均有在类似条件下与男子平等的行为能力和缔结合同能力。在已婚男子有行为能力的所有合同情况下，已婚妇女都有同等的权利。在法庭程序中也保证妇女受到平等待遇。</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从本报告的其他部分还可以看出，这些法律</w:t>
      </w:r>
      <w:r>
        <w:rPr>
          <w:rFonts w:hint="eastAsia"/>
          <w:color w:val="000000"/>
          <w:szCs w:val="21"/>
        </w:rPr>
        <w:t>在执行方面还存在着一些顽症。特别是在有关劳工立法（第十一条）、教育立法（第十条）和保健立法（第十二条）的讨论中注意到这种情况。</w:t>
      </w:r>
    </w:p>
    <w:p w:rsidR="00000000" w:rsidRDefault="00821B8F">
      <w:pPr>
        <w:pStyle w:val="H1"/>
        <w:rPr>
          <w:rFonts w:hint="eastAsia"/>
        </w:rPr>
      </w:pPr>
      <w:r>
        <w:rPr>
          <w:rFonts w:hint="eastAsia"/>
        </w:rPr>
        <w:t>B</w:t>
      </w:r>
      <w:r>
        <w:rPr>
          <w:rFonts w:hint="eastAsia"/>
        </w:rPr>
        <w:t>．采取的行动：政策发展态势</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政府机构逐渐认识到妇女的法律行为能力，尤其在缔结合同、土地所有权和财产关系方面。现在，已婚妇女破天荒地可以购买或租赁公共土地而无须得到丈夫的书面同意。在有关第十四条的讨论中注意到，土地改革部通过以夫妻双方的名义签发“公有土地让渡证书”和“土地所有权赠与证书”，保护并促进女耕作者</w:t>
      </w:r>
      <w:r>
        <w:rPr>
          <w:rFonts w:hint="eastAsia"/>
          <w:color w:val="000000"/>
          <w:szCs w:val="21"/>
        </w:rPr>
        <w:t>/</w:t>
      </w:r>
      <w:r>
        <w:rPr>
          <w:rFonts w:hint="eastAsia"/>
          <w:color w:val="000000"/>
          <w:szCs w:val="21"/>
        </w:rPr>
        <w:t>农民的权益。同样，环境和资源部向夫妻双方签发了管理员合同证书。</w:t>
      </w:r>
      <w:r>
        <w:rPr>
          <w:rFonts w:hint="eastAsia"/>
          <w:color w:val="000000"/>
          <w:szCs w:val="21"/>
        </w:rPr>
        <w:t>2002</w:t>
      </w:r>
      <w:r>
        <w:rPr>
          <w:rFonts w:hint="eastAsia"/>
          <w:color w:val="000000"/>
          <w:szCs w:val="21"/>
        </w:rPr>
        <w:t>年</w:t>
      </w:r>
      <w:r>
        <w:rPr>
          <w:rFonts w:hint="eastAsia"/>
          <w:color w:val="000000"/>
          <w:szCs w:val="21"/>
        </w:rPr>
        <w:t>，该部废止了一项实行多年的政策：除特定情况之外，禁止已婚妇女申请宅地公有土地让渡证书，并且要求已婚妇女在申请购买或租赁公共土地之前征得丈夫的书面同意。在</w:t>
      </w:r>
      <w:r>
        <w:rPr>
          <w:rFonts w:hint="eastAsia"/>
          <w:color w:val="000000"/>
          <w:szCs w:val="21"/>
        </w:rPr>
        <w:t>66</w:t>
      </w:r>
      <w:r>
        <w:rPr>
          <w:rFonts w:hint="eastAsia"/>
          <w:color w:val="000000"/>
          <w:szCs w:val="21"/>
        </w:rPr>
        <w:t>年之后的今天，菲律宾妇女不论其婚姻状况如何，在申请、接受和处理公共土地申请审批书方面均有同男子一样的平等权利。</w:t>
      </w:r>
      <w:r>
        <w:rPr>
          <w:rFonts w:hint="eastAsia"/>
          <w:color w:val="000000"/>
          <w:szCs w:val="21"/>
        </w:rPr>
        <w:t xml:space="preserve"> </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在法庭程序方面，最近的发展态势是：鉴于虐待儿童案件越来越多，同时注意到菲律宾的法庭程序和举证规则是针对成年人的，而缺乏对儿童的敏感性，因此成立了一个小组委员会，负责修订相关的法庭规则。国家司法学院拟定了一项关于儿童证人的规则提案，允许儿童提</w:t>
      </w:r>
      <w:r>
        <w:rPr>
          <w:rFonts w:hint="eastAsia"/>
          <w:color w:val="000000"/>
          <w:szCs w:val="21"/>
        </w:rPr>
        <w:t>供可靠而充分的证据、把伤害减到最低限度、鼓励他们在诉讼程序中作证、为查明事实真相和保护被告的法定权利提供便利。拟议的规则包括：（</w:t>
      </w:r>
      <w:r>
        <w:rPr>
          <w:rFonts w:hint="eastAsia"/>
          <w:color w:val="000000"/>
          <w:szCs w:val="21"/>
        </w:rPr>
        <w:t>a</w:t>
      </w:r>
      <w:r>
        <w:rPr>
          <w:rFonts w:hint="eastAsia"/>
          <w:color w:val="000000"/>
          <w:szCs w:val="21"/>
        </w:rPr>
        <w:t>）推定儿童为合格的证人；（</w:t>
      </w:r>
      <w:r>
        <w:rPr>
          <w:rFonts w:hint="eastAsia"/>
          <w:color w:val="000000"/>
          <w:szCs w:val="21"/>
        </w:rPr>
        <w:t>b</w:t>
      </w:r>
      <w:r>
        <w:rPr>
          <w:rFonts w:hint="eastAsia"/>
          <w:color w:val="000000"/>
          <w:szCs w:val="21"/>
        </w:rPr>
        <w:t>）指定专人帮助儿童证人进出法庭；（</w:t>
      </w:r>
      <w:r>
        <w:rPr>
          <w:rFonts w:hint="eastAsia"/>
          <w:color w:val="000000"/>
          <w:szCs w:val="21"/>
        </w:rPr>
        <w:t>c</w:t>
      </w:r>
      <w:r>
        <w:rPr>
          <w:rFonts w:hint="eastAsia"/>
          <w:color w:val="000000"/>
          <w:szCs w:val="21"/>
        </w:rPr>
        <w:t>）改变法庭程序和环境；（</w:t>
      </w:r>
      <w:r>
        <w:rPr>
          <w:rFonts w:hint="eastAsia"/>
          <w:color w:val="000000"/>
          <w:szCs w:val="21"/>
        </w:rPr>
        <w:t>d</w:t>
      </w:r>
      <w:r>
        <w:rPr>
          <w:rFonts w:hint="eastAsia"/>
          <w:color w:val="000000"/>
          <w:szCs w:val="21"/>
        </w:rPr>
        <w:t>）使用链路电视作证和其他装置以避免同被告面对面的交锋；（</w:t>
      </w:r>
      <w:r>
        <w:rPr>
          <w:rFonts w:hint="eastAsia"/>
          <w:color w:val="000000"/>
          <w:szCs w:val="21"/>
        </w:rPr>
        <w:t>e</w:t>
      </w:r>
      <w:r>
        <w:rPr>
          <w:rFonts w:hint="eastAsia"/>
          <w:color w:val="000000"/>
          <w:szCs w:val="21"/>
        </w:rPr>
        <w:t>）可以采纳儿童虐待受害人的某些传闻证据；以及（</w:t>
      </w:r>
      <w:r>
        <w:rPr>
          <w:rFonts w:hint="eastAsia"/>
          <w:color w:val="000000"/>
          <w:szCs w:val="21"/>
        </w:rPr>
        <w:t>f</w:t>
      </w:r>
      <w:r>
        <w:rPr>
          <w:rFonts w:hint="eastAsia"/>
          <w:color w:val="000000"/>
          <w:szCs w:val="21"/>
        </w:rPr>
        <w:t>）儿童笔录要保密并为此下达保护令。</w:t>
      </w:r>
      <w:r>
        <w:rPr>
          <w:rFonts w:hint="eastAsia"/>
          <w:color w:val="000000"/>
          <w:szCs w:val="21"/>
        </w:rPr>
        <w:t xml:space="preserve"> </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第</w:t>
      </w:r>
      <w:r>
        <w:rPr>
          <w:rFonts w:hint="eastAsia"/>
          <w:color w:val="000000"/>
          <w:szCs w:val="21"/>
        </w:rPr>
        <w:t>180</w:t>
      </w:r>
      <w:r>
        <w:rPr>
          <w:rFonts w:hint="eastAsia"/>
          <w:color w:val="000000"/>
          <w:szCs w:val="21"/>
        </w:rPr>
        <w:t>段中讨论过，最高法院颁布并于</w:t>
      </w:r>
      <w:r>
        <w:rPr>
          <w:rFonts w:hint="eastAsia"/>
          <w:color w:val="000000"/>
          <w:szCs w:val="21"/>
        </w:rPr>
        <w:t>2002</w:t>
      </w:r>
      <w:r>
        <w:rPr>
          <w:rFonts w:hint="eastAsia"/>
          <w:color w:val="000000"/>
          <w:szCs w:val="21"/>
        </w:rPr>
        <w:t>年</w:t>
      </w:r>
      <w:r>
        <w:rPr>
          <w:rFonts w:hint="eastAsia"/>
          <w:color w:val="000000"/>
          <w:szCs w:val="21"/>
        </w:rPr>
        <w:t>4</w:t>
      </w:r>
      <w:r>
        <w:rPr>
          <w:rFonts w:hint="eastAsia"/>
          <w:color w:val="000000"/>
          <w:szCs w:val="21"/>
        </w:rPr>
        <w:t>月</w:t>
      </w:r>
      <w:r>
        <w:rPr>
          <w:rFonts w:hint="eastAsia"/>
          <w:color w:val="000000"/>
          <w:szCs w:val="21"/>
        </w:rPr>
        <w:t>15</w:t>
      </w:r>
      <w:r>
        <w:rPr>
          <w:rFonts w:hint="eastAsia"/>
          <w:color w:val="000000"/>
          <w:szCs w:val="21"/>
        </w:rPr>
        <w:t>日生效的《少年犯规则》意在根据《儿童权利公约》及相关的联合国标准保护和满足少年犯的权利。最高</w:t>
      </w:r>
      <w:r>
        <w:rPr>
          <w:rFonts w:hint="eastAsia"/>
          <w:color w:val="000000"/>
          <w:szCs w:val="21"/>
        </w:rPr>
        <w:t>法院还指示审判法官与相关政府官员定期举行对话并视察监狱，检查犯人、特别是未成年被拘留者的福利。</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2003</w:t>
      </w:r>
      <w:r>
        <w:rPr>
          <w:rFonts w:hint="eastAsia"/>
          <w:color w:val="000000"/>
          <w:szCs w:val="21"/>
        </w:rPr>
        <w:t>年，最高法院发起一场将性别观点纳入主流的运动，成立了该部的促进两性平等司法委员会，主办了一系列旨在筹备该委员会和方案管理办公室的研讨会，以便在司法部门倡导性别与发展。最高法院还制定了该部将性别观点纳入主流的计划。</w:t>
      </w:r>
      <w:r>
        <w:rPr>
          <w:rFonts w:hint="eastAsia"/>
          <w:color w:val="000000"/>
          <w:spacing w:val="-2"/>
          <w:szCs w:val="21"/>
        </w:rPr>
        <w:t>与此有关的另一个发展态势是，菲律宾大学完成了一项关于菲律宾法院系统对性别问题具有敏感认识的政策行动研究。</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第</w:t>
      </w:r>
      <w:r>
        <w:rPr>
          <w:rFonts w:hint="eastAsia"/>
          <w:color w:val="000000"/>
          <w:szCs w:val="21"/>
        </w:rPr>
        <w:t>199</w:t>
      </w:r>
      <w:r>
        <w:rPr>
          <w:rFonts w:hint="eastAsia"/>
          <w:color w:val="000000"/>
          <w:szCs w:val="21"/>
        </w:rPr>
        <w:t>段讨论过，司法部于</w:t>
      </w:r>
      <w:r>
        <w:rPr>
          <w:rFonts w:hint="eastAsia"/>
          <w:color w:val="000000"/>
          <w:szCs w:val="21"/>
        </w:rPr>
        <w:t>1998</w:t>
      </w:r>
      <w:r>
        <w:rPr>
          <w:rFonts w:hint="eastAsia"/>
          <w:color w:val="000000"/>
          <w:szCs w:val="21"/>
        </w:rPr>
        <w:t>年颁布了《关于处理涉及成年受害者的强奸案的指导准则》</w:t>
      </w:r>
      <w:r>
        <w:rPr>
          <w:rFonts w:hint="eastAsia"/>
          <w:color w:val="000000"/>
          <w:spacing w:val="-4"/>
          <w:szCs w:val="21"/>
        </w:rPr>
        <w:t>。其中一个目的是确保尊重和公平对待成人强奸受害者，并保护受害幸存者免于受到进一步伤害。</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社会福利部在</w:t>
      </w:r>
      <w:r>
        <w:rPr>
          <w:rFonts w:hint="eastAsia"/>
          <w:color w:val="000000"/>
          <w:szCs w:val="21"/>
        </w:rPr>
        <w:t>1998</w:t>
      </w:r>
      <w:r>
        <w:rPr>
          <w:rFonts w:hint="eastAsia"/>
          <w:color w:val="000000"/>
          <w:szCs w:val="21"/>
        </w:rPr>
        <w:t>年第</w:t>
      </w:r>
      <w:r>
        <w:rPr>
          <w:rFonts w:hint="eastAsia"/>
          <w:color w:val="000000"/>
          <w:szCs w:val="21"/>
        </w:rPr>
        <w:t>22</w:t>
      </w:r>
      <w:r>
        <w:rPr>
          <w:rFonts w:hint="eastAsia"/>
          <w:color w:val="000000"/>
          <w:szCs w:val="21"/>
        </w:rPr>
        <w:t>号部令中规定了媒体报道虐待和剥削受害者的指导准则。</w:t>
      </w:r>
    </w:p>
    <w:p w:rsidR="00000000" w:rsidRDefault="00821B8F">
      <w:pPr>
        <w:pStyle w:val="H1"/>
        <w:rPr>
          <w:rFonts w:hint="eastAsia"/>
        </w:rPr>
      </w:pPr>
      <w:r>
        <w:rPr>
          <w:rFonts w:hint="eastAsia"/>
        </w:rPr>
        <w:t>B</w:t>
      </w:r>
      <w:r>
        <w:rPr>
          <w:rFonts w:hint="eastAsia"/>
        </w:rPr>
        <w:t>．未解决的问题和仍然面临的挑战</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政府为促进妇女在法律面前和民事事务中的平等权利、扩大她们在财产关系上的权利及提高她们在法庭程序中的待遇，做出了种种努力。</w:t>
      </w:r>
      <w:r>
        <w:rPr>
          <w:rFonts w:hint="eastAsia"/>
          <w:color w:val="000000"/>
          <w:spacing w:val="-2"/>
          <w:szCs w:val="21"/>
        </w:rPr>
        <w:t>然而，在婚姻和家庭关系方面，妇女的法律行为能力依然不平等，影响了她们在缔结合同、土地所有权和财产管理权方面的权益。</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有些法律条款起到了使妇女的平等权利无效的作用。例如，《民事法典》第</w:t>
      </w:r>
      <w:r>
        <w:rPr>
          <w:rFonts w:hint="eastAsia"/>
          <w:color w:val="000000"/>
          <w:szCs w:val="21"/>
        </w:rPr>
        <w:t>3</w:t>
      </w:r>
      <w:r>
        <w:rPr>
          <w:rFonts w:hint="eastAsia"/>
          <w:color w:val="000000"/>
          <w:szCs w:val="21"/>
        </w:rPr>
        <w:t>9</w:t>
      </w:r>
      <w:r>
        <w:rPr>
          <w:rFonts w:hint="eastAsia"/>
          <w:color w:val="000000"/>
          <w:szCs w:val="21"/>
        </w:rPr>
        <w:t>条规定：“凡年满</w:t>
      </w:r>
      <w:r>
        <w:rPr>
          <w:rFonts w:hint="eastAsia"/>
          <w:color w:val="000000"/>
          <w:szCs w:val="21"/>
        </w:rPr>
        <w:t>21</w:t>
      </w:r>
      <w:r>
        <w:rPr>
          <w:rFonts w:hint="eastAsia"/>
          <w:color w:val="000000"/>
          <w:szCs w:val="21"/>
        </w:rPr>
        <w:t>岁的已婚妇女有权诉诸一切民事生活行为，但法律规定的情况除外。”另一个例子是《</w:t>
      </w:r>
      <w:r>
        <w:rPr>
          <w:rFonts w:hint="eastAsia"/>
          <w:color w:val="000000"/>
          <w:szCs w:val="21"/>
        </w:rPr>
        <w:t>1996</w:t>
      </w:r>
      <w:r>
        <w:rPr>
          <w:rFonts w:hint="eastAsia"/>
          <w:color w:val="000000"/>
          <w:szCs w:val="21"/>
        </w:rPr>
        <w:t>年菲律宾护照法》，该法律进一步要求妇女申请护照必须出具婚姻、离婚或婚姻无效的证明。</w:t>
      </w:r>
      <w:r>
        <w:rPr>
          <w:rFonts w:hint="eastAsia"/>
          <w:color w:val="000000"/>
          <w:spacing w:val="-2"/>
          <w:szCs w:val="21"/>
        </w:rPr>
        <w:t>只要求女申请人提供文件证明，而对男申请人则无此要求。上述法律必须修正，以促进妇女在所有领域的平等权利。</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政府必须确保各有关政府及非政府实体执行有关合同和财产管理的法律规定，因为某些方面的差距已在显现。例如，据报告，有些银行在妇女借贷和获得贷款或信贷安排的行为能力方面违反有关规定。妇女必须自动加入政府服务保险系统或社会保障</w:t>
      </w:r>
      <w:r>
        <w:rPr>
          <w:rFonts w:hint="eastAsia"/>
          <w:color w:val="000000"/>
          <w:szCs w:val="21"/>
        </w:rPr>
        <w:t>系统的成员条件，而不是这些制度制订程序来确保妇女成为其成员。</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法庭的效能对保证妇女和少女受害者的平等待遇十分重要。在审理家庭暴力案件时，还要求法庭提高对性别问题的敏感认识。</w:t>
      </w:r>
    </w:p>
    <w:p w:rsidR="00000000" w:rsidRDefault="00821B8F">
      <w:pPr>
        <w:numPr>
          <w:ilvl w:val="0"/>
          <w:numId w:val="1409"/>
        </w:numPr>
        <w:tabs>
          <w:tab w:val="num" w:pos="1499"/>
        </w:tabs>
        <w:spacing w:after="120" w:line="360" w:lineRule="exact"/>
        <w:ind w:left="540" w:hanging="540"/>
        <w:rPr>
          <w:rFonts w:hint="eastAsia"/>
          <w:color w:val="000000"/>
          <w:spacing w:val="-2"/>
          <w:szCs w:val="21"/>
        </w:rPr>
      </w:pPr>
      <w:r>
        <w:rPr>
          <w:color w:val="000000"/>
          <w:szCs w:val="21"/>
        </w:rPr>
        <w:t xml:space="preserve"> </w:t>
      </w:r>
      <w:r>
        <w:rPr>
          <w:rFonts w:hint="eastAsia"/>
          <w:color w:val="000000"/>
          <w:szCs w:val="21"/>
        </w:rPr>
        <w:t>法庭还应为家庭暴力受害者提供更多的便利。具体地说，提供这些便利是为了保护和保证受害者和证人的安全。应该提供有关刑事诉讼程序的准确信息、通过适当的法庭命令保护受害者并且防止作恶者进一步使用非法手段继续对受害人施加胁迫控制。</w:t>
      </w:r>
    </w:p>
    <w:p w:rsidR="00000000" w:rsidRDefault="00821B8F">
      <w:pPr>
        <w:numPr>
          <w:ilvl w:val="0"/>
          <w:numId w:val="1409"/>
        </w:numPr>
        <w:tabs>
          <w:tab w:val="num" w:pos="1499"/>
        </w:tabs>
        <w:spacing w:after="120" w:line="360" w:lineRule="exact"/>
        <w:ind w:left="540" w:hanging="540"/>
        <w:rPr>
          <w:rFonts w:hint="eastAsia"/>
          <w:color w:val="000000"/>
          <w:spacing w:val="-2"/>
          <w:szCs w:val="21"/>
        </w:rPr>
      </w:pPr>
      <w:r>
        <w:rPr>
          <w:rFonts w:hint="eastAsia"/>
          <w:color w:val="000000"/>
          <w:szCs w:val="21"/>
        </w:rPr>
        <w:t xml:space="preserve"> </w:t>
      </w:r>
      <w:r>
        <w:rPr>
          <w:rFonts w:hint="eastAsia"/>
          <w:color w:val="000000"/>
          <w:szCs w:val="21"/>
        </w:rPr>
        <w:t>要把有关妇女权益的教育摆在优先地位，以便实实在在地赋予妇女权力。必须监测严格执行捍卫平等权利和平等机会的各项法</w:t>
      </w:r>
      <w:r>
        <w:rPr>
          <w:rFonts w:hint="eastAsia"/>
          <w:color w:val="000000"/>
          <w:szCs w:val="21"/>
        </w:rPr>
        <w:t>律，并审查相关政策和法规以弥补现行法律的缺陷。</w:t>
      </w:r>
    </w:p>
    <w:p w:rsidR="00000000" w:rsidRDefault="00821B8F">
      <w:pPr>
        <w:pStyle w:val="TOC1"/>
        <w:spacing w:before="120"/>
        <w:rPr>
          <w:rFonts w:ascii="SimHei" w:hint="eastAsia"/>
        </w:rPr>
      </w:pPr>
      <w:r>
        <w:rPr>
          <w:rFonts w:ascii="SimHei" w:hint="eastAsia"/>
        </w:rPr>
        <w:t>第十六条</w:t>
      </w:r>
    </w:p>
    <w:p w:rsidR="00000000" w:rsidRDefault="00821B8F">
      <w:pPr>
        <w:spacing w:after="240" w:line="360" w:lineRule="exact"/>
        <w:jc w:val="center"/>
        <w:rPr>
          <w:rFonts w:ascii="SimHei" w:eastAsia="SimHei" w:hint="eastAsia"/>
          <w:bCs/>
          <w:color w:val="FF0000"/>
        </w:rPr>
      </w:pPr>
      <w:r>
        <w:rPr>
          <w:rFonts w:ascii="SimHei" w:eastAsia="SimHei" w:hint="eastAsia"/>
          <w:bCs/>
          <w:color w:val="FF0000"/>
        </w:rPr>
        <w:t>婚姻和家庭关系方面的平等</w:t>
      </w:r>
    </w:p>
    <w:p w:rsidR="00000000" w:rsidRDefault="00821B8F">
      <w:pPr>
        <w:pStyle w:val="BodyText"/>
        <w:pBdr>
          <w:bottom w:val="double" w:sz="4" w:space="1" w:color="auto"/>
        </w:pBdr>
        <w:spacing w:after="240" w:line="360" w:lineRule="exact"/>
        <w:rPr>
          <w:rFonts w:eastAsia="KaiTi_GB2312" w:hint="eastAsia"/>
          <w:b/>
          <w:color w:val="0000FF"/>
          <w:sz w:val="21"/>
        </w:rPr>
      </w:pPr>
      <w:r>
        <w:rPr>
          <w:rFonts w:eastAsia="KaiTi_GB2312" w:hint="eastAsia"/>
          <w:b/>
          <w:color w:val="0000FF"/>
          <w:sz w:val="21"/>
        </w:rPr>
        <w:t>婚姻和家庭关系方面的平等权利</w:t>
      </w:r>
    </w:p>
    <w:p w:rsidR="00000000" w:rsidRDefault="00821B8F">
      <w:pPr>
        <w:pStyle w:val="H1"/>
        <w:rPr>
          <w:rFonts w:hint="eastAsia"/>
        </w:rPr>
      </w:pPr>
      <w:r>
        <w:rPr>
          <w:rFonts w:hint="eastAsia"/>
        </w:rPr>
        <w:t>A</w:t>
      </w:r>
      <w:r>
        <w:rPr>
          <w:rFonts w:hint="eastAsia"/>
        </w:rPr>
        <w:t>．妇女的状况</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rPr>
        <w:t xml:space="preserve"> </w:t>
      </w:r>
      <w:r>
        <w:rPr>
          <w:rFonts w:hint="eastAsia"/>
          <w:color w:val="000000"/>
        </w:rPr>
        <w:t>发展进程正在重新塑造菲律宾家庭，家庭规模变小了、家庭成分正在核心化。不过，按照发展中国家的标准，菲律宾妇女还是结婚比较早。</w:t>
      </w:r>
      <w:r>
        <w:rPr>
          <w:rFonts w:hint="eastAsia"/>
          <w:color w:val="000000"/>
        </w:rPr>
        <w:t>1998</w:t>
      </w:r>
      <w:r>
        <w:rPr>
          <w:rFonts w:hint="eastAsia"/>
          <w:color w:val="000000"/>
        </w:rPr>
        <w:t>年，</w:t>
      </w:r>
      <w:r>
        <w:rPr>
          <w:rFonts w:hint="eastAsia"/>
          <w:color w:val="000000"/>
        </w:rPr>
        <w:t>25-49</w:t>
      </w:r>
      <w:r>
        <w:rPr>
          <w:rFonts w:hint="eastAsia"/>
          <w:color w:val="000000"/>
        </w:rPr>
        <w:t>岁妇女的平均初婚年龄为</w:t>
      </w:r>
      <w:r>
        <w:rPr>
          <w:rFonts w:hint="eastAsia"/>
          <w:color w:val="000000"/>
        </w:rPr>
        <w:t>22.1</w:t>
      </w:r>
      <w:r>
        <w:rPr>
          <w:rFonts w:hint="eastAsia"/>
          <w:color w:val="000000"/>
        </w:rPr>
        <w:t>岁，与</w:t>
      </w:r>
      <w:r>
        <w:rPr>
          <w:rFonts w:hint="eastAsia"/>
          <w:color w:val="000000"/>
        </w:rPr>
        <w:t>1993</w:t>
      </w:r>
      <w:r>
        <w:rPr>
          <w:rFonts w:hint="eastAsia"/>
          <w:color w:val="000000"/>
        </w:rPr>
        <w:t>年的数据</w:t>
      </w:r>
      <w:r>
        <w:rPr>
          <w:rFonts w:hint="eastAsia"/>
          <w:color w:val="000000"/>
        </w:rPr>
        <w:t>21.6</w:t>
      </w:r>
      <w:r>
        <w:rPr>
          <w:rFonts w:hint="eastAsia"/>
          <w:color w:val="000000"/>
        </w:rPr>
        <w:t>岁相比，降低了</w:t>
      </w:r>
      <w:r>
        <w:rPr>
          <w:rFonts w:hint="eastAsia"/>
          <w:color w:val="000000"/>
        </w:rPr>
        <w:t>0.5</w:t>
      </w:r>
      <w:r>
        <w:rPr>
          <w:rFonts w:hint="eastAsia"/>
          <w:color w:val="000000"/>
        </w:rPr>
        <w:t>岁。</w:t>
      </w:r>
      <w:r>
        <w:rPr>
          <w:rFonts w:hint="eastAsia"/>
          <w:color w:val="000000"/>
          <w:szCs w:val="21"/>
        </w:rPr>
        <w:t>1998</w:t>
      </w:r>
      <w:r>
        <w:rPr>
          <w:rFonts w:hint="eastAsia"/>
          <w:color w:val="000000"/>
          <w:szCs w:val="21"/>
        </w:rPr>
        <w:t>年总共有</w:t>
      </w:r>
      <w:r>
        <w:rPr>
          <w:rFonts w:hint="eastAsia"/>
          <w:color w:val="000000"/>
          <w:szCs w:val="21"/>
        </w:rPr>
        <w:t>549 265</w:t>
      </w:r>
      <w:r>
        <w:rPr>
          <w:rFonts w:hint="eastAsia"/>
          <w:color w:val="000000"/>
          <w:szCs w:val="21"/>
        </w:rPr>
        <w:t>人登记结婚，比</w:t>
      </w:r>
      <w:r>
        <w:rPr>
          <w:rFonts w:hint="eastAsia"/>
          <w:color w:val="000000"/>
          <w:szCs w:val="21"/>
        </w:rPr>
        <w:t>1995</w:t>
      </w:r>
      <w:r>
        <w:rPr>
          <w:rFonts w:hint="eastAsia"/>
          <w:color w:val="000000"/>
          <w:szCs w:val="21"/>
        </w:rPr>
        <w:t>年的人数</w:t>
      </w:r>
      <w:r>
        <w:rPr>
          <w:rFonts w:hint="eastAsia"/>
          <w:color w:val="000000"/>
          <w:szCs w:val="21"/>
        </w:rPr>
        <w:t>503 650</w:t>
      </w:r>
      <w:r>
        <w:rPr>
          <w:rFonts w:hint="eastAsia"/>
          <w:color w:val="000000"/>
          <w:szCs w:val="21"/>
        </w:rPr>
        <w:t>人增长了</w:t>
      </w:r>
      <w:r>
        <w:rPr>
          <w:rFonts w:hint="eastAsia"/>
          <w:color w:val="000000"/>
          <w:szCs w:val="21"/>
        </w:rPr>
        <w:t>9.0%</w:t>
      </w:r>
      <w:r>
        <w:rPr>
          <w:rFonts w:hint="eastAsia"/>
          <w:color w:val="000000"/>
          <w:szCs w:val="21"/>
        </w:rPr>
        <w:t>（国家统计局，</w:t>
      </w:r>
      <w:r>
        <w:rPr>
          <w:rFonts w:hint="eastAsia"/>
          <w:color w:val="000000"/>
          <w:szCs w:val="21"/>
        </w:rPr>
        <w:t>2002</w:t>
      </w:r>
      <w:r>
        <w:rPr>
          <w:rFonts w:hint="eastAsia"/>
          <w:color w:val="000000"/>
          <w:szCs w:val="21"/>
        </w:rPr>
        <w:t>年）。</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教育程度似乎对结婚年龄有影响。</w:t>
      </w:r>
      <w:r>
        <w:rPr>
          <w:rFonts w:hint="eastAsia"/>
          <w:color w:val="000000"/>
          <w:szCs w:val="21"/>
        </w:rPr>
        <w:t>高中程度的妇女的初婚年龄平均为</w:t>
      </w:r>
      <w:r>
        <w:rPr>
          <w:rFonts w:hint="eastAsia"/>
          <w:color w:val="000000"/>
          <w:spacing w:val="-2"/>
          <w:szCs w:val="21"/>
        </w:rPr>
        <w:t>21.5</w:t>
      </w:r>
      <w:r>
        <w:rPr>
          <w:rFonts w:hint="eastAsia"/>
          <w:color w:val="000000"/>
          <w:spacing w:val="-2"/>
          <w:szCs w:val="21"/>
        </w:rPr>
        <w:t>岁，小学水平和根据没有受过教育的妇女的结婚年龄则分别为</w:t>
      </w:r>
      <w:r>
        <w:rPr>
          <w:rFonts w:hint="eastAsia"/>
          <w:color w:val="000000"/>
          <w:spacing w:val="-2"/>
          <w:szCs w:val="21"/>
        </w:rPr>
        <w:t>19.8</w:t>
      </w:r>
      <w:r>
        <w:rPr>
          <w:rFonts w:hint="eastAsia"/>
          <w:color w:val="000000"/>
          <w:spacing w:val="-2"/>
          <w:szCs w:val="21"/>
        </w:rPr>
        <w:t>岁和</w:t>
      </w:r>
      <w:r>
        <w:rPr>
          <w:rFonts w:hint="eastAsia"/>
          <w:color w:val="000000"/>
          <w:spacing w:val="-2"/>
          <w:szCs w:val="21"/>
        </w:rPr>
        <w:t>18.7</w:t>
      </w:r>
      <w:r>
        <w:rPr>
          <w:rFonts w:hint="eastAsia"/>
          <w:color w:val="000000"/>
          <w:spacing w:val="-2"/>
          <w:szCs w:val="21"/>
        </w:rPr>
        <w:t>岁。大专以上学历的妇女的平均结婚年龄为</w:t>
      </w:r>
      <w:r>
        <w:rPr>
          <w:rFonts w:hint="eastAsia"/>
          <w:color w:val="000000"/>
          <w:spacing w:val="-2"/>
          <w:szCs w:val="21"/>
        </w:rPr>
        <w:t>25.2</w:t>
      </w:r>
      <w:r>
        <w:rPr>
          <w:rFonts w:hint="eastAsia"/>
          <w:color w:val="000000"/>
          <w:spacing w:val="-2"/>
          <w:szCs w:val="21"/>
        </w:rPr>
        <w:t>岁。</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为了增进和保护妇女在婚姻和家庭关系方面的平等权利，菲律宾执行了各种政策和方案举措。然而，尽管妇女在经济上比以往活跃，但传统的性别角色定义依然顽固存在。</w:t>
      </w:r>
    </w:p>
    <w:p w:rsidR="00000000" w:rsidRDefault="00821B8F">
      <w:pPr>
        <w:pStyle w:val="H1"/>
        <w:rPr>
          <w:rFonts w:hint="eastAsia"/>
        </w:rPr>
      </w:pPr>
      <w:r>
        <w:rPr>
          <w:rFonts w:hint="eastAsia"/>
        </w:rPr>
        <w:t>B</w:t>
      </w:r>
      <w:r>
        <w:rPr>
          <w:rFonts w:hint="eastAsia"/>
        </w:rPr>
        <w:t>．采取的行动</w:t>
      </w:r>
    </w:p>
    <w:p w:rsidR="00000000" w:rsidRDefault="00821B8F">
      <w:pPr>
        <w:spacing w:after="120" w:line="360" w:lineRule="exact"/>
        <w:rPr>
          <w:rFonts w:eastAsia="KaiTi_GB2312" w:hint="eastAsia"/>
          <w:b/>
          <w:bCs/>
          <w:color w:val="0000FF"/>
          <w:szCs w:val="21"/>
        </w:rPr>
      </w:pPr>
      <w:r>
        <w:rPr>
          <w:rFonts w:eastAsia="KaiTi_GB2312" w:hint="eastAsia"/>
          <w:b/>
          <w:bCs/>
          <w:color w:val="0000FF"/>
          <w:szCs w:val="21"/>
        </w:rPr>
        <w:t>政策发展态势</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w:t>
      </w:r>
      <w:r>
        <w:rPr>
          <w:rFonts w:hint="eastAsia"/>
          <w:color w:val="000000"/>
          <w:szCs w:val="21"/>
        </w:rPr>
        <w:t>1997</w:t>
      </w:r>
      <w:r>
        <w:rPr>
          <w:rFonts w:hint="eastAsia"/>
          <w:color w:val="000000"/>
          <w:szCs w:val="21"/>
        </w:rPr>
        <w:t>年家事法典》废除了《民事法典》中的许多歧视性规定，</w:t>
      </w:r>
      <w:r>
        <w:rPr>
          <w:rFonts w:hint="eastAsia"/>
          <w:color w:val="000000"/>
          <w:spacing w:val="-2"/>
          <w:szCs w:val="21"/>
        </w:rPr>
        <w:t>把结婚的法定年龄拉平为</w:t>
      </w:r>
      <w:r>
        <w:rPr>
          <w:rFonts w:hint="eastAsia"/>
          <w:color w:val="000000"/>
          <w:spacing w:val="-2"/>
          <w:szCs w:val="21"/>
        </w:rPr>
        <w:t>18</w:t>
      </w:r>
      <w:r>
        <w:rPr>
          <w:rFonts w:hint="eastAsia"/>
          <w:color w:val="000000"/>
          <w:spacing w:val="-2"/>
          <w:szCs w:val="21"/>
        </w:rPr>
        <w:t>岁。它赋予夫妻对其子女及管理夫妻共同财产和选择家庭居住地的共同权力。它规定妻</w:t>
      </w:r>
      <w:r>
        <w:rPr>
          <w:rFonts w:hint="eastAsia"/>
          <w:color w:val="000000"/>
          <w:spacing w:val="-2"/>
          <w:szCs w:val="21"/>
        </w:rPr>
        <w:t>子有权从事自己的专业或职业，并有权接受馈赠，无需征得丈夫的同意；妇女甚至在丈夫去世后</w:t>
      </w:r>
      <w:r>
        <w:rPr>
          <w:rFonts w:hint="eastAsia"/>
          <w:color w:val="000000"/>
          <w:spacing w:val="-2"/>
          <w:szCs w:val="21"/>
        </w:rPr>
        <w:t>300</w:t>
      </w:r>
      <w:r>
        <w:rPr>
          <w:rFonts w:hint="eastAsia"/>
          <w:color w:val="000000"/>
          <w:spacing w:val="-2"/>
          <w:szCs w:val="21"/>
        </w:rPr>
        <w:t>天之前有权再婚；并且有权在再婚后保留对其子女的亲权。《家事法典》还把合法分居的理由扩大到屡次施暴、精神障碍、同性恋和女性同性恋及吸毒上瘾。它用被告配偶的“不忠实性行为”取代了“妻子通奸和丈夫姘居”作为分居根据。</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1998</w:t>
      </w:r>
      <w:r>
        <w:rPr>
          <w:rFonts w:hint="eastAsia"/>
          <w:color w:val="000000"/>
          <w:szCs w:val="21"/>
        </w:rPr>
        <w:t>年，第</w:t>
      </w:r>
      <w:r>
        <w:rPr>
          <w:rFonts w:hint="eastAsia"/>
          <w:color w:val="000000"/>
          <w:szCs w:val="21"/>
        </w:rPr>
        <w:t>8533</w:t>
      </w:r>
      <w:r>
        <w:rPr>
          <w:rFonts w:hint="eastAsia"/>
          <w:color w:val="000000"/>
          <w:szCs w:val="21"/>
        </w:rPr>
        <w:t>号共和国法令修正了《家事法典》。按照原来的《家事法典》，基于精神障碍宣布婚姻无效之起诉或辩护的时效为自通过该法典之日起的十年之内。新法律对此做了修改，于是此类起诉或辩护不再因时效而失效。</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第</w:t>
      </w:r>
      <w:r>
        <w:rPr>
          <w:rFonts w:hint="eastAsia"/>
          <w:color w:val="000000"/>
          <w:szCs w:val="21"/>
        </w:rPr>
        <w:t>8187</w:t>
      </w:r>
      <w:r>
        <w:rPr>
          <w:rFonts w:hint="eastAsia"/>
          <w:color w:val="000000"/>
          <w:szCs w:val="21"/>
        </w:rPr>
        <w:t>号共和国法令，即《</w:t>
      </w:r>
      <w:r>
        <w:rPr>
          <w:rFonts w:hint="eastAsia"/>
          <w:color w:val="000000"/>
          <w:szCs w:val="21"/>
        </w:rPr>
        <w:t>1996</w:t>
      </w:r>
      <w:r>
        <w:rPr>
          <w:rFonts w:hint="eastAsia"/>
          <w:color w:val="000000"/>
          <w:szCs w:val="21"/>
        </w:rPr>
        <w:t>年陪产假法》规定，私人部门和公共部门的每位已婚男性雇员可在其合法配偶分娩或流产后享有七天带薪假期，以便在配偶康复期内或新生儿的哺育期内对其给予照料。但是，七天的假期对于帮助妻子和新生儿来说太短了。而且，该法令只对已婚的雇员有利。它对没有法定婚姻约束的未婚父母构成歧视，因为他们选择不结婚就没有资格享受这种福利。</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一项有望帮助家境困难的妇女的法令是《</w:t>
      </w:r>
      <w:r>
        <w:rPr>
          <w:rFonts w:hint="eastAsia"/>
          <w:color w:val="000000"/>
          <w:szCs w:val="21"/>
        </w:rPr>
        <w:t>1997</w:t>
      </w:r>
      <w:r>
        <w:rPr>
          <w:rFonts w:hint="eastAsia"/>
          <w:color w:val="000000"/>
          <w:szCs w:val="21"/>
        </w:rPr>
        <w:t>年家事法庭法典》（第</w:t>
      </w:r>
      <w:r>
        <w:rPr>
          <w:rFonts w:hint="eastAsia"/>
          <w:color w:val="000000"/>
          <w:szCs w:val="21"/>
        </w:rPr>
        <w:t>8369</w:t>
      </w:r>
      <w:r>
        <w:rPr>
          <w:rFonts w:hint="eastAsia"/>
          <w:color w:val="000000"/>
          <w:szCs w:val="21"/>
        </w:rPr>
        <w:t>号共和国法令）。该法令决定在全国各大城市建立家事法庭，这些法庭对儿童及家庭案件拥有专属</w:t>
      </w:r>
      <w:r>
        <w:rPr>
          <w:rFonts w:hint="eastAsia"/>
          <w:color w:val="000000"/>
          <w:szCs w:val="21"/>
        </w:rPr>
        <w:t>初审管辖权，其中包括儿童监护权、宣告婚姻无效、宣告无效婚姻或合法分居、依据《家事法典》的即决审判程序、领养、监护、扶养、家庭组成以及对妇女儿童的暴力案件。另一个相关法律是《</w:t>
      </w:r>
      <w:r>
        <w:rPr>
          <w:rFonts w:hint="eastAsia"/>
          <w:color w:val="000000"/>
          <w:szCs w:val="21"/>
        </w:rPr>
        <w:t>1998</w:t>
      </w:r>
      <w:r>
        <w:rPr>
          <w:rFonts w:hint="eastAsia"/>
          <w:color w:val="000000"/>
          <w:szCs w:val="21"/>
        </w:rPr>
        <w:t>年家庭领养法》（第</w:t>
      </w:r>
      <w:r>
        <w:rPr>
          <w:rFonts w:hint="eastAsia"/>
          <w:color w:val="000000"/>
          <w:szCs w:val="21"/>
        </w:rPr>
        <w:t>8552</w:t>
      </w:r>
      <w:r>
        <w:rPr>
          <w:rFonts w:hint="eastAsia"/>
          <w:color w:val="000000"/>
          <w:szCs w:val="21"/>
        </w:rPr>
        <w:t>号共和国法令）。借此，国家力求通过照顾性领养方式为保护和帮助被忽视儿童、孤儿或被遗弃儿童提供一种备选方法。</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鉴于单身父母（多为单身母亲）的比率日益增高，国会通过《</w:t>
      </w:r>
      <w:r>
        <w:rPr>
          <w:rFonts w:hint="eastAsia"/>
          <w:color w:val="000000"/>
          <w:szCs w:val="21"/>
        </w:rPr>
        <w:t>2000</w:t>
      </w:r>
      <w:r>
        <w:rPr>
          <w:rFonts w:hint="eastAsia"/>
          <w:color w:val="000000"/>
          <w:szCs w:val="21"/>
        </w:rPr>
        <w:t>年单身父母福利法》（第</w:t>
      </w:r>
      <w:r>
        <w:rPr>
          <w:rFonts w:hint="eastAsia"/>
          <w:color w:val="000000"/>
          <w:szCs w:val="21"/>
        </w:rPr>
        <w:t>8972</w:t>
      </w:r>
      <w:r>
        <w:rPr>
          <w:rFonts w:hint="eastAsia"/>
          <w:color w:val="000000"/>
          <w:szCs w:val="21"/>
        </w:rPr>
        <w:t>号共和国法令），为单身父母及其子女提供了综合的社会发展和福利服务方案（另见第十一条）。该法令责成各有关机</w:t>
      </w:r>
      <w:r>
        <w:rPr>
          <w:rFonts w:hint="eastAsia"/>
          <w:color w:val="000000"/>
          <w:szCs w:val="21"/>
        </w:rPr>
        <w:t>构执行诸如弹性工作安排和七个工作日育儿假</w:t>
      </w:r>
      <w:r>
        <w:rPr>
          <w:rFonts w:hint="eastAsia"/>
          <w:color w:val="000000"/>
          <w:szCs w:val="18"/>
        </w:rPr>
        <w:t>、</w:t>
      </w:r>
      <w:r>
        <w:rPr>
          <w:rFonts w:hint="eastAsia"/>
          <w:color w:val="000000"/>
          <w:szCs w:val="21"/>
        </w:rPr>
        <w:t>生计发展服务、教育和住房津贴方案或服务。</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w:t>
      </w:r>
      <w:r>
        <w:rPr>
          <w:rFonts w:hint="eastAsia"/>
          <w:color w:val="000000"/>
          <w:szCs w:val="21"/>
        </w:rPr>
        <w:t>2000</w:t>
      </w:r>
      <w:r>
        <w:rPr>
          <w:rFonts w:hint="eastAsia"/>
          <w:color w:val="000000"/>
          <w:szCs w:val="21"/>
        </w:rPr>
        <w:t>年幼儿保育和发展法》将全面、综合和可持续的国家幼儿保育和发展系统制度化。该法律促进父母和社区积极参与提供一整套保健、营养、早期教育和社会服务方案，以满足幼儿的基本需要。</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1997</w:t>
      </w:r>
      <w:r>
        <w:rPr>
          <w:rFonts w:hint="eastAsia"/>
          <w:color w:val="000000"/>
          <w:szCs w:val="21"/>
        </w:rPr>
        <w:t>年</w:t>
      </w:r>
      <w:r>
        <w:rPr>
          <w:rFonts w:hint="eastAsia"/>
          <w:color w:val="000000"/>
          <w:szCs w:val="21"/>
        </w:rPr>
        <w:t>2</w:t>
      </w:r>
      <w:r>
        <w:rPr>
          <w:rFonts w:hint="eastAsia"/>
          <w:color w:val="000000"/>
          <w:szCs w:val="21"/>
        </w:rPr>
        <w:t>月</w:t>
      </w:r>
      <w:r>
        <w:rPr>
          <w:rFonts w:hint="eastAsia"/>
          <w:color w:val="000000"/>
          <w:szCs w:val="21"/>
        </w:rPr>
        <w:t>5</w:t>
      </w:r>
      <w:r>
        <w:rPr>
          <w:rFonts w:hint="eastAsia"/>
          <w:color w:val="000000"/>
          <w:szCs w:val="21"/>
        </w:rPr>
        <w:t>日颁布的第</w:t>
      </w:r>
      <w:r>
        <w:rPr>
          <w:rFonts w:hint="eastAsia"/>
          <w:color w:val="000000"/>
          <w:szCs w:val="21"/>
        </w:rPr>
        <w:t>340</w:t>
      </w:r>
      <w:r>
        <w:rPr>
          <w:rFonts w:hint="eastAsia"/>
          <w:color w:val="000000"/>
          <w:szCs w:val="21"/>
        </w:rPr>
        <w:t>号行政命令指示国家政府各机构以及政府所有和控制的公司为其雇员的五岁以下儿童提供日托服务。社会福利部于</w:t>
      </w:r>
      <w:r>
        <w:rPr>
          <w:rFonts w:hint="eastAsia"/>
          <w:color w:val="000000"/>
          <w:szCs w:val="21"/>
        </w:rPr>
        <w:t>2000</w:t>
      </w:r>
      <w:r>
        <w:rPr>
          <w:rFonts w:hint="eastAsia"/>
          <w:color w:val="000000"/>
          <w:szCs w:val="21"/>
        </w:rPr>
        <w:t>年发布了关于鉴定日托中心和日托工作人员资格的指导准则。</w:t>
      </w:r>
      <w:r>
        <w:rPr>
          <w:rFonts w:hint="eastAsia"/>
          <w:color w:val="000000"/>
          <w:szCs w:val="21"/>
        </w:rPr>
        <w:t xml:space="preserve"> </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正如在第十四条下所讨论的，土地改革部赋予家庭</w:t>
      </w:r>
      <w:r>
        <w:rPr>
          <w:rFonts w:hint="eastAsia"/>
          <w:color w:val="000000"/>
          <w:szCs w:val="21"/>
        </w:rPr>
        <w:t>主妇以平等的权利，依照《家事法典》和《民事法典》有关合法结婚的配偶和习惯法配偶的财产关系的适用条款享有土地所有权。</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正如在第十四条和第十五条项下所讨论的，环境和自然资源部通过部令，于</w:t>
      </w:r>
      <w:r>
        <w:rPr>
          <w:rFonts w:hint="eastAsia"/>
          <w:color w:val="000000"/>
          <w:szCs w:val="21"/>
        </w:rPr>
        <w:t>2002</w:t>
      </w:r>
      <w:r>
        <w:rPr>
          <w:rFonts w:hint="eastAsia"/>
          <w:color w:val="000000"/>
          <w:szCs w:val="21"/>
        </w:rPr>
        <w:t>年修订了有关可让渡和可任意处置的公共土地的管理条例，从而赋予妇女——不论其婚姻状况如何——与男子平等的权利以申请购买或租赁公共土地。</w:t>
      </w:r>
      <w:r>
        <w:rPr>
          <w:rFonts w:hint="eastAsia"/>
          <w:color w:val="000000"/>
          <w:szCs w:val="21"/>
        </w:rPr>
        <w:t xml:space="preserve"> </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众议院第</w:t>
      </w:r>
      <w:r>
        <w:rPr>
          <w:rFonts w:hint="eastAsia"/>
          <w:color w:val="000000"/>
          <w:szCs w:val="21"/>
        </w:rPr>
        <w:t>375</w:t>
      </w:r>
      <w:r>
        <w:rPr>
          <w:rFonts w:hint="eastAsia"/>
          <w:color w:val="000000"/>
          <w:szCs w:val="21"/>
        </w:rPr>
        <w:t>和第</w:t>
      </w:r>
      <w:r>
        <w:rPr>
          <w:rFonts w:hint="eastAsia"/>
          <w:color w:val="000000"/>
          <w:szCs w:val="21"/>
        </w:rPr>
        <w:t>2518</w:t>
      </w:r>
      <w:r>
        <w:rPr>
          <w:rFonts w:hint="eastAsia"/>
          <w:color w:val="000000"/>
          <w:szCs w:val="21"/>
        </w:rPr>
        <w:t>号议案等相关议案旨在促进有关婚姻和家庭关系的平等权利，但是尚待众议院法律改革代表委员会审议通过。</w:t>
      </w:r>
    </w:p>
    <w:p w:rsidR="00000000" w:rsidRDefault="00821B8F">
      <w:pPr>
        <w:pStyle w:val="BodyText"/>
        <w:spacing w:after="120" w:line="360" w:lineRule="exact"/>
        <w:rPr>
          <w:rFonts w:eastAsia="KaiTi_GB2312" w:hint="eastAsia"/>
          <w:b/>
          <w:bCs/>
          <w:color w:val="0000FF"/>
          <w:sz w:val="21"/>
          <w:szCs w:val="21"/>
        </w:rPr>
      </w:pPr>
      <w:r>
        <w:rPr>
          <w:rFonts w:eastAsia="KaiTi_GB2312" w:hint="eastAsia"/>
          <w:b/>
          <w:bCs/>
          <w:color w:val="0000FF"/>
          <w:sz w:val="21"/>
          <w:szCs w:val="21"/>
        </w:rPr>
        <w:t>方案动态</w:t>
      </w:r>
    </w:p>
    <w:p w:rsidR="00000000" w:rsidRDefault="00821B8F">
      <w:pPr>
        <w:numPr>
          <w:ilvl w:val="0"/>
          <w:numId w:val="1409"/>
        </w:numPr>
        <w:tabs>
          <w:tab w:val="num" w:pos="1499"/>
        </w:tabs>
        <w:spacing w:after="120" w:line="360" w:lineRule="exact"/>
        <w:ind w:left="540" w:hanging="540"/>
        <w:rPr>
          <w:rFonts w:hint="eastAsia"/>
          <w:color w:val="000000"/>
        </w:rPr>
      </w:pPr>
      <w:r>
        <w:rPr>
          <w:color w:val="000000"/>
        </w:rPr>
        <w:t xml:space="preserve"> </w:t>
      </w:r>
      <w:r>
        <w:rPr>
          <w:rFonts w:hint="eastAsia"/>
          <w:color w:val="000000"/>
        </w:rPr>
        <w:t>菲律宾采取了一些措施以援助跟外国人结婚、但是据</w:t>
      </w:r>
      <w:r>
        <w:rPr>
          <w:rFonts w:hint="eastAsia"/>
          <w:color w:val="000000"/>
        </w:rPr>
        <w:t>悉在异族通婚问题上遇到麻烦的妇女。正如第</w:t>
      </w:r>
      <w:r>
        <w:rPr>
          <w:rFonts w:hint="eastAsia"/>
          <w:color w:val="000000"/>
        </w:rPr>
        <w:t>156</w:t>
      </w:r>
      <w:r>
        <w:rPr>
          <w:rFonts w:hint="eastAsia"/>
          <w:color w:val="000000"/>
        </w:rPr>
        <w:t>段所指出的，第</w:t>
      </w:r>
      <w:r>
        <w:rPr>
          <w:rFonts w:hint="eastAsia"/>
          <w:color w:val="000000"/>
        </w:rPr>
        <w:t>6955</w:t>
      </w:r>
      <w:r>
        <w:rPr>
          <w:rFonts w:hint="eastAsia"/>
          <w:color w:val="000000"/>
        </w:rPr>
        <w:t>号共和国法令宣布所谓“邮购新娘”是违法的，该法令是在这种情况下保护妇女的方案的法律依据之一。海外菲律宾人委员会与外交部和其他相关机构合作，为了帮助妇女克服异族联姻造成的困难和保护她们免遭贩卖危险，牵头提供如下相关的服务：</w:t>
      </w:r>
    </w:p>
    <w:p w:rsidR="00000000" w:rsidRDefault="00821B8F">
      <w:pPr>
        <w:widowControl/>
        <w:numPr>
          <w:ilvl w:val="0"/>
          <w:numId w:val="1404"/>
        </w:numPr>
        <w:tabs>
          <w:tab w:val="clear" w:pos="841"/>
          <w:tab w:val="num" w:pos="1080"/>
        </w:tabs>
        <w:spacing w:after="120" w:line="360" w:lineRule="exact"/>
        <w:ind w:left="1080" w:hanging="480"/>
        <w:rPr>
          <w:rFonts w:hint="eastAsia"/>
          <w:color w:val="000000"/>
          <w:spacing w:val="-2"/>
          <w:szCs w:val="21"/>
        </w:rPr>
      </w:pPr>
      <w:r>
        <w:rPr>
          <w:rFonts w:hint="eastAsia"/>
          <w:color w:val="000000"/>
          <w:szCs w:val="21"/>
        </w:rPr>
        <w:t>为了帮助牵涉异族通婚并移居国外的菲律宾妇女，海外菲律宾人委员会向外国人的未婚妻或配偶提供全国指导和咨询服务。它向客户提供对其有影响的移徙法规的有关信息、有关婚姻的关注事项、应付各种艰难处境的方法、国外现有的福利和支助服务及</w:t>
      </w:r>
      <w:r>
        <w:rPr>
          <w:rFonts w:hint="eastAsia"/>
          <w:color w:val="000000"/>
          <w:szCs w:val="21"/>
        </w:rPr>
        <w:t>其个人能得到的服务和婚姻上的权利。</w:t>
      </w:r>
      <w:r>
        <w:rPr>
          <w:rFonts w:hint="eastAsia"/>
          <w:color w:val="000000"/>
          <w:szCs w:val="21"/>
        </w:rPr>
        <w:t>1989</w:t>
      </w:r>
      <w:r>
        <w:rPr>
          <w:rFonts w:hint="eastAsia"/>
          <w:color w:val="000000"/>
          <w:szCs w:val="21"/>
        </w:rPr>
        <w:t>至</w:t>
      </w:r>
      <w:r>
        <w:rPr>
          <w:rFonts w:hint="eastAsia"/>
          <w:color w:val="000000"/>
          <w:szCs w:val="21"/>
        </w:rPr>
        <w:t>1998</w:t>
      </w:r>
      <w:r>
        <w:rPr>
          <w:rFonts w:hint="eastAsia"/>
          <w:color w:val="000000"/>
          <w:szCs w:val="21"/>
        </w:rPr>
        <w:t>年，海外菲律宾人委员会总共为</w:t>
      </w:r>
      <w:r>
        <w:rPr>
          <w:rFonts w:hint="eastAsia"/>
          <w:color w:val="000000"/>
          <w:szCs w:val="21"/>
        </w:rPr>
        <w:t>162 286</w:t>
      </w:r>
      <w:r>
        <w:rPr>
          <w:rFonts w:hint="eastAsia"/>
          <w:color w:val="000000"/>
          <w:szCs w:val="21"/>
        </w:rPr>
        <w:t>位外国人的未婚妻和配偶提供了服务。这种服务现已扩展到针对</w:t>
      </w:r>
      <w:r>
        <w:rPr>
          <w:rFonts w:hint="eastAsia"/>
          <w:color w:val="000000"/>
          <w:szCs w:val="21"/>
        </w:rPr>
        <w:t>16</w:t>
      </w:r>
      <w:r>
        <w:rPr>
          <w:rFonts w:hint="eastAsia"/>
          <w:color w:val="000000"/>
          <w:szCs w:val="21"/>
        </w:rPr>
        <w:t>个不同国家的指导会议和四个普通指导会议。</w:t>
      </w:r>
    </w:p>
    <w:p w:rsidR="00000000" w:rsidRDefault="00821B8F">
      <w:pPr>
        <w:widowControl/>
        <w:numPr>
          <w:ilvl w:val="0"/>
          <w:numId w:val="1404"/>
        </w:numPr>
        <w:tabs>
          <w:tab w:val="clear" w:pos="841"/>
          <w:tab w:val="num" w:pos="1080"/>
        </w:tabs>
        <w:spacing w:after="120" w:line="360" w:lineRule="exact"/>
        <w:ind w:left="1080" w:hanging="480"/>
        <w:rPr>
          <w:rFonts w:hint="eastAsia"/>
          <w:color w:val="000000"/>
          <w:spacing w:val="-2"/>
          <w:szCs w:val="21"/>
        </w:rPr>
      </w:pPr>
      <w:r>
        <w:rPr>
          <w:rFonts w:hint="eastAsia"/>
          <w:color w:val="000000"/>
          <w:spacing w:val="-2"/>
          <w:szCs w:val="21"/>
        </w:rPr>
        <w:t>1998</w:t>
      </w:r>
      <w:r>
        <w:rPr>
          <w:rFonts w:hint="eastAsia"/>
          <w:color w:val="000000"/>
          <w:spacing w:val="-2"/>
          <w:szCs w:val="21"/>
        </w:rPr>
        <w:t>年，菲律宾成立了一个负责协调打击贩运人口运动的机构间异族通婚委员会。</w:t>
      </w:r>
      <w:r>
        <w:rPr>
          <w:rFonts w:hint="eastAsia"/>
          <w:color w:val="000000"/>
          <w:spacing w:val="-2"/>
          <w:szCs w:val="21"/>
        </w:rPr>
        <w:t>2000</w:t>
      </w:r>
      <w:r>
        <w:rPr>
          <w:rFonts w:hint="eastAsia"/>
          <w:color w:val="000000"/>
          <w:spacing w:val="-2"/>
          <w:szCs w:val="21"/>
        </w:rPr>
        <w:t>年，第</w:t>
      </w:r>
      <w:r>
        <w:rPr>
          <w:rFonts w:hint="eastAsia"/>
          <w:color w:val="000000"/>
          <w:spacing w:val="-2"/>
          <w:szCs w:val="21"/>
        </w:rPr>
        <w:t>220</w:t>
      </w:r>
      <w:r>
        <w:rPr>
          <w:rFonts w:hint="eastAsia"/>
          <w:color w:val="000000"/>
          <w:spacing w:val="-2"/>
          <w:szCs w:val="21"/>
        </w:rPr>
        <w:t>号行政命令用</w:t>
      </w:r>
      <w:r>
        <w:rPr>
          <w:rFonts w:hint="eastAsia"/>
          <w:color w:val="000000"/>
        </w:rPr>
        <w:t>禁止贩运人口特别是妇女和儿童委员会</w:t>
      </w:r>
      <w:r>
        <w:rPr>
          <w:rFonts w:hint="eastAsia"/>
          <w:color w:val="000000"/>
          <w:spacing w:val="-2"/>
          <w:szCs w:val="21"/>
        </w:rPr>
        <w:t>取代了上述异族通婚委员会。这个新委员会由外交部长担任主席，它使得执行禁止贩运人口方案的各有关机构间的协调和协作过程实现制度化。随着第</w:t>
      </w:r>
      <w:r>
        <w:rPr>
          <w:rFonts w:hint="eastAsia"/>
          <w:color w:val="000000"/>
          <w:spacing w:val="-2"/>
          <w:szCs w:val="21"/>
        </w:rPr>
        <w:t>9208</w:t>
      </w:r>
      <w:r>
        <w:rPr>
          <w:rFonts w:hint="eastAsia"/>
          <w:color w:val="000000"/>
          <w:spacing w:val="-2"/>
          <w:szCs w:val="21"/>
        </w:rPr>
        <w:t>号共和国法令，即《</w:t>
      </w:r>
      <w:r>
        <w:rPr>
          <w:rFonts w:hint="eastAsia"/>
          <w:color w:val="000000"/>
          <w:spacing w:val="-2"/>
          <w:szCs w:val="21"/>
        </w:rPr>
        <w:t>2003</w:t>
      </w:r>
      <w:r>
        <w:rPr>
          <w:rFonts w:hint="eastAsia"/>
          <w:color w:val="000000"/>
          <w:spacing w:val="-2"/>
          <w:szCs w:val="21"/>
        </w:rPr>
        <w:t>年禁止贩</w:t>
      </w:r>
      <w:r>
        <w:rPr>
          <w:rFonts w:hint="eastAsia"/>
          <w:color w:val="000000"/>
          <w:spacing w:val="-2"/>
          <w:szCs w:val="21"/>
        </w:rPr>
        <w:t>运人口法》的通过，该委员会的职能移交给机构间打击贩运人口委员会。</w:t>
      </w:r>
    </w:p>
    <w:p w:rsidR="00000000" w:rsidRDefault="00821B8F">
      <w:pPr>
        <w:widowControl/>
        <w:numPr>
          <w:ilvl w:val="0"/>
          <w:numId w:val="1404"/>
        </w:numPr>
        <w:tabs>
          <w:tab w:val="clear" w:pos="841"/>
          <w:tab w:val="num" w:pos="1080"/>
        </w:tabs>
        <w:spacing w:after="120" w:line="360" w:lineRule="exact"/>
        <w:ind w:left="1080" w:hanging="480"/>
        <w:rPr>
          <w:rFonts w:hint="eastAsia"/>
          <w:color w:val="000000"/>
          <w:spacing w:val="-2"/>
          <w:szCs w:val="21"/>
        </w:rPr>
      </w:pPr>
      <w:r>
        <w:rPr>
          <w:rFonts w:hint="eastAsia"/>
          <w:color w:val="000000"/>
          <w:spacing w:val="-2"/>
          <w:szCs w:val="21"/>
        </w:rPr>
        <w:t>海外菲律宾人委员会的外方主管机构清单系统投入运转，为了解外方合作伙伴的情况提供了方便。该机构特别关注询查多方主管机构或系列主管机构，特别是掌握家庭暴力记录的主管机构。这是一个信息和案件监测系统，保有按性别分列的数据、文件和监测请求海外菲律宾人委员会援助的案例。据报告，海外菲律宾人委员会已将</w:t>
      </w:r>
      <w:r>
        <w:rPr>
          <w:rFonts w:hint="eastAsia"/>
          <w:color w:val="000000"/>
          <w:spacing w:val="-2"/>
          <w:szCs w:val="21"/>
        </w:rPr>
        <w:t>171</w:t>
      </w:r>
      <w:r>
        <w:rPr>
          <w:rFonts w:hint="eastAsia"/>
          <w:color w:val="000000"/>
          <w:spacing w:val="-2"/>
          <w:szCs w:val="21"/>
        </w:rPr>
        <w:t>起涉及贩运人口、移徙和家庭关系等情况的案件编码输入该系统，并记录了</w:t>
      </w:r>
      <w:r>
        <w:rPr>
          <w:rFonts w:hint="eastAsia"/>
          <w:color w:val="000000"/>
          <w:spacing w:val="-2"/>
          <w:szCs w:val="21"/>
        </w:rPr>
        <w:t xml:space="preserve">731 </w:t>
      </w:r>
      <w:r>
        <w:rPr>
          <w:rFonts w:hint="eastAsia"/>
          <w:color w:val="000000"/>
          <w:spacing w:val="-2"/>
          <w:szCs w:val="21"/>
        </w:rPr>
        <w:t>名</w:t>
      </w:r>
      <w:r>
        <w:rPr>
          <w:rFonts w:hint="eastAsia"/>
          <w:color w:val="000000"/>
          <w:spacing w:val="-2"/>
          <w:szCs w:val="21"/>
        </w:rPr>
        <w:t>1996</w:t>
      </w:r>
      <w:r>
        <w:rPr>
          <w:rFonts w:hint="eastAsia"/>
          <w:color w:val="000000"/>
          <w:spacing w:val="-2"/>
          <w:szCs w:val="21"/>
        </w:rPr>
        <w:t>至</w:t>
      </w:r>
      <w:r>
        <w:rPr>
          <w:rFonts w:hint="eastAsia"/>
          <w:color w:val="000000"/>
          <w:spacing w:val="-2"/>
          <w:szCs w:val="21"/>
        </w:rPr>
        <w:t>2000</w:t>
      </w:r>
      <w:r>
        <w:rPr>
          <w:rFonts w:hint="eastAsia"/>
          <w:color w:val="000000"/>
          <w:spacing w:val="-2"/>
          <w:szCs w:val="21"/>
        </w:rPr>
        <w:t>年间至少两次要求娶菲律宾新娘或配偶的外国人。已有</w:t>
      </w:r>
      <w:r>
        <w:rPr>
          <w:rFonts w:hint="eastAsia"/>
          <w:color w:val="000000"/>
          <w:spacing w:val="-2"/>
          <w:szCs w:val="21"/>
        </w:rPr>
        <w:t>11</w:t>
      </w:r>
      <w:r>
        <w:rPr>
          <w:rFonts w:hint="eastAsia"/>
          <w:color w:val="000000"/>
          <w:spacing w:val="-2"/>
          <w:szCs w:val="21"/>
        </w:rPr>
        <w:t>宗家</w:t>
      </w:r>
      <w:r>
        <w:rPr>
          <w:rFonts w:hint="eastAsia"/>
          <w:color w:val="000000"/>
          <w:spacing w:val="-2"/>
          <w:szCs w:val="21"/>
        </w:rPr>
        <w:t>庭暴力案件报案。涉案各方将受到更严格的评议和劝告。</w:t>
      </w:r>
    </w:p>
    <w:p w:rsidR="00000000" w:rsidRDefault="00821B8F">
      <w:pPr>
        <w:widowControl/>
        <w:numPr>
          <w:ilvl w:val="0"/>
          <w:numId w:val="1404"/>
        </w:numPr>
        <w:tabs>
          <w:tab w:val="clear" w:pos="841"/>
          <w:tab w:val="num" w:pos="1080"/>
        </w:tabs>
        <w:spacing w:after="120" w:line="360" w:lineRule="exact"/>
        <w:ind w:left="1080" w:hanging="480"/>
        <w:rPr>
          <w:rFonts w:hint="eastAsia"/>
          <w:color w:val="000000"/>
          <w:spacing w:val="-2"/>
          <w:szCs w:val="21"/>
        </w:rPr>
      </w:pPr>
      <w:r>
        <w:rPr>
          <w:rFonts w:hint="eastAsia"/>
          <w:color w:val="000000"/>
          <w:szCs w:val="21"/>
        </w:rPr>
        <w:t>作为外国人的未婚妻或配偶出境的菲律宾妇女，都能拿到一份移民协助网络团体清单，这些团体可以在其目的国向移民提供援助。此外，海外菲律宾人委员会还通过反馈表和顾问与客户之间的个人联络，与海外的菲律宾人保持联系，以便不断地确定政府可能进行干预的关键领域。</w:t>
      </w:r>
    </w:p>
    <w:p w:rsidR="00000000" w:rsidRDefault="00821B8F">
      <w:pPr>
        <w:pStyle w:val="H1"/>
        <w:rPr>
          <w:rFonts w:hint="eastAsia"/>
        </w:rPr>
      </w:pPr>
      <w:r>
        <w:rPr>
          <w:rFonts w:hint="eastAsia"/>
        </w:rPr>
        <w:t>C</w:t>
      </w:r>
      <w:r>
        <w:rPr>
          <w:rFonts w:hint="eastAsia"/>
        </w:rPr>
        <w:t>．未解决的问题和仍然面临的挑战</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为了确保夫妇分担儿童抚养和发展的责任，社会福利部执行了一个名为</w:t>
      </w:r>
      <w:r>
        <w:rPr>
          <w:rFonts w:hint="eastAsia"/>
          <w:color w:val="000000"/>
          <w:szCs w:val="21"/>
        </w:rPr>
        <w:t>ERPAT</w:t>
      </w:r>
      <w:r>
        <w:rPr>
          <w:rFonts w:hint="eastAsia"/>
          <w:color w:val="000000"/>
          <w:szCs w:val="21"/>
        </w:rPr>
        <w:t>或父亲责任的赋权和肯定项目（在菲律宾语口语中</w:t>
      </w:r>
      <w:r>
        <w:rPr>
          <w:rFonts w:hint="eastAsia"/>
          <w:color w:val="000000"/>
          <w:szCs w:val="21"/>
        </w:rPr>
        <w:t>ERPAT</w:t>
      </w:r>
      <w:r>
        <w:rPr>
          <w:rFonts w:hint="eastAsia"/>
          <w:color w:val="000000"/>
          <w:szCs w:val="21"/>
        </w:rPr>
        <w:t>代表“父亲”），其目的是发展父亲抚养和照料孩子的能</w:t>
      </w:r>
      <w:r>
        <w:rPr>
          <w:rFonts w:hint="eastAsia"/>
          <w:color w:val="000000"/>
          <w:szCs w:val="21"/>
        </w:rPr>
        <w:t>力。该方案是旨在训练父亲们成为社区内其他父亲的培训员的全国方案的一部分，迄今已将</w:t>
      </w:r>
      <w:r>
        <w:rPr>
          <w:rFonts w:hint="eastAsia"/>
          <w:color w:val="000000"/>
          <w:szCs w:val="21"/>
        </w:rPr>
        <w:t>186</w:t>
      </w:r>
      <w:r>
        <w:rPr>
          <w:rFonts w:hint="eastAsia"/>
          <w:color w:val="000000"/>
          <w:szCs w:val="21"/>
        </w:rPr>
        <w:t>位父亲培养成培训员。各非政府组织在其他领域参与此类方案。</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第四次报告中援引的对妇女有歧视性或与新法律不相符的一些法律条款仍然存在。发现《家事法典》、《民事法典》、《穆斯林属人法典》、《修订的刑法典》以及《习惯法》中都有这种法律。例如，与《</w:t>
      </w:r>
      <w:r>
        <w:rPr>
          <w:rFonts w:hint="eastAsia"/>
          <w:color w:val="000000"/>
          <w:szCs w:val="21"/>
        </w:rPr>
        <w:t>1997</w:t>
      </w:r>
      <w:r>
        <w:rPr>
          <w:rFonts w:hint="eastAsia"/>
          <w:color w:val="000000"/>
          <w:szCs w:val="21"/>
        </w:rPr>
        <w:t>年家事法典》相违背的是，《修订的刑法典》（第</w:t>
      </w:r>
      <w:r>
        <w:rPr>
          <w:rFonts w:hint="eastAsia"/>
          <w:color w:val="000000"/>
          <w:szCs w:val="21"/>
        </w:rPr>
        <w:t>333</w:t>
      </w:r>
      <w:r>
        <w:rPr>
          <w:rFonts w:hint="eastAsia"/>
          <w:color w:val="000000"/>
          <w:szCs w:val="21"/>
        </w:rPr>
        <w:t>和第</w:t>
      </w:r>
      <w:r>
        <w:rPr>
          <w:rFonts w:hint="eastAsia"/>
          <w:color w:val="000000"/>
          <w:szCs w:val="21"/>
        </w:rPr>
        <w:t>334</w:t>
      </w:r>
      <w:r>
        <w:rPr>
          <w:rFonts w:hint="eastAsia"/>
          <w:color w:val="000000"/>
          <w:szCs w:val="21"/>
        </w:rPr>
        <w:t>条）在婚姻问题上依旧对</w:t>
      </w:r>
      <w:r>
        <w:rPr>
          <w:rFonts w:hint="eastAsia"/>
          <w:color w:val="000000"/>
          <w:spacing w:val="-2"/>
          <w:szCs w:val="21"/>
        </w:rPr>
        <w:t>不忠实性行为分别界定——妻子通奸和丈夫姘居。有人争辩说，妇女只要有一次通奸行为即可遭到指控；而男</w:t>
      </w:r>
      <w:r>
        <w:rPr>
          <w:rFonts w:hint="eastAsia"/>
          <w:color w:val="000000"/>
          <w:spacing w:val="-2"/>
          <w:szCs w:val="21"/>
        </w:rPr>
        <w:t>子的不忠行为只有在这种关系延续了一段时间，以至另有住所供养情妇甚或生下他们的孩子的情况下才能证实。</w:t>
      </w:r>
      <w:r>
        <w:rPr>
          <w:rFonts w:hint="eastAsia"/>
          <w:color w:val="000000"/>
          <w:szCs w:val="21"/>
        </w:rPr>
        <w:t>而且，通奸罪所受到的惩罚要比姘居罪严厉。对于前者，可判中等刑期（两年四个月零一天至四年两个月）和最高刑期（四年两个月零一天至六年）的监禁教养。对于姘居罪，可判最低刑期（六个月零一天至两年四个月）和中等刑期的监禁教养。</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依照《穆斯林属人法》审理案件的沙里亚法院的效力和效能尚有待提高。研究表明，在记入这些法院的判决书目录中的案件有</w:t>
      </w:r>
      <w:r>
        <w:rPr>
          <w:rFonts w:hint="eastAsia"/>
          <w:color w:val="000000"/>
          <w:szCs w:val="21"/>
        </w:rPr>
        <w:t>80%</w:t>
      </w:r>
      <w:r>
        <w:rPr>
          <w:rFonts w:hint="eastAsia"/>
          <w:color w:val="000000"/>
          <w:szCs w:val="21"/>
        </w:rPr>
        <w:t>是由穆斯林妇女提交的。大多数起诉都与离婚、求偿未付的彩礼和赡养费有关。另外，并</w:t>
      </w:r>
      <w:r>
        <w:rPr>
          <w:rFonts w:hint="eastAsia"/>
          <w:color w:val="000000"/>
          <w:szCs w:val="21"/>
        </w:rPr>
        <w:t>非所有依照《穆斯林属人法》建立的司法辖区都有了组织并指派了法官，这就形成了没有法院可以打官司的状况，并且给巡回法院所判定的索赔（譬如赡养费）的执行增加了麻烦。上诉往往使判决的执行陷入泥沼，因为上诉法院（区级法院）</w:t>
      </w:r>
      <w:r>
        <w:rPr>
          <w:rFonts w:hint="eastAsia"/>
          <w:color w:val="000000"/>
          <w:szCs w:val="21"/>
        </w:rPr>
        <w:t xml:space="preserve"> </w:t>
      </w:r>
      <w:r>
        <w:rPr>
          <w:rFonts w:hint="eastAsia"/>
          <w:color w:val="000000"/>
          <w:szCs w:val="21"/>
        </w:rPr>
        <w:t>没有法官。已经向众议院穆斯林事务委员会提交了一项关于修正《穆斯林属人法》的提案，但是至今尚未提出修正议案。至于沙里亚法院系统的改进，最高法院司法改革行动计划包含了一部分这种形式的具体方案。</w:t>
      </w:r>
    </w:p>
    <w:p w:rsidR="00000000" w:rsidRDefault="00821B8F">
      <w:pPr>
        <w:numPr>
          <w:ilvl w:val="0"/>
          <w:numId w:val="1409"/>
        </w:numPr>
        <w:tabs>
          <w:tab w:val="num" w:pos="1499"/>
        </w:tabs>
        <w:spacing w:after="120" w:line="360" w:lineRule="exact"/>
        <w:ind w:left="540" w:hanging="540"/>
        <w:rPr>
          <w:rFonts w:hint="eastAsia"/>
          <w:color w:val="000000"/>
          <w:szCs w:val="21"/>
        </w:rPr>
      </w:pPr>
      <w:r>
        <w:rPr>
          <w:color w:val="000000"/>
          <w:szCs w:val="21"/>
        </w:rPr>
        <w:t xml:space="preserve"> </w:t>
      </w:r>
      <w:r>
        <w:rPr>
          <w:rFonts w:hint="eastAsia"/>
          <w:color w:val="000000"/>
          <w:szCs w:val="21"/>
        </w:rPr>
        <w:t>旨在保护菲律宾妇女免于在邮购新娘骗局中遭受剥削的第</w:t>
      </w:r>
      <w:r>
        <w:rPr>
          <w:rFonts w:hint="eastAsia"/>
          <w:color w:val="000000"/>
          <w:szCs w:val="21"/>
        </w:rPr>
        <w:t>6955</w:t>
      </w:r>
      <w:r>
        <w:rPr>
          <w:rFonts w:hint="eastAsia"/>
          <w:color w:val="000000"/>
          <w:szCs w:val="21"/>
        </w:rPr>
        <w:t>号共和国法令，即《</w:t>
      </w:r>
      <w:r>
        <w:rPr>
          <w:rFonts w:hint="eastAsia"/>
          <w:color w:val="000000"/>
          <w:szCs w:val="21"/>
        </w:rPr>
        <w:t>1990</w:t>
      </w:r>
      <w:r>
        <w:rPr>
          <w:rFonts w:hint="eastAsia"/>
          <w:color w:val="000000"/>
          <w:szCs w:val="21"/>
        </w:rPr>
        <w:t>年禁止邮购新娘法》已经</w:t>
      </w:r>
      <w:r>
        <w:rPr>
          <w:rFonts w:hint="eastAsia"/>
          <w:color w:val="000000"/>
          <w:szCs w:val="21"/>
        </w:rPr>
        <w:t>通过新技术和种种手法被规避了。互联网的到来导致某些网站宣称可提供笔友会或称“约会服务”。可是，由于这些网站是在菲律宾境外经营的，所以警方极难插手或阻止菲律宾人或外国人获得此类服务。因此，有必要针对这种新技术来更新第</w:t>
      </w:r>
      <w:r>
        <w:rPr>
          <w:rFonts w:hint="eastAsia"/>
          <w:color w:val="000000"/>
          <w:szCs w:val="21"/>
        </w:rPr>
        <w:t>6955</w:t>
      </w:r>
      <w:r>
        <w:rPr>
          <w:rFonts w:hint="eastAsia"/>
          <w:color w:val="000000"/>
          <w:szCs w:val="21"/>
        </w:rPr>
        <w:t>号共和国法令的执法手段。与此同时，随着</w:t>
      </w:r>
      <w:r>
        <w:rPr>
          <w:rFonts w:hint="eastAsia"/>
          <w:color w:val="000000"/>
          <w:szCs w:val="21"/>
        </w:rPr>
        <w:t>1990</w:t>
      </w:r>
      <w:r>
        <w:rPr>
          <w:rFonts w:hint="eastAsia"/>
          <w:color w:val="000000"/>
          <w:szCs w:val="21"/>
        </w:rPr>
        <w:t>年颁布该法令，经常在报纸上出现的商业安排婚姻广告已经销声匿迹了。然而实际上，该法令只是导致那些从事邮购新娘相关生意的人转入地下。据估计，每年大约有</w:t>
      </w:r>
      <w:r>
        <w:rPr>
          <w:rFonts w:hint="eastAsia"/>
          <w:color w:val="000000"/>
          <w:szCs w:val="21"/>
        </w:rPr>
        <w:t xml:space="preserve">1 000 </w:t>
      </w:r>
      <w:r>
        <w:rPr>
          <w:rFonts w:hint="eastAsia"/>
          <w:color w:val="000000"/>
          <w:szCs w:val="21"/>
        </w:rPr>
        <w:t>到</w:t>
      </w:r>
      <w:r>
        <w:rPr>
          <w:rFonts w:hint="eastAsia"/>
          <w:color w:val="000000"/>
          <w:szCs w:val="21"/>
        </w:rPr>
        <w:t xml:space="preserve"> 2 000 </w:t>
      </w:r>
      <w:r>
        <w:rPr>
          <w:rFonts w:hint="eastAsia"/>
          <w:color w:val="000000"/>
          <w:szCs w:val="21"/>
        </w:rPr>
        <w:t>名妇女上了邮购代理的名单。正如菲律宾根据《妇女公约》提交的第四次定期报</w:t>
      </w:r>
      <w:r>
        <w:rPr>
          <w:rFonts w:hint="eastAsia"/>
          <w:color w:val="000000"/>
          <w:szCs w:val="21"/>
        </w:rPr>
        <w:t>告所援引的，她们几乎全都以婚姻为结局。</w:t>
      </w:r>
    </w:p>
    <w:p w:rsidR="00000000" w:rsidRDefault="00821B8F">
      <w:pPr>
        <w:spacing w:after="120" w:line="360" w:lineRule="exact"/>
        <w:jc w:val="center"/>
        <w:rPr>
          <w:color w:val="000000"/>
          <w:szCs w:val="21"/>
        </w:rPr>
      </w:pPr>
      <w:r>
        <w:rPr>
          <w:rFonts w:hint="eastAsia"/>
          <w:color w:val="000000"/>
          <w:szCs w:val="21"/>
        </w:rPr>
        <w:t xml:space="preserve">    </w:t>
      </w:r>
    </w:p>
    <w:p w:rsidR="00000000" w:rsidRDefault="00821B8F">
      <w:pPr>
        <w:pStyle w:val="TOC1"/>
        <w:spacing w:before="120"/>
        <w:rPr>
          <w:rFonts w:ascii="SimHei" w:hint="eastAsia"/>
        </w:rPr>
      </w:pPr>
      <w:r>
        <w:rPr>
          <w:color w:val="000000"/>
          <w:sz w:val="21"/>
          <w:szCs w:val="21"/>
        </w:rPr>
        <w:br w:type="page"/>
      </w:r>
      <w:r>
        <w:rPr>
          <w:rFonts w:ascii="SimHei" w:hint="eastAsia"/>
        </w:rPr>
        <w:t>参考文献</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Abitona, Cheryl T.</w:t>
      </w:r>
      <w:r>
        <w:rPr>
          <w:rFonts w:ascii="Times New Roman" w:hint="eastAsia"/>
          <w:color w:val="000000"/>
          <w:sz w:val="21"/>
          <w:szCs w:val="21"/>
          <w:lang w:val="en-GB"/>
        </w:rPr>
        <w:t>，</w:t>
      </w:r>
      <w:r>
        <w:rPr>
          <w:rFonts w:ascii="Times New Roman" w:hint="eastAsia"/>
          <w:color w:val="000000"/>
          <w:sz w:val="21"/>
          <w:szCs w:val="21"/>
        </w:rPr>
        <w:t>2002</w:t>
      </w:r>
      <w:r>
        <w:rPr>
          <w:rFonts w:ascii="Times New Roman" w:hint="eastAsia"/>
          <w:color w:val="000000"/>
          <w:sz w:val="21"/>
          <w:szCs w:val="21"/>
        </w:rPr>
        <w:t>年。《儿童加入摩洛人伊斯兰解放阵线》，在菲律宾妇女研究学会第三次全国会议上宣读的论文，卡加延德奥罗，</w:t>
      </w:r>
      <w:r>
        <w:rPr>
          <w:rFonts w:ascii="Times New Roman" w:hint="eastAsia"/>
          <w:color w:val="000000"/>
          <w:sz w:val="21"/>
          <w:szCs w:val="21"/>
        </w:rPr>
        <w:t>3</w:t>
      </w:r>
      <w:r>
        <w:rPr>
          <w:rFonts w:ascii="Times New Roman" w:hint="eastAsia"/>
          <w:color w:val="000000"/>
          <w:sz w:val="21"/>
          <w:szCs w:val="21"/>
        </w:rPr>
        <w:t>月</w:t>
      </w:r>
      <w:r>
        <w:rPr>
          <w:rFonts w:ascii="Times New Roman" w:hint="eastAsia"/>
          <w:color w:val="000000"/>
          <w:sz w:val="21"/>
          <w:szCs w:val="21"/>
        </w:rPr>
        <w:t>4</w:t>
      </w:r>
      <w:r>
        <w:rPr>
          <w:rFonts w:ascii="Times New Roman" w:hint="eastAsia"/>
          <w:color w:val="000000"/>
          <w:sz w:val="21"/>
          <w:szCs w:val="21"/>
        </w:rPr>
        <w:t>日至</w:t>
      </w:r>
      <w:r>
        <w:rPr>
          <w:rFonts w:ascii="Times New Roman" w:hint="eastAsia"/>
          <w:color w:val="000000"/>
          <w:sz w:val="21"/>
          <w:szCs w:val="21"/>
        </w:rPr>
        <w:t>6</w:t>
      </w:r>
      <w:r>
        <w:rPr>
          <w:rFonts w:ascii="Times New Roman" w:hint="eastAsia"/>
          <w:color w:val="000000"/>
          <w:sz w:val="21"/>
          <w:szCs w:val="21"/>
        </w:rPr>
        <w:t>日。</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Aganon, Marie</w:t>
      </w:r>
      <w:r>
        <w:rPr>
          <w:rFonts w:ascii="Times New Roman" w:hint="eastAsia"/>
          <w:color w:val="000000"/>
          <w:sz w:val="21"/>
          <w:szCs w:val="21"/>
          <w:lang w:val="en-GB"/>
        </w:rPr>
        <w:t>，</w:t>
      </w:r>
      <w:r>
        <w:rPr>
          <w:rFonts w:ascii="Times New Roman" w:hint="eastAsia"/>
          <w:color w:val="000000"/>
          <w:sz w:val="21"/>
          <w:szCs w:val="21"/>
        </w:rPr>
        <w:t>1999</w:t>
      </w:r>
      <w:r>
        <w:rPr>
          <w:rFonts w:ascii="Times New Roman" w:hint="eastAsia"/>
          <w:color w:val="000000"/>
          <w:sz w:val="21"/>
          <w:szCs w:val="21"/>
        </w:rPr>
        <w:t>年。“正规部门的女工和工会：适应危机”，摘自《承载世界负担：妇女对危机对妇女和女孩影响的思考》，编辑：</w:t>
      </w:r>
      <w:r>
        <w:rPr>
          <w:rFonts w:ascii="Times New Roman" w:hint="eastAsia"/>
          <w:color w:val="000000"/>
          <w:sz w:val="21"/>
          <w:szCs w:val="21"/>
        </w:rPr>
        <w:t>Jeanne Frances I</w:t>
      </w:r>
      <w:r>
        <w:rPr>
          <w:rFonts w:ascii="Times New Roman"/>
          <w:color w:val="000000"/>
          <w:sz w:val="21"/>
          <w:szCs w:val="21"/>
        </w:rPr>
        <w:t>.</w:t>
      </w:r>
      <w:r>
        <w:rPr>
          <w:rFonts w:ascii="Times New Roman" w:hint="eastAsia"/>
          <w:color w:val="000000"/>
          <w:sz w:val="21"/>
          <w:szCs w:val="21"/>
        </w:rPr>
        <w:t>、</w:t>
      </w:r>
      <w:r>
        <w:rPr>
          <w:rFonts w:ascii="Times New Roman" w:hint="eastAsia"/>
          <w:color w:val="000000"/>
          <w:sz w:val="21"/>
          <w:szCs w:val="21"/>
        </w:rPr>
        <w:t>Illo</w:t>
      </w:r>
      <w:r>
        <w:rPr>
          <w:rFonts w:ascii="Times New Roman" w:hint="eastAsia"/>
          <w:color w:val="000000"/>
          <w:sz w:val="21"/>
          <w:szCs w:val="21"/>
        </w:rPr>
        <w:t>和</w:t>
      </w:r>
      <w:r>
        <w:rPr>
          <w:rFonts w:ascii="Times New Roman" w:hint="eastAsia"/>
          <w:color w:val="000000"/>
          <w:sz w:val="21"/>
          <w:szCs w:val="21"/>
        </w:rPr>
        <w:t>Rosalinda Pineda Ofreneo</w:t>
      </w:r>
      <w:r>
        <w:rPr>
          <w:rFonts w:ascii="Times New Roman" w:hint="eastAsia"/>
          <w:color w:val="000000"/>
          <w:sz w:val="21"/>
          <w:szCs w:val="21"/>
        </w:rPr>
        <w:t>。奎松市：菲律宾大学综合发展研究中心。</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lang w:val="de-AT"/>
        </w:rPr>
        <w:t>Alba, M</w:t>
      </w:r>
      <w:r>
        <w:rPr>
          <w:rFonts w:ascii="Times New Roman" w:hint="eastAsia"/>
          <w:color w:val="000000"/>
          <w:sz w:val="21"/>
          <w:szCs w:val="21"/>
          <w:lang w:val="de-AT"/>
        </w:rPr>
        <w:t>ichael M.</w:t>
      </w:r>
      <w:r>
        <w:rPr>
          <w:rFonts w:ascii="Times New Roman" w:hint="eastAsia"/>
          <w:color w:val="000000"/>
          <w:sz w:val="21"/>
          <w:szCs w:val="21"/>
          <w:lang w:val="de-AT"/>
        </w:rPr>
        <w:t>，未标明日期。《工资分配与结构及其对两性间和产业间工资差异的影响》，提交菲律宾亚太经合组织研究</w:t>
      </w:r>
      <w:r>
        <w:rPr>
          <w:rFonts w:ascii="Times New Roman" w:hint="eastAsia"/>
          <w:color w:val="000000"/>
          <w:sz w:val="21"/>
          <w:szCs w:val="21"/>
        </w:rPr>
        <w:t>中心</w:t>
      </w:r>
      <w:r>
        <w:rPr>
          <w:rFonts w:ascii="Times New Roman" w:hint="eastAsia"/>
          <w:color w:val="000000"/>
          <w:sz w:val="21"/>
          <w:szCs w:val="21"/>
          <w:lang w:val="de-AT"/>
        </w:rPr>
        <w:t>的研究报告。</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Alcid, Mary Lou L.</w:t>
      </w:r>
      <w:r>
        <w:rPr>
          <w:rFonts w:ascii="Times New Roman" w:hint="eastAsia"/>
          <w:color w:val="000000"/>
          <w:sz w:val="21"/>
          <w:szCs w:val="21"/>
          <w:lang w:val="en-GB"/>
        </w:rPr>
        <w:t>，</w:t>
      </w:r>
      <w:r>
        <w:rPr>
          <w:rFonts w:ascii="Times New Roman" w:hint="eastAsia"/>
          <w:color w:val="000000"/>
          <w:sz w:val="21"/>
          <w:szCs w:val="21"/>
        </w:rPr>
        <w:t>2002</w:t>
      </w:r>
      <w:r>
        <w:rPr>
          <w:rFonts w:ascii="Times New Roman" w:hint="eastAsia"/>
          <w:color w:val="000000"/>
          <w:sz w:val="21"/>
          <w:szCs w:val="21"/>
        </w:rPr>
        <w:t>年。“亚洲金融和经济危机四年后菲律宾工人在海外就业的趋势”，摘自《承载世界负担：妇女对危机对妇女和女孩影响的思考》，编辑：</w:t>
      </w:r>
      <w:r>
        <w:rPr>
          <w:rFonts w:ascii="Times New Roman" w:hint="eastAsia"/>
          <w:color w:val="000000"/>
          <w:sz w:val="21"/>
          <w:szCs w:val="21"/>
        </w:rPr>
        <w:t>Jeanne Frances I</w:t>
      </w:r>
      <w:r>
        <w:rPr>
          <w:rFonts w:ascii="Times New Roman"/>
          <w:color w:val="000000"/>
          <w:sz w:val="21"/>
          <w:szCs w:val="21"/>
        </w:rPr>
        <w:t>.</w:t>
      </w:r>
      <w:r>
        <w:rPr>
          <w:rFonts w:ascii="Times New Roman" w:hint="eastAsia"/>
          <w:color w:val="000000"/>
          <w:sz w:val="21"/>
          <w:szCs w:val="21"/>
        </w:rPr>
        <w:t>、</w:t>
      </w:r>
      <w:r>
        <w:rPr>
          <w:rFonts w:ascii="Times New Roman" w:hint="eastAsia"/>
          <w:color w:val="000000"/>
          <w:sz w:val="21"/>
          <w:szCs w:val="21"/>
        </w:rPr>
        <w:t>Illo</w:t>
      </w:r>
      <w:r>
        <w:rPr>
          <w:rFonts w:ascii="Times New Roman" w:hint="eastAsia"/>
          <w:color w:val="000000"/>
          <w:sz w:val="21"/>
          <w:szCs w:val="21"/>
        </w:rPr>
        <w:t>和</w:t>
      </w:r>
      <w:r>
        <w:rPr>
          <w:rFonts w:ascii="Times New Roman" w:hint="eastAsia"/>
          <w:color w:val="000000"/>
          <w:sz w:val="21"/>
          <w:szCs w:val="21"/>
        </w:rPr>
        <w:t>Rosalinda Pineda Ofreneo</w:t>
      </w:r>
      <w:r>
        <w:rPr>
          <w:rFonts w:ascii="Times New Roman" w:hint="eastAsia"/>
          <w:color w:val="000000"/>
          <w:sz w:val="21"/>
          <w:szCs w:val="21"/>
        </w:rPr>
        <w:t>，最新版本。奎松市：菲律宾大学综合发展研究中心。</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大赦国际</w:t>
      </w:r>
      <w:r>
        <w:rPr>
          <w:rFonts w:ascii="Times New Roman" w:hint="eastAsia"/>
          <w:color w:val="000000"/>
          <w:sz w:val="21"/>
        </w:rPr>
        <w:t>,</w:t>
      </w:r>
      <w:r>
        <w:rPr>
          <w:rFonts w:ascii="Times New Roman" w:hint="eastAsia"/>
          <w:color w:val="000000"/>
          <w:sz w:val="21"/>
        </w:rPr>
        <w:t>《</w:t>
      </w:r>
      <w:r>
        <w:rPr>
          <w:rFonts w:ascii="Times New Roman" w:hint="eastAsia"/>
          <w:color w:val="000000"/>
          <w:sz w:val="21"/>
        </w:rPr>
        <w:t xml:space="preserve"> 2000</w:t>
      </w:r>
      <w:r>
        <w:rPr>
          <w:rFonts w:ascii="Times New Roman" w:hint="eastAsia"/>
          <w:color w:val="000000"/>
          <w:sz w:val="21"/>
        </w:rPr>
        <w:t>年</w:t>
      </w:r>
      <w:r>
        <w:rPr>
          <w:rFonts w:ascii="Times New Roman" w:hint="eastAsia"/>
          <w:color w:val="000000"/>
          <w:sz w:val="21"/>
        </w:rPr>
        <w:t>1</w:t>
      </w:r>
      <w:r>
        <w:rPr>
          <w:rFonts w:ascii="Times New Roman" w:hint="eastAsia"/>
          <w:color w:val="000000"/>
          <w:sz w:val="21"/>
        </w:rPr>
        <w:t>月至</w:t>
      </w:r>
      <w:r>
        <w:rPr>
          <w:rFonts w:ascii="Times New Roman" w:hint="eastAsia"/>
          <w:color w:val="000000"/>
          <w:sz w:val="21"/>
        </w:rPr>
        <w:t>12</w:t>
      </w:r>
      <w:r>
        <w:rPr>
          <w:rFonts w:ascii="Times New Roman" w:hint="eastAsia"/>
          <w:color w:val="000000"/>
          <w:sz w:val="21"/>
        </w:rPr>
        <w:t>月期间的报告》，</w:t>
      </w:r>
      <w:r>
        <w:rPr>
          <w:rFonts w:ascii="Times New Roman" w:hint="eastAsia"/>
          <w:color w:val="000000"/>
          <w:sz w:val="21"/>
        </w:rPr>
        <w:t>2001</w:t>
      </w:r>
      <w:r>
        <w:rPr>
          <w:rFonts w:ascii="Times New Roman" w:hint="eastAsia"/>
          <w:color w:val="000000"/>
          <w:sz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rPr>
        <w:t>亚太经</w:t>
      </w:r>
      <w:r>
        <w:rPr>
          <w:rFonts w:ascii="Times New Roman" w:hint="eastAsia"/>
          <w:color w:val="000000"/>
          <w:sz w:val="21"/>
        </w:rPr>
        <w:t>济合作组织，</w:t>
      </w:r>
      <w:r>
        <w:rPr>
          <w:rFonts w:ascii="Times New Roman" w:hint="eastAsia"/>
          <w:color w:val="000000"/>
          <w:sz w:val="21"/>
        </w:rPr>
        <w:t>2002</w:t>
      </w:r>
      <w:r>
        <w:rPr>
          <w:rFonts w:ascii="Times New Roman" w:hint="eastAsia"/>
          <w:color w:val="000000"/>
          <w:sz w:val="21"/>
        </w:rPr>
        <w:t>年《贸易自由化的性别影响：从菲律宾和新西兰的经验中发现的问题》，菲律宾（妇女委员会和米丽亚姆大学妇女和性别研究所）和新西兰为第二次妇女问题部长级会议合作编写的未出版背景文件。墨西哥，瓜达拉加拉，</w:t>
      </w:r>
      <w:r>
        <w:rPr>
          <w:rFonts w:ascii="Times New Roman" w:hint="eastAsia"/>
          <w:color w:val="000000"/>
          <w:sz w:val="21"/>
        </w:rPr>
        <w:t>9</w:t>
      </w:r>
      <w:r>
        <w:rPr>
          <w:rFonts w:ascii="Times New Roman" w:hint="eastAsia"/>
          <w:color w:val="000000"/>
          <w:sz w:val="21"/>
        </w:rPr>
        <w:t>月。</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亚洲基金会（</w:t>
      </w:r>
      <w:r>
        <w:rPr>
          <w:rFonts w:ascii="Times New Roman" w:hint="eastAsia"/>
          <w:color w:val="000000"/>
          <w:sz w:val="21"/>
        </w:rPr>
        <w:t>2002</w:t>
      </w:r>
      <w:r>
        <w:rPr>
          <w:rFonts w:ascii="Times New Roman" w:hint="eastAsia"/>
          <w:color w:val="000000"/>
          <w:sz w:val="21"/>
        </w:rPr>
        <w:t>年），</w:t>
      </w:r>
      <w:hyperlink r:id="rId15" w:history="1">
        <w:r>
          <w:rPr>
            <w:rStyle w:val="Hyperlink"/>
            <w:rFonts w:ascii="Times New Roman" w:hint="eastAsia"/>
            <w:color w:val="000000"/>
            <w:sz w:val="21"/>
            <w:szCs w:val="21"/>
          </w:rPr>
          <w:t>http://www.asiafoundation.org</w:t>
        </w:r>
      </w:hyperlink>
      <w:r>
        <w:rPr>
          <w:rFonts w:ascii="Times New Roman" w:hint="eastAsia"/>
          <w:color w:val="000000"/>
          <w:sz w:val="21"/>
        </w:rPr>
        <w:t>。</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亚洲开发银行，</w:t>
      </w:r>
      <w:r>
        <w:rPr>
          <w:rFonts w:ascii="Times New Roman" w:hint="eastAsia"/>
          <w:color w:val="000000"/>
          <w:sz w:val="21"/>
          <w:szCs w:val="21"/>
        </w:rPr>
        <w:t>2001</w:t>
      </w:r>
      <w:r>
        <w:rPr>
          <w:rFonts w:ascii="Times New Roman" w:hint="eastAsia"/>
          <w:color w:val="000000"/>
          <w:sz w:val="21"/>
          <w:szCs w:val="21"/>
        </w:rPr>
        <w:t>年。《</w:t>
      </w:r>
      <w:r>
        <w:rPr>
          <w:rFonts w:ascii="Times New Roman" w:hint="eastAsia"/>
          <w:color w:val="000000"/>
          <w:sz w:val="21"/>
          <w:szCs w:val="21"/>
        </w:rPr>
        <w:t>2001</w:t>
      </w:r>
      <w:r>
        <w:rPr>
          <w:rFonts w:ascii="Times New Roman" w:hint="eastAsia"/>
          <w:color w:val="000000"/>
          <w:sz w:val="21"/>
          <w:szCs w:val="21"/>
        </w:rPr>
        <w:t>年关键指标：亚太地区的发展和变化》。纽约：牛津大学出版社为亚洲开发银行出</w:t>
      </w:r>
      <w:r>
        <w:rPr>
          <w:rFonts w:ascii="Times New Roman" w:hint="eastAsia"/>
          <w:color w:val="000000"/>
          <w:sz w:val="21"/>
          <w:szCs w:val="21"/>
        </w:rPr>
        <w:t>版。</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 xml:space="preserve"> </w:t>
      </w:r>
      <w:r>
        <w:rPr>
          <w:rFonts w:ascii="Times New Roman" w:hint="eastAsia"/>
          <w:color w:val="000000"/>
          <w:sz w:val="21"/>
          <w:szCs w:val="21"/>
        </w:rPr>
        <w:t>亚洲开发银行</w:t>
      </w:r>
      <w:r>
        <w:rPr>
          <w:rFonts w:ascii="Times New Roman" w:hint="eastAsia"/>
          <w:color w:val="000000"/>
          <w:sz w:val="21"/>
          <w:szCs w:val="21"/>
        </w:rPr>
        <w:t>/</w:t>
      </w:r>
      <w:r>
        <w:rPr>
          <w:rFonts w:ascii="Times New Roman" w:hint="eastAsia"/>
          <w:color w:val="000000"/>
          <w:sz w:val="21"/>
          <w:szCs w:val="21"/>
        </w:rPr>
        <w:t>世界银行，</w:t>
      </w:r>
      <w:r>
        <w:rPr>
          <w:rFonts w:ascii="Times New Roman" w:hint="eastAsia"/>
          <w:color w:val="000000"/>
          <w:sz w:val="21"/>
          <w:szCs w:val="21"/>
        </w:rPr>
        <w:t>1999</w:t>
      </w:r>
      <w:r>
        <w:rPr>
          <w:rFonts w:ascii="Times New Roman" w:hint="eastAsia"/>
          <w:color w:val="000000"/>
          <w:sz w:val="21"/>
          <w:szCs w:val="21"/>
        </w:rPr>
        <w:t>年。《二十一世纪的菲律宾教育：菲律宾教育部门调查》，世界银行和亚洲开发银行与菲律宾政府</w:t>
      </w:r>
      <w:r>
        <w:rPr>
          <w:rFonts w:ascii="Times New Roman" w:hint="eastAsia"/>
          <w:color w:val="000000"/>
          <w:sz w:val="21"/>
          <w:szCs w:val="21"/>
        </w:rPr>
        <w:t>DECS</w:t>
      </w:r>
      <w:r>
        <w:rPr>
          <w:rFonts w:ascii="Times New Roman" w:hint="eastAsia"/>
          <w:color w:val="000000"/>
          <w:sz w:val="21"/>
          <w:szCs w:val="21"/>
        </w:rPr>
        <w:t>、高等教育委员会、技术教育和技能发展管理局及国家经济和发展管理局联合完成的研究报告。马尼拉：亚洲开发银行和世界银行。</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亚洲周刊，</w:t>
      </w:r>
      <w:r>
        <w:rPr>
          <w:rFonts w:ascii="Times New Roman" w:hint="eastAsia"/>
          <w:color w:val="000000"/>
          <w:sz w:val="21"/>
          <w:szCs w:val="21"/>
        </w:rPr>
        <w:t>1997</w:t>
      </w:r>
      <w:r>
        <w:rPr>
          <w:rFonts w:ascii="Times New Roman" w:hint="eastAsia"/>
          <w:color w:val="000000"/>
          <w:sz w:val="21"/>
          <w:szCs w:val="21"/>
        </w:rPr>
        <w:t>年</w:t>
      </w:r>
      <w:r>
        <w:rPr>
          <w:rFonts w:ascii="Times New Roman" w:hint="eastAsia"/>
          <w:color w:val="000000"/>
          <w:sz w:val="21"/>
          <w:szCs w:val="21"/>
        </w:rPr>
        <w:t>1</w:t>
      </w:r>
      <w:r>
        <w:rPr>
          <w:rFonts w:ascii="Times New Roman" w:hint="eastAsia"/>
          <w:color w:val="000000"/>
          <w:sz w:val="21"/>
          <w:szCs w:val="21"/>
        </w:rPr>
        <w:t>月和</w:t>
      </w:r>
      <w:r>
        <w:rPr>
          <w:rFonts w:ascii="Times New Roman" w:hint="eastAsia"/>
          <w:color w:val="000000"/>
          <w:sz w:val="21"/>
          <w:szCs w:val="21"/>
        </w:rPr>
        <w:t>2001</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Barros-</w:t>
      </w:r>
      <w:r>
        <w:rPr>
          <w:rFonts w:ascii="Times New Roman" w:hint="eastAsia"/>
          <w:color w:val="000000"/>
          <w:sz w:val="21"/>
          <w:szCs w:val="21"/>
        </w:rPr>
        <w:t>Deveza</w:t>
      </w:r>
      <w:r>
        <w:rPr>
          <w:rFonts w:ascii="Times New Roman" w:hint="eastAsia"/>
          <w:color w:val="000000"/>
          <w:sz w:val="21"/>
        </w:rPr>
        <w:t>、</w:t>
      </w:r>
      <w:r>
        <w:rPr>
          <w:rFonts w:ascii="Times New Roman" w:hint="eastAsia"/>
          <w:color w:val="000000"/>
          <w:sz w:val="21"/>
        </w:rPr>
        <w:t>Teresita</w:t>
      </w:r>
      <w:r>
        <w:rPr>
          <w:rFonts w:ascii="Times New Roman" w:hint="eastAsia"/>
          <w:color w:val="000000"/>
          <w:sz w:val="21"/>
        </w:rPr>
        <w:t>。《对妇女儿童的暴力：使用警方统计资料和全国调查资料的计量方法》，</w:t>
      </w:r>
      <w:r>
        <w:rPr>
          <w:rFonts w:ascii="Times New Roman" w:hint="eastAsia"/>
          <w:color w:val="000000"/>
          <w:sz w:val="21"/>
        </w:rPr>
        <w:t>2001</w:t>
      </w:r>
      <w:r>
        <w:rPr>
          <w:rFonts w:ascii="Times New Roman" w:hint="eastAsia"/>
          <w:color w:val="000000"/>
          <w:sz w:val="21"/>
        </w:rPr>
        <w:t>年。</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菲律宾的儿童性虐待和性剥削基准调查，</w:t>
      </w:r>
      <w:r>
        <w:rPr>
          <w:rFonts w:ascii="Times New Roman" w:hint="eastAsia"/>
          <w:color w:val="000000"/>
          <w:sz w:val="21"/>
        </w:rPr>
        <w:t>1998</w:t>
      </w:r>
      <w:r>
        <w:rPr>
          <w:rFonts w:ascii="Times New Roman" w:hint="eastAsia"/>
          <w:color w:val="000000"/>
          <w:sz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劳动和就业统计局，</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a</w:t>
      </w:r>
      <w:r>
        <w:rPr>
          <w:rFonts w:ascii="Times New Roman" w:hint="eastAsia"/>
          <w:color w:val="000000"/>
          <w:sz w:val="21"/>
          <w:szCs w:val="21"/>
        </w:rPr>
        <w:t>。《重要劳工统计</w:t>
      </w:r>
      <w:r>
        <w:rPr>
          <w:rFonts w:ascii="Times New Roman" w:hint="eastAsia"/>
          <w:color w:val="000000"/>
          <w:sz w:val="21"/>
          <w:szCs w:val="21"/>
        </w:rPr>
        <w:t>资料》，最新版本，</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8</w:t>
      </w:r>
      <w:r>
        <w:rPr>
          <w:rFonts w:ascii="Times New Roman" w:hint="eastAsia"/>
          <w:color w:val="000000"/>
          <w:sz w:val="21"/>
          <w:szCs w:val="21"/>
        </w:rPr>
        <w:t>月</w:t>
      </w:r>
      <w:r>
        <w:rPr>
          <w:rFonts w:ascii="Times New Roman" w:hint="eastAsia"/>
          <w:color w:val="000000"/>
          <w:sz w:val="21"/>
          <w:szCs w:val="21"/>
        </w:rPr>
        <w:t>1</w:t>
      </w:r>
      <w:r>
        <w:rPr>
          <w:rFonts w:ascii="Times New Roman" w:hint="eastAsia"/>
          <w:color w:val="000000"/>
          <w:sz w:val="21"/>
          <w:szCs w:val="21"/>
        </w:rPr>
        <w:t>日。</w:t>
      </w:r>
      <w:r>
        <w:rPr>
          <w:rFonts w:ascii="Times New Roman" w:hint="eastAsia"/>
          <w:color w:val="000000"/>
          <w:sz w:val="21"/>
          <w:szCs w:val="21"/>
        </w:rPr>
        <w:t xml:space="preserve"> </w:t>
      </w:r>
      <w:hyperlink r:id="rId16" w:history="1">
        <w:r>
          <w:rPr>
            <w:rStyle w:val="Hyperlink"/>
            <w:rFonts w:ascii="Times New Roman" w:hint="eastAsia"/>
            <w:color w:val="000000"/>
            <w:sz w:val="21"/>
            <w:szCs w:val="21"/>
          </w:rPr>
          <w:t>http://www.manila-online.net/bles</w:t>
        </w:r>
      </w:hyperlink>
      <w:r>
        <w:rPr>
          <w:rFonts w:ascii="Times New Roman" w:hint="eastAsia"/>
          <w:color w:val="000000"/>
          <w:sz w:val="21"/>
          <w:szCs w:val="21"/>
        </w:rPr>
        <w:t>。</w:t>
      </w:r>
      <w:r>
        <w:rPr>
          <w:rFonts w:ascii="Times New Roman" w:hint="eastAsia"/>
          <w:color w:val="000000"/>
          <w:sz w:val="21"/>
          <w:szCs w:val="21"/>
        </w:rPr>
        <w:t xml:space="preserve">8 </w:t>
      </w:r>
      <w:r>
        <w:rPr>
          <w:rFonts w:ascii="Times New Roman" w:hint="eastAsia"/>
          <w:color w:val="000000"/>
          <w:sz w:val="21"/>
          <w:szCs w:val="21"/>
        </w:rPr>
        <w:t>月</w:t>
      </w:r>
      <w:r>
        <w:rPr>
          <w:rFonts w:ascii="Times New Roman" w:hint="eastAsia"/>
          <w:color w:val="000000"/>
          <w:sz w:val="21"/>
          <w:szCs w:val="21"/>
        </w:rPr>
        <w:t>3</w:t>
      </w:r>
      <w:r>
        <w:rPr>
          <w:rFonts w:ascii="Times New Roman" w:hint="eastAsia"/>
          <w:color w:val="000000"/>
          <w:sz w:val="21"/>
          <w:szCs w:val="21"/>
        </w:rPr>
        <w:t>日上网查阅。</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b</w:t>
      </w:r>
      <w:r>
        <w:rPr>
          <w:rFonts w:ascii="Times New Roman" w:hint="eastAsia"/>
          <w:color w:val="000000"/>
          <w:sz w:val="21"/>
          <w:szCs w:val="21"/>
        </w:rPr>
        <w:t>。《最新劳工统计数据：非全时工人》，第</w:t>
      </w:r>
      <w:r>
        <w:rPr>
          <w:rFonts w:ascii="Times New Roman" w:hint="eastAsia"/>
          <w:color w:val="000000"/>
          <w:sz w:val="21"/>
          <w:szCs w:val="21"/>
        </w:rPr>
        <w:t>7</w:t>
      </w:r>
      <w:r>
        <w:rPr>
          <w:rFonts w:ascii="Times New Roman" w:hint="eastAsia"/>
          <w:color w:val="000000"/>
          <w:sz w:val="21"/>
          <w:szCs w:val="21"/>
        </w:rPr>
        <w:t>卷，第</w:t>
      </w:r>
      <w:r>
        <w:rPr>
          <w:rFonts w:ascii="Times New Roman" w:hint="eastAsia"/>
          <w:color w:val="000000"/>
          <w:sz w:val="21"/>
          <w:szCs w:val="21"/>
        </w:rPr>
        <w:t>6</w:t>
      </w:r>
      <w:r>
        <w:rPr>
          <w:rFonts w:ascii="Times New Roman" w:hint="eastAsia"/>
          <w:color w:val="000000"/>
          <w:sz w:val="21"/>
          <w:szCs w:val="21"/>
        </w:rPr>
        <w:t>期，</w:t>
      </w:r>
      <w:r>
        <w:rPr>
          <w:rFonts w:ascii="Times New Roman" w:hint="eastAsia"/>
          <w:color w:val="000000"/>
          <w:sz w:val="21"/>
          <w:szCs w:val="21"/>
        </w:rPr>
        <w:t>5</w:t>
      </w:r>
      <w:r>
        <w:rPr>
          <w:rFonts w:ascii="Times New Roman" w:hint="eastAsia"/>
          <w:color w:val="000000"/>
          <w:sz w:val="21"/>
          <w:szCs w:val="21"/>
        </w:rPr>
        <w:t>月。</w:t>
      </w:r>
      <w:r>
        <w:rPr>
          <w:rFonts w:ascii="Times New Roman" w:hint="eastAsia"/>
          <w:color w:val="000000"/>
          <w:sz w:val="21"/>
          <w:szCs w:val="21"/>
        </w:rPr>
        <w:t xml:space="preserve"> </w:t>
      </w:r>
      <w:r>
        <w:rPr>
          <w:rFonts w:ascii="Times New Roman" w:hint="eastAsia"/>
          <w:color w:val="000000"/>
          <w:sz w:val="21"/>
          <w:szCs w:val="21"/>
          <w:u w:val="single"/>
        </w:rPr>
        <w:t>http://www.manila-online.net/bles</w:t>
      </w:r>
      <w:r>
        <w:rPr>
          <w:rFonts w:ascii="Times New Roman" w:hint="eastAsia"/>
          <w:color w:val="000000"/>
          <w:sz w:val="21"/>
          <w:szCs w:val="21"/>
        </w:rPr>
        <w:t>。</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c</w:t>
      </w:r>
      <w:r>
        <w:rPr>
          <w:rFonts w:ascii="Times New Roman" w:hint="eastAsia"/>
          <w:color w:val="000000"/>
          <w:sz w:val="21"/>
          <w:szCs w:val="21"/>
        </w:rPr>
        <w:t>。《</w:t>
      </w:r>
      <w:r>
        <w:rPr>
          <w:rFonts w:ascii="Times New Roman" w:hint="eastAsia"/>
          <w:color w:val="000000"/>
          <w:sz w:val="21"/>
          <w:szCs w:val="21"/>
        </w:rPr>
        <w:t>2001</w:t>
      </w:r>
      <w:r>
        <w:rPr>
          <w:rFonts w:ascii="Times New Roman" w:hint="eastAsia"/>
          <w:color w:val="000000"/>
          <w:sz w:val="21"/>
          <w:szCs w:val="21"/>
        </w:rPr>
        <w:t>年最新的劳工和就业性别统计》，劳动和就业统计局出版物光盘。马尼拉：劳工</w:t>
      </w:r>
      <w:r>
        <w:rPr>
          <w:rFonts w:ascii="Times New Roman" w:hint="eastAsia"/>
          <w:color w:val="000000"/>
          <w:sz w:val="21"/>
          <w:szCs w:val="21"/>
        </w:rPr>
        <w:t>和就业部劳动和就业统计局，</w:t>
      </w:r>
      <w:r>
        <w:rPr>
          <w:rFonts w:ascii="Times New Roman" w:hint="eastAsia"/>
          <w:color w:val="000000"/>
          <w:sz w:val="21"/>
          <w:szCs w:val="21"/>
        </w:rPr>
        <w:t>2</w:t>
      </w:r>
      <w:r>
        <w:rPr>
          <w:rFonts w:ascii="Times New Roman" w:hint="eastAsia"/>
          <w:color w:val="000000"/>
          <w:sz w:val="21"/>
          <w:szCs w:val="21"/>
        </w:rPr>
        <w:t>月。</w:t>
      </w:r>
      <w:r>
        <w:rPr>
          <w:rFonts w:ascii="Times New Roman" w:hint="eastAsia"/>
          <w:color w:val="000000"/>
          <w:sz w:val="21"/>
          <w:szCs w:val="21"/>
        </w:rPr>
        <w:t xml:space="preserve"> </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d</w:t>
      </w:r>
      <w:r>
        <w:rPr>
          <w:rFonts w:ascii="Times New Roman" w:hint="eastAsia"/>
          <w:color w:val="000000"/>
          <w:sz w:val="21"/>
          <w:szCs w:val="21"/>
        </w:rPr>
        <w:t>。《</w:t>
      </w:r>
      <w:r>
        <w:rPr>
          <w:rFonts w:ascii="Times New Roman" w:hint="eastAsia"/>
          <w:color w:val="000000"/>
          <w:sz w:val="21"/>
          <w:szCs w:val="21"/>
        </w:rPr>
        <w:t>2002</w:t>
      </w:r>
      <w:r>
        <w:rPr>
          <w:rFonts w:ascii="Times New Roman" w:hint="eastAsia"/>
          <w:color w:val="000000"/>
          <w:sz w:val="21"/>
          <w:szCs w:val="21"/>
        </w:rPr>
        <w:t>年劳工统计年鉴》，劳动和就业统计局出版物光盘。马尼拉：劳工和就业部劳动和就业统计局，</w:t>
      </w:r>
      <w:r>
        <w:rPr>
          <w:rFonts w:ascii="Times New Roman" w:hint="eastAsia"/>
          <w:color w:val="000000"/>
          <w:sz w:val="21"/>
          <w:szCs w:val="21"/>
        </w:rPr>
        <w:t>2</w:t>
      </w:r>
      <w:r>
        <w:rPr>
          <w:rFonts w:ascii="Times New Roman" w:hint="eastAsia"/>
          <w:color w:val="000000"/>
          <w:sz w:val="21"/>
          <w:szCs w:val="21"/>
        </w:rPr>
        <w:t>月。</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2002</w:t>
      </w:r>
      <w:r>
        <w:rPr>
          <w:rFonts w:ascii="Times New Roman" w:hint="eastAsia"/>
          <w:color w:val="000000"/>
          <w:sz w:val="21"/>
        </w:rPr>
        <w:t>年。《</w:t>
      </w:r>
      <w:r>
        <w:rPr>
          <w:rFonts w:ascii="Times New Roman" w:hint="eastAsia"/>
          <w:color w:val="000000"/>
          <w:sz w:val="21"/>
        </w:rPr>
        <w:t>2000</w:t>
      </w:r>
      <w:r>
        <w:rPr>
          <w:rFonts w:ascii="Times New Roman" w:hint="eastAsia"/>
          <w:color w:val="000000"/>
          <w:sz w:val="21"/>
        </w:rPr>
        <w:t>年劳工统计年鉴》，马尼拉：劳工和就业部劳动和就业统计局。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2000</w:t>
      </w:r>
      <w:r>
        <w:rPr>
          <w:rFonts w:ascii="Times New Roman" w:hint="eastAsia"/>
          <w:color w:val="000000"/>
          <w:sz w:val="21"/>
        </w:rPr>
        <w:t>年。《</w:t>
      </w:r>
      <w:r>
        <w:rPr>
          <w:rFonts w:ascii="Times New Roman" w:hint="eastAsia"/>
          <w:color w:val="000000"/>
          <w:sz w:val="21"/>
        </w:rPr>
        <w:t>1998</w:t>
      </w:r>
      <w:r>
        <w:rPr>
          <w:rFonts w:ascii="Times New Roman" w:hint="eastAsia"/>
          <w:color w:val="000000"/>
          <w:sz w:val="21"/>
        </w:rPr>
        <w:t>年劳工统计年鉴》，马尼拉：劳工和就业部劳动和就业统计局。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，未标明日期。《劳工和就业统计常用术语表》，马尼拉：劳工和就业部劳动和就业统计局。</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Cantal-Albasin</w:t>
      </w:r>
      <w:r>
        <w:rPr>
          <w:rFonts w:ascii="Times New Roman" w:hint="eastAsia"/>
          <w:color w:val="000000"/>
          <w:sz w:val="21"/>
        </w:rPr>
        <w:t>、</w:t>
      </w:r>
      <w:r>
        <w:rPr>
          <w:rFonts w:ascii="Times New Roman" w:hint="eastAsia"/>
          <w:color w:val="000000"/>
          <w:sz w:val="21"/>
        </w:rPr>
        <w:t>Grace</w:t>
      </w:r>
      <w:r>
        <w:rPr>
          <w:rFonts w:ascii="Times New Roman" w:hint="eastAsia"/>
          <w:color w:val="000000"/>
          <w:sz w:val="21"/>
        </w:rPr>
        <w:t>和</w:t>
      </w:r>
      <w:r>
        <w:rPr>
          <w:rFonts w:ascii="Times New Roman" w:hint="eastAsia"/>
          <w:color w:val="000000"/>
          <w:sz w:val="21"/>
          <w:szCs w:val="21"/>
        </w:rPr>
        <w:t>Nestor</w:t>
      </w:r>
      <w:r>
        <w:rPr>
          <w:rFonts w:ascii="Times New Roman" w:hint="eastAsia"/>
          <w:color w:val="000000"/>
          <w:sz w:val="21"/>
        </w:rPr>
        <w:t xml:space="preserve"> P. Burgos, Jr.</w:t>
      </w:r>
      <w:r>
        <w:rPr>
          <w:rFonts w:ascii="Times New Roman" w:hint="eastAsia"/>
          <w:color w:val="000000"/>
          <w:sz w:val="21"/>
        </w:rPr>
        <w:t>，最高法院维持性骚扰裁决原判：《马尼拉时报》，</w:t>
      </w:r>
      <w:r>
        <w:rPr>
          <w:rFonts w:ascii="Times New Roman" w:hint="eastAsia"/>
          <w:color w:val="000000"/>
          <w:sz w:val="21"/>
        </w:rPr>
        <w:t>2002</w:t>
      </w:r>
      <w:r>
        <w:rPr>
          <w:rFonts w:ascii="Times New Roman" w:hint="eastAsia"/>
          <w:color w:val="000000"/>
          <w:sz w:val="21"/>
        </w:rPr>
        <w:t>年</w:t>
      </w:r>
      <w:r>
        <w:rPr>
          <w:rFonts w:ascii="Times New Roman" w:hint="eastAsia"/>
          <w:color w:val="000000"/>
          <w:sz w:val="21"/>
        </w:rPr>
        <w:t>4</w:t>
      </w:r>
      <w:r>
        <w:rPr>
          <w:rFonts w:ascii="Times New Roman" w:hint="eastAsia"/>
          <w:color w:val="000000"/>
          <w:sz w:val="21"/>
        </w:rPr>
        <w:t>月</w:t>
      </w:r>
      <w:r>
        <w:rPr>
          <w:rFonts w:ascii="Times New Roman" w:hint="eastAsia"/>
          <w:color w:val="000000"/>
          <w:sz w:val="21"/>
        </w:rPr>
        <w:t>2</w:t>
      </w:r>
      <w:r>
        <w:rPr>
          <w:rFonts w:ascii="Times New Roman" w:hint="eastAsia"/>
          <w:color w:val="000000"/>
          <w:sz w:val="21"/>
        </w:rPr>
        <w:t>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海外菲律宾人委员会，《菲律宾侨民手册》，</w:t>
      </w:r>
      <w:r>
        <w:rPr>
          <w:rFonts w:ascii="Times New Roman" w:hint="eastAsia"/>
          <w:color w:val="000000"/>
          <w:sz w:val="21"/>
        </w:rPr>
        <w:t>1999</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Claudio</w:t>
      </w:r>
      <w:r>
        <w:rPr>
          <w:rFonts w:ascii="Times New Roman" w:hint="eastAsia"/>
          <w:color w:val="000000"/>
          <w:sz w:val="21"/>
          <w:szCs w:val="21"/>
        </w:rPr>
        <w:t>、</w:t>
      </w:r>
      <w:r>
        <w:rPr>
          <w:rFonts w:ascii="Times New Roman" w:hint="eastAsia"/>
          <w:color w:val="000000"/>
          <w:sz w:val="21"/>
          <w:szCs w:val="21"/>
        </w:rPr>
        <w:t>Sylvia Estrada</w:t>
      </w:r>
      <w:r>
        <w:rPr>
          <w:rFonts w:ascii="Times New Roman" w:hint="eastAsia"/>
          <w:color w:val="000000"/>
          <w:sz w:val="21"/>
          <w:szCs w:val="21"/>
        </w:rPr>
        <w:t>。《妇女与保健》，菲律宾北京会议记分委员会。</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公务员制度委员会，《</w:t>
      </w:r>
      <w:r>
        <w:rPr>
          <w:rFonts w:ascii="Times New Roman" w:hint="eastAsia"/>
          <w:color w:val="000000"/>
          <w:sz w:val="21"/>
          <w:szCs w:val="21"/>
        </w:rPr>
        <w:t>1999</w:t>
      </w:r>
      <w:r>
        <w:rPr>
          <w:rFonts w:ascii="Times New Roman" w:hint="eastAsia"/>
          <w:color w:val="000000"/>
          <w:sz w:val="21"/>
          <w:szCs w:val="21"/>
        </w:rPr>
        <w:t>年政府人事编制》。</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公务员制度委员会，《促成择优晋升计划的战略》，</w:t>
      </w:r>
      <w:r>
        <w:rPr>
          <w:rFonts w:ascii="Times New Roman" w:hint="eastAsia"/>
          <w:color w:val="000000"/>
          <w:sz w:val="21"/>
          <w:szCs w:val="21"/>
        </w:rPr>
        <w:t>2000</w:t>
      </w:r>
      <w:r>
        <w:rPr>
          <w:rFonts w:ascii="Times New Roman" w:hint="eastAsia"/>
          <w:color w:val="000000"/>
          <w:sz w:val="21"/>
          <w:szCs w:val="21"/>
        </w:rPr>
        <w:t>年</w:t>
      </w:r>
      <w:r>
        <w:rPr>
          <w:rFonts w:ascii="Times New Roman" w:hint="eastAsia"/>
          <w:color w:val="000000"/>
          <w:sz w:val="21"/>
          <w:szCs w:val="21"/>
        </w:rPr>
        <w:t>7</w:t>
      </w:r>
      <w:r>
        <w:rPr>
          <w:rFonts w:ascii="Times New Roman" w:hint="eastAsia"/>
          <w:color w:val="000000"/>
          <w:sz w:val="21"/>
          <w:szCs w:val="21"/>
        </w:rPr>
        <w:t>月</w:t>
      </w:r>
      <w:r>
        <w:rPr>
          <w:rFonts w:ascii="Times New Roman" w:hint="eastAsia"/>
          <w:color w:val="000000"/>
          <w:sz w:val="21"/>
          <w:szCs w:val="21"/>
        </w:rPr>
        <w:t>7</w:t>
      </w:r>
      <w:r>
        <w:rPr>
          <w:rFonts w:ascii="Times New Roman" w:hint="eastAsia"/>
          <w:color w:val="000000"/>
          <w:sz w:val="21"/>
          <w:szCs w:val="21"/>
        </w:rPr>
        <w:t>日。</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土地改革部，</w:t>
      </w:r>
      <w:r>
        <w:rPr>
          <w:rFonts w:ascii="Times New Roman" w:hint="eastAsia"/>
          <w:color w:val="000000"/>
          <w:sz w:val="21"/>
          <w:szCs w:val="21"/>
        </w:rPr>
        <w:t xml:space="preserve">2001 </w:t>
      </w:r>
      <w:r>
        <w:rPr>
          <w:rFonts w:ascii="Times New Roman" w:hint="eastAsia"/>
          <w:color w:val="000000"/>
          <w:sz w:val="21"/>
          <w:szCs w:val="21"/>
        </w:rPr>
        <w:t>年第</w:t>
      </w:r>
      <w:r>
        <w:rPr>
          <w:rFonts w:ascii="Times New Roman" w:hint="eastAsia"/>
          <w:color w:val="000000"/>
          <w:sz w:val="21"/>
          <w:szCs w:val="21"/>
        </w:rPr>
        <w:t>1</w:t>
      </w:r>
      <w:r>
        <w:rPr>
          <w:rFonts w:ascii="Times New Roman" w:hint="eastAsia"/>
          <w:color w:val="000000"/>
          <w:sz w:val="21"/>
          <w:szCs w:val="21"/>
        </w:rPr>
        <w:t>号行政命令（无性别偏见地执行土地法的准则）。</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Del Rosario</w:t>
      </w:r>
      <w:r>
        <w:rPr>
          <w:rFonts w:ascii="Times New Roman" w:hint="eastAsia"/>
          <w:color w:val="000000"/>
          <w:sz w:val="21"/>
          <w:szCs w:val="21"/>
        </w:rPr>
        <w:t>、</w:t>
      </w:r>
      <w:r>
        <w:rPr>
          <w:rFonts w:ascii="Times New Roman" w:hint="eastAsia"/>
          <w:color w:val="000000"/>
          <w:sz w:val="21"/>
          <w:szCs w:val="21"/>
        </w:rPr>
        <w:t>Rosario S</w:t>
      </w:r>
      <w:r>
        <w:rPr>
          <w:rFonts w:ascii="Times New Roman"/>
          <w:color w:val="000000"/>
          <w:sz w:val="21"/>
          <w:szCs w:val="21"/>
        </w:rPr>
        <w:t>.</w:t>
      </w:r>
      <w:r>
        <w:rPr>
          <w:rFonts w:ascii="Times New Roman" w:hint="eastAsia"/>
          <w:color w:val="000000"/>
          <w:sz w:val="21"/>
          <w:szCs w:val="21"/>
        </w:rPr>
        <w:t>，《女童问题</w:t>
      </w:r>
      <w:r>
        <w:rPr>
          <w:rFonts w:ascii="Times New Roman" w:hint="eastAsia"/>
          <w:color w:val="000000"/>
          <w:sz w:val="21"/>
          <w:szCs w:val="21"/>
        </w:rPr>
        <w:t>》，菲律宾北京记分委员会。</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教育部，《</w:t>
      </w:r>
      <w:r>
        <w:rPr>
          <w:rFonts w:ascii="Times New Roman" w:hint="eastAsia"/>
          <w:color w:val="000000"/>
          <w:sz w:val="21"/>
          <w:szCs w:val="21"/>
        </w:rPr>
        <w:t>2000-2001</w:t>
      </w:r>
      <w:r>
        <w:rPr>
          <w:rFonts w:ascii="Times New Roman" w:hint="eastAsia"/>
          <w:color w:val="000000"/>
          <w:sz w:val="21"/>
          <w:szCs w:val="21"/>
        </w:rPr>
        <w:t>年中小学招生资料汇编》。</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卫生部，</w:t>
      </w:r>
      <w:r>
        <w:rPr>
          <w:rFonts w:ascii="Times New Roman" w:hint="eastAsia"/>
          <w:color w:val="000000"/>
          <w:sz w:val="21"/>
        </w:rPr>
        <w:t>1999</w:t>
      </w:r>
      <w:r>
        <w:rPr>
          <w:rFonts w:ascii="Times New Roman" w:hint="eastAsia"/>
          <w:color w:val="000000"/>
          <w:sz w:val="21"/>
        </w:rPr>
        <w:t>年。《</w:t>
      </w:r>
      <w:r>
        <w:rPr>
          <w:rFonts w:ascii="Times New Roman" w:hint="eastAsia"/>
          <w:color w:val="000000"/>
          <w:sz w:val="21"/>
        </w:rPr>
        <w:t>1999-2004</w:t>
      </w:r>
      <w:r>
        <w:rPr>
          <w:rFonts w:ascii="Times New Roman" w:hint="eastAsia"/>
          <w:color w:val="000000"/>
          <w:sz w:val="21"/>
        </w:rPr>
        <w:t>年国家保健目标》。马尼拉：卫生部。</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卫生部，</w:t>
      </w:r>
      <w:r>
        <w:rPr>
          <w:rFonts w:ascii="Times New Roman" w:hint="eastAsia"/>
          <w:color w:val="000000"/>
          <w:sz w:val="21"/>
        </w:rPr>
        <w:t>2002</w:t>
      </w:r>
      <w:r>
        <w:rPr>
          <w:rFonts w:ascii="Times New Roman" w:hint="eastAsia"/>
          <w:color w:val="000000"/>
          <w:sz w:val="21"/>
        </w:rPr>
        <w:t>年实地保健服务信息系统。</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卫生部，《</w:t>
      </w:r>
      <w:r>
        <w:rPr>
          <w:rFonts w:ascii="Times New Roman" w:hint="eastAsia"/>
          <w:color w:val="000000"/>
          <w:sz w:val="21"/>
        </w:rPr>
        <w:t>1999-2004</w:t>
      </w:r>
      <w:r>
        <w:rPr>
          <w:rFonts w:ascii="Times New Roman" w:hint="eastAsia"/>
          <w:color w:val="000000"/>
          <w:sz w:val="21"/>
        </w:rPr>
        <w:t>年国家保健目标》。</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劳工和就业部，</w:t>
      </w:r>
      <w:r>
        <w:rPr>
          <w:rFonts w:ascii="Times New Roman" w:hint="eastAsia"/>
          <w:color w:val="000000"/>
          <w:sz w:val="21"/>
        </w:rPr>
        <w:t>2002</w:t>
      </w:r>
      <w:r>
        <w:rPr>
          <w:rFonts w:ascii="Times New Roman" w:hint="eastAsia"/>
          <w:color w:val="000000"/>
          <w:sz w:val="21"/>
        </w:rPr>
        <w:t>年。《菲律宾的体面工作》。马尼拉：劳工和就业部。</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内政和地方政府部，《赋予妇女权和决策的快速实地评估》。</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社会福利和发展部，《</w:t>
      </w:r>
      <w:r>
        <w:rPr>
          <w:rFonts w:ascii="Times New Roman" w:hint="eastAsia"/>
          <w:color w:val="000000"/>
          <w:sz w:val="21"/>
        </w:rPr>
        <w:t>1996-2000</w:t>
      </w:r>
      <w:r>
        <w:rPr>
          <w:rFonts w:ascii="Times New Roman" w:hint="eastAsia"/>
          <w:color w:val="000000"/>
          <w:sz w:val="21"/>
        </w:rPr>
        <w:t>年社会福利和发展部选择统计概览》。</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社会福利和发展部，《菲律宾最低限度国家社会数据集》。</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Edra</w:t>
      </w:r>
      <w:r>
        <w:rPr>
          <w:rFonts w:ascii="Times New Roman" w:hint="eastAsia"/>
          <w:color w:val="000000"/>
          <w:sz w:val="21"/>
        </w:rPr>
        <w:t>lin, Divina</w:t>
      </w:r>
      <w:r>
        <w:rPr>
          <w:rFonts w:ascii="Times New Roman" w:hint="eastAsia"/>
          <w:color w:val="000000"/>
          <w:sz w:val="21"/>
        </w:rPr>
        <w:t>，</w:t>
      </w:r>
      <w:r>
        <w:rPr>
          <w:rFonts w:ascii="Times New Roman" w:hint="eastAsia"/>
          <w:color w:val="000000"/>
          <w:sz w:val="21"/>
        </w:rPr>
        <w:t>2001</w:t>
      </w:r>
      <w:r>
        <w:rPr>
          <w:rFonts w:ascii="Times New Roman" w:hint="eastAsia"/>
          <w:color w:val="000000"/>
          <w:sz w:val="21"/>
        </w:rPr>
        <w:t>年。《在菲律宾卡拉巴尔松工作的妇女的工作状况评估》，提交亚太经合组织研究中心网的研究报告。</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Fabile, Josefa L.</w:t>
      </w:r>
      <w:r>
        <w:rPr>
          <w:rFonts w:ascii="Times New Roman" w:hint="eastAsia"/>
          <w:color w:val="000000"/>
          <w:sz w:val="21"/>
        </w:rPr>
        <w:t>，“两性一体化促进农村发展”，摘自《里程碑特色》。</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Feliciano Myrna S.</w:t>
      </w:r>
      <w:r>
        <w:rPr>
          <w:rFonts w:ascii="Times New Roman" w:hint="eastAsia"/>
          <w:color w:val="000000"/>
          <w:sz w:val="21"/>
        </w:rPr>
        <w:t>，《有关家庭暴力的法律和法理学》，</w:t>
      </w:r>
      <w:r>
        <w:rPr>
          <w:rFonts w:ascii="Times New Roman" w:hint="eastAsia"/>
          <w:color w:val="000000"/>
          <w:sz w:val="21"/>
        </w:rPr>
        <w:t>2000</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t>______________</w:t>
      </w:r>
      <w:r>
        <w:rPr>
          <w:rFonts w:ascii="Times New Roman" w:hint="eastAsia"/>
          <w:color w:val="000000"/>
          <w:sz w:val="21"/>
        </w:rPr>
        <w:t>，《拟议的儿童证人审查规则的基本原理》。</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softHyphen/>
      </w:r>
      <w:r>
        <w:rPr>
          <w:rFonts w:ascii="Times New Roman" w:hint="eastAsia"/>
          <w:color w:val="000000"/>
          <w:sz w:val="21"/>
        </w:rPr>
        <w:softHyphen/>
      </w:r>
      <w:r>
        <w:rPr>
          <w:rFonts w:ascii="Times New Roman" w:hint="eastAsia"/>
          <w:color w:val="000000"/>
          <w:sz w:val="21"/>
        </w:rPr>
        <w:softHyphen/>
        <w:t>______________</w:t>
      </w:r>
      <w:r>
        <w:rPr>
          <w:rFonts w:ascii="Times New Roman" w:hint="eastAsia"/>
          <w:color w:val="000000"/>
          <w:sz w:val="21"/>
        </w:rPr>
        <w:t>，《不歧视与参与：性别和儿童问题》，为菲律宾经济、社会和文化艺术司法研讨会编写</w:t>
      </w:r>
      <w:r>
        <w:rPr>
          <w:rFonts w:ascii="Times New Roman" w:hint="eastAsia"/>
          <w:color w:val="000000"/>
          <w:sz w:val="21"/>
        </w:rPr>
        <w:t>的论文。菲律宾司法学院，塔盖泰市，</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9</w:t>
      </w:r>
      <w:r>
        <w:rPr>
          <w:rFonts w:ascii="Times New Roman" w:hint="eastAsia"/>
          <w:color w:val="000000"/>
          <w:sz w:val="21"/>
        </w:rPr>
        <w:t>月</w:t>
      </w:r>
      <w:r>
        <w:rPr>
          <w:rFonts w:ascii="Times New Roman" w:hint="eastAsia"/>
          <w:color w:val="000000"/>
          <w:sz w:val="21"/>
        </w:rPr>
        <w:t>14</w:t>
      </w:r>
      <w:r>
        <w:rPr>
          <w:rFonts w:ascii="Times New Roman" w:hint="eastAsia"/>
          <w:color w:val="000000"/>
          <w:sz w:val="21"/>
        </w:rPr>
        <w:t>日。</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Feliciano</w:t>
      </w:r>
      <w:r>
        <w:rPr>
          <w:rFonts w:ascii="Times New Roman" w:hint="eastAsia"/>
          <w:color w:val="000000"/>
          <w:sz w:val="21"/>
        </w:rPr>
        <w:t>、</w:t>
      </w:r>
      <w:r>
        <w:rPr>
          <w:rFonts w:ascii="Times New Roman" w:hint="eastAsia"/>
          <w:color w:val="000000"/>
          <w:sz w:val="21"/>
        </w:rPr>
        <w:t>Myrna</w:t>
      </w:r>
      <w:r>
        <w:rPr>
          <w:rFonts w:ascii="Times New Roman" w:hint="eastAsia"/>
          <w:color w:val="000000"/>
          <w:sz w:val="21"/>
        </w:rPr>
        <w:t>、</w:t>
      </w:r>
      <w:r>
        <w:rPr>
          <w:rFonts w:ascii="Times New Roman" w:hint="eastAsia"/>
          <w:color w:val="000000"/>
          <w:sz w:val="21"/>
        </w:rPr>
        <w:t>Pacifico A. Agabin</w:t>
      </w:r>
      <w:r>
        <w:rPr>
          <w:rFonts w:ascii="Times New Roman" w:hint="eastAsia"/>
          <w:color w:val="000000"/>
          <w:sz w:val="21"/>
        </w:rPr>
        <w:t>、</w:t>
      </w:r>
      <w:r>
        <w:rPr>
          <w:rFonts w:ascii="Times New Roman" w:hint="eastAsia"/>
          <w:color w:val="000000"/>
          <w:sz w:val="21"/>
        </w:rPr>
        <w:t>Merlin M. Magallona</w:t>
      </w:r>
      <w:r>
        <w:rPr>
          <w:rFonts w:ascii="Times New Roman" w:hint="eastAsia"/>
          <w:color w:val="000000"/>
          <w:sz w:val="21"/>
        </w:rPr>
        <w:t>和</w:t>
      </w:r>
      <w:r>
        <w:rPr>
          <w:rFonts w:ascii="Times New Roman" w:hint="eastAsia"/>
          <w:color w:val="000000"/>
          <w:sz w:val="21"/>
        </w:rPr>
        <w:t>Carmelo V. Sison</w:t>
      </w:r>
      <w:r>
        <w:rPr>
          <w:rFonts w:ascii="Times New Roman" w:hint="eastAsia"/>
          <w:color w:val="000000"/>
          <w:sz w:val="21"/>
        </w:rPr>
        <w:t>，《菲律宾法律现代化（妇女、</w:t>
      </w:r>
      <w:r>
        <w:rPr>
          <w:rFonts w:ascii="Times New Roman" w:hint="eastAsia"/>
          <w:color w:val="000000"/>
          <w:sz w:val="21"/>
          <w:szCs w:val="21"/>
        </w:rPr>
        <w:t>法律</w:t>
      </w:r>
      <w:r>
        <w:rPr>
          <w:rFonts w:ascii="Times New Roman" w:hint="eastAsia"/>
          <w:color w:val="000000"/>
          <w:sz w:val="21"/>
        </w:rPr>
        <w:t>和发展方面）》，发展经济学研究所，</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3</w:t>
      </w:r>
      <w:r>
        <w:rPr>
          <w:rFonts w:ascii="Times New Roman" w:hint="eastAsia"/>
          <w:color w:val="000000"/>
          <w:sz w:val="21"/>
        </w:rPr>
        <w:t>月（发展中经济体研究所亚洲法律集，第</w:t>
      </w:r>
      <w:r>
        <w:rPr>
          <w:rFonts w:ascii="Times New Roman" w:hint="eastAsia"/>
          <w:color w:val="000000"/>
          <w:sz w:val="21"/>
        </w:rPr>
        <w:t>9</w:t>
      </w:r>
      <w:r>
        <w:rPr>
          <w:rFonts w:ascii="Times New Roman" w:hint="eastAsia"/>
          <w:color w:val="000000"/>
          <w:sz w:val="21"/>
        </w:rPr>
        <w:t>辑）。</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Ferrer</w:t>
      </w:r>
      <w:r>
        <w:rPr>
          <w:rFonts w:ascii="Times New Roman" w:hint="eastAsia"/>
          <w:color w:val="000000"/>
          <w:sz w:val="21"/>
          <w:szCs w:val="21"/>
        </w:rPr>
        <w:t>、</w:t>
      </w:r>
      <w:r>
        <w:rPr>
          <w:rFonts w:ascii="Times New Roman" w:hint="eastAsia"/>
          <w:color w:val="000000"/>
          <w:sz w:val="21"/>
          <w:szCs w:val="21"/>
        </w:rPr>
        <w:t>Miriam Coronel</w:t>
      </w:r>
      <w:r>
        <w:rPr>
          <w:rFonts w:ascii="Times New Roman" w:hint="eastAsia"/>
          <w:color w:val="000000"/>
          <w:sz w:val="21"/>
          <w:szCs w:val="21"/>
        </w:rPr>
        <w:t>，</w:t>
      </w:r>
      <w:r>
        <w:rPr>
          <w:rFonts w:ascii="Times New Roman" w:hint="eastAsia"/>
          <w:color w:val="000000"/>
          <w:sz w:val="21"/>
          <w:szCs w:val="21"/>
        </w:rPr>
        <w:t>2003</w:t>
      </w:r>
      <w:r>
        <w:rPr>
          <w:rFonts w:ascii="Times New Roman" w:hint="eastAsia"/>
          <w:color w:val="000000"/>
          <w:sz w:val="21"/>
          <w:szCs w:val="21"/>
        </w:rPr>
        <w:t>年。“菲律宾的政治环境——巩固民主面临的挑战”，摘自《菲律宾国家发展方案编制框架审查：政治主题》，为加拿大国际开发署编写，马尼拉，草稿，</w:t>
      </w:r>
      <w:r>
        <w:rPr>
          <w:rFonts w:ascii="Times New Roman" w:hint="eastAsia"/>
          <w:color w:val="000000"/>
          <w:sz w:val="21"/>
          <w:szCs w:val="21"/>
        </w:rPr>
        <w:t>8</w:t>
      </w:r>
      <w:r>
        <w:rPr>
          <w:rFonts w:ascii="Times New Roman" w:hint="eastAsia"/>
          <w:color w:val="000000"/>
          <w:sz w:val="21"/>
          <w:szCs w:val="21"/>
        </w:rPr>
        <w:t>月</w:t>
      </w:r>
      <w:r>
        <w:rPr>
          <w:rFonts w:ascii="Times New Roman" w:hint="eastAsia"/>
          <w:color w:val="000000"/>
          <w:sz w:val="21"/>
          <w:szCs w:val="21"/>
        </w:rPr>
        <w:t>25</w:t>
      </w:r>
      <w:r>
        <w:rPr>
          <w:rFonts w:ascii="Times New Roman" w:hint="eastAsia"/>
          <w:color w:val="000000"/>
          <w:sz w:val="21"/>
          <w:szCs w:val="21"/>
        </w:rPr>
        <w:t>日。</w:t>
      </w:r>
    </w:p>
    <w:p w:rsidR="00000000" w:rsidRDefault="00821B8F">
      <w:pPr>
        <w:pStyle w:val="BodyText"/>
        <w:spacing w:after="120" w:line="360" w:lineRule="exact"/>
        <w:ind w:left="360" w:hanging="360"/>
        <w:rPr>
          <w:rFonts w:ascii="Times New Roman" w:hint="eastAsia"/>
          <w:color w:val="000000"/>
          <w:spacing w:val="-2"/>
          <w:sz w:val="21"/>
          <w:szCs w:val="21"/>
        </w:rPr>
      </w:pPr>
      <w:r>
        <w:rPr>
          <w:rFonts w:ascii="Times New Roman" w:hint="eastAsia"/>
          <w:color w:val="000000"/>
          <w:spacing w:val="-2"/>
          <w:sz w:val="21"/>
          <w:szCs w:val="21"/>
        </w:rPr>
        <w:t>菲律宾政府与联合国</w:t>
      </w:r>
      <w:r>
        <w:rPr>
          <w:rFonts w:ascii="Times New Roman" w:hint="eastAsia"/>
          <w:color w:val="000000"/>
          <w:spacing w:val="-2"/>
          <w:sz w:val="21"/>
          <w:szCs w:val="21"/>
        </w:rPr>
        <w:t>/</w:t>
      </w:r>
      <w:r>
        <w:rPr>
          <w:rFonts w:ascii="Times New Roman" w:hint="eastAsia"/>
          <w:color w:val="000000"/>
          <w:spacing w:val="-2"/>
          <w:sz w:val="21"/>
          <w:szCs w:val="21"/>
        </w:rPr>
        <w:t>多方捐助者方案，未标明日期。“关于加强菲律宾南部持久和平与发展基础的项目文件：菲律宾政府与联合国</w:t>
      </w:r>
      <w:r>
        <w:rPr>
          <w:rFonts w:ascii="Times New Roman" w:hint="eastAsia"/>
          <w:color w:val="000000"/>
          <w:spacing w:val="-2"/>
          <w:sz w:val="21"/>
          <w:szCs w:val="21"/>
        </w:rPr>
        <w:t>/</w:t>
      </w:r>
      <w:r>
        <w:rPr>
          <w:rFonts w:ascii="Times New Roman" w:hint="eastAsia"/>
          <w:color w:val="000000"/>
          <w:spacing w:val="-2"/>
          <w:sz w:val="21"/>
          <w:szCs w:val="21"/>
        </w:rPr>
        <w:t>多方捐助者方案第三阶段”。</w:t>
      </w:r>
      <w:r>
        <w:rPr>
          <w:rFonts w:ascii="Times New Roman" w:hint="eastAsia"/>
          <w:color w:val="000000"/>
          <w:spacing w:val="-2"/>
          <w:sz w:val="21"/>
          <w:szCs w:val="21"/>
        </w:rPr>
        <w:t xml:space="preserve"> </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Guerrero, Sylvia H.</w:t>
      </w:r>
      <w:r>
        <w:rPr>
          <w:rFonts w:ascii="Times New Roman" w:hint="eastAsia"/>
          <w:color w:val="000000"/>
          <w:sz w:val="21"/>
          <w:szCs w:val="21"/>
        </w:rPr>
        <w:t>、</w:t>
      </w:r>
      <w:r>
        <w:rPr>
          <w:rFonts w:ascii="Times New Roman" w:hint="eastAsia"/>
          <w:color w:val="000000"/>
          <w:sz w:val="21"/>
          <w:szCs w:val="21"/>
        </w:rPr>
        <w:t>Maruja M.B. Asis</w:t>
      </w:r>
      <w:r>
        <w:rPr>
          <w:rFonts w:ascii="Times New Roman" w:hint="eastAsia"/>
          <w:color w:val="000000"/>
          <w:sz w:val="21"/>
          <w:szCs w:val="21"/>
        </w:rPr>
        <w:t>、</w:t>
      </w:r>
      <w:r>
        <w:rPr>
          <w:rFonts w:ascii="Times New Roman" w:hint="eastAsia"/>
          <w:color w:val="000000"/>
          <w:sz w:val="21"/>
          <w:szCs w:val="21"/>
        </w:rPr>
        <w:t>Agnes J. Españo</w:t>
      </w:r>
      <w:r>
        <w:rPr>
          <w:rFonts w:ascii="Times New Roman" w:hint="eastAsia"/>
          <w:color w:val="000000"/>
          <w:sz w:val="21"/>
          <w:szCs w:val="21"/>
        </w:rPr>
        <w:t>、</w:t>
      </w:r>
      <w:r>
        <w:rPr>
          <w:rFonts w:ascii="Times New Roman" w:hint="eastAsia"/>
          <w:color w:val="000000"/>
          <w:sz w:val="21"/>
          <w:szCs w:val="21"/>
        </w:rPr>
        <w:t>Teresita Ibarra-Taberdo</w:t>
      </w:r>
      <w:r>
        <w:rPr>
          <w:rFonts w:ascii="Times New Roman" w:hint="eastAsia"/>
          <w:color w:val="000000"/>
          <w:sz w:val="21"/>
          <w:szCs w:val="21"/>
        </w:rPr>
        <w:t>、</w:t>
      </w:r>
      <w:r>
        <w:rPr>
          <w:rFonts w:ascii="Times New Roman" w:hint="eastAsia"/>
          <w:color w:val="000000"/>
          <w:sz w:val="21"/>
          <w:szCs w:val="21"/>
        </w:rPr>
        <w:t>Huelen Dayo</w:t>
      </w:r>
      <w:r>
        <w:rPr>
          <w:rFonts w:ascii="Times New Roman" w:hint="eastAsia"/>
          <w:color w:val="000000"/>
          <w:sz w:val="21"/>
          <w:szCs w:val="21"/>
        </w:rPr>
        <w:t>、</w:t>
      </w:r>
      <w:r>
        <w:rPr>
          <w:rFonts w:ascii="Times New Roman" w:hint="eastAsia"/>
          <w:color w:val="000000"/>
          <w:sz w:val="21"/>
          <w:szCs w:val="21"/>
        </w:rPr>
        <w:t>Raymundo Rovillos</w:t>
      </w:r>
      <w:r>
        <w:rPr>
          <w:rFonts w:ascii="Times New Roman" w:hint="eastAsia"/>
          <w:color w:val="000000"/>
          <w:sz w:val="21"/>
          <w:szCs w:val="21"/>
        </w:rPr>
        <w:t>和</w:t>
      </w:r>
      <w:r>
        <w:rPr>
          <w:rFonts w:ascii="Times New Roman" w:hint="eastAsia"/>
          <w:color w:val="000000"/>
          <w:sz w:val="21"/>
          <w:szCs w:val="21"/>
        </w:rPr>
        <w:t>Thelma B. Kintanar</w:t>
      </w:r>
      <w:r>
        <w:rPr>
          <w:rFonts w:ascii="Times New Roman" w:hint="eastAsia"/>
          <w:color w:val="000000"/>
          <w:sz w:val="21"/>
          <w:szCs w:val="21"/>
        </w:rPr>
        <w:t>。《人口与发展中的妇女和性别问题》，</w:t>
      </w:r>
      <w:r>
        <w:rPr>
          <w:rFonts w:ascii="Times New Roman" w:hint="eastAsia"/>
          <w:color w:val="000000"/>
          <w:sz w:val="21"/>
          <w:szCs w:val="21"/>
        </w:rPr>
        <w:t>2001</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Illo</w:t>
      </w:r>
      <w:r>
        <w:rPr>
          <w:rFonts w:ascii="Times New Roman" w:hint="eastAsia"/>
          <w:color w:val="000000"/>
          <w:sz w:val="21"/>
          <w:szCs w:val="21"/>
        </w:rPr>
        <w:t>、</w:t>
      </w:r>
      <w:r>
        <w:rPr>
          <w:rFonts w:ascii="Times New Roman" w:hint="eastAsia"/>
          <w:color w:val="000000"/>
          <w:sz w:val="21"/>
          <w:szCs w:val="21"/>
        </w:rPr>
        <w:t>Jeanne Frances I</w:t>
      </w:r>
      <w:r>
        <w:rPr>
          <w:rFonts w:ascii="Times New Roman"/>
          <w:color w:val="000000"/>
          <w:sz w:val="21"/>
          <w:szCs w:val="21"/>
        </w:rPr>
        <w:t>.</w:t>
      </w:r>
      <w:r>
        <w:rPr>
          <w:rFonts w:ascii="Times New Roman" w:hint="eastAsia"/>
          <w:color w:val="000000"/>
          <w:sz w:val="21"/>
          <w:szCs w:val="21"/>
        </w:rPr>
        <w:t>，</w:t>
      </w:r>
      <w:r>
        <w:rPr>
          <w:rFonts w:ascii="Times New Roman" w:hint="eastAsia"/>
          <w:color w:val="000000"/>
          <w:sz w:val="21"/>
          <w:szCs w:val="21"/>
        </w:rPr>
        <w:t>20</w:t>
      </w:r>
      <w:r>
        <w:rPr>
          <w:rFonts w:ascii="Times New Roman" w:hint="eastAsia"/>
          <w:color w:val="000000"/>
          <w:sz w:val="21"/>
          <w:szCs w:val="21"/>
        </w:rPr>
        <w:t>03</w:t>
      </w:r>
      <w:r>
        <w:rPr>
          <w:rFonts w:ascii="Times New Roman" w:hint="eastAsia"/>
          <w:color w:val="000000"/>
          <w:sz w:val="21"/>
          <w:szCs w:val="21"/>
        </w:rPr>
        <w:t>年。《代表他们自己：菲律宾儿童和青年的参与》，马卡蒂和奎松市：孔苏埃洛基金会、联合国儿童基金会和菲律宾文化研究所，马尼拉雅典耀大学。</w:t>
      </w:r>
    </w:p>
    <w:p w:rsidR="00000000" w:rsidRDefault="00821B8F">
      <w:pPr>
        <w:pStyle w:val="BodyText"/>
        <w:spacing w:before="120" w:after="120" w:line="360" w:lineRule="exact"/>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a</w:t>
      </w:r>
      <w:r>
        <w:rPr>
          <w:rFonts w:ascii="Times New Roman" w:hint="eastAsia"/>
          <w:color w:val="000000"/>
          <w:sz w:val="21"/>
          <w:szCs w:val="21"/>
        </w:rPr>
        <w:t>。《改革技术合作：菲律宾》，奎松市：菲律宾文化研究所，马尼拉雅典耀大学。</w:t>
      </w:r>
      <w:r>
        <w:rPr>
          <w:rFonts w:ascii="Times New Roman" w:hint="eastAsia"/>
          <w:color w:val="000000"/>
          <w:sz w:val="21"/>
          <w:szCs w:val="21"/>
        </w:rPr>
        <w:t xml:space="preserve"> </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b</w:t>
      </w:r>
      <w:r>
        <w:rPr>
          <w:rFonts w:ascii="Times New Roman" w:hint="eastAsia"/>
          <w:color w:val="000000"/>
          <w:sz w:val="21"/>
          <w:szCs w:val="21"/>
        </w:rPr>
        <w:t>。《性别歧视与劳工标准，菲律宾国家报告》，提交亚洲开发银行和国际劳工组织的最后报告。</w:t>
      </w:r>
      <w:r>
        <w:rPr>
          <w:rFonts w:ascii="Times New Roman" w:hint="eastAsia"/>
          <w:color w:val="000000"/>
          <w:sz w:val="21"/>
          <w:szCs w:val="21"/>
        </w:rPr>
        <w:t xml:space="preserve"> </w:t>
      </w:r>
    </w:p>
    <w:p w:rsidR="00000000" w:rsidRDefault="00821B8F">
      <w:pPr>
        <w:pStyle w:val="BodyText"/>
        <w:spacing w:after="120" w:line="360" w:lineRule="exact"/>
        <w:ind w:left="360" w:hanging="360"/>
        <w:rPr>
          <w:rFonts w:ascii="Times New Roman" w:hint="eastAsia"/>
          <w:i/>
          <w:color w:val="000000"/>
          <w:sz w:val="21"/>
          <w:szCs w:val="21"/>
          <w:lang w:val="en-GB"/>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1999</w:t>
      </w:r>
      <w:r>
        <w:rPr>
          <w:rFonts w:ascii="Times New Roman" w:hint="eastAsia"/>
          <w:color w:val="000000"/>
          <w:sz w:val="21"/>
          <w:szCs w:val="21"/>
        </w:rPr>
        <w:t>年。《菲律宾金融和经济危机的性别层面》，摘自《菲律宾劳工评论》，第二十三（</w:t>
      </w:r>
      <w:r>
        <w:rPr>
          <w:rFonts w:ascii="Times New Roman" w:hint="eastAsia"/>
          <w:color w:val="000000"/>
          <w:sz w:val="21"/>
          <w:szCs w:val="21"/>
          <w:lang w:val="en-GB"/>
        </w:rPr>
        <w:t>2</w:t>
      </w:r>
      <w:r>
        <w:rPr>
          <w:rFonts w:ascii="Times New Roman" w:hint="eastAsia"/>
          <w:color w:val="000000"/>
          <w:sz w:val="21"/>
          <w:szCs w:val="21"/>
          <w:lang w:val="en-GB"/>
        </w:rPr>
        <w:t>）</w:t>
      </w:r>
      <w:r>
        <w:rPr>
          <w:rFonts w:ascii="Times New Roman" w:hint="eastAsia"/>
          <w:color w:val="000000"/>
          <w:sz w:val="21"/>
          <w:szCs w:val="21"/>
        </w:rPr>
        <w:t>期</w:t>
      </w:r>
      <w:r>
        <w:rPr>
          <w:rFonts w:ascii="Times New Roman" w:hint="eastAsia"/>
          <w:color w:val="000000"/>
          <w:sz w:val="21"/>
          <w:szCs w:val="21"/>
          <w:lang w:val="en-GB"/>
        </w:rPr>
        <w:t>：</w:t>
      </w:r>
      <w:r>
        <w:rPr>
          <w:rFonts w:ascii="Times New Roman" w:hint="eastAsia"/>
          <w:color w:val="000000"/>
          <w:sz w:val="21"/>
          <w:szCs w:val="21"/>
          <w:lang w:val="en-GB"/>
        </w:rPr>
        <w:t>57-124</w:t>
      </w:r>
      <w:r>
        <w:rPr>
          <w:rFonts w:ascii="Times New Roman" w:hint="eastAsia"/>
          <w:color w:val="000000"/>
          <w:sz w:val="21"/>
          <w:szCs w:val="21"/>
          <w:lang w:val="en-GB"/>
        </w:rPr>
        <w:t>。</w:t>
      </w:r>
      <w:r>
        <w:rPr>
          <w:rFonts w:ascii="Times New Roman" w:hint="eastAsia"/>
          <w:color w:val="000000"/>
          <w:sz w:val="21"/>
          <w:szCs w:val="21"/>
        </w:rPr>
        <w:t xml:space="preserve"> </w:t>
      </w:r>
    </w:p>
    <w:p w:rsidR="00000000" w:rsidRDefault="00821B8F">
      <w:pPr>
        <w:pStyle w:val="BodyText"/>
        <w:spacing w:after="120" w:line="360" w:lineRule="exact"/>
        <w:ind w:left="360" w:hanging="360"/>
        <w:rPr>
          <w:rFonts w:ascii="Times New Roman" w:hint="eastAsia"/>
          <w:color w:val="000000"/>
          <w:sz w:val="21"/>
          <w:szCs w:val="21"/>
          <w:lang w:val="en-GB"/>
        </w:rPr>
      </w:pPr>
      <w:r>
        <w:rPr>
          <w:rFonts w:ascii="Times New Roman" w:hint="eastAsia"/>
          <w:color w:val="000000"/>
          <w:sz w:val="21"/>
          <w:szCs w:val="21"/>
          <w:lang w:val="en-GB"/>
        </w:rPr>
        <w:t>______</w:t>
      </w:r>
      <w:r>
        <w:rPr>
          <w:rFonts w:ascii="Times New Roman" w:hint="eastAsia"/>
          <w:color w:val="000000"/>
          <w:sz w:val="21"/>
          <w:szCs w:val="21"/>
          <w:lang w:val="en-GB"/>
        </w:rPr>
        <w:t>____</w:t>
      </w:r>
      <w:r>
        <w:rPr>
          <w:rFonts w:ascii="Times New Roman" w:hint="eastAsia"/>
          <w:color w:val="000000"/>
          <w:sz w:val="21"/>
          <w:szCs w:val="21"/>
          <w:lang w:val="en-GB"/>
        </w:rPr>
        <w:t>，</w:t>
      </w:r>
      <w:r>
        <w:rPr>
          <w:rFonts w:ascii="Times New Roman" w:hint="eastAsia"/>
          <w:color w:val="000000"/>
          <w:sz w:val="21"/>
          <w:szCs w:val="21"/>
          <w:lang w:val="en-GB"/>
        </w:rPr>
        <w:t>1997</w:t>
      </w:r>
      <w:r>
        <w:rPr>
          <w:rFonts w:ascii="Times New Roman" w:hint="eastAsia"/>
          <w:color w:val="000000"/>
          <w:sz w:val="21"/>
          <w:szCs w:val="21"/>
          <w:lang w:val="en-GB"/>
        </w:rPr>
        <w:t>年。《</w:t>
      </w:r>
      <w:r>
        <w:rPr>
          <w:rFonts w:ascii="Times New Roman" w:hint="eastAsia"/>
          <w:color w:val="000000"/>
          <w:sz w:val="21"/>
          <w:szCs w:val="21"/>
        </w:rPr>
        <w:t>菲律宾</w:t>
      </w:r>
      <w:r>
        <w:rPr>
          <w:rFonts w:ascii="Times New Roman" w:hint="eastAsia"/>
          <w:color w:val="000000"/>
          <w:sz w:val="21"/>
          <w:szCs w:val="21"/>
          <w:lang w:val="en-GB"/>
        </w:rPr>
        <w:t>妇女：亚洲开发银行各国情况简报》，马尼拉：亚洲开发银行方案司东亚和社会发展处。</w:t>
      </w:r>
    </w:p>
    <w:p w:rsidR="00000000" w:rsidRDefault="00821B8F">
      <w:pPr>
        <w:pStyle w:val="BodyText"/>
        <w:spacing w:after="120" w:line="360" w:lineRule="exact"/>
        <w:rPr>
          <w:rFonts w:ascii="Times New Roman" w:hint="eastAsia"/>
          <w:color w:val="000000"/>
          <w:spacing w:val="-4"/>
          <w:sz w:val="21"/>
          <w:szCs w:val="21"/>
          <w:lang w:val="en-GB"/>
        </w:rPr>
      </w:pPr>
      <w:r>
        <w:rPr>
          <w:rFonts w:ascii="Times New Roman" w:hint="eastAsia"/>
          <w:color w:val="000000"/>
          <w:spacing w:val="-4"/>
          <w:sz w:val="21"/>
          <w:szCs w:val="21"/>
          <w:lang w:val="en-GB"/>
        </w:rPr>
        <w:t>劳工研究所，</w:t>
      </w:r>
      <w:r>
        <w:rPr>
          <w:rFonts w:ascii="Times New Roman" w:hint="eastAsia"/>
          <w:color w:val="000000"/>
          <w:spacing w:val="-4"/>
          <w:sz w:val="21"/>
          <w:szCs w:val="21"/>
          <w:lang w:val="en-GB"/>
        </w:rPr>
        <w:t>1994</w:t>
      </w:r>
      <w:r>
        <w:rPr>
          <w:rFonts w:ascii="Times New Roman" w:hint="eastAsia"/>
          <w:color w:val="000000"/>
          <w:spacing w:val="-4"/>
          <w:sz w:val="21"/>
          <w:szCs w:val="21"/>
          <w:lang w:val="en-GB"/>
        </w:rPr>
        <w:t>年。《非正规部门》，马尼拉：劳工和就业部劳工研究所。</w:t>
      </w:r>
    </w:p>
    <w:p w:rsidR="00000000" w:rsidRDefault="00821B8F">
      <w:pPr>
        <w:pStyle w:val="BodyText"/>
        <w:spacing w:before="120" w:after="120" w:line="360" w:lineRule="exact"/>
        <w:rPr>
          <w:rFonts w:ascii="Times New Roman" w:hint="eastAsia"/>
          <w:color w:val="000000"/>
          <w:sz w:val="21"/>
          <w:szCs w:val="21"/>
          <w:lang w:val="en-GB"/>
        </w:rPr>
      </w:pPr>
      <w:r>
        <w:rPr>
          <w:rFonts w:ascii="Times New Roman" w:hint="eastAsia"/>
          <w:color w:val="000000"/>
          <w:sz w:val="21"/>
          <w:szCs w:val="21"/>
          <w:lang w:val="en-GB"/>
        </w:rPr>
        <w:t>__________</w:t>
      </w:r>
      <w:r>
        <w:rPr>
          <w:rFonts w:ascii="Times New Roman" w:hint="eastAsia"/>
          <w:color w:val="000000"/>
          <w:sz w:val="21"/>
          <w:szCs w:val="21"/>
          <w:lang w:val="en-GB"/>
        </w:rPr>
        <w:t>，</w:t>
      </w:r>
      <w:r>
        <w:rPr>
          <w:rFonts w:ascii="Times New Roman" w:hint="eastAsia"/>
          <w:color w:val="000000"/>
          <w:sz w:val="21"/>
          <w:szCs w:val="21"/>
          <w:lang w:val="en-GB"/>
        </w:rPr>
        <w:t>1996</w:t>
      </w:r>
      <w:r>
        <w:rPr>
          <w:rFonts w:ascii="Times New Roman" w:hint="eastAsia"/>
          <w:color w:val="000000"/>
          <w:sz w:val="21"/>
          <w:szCs w:val="21"/>
          <w:lang w:val="en-GB"/>
        </w:rPr>
        <w:t>年。《大马尼拉的社会保障和保护》，马尼拉：劳工和就业部</w:t>
      </w:r>
      <w:r>
        <w:rPr>
          <w:rFonts w:ascii="Times New Roman" w:hint="eastAsia"/>
          <w:color w:val="000000"/>
          <w:spacing w:val="-4"/>
          <w:sz w:val="21"/>
          <w:szCs w:val="21"/>
          <w:lang w:val="en-GB"/>
        </w:rPr>
        <w:t>劳工研究所。</w:t>
      </w:r>
    </w:p>
    <w:p w:rsidR="00000000" w:rsidRDefault="00821B8F">
      <w:pPr>
        <w:pStyle w:val="BodyText"/>
        <w:spacing w:after="120" w:line="360" w:lineRule="exact"/>
        <w:ind w:left="360" w:hanging="360"/>
        <w:rPr>
          <w:rFonts w:ascii="Times New Roman" w:hint="eastAsia"/>
          <w:color w:val="000000"/>
          <w:sz w:val="21"/>
          <w:szCs w:val="21"/>
          <w:lang w:val="en-GB"/>
        </w:rPr>
      </w:pPr>
      <w:r>
        <w:rPr>
          <w:rFonts w:ascii="Times New Roman" w:hint="eastAsia"/>
          <w:color w:val="000000"/>
          <w:sz w:val="21"/>
          <w:szCs w:val="21"/>
        </w:rPr>
        <w:t>国际劳工组织——消除童工现象国际方案</w:t>
      </w:r>
      <w:r>
        <w:rPr>
          <w:rFonts w:ascii="Times New Roman" w:hint="eastAsia"/>
          <w:color w:val="000000"/>
          <w:sz w:val="21"/>
          <w:szCs w:val="21"/>
        </w:rPr>
        <w:t>/</w:t>
      </w:r>
      <w:r>
        <w:rPr>
          <w:rFonts w:ascii="Times New Roman" w:hint="eastAsia"/>
          <w:color w:val="000000"/>
          <w:sz w:val="21"/>
          <w:szCs w:val="21"/>
        </w:rPr>
        <w:t>国家统计局，</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2001</w:t>
      </w:r>
      <w:r>
        <w:rPr>
          <w:rFonts w:ascii="Times New Roman" w:hint="eastAsia"/>
          <w:color w:val="000000"/>
          <w:sz w:val="21"/>
          <w:szCs w:val="21"/>
        </w:rPr>
        <w:t>年</w:t>
      </w:r>
      <w:r>
        <w:rPr>
          <w:rFonts w:ascii="Times New Roman" w:hint="eastAsia"/>
          <w:color w:val="000000"/>
          <w:sz w:val="21"/>
          <w:szCs w:val="21"/>
        </w:rPr>
        <w:t>5</w:t>
      </w:r>
      <w:r>
        <w:rPr>
          <w:rFonts w:ascii="Times New Roman" w:hint="eastAsia"/>
          <w:color w:val="000000"/>
          <w:sz w:val="21"/>
          <w:szCs w:val="21"/>
        </w:rPr>
        <w:t>至</w:t>
      </w:r>
      <w:r>
        <w:rPr>
          <w:rFonts w:ascii="Times New Roman" w:hint="eastAsia"/>
          <w:color w:val="000000"/>
          <w:sz w:val="21"/>
          <w:szCs w:val="21"/>
        </w:rPr>
        <w:t>17</w:t>
      </w:r>
      <w:r>
        <w:rPr>
          <w:rFonts w:ascii="Times New Roman" w:hint="eastAsia"/>
          <w:color w:val="000000"/>
          <w:sz w:val="21"/>
          <w:szCs w:val="21"/>
        </w:rPr>
        <w:t>岁儿童调查：最后报告》，马尼拉：国家统计局和国际劳工组织取缔童工国际方案。</w:t>
      </w:r>
    </w:p>
    <w:p w:rsidR="00000000" w:rsidRDefault="00821B8F">
      <w:pPr>
        <w:pStyle w:val="BodyText"/>
        <w:spacing w:after="120" w:line="360" w:lineRule="exact"/>
        <w:rPr>
          <w:rFonts w:ascii="Times New Roman" w:hint="eastAsia"/>
          <w:color w:val="000000"/>
          <w:sz w:val="21"/>
        </w:rPr>
      </w:pPr>
      <w:r>
        <w:rPr>
          <w:rFonts w:ascii="Times New Roman" w:hint="eastAsia"/>
          <w:color w:val="000000"/>
          <w:spacing w:val="-4"/>
          <w:sz w:val="21"/>
          <w:lang w:val="en-GB"/>
        </w:rPr>
        <w:t>劳工研究所，《大</w:t>
      </w:r>
      <w:r>
        <w:rPr>
          <w:rFonts w:ascii="Times New Roman" w:hint="eastAsia"/>
          <w:color w:val="000000"/>
          <w:sz w:val="21"/>
          <w:lang w:val="en-GB"/>
        </w:rPr>
        <w:t>马尼拉非正规部门的社会保障和保护</w:t>
      </w:r>
      <w:r>
        <w:rPr>
          <w:rFonts w:ascii="Times New Roman" w:hint="eastAsia"/>
          <w:color w:val="000000"/>
          <w:spacing w:val="-4"/>
          <w:sz w:val="21"/>
          <w:lang w:val="en-GB"/>
        </w:rPr>
        <w:t>》</w:t>
      </w:r>
      <w:r>
        <w:rPr>
          <w:rFonts w:ascii="Times New Roman" w:hint="eastAsia"/>
          <w:color w:val="000000"/>
          <w:sz w:val="21"/>
        </w:rPr>
        <w:t>，</w:t>
      </w:r>
      <w:r>
        <w:rPr>
          <w:rFonts w:ascii="Times New Roman" w:hint="eastAsia"/>
          <w:color w:val="000000"/>
          <w:sz w:val="21"/>
        </w:rPr>
        <w:t>1996</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pacing w:val="-4"/>
          <w:sz w:val="21"/>
          <w:lang w:val="en-GB"/>
        </w:rPr>
        <w:t>劳工研</w:t>
      </w:r>
      <w:r>
        <w:rPr>
          <w:rFonts w:ascii="Times New Roman" w:hint="eastAsia"/>
          <w:color w:val="000000"/>
          <w:spacing w:val="-4"/>
          <w:sz w:val="21"/>
          <w:lang w:val="en-GB"/>
        </w:rPr>
        <w:t>究所，《细察非正规部门工人的工作条件和职业安全与健康》</w:t>
      </w:r>
      <w:r>
        <w:rPr>
          <w:rFonts w:ascii="Times New Roman" w:hint="eastAsia"/>
          <w:color w:val="000000"/>
          <w:sz w:val="21"/>
        </w:rPr>
        <w:t>。</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劳</w:t>
      </w:r>
      <w:r>
        <w:rPr>
          <w:rFonts w:ascii="Times New Roman" w:hint="eastAsia"/>
          <w:color w:val="000000"/>
          <w:spacing w:val="-4"/>
          <w:sz w:val="21"/>
          <w:lang w:val="en-GB"/>
        </w:rPr>
        <w:t>工研究所，《菲律宾的社会保障》。</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政治和施政研究所</w:t>
      </w:r>
      <w:r>
        <w:rPr>
          <w:rFonts w:ascii="Times New Roman" w:hint="eastAsia"/>
          <w:color w:val="000000"/>
          <w:sz w:val="21"/>
          <w:lang w:val="en-GB"/>
        </w:rPr>
        <w:t>，</w:t>
      </w:r>
      <w:r>
        <w:rPr>
          <w:rFonts w:ascii="Times New Roman" w:hint="eastAsia"/>
          <w:color w:val="000000"/>
          <w:sz w:val="21"/>
        </w:rPr>
        <w:t>Ang Kababaihan sa Pulitika at Pamamahala</w:t>
      </w:r>
      <w:r>
        <w:rPr>
          <w:rFonts w:ascii="Times New Roman" w:hint="eastAsia"/>
          <w:color w:val="000000"/>
          <w:sz w:val="21"/>
          <w:lang w:val="en-GB"/>
        </w:rPr>
        <w:t>：</w:t>
      </w:r>
      <w:r>
        <w:rPr>
          <w:rFonts w:ascii="Times New Roman" w:hint="eastAsia"/>
          <w:color w:val="000000"/>
          <w:sz w:val="21"/>
        </w:rPr>
        <w:t>Ang Manual</w:t>
      </w:r>
      <w:r>
        <w:rPr>
          <w:rFonts w:ascii="Times New Roman" w:hint="eastAsia"/>
          <w:color w:val="000000"/>
          <w:sz w:val="21"/>
          <w:lang w:val="en-GB"/>
        </w:rPr>
        <w:t>，</w:t>
      </w:r>
      <w:r>
        <w:rPr>
          <w:rFonts w:ascii="Times New Roman" w:hint="eastAsia"/>
          <w:color w:val="000000"/>
          <w:sz w:val="21"/>
        </w:rPr>
        <w:t>2000</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Javate-De Dios</w:t>
      </w:r>
      <w:r>
        <w:rPr>
          <w:rFonts w:ascii="Times New Roman" w:hint="eastAsia"/>
          <w:color w:val="000000"/>
          <w:sz w:val="21"/>
        </w:rPr>
        <w:t>、</w:t>
      </w:r>
      <w:r>
        <w:rPr>
          <w:rFonts w:ascii="Times New Roman" w:hint="eastAsia"/>
          <w:color w:val="000000"/>
          <w:sz w:val="21"/>
        </w:rPr>
        <w:t>Aurora</w:t>
      </w:r>
      <w:r>
        <w:rPr>
          <w:rFonts w:ascii="Times New Roman" w:hint="eastAsia"/>
          <w:color w:val="000000"/>
          <w:sz w:val="21"/>
        </w:rPr>
        <w:t>。《不再遮掩：菲律宾国内对妇女的暴力》，</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Jimenez-David</w:t>
      </w:r>
      <w:r>
        <w:rPr>
          <w:rFonts w:ascii="Times New Roman" w:hint="eastAsia"/>
          <w:color w:val="000000"/>
          <w:sz w:val="21"/>
          <w:lang w:val="en-GB"/>
        </w:rPr>
        <w:t>，</w:t>
      </w:r>
      <w:r>
        <w:rPr>
          <w:rFonts w:ascii="Times New Roman" w:hint="eastAsia"/>
          <w:color w:val="000000"/>
          <w:sz w:val="21"/>
        </w:rPr>
        <w:t>2002</w:t>
      </w:r>
      <w:r>
        <w:rPr>
          <w:rFonts w:ascii="Times New Roman" w:hint="eastAsia"/>
          <w:color w:val="000000"/>
          <w:sz w:val="21"/>
        </w:rPr>
        <w:t>年。“家庭暴力实属扶贫问题”，《菲律宾每日问询报》，</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31</w:t>
      </w:r>
      <w:r>
        <w:rPr>
          <w:rFonts w:ascii="Times New Roman" w:hint="eastAsia"/>
          <w:color w:val="000000"/>
          <w:sz w:val="21"/>
        </w:rPr>
        <w:t>日。</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Josef</w:t>
      </w:r>
      <w:r>
        <w:rPr>
          <w:rFonts w:ascii="Times New Roman" w:hint="eastAsia"/>
          <w:color w:val="000000"/>
          <w:sz w:val="21"/>
        </w:rPr>
        <w:t>、</w:t>
      </w:r>
      <w:r>
        <w:rPr>
          <w:rFonts w:ascii="Times New Roman" w:hint="eastAsia"/>
          <w:color w:val="000000"/>
          <w:sz w:val="21"/>
        </w:rPr>
        <w:t>Jennifer C.</w:t>
      </w:r>
      <w:r>
        <w:rPr>
          <w:rFonts w:ascii="Times New Roman" w:hint="eastAsia"/>
          <w:color w:val="000000"/>
          <w:sz w:val="21"/>
          <w:lang w:val="en-GB"/>
        </w:rPr>
        <w:t>，</w:t>
      </w:r>
      <w:r>
        <w:rPr>
          <w:rFonts w:ascii="Times New Roman" w:hint="eastAsia"/>
          <w:color w:val="000000"/>
          <w:sz w:val="21"/>
        </w:rPr>
        <w:t>2003</w:t>
      </w:r>
      <w:r>
        <w:rPr>
          <w:rFonts w:ascii="Times New Roman" w:hint="eastAsia"/>
          <w:color w:val="000000"/>
          <w:sz w:val="21"/>
        </w:rPr>
        <w:t>年。“从卖菜的小商贩到</w:t>
      </w:r>
      <w:r>
        <w:rPr>
          <w:rFonts w:ascii="Times New Roman" w:hint="eastAsia"/>
          <w:color w:val="000000"/>
          <w:sz w:val="21"/>
        </w:rPr>
        <w:t>Wagwage</w:t>
      </w:r>
      <w:r>
        <w:rPr>
          <w:rFonts w:ascii="Times New Roman" w:hint="eastAsia"/>
          <w:color w:val="000000"/>
          <w:sz w:val="21"/>
        </w:rPr>
        <w:t>ras</w:t>
      </w:r>
      <w:r>
        <w:rPr>
          <w:rFonts w:ascii="Times New Roman" w:hint="eastAsia"/>
          <w:color w:val="000000"/>
          <w:sz w:val="21"/>
        </w:rPr>
        <w:t>：科迪勒妇女在碧瑶市四年陷入危机”，摘自《承载世界负担：妇女对危机对妇女和女孩影响的思考》，编辑：</w:t>
      </w:r>
      <w:r>
        <w:rPr>
          <w:rFonts w:ascii="Times New Roman" w:hint="eastAsia"/>
          <w:color w:val="000000"/>
          <w:sz w:val="21"/>
        </w:rPr>
        <w:t>Jeanne Frances I.</w:t>
      </w:r>
      <w:r>
        <w:rPr>
          <w:rFonts w:ascii="Times New Roman" w:hint="eastAsia"/>
          <w:color w:val="000000"/>
          <w:sz w:val="21"/>
        </w:rPr>
        <w:t>、</w:t>
      </w:r>
      <w:r>
        <w:rPr>
          <w:rFonts w:ascii="Times New Roman" w:hint="eastAsia"/>
          <w:color w:val="000000"/>
          <w:sz w:val="21"/>
        </w:rPr>
        <w:t>Illo</w:t>
      </w:r>
      <w:r>
        <w:rPr>
          <w:rFonts w:ascii="Times New Roman" w:hint="eastAsia"/>
          <w:color w:val="000000"/>
          <w:sz w:val="21"/>
        </w:rPr>
        <w:t>和</w:t>
      </w:r>
      <w:r>
        <w:rPr>
          <w:rFonts w:ascii="Times New Roman" w:hint="eastAsia"/>
          <w:color w:val="000000"/>
          <w:sz w:val="21"/>
        </w:rPr>
        <w:t>Rosalinda Pineda Ofreneo</w:t>
      </w:r>
      <w:r>
        <w:rPr>
          <w:rFonts w:ascii="Times New Roman" w:hint="eastAsia"/>
          <w:color w:val="000000"/>
          <w:sz w:val="21"/>
        </w:rPr>
        <w:t>。奎松市：菲律宾大学综合发展研究中心。</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共同消除贫穷行动，</w:t>
      </w:r>
      <w:r>
        <w:rPr>
          <w:rFonts w:ascii="Times New Roman" w:hint="eastAsia"/>
          <w:color w:val="000000"/>
          <w:sz w:val="21"/>
        </w:rPr>
        <w:t>2002</w:t>
      </w:r>
      <w:r>
        <w:rPr>
          <w:rFonts w:ascii="Times New Roman" w:hint="eastAsia"/>
          <w:color w:val="000000"/>
          <w:sz w:val="21"/>
        </w:rPr>
        <w:t>年年中报告。</w:t>
      </w:r>
    </w:p>
    <w:p w:rsidR="00000000" w:rsidRDefault="00821B8F">
      <w:pPr>
        <w:pStyle w:val="BodyText"/>
        <w:spacing w:after="120" w:line="360" w:lineRule="exact"/>
        <w:rPr>
          <w:rFonts w:ascii="Times New Roman" w:hint="eastAsia"/>
          <w:color w:val="000000"/>
          <w:spacing w:val="-2"/>
          <w:sz w:val="21"/>
        </w:rPr>
      </w:pPr>
      <w:r>
        <w:rPr>
          <w:rFonts w:ascii="Times New Roman" w:hint="eastAsia"/>
          <w:color w:val="000000"/>
          <w:spacing w:val="-2"/>
          <w:sz w:val="21"/>
        </w:rPr>
        <w:t>Licuanan</w:t>
      </w:r>
      <w:r>
        <w:rPr>
          <w:rFonts w:ascii="Times New Roman" w:hint="eastAsia"/>
          <w:color w:val="000000"/>
          <w:spacing w:val="-2"/>
          <w:sz w:val="21"/>
        </w:rPr>
        <w:t>、</w:t>
      </w:r>
      <w:r>
        <w:rPr>
          <w:rFonts w:ascii="Times New Roman" w:hint="eastAsia"/>
          <w:color w:val="000000"/>
          <w:spacing w:val="-2"/>
          <w:sz w:val="21"/>
        </w:rPr>
        <w:t>Victoria S</w:t>
      </w:r>
      <w:r>
        <w:rPr>
          <w:rFonts w:ascii="Times New Roman"/>
          <w:color w:val="000000"/>
          <w:spacing w:val="-2"/>
          <w:sz w:val="21"/>
        </w:rPr>
        <w:t>.</w:t>
      </w:r>
      <w:r>
        <w:rPr>
          <w:rFonts w:ascii="Times New Roman" w:hint="eastAsia"/>
          <w:color w:val="000000"/>
          <w:spacing w:val="-2"/>
          <w:sz w:val="21"/>
          <w:lang w:val="en-GB"/>
        </w:rPr>
        <w:t>，</w:t>
      </w:r>
      <w:r>
        <w:rPr>
          <w:rFonts w:ascii="Times New Roman" w:hint="eastAsia"/>
          <w:color w:val="000000"/>
          <w:spacing w:val="-2"/>
          <w:sz w:val="21"/>
        </w:rPr>
        <w:t>1998</w:t>
      </w:r>
      <w:r>
        <w:rPr>
          <w:rFonts w:ascii="Times New Roman" w:hint="eastAsia"/>
          <w:color w:val="000000"/>
          <w:spacing w:val="-2"/>
          <w:sz w:val="21"/>
        </w:rPr>
        <w:t>年。《打开封闭的门：菲律宾的经商妇女》。马卡蒂：亚洲管理研究所。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Lim</w:t>
      </w:r>
      <w:r>
        <w:rPr>
          <w:rFonts w:ascii="Times New Roman" w:hint="eastAsia"/>
          <w:color w:val="000000"/>
          <w:sz w:val="21"/>
        </w:rPr>
        <w:t>、</w:t>
      </w:r>
      <w:r>
        <w:rPr>
          <w:rFonts w:ascii="Times New Roman" w:hint="eastAsia"/>
          <w:color w:val="000000"/>
          <w:sz w:val="21"/>
        </w:rPr>
        <w:t>Joseph Y.</w:t>
      </w:r>
      <w:r>
        <w:rPr>
          <w:rFonts w:ascii="Times New Roman" w:hint="eastAsia"/>
          <w:color w:val="000000"/>
          <w:sz w:val="21"/>
          <w:lang w:val="en-GB"/>
        </w:rPr>
        <w:t>，</w:t>
      </w:r>
      <w:r>
        <w:rPr>
          <w:rFonts w:ascii="Times New Roman" w:hint="eastAsia"/>
          <w:color w:val="000000"/>
          <w:sz w:val="21"/>
        </w:rPr>
        <w:t>2000</w:t>
      </w:r>
      <w:r>
        <w:rPr>
          <w:rFonts w:ascii="Times New Roman" w:hint="eastAsia"/>
          <w:color w:val="000000"/>
          <w:sz w:val="21"/>
        </w:rPr>
        <w:t>年。《东亚危机对男女就业的影响》，《世界发展》第</w:t>
      </w:r>
      <w:r>
        <w:rPr>
          <w:rFonts w:ascii="Times New Roman" w:hint="eastAsia"/>
          <w:color w:val="000000"/>
          <w:sz w:val="21"/>
        </w:rPr>
        <w:t>28(7)</w:t>
      </w:r>
      <w:r>
        <w:rPr>
          <w:rFonts w:ascii="Times New Roman" w:hint="eastAsia"/>
          <w:color w:val="000000"/>
          <w:sz w:val="21"/>
        </w:rPr>
        <w:t>期：</w:t>
      </w:r>
      <w:r>
        <w:rPr>
          <w:rFonts w:ascii="Times New Roman" w:hint="eastAsia"/>
          <w:color w:val="000000"/>
          <w:sz w:val="21"/>
        </w:rPr>
        <w:t>1285-1306</w:t>
      </w:r>
      <w:r>
        <w:rPr>
          <w:rFonts w:ascii="Times New Roman" w:hint="eastAsia"/>
          <w:color w:val="000000"/>
          <w:sz w:val="21"/>
        </w:rPr>
        <w:t>。</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菲律宾中期发展计划：</w:t>
      </w:r>
      <w:r>
        <w:rPr>
          <w:rFonts w:ascii="Times New Roman" w:hint="eastAsia"/>
          <w:color w:val="000000"/>
          <w:sz w:val="21"/>
        </w:rPr>
        <w:t>1987-1992</w:t>
      </w:r>
      <w:r>
        <w:rPr>
          <w:rFonts w:ascii="Times New Roman" w:hint="eastAsia"/>
          <w:color w:val="000000"/>
          <w:sz w:val="21"/>
        </w:rPr>
        <w:t>年、</w:t>
      </w:r>
      <w:r>
        <w:rPr>
          <w:rFonts w:ascii="Times New Roman" w:hint="eastAsia"/>
          <w:color w:val="000000"/>
          <w:sz w:val="21"/>
        </w:rPr>
        <w:t>1992-1998</w:t>
      </w:r>
      <w:r>
        <w:rPr>
          <w:rFonts w:ascii="Times New Roman" w:hint="eastAsia"/>
          <w:color w:val="000000"/>
          <w:sz w:val="21"/>
        </w:rPr>
        <w:t>年、</w:t>
      </w:r>
      <w:r>
        <w:rPr>
          <w:rFonts w:ascii="Times New Roman" w:hint="eastAsia"/>
          <w:color w:val="000000"/>
          <w:sz w:val="21"/>
        </w:rPr>
        <w:t>1998-2004</w:t>
      </w:r>
      <w:r>
        <w:rPr>
          <w:rFonts w:ascii="Times New Roman" w:hint="eastAsia"/>
          <w:color w:val="000000"/>
          <w:sz w:val="21"/>
        </w:rPr>
        <w:t>年和</w:t>
      </w:r>
      <w:r>
        <w:rPr>
          <w:rFonts w:ascii="Times New Roman" w:hint="eastAsia"/>
          <w:color w:val="000000"/>
          <w:sz w:val="21"/>
        </w:rPr>
        <w:t>2001-2004</w:t>
      </w:r>
      <w:r>
        <w:rPr>
          <w:rFonts w:ascii="Times New Roman" w:hint="eastAsia"/>
          <w:color w:val="000000"/>
          <w:sz w:val="21"/>
        </w:rPr>
        <w:t>年。</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Morada</w:t>
      </w:r>
      <w:r>
        <w:rPr>
          <w:rFonts w:ascii="Times New Roman" w:hint="eastAsia"/>
          <w:color w:val="000000"/>
          <w:sz w:val="21"/>
        </w:rPr>
        <w:t>、</w:t>
      </w:r>
      <w:r>
        <w:rPr>
          <w:rFonts w:ascii="Times New Roman" w:hint="eastAsia"/>
          <w:color w:val="000000"/>
          <w:sz w:val="21"/>
        </w:rPr>
        <w:t>Hector B</w:t>
      </w:r>
      <w:r>
        <w:rPr>
          <w:rFonts w:ascii="Times New Roman" w:hint="eastAsia"/>
          <w:color w:val="000000"/>
          <w:sz w:val="21"/>
        </w:rPr>
        <w:t>和</w:t>
      </w:r>
      <w:r>
        <w:rPr>
          <w:rFonts w:ascii="Times New Roman" w:hint="eastAsia"/>
          <w:color w:val="000000"/>
          <w:sz w:val="21"/>
        </w:rPr>
        <w:t>Lani Q. Santos</w:t>
      </w:r>
      <w:r>
        <w:rPr>
          <w:rFonts w:ascii="Times New Roman" w:hint="eastAsia"/>
          <w:color w:val="000000"/>
          <w:sz w:val="21"/>
          <w:lang w:val="en-GB"/>
        </w:rPr>
        <w:t>（</w:t>
      </w:r>
      <w:r>
        <w:rPr>
          <w:rFonts w:ascii="Times New Roman" w:hint="eastAsia"/>
          <w:color w:val="000000"/>
          <w:sz w:val="21"/>
        </w:rPr>
        <w:t>1998</w:t>
      </w:r>
      <w:r>
        <w:rPr>
          <w:rFonts w:ascii="Times New Roman" w:hint="eastAsia"/>
          <w:color w:val="000000"/>
          <w:sz w:val="21"/>
        </w:rPr>
        <w:t>年</w:t>
      </w:r>
      <w:r>
        <w:rPr>
          <w:rFonts w:ascii="Times New Roman" w:hint="eastAsia"/>
          <w:color w:val="000000"/>
          <w:sz w:val="21"/>
          <w:lang w:val="en-GB"/>
        </w:rPr>
        <w:t>）</w:t>
      </w:r>
      <w:r>
        <w:rPr>
          <w:rFonts w:ascii="Times New Roman" w:hint="eastAsia"/>
          <w:color w:val="000000"/>
          <w:sz w:val="21"/>
        </w:rPr>
        <w:t>。《就业前的性别歧视：三个阶段的比较》，在第七次全国统计大会上宣读的论文，帕西格市，</w:t>
      </w:r>
      <w:r>
        <w:rPr>
          <w:rFonts w:ascii="Times New Roman" w:hint="eastAsia"/>
          <w:color w:val="000000"/>
          <w:sz w:val="21"/>
        </w:rPr>
        <w:t>EDSA</w:t>
      </w:r>
      <w:r>
        <w:rPr>
          <w:rFonts w:ascii="Times New Roman" w:hint="eastAsia"/>
          <w:color w:val="000000"/>
          <w:sz w:val="21"/>
        </w:rPr>
        <w:t>干道，香格里拉大酒店，</w:t>
      </w:r>
      <w:r>
        <w:rPr>
          <w:rFonts w:ascii="Times New Roman" w:hint="eastAsia"/>
          <w:color w:val="000000"/>
          <w:sz w:val="21"/>
        </w:rPr>
        <w:t>12</w:t>
      </w:r>
      <w:r>
        <w:rPr>
          <w:rFonts w:ascii="Times New Roman" w:hint="eastAsia"/>
          <w:color w:val="000000"/>
          <w:sz w:val="21"/>
        </w:rPr>
        <w:t>月</w:t>
      </w:r>
      <w:r>
        <w:rPr>
          <w:rFonts w:ascii="Times New Roman" w:hint="eastAsia"/>
          <w:color w:val="000000"/>
          <w:sz w:val="21"/>
        </w:rPr>
        <w:t>2</w:t>
      </w:r>
      <w:r>
        <w:rPr>
          <w:rFonts w:ascii="Times New Roman" w:hint="eastAsia"/>
          <w:color w:val="000000"/>
          <w:sz w:val="21"/>
        </w:rPr>
        <w:t>日至</w:t>
      </w:r>
      <w:r>
        <w:rPr>
          <w:rFonts w:ascii="Times New Roman" w:hint="eastAsia"/>
          <w:color w:val="000000"/>
          <w:sz w:val="21"/>
        </w:rPr>
        <w:t>4</w:t>
      </w:r>
      <w:r>
        <w:rPr>
          <w:rFonts w:ascii="Times New Roman" w:hint="eastAsia"/>
          <w:color w:val="000000"/>
          <w:sz w:val="21"/>
        </w:rPr>
        <w:t>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《马尼拉时报》，人类发展述评，</w:t>
      </w:r>
      <w:r>
        <w:rPr>
          <w:rFonts w:ascii="Times New Roman" w:hint="eastAsia"/>
          <w:color w:val="000000"/>
          <w:sz w:val="21"/>
        </w:rPr>
        <w:t>2002</w:t>
      </w:r>
      <w:r>
        <w:rPr>
          <w:rFonts w:ascii="Times New Roman" w:hint="eastAsia"/>
          <w:color w:val="000000"/>
          <w:sz w:val="21"/>
        </w:rPr>
        <w:t>年</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27</w:t>
      </w:r>
      <w:r>
        <w:rPr>
          <w:rFonts w:ascii="Times New Roman" w:hint="eastAsia"/>
          <w:color w:val="000000"/>
          <w:sz w:val="21"/>
        </w:rPr>
        <w:t>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《马尼拉时报》，流离失所妇女和儿童现状的述评，</w:t>
      </w:r>
      <w:r>
        <w:rPr>
          <w:rFonts w:ascii="Times New Roman" w:hint="eastAsia"/>
          <w:color w:val="000000"/>
          <w:sz w:val="21"/>
        </w:rPr>
        <w:t>2002</w:t>
      </w:r>
      <w:r>
        <w:rPr>
          <w:rFonts w:ascii="Times New Roman" w:hint="eastAsia"/>
          <w:color w:val="000000"/>
          <w:sz w:val="21"/>
        </w:rPr>
        <w:t>年</w:t>
      </w:r>
      <w:r>
        <w:rPr>
          <w:rFonts w:ascii="Times New Roman" w:hint="eastAsia"/>
          <w:color w:val="000000"/>
          <w:sz w:val="21"/>
        </w:rPr>
        <w:t>3</w:t>
      </w:r>
      <w:r>
        <w:rPr>
          <w:rFonts w:ascii="Times New Roman" w:hint="eastAsia"/>
          <w:color w:val="000000"/>
          <w:sz w:val="21"/>
        </w:rPr>
        <w:t>月</w:t>
      </w:r>
      <w:r>
        <w:rPr>
          <w:rFonts w:ascii="Times New Roman" w:hint="eastAsia"/>
          <w:color w:val="000000"/>
          <w:sz w:val="21"/>
        </w:rPr>
        <w:t>12</w:t>
      </w:r>
      <w:r>
        <w:rPr>
          <w:rFonts w:ascii="Times New Roman" w:hint="eastAsia"/>
          <w:color w:val="000000"/>
          <w:sz w:val="21"/>
        </w:rPr>
        <w:t>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媒体资料集锦，宏观经济变化对妇女生活的影响，</w:t>
      </w:r>
      <w:r>
        <w:rPr>
          <w:rFonts w:ascii="Times New Roman" w:hint="eastAsia"/>
          <w:color w:val="000000"/>
          <w:sz w:val="21"/>
        </w:rPr>
        <w:t>1995</w:t>
      </w:r>
      <w:r>
        <w:rPr>
          <w:rFonts w:ascii="Times New Roman" w:hint="eastAsia"/>
          <w:color w:val="000000"/>
          <w:sz w:val="21"/>
        </w:rPr>
        <w:t>年</w:t>
      </w:r>
      <w:r>
        <w:rPr>
          <w:rFonts w:ascii="Times New Roman" w:hint="eastAsia"/>
          <w:color w:val="000000"/>
          <w:sz w:val="21"/>
        </w:rPr>
        <w:t>9</w:t>
      </w:r>
      <w:r>
        <w:rPr>
          <w:rFonts w:ascii="Times New Roman" w:hint="eastAsia"/>
          <w:color w:val="000000"/>
          <w:sz w:val="21"/>
        </w:rPr>
        <w:t>月。</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200</w:t>
      </w:r>
      <w:r>
        <w:rPr>
          <w:rFonts w:ascii="Times New Roman" w:hint="eastAsia"/>
          <w:color w:val="000000"/>
          <w:sz w:val="21"/>
        </w:rPr>
        <w:t>1-2004</w:t>
      </w:r>
      <w:r>
        <w:rPr>
          <w:rFonts w:ascii="Times New Roman" w:hint="eastAsia"/>
          <w:color w:val="000000"/>
          <w:sz w:val="21"/>
        </w:rPr>
        <w:t>菲律宾中期发展计划（普及本）。</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墨西哥，《提高妇女在新经济中的经济利益和机会：综述文件》，为第二次亚太经合组织妇女问题部长级会议编写的文件，</w:t>
      </w:r>
      <w:r>
        <w:rPr>
          <w:rFonts w:ascii="Times New Roman" w:hint="eastAsia"/>
          <w:color w:val="000000"/>
          <w:sz w:val="21"/>
        </w:rPr>
        <w:t>2002</w:t>
      </w:r>
      <w:r>
        <w:rPr>
          <w:rFonts w:ascii="Times New Roman" w:hint="eastAsia"/>
          <w:color w:val="000000"/>
          <w:sz w:val="21"/>
        </w:rPr>
        <w:t>年，墨西哥。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国家扶贫委员会，部门大会与会者的参考文件，</w:t>
      </w:r>
      <w:r>
        <w:rPr>
          <w:rFonts w:ascii="Times New Roman" w:hint="eastAsia"/>
          <w:color w:val="000000"/>
          <w:sz w:val="21"/>
        </w:rPr>
        <w:t>2002</w:t>
      </w:r>
      <w:r>
        <w:rPr>
          <w:rFonts w:ascii="Times New Roman" w:hint="eastAsia"/>
          <w:color w:val="000000"/>
          <w:sz w:val="21"/>
        </w:rPr>
        <w:t>年。</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菲律宾妇女作用全国委员会，</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a</w:t>
      </w:r>
      <w:r>
        <w:rPr>
          <w:rFonts w:ascii="Times New Roman" w:hint="eastAsia"/>
          <w:color w:val="000000"/>
          <w:sz w:val="21"/>
        </w:rPr>
        <w:t>。《</w:t>
      </w:r>
      <w:r>
        <w:rPr>
          <w:rFonts w:ascii="Times New Roman" w:hint="eastAsia"/>
          <w:color w:val="000000"/>
          <w:sz w:val="21"/>
        </w:rPr>
        <w:t>2002-2004</w:t>
      </w:r>
      <w:r>
        <w:rPr>
          <w:rFonts w:ascii="Times New Roman" w:hint="eastAsia"/>
          <w:color w:val="000000"/>
          <w:sz w:val="21"/>
        </w:rPr>
        <w:t>年妇女框架计划：宣传手册》，马尼拉：菲律宾妇女作用全国委员会。</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b</w:t>
      </w:r>
      <w:r>
        <w:rPr>
          <w:rFonts w:ascii="Times New Roman" w:hint="eastAsia"/>
          <w:color w:val="000000"/>
          <w:sz w:val="21"/>
          <w:szCs w:val="21"/>
        </w:rPr>
        <w:t>。《性别预算编制：菲律宾的经验》，马尼拉：菲律宾妇女作用全国委员会。</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c</w:t>
      </w:r>
      <w:r>
        <w:rPr>
          <w:rFonts w:ascii="Times New Roman" w:hint="eastAsia"/>
          <w:color w:val="000000"/>
          <w:sz w:val="21"/>
          <w:szCs w:val="21"/>
        </w:rPr>
        <w:t>。《</w:t>
      </w:r>
      <w:r>
        <w:rPr>
          <w:rFonts w:ascii="Times New Roman" w:hint="eastAsia"/>
          <w:color w:val="000000"/>
          <w:sz w:val="21"/>
          <w:szCs w:val="21"/>
        </w:rPr>
        <w:t>2002</w:t>
      </w:r>
      <w:r>
        <w:rPr>
          <w:rFonts w:ascii="Times New Roman" w:hint="eastAsia"/>
          <w:color w:val="000000"/>
          <w:sz w:val="21"/>
          <w:szCs w:val="21"/>
        </w:rPr>
        <w:t>年发展研</w:t>
      </w:r>
      <w:r>
        <w:rPr>
          <w:rFonts w:ascii="Times New Roman" w:hint="eastAsia"/>
          <w:color w:val="000000"/>
          <w:sz w:val="21"/>
          <w:szCs w:val="21"/>
        </w:rPr>
        <w:t>究所体制建设项目第二阶段中的统计机构的实际项目产出》（手稿）。</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1995-2002</w:t>
      </w:r>
      <w:r>
        <w:rPr>
          <w:rFonts w:ascii="Times New Roman" w:hint="eastAsia"/>
          <w:color w:val="000000"/>
          <w:sz w:val="21"/>
          <w:szCs w:val="21"/>
        </w:rPr>
        <w:t>年。《性别与发展预算报告》，马尼拉：菲律宾妇女作用全国委员会。</w:t>
      </w:r>
      <w:r>
        <w:rPr>
          <w:rFonts w:ascii="Times New Roman" w:hint="eastAsia"/>
          <w:color w:val="000000"/>
          <w:sz w:val="21"/>
          <w:szCs w:val="21"/>
        </w:rPr>
        <w:t xml:space="preserve"> </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2001</w:t>
      </w:r>
      <w:r>
        <w:rPr>
          <w:rFonts w:ascii="Times New Roman" w:hint="eastAsia"/>
          <w:color w:val="000000"/>
          <w:sz w:val="21"/>
          <w:szCs w:val="21"/>
        </w:rPr>
        <w:t>年。“性别与发展方面的法典”，马尼拉：菲律宾妇女作用全国委员会。</w:t>
      </w:r>
      <w:r>
        <w:rPr>
          <w:rFonts w:ascii="Times New Roman" w:hint="eastAsia"/>
          <w:color w:val="000000"/>
          <w:sz w:val="21"/>
          <w:szCs w:val="21"/>
        </w:rPr>
        <w:t xml:space="preserve"> </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菲律宾妇女作用全国委员会，</w:t>
      </w:r>
      <w:r>
        <w:rPr>
          <w:rFonts w:ascii="Times New Roman" w:hint="eastAsia"/>
          <w:color w:val="000000"/>
          <w:sz w:val="21"/>
          <w:szCs w:val="21"/>
        </w:rPr>
        <w:t>2000</w:t>
      </w:r>
      <w:r>
        <w:rPr>
          <w:rFonts w:ascii="Times New Roman" w:hint="eastAsia"/>
          <w:color w:val="000000"/>
          <w:sz w:val="21"/>
          <w:szCs w:val="21"/>
        </w:rPr>
        <w:t>年</w:t>
      </w:r>
      <w:r>
        <w:rPr>
          <w:rFonts w:ascii="Times New Roman" w:hint="eastAsia"/>
          <w:color w:val="000000"/>
          <w:sz w:val="21"/>
          <w:szCs w:val="21"/>
        </w:rPr>
        <w:t>a</w:t>
      </w:r>
      <w:r>
        <w:rPr>
          <w:rFonts w:ascii="Times New Roman" w:hint="eastAsia"/>
          <w:color w:val="000000"/>
          <w:sz w:val="21"/>
          <w:szCs w:val="21"/>
        </w:rPr>
        <w:t>。《妇女问题法律汇编》，马尼拉：菲律宾妇女作用全国委员会。</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2000</w:t>
      </w:r>
      <w:r>
        <w:rPr>
          <w:rFonts w:ascii="Times New Roman" w:hint="eastAsia"/>
          <w:color w:val="000000"/>
          <w:sz w:val="21"/>
          <w:szCs w:val="21"/>
        </w:rPr>
        <w:t>年</w:t>
      </w:r>
      <w:r>
        <w:rPr>
          <w:rFonts w:ascii="Times New Roman" w:hint="eastAsia"/>
          <w:color w:val="000000"/>
          <w:sz w:val="21"/>
          <w:szCs w:val="21"/>
        </w:rPr>
        <w:t>b</w:t>
      </w:r>
      <w:r>
        <w:rPr>
          <w:rFonts w:ascii="Times New Roman" w:hint="eastAsia"/>
          <w:color w:val="000000"/>
          <w:sz w:val="21"/>
          <w:szCs w:val="21"/>
        </w:rPr>
        <w:t>。《北京行动纲要执行情况国家报告，</w:t>
      </w:r>
      <w:r>
        <w:rPr>
          <w:rFonts w:ascii="Times New Roman" w:hint="eastAsia"/>
          <w:color w:val="000000"/>
          <w:sz w:val="21"/>
          <w:szCs w:val="21"/>
        </w:rPr>
        <w:t>1995-2000</w:t>
      </w:r>
      <w:r>
        <w:rPr>
          <w:rFonts w:ascii="Times New Roman" w:hint="eastAsia"/>
          <w:color w:val="000000"/>
          <w:sz w:val="21"/>
          <w:szCs w:val="21"/>
        </w:rPr>
        <w:t>年》。</w:t>
      </w:r>
      <w:r>
        <w:rPr>
          <w:rFonts w:ascii="Times New Roman" w:hint="eastAsia"/>
          <w:color w:val="000000"/>
          <w:sz w:val="21"/>
          <w:szCs w:val="21"/>
        </w:rPr>
        <w:t xml:space="preserve"> </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菲律宾妇女作用全国委员会，</w:t>
      </w:r>
      <w:r>
        <w:rPr>
          <w:rFonts w:ascii="Times New Roman" w:hint="eastAsia"/>
          <w:snapToGrid w:val="0"/>
          <w:color w:val="000000"/>
          <w:sz w:val="21"/>
          <w:szCs w:val="21"/>
        </w:rPr>
        <w:t>《菲律宾妇女的实情和数字</w:t>
      </w:r>
      <w:r>
        <w:rPr>
          <w:rFonts w:ascii="Times New Roman" w:hint="eastAsia"/>
          <w:snapToGrid w:val="0"/>
          <w:color w:val="000000"/>
          <w:sz w:val="21"/>
          <w:szCs w:val="21"/>
        </w:rPr>
        <w:t>》，</w:t>
      </w:r>
      <w:r>
        <w:rPr>
          <w:rFonts w:ascii="Times New Roman" w:hint="eastAsia"/>
          <w:snapToGrid w:val="0"/>
          <w:color w:val="000000"/>
          <w:sz w:val="21"/>
          <w:szCs w:val="21"/>
        </w:rPr>
        <w:t>2002</w:t>
      </w:r>
      <w:r>
        <w:rPr>
          <w:rFonts w:ascii="Times New Roman" w:hint="eastAsia"/>
          <w:snapToGrid w:val="0"/>
          <w:color w:val="000000"/>
          <w:sz w:val="21"/>
          <w:szCs w:val="21"/>
        </w:rPr>
        <w:t>年</w:t>
      </w:r>
      <w:r>
        <w:rPr>
          <w:rFonts w:ascii="Times New Roman" w:hint="eastAsia"/>
          <w:snapToGrid w:val="0"/>
          <w:color w:val="000000"/>
          <w:sz w:val="21"/>
          <w:szCs w:val="21"/>
        </w:rPr>
        <w:t>3</w:t>
      </w:r>
      <w:r>
        <w:rPr>
          <w:rFonts w:ascii="Times New Roman" w:hint="eastAsia"/>
          <w:snapToGrid w:val="0"/>
          <w:color w:val="000000"/>
          <w:sz w:val="21"/>
          <w:szCs w:val="21"/>
        </w:rPr>
        <w:t>月。</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菲律宾妇女作用全国委员会，《概况介绍》，</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10</w:t>
      </w:r>
      <w:r>
        <w:rPr>
          <w:rFonts w:ascii="Times New Roman" w:hint="eastAsia"/>
          <w:color w:val="000000"/>
          <w:sz w:val="21"/>
          <w:szCs w:val="21"/>
        </w:rPr>
        <w:t>月。</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菲律宾妇女作用全国委员会，《对妇女暴力的经济代价》。</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菲律宾妇女作用全国委员会，《</w:t>
      </w:r>
      <w:r>
        <w:rPr>
          <w:rFonts w:ascii="Times New Roman" w:hint="eastAsia"/>
          <w:color w:val="000000"/>
          <w:sz w:val="21"/>
          <w:szCs w:val="21"/>
        </w:rPr>
        <w:t>2001</w:t>
      </w:r>
      <w:r>
        <w:rPr>
          <w:rFonts w:ascii="Times New Roman" w:hint="eastAsia"/>
          <w:color w:val="000000"/>
          <w:sz w:val="21"/>
          <w:szCs w:val="21"/>
        </w:rPr>
        <w:t>年菲律宾妇女现状报告：在阿罗约执政时期妇女在健康、教育和政治方面状况良好》。</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菲律宾妇女作用全国委员会，</w:t>
      </w:r>
      <w:r>
        <w:rPr>
          <w:rFonts w:ascii="Times New Roman" w:hint="eastAsia"/>
          <w:color w:val="000000"/>
          <w:sz w:val="21"/>
          <w:szCs w:val="21"/>
        </w:rPr>
        <w:t>1995</w:t>
      </w:r>
      <w:r>
        <w:rPr>
          <w:rFonts w:ascii="Times New Roman" w:hint="eastAsia"/>
          <w:color w:val="000000"/>
          <w:sz w:val="21"/>
          <w:szCs w:val="21"/>
        </w:rPr>
        <w:t>年。《菲律宾对性别问题有敏感认识的发展计划，</w:t>
      </w:r>
      <w:r>
        <w:rPr>
          <w:rFonts w:ascii="Times New Roman" w:hint="eastAsia"/>
          <w:color w:val="000000"/>
          <w:sz w:val="21"/>
          <w:szCs w:val="21"/>
        </w:rPr>
        <w:t>1995-2025</w:t>
      </w:r>
      <w:r>
        <w:rPr>
          <w:rFonts w:ascii="Times New Roman" w:hint="eastAsia"/>
          <w:color w:val="000000"/>
          <w:sz w:val="21"/>
          <w:szCs w:val="21"/>
        </w:rPr>
        <w:t>年》，马尼拉：国家经济和发展管理局及菲律宾妇女作用全国委员会。</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1989</w:t>
      </w:r>
      <w:r>
        <w:rPr>
          <w:rFonts w:ascii="Times New Roman" w:hint="eastAsia"/>
          <w:color w:val="000000"/>
          <w:sz w:val="21"/>
        </w:rPr>
        <w:t>年。《菲律宾妇女发展计划，</w:t>
      </w:r>
      <w:r>
        <w:rPr>
          <w:rFonts w:ascii="Times New Roman" w:hint="eastAsia"/>
          <w:color w:val="000000"/>
          <w:sz w:val="21"/>
        </w:rPr>
        <w:t>1989-1992</w:t>
      </w:r>
      <w:r>
        <w:rPr>
          <w:rFonts w:ascii="Times New Roman" w:hint="eastAsia"/>
          <w:color w:val="000000"/>
          <w:sz w:val="21"/>
        </w:rPr>
        <w:t>年》。马尼拉：国家经济和发展</w:t>
      </w:r>
      <w:r>
        <w:rPr>
          <w:rFonts w:ascii="Times New Roman" w:hint="eastAsia"/>
          <w:color w:val="000000"/>
          <w:sz w:val="21"/>
        </w:rPr>
        <w:t>管理局及菲律宾妇女作用全国委员会。</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国家统计协调委员会，</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a</w:t>
      </w:r>
      <w:r>
        <w:rPr>
          <w:rFonts w:ascii="Times New Roman" w:hint="eastAsia"/>
          <w:color w:val="000000"/>
          <w:sz w:val="21"/>
        </w:rPr>
        <w:t>。《统计：公共秩序、安全和公正》，</w:t>
      </w:r>
      <w:r>
        <w:rPr>
          <w:rFonts w:ascii="Times New Roman" w:hint="eastAsia"/>
          <w:color w:val="000000"/>
          <w:sz w:val="21"/>
        </w:rPr>
        <w:t xml:space="preserve"> </w:t>
      </w:r>
      <w:hyperlink r:id="rId17" w:history="1">
        <w:r>
          <w:rPr>
            <w:rStyle w:val="Hyperlink"/>
            <w:rFonts w:ascii="Times New Roman" w:hint="eastAsia"/>
            <w:color w:val="000000"/>
            <w:sz w:val="21"/>
            <w:szCs w:val="21"/>
          </w:rPr>
          <w:t>http://www.nscb.gov.ph</w:t>
        </w:r>
      </w:hyperlink>
      <w:r>
        <w:rPr>
          <w:rFonts w:ascii="Times New Roman" w:hint="eastAsia"/>
          <w:color w:val="000000"/>
          <w:sz w:val="21"/>
        </w:rPr>
        <w:t>，</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29</w:t>
      </w:r>
      <w:r>
        <w:rPr>
          <w:rFonts w:ascii="Times New Roman" w:hint="eastAsia"/>
          <w:color w:val="000000"/>
          <w:sz w:val="21"/>
        </w:rPr>
        <w:t>日上网查阅。</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b</w:t>
      </w:r>
      <w:r>
        <w:rPr>
          <w:rFonts w:ascii="Times New Roman" w:hint="eastAsia"/>
          <w:color w:val="000000"/>
          <w:sz w:val="21"/>
        </w:rPr>
        <w:t>。《国家观察》，</w:t>
      </w:r>
      <w:r>
        <w:rPr>
          <w:rFonts w:ascii="Times New Roman" w:hint="eastAsia"/>
          <w:color w:val="000000"/>
          <w:sz w:val="21"/>
        </w:rPr>
        <w:t xml:space="preserve"> </w:t>
      </w:r>
      <w:hyperlink r:id="rId18" w:history="1">
        <w:r>
          <w:rPr>
            <w:rStyle w:val="Hyperlink"/>
            <w:rFonts w:ascii="Times New Roman" w:hint="eastAsia"/>
            <w:color w:val="000000"/>
            <w:sz w:val="21"/>
          </w:rPr>
          <w:t>http://www.nscb.gov.ph/stats/statwatch.asp</w:t>
        </w:r>
      </w:hyperlink>
      <w:r>
        <w:rPr>
          <w:rFonts w:ascii="Times New Roman" w:hint="eastAsia"/>
          <w:color w:val="000000"/>
          <w:sz w:val="21"/>
        </w:rPr>
        <w:t>，</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7</w:t>
      </w:r>
      <w:r>
        <w:rPr>
          <w:rFonts w:ascii="Times New Roman" w:hint="eastAsia"/>
          <w:color w:val="000000"/>
          <w:sz w:val="21"/>
        </w:rPr>
        <w:t>日更新。</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c</w:t>
      </w:r>
      <w:r>
        <w:rPr>
          <w:rFonts w:ascii="Times New Roman" w:hint="eastAsia"/>
          <w:color w:val="000000"/>
          <w:sz w:val="21"/>
        </w:rPr>
        <w:t>。《菲律宾的男女：菲律宾男女的统计资料》，</w:t>
      </w:r>
      <w:hyperlink r:id="rId19" w:history="1">
        <w:r>
          <w:rPr>
            <w:rStyle w:val="Hyperlink"/>
            <w:rFonts w:ascii="Times New Roman" w:hint="eastAsia"/>
            <w:color w:val="000000"/>
            <w:sz w:val="21"/>
            <w:szCs w:val="21"/>
          </w:rPr>
          <w:t>http:/</w:t>
        </w:r>
        <w:r>
          <w:rPr>
            <w:rStyle w:val="Hyperlink"/>
            <w:rFonts w:ascii="Times New Roman" w:hint="eastAsia"/>
            <w:color w:val="000000"/>
            <w:sz w:val="21"/>
            <w:szCs w:val="21"/>
          </w:rPr>
          <w:t>/</w:t>
        </w:r>
        <w:r>
          <w:rPr>
            <w:rStyle w:val="Hyperlink"/>
            <w:rFonts w:ascii="Times New Roman" w:hint="eastAsia"/>
            <w:color w:val="000000"/>
            <w:sz w:val="21"/>
            <w:szCs w:val="21"/>
          </w:rPr>
          <w:t>www.nscb.gov.ph/</w:t>
        </w:r>
        <w:r>
          <w:rPr>
            <w:rStyle w:val="Hyperlink"/>
            <w:rFonts w:ascii="Times New Roman" w:hint="eastAsia"/>
            <w:color w:val="000000"/>
            <w:sz w:val="21"/>
            <w:szCs w:val="21"/>
          </w:rPr>
          <w:t>s</w:t>
        </w:r>
        <w:r>
          <w:rPr>
            <w:rStyle w:val="Hyperlink"/>
            <w:rFonts w:ascii="Times New Roman" w:hint="eastAsia"/>
            <w:color w:val="000000"/>
            <w:sz w:val="21"/>
            <w:szCs w:val="21"/>
          </w:rPr>
          <w:t>tats/</w:t>
        </w:r>
        <w:r>
          <w:rPr>
            <w:rStyle w:val="Hyperlink"/>
            <w:rFonts w:ascii="Times New Roman" w:hint="eastAsia"/>
            <w:color w:val="000000"/>
            <w:sz w:val="21"/>
            <w:szCs w:val="21"/>
          </w:rPr>
          <w:t>w</w:t>
        </w:r>
        <w:r>
          <w:rPr>
            <w:rStyle w:val="Hyperlink"/>
            <w:rFonts w:ascii="Times New Roman" w:hint="eastAsia"/>
            <w:color w:val="000000"/>
            <w:sz w:val="21"/>
            <w:szCs w:val="21"/>
          </w:rPr>
          <w:t>mfa</w:t>
        </w:r>
        <w:r>
          <w:rPr>
            <w:rStyle w:val="Hyperlink"/>
            <w:rFonts w:ascii="Times New Roman" w:hint="eastAsia"/>
            <w:color w:val="000000"/>
            <w:sz w:val="21"/>
            <w:szCs w:val="21"/>
          </w:rPr>
          <w:t>c</w:t>
        </w:r>
        <w:r>
          <w:rPr>
            <w:rStyle w:val="Hyperlink"/>
            <w:rFonts w:ascii="Times New Roman" w:hint="eastAsia"/>
            <w:color w:val="000000"/>
            <w:sz w:val="21"/>
            <w:szCs w:val="21"/>
          </w:rPr>
          <w:t>t.asp</w:t>
        </w:r>
      </w:hyperlink>
      <w:r>
        <w:rPr>
          <w:rFonts w:ascii="Times New Roman" w:hint="eastAsia"/>
          <w:color w:val="000000"/>
          <w:sz w:val="21"/>
        </w:rPr>
        <w:t>，</w:t>
      </w:r>
      <w:r>
        <w:rPr>
          <w:rFonts w:ascii="Times New Roman" w:hint="eastAsia"/>
          <w:color w:val="000000"/>
          <w:sz w:val="21"/>
        </w:rPr>
        <w:t>8</w:t>
      </w:r>
      <w:r>
        <w:rPr>
          <w:rFonts w:ascii="Times New Roman" w:hint="eastAsia"/>
          <w:color w:val="000000"/>
          <w:sz w:val="21"/>
        </w:rPr>
        <w:t>月</w:t>
      </w:r>
      <w:r>
        <w:rPr>
          <w:rFonts w:ascii="Times New Roman" w:hint="eastAsia"/>
          <w:color w:val="000000"/>
          <w:sz w:val="21"/>
        </w:rPr>
        <w:t>13</w:t>
      </w:r>
      <w:r>
        <w:rPr>
          <w:rFonts w:ascii="Times New Roman" w:hint="eastAsia"/>
          <w:color w:val="000000"/>
          <w:sz w:val="21"/>
        </w:rPr>
        <w:t>日上网查阅。</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1995</w:t>
      </w:r>
      <w:r>
        <w:rPr>
          <w:rFonts w:ascii="Times New Roman" w:hint="eastAsia"/>
          <w:color w:val="000000"/>
          <w:sz w:val="21"/>
        </w:rPr>
        <w:t>年。《产妇和婴儿死亡率问题技术工作组的最后报告》，草稿。</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国家统计协调委员会，</w:t>
      </w:r>
      <w:r>
        <w:rPr>
          <w:rFonts w:ascii="Times New Roman" w:hint="eastAsia"/>
          <w:color w:val="000000"/>
          <w:sz w:val="21"/>
        </w:rPr>
        <w:t>2001</w:t>
      </w:r>
      <w:r>
        <w:rPr>
          <w:rFonts w:ascii="Times New Roman" w:hint="eastAsia"/>
          <w:color w:val="000000"/>
          <w:sz w:val="21"/>
        </w:rPr>
        <w:t>年。《对妇女的暴力统计手册》。</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国家统计协调委员会，《菲律宾男女手册》，</w:t>
      </w:r>
      <w:r>
        <w:rPr>
          <w:rFonts w:ascii="Times New Roman" w:hint="eastAsia"/>
          <w:color w:val="000000"/>
          <w:sz w:val="21"/>
        </w:rPr>
        <w:t>1999</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w:t>
      </w:r>
      <w:r>
        <w:rPr>
          <w:rFonts w:ascii="Times New Roman" w:hint="eastAsia"/>
          <w:color w:val="000000"/>
          <w:sz w:val="21"/>
        </w:rPr>
        <w:t>统计协调委员会，《菲律宾贫穷状况统计资料：</w:t>
      </w:r>
      <w:r>
        <w:rPr>
          <w:rFonts w:ascii="Times New Roman" w:hint="eastAsia"/>
          <w:color w:val="000000"/>
          <w:sz w:val="21"/>
        </w:rPr>
        <w:t>2000</w:t>
      </w:r>
      <w:r>
        <w:rPr>
          <w:rFonts w:ascii="Times New Roman" w:hint="eastAsia"/>
          <w:color w:val="000000"/>
          <w:sz w:val="21"/>
        </w:rPr>
        <w:t>年初步结果》，</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9</w:t>
      </w:r>
      <w:r>
        <w:rPr>
          <w:rFonts w:ascii="Times New Roman" w:hint="eastAsia"/>
          <w:color w:val="000000"/>
          <w:sz w:val="21"/>
        </w:rPr>
        <w:t>月。</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国家统计协调委员会，《产妇和婴儿死亡率问题技术工作组的最后报告》，</w:t>
      </w:r>
      <w:r>
        <w:rPr>
          <w:rFonts w:ascii="Times New Roman" w:hint="eastAsia"/>
          <w:color w:val="000000"/>
          <w:sz w:val="21"/>
        </w:rPr>
        <w:t>1995</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国家统计协调委员会，《制定男女对经济贡献的计量框架》。</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国家统计协调委员会，《统计汇编》，</w:t>
      </w:r>
      <w:r>
        <w:rPr>
          <w:rFonts w:ascii="Times New Roman" w:hint="eastAsia"/>
          <w:color w:val="000000"/>
          <w:sz w:val="21"/>
        </w:rPr>
        <w:t>2002</w:t>
      </w:r>
      <w:r>
        <w:rPr>
          <w:rFonts w:ascii="Times New Roman" w:hint="eastAsia"/>
          <w:color w:val="000000"/>
          <w:sz w:val="21"/>
        </w:rPr>
        <w:t>年</w:t>
      </w:r>
      <w:r>
        <w:rPr>
          <w:rFonts w:ascii="Times New Roman" w:hint="eastAsia"/>
          <w:color w:val="000000"/>
          <w:sz w:val="21"/>
        </w:rPr>
        <w:t>9</w:t>
      </w:r>
      <w:r>
        <w:rPr>
          <w:rFonts w:ascii="Times New Roman" w:hint="eastAsia"/>
          <w:color w:val="000000"/>
          <w:sz w:val="21"/>
        </w:rPr>
        <w:t>月。</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国家统计局，</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a</w:t>
      </w:r>
      <w:r>
        <w:rPr>
          <w:rFonts w:ascii="Times New Roman" w:hint="eastAsia"/>
          <w:color w:val="000000"/>
          <w:sz w:val="21"/>
        </w:rPr>
        <w:t>。《按地区和城乡</w:t>
      </w:r>
      <w:r>
        <w:rPr>
          <w:rFonts w:ascii="Times New Roman" w:hint="eastAsia"/>
          <w:color w:val="000000"/>
          <w:sz w:val="21"/>
          <w:szCs w:val="21"/>
        </w:rPr>
        <w:t>分列</w:t>
      </w:r>
      <w:r>
        <w:rPr>
          <w:rFonts w:ascii="Times New Roman" w:hint="eastAsia"/>
          <w:color w:val="000000"/>
          <w:sz w:val="21"/>
        </w:rPr>
        <w:t>的人口贫穷发生率：</w:t>
      </w:r>
      <w:r>
        <w:rPr>
          <w:rFonts w:ascii="Times New Roman" w:hint="eastAsia"/>
          <w:color w:val="000000"/>
          <w:sz w:val="21"/>
        </w:rPr>
        <w:t>1994</w:t>
      </w:r>
      <w:r>
        <w:rPr>
          <w:rFonts w:ascii="Times New Roman" w:hint="eastAsia"/>
          <w:color w:val="000000"/>
          <w:sz w:val="21"/>
        </w:rPr>
        <w:t>、</w:t>
      </w:r>
      <w:r>
        <w:rPr>
          <w:rFonts w:ascii="Times New Roman" w:hint="eastAsia"/>
          <w:color w:val="000000"/>
          <w:sz w:val="21"/>
        </w:rPr>
        <w:t>1997</w:t>
      </w:r>
      <w:r>
        <w:rPr>
          <w:rFonts w:ascii="Times New Roman" w:hint="eastAsia"/>
          <w:color w:val="000000"/>
          <w:sz w:val="21"/>
        </w:rPr>
        <w:t>和</w:t>
      </w:r>
      <w:r>
        <w:rPr>
          <w:rFonts w:ascii="Times New Roman" w:hint="eastAsia"/>
          <w:color w:val="000000"/>
          <w:sz w:val="21"/>
        </w:rPr>
        <w:t>2000</w:t>
      </w:r>
      <w:r>
        <w:rPr>
          <w:rFonts w:ascii="Times New Roman" w:hint="eastAsia"/>
          <w:color w:val="000000"/>
          <w:sz w:val="21"/>
        </w:rPr>
        <w:t>年》，</w:t>
      </w:r>
      <w:hyperlink r:id="rId20" w:history="1">
        <w:r>
          <w:rPr>
            <w:rStyle w:val="Hyperlink"/>
            <w:rFonts w:ascii="Times New Roman" w:hint="eastAsia"/>
            <w:color w:val="000000"/>
            <w:sz w:val="21"/>
            <w:szCs w:val="21"/>
          </w:rPr>
          <w:t>http://www.census.gov.ph</w:t>
        </w:r>
      </w:hyperlink>
      <w:r>
        <w:rPr>
          <w:rFonts w:ascii="Times New Roman" w:hint="eastAsia"/>
          <w:color w:val="000000"/>
          <w:sz w:val="21"/>
        </w:rPr>
        <w:t>，</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18</w:t>
      </w:r>
      <w:r>
        <w:rPr>
          <w:rFonts w:ascii="Times New Roman" w:hint="eastAsia"/>
          <w:color w:val="000000"/>
          <w:sz w:val="21"/>
        </w:rPr>
        <w:t>日</w:t>
      </w:r>
      <w:r>
        <w:rPr>
          <w:rFonts w:ascii="Times New Roman" w:hint="eastAsia"/>
          <w:color w:val="000000"/>
          <w:sz w:val="21"/>
        </w:rPr>
        <w:t>上网查阅。</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b</w:t>
      </w:r>
      <w:r>
        <w:rPr>
          <w:rFonts w:ascii="Times New Roman" w:hint="eastAsia"/>
          <w:color w:val="000000"/>
          <w:sz w:val="21"/>
        </w:rPr>
        <w:t>。《按地区和性别分列的海外菲律宾工人人数，各年的数据》（根据国家统计局海外菲律宾人的调查），</w:t>
      </w:r>
      <w:hyperlink r:id="rId21" w:history="1">
        <w:r>
          <w:rPr>
            <w:rStyle w:val="Hyperlink"/>
            <w:rFonts w:ascii="Times New Roman" w:hint="eastAsia"/>
            <w:color w:val="000000"/>
            <w:sz w:val="21"/>
            <w:szCs w:val="21"/>
          </w:rPr>
          <w:t>http://www.census.gov.ph</w:t>
        </w:r>
      </w:hyperlink>
      <w:r>
        <w:rPr>
          <w:rFonts w:ascii="Times New Roman" w:hint="eastAsia"/>
          <w:color w:val="000000"/>
          <w:sz w:val="21"/>
        </w:rPr>
        <w:t>，</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20</w:t>
      </w:r>
      <w:r>
        <w:rPr>
          <w:rFonts w:ascii="Times New Roman" w:hint="eastAsia"/>
          <w:color w:val="000000"/>
          <w:sz w:val="21"/>
        </w:rPr>
        <w:t>日上网查阅。</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c</w:t>
      </w:r>
      <w:r>
        <w:rPr>
          <w:rFonts w:ascii="Times New Roman" w:hint="eastAsia"/>
          <w:color w:val="000000"/>
          <w:sz w:val="21"/>
        </w:rPr>
        <w:t>。《劳动力统计表》（各年的数据），</w:t>
      </w:r>
      <w:hyperlink r:id="rId22" w:history="1">
        <w:r>
          <w:rPr>
            <w:rStyle w:val="Hyperlink"/>
            <w:rFonts w:ascii="Times New Roman" w:hint="eastAsia"/>
            <w:color w:val="000000"/>
            <w:sz w:val="21"/>
            <w:szCs w:val="21"/>
          </w:rPr>
          <w:t>http://www.census.gov.ph</w:t>
        </w:r>
      </w:hyperlink>
      <w:r>
        <w:rPr>
          <w:rFonts w:ascii="Times New Roman" w:hint="eastAsia"/>
          <w:color w:val="000000"/>
          <w:sz w:val="21"/>
        </w:rPr>
        <w:t>，</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20</w:t>
      </w:r>
      <w:r>
        <w:rPr>
          <w:rFonts w:ascii="Times New Roman" w:hint="eastAsia"/>
          <w:color w:val="000000"/>
          <w:sz w:val="21"/>
        </w:rPr>
        <w:t>日上网查</w:t>
      </w:r>
      <w:r>
        <w:rPr>
          <w:rFonts w:ascii="Times New Roman" w:hint="eastAsia"/>
          <w:color w:val="000000"/>
          <w:sz w:val="21"/>
        </w:rPr>
        <w:t>阅。</w:t>
      </w:r>
    </w:p>
    <w:p w:rsidR="00000000" w:rsidRDefault="00821B8F">
      <w:pPr>
        <w:pStyle w:val="BodyText"/>
        <w:spacing w:after="120" w:line="360" w:lineRule="exact"/>
        <w:ind w:left="360" w:hanging="360"/>
        <w:rPr>
          <w:rFonts w:ascii="Times New Roman" w:hint="eastAsia"/>
          <w:color w:val="000000"/>
          <w:spacing w:val="-2"/>
          <w:sz w:val="21"/>
        </w:rPr>
      </w:pPr>
      <w:r>
        <w:rPr>
          <w:rFonts w:ascii="Times New Roman" w:hint="eastAsia"/>
          <w:color w:val="000000"/>
          <w:spacing w:val="-2"/>
          <w:sz w:val="21"/>
        </w:rPr>
        <w:t>__________</w:t>
      </w:r>
      <w:r>
        <w:rPr>
          <w:rFonts w:ascii="Times New Roman" w:hint="eastAsia"/>
          <w:color w:val="000000"/>
          <w:spacing w:val="-2"/>
          <w:sz w:val="21"/>
        </w:rPr>
        <w:t>，</w:t>
      </w:r>
      <w:r>
        <w:rPr>
          <w:rFonts w:ascii="Times New Roman" w:hint="eastAsia"/>
          <w:color w:val="000000"/>
          <w:spacing w:val="-2"/>
          <w:sz w:val="21"/>
        </w:rPr>
        <w:t>2003</w:t>
      </w:r>
      <w:r>
        <w:rPr>
          <w:rFonts w:ascii="Times New Roman" w:hint="eastAsia"/>
          <w:color w:val="000000"/>
          <w:spacing w:val="-2"/>
          <w:sz w:val="21"/>
        </w:rPr>
        <w:t>年</w:t>
      </w:r>
      <w:r>
        <w:rPr>
          <w:rFonts w:ascii="Times New Roman" w:hint="eastAsia"/>
          <w:color w:val="000000"/>
          <w:spacing w:val="-2"/>
          <w:sz w:val="21"/>
        </w:rPr>
        <w:t>d</w:t>
      </w:r>
      <w:r>
        <w:rPr>
          <w:rFonts w:ascii="Times New Roman" w:hint="eastAsia"/>
          <w:color w:val="000000"/>
          <w:spacing w:val="-2"/>
          <w:sz w:val="21"/>
        </w:rPr>
        <w:t>。《贫穷指数年度调查，</w:t>
      </w:r>
      <w:r>
        <w:rPr>
          <w:rFonts w:ascii="Times New Roman" w:hint="eastAsia"/>
          <w:color w:val="000000"/>
          <w:spacing w:val="-2"/>
          <w:sz w:val="21"/>
        </w:rPr>
        <w:t>2002</w:t>
      </w:r>
      <w:r>
        <w:rPr>
          <w:rFonts w:ascii="Times New Roman" w:hint="eastAsia"/>
          <w:color w:val="000000"/>
          <w:spacing w:val="-2"/>
          <w:sz w:val="21"/>
        </w:rPr>
        <w:t>年</w:t>
      </w:r>
      <w:r>
        <w:rPr>
          <w:rFonts w:ascii="Times New Roman" w:hint="eastAsia"/>
          <w:color w:val="000000"/>
          <w:spacing w:val="-2"/>
          <w:sz w:val="21"/>
        </w:rPr>
        <w:t>7</w:t>
      </w:r>
      <w:r>
        <w:rPr>
          <w:rFonts w:ascii="Times New Roman" w:hint="eastAsia"/>
          <w:color w:val="000000"/>
          <w:spacing w:val="-2"/>
          <w:sz w:val="21"/>
        </w:rPr>
        <w:t>月（初步结果）》，</w:t>
      </w:r>
      <w:r>
        <w:rPr>
          <w:rFonts w:ascii="Times New Roman" w:hint="eastAsia"/>
          <w:color w:val="000000"/>
          <w:spacing w:val="-2"/>
          <w:sz w:val="21"/>
        </w:rPr>
        <w:t>2003</w:t>
      </w:r>
      <w:r>
        <w:rPr>
          <w:rFonts w:ascii="Times New Roman" w:hint="eastAsia"/>
          <w:color w:val="000000"/>
          <w:spacing w:val="-2"/>
          <w:sz w:val="21"/>
        </w:rPr>
        <w:t>年</w:t>
      </w:r>
      <w:r>
        <w:rPr>
          <w:rFonts w:ascii="Times New Roman" w:hint="eastAsia"/>
          <w:color w:val="000000"/>
          <w:spacing w:val="-2"/>
          <w:sz w:val="21"/>
        </w:rPr>
        <w:t>1</w:t>
      </w:r>
      <w:r>
        <w:rPr>
          <w:rFonts w:ascii="Times New Roman" w:hint="eastAsia"/>
          <w:color w:val="000000"/>
          <w:spacing w:val="-2"/>
          <w:sz w:val="21"/>
        </w:rPr>
        <w:t>月</w:t>
      </w:r>
      <w:r>
        <w:rPr>
          <w:rFonts w:ascii="Times New Roman" w:hint="eastAsia"/>
          <w:color w:val="000000"/>
          <w:spacing w:val="-2"/>
          <w:sz w:val="21"/>
        </w:rPr>
        <w:t>8</w:t>
      </w:r>
      <w:r>
        <w:rPr>
          <w:rFonts w:ascii="Times New Roman" w:hint="eastAsia"/>
          <w:color w:val="000000"/>
          <w:spacing w:val="-2"/>
          <w:sz w:val="21"/>
        </w:rPr>
        <w:t>日发布的数据，</w:t>
      </w:r>
      <w:hyperlink r:id="rId23" w:history="1">
        <w:r>
          <w:rPr>
            <w:rStyle w:val="Hyperlink"/>
            <w:rFonts w:ascii="Times New Roman" w:hint="eastAsia"/>
            <w:color w:val="000000"/>
            <w:spacing w:val="-2"/>
            <w:sz w:val="21"/>
            <w:szCs w:val="21"/>
          </w:rPr>
          <w:t>http://www.census.gov.ph</w:t>
        </w:r>
      </w:hyperlink>
      <w:r>
        <w:rPr>
          <w:rFonts w:ascii="Times New Roman" w:hint="eastAsia"/>
          <w:color w:val="000000"/>
          <w:spacing w:val="-2"/>
          <w:sz w:val="21"/>
        </w:rPr>
        <w:t>，</w:t>
      </w:r>
      <w:r>
        <w:rPr>
          <w:rFonts w:ascii="Times New Roman" w:hint="eastAsia"/>
          <w:color w:val="000000"/>
          <w:spacing w:val="-2"/>
          <w:sz w:val="21"/>
        </w:rPr>
        <w:t>8</w:t>
      </w:r>
      <w:r>
        <w:rPr>
          <w:rFonts w:ascii="Times New Roman" w:hint="eastAsia"/>
          <w:color w:val="000000"/>
          <w:spacing w:val="-2"/>
          <w:sz w:val="21"/>
        </w:rPr>
        <w:t>月</w:t>
      </w:r>
      <w:r>
        <w:rPr>
          <w:rFonts w:ascii="Times New Roman" w:hint="eastAsia"/>
          <w:color w:val="000000"/>
          <w:spacing w:val="-2"/>
          <w:sz w:val="21"/>
        </w:rPr>
        <w:t>4</w:t>
      </w:r>
      <w:r>
        <w:rPr>
          <w:rFonts w:ascii="Times New Roman" w:hint="eastAsia"/>
          <w:color w:val="000000"/>
          <w:spacing w:val="-2"/>
          <w:sz w:val="21"/>
        </w:rPr>
        <w:t>日上网查阅。</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e</w:t>
      </w:r>
      <w:r>
        <w:rPr>
          <w:rFonts w:ascii="Times New Roman" w:hint="eastAsia"/>
          <w:color w:val="000000"/>
          <w:sz w:val="21"/>
        </w:rPr>
        <w:t>。《计划生育</w:t>
      </w:r>
      <w:r>
        <w:rPr>
          <w:rFonts w:ascii="Times New Roman" w:hint="eastAsia"/>
          <w:color w:val="000000"/>
          <w:sz w:val="21"/>
          <w:szCs w:val="21"/>
        </w:rPr>
        <w:t>统计表</w:t>
      </w:r>
      <w:r>
        <w:rPr>
          <w:rFonts w:ascii="Times New Roman" w:hint="eastAsia"/>
          <w:color w:val="000000"/>
          <w:sz w:val="21"/>
        </w:rPr>
        <w:t>：</w:t>
      </w:r>
      <w:r>
        <w:rPr>
          <w:rFonts w:ascii="Times New Roman" w:hint="eastAsia"/>
          <w:color w:val="000000"/>
          <w:sz w:val="21"/>
        </w:rPr>
        <w:t>1997</w:t>
      </w:r>
      <w:r>
        <w:rPr>
          <w:rFonts w:ascii="Times New Roman" w:hint="eastAsia"/>
          <w:color w:val="000000"/>
          <w:sz w:val="21"/>
        </w:rPr>
        <w:t>、</w:t>
      </w:r>
      <w:r>
        <w:rPr>
          <w:rFonts w:ascii="Times New Roman" w:hint="eastAsia"/>
          <w:color w:val="000000"/>
          <w:sz w:val="21"/>
        </w:rPr>
        <w:t>2000</w:t>
      </w:r>
      <w:r>
        <w:rPr>
          <w:rFonts w:ascii="Times New Roman" w:hint="eastAsia"/>
          <w:color w:val="000000"/>
          <w:sz w:val="21"/>
        </w:rPr>
        <w:t>、</w:t>
      </w:r>
      <w:r>
        <w:rPr>
          <w:rFonts w:ascii="Times New Roman" w:hint="eastAsia"/>
          <w:color w:val="000000"/>
          <w:sz w:val="21"/>
        </w:rPr>
        <w:t>2001</w:t>
      </w:r>
      <w:r>
        <w:rPr>
          <w:rFonts w:ascii="Times New Roman" w:hint="eastAsia"/>
          <w:color w:val="000000"/>
          <w:sz w:val="21"/>
        </w:rPr>
        <w:t>和</w:t>
      </w:r>
      <w:r>
        <w:rPr>
          <w:rFonts w:ascii="Times New Roman" w:hint="eastAsia"/>
          <w:color w:val="000000"/>
          <w:sz w:val="21"/>
        </w:rPr>
        <w:t>2002</w:t>
      </w:r>
      <w:r>
        <w:rPr>
          <w:rFonts w:ascii="Times New Roman" w:hint="eastAsia"/>
          <w:color w:val="000000"/>
          <w:sz w:val="21"/>
        </w:rPr>
        <w:t>年》，</w:t>
      </w:r>
      <w:hyperlink r:id="rId24" w:history="1">
        <w:r>
          <w:rPr>
            <w:rStyle w:val="Hyperlink"/>
            <w:rFonts w:ascii="Times New Roman" w:hint="eastAsia"/>
            <w:color w:val="000000"/>
            <w:sz w:val="21"/>
            <w:szCs w:val="21"/>
          </w:rPr>
          <w:t>http://www.census.gov.ph</w:t>
        </w:r>
      </w:hyperlink>
      <w:r>
        <w:rPr>
          <w:rFonts w:ascii="Times New Roman" w:hint="eastAsia"/>
          <w:color w:val="000000"/>
          <w:sz w:val="21"/>
        </w:rPr>
        <w:t>，</w:t>
      </w:r>
      <w:r>
        <w:rPr>
          <w:rFonts w:ascii="Times New Roman" w:hint="eastAsia"/>
          <w:color w:val="000000"/>
          <w:spacing w:val="-2"/>
          <w:sz w:val="21"/>
        </w:rPr>
        <w:t>8</w:t>
      </w:r>
      <w:r>
        <w:rPr>
          <w:rFonts w:ascii="Times New Roman" w:hint="eastAsia"/>
          <w:color w:val="000000"/>
          <w:spacing w:val="-2"/>
          <w:sz w:val="21"/>
        </w:rPr>
        <w:t>月</w:t>
      </w:r>
      <w:r>
        <w:rPr>
          <w:rFonts w:ascii="Times New Roman" w:hint="eastAsia"/>
          <w:color w:val="000000"/>
          <w:spacing w:val="-2"/>
          <w:sz w:val="21"/>
        </w:rPr>
        <w:t>4</w:t>
      </w:r>
      <w:r>
        <w:rPr>
          <w:rFonts w:ascii="Times New Roman" w:hint="eastAsia"/>
          <w:color w:val="000000"/>
          <w:spacing w:val="-2"/>
          <w:sz w:val="21"/>
        </w:rPr>
        <w:t>日上网查阅。</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f</w:t>
      </w:r>
      <w:r>
        <w:rPr>
          <w:rFonts w:ascii="Times New Roman" w:hint="eastAsia"/>
          <w:color w:val="000000"/>
          <w:sz w:val="21"/>
        </w:rPr>
        <w:t>。《口服避孕药：女性避孕是</w:t>
      </w:r>
      <w:r>
        <w:rPr>
          <w:rFonts w:ascii="Times New Roman" w:hint="eastAsia"/>
          <w:color w:val="000000"/>
          <w:sz w:val="21"/>
          <w:szCs w:val="21"/>
        </w:rPr>
        <w:t>计划生育</w:t>
      </w:r>
      <w:r>
        <w:rPr>
          <w:rFonts w:ascii="Times New Roman" w:hint="eastAsia"/>
          <w:color w:val="000000"/>
          <w:sz w:val="21"/>
        </w:rPr>
        <w:t>的主要方法（</w:t>
      </w:r>
      <w:r>
        <w:rPr>
          <w:rFonts w:ascii="Times New Roman" w:hint="eastAsia"/>
          <w:color w:val="000000"/>
          <w:sz w:val="21"/>
        </w:rPr>
        <w:t>2002</w:t>
      </w:r>
      <w:r>
        <w:rPr>
          <w:rFonts w:ascii="Times New Roman" w:hint="eastAsia"/>
          <w:color w:val="000000"/>
          <w:sz w:val="21"/>
        </w:rPr>
        <w:t>年计划生育调查的最后结果）》，</w:t>
      </w:r>
      <w:r>
        <w:rPr>
          <w:rFonts w:ascii="Times New Roman" w:hint="eastAsia"/>
          <w:color w:val="000000"/>
          <w:sz w:val="21"/>
        </w:rPr>
        <w:t>2003</w:t>
      </w:r>
      <w:r>
        <w:rPr>
          <w:rFonts w:ascii="Times New Roman" w:hint="eastAsia"/>
          <w:color w:val="000000"/>
          <w:sz w:val="21"/>
        </w:rPr>
        <w:t>年新闻稿。</w:t>
      </w:r>
      <w:hyperlink r:id="rId25" w:history="1">
        <w:r>
          <w:rPr>
            <w:rStyle w:val="Hyperlink"/>
            <w:rFonts w:ascii="Times New Roman" w:hint="eastAsia"/>
            <w:color w:val="000000"/>
            <w:sz w:val="21"/>
            <w:szCs w:val="21"/>
          </w:rPr>
          <w:t>http://www.census.gov.ph</w:t>
        </w:r>
      </w:hyperlink>
      <w:r>
        <w:rPr>
          <w:rFonts w:ascii="Times New Roman" w:hint="eastAsia"/>
          <w:color w:val="000000"/>
          <w:sz w:val="21"/>
        </w:rPr>
        <w:t>，</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20</w:t>
      </w:r>
      <w:r>
        <w:rPr>
          <w:rFonts w:ascii="Times New Roman" w:hint="eastAsia"/>
          <w:color w:val="000000"/>
          <w:sz w:val="21"/>
        </w:rPr>
        <w:t>日上网查阅。</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g</w:t>
      </w:r>
      <w:r>
        <w:rPr>
          <w:rFonts w:ascii="Times New Roman" w:hint="eastAsia"/>
          <w:color w:val="000000"/>
          <w:sz w:val="21"/>
        </w:rPr>
        <w:t>。《大多数地区目前采用</w:t>
      </w:r>
      <w:r>
        <w:rPr>
          <w:rFonts w:ascii="Times New Roman" w:hint="eastAsia"/>
          <w:color w:val="000000"/>
          <w:sz w:val="21"/>
          <w:szCs w:val="21"/>
        </w:rPr>
        <w:t>现代</w:t>
      </w:r>
      <w:r>
        <w:rPr>
          <w:rFonts w:ascii="Times New Roman" w:hint="eastAsia"/>
          <w:color w:val="000000"/>
          <w:sz w:val="21"/>
        </w:rPr>
        <w:t>避孕方法（</w:t>
      </w:r>
      <w:r>
        <w:rPr>
          <w:rFonts w:ascii="Times New Roman" w:hint="eastAsia"/>
          <w:color w:val="000000"/>
          <w:sz w:val="21"/>
        </w:rPr>
        <w:t>2002</w:t>
      </w:r>
      <w:r>
        <w:rPr>
          <w:rFonts w:ascii="Times New Roman" w:hint="eastAsia"/>
          <w:color w:val="000000"/>
          <w:sz w:val="21"/>
        </w:rPr>
        <w:t>年计划生育调查的最后结果）》（</w:t>
      </w:r>
      <w:r>
        <w:rPr>
          <w:rFonts w:ascii="Times New Roman" w:hint="eastAsia"/>
          <w:color w:val="000000"/>
          <w:sz w:val="21"/>
        </w:rPr>
        <w:t>2003</w:t>
      </w:r>
      <w:r>
        <w:rPr>
          <w:rFonts w:ascii="Times New Roman" w:hint="eastAsia"/>
          <w:color w:val="000000"/>
          <w:sz w:val="21"/>
        </w:rPr>
        <w:t>年新闻稿）。</w:t>
      </w:r>
      <w:r>
        <w:rPr>
          <w:rFonts w:ascii="Times New Roman" w:hint="eastAsia"/>
          <w:color w:val="000000"/>
          <w:sz w:val="21"/>
        </w:rPr>
        <w:fldChar w:fldCharType="begin"/>
      </w:r>
      <w:r>
        <w:rPr>
          <w:rFonts w:ascii="Times New Roman" w:hint="eastAsia"/>
          <w:color w:val="000000"/>
          <w:sz w:val="21"/>
        </w:rPr>
        <w:instrText xml:space="preserve"> HYPERLINK "http://www.census.gov.ph"</w:instrText>
      </w:r>
      <w:r>
        <w:rPr>
          <w:rFonts w:ascii="Times New Roman" w:hint="eastAsia"/>
          <w:color w:val="000000"/>
          <w:sz w:val="21"/>
        </w:rPr>
        <w:instrText xml:space="preserve"> </w:instrText>
      </w:r>
      <w:r>
        <w:rPr>
          <w:rFonts w:ascii="Times New Roman"/>
          <w:color w:val="000000"/>
          <w:sz w:val="21"/>
        </w:rPr>
      </w:r>
      <w:r>
        <w:rPr>
          <w:rFonts w:ascii="Times New Roman" w:hint="eastAsia"/>
          <w:color w:val="000000"/>
          <w:sz w:val="21"/>
        </w:rPr>
        <w:fldChar w:fldCharType="separate"/>
      </w:r>
      <w:r>
        <w:rPr>
          <w:rStyle w:val="Hyperlink"/>
          <w:rFonts w:ascii="Times New Roman" w:hint="eastAsia"/>
          <w:color w:val="000000"/>
          <w:sz w:val="21"/>
          <w:szCs w:val="21"/>
        </w:rPr>
        <w:t>http://</w:t>
      </w:r>
      <w:r>
        <w:rPr>
          <w:rStyle w:val="Hyperlink"/>
          <w:rFonts w:ascii="Times New Roman" w:hint="eastAsia"/>
          <w:color w:val="000000"/>
          <w:sz w:val="21"/>
          <w:szCs w:val="21"/>
        </w:rPr>
        <w:t>w</w:t>
      </w:r>
      <w:r>
        <w:rPr>
          <w:rStyle w:val="Hyperlink"/>
          <w:rFonts w:ascii="Times New Roman" w:hint="eastAsia"/>
          <w:color w:val="000000"/>
          <w:sz w:val="21"/>
          <w:szCs w:val="21"/>
        </w:rPr>
        <w:t>ww.census.gov.ph</w:t>
      </w:r>
      <w:r>
        <w:rPr>
          <w:rFonts w:ascii="Times New Roman" w:hint="eastAsia"/>
          <w:color w:val="000000"/>
          <w:sz w:val="21"/>
        </w:rPr>
        <w:fldChar w:fldCharType="end"/>
      </w:r>
      <w:r>
        <w:rPr>
          <w:rFonts w:ascii="Times New Roman" w:hint="eastAsia"/>
          <w:color w:val="000000"/>
          <w:sz w:val="21"/>
        </w:rPr>
        <w:t>，</w:t>
      </w:r>
      <w:r>
        <w:rPr>
          <w:rFonts w:ascii="Times New Roman" w:hint="eastAsia"/>
          <w:color w:val="000000"/>
          <w:sz w:val="21"/>
        </w:rPr>
        <w:t>7</w:t>
      </w:r>
      <w:r>
        <w:rPr>
          <w:rFonts w:ascii="Times New Roman" w:hint="eastAsia"/>
          <w:color w:val="000000"/>
          <w:sz w:val="21"/>
        </w:rPr>
        <w:t>月</w:t>
      </w:r>
      <w:r>
        <w:rPr>
          <w:rFonts w:ascii="Times New Roman" w:hint="eastAsia"/>
          <w:color w:val="000000"/>
          <w:sz w:val="21"/>
        </w:rPr>
        <w:t>29</w:t>
      </w:r>
      <w:r>
        <w:rPr>
          <w:rFonts w:ascii="Times New Roman" w:hint="eastAsia"/>
          <w:color w:val="000000"/>
          <w:sz w:val="21"/>
        </w:rPr>
        <w:t>日上网查阅。</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__________</w:t>
      </w:r>
      <w:r>
        <w:rPr>
          <w:rFonts w:ascii="Times New Roman" w:hint="eastAsia"/>
          <w:color w:val="000000"/>
          <w:sz w:val="21"/>
          <w:szCs w:val="21"/>
        </w:rPr>
        <w:t>，</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h</w:t>
      </w:r>
      <w:r>
        <w:rPr>
          <w:rFonts w:ascii="Times New Roman" w:hint="eastAsia"/>
          <w:color w:val="000000"/>
          <w:sz w:val="21"/>
          <w:szCs w:val="21"/>
        </w:rPr>
        <w:t>。《性别统计数据一览》（最经常查询的国家统计局按性别分列的统计数据），截至</w:t>
      </w:r>
      <w:r>
        <w:rPr>
          <w:rFonts w:ascii="Times New Roman" w:hint="eastAsia"/>
          <w:color w:val="000000"/>
          <w:sz w:val="21"/>
          <w:szCs w:val="21"/>
        </w:rPr>
        <w:t>2003</w:t>
      </w:r>
      <w:r>
        <w:rPr>
          <w:rFonts w:ascii="Times New Roman" w:hint="eastAsia"/>
          <w:color w:val="000000"/>
          <w:sz w:val="21"/>
          <w:szCs w:val="21"/>
        </w:rPr>
        <w:t>年第二季度，</w:t>
      </w:r>
      <w:hyperlink r:id="rId26" w:history="1">
        <w:r>
          <w:rPr>
            <w:rStyle w:val="Hyperlink"/>
            <w:rFonts w:ascii="Times New Roman" w:hint="eastAsia"/>
            <w:color w:val="000000"/>
            <w:sz w:val="21"/>
            <w:szCs w:val="21"/>
          </w:rPr>
          <w:t>http://www.census.gov.ph</w:t>
        </w:r>
      </w:hyperlink>
      <w:r>
        <w:rPr>
          <w:rFonts w:ascii="Times New Roman" w:hint="eastAsia"/>
          <w:color w:val="000000"/>
          <w:sz w:val="21"/>
          <w:szCs w:val="21"/>
        </w:rPr>
        <w:t>，</w:t>
      </w:r>
      <w:r>
        <w:rPr>
          <w:rFonts w:ascii="Times New Roman" w:hint="eastAsia"/>
          <w:color w:val="000000"/>
          <w:sz w:val="21"/>
          <w:szCs w:val="21"/>
        </w:rPr>
        <w:t>7</w:t>
      </w:r>
      <w:r>
        <w:rPr>
          <w:rFonts w:ascii="Times New Roman" w:hint="eastAsia"/>
          <w:color w:val="000000"/>
          <w:sz w:val="21"/>
          <w:szCs w:val="21"/>
        </w:rPr>
        <w:t>月</w:t>
      </w:r>
      <w:r>
        <w:rPr>
          <w:rFonts w:ascii="Times New Roman" w:hint="eastAsia"/>
          <w:color w:val="000000"/>
          <w:sz w:val="21"/>
          <w:szCs w:val="21"/>
        </w:rPr>
        <w:t>23</w:t>
      </w:r>
      <w:r>
        <w:rPr>
          <w:rFonts w:ascii="Times New Roman" w:hint="eastAsia"/>
          <w:color w:val="000000"/>
          <w:sz w:val="21"/>
          <w:szCs w:val="21"/>
        </w:rPr>
        <w:t>日上网查询。</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2002</w:t>
      </w:r>
      <w:r>
        <w:rPr>
          <w:rFonts w:ascii="Times New Roman" w:hint="eastAsia"/>
          <w:color w:val="000000"/>
          <w:sz w:val="21"/>
        </w:rPr>
        <w:t>年。《</w:t>
      </w:r>
      <w:r>
        <w:rPr>
          <w:rFonts w:ascii="Times New Roman" w:hint="eastAsia"/>
          <w:color w:val="000000"/>
          <w:sz w:val="21"/>
        </w:rPr>
        <w:t>2002</w:t>
      </w:r>
      <w:r>
        <w:rPr>
          <w:rFonts w:ascii="Times New Roman" w:hint="eastAsia"/>
          <w:color w:val="000000"/>
          <w:sz w:val="21"/>
        </w:rPr>
        <w:t>年菲律宾年鉴》，马尼拉：国家统计局。</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2000</w:t>
      </w:r>
      <w:r>
        <w:rPr>
          <w:rFonts w:ascii="Times New Roman" w:hint="eastAsia"/>
          <w:color w:val="000000"/>
          <w:sz w:val="21"/>
        </w:rPr>
        <w:t>年。《</w:t>
      </w:r>
      <w:r>
        <w:rPr>
          <w:rFonts w:ascii="Times New Roman" w:hint="eastAsia"/>
          <w:color w:val="000000"/>
          <w:sz w:val="21"/>
        </w:rPr>
        <w:t>2000</w:t>
      </w:r>
      <w:r>
        <w:rPr>
          <w:rFonts w:ascii="Times New Roman" w:hint="eastAsia"/>
          <w:color w:val="000000"/>
          <w:sz w:val="21"/>
        </w:rPr>
        <w:t>年人口普查》，马尼拉</w:t>
      </w:r>
      <w:r>
        <w:rPr>
          <w:rFonts w:ascii="Times New Roman" w:hint="eastAsia"/>
          <w:color w:val="000000"/>
          <w:sz w:val="21"/>
        </w:rPr>
        <w:t>：国家统计局。</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1999</w:t>
      </w:r>
      <w:r>
        <w:rPr>
          <w:rFonts w:ascii="Times New Roman" w:hint="eastAsia"/>
          <w:color w:val="000000"/>
          <w:sz w:val="21"/>
        </w:rPr>
        <w:t>年</w:t>
      </w:r>
      <w:r>
        <w:rPr>
          <w:rFonts w:ascii="Times New Roman" w:hint="eastAsia"/>
          <w:color w:val="000000"/>
          <w:sz w:val="21"/>
        </w:rPr>
        <w:t>a</w:t>
      </w:r>
      <w:r>
        <w:rPr>
          <w:rFonts w:ascii="Times New Roman" w:hint="eastAsia"/>
          <w:color w:val="000000"/>
          <w:sz w:val="21"/>
        </w:rPr>
        <w:t>。《</w:t>
      </w:r>
      <w:r>
        <w:rPr>
          <w:rFonts w:ascii="Times New Roman" w:hint="eastAsia"/>
          <w:color w:val="000000"/>
          <w:sz w:val="21"/>
        </w:rPr>
        <w:t>1994</w:t>
      </w:r>
      <w:r>
        <w:rPr>
          <w:rFonts w:ascii="Times New Roman" w:hint="eastAsia"/>
          <w:color w:val="000000"/>
          <w:sz w:val="21"/>
        </w:rPr>
        <w:t>年实用扫盲、教育和大众传媒调查》，马尼拉：国家统计局。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1999</w:t>
      </w:r>
      <w:r>
        <w:rPr>
          <w:rFonts w:ascii="Times New Roman" w:hint="eastAsia"/>
          <w:color w:val="000000"/>
          <w:sz w:val="21"/>
        </w:rPr>
        <w:t>年</w:t>
      </w:r>
      <w:r>
        <w:rPr>
          <w:rFonts w:ascii="Times New Roman" w:hint="eastAsia"/>
          <w:color w:val="000000"/>
          <w:sz w:val="21"/>
        </w:rPr>
        <w:t>b</w:t>
      </w:r>
      <w:r>
        <w:rPr>
          <w:rFonts w:ascii="Times New Roman" w:hint="eastAsia"/>
          <w:color w:val="000000"/>
          <w:sz w:val="21"/>
        </w:rPr>
        <w:t>。《</w:t>
      </w:r>
      <w:r>
        <w:rPr>
          <w:rFonts w:ascii="Times New Roman" w:hint="eastAsia"/>
          <w:color w:val="000000"/>
          <w:sz w:val="21"/>
        </w:rPr>
        <w:t>1999</w:t>
      </w:r>
      <w:r>
        <w:rPr>
          <w:rFonts w:ascii="Times New Roman" w:hint="eastAsia"/>
          <w:color w:val="000000"/>
          <w:sz w:val="21"/>
        </w:rPr>
        <w:t>年菲律宾年鉴》，马尼拉：国家统计局。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1998</w:t>
      </w:r>
      <w:r>
        <w:rPr>
          <w:rFonts w:ascii="Times New Roman" w:hint="eastAsia"/>
          <w:color w:val="000000"/>
          <w:sz w:val="21"/>
        </w:rPr>
        <w:t>年。《全国人口和健康调查》，马尼拉：国家统计局。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1997</w:t>
      </w:r>
      <w:r>
        <w:rPr>
          <w:rFonts w:ascii="Times New Roman" w:hint="eastAsia"/>
          <w:color w:val="000000"/>
          <w:sz w:val="21"/>
        </w:rPr>
        <w:t>年。《菲律宾健康统计资料》，马尼拉：国家统计局。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1995</w:t>
      </w:r>
      <w:r>
        <w:rPr>
          <w:rFonts w:ascii="Times New Roman" w:hint="eastAsia"/>
          <w:color w:val="000000"/>
          <w:sz w:val="21"/>
        </w:rPr>
        <w:t>年。《</w:t>
      </w:r>
      <w:r>
        <w:rPr>
          <w:rFonts w:ascii="Times New Roman" w:hint="eastAsia"/>
          <w:color w:val="000000"/>
          <w:sz w:val="21"/>
        </w:rPr>
        <w:t>1995</w:t>
      </w:r>
      <w:r>
        <w:rPr>
          <w:rFonts w:ascii="Times New Roman" w:hint="eastAsia"/>
          <w:color w:val="000000"/>
          <w:sz w:val="21"/>
        </w:rPr>
        <w:t>年人口普查》，马尼拉：国家统计局。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国家统计局，《</w:t>
      </w:r>
      <w:r>
        <w:rPr>
          <w:rFonts w:ascii="Times New Roman" w:hint="eastAsia"/>
          <w:color w:val="000000"/>
          <w:sz w:val="21"/>
        </w:rPr>
        <w:t>1995</w:t>
      </w:r>
      <w:r>
        <w:rPr>
          <w:rFonts w:ascii="Times New Roman" w:hint="eastAsia"/>
          <w:color w:val="000000"/>
          <w:sz w:val="21"/>
        </w:rPr>
        <w:t>年人口普查》。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国家统计局，《</w:t>
      </w:r>
      <w:r>
        <w:rPr>
          <w:rFonts w:ascii="Times New Roman" w:hint="eastAsia"/>
          <w:color w:val="000000"/>
          <w:sz w:val="21"/>
        </w:rPr>
        <w:t>1998</w:t>
      </w:r>
      <w:r>
        <w:rPr>
          <w:rFonts w:ascii="Times New Roman" w:hint="eastAsia"/>
          <w:color w:val="000000"/>
          <w:sz w:val="21"/>
        </w:rPr>
        <w:t>年人口和</w:t>
      </w:r>
      <w:r>
        <w:rPr>
          <w:rFonts w:ascii="Times New Roman" w:hint="eastAsia"/>
          <w:color w:val="000000"/>
          <w:sz w:val="21"/>
        </w:rPr>
        <w:t>健康调查》。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国家统计局，《十月家庭综合调查公报：</w:t>
      </w:r>
      <w:r>
        <w:rPr>
          <w:rFonts w:ascii="Times New Roman" w:hint="eastAsia"/>
          <w:color w:val="000000"/>
          <w:sz w:val="21"/>
        </w:rPr>
        <w:t>1995-2000</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国家统计局，《七月家庭综合调查公报：</w:t>
      </w:r>
      <w:r>
        <w:rPr>
          <w:rFonts w:ascii="Times New Roman" w:hint="eastAsia"/>
          <w:color w:val="000000"/>
          <w:sz w:val="21"/>
        </w:rPr>
        <w:t>2001</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国家统计局，《菲律宾实验性定时调查的运作》。</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国家统计局，《</w:t>
      </w:r>
      <w:r>
        <w:rPr>
          <w:rFonts w:ascii="Times New Roman" w:hint="eastAsia"/>
          <w:color w:val="000000"/>
          <w:sz w:val="21"/>
        </w:rPr>
        <w:t>2001</w:t>
      </w:r>
      <w:r>
        <w:rPr>
          <w:rFonts w:ascii="Times New Roman" w:hint="eastAsia"/>
          <w:color w:val="000000"/>
          <w:sz w:val="21"/>
        </w:rPr>
        <w:t>年计划生育调查》。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国家统计局，《</w:t>
      </w:r>
      <w:r>
        <w:rPr>
          <w:rFonts w:ascii="Times New Roman" w:hint="eastAsia"/>
          <w:color w:val="000000"/>
          <w:sz w:val="21"/>
        </w:rPr>
        <w:t>1995</w:t>
      </w:r>
      <w:r>
        <w:rPr>
          <w:rFonts w:ascii="Times New Roman" w:hint="eastAsia"/>
          <w:color w:val="000000"/>
          <w:sz w:val="21"/>
        </w:rPr>
        <w:t>年城市非正规部门的调查》。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职业安全和保健中心，《铅与半导体行业的女工》，</w:t>
      </w:r>
      <w:r>
        <w:rPr>
          <w:rFonts w:ascii="Times New Roman" w:hint="eastAsia"/>
          <w:color w:val="000000"/>
          <w:sz w:val="21"/>
        </w:rPr>
        <w:t>1996</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职业安全和保健中心，《公立学校教师健康状况调查（第一阶段）》，</w:t>
      </w:r>
      <w:r>
        <w:rPr>
          <w:rFonts w:ascii="Times New Roman" w:hint="eastAsia"/>
          <w:color w:val="000000"/>
          <w:sz w:val="21"/>
        </w:rPr>
        <w:t>1997</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职业安全和保健中心，《政府部门女工的多重负担》，</w:t>
      </w:r>
      <w:r>
        <w:rPr>
          <w:rFonts w:ascii="Times New Roman" w:hint="eastAsia"/>
          <w:color w:val="000000"/>
          <w:sz w:val="21"/>
        </w:rPr>
        <w:t>1999</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职业安全和保健中心，《菲律宾部分半导体和微电子公</w:t>
      </w:r>
      <w:r>
        <w:rPr>
          <w:rFonts w:ascii="Times New Roman" w:hint="eastAsia"/>
          <w:color w:val="000000"/>
          <w:sz w:val="21"/>
        </w:rPr>
        <w:t>司接触有机溶液的女工的健康状况》，</w:t>
      </w:r>
      <w:r>
        <w:rPr>
          <w:rFonts w:ascii="Times New Roman" w:hint="eastAsia"/>
          <w:color w:val="000000"/>
          <w:sz w:val="21"/>
        </w:rPr>
        <w:t>2001</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职业安全和保健中心，《白班和夜班女工的健康和福祉之比较》，</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 xml:space="preserve">  </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职业安全和保健中心，</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a</w:t>
      </w:r>
      <w:r>
        <w:rPr>
          <w:rFonts w:ascii="Times New Roman" w:hint="eastAsia"/>
          <w:color w:val="000000"/>
          <w:sz w:val="21"/>
        </w:rPr>
        <w:t>。《菲律宾</w:t>
      </w:r>
      <w:r>
        <w:rPr>
          <w:rFonts w:ascii="Times New Roman" w:hint="eastAsia"/>
          <w:color w:val="000000"/>
          <w:sz w:val="21"/>
          <w:szCs w:val="21"/>
        </w:rPr>
        <w:t>部分</w:t>
      </w:r>
      <w:r>
        <w:rPr>
          <w:rFonts w:ascii="Times New Roman" w:hint="eastAsia"/>
          <w:color w:val="000000"/>
          <w:sz w:val="21"/>
        </w:rPr>
        <w:t>半导体和微电子公司接触有机溶液的女工的健康状况》，奎松市：劳工和就业部职业安全和保健中心。</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b</w:t>
      </w:r>
      <w:r>
        <w:rPr>
          <w:rFonts w:ascii="Times New Roman" w:hint="eastAsia"/>
          <w:color w:val="000000"/>
          <w:sz w:val="21"/>
        </w:rPr>
        <w:t>。《白班和夜班女工的健康和福祉之比较》，奎松市：职业安全和保健中心。</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1999</w:t>
      </w:r>
      <w:r>
        <w:rPr>
          <w:rFonts w:ascii="Times New Roman" w:hint="eastAsia"/>
          <w:color w:val="000000"/>
          <w:sz w:val="21"/>
        </w:rPr>
        <w:t>年。《政府部门女工的多重负担》，奎松市：劳工和就业部职业安全和保健中心。</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职业安全和保健中心，</w:t>
      </w:r>
      <w:r>
        <w:rPr>
          <w:rFonts w:ascii="Times New Roman" w:hint="eastAsia"/>
          <w:color w:val="000000"/>
          <w:sz w:val="21"/>
        </w:rPr>
        <w:t>1997</w:t>
      </w:r>
      <w:r>
        <w:rPr>
          <w:rFonts w:ascii="Times New Roman" w:hint="eastAsia"/>
          <w:color w:val="000000"/>
          <w:sz w:val="21"/>
        </w:rPr>
        <w:t>年。《公立学校</w:t>
      </w:r>
      <w:r>
        <w:rPr>
          <w:rFonts w:ascii="Times New Roman" w:hint="eastAsia"/>
          <w:color w:val="000000"/>
          <w:sz w:val="21"/>
        </w:rPr>
        <w:t>教师健康状况的研究（第一阶段）》，奎松市：劳工和就业部职业安全和保健中心。</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1996</w:t>
      </w:r>
      <w:r>
        <w:rPr>
          <w:rFonts w:ascii="Times New Roman" w:hint="eastAsia"/>
          <w:color w:val="000000"/>
          <w:sz w:val="21"/>
        </w:rPr>
        <w:t>年。《铅与半导体行业的女工》，奎松市：劳工和就业部职业安全和保健中心。</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Ofreneo</w:t>
      </w:r>
      <w:r>
        <w:rPr>
          <w:rFonts w:ascii="Times New Roman" w:hint="eastAsia"/>
          <w:color w:val="000000"/>
          <w:sz w:val="21"/>
        </w:rPr>
        <w:t>、</w:t>
      </w:r>
      <w:r>
        <w:rPr>
          <w:rFonts w:ascii="Times New Roman" w:hint="eastAsia"/>
          <w:color w:val="000000"/>
          <w:sz w:val="21"/>
        </w:rPr>
        <w:t>Rosalinda Pineda</w:t>
      </w:r>
      <w:r>
        <w:rPr>
          <w:rFonts w:ascii="Times New Roman" w:hint="eastAsia"/>
          <w:color w:val="000000"/>
          <w:sz w:val="21"/>
        </w:rPr>
        <w:t>。《全球化与赋予经济权力》，未出版、未标明日期。</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Ofreneo</w:t>
      </w:r>
      <w:r>
        <w:rPr>
          <w:rFonts w:ascii="Times New Roman" w:hint="eastAsia"/>
          <w:color w:val="000000"/>
          <w:sz w:val="21"/>
        </w:rPr>
        <w:t>、</w:t>
      </w:r>
      <w:r>
        <w:rPr>
          <w:rFonts w:ascii="Times New Roman" w:hint="eastAsia"/>
          <w:color w:val="000000"/>
          <w:sz w:val="21"/>
        </w:rPr>
        <w:t>Rosalinda Pineda</w:t>
      </w:r>
      <w:r>
        <w:rPr>
          <w:rFonts w:ascii="Times New Roman" w:hint="eastAsia"/>
          <w:color w:val="000000"/>
          <w:sz w:val="21"/>
        </w:rPr>
        <w:t>、</w:t>
      </w:r>
      <w:r>
        <w:rPr>
          <w:rFonts w:ascii="Times New Roman" w:hint="eastAsia"/>
          <w:color w:val="000000"/>
          <w:sz w:val="21"/>
        </w:rPr>
        <w:t xml:space="preserve">Jurgette </w:t>
      </w:r>
      <w:r>
        <w:rPr>
          <w:rFonts w:ascii="Times New Roman" w:hint="eastAsia"/>
          <w:color w:val="000000"/>
          <w:sz w:val="21"/>
          <w:szCs w:val="21"/>
        </w:rPr>
        <w:t>Honculada</w:t>
      </w:r>
      <w:r>
        <w:rPr>
          <w:rFonts w:ascii="Times New Roman" w:hint="eastAsia"/>
          <w:color w:val="000000"/>
          <w:sz w:val="21"/>
        </w:rPr>
        <w:t>和</w:t>
      </w:r>
      <w:r>
        <w:rPr>
          <w:rFonts w:ascii="Times New Roman" w:hint="eastAsia"/>
          <w:color w:val="000000"/>
          <w:sz w:val="21"/>
        </w:rPr>
        <w:t>Jocelyn Bellin</w:t>
      </w:r>
      <w:r>
        <w:rPr>
          <w:rFonts w:ascii="Times New Roman" w:hint="eastAsia"/>
          <w:color w:val="000000"/>
          <w:sz w:val="21"/>
        </w:rPr>
        <w:t>。《甲米地出口加工区女工健康方面持续存在的问题》，未标明日期。</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Ofreneo</w:t>
      </w:r>
      <w:r>
        <w:rPr>
          <w:rFonts w:ascii="Times New Roman" w:hint="eastAsia"/>
          <w:color w:val="000000"/>
          <w:sz w:val="21"/>
        </w:rPr>
        <w:t>、</w:t>
      </w:r>
      <w:r>
        <w:rPr>
          <w:rFonts w:ascii="Times New Roman" w:hint="eastAsia"/>
          <w:color w:val="000000"/>
          <w:sz w:val="21"/>
        </w:rPr>
        <w:t>Rosalinda Pineda</w:t>
      </w:r>
      <w:r>
        <w:rPr>
          <w:rFonts w:ascii="Times New Roman" w:hint="eastAsia"/>
          <w:color w:val="000000"/>
          <w:sz w:val="21"/>
        </w:rPr>
        <w:t>。《妇女</w:t>
      </w:r>
      <w:r>
        <w:rPr>
          <w:rFonts w:ascii="Times New Roman" w:hint="eastAsia"/>
          <w:color w:val="000000"/>
          <w:sz w:val="21"/>
        </w:rPr>
        <w:t>与贫穷》，菲律宾北京会议后记分委员会。</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rPr>
        <w:t>菲律宾北京会议后记分委员会，</w:t>
      </w:r>
      <w:r>
        <w:rPr>
          <w:rFonts w:ascii="Times New Roman" w:hint="eastAsia"/>
          <w:color w:val="000000"/>
          <w:sz w:val="21"/>
        </w:rPr>
        <w:t>1998</w:t>
      </w:r>
      <w:r>
        <w:rPr>
          <w:rFonts w:ascii="Times New Roman" w:hint="eastAsia"/>
          <w:color w:val="000000"/>
          <w:sz w:val="21"/>
        </w:rPr>
        <w:t>年。《</w:t>
      </w:r>
      <w:r>
        <w:rPr>
          <w:rFonts w:ascii="Times New Roman" w:hint="eastAsia"/>
          <w:color w:val="000000"/>
          <w:sz w:val="21"/>
          <w:szCs w:val="21"/>
        </w:rPr>
        <w:t>菲律宾北京会议后记分委员会公报》，关于菲律宾非政府组织为联合国北京行动纲要五年回顾所做的全国筹备工作的四期专刊中的第二期。</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菲律宾北京会议后记分委员会</w:t>
      </w:r>
      <w:r>
        <w:rPr>
          <w:rFonts w:ascii="Times New Roman" w:hint="eastAsia"/>
          <w:color w:val="000000"/>
          <w:sz w:val="21"/>
          <w:szCs w:val="21"/>
        </w:rPr>
        <w:t>,</w:t>
      </w:r>
      <w:r>
        <w:rPr>
          <w:rFonts w:ascii="Times New Roman" w:hint="eastAsia"/>
          <w:color w:val="000000"/>
          <w:sz w:val="21"/>
          <w:szCs w:val="21"/>
        </w:rPr>
        <w:t>《菲律宾北京会议后记分委员会公报》，关于菲律宾非政府组织为联合国北京行动纲要五年回顾所做的全国筹备工作的四期专刊中的第二期。</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《菲律宾每日问讯报》，</w:t>
      </w:r>
      <w:r>
        <w:rPr>
          <w:rFonts w:ascii="Times New Roman" w:hint="eastAsia"/>
          <w:color w:val="000000"/>
          <w:sz w:val="21"/>
          <w:szCs w:val="21"/>
        </w:rPr>
        <w:t>2002</w:t>
      </w:r>
      <w:r>
        <w:rPr>
          <w:rFonts w:ascii="Times New Roman" w:hint="eastAsia"/>
          <w:color w:val="000000"/>
          <w:sz w:val="21"/>
          <w:szCs w:val="21"/>
        </w:rPr>
        <w:t>年。《流离失所妇女和儿童的现实情况》，</w:t>
      </w:r>
      <w:hyperlink r:id="rId27" w:history="1">
        <w:r>
          <w:rPr>
            <w:rFonts w:ascii="Times New Roman" w:hint="eastAsia"/>
            <w:color w:val="000000"/>
            <w:sz w:val="21"/>
            <w:szCs w:val="21"/>
            <w:u w:val="single"/>
          </w:rPr>
          <w:t>www.inq</w:t>
        </w:r>
        <w:r>
          <w:rPr>
            <w:rFonts w:ascii="Times New Roman" w:hint="eastAsia"/>
            <w:color w:val="000000"/>
            <w:sz w:val="21"/>
            <w:szCs w:val="21"/>
            <w:u w:val="single"/>
          </w:rPr>
          <w:t>7.net</w:t>
        </w:r>
      </w:hyperlink>
      <w:r>
        <w:rPr>
          <w:rFonts w:ascii="Times New Roman" w:hint="eastAsia"/>
          <w:color w:val="000000"/>
          <w:sz w:val="21"/>
          <w:szCs w:val="21"/>
        </w:rPr>
        <w:t>，</w:t>
      </w:r>
      <w:r>
        <w:rPr>
          <w:rFonts w:ascii="Times New Roman" w:hint="eastAsia"/>
          <w:color w:val="000000"/>
          <w:sz w:val="21"/>
          <w:szCs w:val="21"/>
        </w:rPr>
        <w:t>3</w:t>
      </w:r>
      <w:r>
        <w:rPr>
          <w:rFonts w:ascii="Times New Roman" w:hint="eastAsia"/>
          <w:color w:val="000000"/>
          <w:sz w:val="21"/>
          <w:szCs w:val="21"/>
        </w:rPr>
        <w:t>月</w:t>
      </w:r>
      <w:r>
        <w:rPr>
          <w:rFonts w:ascii="Times New Roman" w:hint="eastAsia"/>
          <w:color w:val="000000"/>
          <w:sz w:val="21"/>
          <w:szCs w:val="21"/>
        </w:rPr>
        <w:t>2</w:t>
      </w:r>
      <w:r>
        <w:rPr>
          <w:rFonts w:ascii="Times New Roman" w:hint="eastAsia"/>
          <w:color w:val="000000"/>
          <w:sz w:val="21"/>
          <w:szCs w:val="21"/>
        </w:rPr>
        <w:t>日上网查阅。</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菲律宾人类发展报告，</w:t>
      </w:r>
      <w:r>
        <w:rPr>
          <w:rFonts w:ascii="Times New Roman" w:hint="eastAsia"/>
          <w:color w:val="000000"/>
          <w:sz w:val="21"/>
          <w:szCs w:val="21"/>
        </w:rPr>
        <w:t>1997</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菲律宾国民警察部队，</w:t>
      </w:r>
      <w:r>
        <w:rPr>
          <w:rFonts w:ascii="Times New Roman" w:hint="eastAsia"/>
          <w:color w:val="000000"/>
          <w:sz w:val="21"/>
          <w:szCs w:val="21"/>
        </w:rPr>
        <w:t>2002</w:t>
      </w:r>
      <w:r>
        <w:rPr>
          <w:rFonts w:ascii="Times New Roman" w:hint="eastAsia"/>
          <w:color w:val="000000"/>
          <w:sz w:val="21"/>
          <w:szCs w:val="21"/>
        </w:rPr>
        <w:t>年。《截至</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11</w:t>
      </w:r>
      <w:r>
        <w:rPr>
          <w:rFonts w:ascii="Times New Roman" w:hint="eastAsia"/>
          <w:color w:val="000000"/>
          <w:sz w:val="21"/>
          <w:szCs w:val="21"/>
        </w:rPr>
        <w:t>月</w:t>
      </w:r>
      <w:r>
        <w:rPr>
          <w:rFonts w:ascii="Times New Roman" w:hint="eastAsia"/>
          <w:color w:val="000000"/>
          <w:sz w:val="21"/>
          <w:szCs w:val="21"/>
        </w:rPr>
        <w:t>14</w:t>
      </w:r>
      <w:r>
        <w:rPr>
          <w:rFonts w:ascii="Times New Roman" w:hint="eastAsia"/>
          <w:color w:val="000000"/>
          <w:sz w:val="21"/>
          <w:szCs w:val="21"/>
        </w:rPr>
        <w:t>日当年在册的男女警官》，菲律宾国民警察部队人事和档案管理总局。</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Pineda Ofreneo</w:t>
      </w:r>
      <w:r>
        <w:rPr>
          <w:rFonts w:ascii="Times New Roman" w:hint="eastAsia"/>
          <w:color w:val="000000"/>
          <w:sz w:val="21"/>
          <w:szCs w:val="21"/>
        </w:rPr>
        <w:t>、</w:t>
      </w:r>
      <w:r>
        <w:rPr>
          <w:rFonts w:ascii="Times New Roman" w:hint="eastAsia"/>
          <w:color w:val="000000"/>
          <w:sz w:val="21"/>
          <w:szCs w:val="21"/>
        </w:rPr>
        <w:t>Rosalinda</w:t>
      </w:r>
      <w:r>
        <w:rPr>
          <w:rFonts w:ascii="Times New Roman" w:hint="eastAsia"/>
          <w:color w:val="000000"/>
          <w:sz w:val="21"/>
          <w:szCs w:val="21"/>
        </w:rPr>
        <w:t>，</w:t>
      </w:r>
      <w:r>
        <w:rPr>
          <w:rFonts w:ascii="Times New Roman" w:hint="eastAsia"/>
          <w:color w:val="000000"/>
          <w:sz w:val="21"/>
          <w:szCs w:val="21"/>
        </w:rPr>
        <w:t>1999</w:t>
      </w:r>
      <w:r>
        <w:rPr>
          <w:rFonts w:ascii="Times New Roman" w:hint="eastAsia"/>
          <w:color w:val="000000"/>
          <w:sz w:val="21"/>
          <w:szCs w:val="21"/>
        </w:rPr>
        <w:t>年。“正视危机：非正规部门的妇女”，摘自《承载世界负担：妇女对危机对妇女和女孩影响的思考》，编辑：</w:t>
      </w:r>
      <w:r>
        <w:rPr>
          <w:rFonts w:ascii="Times New Roman" w:hint="eastAsia"/>
          <w:color w:val="000000"/>
          <w:sz w:val="21"/>
          <w:szCs w:val="21"/>
        </w:rPr>
        <w:t>Jeanne Frances I</w:t>
      </w:r>
      <w:r>
        <w:rPr>
          <w:rFonts w:ascii="Times New Roman"/>
          <w:color w:val="000000"/>
          <w:sz w:val="21"/>
          <w:szCs w:val="21"/>
        </w:rPr>
        <w:t>.</w:t>
      </w:r>
      <w:r>
        <w:rPr>
          <w:rFonts w:ascii="Times New Roman" w:hint="eastAsia"/>
          <w:color w:val="000000"/>
          <w:sz w:val="21"/>
          <w:szCs w:val="21"/>
        </w:rPr>
        <w:t>、</w:t>
      </w:r>
      <w:r>
        <w:rPr>
          <w:rFonts w:ascii="Times New Roman" w:hint="eastAsia"/>
          <w:color w:val="000000"/>
          <w:sz w:val="21"/>
          <w:szCs w:val="21"/>
        </w:rPr>
        <w:t>Illo</w:t>
      </w:r>
      <w:r>
        <w:rPr>
          <w:rFonts w:ascii="Times New Roman" w:hint="eastAsia"/>
          <w:color w:val="000000"/>
          <w:sz w:val="21"/>
          <w:szCs w:val="21"/>
        </w:rPr>
        <w:t>和</w:t>
      </w:r>
      <w:r>
        <w:rPr>
          <w:rFonts w:ascii="Times New Roman" w:hint="eastAsia"/>
          <w:color w:val="000000"/>
          <w:sz w:val="21"/>
          <w:szCs w:val="21"/>
        </w:rPr>
        <w:t>Rosalinda Pineda Ofreneo</w:t>
      </w:r>
      <w:r>
        <w:rPr>
          <w:rFonts w:ascii="Times New Roman" w:hint="eastAsia"/>
          <w:color w:val="000000"/>
          <w:sz w:val="21"/>
          <w:szCs w:val="21"/>
        </w:rPr>
        <w:t>。奎松市：菲律宾大学综合发展研究中心。</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Pineda Ofreneo</w:t>
      </w:r>
      <w:r>
        <w:rPr>
          <w:rFonts w:ascii="Times New Roman" w:hint="eastAsia"/>
          <w:color w:val="000000"/>
          <w:sz w:val="21"/>
          <w:szCs w:val="21"/>
        </w:rPr>
        <w:t>、</w:t>
      </w:r>
      <w:r>
        <w:rPr>
          <w:rFonts w:ascii="Times New Roman" w:hint="eastAsia"/>
          <w:color w:val="000000"/>
          <w:sz w:val="21"/>
          <w:szCs w:val="21"/>
        </w:rPr>
        <w:t>R</w:t>
      </w:r>
      <w:r>
        <w:rPr>
          <w:rFonts w:ascii="Times New Roman" w:hint="eastAsia"/>
          <w:color w:val="000000"/>
          <w:sz w:val="21"/>
          <w:szCs w:val="21"/>
        </w:rPr>
        <w:t>osalinda</w:t>
      </w:r>
      <w:r>
        <w:rPr>
          <w:rFonts w:ascii="Times New Roman" w:hint="eastAsia"/>
          <w:color w:val="000000"/>
          <w:sz w:val="21"/>
          <w:szCs w:val="21"/>
        </w:rPr>
        <w:t>、</w:t>
      </w:r>
      <w:r>
        <w:rPr>
          <w:rFonts w:ascii="Times New Roman" w:hint="eastAsia"/>
          <w:color w:val="000000"/>
          <w:sz w:val="21"/>
          <w:szCs w:val="21"/>
        </w:rPr>
        <w:t>Jurgette Honculada</w:t>
      </w:r>
      <w:r>
        <w:rPr>
          <w:rFonts w:ascii="Times New Roman" w:hint="eastAsia"/>
          <w:color w:val="000000"/>
          <w:sz w:val="21"/>
          <w:szCs w:val="21"/>
        </w:rPr>
        <w:t>和</w:t>
      </w:r>
      <w:r>
        <w:rPr>
          <w:rFonts w:ascii="Times New Roman" w:hint="eastAsia"/>
          <w:color w:val="000000"/>
          <w:sz w:val="21"/>
          <w:szCs w:val="21"/>
        </w:rPr>
        <w:t>Jocelyn Bellin</w:t>
      </w:r>
      <w:r>
        <w:rPr>
          <w:rFonts w:ascii="Times New Roman" w:hint="eastAsia"/>
          <w:color w:val="000000"/>
          <w:sz w:val="21"/>
          <w:szCs w:val="21"/>
        </w:rPr>
        <w:t>，</w:t>
      </w:r>
      <w:r>
        <w:rPr>
          <w:rFonts w:ascii="Times New Roman" w:hint="eastAsia"/>
          <w:color w:val="000000"/>
          <w:sz w:val="21"/>
          <w:szCs w:val="21"/>
        </w:rPr>
        <w:t>1999</w:t>
      </w:r>
      <w:r>
        <w:rPr>
          <w:rFonts w:ascii="Times New Roman" w:hint="eastAsia"/>
          <w:color w:val="000000"/>
          <w:sz w:val="21"/>
          <w:szCs w:val="21"/>
        </w:rPr>
        <w:t>年。《甲米地出口加工区女工健康方面持续存在的问题》，在全国女工健康与安全会议上宣读的论文，</w:t>
      </w:r>
      <w:r>
        <w:rPr>
          <w:rFonts w:ascii="Times New Roman" w:hint="eastAsia"/>
          <w:color w:val="000000"/>
          <w:sz w:val="21"/>
          <w:szCs w:val="21"/>
        </w:rPr>
        <w:t>1999</w:t>
      </w:r>
      <w:r>
        <w:rPr>
          <w:rFonts w:ascii="Times New Roman" w:hint="eastAsia"/>
          <w:color w:val="000000"/>
          <w:sz w:val="21"/>
          <w:szCs w:val="21"/>
        </w:rPr>
        <w:t>年</w:t>
      </w:r>
      <w:r>
        <w:rPr>
          <w:rFonts w:ascii="Times New Roman" w:hint="eastAsia"/>
          <w:color w:val="000000"/>
          <w:sz w:val="21"/>
          <w:szCs w:val="21"/>
        </w:rPr>
        <w:t>10</w:t>
      </w:r>
      <w:r>
        <w:rPr>
          <w:rFonts w:ascii="Times New Roman" w:hint="eastAsia"/>
          <w:color w:val="000000"/>
          <w:sz w:val="21"/>
          <w:szCs w:val="21"/>
        </w:rPr>
        <w:t>月</w:t>
      </w:r>
      <w:r>
        <w:rPr>
          <w:rFonts w:ascii="Times New Roman" w:hint="eastAsia"/>
          <w:color w:val="000000"/>
          <w:sz w:val="21"/>
          <w:szCs w:val="21"/>
        </w:rPr>
        <w:t>14</w:t>
      </w:r>
      <w:r>
        <w:rPr>
          <w:rFonts w:ascii="Times New Roman" w:hint="eastAsia"/>
          <w:color w:val="000000"/>
          <w:sz w:val="21"/>
          <w:szCs w:val="21"/>
        </w:rPr>
        <w:t>日，职业安全和保健中心在奎松市举行。</w:t>
      </w:r>
      <w:r>
        <w:rPr>
          <w:rFonts w:ascii="Times New Roman" w:hint="eastAsia"/>
          <w:color w:val="000000"/>
          <w:sz w:val="21"/>
          <w:szCs w:val="21"/>
        </w:rPr>
        <w:t xml:space="preserve"> </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《菲律宾健康统计资料》，</w:t>
      </w:r>
      <w:r>
        <w:rPr>
          <w:rFonts w:ascii="Times New Roman" w:hint="eastAsia"/>
          <w:color w:val="000000"/>
          <w:sz w:val="21"/>
          <w:szCs w:val="21"/>
        </w:rPr>
        <w:t>1997</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《菲律宾劳工法典》。</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菲律宾议员人口与发展基金委员会，《司法与康复：打击强奸罪的双重法律的双重需要》，</w:t>
      </w:r>
      <w:r>
        <w:rPr>
          <w:rFonts w:ascii="Times New Roman" w:hint="eastAsia"/>
          <w:color w:val="000000"/>
          <w:sz w:val="21"/>
          <w:szCs w:val="21"/>
        </w:rPr>
        <w:t>2001</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与妇女委员会协作创建的菲律宾打击贩运妇女网络，菲律宾与比利时打击贩运妇女的试点项目，马尼拉雅典耀大学研究小组研究报</w:t>
      </w:r>
      <w:r>
        <w:rPr>
          <w:rFonts w:ascii="Times New Roman" w:hint="eastAsia"/>
          <w:color w:val="000000"/>
          <w:sz w:val="21"/>
          <w:szCs w:val="21"/>
        </w:rPr>
        <w:t>告摘要。</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菲律宾国民警察部队，《关于控制重大犯罪的论文：问题与反措施执法基石》，警察部队总司令</w:t>
      </w:r>
      <w:r>
        <w:rPr>
          <w:rFonts w:ascii="Times New Roman" w:hint="eastAsia"/>
          <w:color w:val="000000"/>
          <w:sz w:val="21"/>
          <w:szCs w:val="21"/>
        </w:rPr>
        <w:t>Leandro R. Mendoza</w:t>
      </w:r>
      <w:r>
        <w:rPr>
          <w:rFonts w:ascii="Times New Roman" w:hint="eastAsia"/>
          <w:color w:val="000000"/>
          <w:sz w:val="21"/>
          <w:szCs w:val="21"/>
        </w:rPr>
        <w:t>。</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总统的</w:t>
      </w:r>
      <w:r>
        <w:rPr>
          <w:rFonts w:ascii="Times New Roman" w:hint="eastAsia"/>
          <w:color w:val="000000"/>
          <w:sz w:val="21"/>
          <w:szCs w:val="21"/>
        </w:rPr>
        <w:t>20/20</w:t>
      </w:r>
      <w:r>
        <w:rPr>
          <w:rFonts w:ascii="Times New Roman" w:hint="eastAsia"/>
          <w:color w:val="000000"/>
          <w:sz w:val="21"/>
          <w:szCs w:val="21"/>
        </w:rPr>
        <w:t>倡议工作队，《人力投资：菲律宾的</w:t>
      </w:r>
      <w:r>
        <w:rPr>
          <w:rFonts w:ascii="Times New Roman" w:hint="eastAsia"/>
          <w:color w:val="000000"/>
          <w:sz w:val="21"/>
          <w:szCs w:val="21"/>
        </w:rPr>
        <w:t>20/20</w:t>
      </w:r>
      <w:r>
        <w:rPr>
          <w:rFonts w:ascii="Times New Roman" w:hint="eastAsia"/>
          <w:color w:val="000000"/>
          <w:sz w:val="21"/>
          <w:szCs w:val="21"/>
        </w:rPr>
        <w:t>倡议》，</w:t>
      </w:r>
      <w:r>
        <w:rPr>
          <w:rFonts w:ascii="Times New Roman" w:hint="eastAsia"/>
          <w:color w:val="000000"/>
          <w:sz w:val="21"/>
          <w:szCs w:val="21"/>
        </w:rPr>
        <w:t>2002</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公务员系统劳工独立联合会，《菲律宾公共部门薪酬平等国家报告》，</w:t>
      </w:r>
      <w:r>
        <w:rPr>
          <w:rFonts w:ascii="Times New Roman" w:hint="eastAsia"/>
          <w:color w:val="000000"/>
          <w:sz w:val="21"/>
          <w:szCs w:val="21"/>
        </w:rPr>
        <w:t>2001</w:t>
      </w:r>
      <w:r>
        <w:rPr>
          <w:rFonts w:ascii="Times New Roman" w:hint="eastAsia"/>
          <w:color w:val="000000"/>
          <w:sz w:val="21"/>
          <w:szCs w:val="21"/>
        </w:rPr>
        <w:t>年</w:t>
      </w:r>
      <w:r>
        <w:rPr>
          <w:rFonts w:ascii="Times New Roman" w:hint="eastAsia"/>
          <w:color w:val="000000"/>
          <w:sz w:val="21"/>
          <w:szCs w:val="21"/>
        </w:rPr>
        <w:t>11</w:t>
      </w:r>
      <w:r>
        <w:rPr>
          <w:rFonts w:ascii="Times New Roman" w:hint="eastAsia"/>
          <w:color w:val="000000"/>
          <w:sz w:val="21"/>
          <w:szCs w:val="21"/>
        </w:rPr>
        <w:t>月。</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Quisumbing</w:t>
      </w:r>
      <w:r>
        <w:rPr>
          <w:rFonts w:ascii="Times New Roman" w:hint="eastAsia"/>
          <w:color w:val="000000"/>
          <w:sz w:val="21"/>
          <w:szCs w:val="21"/>
        </w:rPr>
        <w:t>、</w:t>
      </w:r>
      <w:r>
        <w:rPr>
          <w:rFonts w:ascii="Times New Roman" w:hint="eastAsia"/>
          <w:color w:val="000000"/>
          <w:sz w:val="21"/>
          <w:szCs w:val="21"/>
        </w:rPr>
        <w:t>Agnes</w:t>
      </w:r>
      <w:r>
        <w:rPr>
          <w:rFonts w:ascii="Times New Roman" w:hint="eastAsia"/>
          <w:color w:val="000000"/>
          <w:sz w:val="21"/>
          <w:szCs w:val="21"/>
        </w:rPr>
        <w:t>（</w:t>
      </w:r>
      <w:r>
        <w:rPr>
          <w:rFonts w:ascii="Times New Roman" w:hint="eastAsia"/>
          <w:color w:val="000000"/>
          <w:sz w:val="21"/>
          <w:szCs w:val="21"/>
        </w:rPr>
        <w:t>1990</w:t>
      </w:r>
      <w:r>
        <w:rPr>
          <w:rFonts w:ascii="Times New Roman" w:hint="eastAsia"/>
          <w:color w:val="000000"/>
          <w:sz w:val="21"/>
          <w:szCs w:val="21"/>
        </w:rPr>
        <w:t>年）。《菲律宾产稻区的土地权、学校教育和农村代际财产转让的财产》，菲律宾大学（洛斯巴诺斯）和耶鲁大学，打字稿。</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Reyes</w:t>
      </w:r>
      <w:r>
        <w:rPr>
          <w:rFonts w:ascii="Times New Roman" w:hint="eastAsia"/>
          <w:color w:val="000000"/>
          <w:sz w:val="21"/>
          <w:szCs w:val="21"/>
        </w:rPr>
        <w:t>、</w:t>
      </w:r>
      <w:r>
        <w:rPr>
          <w:rFonts w:ascii="Times New Roman" w:hint="eastAsia"/>
          <w:color w:val="000000"/>
          <w:sz w:val="21"/>
          <w:szCs w:val="21"/>
        </w:rPr>
        <w:t>Celia</w:t>
      </w:r>
      <w:r>
        <w:rPr>
          <w:rFonts w:ascii="Times New Roman" w:hint="eastAsia"/>
          <w:color w:val="000000"/>
          <w:sz w:val="21"/>
          <w:szCs w:val="21"/>
        </w:rPr>
        <w:t>，</w:t>
      </w:r>
      <w:r>
        <w:rPr>
          <w:rFonts w:ascii="Times New Roman" w:hint="eastAsia"/>
          <w:color w:val="000000"/>
          <w:sz w:val="21"/>
          <w:szCs w:val="21"/>
        </w:rPr>
        <w:t>2003</w:t>
      </w:r>
      <w:r>
        <w:rPr>
          <w:rFonts w:ascii="Times New Roman" w:hint="eastAsia"/>
          <w:color w:val="000000"/>
          <w:sz w:val="21"/>
          <w:szCs w:val="21"/>
        </w:rPr>
        <w:t>年。《社会部门的评估》，为菲律</w:t>
      </w:r>
      <w:r>
        <w:rPr>
          <w:rFonts w:ascii="Times New Roman" w:hint="eastAsia"/>
          <w:color w:val="000000"/>
          <w:sz w:val="21"/>
          <w:szCs w:val="21"/>
        </w:rPr>
        <w:t>宾国家发展规划编制框架撰写的背景文件，加拿大国际开发署，马尼拉，二稿，</w:t>
      </w:r>
      <w:r>
        <w:rPr>
          <w:rFonts w:ascii="Times New Roman" w:hint="eastAsia"/>
          <w:color w:val="000000"/>
          <w:sz w:val="21"/>
          <w:szCs w:val="21"/>
        </w:rPr>
        <w:t>8</w:t>
      </w:r>
      <w:r>
        <w:rPr>
          <w:rFonts w:ascii="Times New Roman" w:hint="eastAsia"/>
          <w:color w:val="000000"/>
          <w:sz w:val="21"/>
          <w:szCs w:val="21"/>
        </w:rPr>
        <w:t>月。</w:t>
      </w:r>
      <w:r>
        <w:rPr>
          <w:rFonts w:ascii="Times New Roman" w:hint="eastAsia"/>
          <w:color w:val="000000"/>
          <w:sz w:val="21"/>
          <w:szCs w:val="21"/>
        </w:rPr>
        <w:t xml:space="preserve"> </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Raymond, Januce G.</w:t>
      </w:r>
      <w:r>
        <w:rPr>
          <w:rFonts w:ascii="Times New Roman" w:hint="eastAsia"/>
          <w:color w:val="000000"/>
          <w:sz w:val="21"/>
          <w:szCs w:val="21"/>
        </w:rPr>
        <w:t>博士、</w:t>
      </w:r>
      <w:r>
        <w:rPr>
          <w:rFonts w:ascii="Times New Roman" w:hint="eastAsia"/>
          <w:color w:val="000000"/>
          <w:sz w:val="21"/>
          <w:szCs w:val="21"/>
        </w:rPr>
        <w:t>Jean D</w:t>
      </w:r>
      <w:r>
        <w:rPr>
          <w:rFonts w:ascii="Times New Roman"/>
          <w:color w:val="000000"/>
          <w:sz w:val="21"/>
          <w:szCs w:val="21"/>
        </w:rPr>
        <w:t xml:space="preserve">’ </w:t>
      </w:r>
      <w:r>
        <w:rPr>
          <w:rFonts w:ascii="Times New Roman" w:hint="eastAsia"/>
          <w:color w:val="000000"/>
          <w:sz w:val="21"/>
          <w:szCs w:val="21"/>
        </w:rPr>
        <w:t>Cunha</w:t>
      </w:r>
      <w:r>
        <w:rPr>
          <w:rFonts w:ascii="Times New Roman" w:hint="eastAsia"/>
          <w:color w:val="000000"/>
          <w:sz w:val="21"/>
          <w:szCs w:val="21"/>
        </w:rPr>
        <w:t>博士、</w:t>
      </w:r>
      <w:r>
        <w:rPr>
          <w:rFonts w:ascii="Times New Roman" w:hint="eastAsia"/>
          <w:color w:val="000000"/>
          <w:sz w:val="21"/>
          <w:szCs w:val="21"/>
        </w:rPr>
        <w:t>Siti Ruhaini Dzuhayatin</w:t>
      </w:r>
      <w:r>
        <w:rPr>
          <w:rFonts w:ascii="Times New Roman" w:hint="eastAsia"/>
          <w:color w:val="000000"/>
          <w:sz w:val="21"/>
          <w:szCs w:val="21"/>
        </w:rPr>
        <w:t>、</w:t>
      </w:r>
      <w:r>
        <w:rPr>
          <w:rFonts w:ascii="Times New Roman" w:hint="eastAsia"/>
          <w:color w:val="000000"/>
          <w:sz w:val="21"/>
          <w:szCs w:val="21"/>
        </w:rPr>
        <w:t>H. Patricia Hynes</w:t>
      </w:r>
      <w:r>
        <w:rPr>
          <w:rFonts w:ascii="Times New Roman" w:hint="eastAsia"/>
          <w:color w:val="000000"/>
          <w:sz w:val="21"/>
          <w:szCs w:val="21"/>
        </w:rPr>
        <w:t>、</w:t>
      </w:r>
      <w:r>
        <w:rPr>
          <w:rFonts w:ascii="Times New Roman" w:hint="eastAsia"/>
          <w:color w:val="000000"/>
          <w:sz w:val="21"/>
          <w:szCs w:val="21"/>
        </w:rPr>
        <w:t>Zoraida Ramirez Rodriguez</w:t>
      </w:r>
      <w:r>
        <w:rPr>
          <w:rFonts w:ascii="Times New Roman" w:hint="eastAsia"/>
          <w:color w:val="000000"/>
          <w:sz w:val="21"/>
          <w:szCs w:val="21"/>
        </w:rPr>
        <w:t>博士和</w:t>
      </w:r>
      <w:r>
        <w:rPr>
          <w:rFonts w:ascii="Times New Roman" w:hint="eastAsia"/>
          <w:color w:val="000000"/>
          <w:sz w:val="21"/>
          <w:szCs w:val="21"/>
        </w:rPr>
        <w:t>Aida Santos</w:t>
      </w:r>
      <w:r>
        <w:rPr>
          <w:rFonts w:ascii="Times New Roman" w:hint="eastAsia"/>
          <w:color w:val="000000"/>
          <w:sz w:val="21"/>
          <w:szCs w:val="21"/>
        </w:rPr>
        <w:t>。《在移徙过程中被贩运的妇女的比较研究：五个国家（印度尼西亚、菲律宾、泰国、委内瑞拉和美国）性剥削的形式、情况和对健康的后果》。</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Rina Jimenez-David</w:t>
      </w:r>
      <w:r>
        <w:rPr>
          <w:rFonts w:ascii="Times New Roman" w:hint="eastAsia"/>
          <w:color w:val="000000"/>
          <w:sz w:val="21"/>
          <w:szCs w:val="21"/>
        </w:rPr>
        <w:t>，“家庭暴力实属扶贫问题”，《</w:t>
      </w:r>
      <w:r>
        <w:rPr>
          <w:rFonts w:ascii="Times New Roman" w:hint="eastAsia"/>
          <w:color w:val="000000"/>
          <w:sz w:val="21"/>
          <w:szCs w:val="21"/>
        </w:rPr>
        <w:t>菲律宾每日问讯报》，</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3</w:t>
      </w:r>
      <w:r>
        <w:rPr>
          <w:rFonts w:ascii="Times New Roman" w:hint="eastAsia"/>
          <w:color w:val="000000"/>
          <w:sz w:val="21"/>
          <w:szCs w:val="21"/>
        </w:rPr>
        <w:t>月</w:t>
      </w:r>
      <w:r>
        <w:rPr>
          <w:rFonts w:ascii="Times New Roman" w:hint="eastAsia"/>
          <w:color w:val="000000"/>
          <w:sz w:val="21"/>
          <w:szCs w:val="21"/>
        </w:rPr>
        <w:t>31</w:t>
      </w:r>
      <w:r>
        <w:rPr>
          <w:rFonts w:ascii="Times New Roman" w:hint="eastAsia"/>
          <w:color w:val="000000"/>
          <w:sz w:val="21"/>
          <w:szCs w:val="21"/>
        </w:rPr>
        <w:t>日。</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Rodriguez</w:t>
      </w:r>
      <w:r>
        <w:rPr>
          <w:rFonts w:ascii="Times New Roman" w:hint="eastAsia"/>
          <w:color w:val="000000"/>
          <w:sz w:val="21"/>
          <w:szCs w:val="21"/>
        </w:rPr>
        <w:t>、</w:t>
      </w:r>
      <w:r>
        <w:rPr>
          <w:rFonts w:ascii="Times New Roman" w:hint="eastAsia"/>
          <w:color w:val="000000"/>
          <w:sz w:val="21"/>
          <w:szCs w:val="21"/>
        </w:rPr>
        <w:t>Agustin Martin G</w:t>
      </w:r>
      <w:r>
        <w:rPr>
          <w:rFonts w:ascii="Times New Roman" w:hint="eastAsia"/>
          <w:color w:val="000000"/>
          <w:sz w:val="21"/>
          <w:szCs w:val="21"/>
        </w:rPr>
        <w:t>和</w:t>
      </w:r>
      <w:r>
        <w:rPr>
          <w:rFonts w:ascii="Times New Roman" w:hint="eastAsia"/>
          <w:color w:val="000000"/>
          <w:sz w:val="21"/>
          <w:szCs w:val="21"/>
        </w:rPr>
        <w:t>Djorina Velasco</w:t>
      </w:r>
      <w:r>
        <w:rPr>
          <w:rFonts w:ascii="Times New Roman" w:hint="eastAsia"/>
          <w:color w:val="000000"/>
          <w:sz w:val="21"/>
          <w:szCs w:val="21"/>
        </w:rPr>
        <w:t>。《民主在提升？</w:t>
      </w:r>
      <w:r>
        <w:rPr>
          <w:rFonts w:ascii="Times New Roman" w:hint="eastAsia"/>
          <w:color w:val="000000"/>
          <w:sz w:val="21"/>
          <w:szCs w:val="21"/>
        </w:rPr>
        <w:t>1998</w:t>
      </w:r>
      <w:r>
        <w:rPr>
          <w:rFonts w:ascii="Times New Roman" w:hint="eastAsia"/>
          <w:color w:val="000000"/>
          <w:sz w:val="21"/>
          <w:szCs w:val="21"/>
        </w:rPr>
        <w:t>年政党名单选举的考验和胜出》，</w:t>
      </w:r>
      <w:r>
        <w:rPr>
          <w:rFonts w:ascii="Times New Roman" w:hint="eastAsia"/>
          <w:color w:val="000000"/>
          <w:sz w:val="21"/>
          <w:szCs w:val="21"/>
        </w:rPr>
        <w:t>1998</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Santos</w:t>
      </w:r>
      <w:r>
        <w:rPr>
          <w:rFonts w:ascii="Times New Roman" w:hint="eastAsia"/>
          <w:color w:val="000000"/>
          <w:sz w:val="21"/>
          <w:szCs w:val="21"/>
        </w:rPr>
        <w:t>、</w:t>
      </w:r>
      <w:r>
        <w:rPr>
          <w:rFonts w:ascii="Times New Roman" w:hint="eastAsia"/>
          <w:color w:val="000000"/>
          <w:sz w:val="21"/>
          <w:szCs w:val="21"/>
        </w:rPr>
        <w:t>Atty. Soliman M.</w:t>
      </w:r>
      <w:r>
        <w:rPr>
          <w:rFonts w:ascii="Times New Roman" w:hint="eastAsia"/>
          <w:color w:val="000000"/>
          <w:sz w:val="21"/>
          <w:szCs w:val="21"/>
        </w:rPr>
        <w:t>、</w:t>
      </w:r>
      <w:r>
        <w:rPr>
          <w:rFonts w:ascii="Times New Roman" w:hint="eastAsia"/>
          <w:color w:val="000000"/>
          <w:sz w:val="21"/>
          <w:szCs w:val="21"/>
        </w:rPr>
        <w:t>Merci Llarinas-Angeles</w:t>
      </w:r>
      <w:r>
        <w:rPr>
          <w:rFonts w:ascii="Times New Roman" w:hint="eastAsia"/>
          <w:color w:val="000000"/>
          <w:sz w:val="21"/>
          <w:szCs w:val="21"/>
        </w:rPr>
        <w:t>和</w:t>
      </w:r>
      <w:r>
        <w:rPr>
          <w:rFonts w:ascii="Times New Roman" w:hint="eastAsia"/>
          <w:color w:val="000000"/>
          <w:sz w:val="21"/>
          <w:szCs w:val="21"/>
        </w:rPr>
        <w:t>Roberto M. Ador</w:t>
      </w:r>
      <w:r>
        <w:rPr>
          <w:rFonts w:ascii="Times New Roman" w:hint="eastAsia"/>
          <w:color w:val="000000"/>
          <w:sz w:val="21"/>
          <w:szCs w:val="21"/>
        </w:rPr>
        <w:t>。《司法与康复：打击强奸罪的双重法律的双重需要》，提交菲律宾议员人口与发展委员会的研究报告摘要，</w:t>
      </w:r>
      <w:r>
        <w:rPr>
          <w:rFonts w:ascii="Times New Roman" w:hint="eastAsia"/>
          <w:color w:val="000000"/>
          <w:sz w:val="21"/>
          <w:szCs w:val="21"/>
        </w:rPr>
        <w:t>2001</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Santos</w:t>
      </w:r>
      <w:r>
        <w:rPr>
          <w:rFonts w:ascii="Times New Roman" w:hint="eastAsia"/>
          <w:color w:val="000000"/>
          <w:sz w:val="21"/>
          <w:szCs w:val="21"/>
        </w:rPr>
        <w:t>、</w:t>
      </w:r>
      <w:r>
        <w:rPr>
          <w:rFonts w:ascii="Times New Roman" w:hint="eastAsia"/>
          <w:color w:val="000000"/>
          <w:sz w:val="21"/>
          <w:szCs w:val="21"/>
        </w:rPr>
        <w:t>Aida F.</w:t>
      </w:r>
      <w:r>
        <w:rPr>
          <w:rFonts w:ascii="Times New Roman" w:hint="eastAsia"/>
          <w:color w:val="000000"/>
          <w:sz w:val="21"/>
          <w:szCs w:val="21"/>
        </w:rPr>
        <w:t>。《在移徙过程中被贩运的妇女：性剥削的形式、情况及对健</w:t>
      </w:r>
      <w:r>
        <w:rPr>
          <w:rFonts w:ascii="Times New Roman" w:hint="eastAsia"/>
          <w:color w:val="000000"/>
          <w:sz w:val="21"/>
          <w:szCs w:val="21"/>
        </w:rPr>
        <w:t>康的后果》，</w:t>
      </w:r>
      <w:r>
        <w:rPr>
          <w:rFonts w:ascii="Times New Roman" w:hint="eastAsia"/>
          <w:color w:val="000000"/>
          <w:sz w:val="21"/>
          <w:szCs w:val="21"/>
        </w:rPr>
        <w:t>2002</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Sarabia</w:t>
      </w:r>
      <w:r>
        <w:rPr>
          <w:rFonts w:ascii="Times New Roman" w:hint="eastAsia"/>
          <w:color w:val="000000"/>
          <w:sz w:val="21"/>
          <w:szCs w:val="21"/>
        </w:rPr>
        <w:t>、</w:t>
      </w:r>
      <w:r>
        <w:rPr>
          <w:rFonts w:ascii="Times New Roman" w:hint="eastAsia"/>
          <w:color w:val="000000"/>
          <w:sz w:val="21"/>
          <w:szCs w:val="21"/>
        </w:rPr>
        <w:t>Ana Lea.</w:t>
      </w:r>
      <w:r>
        <w:rPr>
          <w:rFonts w:ascii="Times New Roman" w:hint="eastAsia"/>
          <w:color w:val="000000"/>
          <w:sz w:val="21"/>
          <w:szCs w:val="21"/>
        </w:rPr>
        <w:t>。《利用传媒促进年轻妇女和少女的自我保护意识》（新闻材料）。</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Sta. Maria</w:t>
      </w:r>
      <w:r>
        <w:rPr>
          <w:rFonts w:ascii="Times New Roman" w:hint="eastAsia"/>
          <w:color w:val="000000"/>
          <w:sz w:val="21"/>
          <w:szCs w:val="21"/>
        </w:rPr>
        <w:t>、</w:t>
      </w:r>
      <w:r>
        <w:rPr>
          <w:rFonts w:ascii="Times New Roman" w:hint="eastAsia"/>
          <w:color w:val="000000"/>
          <w:sz w:val="21"/>
          <w:szCs w:val="21"/>
        </w:rPr>
        <w:t>Amparita</w:t>
      </w:r>
      <w:r>
        <w:rPr>
          <w:rFonts w:ascii="Times New Roman" w:hint="eastAsia"/>
          <w:color w:val="000000"/>
          <w:sz w:val="21"/>
          <w:szCs w:val="21"/>
        </w:rPr>
        <w:t>、</w:t>
      </w:r>
      <w:r>
        <w:rPr>
          <w:rFonts w:ascii="Times New Roman" w:hint="eastAsia"/>
          <w:color w:val="000000"/>
          <w:sz w:val="21"/>
          <w:szCs w:val="21"/>
        </w:rPr>
        <w:t>Gilbert Sembrano</w:t>
      </w:r>
      <w:r>
        <w:rPr>
          <w:rFonts w:ascii="Times New Roman" w:hint="eastAsia"/>
          <w:color w:val="000000"/>
          <w:sz w:val="21"/>
          <w:szCs w:val="21"/>
        </w:rPr>
        <w:t>和</w:t>
      </w:r>
      <w:r>
        <w:rPr>
          <w:rFonts w:ascii="Times New Roman" w:hint="eastAsia"/>
          <w:color w:val="000000"/>
          <w:sz w:val="21"/>
          <w:szCs w:val="21"/>
        </w:rPr>
        <w:t>Ma. Glenda Ramirez</w:t>
      </w:r>
      <w:r>
        <w:rPr>
          <w:rFonts w:ascii="Times New Roman" w:hint="eastAsia"/>
          <w:color w:val="000000"/>
          <w:sz w:val="21"/>
          <w:szCs w:val="21"/>
        </w:rPr>
        <w:t>，《新加坡、马来西亚和文莱的菲律宾移徙工人：他们需要了解什么（他们必须讲述什么）》，雅典耀人权中心，马卡蒂市。</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第</w:t>
      </w:r>
      <w:r>
        <w:rPr>
          <w:rFonts w:ascii="Times New Roman" w:hint="eastAsia"/>
          <w:color w:val="000000"/>
          <w:sz w:val="21"/>
          <w:szCs w:val="21"/>
        </w:rPr>
        <w:t>596</w:t>
      </w:r>
      <w:r>
        <w:rPr>
          <w:rFonts w:ascii="Times New Roman" w:hint="eastAsia"/>
          <w:color w:val="000000"/>
          <w:sz w:val="21"/>
          <w:szCs w:val="21"/>
        </w:rPr>
        <w:t>号最高法院注释报告，菲律宾</w:t>
      </w:r>
      <w:r>
        <w:rPr>
          <w:rFonts w:ascii="Times New Roman" w:hint="eastAsia"/>
          <w:snapToGrid w:val="0"/>
          <w:color w:val="000000"/>
          <w:sz w:val="21"/>
          <w:szCs w:val="21"/>
        </w:rPr>
        <w:t>电报电话公司诉国家劳资关系委员会</w:t>
      </w:r>
      <w:r>
        <w:rPr>
          <w:rFonts w:ascii="Times New Roman" w:hint="eastAsia"/>
          <w:color w:val="000000"/>
          <w:sz w:val="21"/>
          <w:szCs w:val="21"/>
        </w:rPr>
        <w:t>，第</w:t>
      </w:r>
      <w:r>
        <w:rPr>
          <w:rFonts w:ascii="Times New Roman" w:hint="eastAsia"/>
          <w:color w:val="000000"/>
          <w:sz w:val="21"/>
          <w:szCs w:val="21"/>
        </w:rPr>
        <w:t>118978</w:t>
      </w:r>
      <w:r>
        <w:rPr>
          <w:rFonts w:ascii="Times New Roman" w:hint="eastAsia"/>
          <w:color w:val="000000"/>
          <w:sz w:val="21"/>
          <w:szCs w:val="21"/>
        </w:rPr>
        <w:t>号</w:t>
      </w:r>
      <w:r>
        <w:rPr>
          <w:rFonts w:ascii="Times New Roman" w:hint="eastAsia"/>
          <w:color w:val="000000"/>
          <w:sz w:val="21"/>
          <w:szCs w:val="21"/>
        </w:rPr>
        <w:t>GC</w:t>
      </w:r>
      <w:r>
        <w:rPr>
          <w:rFonts w:ascii="Times New Roman" w:hint="eastAsia"/>
          <w:color w:val="000000"/>
          <w:sz w:val="21"/>
          <w:szCs w:val="21"/>
        </w:rPr>
        <w:t>，</w:t>
      </w:r>
      <w:r>
        <w:rPr>
          <w:rFonts w:ascii="Times New Roman" w:hint="eastAsia"/>
          <w:color w:val="000000"/>
          <w:sz w:val="21"/>
          <w:szCs w:val="21"/>
        </w:rPr>
        <w:t>1997</w:t>
      </w:r>
      <w:r>
        <w:rPr>
          <w:rFonts w:ascii="Times New Roman" w:hint="eastAsia"/>
          <w:color w:val="000000"/>
          <w:sz w:val="21"/>
          <w:szCs w:val="21"/>
        </w:rPr>
        <w:t>年</w:t>
      </w:r>
      <w:r>
        <w:rPr>
          <w:rFonts w:ascii="Times New Roman" w:hint="eastAsia"/>
          <w:color w:val="000000"/>
          <w:sz w:val="21"/>
          <w:szCs w:val="21"/>
        </w:rPr>
        <w:t>5</w:t>
      </w:r>
      <w:r>
        <w:rPr>
          <w:rFonts w:ascii="Times New Roman" w:hint="eastAsia"/>
          <w:color w:val="000000"/>
          <w:sz w:val="21"/>
          <w:szCs w:val="21"/>
        </w:rPr>
        <w:t>月</w:t>
      </w:r>
      <w:r>
        <w:rPr>
          <w:rFonts w:ascii="Times New Roman" w:hint="eastAsia"/>
          <w:color w:val="000000"/>
          <w:sz w:val="21"/>
          <w:szCs w:val="21"/>
        </w:rPr>
        <w:t>23</w:t>
      </w:r>
      <w:r>
        <w:rPr>
          <w:rFonts w:ascii="Times New Roman" w:hint="eastAsia"/>
          <w:color w:val="000000"/>
          <w:sz w:val="21"/>
          <w:szCs w:val="21"/>
        </w:rPr>
        <w:t>日。</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GR</w:t>
      </w:r>
      <w:r>
        <w:rPr>
          <w:rFonts w:ascii="Times New Roman" w:hint="eastAsia"/>
          <w:color w:val="000000"/>
          <w:sz w:val="21"/>
          <w:szCs w:val="21"/>
        </w:rPr>
        <w:t>第</w:t>
      </w:r>
      <w:r>
        <w:rPr>
          <w:rFonts w:ascii="Times New Roman" w:hint="eastAsia"/>
          <w:color w:val="000000"/>
          <w:sz w:val="21"/>
          <w:szCs w:val="21"/>
        </w:rPr>
        <w:t>135083</w:t>
      </w:r>
      <w:r>
        <w:rPr>
          <w:rFonts w:ascii="Times New Roman" w:hint="eastAsia"/>
          <w:color w:val="000000"/>
          <w:sz w:val="21"/>
          <w:szCs w:val="21"/>
        </w:rPr>
        <w:t>号最高法院注释报告，</w:t>
      </w:r>
      <w:r>
        <w:rPr>
          <w:rFonts w:ascii="Times New Roman" w:hint="eastAsia"/>
          <w:color w:val="000000"/>
          <w:sz w:val="21"/>
          <w:szCs w:val="21"/>
        </w:rPr>
        <w:t>1999</w:t>
      </w:r>
      <w:r>
        <w:rPr>
          <w:rFonts w:ascii="Times New Roman" w:hint="eastAsia"/>
          <w:color w:val="000000"/>
          <w:sz w:val="21"/>
          <w:szCs w:val="21"/>
        </w:rPr>
        <w:t>年</w:t>
      </w:r>
      <w:r>
        <w:rPr>
          <w:rFonts w:ascii="Times New Roman" w:hint="eastAsia"/>
          <w:color w:val="000000"/>
          <w:sz w:val="21"/>
          <w:szCs w:val="21"/>
        </w:rPr>
        <w:t>5</w:t>
      </w:r>
      <w:r>
        <w:rPr>
          <w:rFonts w:ascii="Times New Roman" w:hint="eastAsia"/>
          <w:color w:val="000000"/>
          <w:sz w:val="21"/>
          <w:szCs w:val="21"/>
        </w:rPr>
        <w:t>月</w:t>
      </w:r>
      <w:r>
        <w:rPr>
          <w:rFonts w:ascii="Times New Roman" w:hint="eastAsia"/>
          <w:color w:val="000000"/>
          <w:sz w:val="21"/>
          <w:szCs w:val="21"/>
        </w:rPr>
        <w:t>26</w:t>
      </w:r>
      <w:r>
        <w:rPr>
          <w:rFonts w:ascii="Times New Roman" w:hint="eastAsia"/>
          <w:color w:val="000000"/>
          <w:sz w:val="21"/>
          <w:szCs w:val="21"/>
        </w:rPr>
        <w:t>日，原告</w:t>
      </w:r>
      <w:r>
        <w:rPr>
          <w:rFonts w:ascii="Times New Roman" w:hint="eastAsia"/>
          <w:color w:val="000000"/>
          <w:sz w:val="21"/>
          <w:szCs w:val="21"/>
        </w:rPr>
        <w:t>Ernesto Maceda</w:t>
      </w:r>
      <w:r>
        <w:rPr>
          <w:rFonts w:ascii="Times New Roman" w:hint="eastAsia"/>
          <w:color w:val="000000"/>
          <w:sz w:val="21"/>
          <w:szCs w:val="21"/>
        </w:rPr>
        <w:t>诉被告</w:t>
      </w:r>
      <w:r>
        <w:rPr>
          <w:rFonts w:ascii="Times New Roman" w:hint="eastAsia"/>
          <w:color w:val="000000"/>
          <w:sz w:val="21"/>
          <w:szCs w:val="21"/>
        </w:rPr>
        <w:t>Eduardo Barrios-Manzano</w:t>
      </w:r>
      <w:r>
        <w:rPr>
          <w:rFonts w:ascii="Times New Roman" w:hint="eastAsia"/>
          <w:color w:val="000000"/>
          <w:sz w:val="21"/>
          <w:szCs w:val="21"/>
        </w:rPr>
        <w:t>和选举委员会。</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Schalkwyck</w:t>
      </w:r>
      <w:r>
        <w:rPr>
          <w:rFonts w:ascii="Times New Roman" w:hint="eastAsia"/>
          <w:color w:val="000000"/>
          <w:sz w:val="21"/>
          <w:szCs w:val="21"/>
        </w:rPr>
        <w:t>，</w:t>
      </w:r>
      <w:r>
        <w:rPr>
          <w:rFonts w:ascii="Times New Roman" w:hint="eastAsia"/>
          <w:color w:val="000000"/>
          <w:sz w:val="21"/>
          <w:szCs w:val="21"/>
        </w:rPr>
        <w:t>2002</w:t>
      </w:r>
      <w:r>
        <w:rPr>
          <w:rFonts w:ascii="Times New Roman" w:hint="eastAsia"/>
          <w:color w:val="000000"/>
          <w:sz w:val="21"/>
          <w:szCs w:val="21"/>
        </w:rPr>
        <w:t>年。《加拿大国际开发署项目评估工作组报告》。</w:t>
      </w:r>
      <w:r>
        <w:rPr>
          <w:rFonts w:ascii="Times New Roman" w:hint="eastAsia"/>
          <w:color w:val="000000"/>
          <w:sz w:val="21"/>
          <w:szCs w:val="21"/>
        </w:rPr>
        <w:t xml:space="preserve"> </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Santos</w:t>
      </w:r>
      <w:r>
        <w:rPr>
          <w:rFonts w:ascii="Times New Roman" w:hint="eastAsia"/>
          <w:color w:val="000000"/>
          <w:sz w:val="21"/>
          <w:szCs w:val="21"/>
        </w:rPr>
        <w:t>、</w:t>
      </w:r>
      <w:r>
        <w:rPr>
          <w:rFonts w:ascii="Times New Roman" w:hint="eastAsia"/>
          <w:color w:val="000000"/>
          <w:sz w:val="21"/>
          <w:szCs w:val="21"/>
        </w:rPr>
        <w:t>Atty. Soliman M.</w:t>
      </w:r>
      <w:r>
        <w:rPr>
          <w:rFonts w:ascii="Times New Roman" w:hint="eastAsia"/>
          <w:color w:val="000000"/>
          <w:sz w:val="21"/>
          <w:szCs w:val="21"/>
        </w:rPr>
        <w:t>、</w:t>
      </w:r>
      <w:r>
        <w:rPr>
          <w:rFonts w:ascii="Times New Roman" w:hint="eastAsia"/>
          <w:color w:val="000000"/>
          <w:sz w:val="21"/>
          <w:szCs w:val="21"/>
        </w:rPr>
        <w:t>Merci Llarinas-Angeles</w:t>
      </w:r>
      <w:r>
        <w:rPr>
          <w:rFonts w:ascii="Times New Roman" w:hint="eastAsia"/>
          <w:color w:val="000000"/>
          <w:sz w:val="21"/>
          <w:szCs w:val="21"/>
        </w:rPr>
        <w:t>和</w:t>
      </w:r>
      <w:r>
        <w:rPr>
          <w:rFonts w:ascii="Times New Roman" w:hint="eastAsia"/>
          <w:color w:val="000000"/>
          <w:sz w:val="21"/>
          <w:szCs w:val="21"/>
        </w:rPr>
        <w:t>Roberto M. Ador.</w:t>
      </w:r>
      <w:r>
        <w:rPr>
          <w:rFonts w:ascii="Times New Roman" w:hint="eastAsia"/>
          <w:color w:val="000000"/>
          <w:sz w:val="21"/>
          <w:szCs w:val="21"/>
        </w:rPr>
        <w:t>，</w:t>
      </w:r>
      <w:r>
        <w:rPr>
          <w:rFonts w:ascii="Times New Roman" w:hint="eastAsia"/>
          <w:color w:val="000000"/>
          <w:sz w:val="21"/>
          <w:szCs w:val="21"/>
        </w:rPr>
        <w:t>2001</w:t>
      </w:r>
      <w:r>
        <w:rPr>
          <w:rFonts w:ascii="Times New Roman" w:hint="eastAsia"/>
          <w:color w:val="000000"/>
          <w:sz w:val="21"/>
          <w:szCs w:val="21"/>
        </w:rPr>
        <w:t>年。《司法与康复：打击强奸罪的双重法律的双重需要》，提交菲律宾议员人口与发展委员会的研究报告摘要。</w:t>
      </w:r>
    </w:p>
    <w:p w:rsidR="00000000" w:rsidRDefault="00821B8F">
      <w:pPr>
        <w:pStyle w:val="BodyText"/>
        <w:spacing w:after="120" w:line="360" w:lineRule="exact"/>
        <w:ind w:left="360" w:hanging="360"/>
        <w:rPr>
          <w:rFonts w:ascii="Times New Roman" w:hint="eastAsia"/>
          <w:color w:val="000000"/>
          <w:sz w:val="21"/>
          <w:szCs w:val="21"/>
        </w:rPr>
      </w:pPr>
      <w:r>
        <w:rPr>
          <w:rFonts w:ascii="Times New Roman" w:hint="eastAsia"/>
          <w:color w:val="000000"/>
          <w:sz w:val="21"/>
          <w:szCs w:val="21"/>
        </w:rPr>
        <w:t>Sinag</w:t>
      </w:r>
      <w:r>
        <w:rPr>
          <w:rFonts w:ascii="Times New Roman" w:hint="eastAsia"/>
          <w:color w:val="000000"/>
          <w:sz w:val="21"/>
          <w:szCs w:val="21"/>
          <w:lang w:val="en-GB"/>
        </w:rPr>
        <w:t>，</w:t>
      </w:r>
      <w:r>
        <w:rPr>
          <w:rFonts w:ascii="Times New Roman" w:hint="eastAsia"/>
          <w:color w:val="000000"/>
          <w:sz w:val="21"/>
          <w:szCs w:val="21"/>
        </w:rPr>
        <w:t>1999</w:t>
      </w:r>
      <w:r>
        <w:rPr>
          <w:rFonts w:ascii="Times New Roman" w:hint="eastAsia"/>
          <w:color w:val="000000"/>
          <w:sz w:val="21"/>
          <w:szCs w:val="21"/>
        </w:rPr>
        <w:t>年。第</w:t>
      </w:r>
      <w:r>
        <w:rPr>
          <w:rFonts w:ascii="Times New Roman" w:hint="eastAsia"/>
          <w:color w:val="000000"/>
          <w:sz w:val="21"/>
          <w:szCs w:val="21"/>
        </w:rPr>
        <w:t>5</w:t>
      </w:r>
      <w:r>
        <w:rPr>
          <w:rFonts w:ascii="Times New Roman" w:hint="eastAsia"/>
          <w:color w:val="000000"/>
          <w:sz w:val="21"/>
          <w:szCs w:val="21"/>
        </w:rPr>
        <w:t>卷第</w:t>
      </w:r>
      <w:r>
        <w:rPr>
          <w:rFonts w:ascii="Times New Roman" w:hint="eastAsia"/>
          <w:color w:val="000000"/>
          <w:sz w:val="21"/>
          <w:szCs w:val="21"/>
        </w:rPr>
        <w:t>2</w:t>
      </w:r>
      <w:r>
        <w:rPr>
          <w:rFonts w:ascii="Times New Roman" w:hint="eastAsia"/>
          <w:color w:val="000000"/>
          <w:sz w:val="21"/>
          <w:szCs w:val="21"/>
        </w:rPr>
        <w:t>期。</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最高法院注释报告，</w:t>
      </w:r>
      <w:r>
        <w:rPr>
          <w:rFonts w:ascii="Times New Roman" w:hint="eastAsia"/>
          <w:color w:val="000000"/>
          <w:sz w:val="21"/>
        </w:rPr>
        <w:t>1999</w:t>
      </w:r>
      <w:r>
        <w:rPr>
          <w:rFonts w:ascii="Times New Roman" w:hint="eastAsia"/>
          <w:color w:val="000000"/>
          <w:sz w:val="21"/>
        </w:rPr>
        <w:t>年。原告</w:t>
      </w:r>
      <w:r>
        <w:rPr>
          <w:rFonts w:ascii="Times New Roman" w:hint="eastAsia"/>
          <w:color w:val="000000"/>
          <w:sz w:val="21"/>
        </w:rPr>
        <w:t>Ernesto M</w:t>
      </w:r>
      <w:r>
        <w:rPr>
          <w:rFonts w:ascii="Times New Roman"/>
          <w:color w:val="000000"/>
          <w:sz w:val="21"/>
        </w:rPr>
        <w:t>e</w:t>
      </w:r>
      <w:r>
        <w:rPr>
          <w:rFonts w:ascii="Times New Roman"/>
          <w:color w:val="000000"/>
          <w:sz w:val="21"/>
        </w:rPr>
        <w:t>rcado</w:t>
      </w:r>
      <w:r>
        <w:rPr>
          <w:rFonts w:ascii="Times New Roman" w:hint="eastAsia"/>
          <w:color w:val="000000"/>
          <w:sz w:val="21"/>
        </w:rPr>
        <w:t>诉被告</w:t>
      </w:r>
      <w:r>
        <w:rPr>
          <w:rFonts w:ascii="Times New Roman" w:hint="eastAsia"/>
          <w:color w:val="000000"/>
          <w:sz w:val="21"/>
        </w:rPr>
        <w:t>Eduardo Barrios-Manzano</w:t>
      </w:r>
      <w:r>
        <w:rPr>
          <w:rFonts w:ascii="Times New Roman" w:hint="eastAsia"/>
          <w:color w:val="000000"/>
          <w:sz w:val="21"/>
        </w:rPr>
        <w:t>和选举委员会，第</w:t>
      </w:r>
      <w:r>
        <w:rPr>
          <w:rFonts w:ascii="Times New Roman" w:hint="eastAsia"/>
          <w:color w:val="000000"/>
          <w:sz w:val="21"/>
        </w:rPr>
        <w:t>135083</w:t>
      </w:r>
      <w:r>
        <w:rPr>
          <w:rFonts w:ascii="Times New Roman" w:hint="eastAsia"/>
          <w:color w:val="000000"/>
          <w:sz w:val="21"/>
        </w:rPr>
        <w:t>号</w:t>
      </w:r>
      <w:r>
        <w:rPr>
          <w:rFonts w:ascii="Times New Roman" w:hint="eastAsia"/>
          <w:color w:val="000000"/>
          <w:sz w:val="21"/>
        </w:rPr>
        <w:t>G.R</w:t>
      </w:r>
      <w:r>
        <w:rPr>
          <w:rFonts w:ascii="Times New Roman"/>
          <w:color w:val="000000"/>
          <w:sz w:val="21"/>
        </w:rPr>
        <w:t>.</w:t>
      </w:r>
      <w:r>
        <w:rPr>
          <w:rFonts w:ascii="Times New Roman" w:hint="eastAsia"/>
          <w:color w:val="000000"/>
          <w:sz w:val="21"/>
        </w:rPr>
        <w:t>，</w:t>
      </w:r>
      <w:r>
        <w:rPr>
          <w:rFonts w:ascii="Times New Roman" w:hint="eastAsia"/>
          <w:color w:val="000000"/>
          <w:sz w:val="21"/>
        </w:rPr>
        <w:t>1999</w:t>
      </w:r>
      <w:r>
        <w:rPr>
          <w:rFonts w:ascii="Times New Roman" w:hint="eastAsia"/>
          <w:color w:val="000000"/>
          <w:sz w:val="21"/>
        </w:rPr>
        <w:t>年</w:t>
      </w:r>
      <w:r>
        <w:rPr>
          <w:rFonts w:ascii="Times New Roman" w:hint="eastAsia"/>
          <w:color w:val="000000"/>
          <w:sz w:val="21"/>
        </w:rPr>
        <w:t>5</w:t>
      </w:r>
      <w:r>
        <w:rPr>
          <w:rFonts w:ascii="Times New Roman" w:hint="eastAsia"/>
          <w:color w:val="000000"/>
          <w:sz w:val="21"/>
        </w:rPr>
        <w:t>月</w:t>
      </w:r>
      <w:r>
        <w:rPr>
          <w:rFonts w:ascii="Times New Roman" w:hint="eastAsia"/>
          <w:color w:val="000000"/>
          <w:sz w:val="21"/>
        </w:rPr>
        <w:t>26</w:t>
      </w:r>
      <w:r>
        <w:rPr>
          <w:rFonts w:ascii="Times New Roman" w:hint="eastAsia"/>
          <w:color w:val="000000"/>
          <w:sz w:val="21"/>
        </w:rPr>
        <w:t>日。</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1997</w:t>
      </w:r>
      <w:r>
        <w:rPr>
          <w:rFonts w:ascii="Times New Roman" w:hint="eastAsia"/>
          <w:color w:val="000000"/>
          <w:sz w:val="21"/>
        </w:rPr>
        <w:t>年。</w:t>
      </w:r>
      <w:r>
        <w:rPr>
          <w:rFonts w:ascii="Times New Roman" w:hint="eastAsia"/>
          <w:snapToGrid w:val="0"/>
          <w:color w:val="000000"/>
          <w:sz w:val="21"/>
        </w:rPr>
        <w:t>菲律宾电报电话公司诉国家劳资关系委员会</w:t>
      </w:r>
      <w:r>
        <w:rPr>
          <w:rFonts w:ascii="Times New Roman" w:hint="eastAsia"/>
          <w:color w:val="000000"/>
          <w:sz w:val="21"/>
        </w:rPr>
        <w:t>，第</w:t>
      </w:r>
      <w:r>
        <w:rPr>
          <w:rFonts w:ascii="Times New Roman" w:hint="eastAsia"/>
          <w:color w:val="000000"/>
          <w:sz w:val="21"/>
        </w:rPr>
        <w:t>118978</w:t>
      </w:r>
      <w:r>
        <w:rPr>
          <w:rFonts w:ascii="Times New Roman" w:hint="eastAsia"/>
          <w:color w:val="000000"/>
          <w:sz w:val="21"/>
        </w:rPr>
        <w:t>号</w:t>
      </w:r>
      <w:r>
        <w:rPr>
          <w:rFonts w:ascii="Times New Roman" w:hint="eastAsia"/>
          <w:color w:val="000000"/>
          <w:sz w:val="21"/>
        </w:rPr>
        <w:t>G</w:t>
      </w:r>
      <w:r>
        <w:rPr>
          <w:rFonts w:ascii="Times New Roman"/>
          <w:color w:val="000000"/>
          <w:sz w:val="21"/>
        </w:rPr>
        <w:t>.R.</w:t>
      </w:r>
      <w:r>
        <w:rPr>
          <w:rFonts w:ascii="Times New Roman" w:hint="eastAsia"/>
          <w:color w:val="000000"/>
          <w:sz w:val="21"/>
        </w:rPr>
        <w:t>，</w:t>
      </w:r>
      <w:r>
        <w:rPr>
          <w:rFonts w:ascii="Times New Roman" w:hint="eastAsia"/>
          <w:color w:val="000000"/>
          <w:sz w:val="21"/>
        </w:rPr>
        <w:t>1997</w:t>
      </w:r>
      <w:r>
        <w:rPr>
          <w:rFonts w:ascii="Times New Roman" w:hint="eastAsia"/>
          <w:color w:val="000000"/>
          <w:sz w:val="21"/>
        </w:rPr>
        <w:t>年</w:t>
      </w:r>
      <w:r>
        <w:rPr>
          <w:rFonts w:ascii="Times New Roman" w:hint="eastAsia"/>
          <w:color w:val="000000"/>
          <w:sz w:val="21"/>
        </w:rPr>
        <w:t>5</w:t>
      </w:r>
      <w:r>
        <w:rPr>
          <w:rFonts w:ascii="Times New Roman" w:hint="eastAsia"/>
          <w:color w:val="000000"/>
          <w:sz w:val="21"/>
        </w:rPr>
        <w:t>月</w:t>
      </w:r>
      <w:r>
        <w:rPr>
          <w:rFonts w:ascii="Times New Roman" w:hint="eastAsia"/>
          <w:color w:val="000000"/>
          <w:sz w:val="21"/>
        </w:rPr>
        <w:t>23</w:t>
      </w:r>
      <w:r>
        <w:rPr>
          <w:rFonts w:ascii="Times New Roman" w:hint="eastAsia"/>
          <w:color w:val="000000"/>
          <w:sz w:val="21"/>
        </w:rPr>
        <w:t>日。</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Tañada, Karen</w:t>
      </w:r>
      <w:r>
        <w:rPr>
          <w:rFonts w:ascii="Times New Roman" w:hint="eastAsia"/>
          <w:color w:val="000000"/>
          <w:sz w:val="21"/>
        </w:rPr>
        <w:t>。《妇女与环境》，菲律宾北京会议后记分委员会。</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技术教育和技能发展管理局，《技术职业教育和培训的实时统计资料》，</w:t>
      </w:r>
      <w:r>
        <w:rPr>
          <w:rFonts w:ascii="Times New Roman" w:hint="eastAsia"/>
          <w:color w:val="000000"/>
          <w:sz w:val="21"/>
        </w:rPr>
        <w:t>2002</w:t>
      </w:r>
      <w:r>
        <w:rPr>
          <w:rFonts w:ascii="Times New Roman" w:hint="eastAsia"/>
          <w:color w:val="000000"/>
          <w:sz w:val="21"/>
        </w:rPr>
        <w:t>年第一季度。</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技术教育和技能发展管理局，《年度报告》，</w:t>
      </w:r>
      <w:r>
        <w:rPr>
          <w:rFonts w:ascii="Times New Roman" w:hint="eastAsia"/>
          <w:color w:val="000000"/>
          <w:sz w:val="21"/>
        </w:rPr>
        <w:t>2001</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联合国开发计划署，</w:t>
      </w:r>
      <w:r>
        <w:rPr>
          <w:rFonts w:ascii="Times New Roman" w:hint="eastAsia"/>
          <w:color w:val="000000"/>
          <w:sz w:val="21"/>
        </w:rPr>
        <w:t>2003</w:t>
      </w:r>
      <w:r>
        <w:rPr>
          <w:rFonts w:ascii="Times New Roman" w:hint="eastAsia"/>
          <w:color w:val="000000"/>
          <w:sz w:val="21"/>
        </w:rPr>
        <w:t>年。《</w:t>
      </w:r>
      <w:r>
        <w:rPr>
          <w:rFonts w:ascii="Times New Roman" w:hint="eastAsia"/>
          <w:color w:val="000000"/>
          <w:sz w:val="21"/>
        </w:rPr>
        <w:t>2003</w:t>
      </w:r>
      <w:r>
        <w:rPr>
          <w:rFonts w:ascii="Times New Roman" w:hint="eastAsia"/>
          <w:color w:val="000000"/>
          <w:sz w:val="21"/>
        </w:rPr>
        <w:t>年人类</w:t>
      </w:r>
      <w:r>
        <w:rPr>
          <w:rFonts w:ascii="Times New Roman" w:hint="eastAsia"/>
          <w:color w:val="000000"/>
          <w:sz w:val="21"/>
        </w:rPr>
        <w:t>发展报告》，纽约和牛津：开发计划署和牛津大学出版社。</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2002</w:t>
      </w:r>
      <w:r>
        <w:rPr>
          <w:rFonts w:ascii="Times New Roman" w:hint="eastAsia"/>
          <w:color w:val="000000"/>
          <w:sz w:val="21"/>
        </w:rPr>
        <w:t>年。《</w:t>
      </w:r>
      <w:r>
        <w:rPr>
          <w:rFonts w:ascii="Times New Roman" w:hint="eastAsia"/>
          <w:color w:val="000000"/>
          <w:sz w:val="21"/>
        </w:rPr>
        <w:t>2002</w:t>
      </w:r>
      <w:r>
        <w:rPr>
          <w:rFonts w:ascii="Times New Roman" w:hint="eastAsia"/>
          <w:color w:val="000000"/>
          <w:sz w:val="21"/>
        </w:rPr>
        <w:t>年人类发展报告》，纽约和牛津：开发计划署和牛津大学出版社。</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2001</w:t>
      </w:r>
      <w:r>
        <w:rPr>
          <w:rFonts w:ascii="Times New Roman" w:hint="eastAsia"/>
          <w:color w:val="000000"/>
          <w:sz w:val="21"/>
        </w:rPr>
        <w:t>年。《</w:t>
      </w:r>
      <w:r>
        <w:rPr>
          <w:rFonts w:ascii="Times New Roman" w:hint="eastAsia"/>
          <w:color w:val="000000"/>
          <w:sz w:val="21"/>
        </w:rPr>
        <w:t>2001</w:t>
      </w:r>
      <w:r>
        <w:rPr>
          <w:rFonts w:ascii="Times New Roman" w:hint="eastAsia"/>
          <w:color w:val="000000"/>
          <w:sz w:val="21"/>
        </w:rPr>
        <w:t>年人类发展报告》，纽约和牛津：开发计划署和牛津大学出版社。</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2000</w:t>
      </w:r>
      <w:r>
        <w:rPr>
          <w:rFonts w:ascii="Times New Roman" w:hint="eastAsia"/>
          <w:color w:val="000000"/>
          <w:sz w:val="21"/>
        </w:rPr>
        <w:t>年。《</w:t>
      </w:r>
      <w:r>
        <w:rPr>
          <w:rFonts w:ascii="Times New Roman" w:hint="eastAsia"/>
          <w:color w:val="000000"/>
          <w:sz w:val="21"/>
        </w:rPr>
        <w:t>2000</w:t>
      </w:r>
      <w:r>
        <w:rPr>
          <w:rFonts w:ascii="Times New Roman" w:hint="eastAsia"/>
          <w:color w:val="000000"/>
          <w:sz w:val="21"/>
        </w:rPr>
        <w:t>年人类发展报告》，纽约和牛津：开发计划署和牛津大学出版社。</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1999</w:t>
      </w:r>
      <w:r>
        <w:rPr>
          <w:rFonts w:ascii="Times New Roman" w:hint="eastAsia"/>
          <w:color w:val="000000"/>
          <w:sz w:val="21"/>
        </w:rPr>
        <w:t>年。《</w:t>
      </w:r>
      <w:r>
        <w:rPr>
          <w:rFonts w:ascii="Times New Roman" w:hint="eastAsia"/>
          <w:color w:val="000000"/>
          <w:sz w:val="21"/>
        </w:rPr>
        <w:t>1999</w:t>
      </w:r>
      <w:r>
        <w:rPr>
          <w:rFonts w:ascii="Times New Roman" w:hint="eastAsia"/>
          <w:color w:val="000000"/>
          <w:sz w:val="21"/>
        </w:rPr>
        <w:t>年人类发展报告》，纽约和牛津：开发计划署和牛津大学出版社。</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__________</w:t>
      </w:r>
      <w:r>
        <w:rPr>
          <w:rFonts w:ascii="Times New Roman" w:hint="eastAsia"/>
          <w:color w:val="000000"/>
          <w:sz w:val="21"/>
        </w:rPr>
        <w:t>，</w:t>
      </w:r>
      <w:r>
        <w:rPr>
          <w:rFonts w:ascii="Times New Roman" w:hint="eastAsia"/>
          <w:color w:val="000000"/>
          <w:sz w:val="21"/>
        </w:rPr>
        <w:t>1998</w:t>
      </w:r>
      <w:r>
        <w:rPr>
          <w:rFonts w:ascii="Times New Roman" w:hint="eastAsia"/>
          <w:color w:val="000000"/>
          <w:sz w:val="21"/>
        </w:rPr>
        <w:t>年。《</w:t>
      </w:r>
      <w:r>
        <w:rPr>
          <w:rFonts w:ascii="Times New Roman" w:hint="eastAsia"/>
          <w:color w:val="000000"/>
          <w:sz w:val="21"/>
        </w:rPr>
        <w:t>1</w:t>
      </w:r>
      <w:r>
        <w:rPr>
          <w:rFonts w:ascii="Times New Roman" w:hint="eastAsia"/>
          <w:color w:val="000000"/>
          <w:sz w:val="21"/>
        </w:rPr>
        <w:t>998</w:t>
      </w:r>
      <w:r>
        <w:rPr>
          <w:rFonts w:ascii="Times New Roman" w:hint="eastAsia"/>
          <w:color w:val="000000"/>
          <w:sz w:val="21"/>
        </w:rPr>
        <w:t>年人类发展报告》，纽约和牛津：开发计划署和牛津大学出版社。</w:t>
      </w:r>
    </w:p>
    <w:p w:rsidR="00000000" w:rsidRDefault="00821B8F">
      <w:pPr>
        <w:pStyle w:val="BodyText"/>
        <w:spacing w:after="120" w:line="360" w:lineRule="exact"/>
        <w:ind w:left="360" w:hanging="360"/>
        <w:rPr>
          <w:rFonts w:ascii="Times New Roman" w:hint="eastAsia"/>
          <w:color w:val="000000"/>
          <w:sz w:val="21"/>
        </w:rPr>
      </w:pPr>
      <w:r>
        <w:rPr>
          <w:rFonts w:ascii="Times New Roman" w:hint="eastAsia"/>
          <w:color w:val="000000"/>
          <w:sz w:val="21"/>
        </w:rPr>
        <w:t>Uy</w:t>
      </w:r>
      <w:r>
        <w:rPr>
          <w:rFonts w:ascii="Times New Roman" w:hint="eastAsia"/>
          <w:color w:val="000000"/>
          <w:sz w:val="21"/>
        </w:rPr>
        <w:t>、</w:t>
      </w:r>
      <w:r>
        <w:rPr>
          <w:rFonts w:ascii="Times New Roman" w:hint="eastAsia"/>
          <w:color w:val="000000"/>
          <w:sz w:val="21"/>
        </w:rPr>
        <w:t>Cecile C.</w:t>
      </w:r>
      <w:r>
        <w:rPr>
          <w:rFonts w:ascii="Times New Roman" w:hint="eastAsia"/>
          <w:color w:val="000000"/>
          <w:sz w:val="21"/>
          <w:lang w:val="en-GB"/>
        </w:rPr>
        <w:t>，</w:t>
      </w:r>
      <w:r>
        <w:rPr>
          <w:rFonts w:ascii="Times New Roman" w:hint="eastAsia"/>
          <w:color w:val="000000"/>
          <w:sz w:val="21"/>
        </w:rPr>
        <w:t>1990</w:t>
      </w:r>
      <w:r>
        <w:rPr>
          <w:rFonts w:ascii="Times New Roman" w:hint="eastAsia"/>
          <w:color w:val="000000"/>
          <w:sz w:val="21"/>
        </w:rPr>
        <w:t>年。“社区保健项目中的男女”，摘自《性别分析和规划：</w:t>
      </w:r>
      <w:r>
        <w:rPr>
          <w:rFonts w:ascii="Times New Roman" w:hint="eastAsia"/>
          <w:color w:val="000000"/>
          <w:sz w:val="21"/>
        </w:rPr>
        <w:t>1990</w:t>
      </w:r>
      <w:r>
        <w:rPr>
          <w:rFonts w:ascii="Times New Roman" w:hint="eastAsia"/>
          <w:color w:val="000000"/>
          <w:sz w:val="21"/>
        </w:rPr>
        <w:t>年菲律宾文化研究所与加拿大国际开发署的系列讨论会》，编辑</w:t>
      </w:r>
      <w:r>
        <w:rPr>
          <w:rFonts w:ascii="Times New Roman" w:hint="eastAsia"/>
          <w:color w:val="000000"/>
          <w:sz w:val="21"/>
        </w:rPr>
        <w:t>Jeanne Frances I.</w:t>
      </w:r>
      <w:r>
        <w:rPr>
          <w:rFonts w:ascii="Times New Roman" w:hint="eastAsia"/>
          <w:color w:val="000000"/>
          <w:sz w:val="21"/>
        </w:rPr>
        <w:t>、</w:t>
      </w:r>
      <w:r>
        <w:rPr>
          <w:rFonts w:ascii="Times New Roman" w:hint="eastAsia"/>
          <w:color w:val="000000"/>
          <w:sz w:val="21"/>
        </w:rPr>
        <w:t>Illo</w:t>
      </w:r>
      <w:r>
        <w:rPr>
          <w:rFonts w:ascii="Times New Roman" w:hint="eastAsia"/>
          <w:color w:val="000000"/>
          <w:sz w:val="21"/>
        </w:rPr>
        <w:t>。奎松市：马尼拉雅典耀大学菲律宾文化研究所。</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菲律宾大学妇女研究中心，《成衣业的全球化：对妇女的影响》。</w:t>
      </w:r>
      <w:r>
        <w:rPr>
          <w:rFonts w:ascii="Times New Roman" w:hint="eastAsia"/>
          <w:color w:val="000000"/>
          <w:sz w:val="21"/>
        </w:rPr>
        <w:t xml:space="preserve"> </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菲律宾大学妇女研究中心，《土著妇女、全球化与</w:t>
      </w:r>
      <w:r>
        <w:rPr>
          <w:rFonts w:ascii="Times New Roman" w:hint="eastAsia"/>
          <w:color w:val="000000"/>
          <w:sz w:val="21"/>
        </w:rPr>
        <w:t>OPM</w:t>
      </w:r>
      <w:r>
        <w:rPr>
          <w:rFonts w:ascii="Times New Roman" w:hint="eastAsia"/>
          <w:color w:val="000000"/>
          <w:sz w:val="21"/>
        </w:rPr>
        <w:t>：妇女的边际化和生存情况》。</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菲律宾大学妇女研究中心，《打破沉默：菲律宾家庭暴力的现状和改变现</w:t>
      </w:r>
      <w:r>
        <w:rPr>
          <w:rFonts w:ascii="Times New Roman" w:hint="eastAsia"/>
          <w:color w:val="000000"/>
          <w:sz w:val="21"/>
        </w:rPr>
        <w:t>状的建议》，</w:t>
      </w:r>
      <w:r>
        <w:rPr>
          <w:rFonts w:ascii="Times New Roman" w:hint="eastAsia"/>
          <w:color w:val="000000"/>
          <w:sz w:val="21"/>
        </w:rPr>
        <w:t>1997</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菲律宾大学妇女研究中心，《暴力行为面面观：菲律宾家庭的虐待者和虐待关系》，</w:t>
      </w:r>
      <w:r>
        <w:rPr>
          <w:rFonts w:ascii="Times New Roman" w:hint="eastAsia"/>
          <w:color w:val="000000"/>
          <w:sz w:val="21"/>
        </w:rPr>
        <w:t>1999</w:t>
      </w:r>
      <w:r>
        <w:rPr>
          <w:rFonts w:ascii="Times New Roman" w:hint="eastAsia"/>
          <w:color w:val="000000"/>
          <w:sz w:val="21"/>
        </w:rPr>
        <w:t>年。</w:t>
      </w:r>
    </w:p>
    <w:p w:rsidR="00000000" w:rsidRDefault="00821B8F">
      <w:pPr>
        <w:pStyle w:val="BodyText"/>
        <w:spacing w:after="120" w:line="360" w:lineRule="exact"/>
        <w:rPr>
          <w:rFonts w:ascii="Times New Roman" w:hint="eastAsia"/>
          <w:color w:val="000000"/>
          <w:sz w:val="21"/>
        </w:rPr>
      </w:pPr>
      <w:r>
        <w:rPr>
          <w:rFonts w:ascii="Times New Roman" w:hint="eastAsia"/>
          <w:color w:val="000000"/>
          <w:sz w:val="21"/>
        </w:rPr>
        <w:t>菲律宾大学妇女研究中心，《弥合受伤的家庭、创建和平社区》。</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联合国开发计划署，《妇女状况评估：根据消除对妇女一切形式歧视公约提交报告的指南》，</w:t>
      </w:r>
      <w:r>
        <w:rPr>
          <w:rFonts w:ascii="Times New Roman" w:hint="eastAsia"/>
          <w:color w:val="000000"/>
          <w:sz w:val="21"/>
          <w:szCs w:val="21"/>
        </w:rPr>
        <w:t>2000</w:t>
      </w:r>
      <w:r>
        <w:rPr>
          <w:rFonts w:ascii="Times New Roman" w:hint="eastAsia"/>
          <w:color w:val="000000"/>
          <w:sz w:val="21"/>
          <w:szCs w:val="21"/>
        </w:rPr>
        <w:t>年。</w:t>
      </w:r>
    </w:p>
    <w:p w:rsidR="00000000" w:rsidRDefault="00821B8F">
      <w:pPr>
        <w:pStyle w:val="BodyText"/>
        <w:spacing w:after="120" w:line="360" w:lineRule="exact"/>
        <w:ind w:left="360" w:hanging="360"/>
        <w:rPr>
          <w:rFonts w:ascii="Times New Roman" w:hint="eastAsia"/>
          <w:i/>
          <w:color w:val="000000"/>
          <w:sz w:val="21"/>
          <w:szCs w:val="21"/>
        </w:rPr>
      </w:pPr>
      <w:r>
        <w:rPr>
          <w:rFonts w:ascii="Times New Roman" w:hint="eastAsia"/>
          <w:color w:val="000000"/>
          <w:sz w:val="21"/>
          <w:szCs w:val="21"/>
        </w:rPr>
        <w:t>联合国，</w:t>
      </w:r>
      <w:r>
        <w:rPr>
          <w:rFonts w:ascii="Times New Roman" w:hint="eastAsia"/>
          <w:color w:val="000000"/>
          <w:spacing w:val="-2"/>
          <w:sz w:val="21"/>
          <w:szCs w:val="21"/>
        </w:rPr>
        <w:t>《关于加强菲律宾南部持久和平与发展基础的项目文件：菲律宾政府–联合国</w:t>
      </w:r>
      <w:r>
        <w:rPr>
          <w:rFonts w:ascii="Times New Roman" w:hint="eastAsia"/>
          <w:color w:val="000000"/>
          <w:spacing w:val="-2"/>
          <w:sz w:val="21"/>
          <w:szCs w:val="21"/>
        </w:rPr>
        <w:t>/</w:t>
      </w:r>
      <w:r>
        <w:rPr>
          <w:rFonts w:ascii="Times New Roman" w:hint="eastAsia"/>
          <w:color w:val="000000"/>
          <w:spacing w:val="-2"/>
          <w:sz w:val="21"/>
          <w:szCs w:val="21"/>
        </w:rPr>
        <w:t>多方捐助者方案第三阶段》</w:t>
      </w:r>
      <w:r>
        <w:rPr>
          <w:rFonts w:ascii="Times New Roman" w:hint="eastAsia"/>
          <w:color w:val="000000"/>
          <w:sz w:val="21"/>
          <w:szCs w:val="21"/>
        </w:rPr>
        <w:t>。</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联合国妇女基金，《菲律宾发展形势性别评估一稿》，妇女与性别研究所编写，</w:t>
      </w:r>
      <w:r>
        <w:rPr>
          <w:rFonts w:ascii="Times New Roman" w:hint="eastAsia"/>
          <w:color w:val="000000"/>
          <w:sz w:val="21"/>
          <w:szCs w:val="21"/>
        </w:rPr>
        <w:t>2002</w:t>
      </w:r>
      <w:r>
        <w:rPr>
          <w:rFonts w:ascii="Times New Roman" w:hint="eastAsia"/>
          <w:color w:val="000000"/>
          <w:sz w:val="21"/>
          <w:szCs w:val="21"/>
        </w:rPr>
        <w:t>年。</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妇女危机中心，《关于暴力对妇女影响的参与性女权行动研</w:t>
      </w:r>
      <w:r>
        <w:rPr>
          <w:rFonts w:ascii="Times New Roman" w:hint="eastAsia"/>
          <w:color w:val="000000"/>
          <w:sz w:val="21"/>
          <w:szCs w:val="21"/>
        </w:rPr>
        <w:t>究》。</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妇女法律局，《妇女健康与法律》，</w:t>
      </w:r>
      <w:r>
        <w:rPr>
          <w:rFonts w:ascii="Times New Roman" w:hint="eastAsia"/>
          <w:color w:val="000000"/>
          <w:sz w:val="21"/>
          <w:szCs w:val="21"/>
        </w:rPr>
        <w:t>1995</w:t>
      </w:r>
      <w:r>
        <w:rPr>
          <w:rFonts w:ascii="Times New Roman" w:hint="eastAsia"/>
          <w:color w:val="000000"/>
          <w:sz w:val="21"/>
          <w:szCs w:val="21"/>
        </w:rPr>
        <w:t>年。</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Yao</w:t>
      </w:r>
      <w:r>
        <w:rPr>
          <w:rFonts w:ascii="Times New Roman" w:hint="eastAsia"/>
          <w:color w:val="000000"/>
          <w:sz w:val="21"/>
          <w:szCs w:val="21"/>
        </w:rPr>
        <w:t>、</w:t>
      </w:r>
      <w:r>
        <w:rPr>
          <w:rFonts w:ascii="Times New Roman" w:hint="eastAsia"/>
          <w:color w:val="000000"/>
          <w:sz w:val="21"/>
          <w:szCs w:val="21"/>
        </w:rPr>
        <w:t>Myrna</w:t>
      </w:r>
      <w:r>
        <w:rPr>
          <w:rFonts w:ascii="Times New Roman" w:hint="eastAsia"/>
          <w:color w:val="000000"/>
          <w:sz w:val="21"/>
          <w:szCs w:val="21"/>
        </w:rPr>
        <w:t>。《经济赋权：应对全球化，妇女是关键》，</w:t>
      </w:r>
      <w:r>
        <w:rPr>
          <w:rFonts w:ascii="Times New Roman" w:hint="eastAsia"/>
          <w:color w:val="000000"/>
          <w:sz w:val="21"/>
          <w:szCs w:val="21"/>
        </w:rPr>
        <w:t>PDI, 2002</w:t>
      </w:r>
      <w:r>
        <w:rPr>
          <w:rFonts w:ascii="Times New Roman" w:hint="eastAsia"/>
          <w:color w:val="000000"/>
          <w:sz w:val="21"/>
          <w:szCs w:val="21"/>
        </w:rPr>
        <w:t>年。</w:t>
      </w:r>
    </w:p>
    <w:p w:rsidR="00000000" w:rsidRDefault="00821B8F">
      <w:pPr>
        <w:pStyle w:val="BodyText"/>
        <w:spacing w:after="120" w:line="360" w:lineRule="exact"/>
        <w:rPr>
          <w:rFonts w:ascii="Times New Roman" w:hint="eastAsia"/>
          <w:color w:val="000000"/>
          <w:sz w:val="21"/>
          <w:szCs w:val="21"/>
        </w:rPr>
      </w:pPr>
      <w:hyperlink r:id="rId28" w:history="1">
        <w:r>
          <w:rPr>
            <w:rStyle w:val="PageNumber"/>
            <w:rFonts w:ascii="Times New Roman" w:hint="eastAsia"/>
            <w:color w:val="000000"/>
            <w:sz w:val="21"/>
            <w:szCs w:val="21"/>
          </w:rPr>
          <w:t>www.bsp.gov.ph/statistics</w:t>
        </w:r>
      </w:hyperlink>
      <w:r>
        <w:rPr>
          <w:rFonts w:ascii="Times New Roman" w:hint="eastAsia"/>
          <w:color w:val="000000"/>
          <w:sz w:val="21"/>
          <w:szCs w:val="21"/>
        </w:rPr>
        <w:t>，截至</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3</w:t>
      </w:r>
      <w:r>
        <w:rPr>
          <w:rFonts w:ascii="Times New Roman" w:hint="eastAsia"/>
          <w:color w:val="000000"/>
          <w:sz w:val="21"/>
          <w:szCs w:val="21"/>
        </w:rPr>
        <w:t>月</w:t>
      </w:r>
      <w:r>
        <w:rPr>
          <w:rFonts w:ascii="Times New Roman" w:hint="eastAsia"/>
          <w:color w:val="000000"/>
          <w:sz w:val="21"/>
          <w:szCs w:val="21"/>
        </w:rPr>
        <w:t>19</w:t>
      </w:r>
      <w:r>
        <w:rPr>
          <w:rFonts w:ascii="Times New Roman" w:hint="eastAsia"/>
          <w:color w:val="000000"/>
          <w:sz w:val="21"/>
          <w:szCs w:val="21"/>
        </w:rPr>
        <w:t>日。</w:t>
      </w:r>
    </w:p>
    <w:p w:rsidR="00000000" w:rsidRDefault="00821B8F">
      <w:pPr>
        <w:pStyle w:val="BodyText"/>
        <w:spacing w:after="120" w:line="360" w:lineRule="exact"/>
        <w:rPr>
          <w:rFonts w:ascii="Times New Roman" w:hint="eastAsia"/>
          <w:color w:val="000000"/>
          <w:sz w:val="21"/>
          <w:szCs w:val="21"/>
        </w:rPr>
      </w:pPr>
      <w:hyperlink r:id="rId29" w:history="1">
        <w:r>
          <w:rPr>
            <w:rStyle w:val="PageNumber"/>
            <w:rFonts w:ascii="Times New Roman" w:hint="eastAsia"/>
            <w:color w:val="000000"/>
            <w:sz w:val="21"/>
            <w:szCs w:val="21"/>
          </w:rPr>
          <w:t>www.unescap.org/huset/women</w:t>
        </w:r>
        <w:r>
          <w:rPr>
            <w:rStyle w:val="PageNumber"/>
            <w:rFonts w:ascii="Times New Roman" w:hint="eastAsia"/>
            <w:color w:val="000000"/>
            <w:sz w:val="21"/>
            <w:szCs w:val="21"/>
          </w:rPr>
          <w:t>/reports.philippines.pdf</w:t>
        </w:r>
      </w:hyperlink>
      <w:r>
        <w:rPr>
          <w:rFonts w:ascii="Times New Roman" w:hint="eastAsia"/>
          <w:color w:val="000000"/>
          <w:sz w:val="21"/>
          <w:szCs w:val="21"/>
        </w:rPr>
        <w:t>，</w:t>
      </w:r>
      <w:r>
        <w:rPr>
          <w:rFonts w:ascii="Times New Roman" w:hint="eastAsia"/>
          <w:color w:val="000000"/>
          <w:sz w:val="21"/>
          <w:szCs w:val="21"/>
        </w:rPr>
        <w:t>2003</w:t>
      </w:r>
      <w:r>
        <w:rPr>
          <w:rFonts w:ascii="Times New Roman" w:hint="eastAsia"/>
          <w:color w:val="000000"/>
          <w:sz w:val="21"/>
          <w:szCs w:val="21"/>
        </w:rPr>
        <w:t>年</w:t>
      </w:r>
      <w:r>
        <w:rPr>
          <w:rFonts w:ascii="Times New Roman" w:hint="eastAsia"/>
          <w:color w:val="000000"/>
          <w:sz w:val="21"/>
          <w:szCs w:val="21"/>
        </w:rPr>
        <w:t>1</w:t>
      </w:r>
      <w:r>
        <w:rPr>
          <w:rFonts w:ascii="Times New Roman" w:hint="eastAsia"/>
          <w:color w:val="000000"/>
          <w:sz w:val="21"/>
          <w:szCs w:val="21"/>
        </w:rPr>
        <w:t>月</w:t>
      </w:r>
      <w:r>
        <w:rPr>
          <w:rFonts w:ascii="Times New Roman" w:hint="eastAsia"/>
          <w:color w:val="000000"/>
          <w:sz w:val="21"/>
          <w:szCs w:val="21"/>
        </w:rPr>
        <w:t>3</w:t>
      </w:r>
      <w:r>
        <w:rPr>
          <w:rFonts w:ascii="Times New Roman" w:hint="eastAsia"/>
          <w:color w:val="000000"/>
          <w:sz w:val="21"/>
          <w:szCs w:val="21"/>
        </w:rPr>
        <w:t>日上网查阅。</w:t>
      </w:r>
    </w:p>
    <w:p w:rsidR="00000000" w:rsidRDefault="00821B8F">
      <w:pPr>
        <w:pStyle w:val="BodyText"/>
        <w:spacing w:after="120" w:line="360" w:lineRule="exact"/>
        <w:rPr>
          <w:rFonts w:ascii="Times New Roman" w:hint="eastAsia"/>
          <w:color w:val="000000"/>
          <w:sz w:val="21"/>
          <w:szCs w:val="21"/>
        </w:rPr>
      </w:pPr>
      <w:hyperlink r:id="rId30" w:history="1">
        <w:r>
          <w:rPr>
            <w:rStyle w:val="Hyperlink"/>
            <w:rFonts w:ascii="Times New Roman" w:hint="eastAsia"/>
            <w:color w:val="000000"/>
            <w:sz w:val="21"/>
            <w:szCs w:val="21"/>
          </w:rPr>
          <w:t>www.inq7.net</w:t>
        </w:r>
      </w:hyperlink>
      <w:r>
        <w:rPr>
          <w:rFonts w:ascii="Times New Roman" w:hint="eastAsia"/>
          <w:color w:val="000000"/>
          <w:sz w:val="21"/>
          <w:szCs w:val="21"/>
        </w:rPr>
        <w:t>，《流离失所妇女和儿童的现实》，</w:t>
      </w:r>
      <w:r>
        <w:rPr>
          <w:rFonts w:ascii="Times New Roman" w:hint="eastAsia"/>
          <w:color w:val="000000"/>
          <w:sz w:val="21"/>
          <w:szCs w:val="21"/>
        </w:rPr>
        <w:t>2002</w:t>
      </w:r>
      <w:r>
        <w:rPr>
          <w:rFonts w:ascii="Times New Roman" w:hint="eastAsia"/>
          <w:color w:val="000000"/>
          <w:sz w:val="21"/>
          <w:szCs w:val="21"/>
        </w:rPr>
        <w:t>年</w:t>
      </w:r>
      <w:r>
        <w:rPr>
          <w:rFonts w:ascii="Times New Roman" w:hint="eastAsia"/>
          <w:color w:val="000000"/>
          <w:sz w:val="21"/>
          <w:szCs w:val="21"/>
        </w:rPr>
        <w:t>3</w:t>
      </w:r>
      <w:r>
        <w:rPr>
          <w:rFonts w:ascii="Times New Roman" w:hint="eastAsia"/>
          <w:color w:val="000000"/>
          <w:sz w:val="21"/>
          <w:szCs w:val="21"/>
        </w:rPr>
        <w:t>月</w:t>
      </w:r>
      <w:r>
        <w:rPr>
          <w:rFonts w:ascii="Times New Roman" w:hint="eastAsia"/>
          <w:color w:val="000000"/>
          <w:sz w:val="21"/>
          <w:szCs w:val="21"/>
        </w:rPr>
        <w:t>12</w:t>
      </w:r>
      <w:r>
        <w:rPr>
          <w:rFonts w:ascii="Times New Roman" w:hint="eastAsia"/>
          <w:color w:val="000000"/>
          <w:sz w:val="21"/>
          <w:szCs w:val="21"/>
        </w:rPr>
        <w:t>日上网查阅。</w:t>
      </w:r>
    </w:p>
    <w:p w:rsidR="00000000" w:rsidRDefault="00821B8F">
      <w:pPr>
        <w:pStyle w:val="BodyText"/>
        <w:spacing w:after="120" w:line="360" w:lineRule="exact"/>
        <w:rPr>
          <w:rFonts w:ascii="Times New Roman" w:hint="eastAsia"/>
          <w:color w:val="000000"/>
          <w:sz w:val="21"/>
          <w:szCs w:val="21"/>
        </w:rPr>
      </w:pPr>
      <w:hyperlink r:id="rId31" w:history="1">
        <w:r>
          <w:rPr>
            <w:rStyle w:val="Hyperlink"/>
            <w:rFonts w:ascii="Times New Roman" w:hint="eastAsia"/>
            <w:color w:val="000000"/>
            <w:sz w:val="21"/>
            <w:szCs w:val="21"/>
          </w:rPr>
          <w:t>www.visayanforum.org/misc/resource/archives/article16.</w:t>
        </w:r>
        <w:r>
          <w:rPr>
            <w:rStyle w:val="Hyperlink"/>
            <w:rFonts w:ascii="Times New Roman" w:hint="eastAsia"/>
            <w:color w:val="000000"/>
            <w:sz w:val="21"/>
            <w:szCs w:val="21"/>
          </w:rPr>
          <w:t>html</w:t>
        </w:r>
      </w:hyperlink>
      <w:r>
        <w:rPr>
          <w:rFonts w:ascii="Times New Roman" w:hint="eastAsia"/>
          <w:color w:val="000000"/>
          <w:sz w:val="21"/>
          <w:szCs w:val="21"/>
        </w:rPr>
        <w:t>，</w:t>
      </w:r>
      <w:r>
        <w:rPr>
          <w:rFonts w:ascii="Times New Roman" w:hint="eastAsia"/>
          <w:color w:val="000000"/>
          <w:sz w:val="21"/>
          <w:szCs w:val="21"/>
        </w:rPr>
        <w:t>2004</w:t>
      </w:r>
      <w:r>
        <w:rPr>
          <w:rFonts w:ascii="Times New Roman" w:hint="eastAsia"/>
          <w:color w:val="000000"/>
          <w:sz w:val="21"/>
          <w:szCs w:val="21"/>
        </w:rPr>
        <w:t>年</w:t>
      </w:r>
      <w:r>
        <w:rPr>
          <w:rFonts w:ascii="Times New Roman" w:hint="eastAsia"/>
          <w:color w:val="000000"/>
          <w:sz w:val="21"/>
          <w:szCs w:val="21"/>
        </w:rPr>
        <w:t>6</w:t>
      </w:r>
      <w:r>
        <w:rPr>
          <w:rFonts w:ascii="Times New Roman" w:hint="eastAsia"/>
          <w:color w:val="000000"/>
          <w:sz w:val="21"/>
          <w:szCs w:val="21"/>
        </w:rPr>
        <w:t>月</w:t>
      </w:r>
      <w:r>
        <w:rPr>
          <w:rFonts w:ascii="Times New Roman" w:hint="eastAsia"/>
          <w:color w:val="000000"/>
          <w:sz w:val="21"/>
          <w:szCs w:val="21"/>
        </w:rPr>
        <w:t>17</w:t>
      </w:r>
      <w:r>
        <w:rPr>
          <w:rFonts w:ascii="Times New Roman" w:hint="eastAsia"/>
          <w:color w:val="000000"/>
          <w:sz w:val="21"/>
          <w:szCs w:val="21"/>
        </w:rPr>
        <w:t>日上网查阅。</w:t>
      </w:r>
    </w:p>
    <w:p w:rsidR="00000000" w:rsidRDefault="00821B8F">
      <w:pPr>
        <w:pStyle w:val="BodyText"/>
        <w:spacing w:after="120" w:line="360" w:lineRule="exact"/>
        <w:rPr>
          <w:rFonts w:ascii="Times New Roman" w:hint="eastAsia"/>
          <w:color w:val="000000"/>
          <w:sz w:val="21"/>
          <w:szCs w:val="21"/>
        </w:rPr>
      </w:pPr>
      <w:r>
        <w:rPr>
          <w:rFonts w:ascii="Times New Roman" w:hint="eastAsia"/>
          <w:color w:val="000000"/>
          <w:sz w:val="21"/>
          <w:szCs w:val="21"/>
        </w:rPr>
        <w:t>世界银行，</w:t>
      </w:r>
      <w:r>
        <w:rPr>
          <w:rFonts w:ascii="Times New Roman" w:hint="eastAsia"/>
          <w:color w:val="000000"/>
          <w:sz w:val="21"/>
          <w:szCs w:val="21"/>
        </w:rPr>
        <w:t>2003</w:t>
      </w:r>
      <w:r>
        <w:rPr>
          <w:rFonts w:ascii="Times New Roman" w:hint="eastAsia"/>
          <w:color w:val="000000"/>
          <w:sz w:val="21"/>
          <w:szCs w:val="21"/>
        </w:rPr>
        <w:t>年。《国家简况表：菲律宾》，</w:t>
      </w:r>
      <w:hyperlink r:id="rId32" w:history="1">
        <w:r>
          <w:rPr>
            <w:rStyle w:val="Hyperlink"/>
            <w:rFonts w:ascii="Times New Roman" w:hint="eastAsia"/>
            <w:color w:val="000000"/>
            <w:sz w:val="21"/>
            <w:szCs w:val="21"/>
          </w:rPr>
          <w:t>http://www.devdata.worldbank.org/external</w:t>
        </w:r>
      </w:hyperlink>
      <w:r>
        <w:rPr>
          <w:rFonts w:ascii="Times New Roman" w:hint="eastAsia"/>
          <w:color w:val="000000"/>
          <w:sz w:val="21"/>
          <w:szCs w:val="21"/>
        </w:rPr>
        <w:t>。</w:t>
      </w:r>
      <w:r>
        <w:rPr>
          <w:rFonts w:ascii="Times New Roman" w:hint="eastAsia"/>
          <w:color w:val="000000"/>
          <w:sz w:val="21"/>
          <w:szCs w:val="21"/>
        </w:rPr>
        <w:t>7</w:t>
      </w:r>
      <w:r>
        <w:rPr>
          <w:rFonts w:ascii="Times New Roman" w:hint="eastAsia"/>
          <w:color w:val="000000"/>
          <w:sz w:val="21"/>
          <w:szCs w:val="21"/>
        </w:rPr>
        <w:t>月</w:t>
      </w:r>
      <w:r>
        <w:rPr>
          <w:rFonts w:ascii="Times New Roman" w:hint="eastAsia"/>
          <w:color w:val="000000"/>
          <w:sz w:val="21"/>
          <w:szCs w:val="21"/>
        </w:rPr>
        <w:t>29</w:t>
      </w:r>
      <w:r>
        <w:rPr>
          <w:rFonts w:ascii="Times New Roman" w:hint="eastAsia"/>
          <w:color w:val="000000"/>
          <w:sz w:val="21"/>
          <w:szCs w:val="21"/>
        </w:rPr>
        <w:t>日上网查阅。</w:t>
      </w:r>
    </w:p>
    <w:p w:rsidR="00000000" w:rsidRDefault="00821B8F">
      <w:pPr>
        <w:pStyle w:val="BodyText"/>
        <w:spacing w:after="120" w:line="360" w:lineRule="exact"/>
        <w:rPr>
          <w:rFonts w:ascii="Times New Roman" w:hint="eastAsia"/>
          <w:color w:val="000000"/>
          <w:sz w:val="21"/>
          <w:lang w:val="de-AT"/>
        </w:rPr>
      </w:pPr>
      <w:r>
        <w:rPr>
          <w:rFonts w:ascii="Times New Roman" w:hint="eastAsia"/>
          <w:color w:val="000000"/>
          <w:sz w:val="21"/>
          <w:lang w:val="de-AT"/>
        </w:rPr>
        <w:t>Yu</w:t>
      </w:r>
      <w:r>
        <w:rPr>
          <w:rFonts w:ascii="Times New Roman" w:hint="eastAsia"/>
          <w:color w:val="000000"/>
          <w:sz w:val="21"/>
          <w:lang w:val="de-AT"/>
        </w:rPr>
        <w:t>、</w:t>
      </w:r>
      <w:r>
        <w:rPr>
          <w:rFonts w:ascii="Times New Roman" w:hint="eastAsia"/>
          <w:color w:val="000000"/>
          <w:sz w:val="21"/>
          <w:lang w:val="de-AT"/>
        </w:rPr>
        <w:t>Sandra O.</w:t>
      </w:r>
      <w:r>
        <w:rPr>
          <w:rFonts w:ascii="Times New Roman" w:hint="eastAsia"/>
          <w:color w:val="000000"/>
          <w:sz w:val="21"/>
          <w:lang w:val="en-GB"/>
        </w:rPr>
        <w:t>，</w:t>
      </w:r>
      <w:r>
        <w:rPr>
          <w:rFonts w:ascii="Times New Roman" w:hint="eastAsia"/>
          <w:color w:val="000000"/>
          <w:sz w:val="21"/>
          <w:lang w:val="de-AT"/>
        </w:rPr>
        <w:t>2001</w:t>
      </w:r>
      <w:r>
        <w:rPr>
          <w:rFonts w:ascii="Times New Roman" w:hint="eastAsia"/>
          <w:color w:val="000000"/>
          <w:sz w:val="21"/>
          <w:lang w:val="de-AT"/>
        </w:rPr>
        <w:t>年。《菲律宾的非正规部门》，提交国际劳工组织马尼拉办事处的报告草案。</w:t>
      </w:r>
    </w:p>
    <w:p w:rsidR="00000000" w:rsidRDefault="00821B8F">
      <w:pPr>
        <w:pStyle w:val="TOC1"/>
        <w:spacing w:before="120"/>
        <w:rPr>
          <w:rFonts w:ascii="SimHei" w:hint="eastAsia"/>
        </w:rPr>
      </w:pPr>
      <w:r>
        <w:rPr>
          <w:b/>
          <w:color w:val="000000"/>
          <w:sz w:val="21"/>
        </w:rPr>
        <w:br w:type="page"/>
      </w:r>
      <w:r>
        <w:rPr>
          <w:rFonts w:ascii="SimHei" w:hint="eastAsia"/>
        </w:rPr>
        <w:t>机构资料来源</w:t>
      </w:r>
    </w:p>
    <w:p w:rsidR="00000000" w:rsidRDefault="00821B8F">
      <w:pPr>
        <w:spacing w:after="120" w:line="360" w:lineRule="exact"/>
        <w:rPr>
          <w:rFonts w:hint="eastAsia"/>
          <w:color w:val="000000"/>
          <w:szCs w:val="21"/>
        </w:rPr>
      </w:pPr>
      <w:r>
        <w:rPr>
          <w:rFonts w:hint="eastAsia"/>
          <w:color w:val="000000"/>
          <w:szCs w:val="21"/>
        </w:rPr>
        <w:t xml:space="preserve">* </w:t>
      </w:r>
      <w:r>
        <w:rPr>
          <w:color w:val="000000"/>
          <w:szCs w:val="21"/>
        </w:rPr>
        <w:t xml:space="preserve"> </w:t>
      </w:r>
      <w:r>
        <w:rPr>
          <w:rFonts w:hint="eastAsia"/>
          <w:color w:val="000000"/>
          <w:szCs w:val="21"/>
        </w:rPr>
        <w:t>请注意：除了发表和未发表的资料来源及参考文献以外，各政府机构和非政府组织</w:t>
      </w:r>
      <w:r>
        <w:rPr>
          <w:rFonts w:hint="eastAsia"/>
          <w:color w:val="000000"/>
          <w:szCs w:val="21"/>
        </w:rPr>
        <w:t>也给妇女委员会发来资料和行政记录。故将其中许多机构作为数据来源列举如下：</w:t>
      </w:r>
    </w:p>
    <w:tbl>
      <w:tblPr>
        <w:tblW w:w="0" w:type="auto"/>
        <w:tblLook w:val="0000" w:firstRow="0" w:lastRow="0" w:firstColumn="0" w:lastColumn="0" w:noHBand="0" w:noVBand="0"/>
      </w:tblPr>
      <w:tblGrid>
        <w:gridCol w:w="1908"/>
        <w:gridCol w:w="6614"/>
      </w:tblGrid>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AWCF</w:t>
            </w:r>
          </w:p>
        </w:tc>
        <w:tc>
          <w:tcPr>
            <w:tcW w:w="6614" w:type="dxa"/>
          </w:tcPr>
          <w:p w:rsidR="00000000" w:rsidRDefault="00821B8F">
            <w:pPr>
              <w:spacing w:after="120" w:line="360" w:lineRule="exact"/>
              <w:rPr>
                <w:rFonts w:hint="eastAsia"/>
                <w:color w:val="000000"/>
                <w:szCs w:val="21"/>
              </w:rPr>
            </w:pPr>
            <w:r>
              <w:rPr>
                <w:rFonts w:hint="eastAsia"/>
                <w:color w:val="000000"/>
                <w:szCs w:val="21"/>
              </w:rPr>
              <w:t>亚洲妇女合作发展论坛</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CAPWIP</w:t>
            </w:r>
          </w:p>
        </w:tc>
        <w:tc>
          <w:tcPr>
            <w:tcW w:w="6614" w:type="dxa"/>
          </w:tcPr>
          <w:p w:rsidR="00000000" w:rsidRDefault="00821B8F">
            <w:pPr>
              <w:spacing w:after="120" w:line="360" w:lineRule="exact"/>
              <w:rPr>
                <w:rFonts w:hint="eastAsia"/>
                <w:color w:val="000000"/>
                <w:szCs w:val="21"/>
              </w:rPr>
            </w:pPr>
            <w:r>
              <w:rPr>
                <w:rFonts w:hint="eastAsia"/>
                <w:color w:val="000000"/>
                <w:szCs w:val="21"/>
              </w:rPr>
              <w:t>亚太妇女政治中心</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CATW-P</w:t>
            </w:r>
          </w:p>
        </w:tc>
        <w:tc>
          <w:tcPr>
            <w:tcW w:w="6614" w:type="dxa"/>
          </w:tcPr>
          <w:p w:rsidR="00000000" w:rsidRDefault="00821B8F">
            <w:pPr>
              <w:spacing w:after="120" w:line="360" w:lineRule="exact"/>
              <w:rPr>
                <w:rFonts w:hint="eastAsia"/>
                <w:color w:val="000000"/>
                <w:szCs w:val="21"/>
              </w:rPr>
            </w:pPr>
            <w:r>
              <w:rPr>
                <w:rFonts w:hint="eastAsia"/>
                <w:color w:val="000000"/>
                <w:szCs w:val="21"/>
              </w:rPr>
              <w:t>亚太地区反对贩运妇女联盟</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CESB</w:t>
            </w:r>
          </w:p>
        </w:tc>
        <w:tc>
          <w:tcPr>
            <w:tcW w:w="6614" w:type="dxa"/>
          </w:tcPr>
          <w:p w:rsidR="00000000" w:rsidRDefault="00821B8F">
            <w:pPr>
              <w:spacing w:after="120" w:line="360" w:lineRule="exact"/>
              <w:rPr>
                <w:rFonts w:hint="eastAsia"/>
                <w:color w:val="000000"/>
                <w:szCs w:val="21"/>
              </w:rPr>
            </w:pPr>
            <w:r>
              <w:rPr>
                <w:rFonts w:hint="eastAsia"/>
                <w:color w:val="000000"/>
                <w:szCs w:val="21"/>
              </w:rPr>
              <w:t>职业行政服务委员会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CFO</w:t>
            </w:r>
          </w:p>
        </w:tc>
        <w:tc>
          <w:tcPr>
            <w:tcW w:w="6614" w:type="dxa"/>
          </w:tcPr>
          <w:p w:rsidR="00000000" w:rsidRDefault="00821B8F">
            <w:pPr>
              <w:spacing w:after="120" w:line="360" w:lineRule="exact"/>
              <w:rPr>
                <w:rFonts w:hint="eastAsia"/>
                <w:color w:val="000000"/>
                <w:szCs w:val="21"/>
              </w:rPr>
            </w:pPr>
            <w:r>
              <w:rPr>
                <w:rFonts w:hint="eastAsia"/>
                <w:color w:val="000000"/>
                <w:szCs w:val="21"/>
              </w:rPr>
              <w:t>海外菲律宾人委员会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CHED</w:t>
            </w:r>
          </w:p>
        </w:tc>
        <w:tc>
          <w:tcPr>
            <w:tcW w:w="6614" w:type="dxa"/>
          </w:tcPr>
          <w:p w:rsidR="00000000" w:rsidRDefault="00821B8F">
            <w:pPr>
              <w:spacing w:after="120" w:line="360" w:lineRule="exact"/>
              <w:rPr>
                <w:rFonts w:hint="eastAsia"/>
                <w:color w:val="000000"/>
                <w:szCs w:val="21"/>
              </w:rPr>
            </w:pPr>
            <w:r>
              <w:rPr>
                <w:rFonts w:hint="eastAsia"/>
                <w:color w:val="000000"/>
                <w:szCs w:val="21"/>
              </w:rPr>
              <w:t>高等教育委员会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CHR</w:t>
            </w:r>
          </w:p>
        </w:tc>
        <w:tc>
          <w:tcPr>
            <w:tcW w:w="6614" w:type="dxa"/>
          </w:tcPr>
          <w:p w:rsidR="00000000" w:rsidRDefault="00821B8F">
            <w:pPr>
              <w:spacing w:after="120" w:line="360" w:lineRule="exact"/>
              <w:rPr>
                <w:rFonts w:hint="eastAsia"/>
                <w:color w:val="000000"/>
                <w:szCs w:val="21"/>
              </w:rPr>
            </w:pPr>
            <w:r>
              <w:rPr>
                <w:rFonts w:hint="eastAsia"/>
                <w:color w:val="000000"/>
                <w:szCs w:val="21"/>
              </w:rPr>
              <w:t>人权委员会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CLD</w:t>
            </w:r>
          </w:p>
        </w:tc>
        <w:tc>
          <w:tcPr>
            <w:tcW w:w="6614" w:type="dxa"/>
          </w:tcPr>
          <w:p w:rsidR="00000000" w:rsidRDefault="00821B8F">
            <w:pPr>
              <w:spacing w:after="120" w:line="360" w:lineRule="exact"/>
              <w:rPr>
                <w:rFonts w:hint="eastAsia"/>
                <w:color w:val="000000"/>
                <w:szCs w:val="21"/>
              </w:rPr>
            </w:pPr>
            <w:r>
              <w:rPr>
                <w:rFonts w:hint="eastAsia"/>
                <w:color w:val="000000"/>
                <w:szCs w:val="21"/>
              </w:rPr>
              <w:t>立法发展中心</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COMELEC</w:t>
            </w:r>
          </w:p>
        </w:tc>
        <w:tc>
          <w:tcPr>
            <w:tcW w:w="6614" w:type="dxa"/>
          </w:tcPr>
          <w:p w:rsidR="00000000" w:rsidRDefault="00821B8F">
            <w:pPr>
              <w:spacing w:after="120" w:line="360" w:lineRule="exact"/>
              <w:rPr>
                <w:rFonts w:hint="eastAsia"/>
                <w:color w:val="000000"/>
                <w:szCs w:val="21"/>
              </w:rPr>
            </w:pPr>
            <w:r>
              <w:rPr>
                <w:rFonts w:hint="eastAsia"/>
                <w:color w:val="000000"/>
                <w:szCs w:val="21"/>
              </w:rPr>
              <w:t>选举委员会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CSC</w:t>
            </w:r>
          </w:p>
        </w:tc>
        <w:tc>
          <w:tcPr>
            <w:tcW w:w="6614" w:type="dxa"/>
          </w:tcPr>
          <w:p w:rsidR="00000000" w:rsidRDefault="00821B8F">
            <w:pPr>
              <w:spacing w:after="120" w:line="360" w:lineRule="exact"/>
              <w:rPr>
                <w:rFonts w:hint="eastAsia"/>
                <w:color w:val="000000"/>
                <w:szCs w:val="21"/>
              </w:rPr>
            </w:pPr>
            <w:r>
              <w:rPr>
                <w:rFonts w:hint="eastAsia"/>
                <w:color w:val="000000"/>
                <w:szCs w:val="21"/>
              </w:rPr>
              <w:t>公务员制度委员会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DA</w:t>
            </w:r>
          </w:p>
        </w:tc>
        <w:tc>
          <w:tcPr>
            <w:tcW w:w="6614" w:type="dxa"/>
          </w:tcPr>
          <w:p w:rsidR="00000000" w:rsidRDefault="00821B8F">
            <w:pPr>
              <w:spacing w:after="120" w:line="360" w:lineRule="exact"/>
              <w:rPr>
                <w:rFonts w:hint="eastAsia"/>
                <w:color w:val="000000"/>
                <w:szCs w:val="21"/>
              </w:rPr>
            </w:pPr>
            <w:r>
              <w:rPr>
                <w:rFonts w:hint="eastAsia"/>
                <w:color w:val="000000"/>
                <w:szCs w:val="21"/>
              </w:rPr>
              <w:t>农业部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DAR</w:t>
            </w:r>
          </w:p>
        </w:tc>
        <w:tc>
          <w:tcPr>
            <w:tcW w:w="6614" w:type="dxa"/>
          </w:tcPr>
          <w:p w:rsidR="00000000" w:rsidRDefault="00821B8F">
            <w:pPr>
              <w:spacing w:after="120" w:line="360" w:lineRule="exact"/>
              <w:rPr>
                <w:rFonts w:hint="eastAsia"/>
                <w:color w:val="000000"/>
                <w:szCs w:val="21"/>
              </w:rPr>
            </w:pPr>
            <w:r>
              <w:rPr>
                <w:rFonts w:hint="eastAsia"/>
                <w:color w:val="000000"/>
                <w:szCs w:val="21"/>
              </w:rPr>
              <w:t>土地改革部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DBM</w:t>
            </w:r>
          </w:p>
        </w:tc>
        <w:tc>
          <w:tcPr>
            <w:tcW w:w="6614" w:type="dxa"/>
          </w:tcPr>
          <w:p w:rsidR="00000000" w:rsidRDefault="00821B8F">
            <w:pPr>
              <w:spacing w:after="120" w:line="360" w:lineRule="exact"/>
              <w:rPr>
                <w:rFonts w:hint="eastAsia"/>
                <w:color w:val="000000"/>
                <w:szCs w:val="21"/>
              </w:rPr>
            </w:pPr>
            <w:r>
              <w:rPr>
                <w:rFonts w:hint="eastAsia"/>
                <w:color w:val="000000"/>
                <w:szCs w:val="21"/>
              </w:rPr>
              <w:t>预算和管理部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DepEd</w:t>
            </w:r>
          </w:p>
        </w:tc>
        <w:tc>
          <w:tcPr>
            <w:tcW w:w="6614" w:type="dxa"/>
          </w:tcPr>
          <w:p w:rsidR="00000000" w:rsidRDefault="00821B8F">
            <w:pPr>
              <w:spacing w:after="120" w:line="360" w:lineRule="exact"/>
              <w:rPr>
                <w:rFonts w:hint="eastAsia"/>
                <w:color w:val="000000"/>
                <w:szCs w:val="21"/>
              </w:rPr>
            </w:pPr>
            <w:r>
              <w:rPr>
                <w:rFonts w:hint="eastAsia"/>
                <w:color w:val="000000"/>
                <w:szCs w:val="21"/>
              </w:rPr>
              <w:t>教育部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DENR</w:t>
            </w:r>
          </w:p>
        </w:tc>
        <w:tc>
          <w:tcPr>
            <w:tcW w:w="6614" w:type="dxa"/>
          </w:tcPr>
          <w:p w:rsidR="00000000" w:rsidRDefault="00821B8F">
            <w:pPr>
              <w:spacing w:after="120" w:line="360" w:lineRule="exact"/>
              <w:rPr>
                <w:rFonts w:hint="eastAsia"/>
                <w:color w:val="000000"/>
                <w:szCs w:val="21"/>
              </w:rPr>
            </w:pPr>
            <w:r>
              <w:rPr>
                <w:rFonts w:hint="eastAsia"/>
                <w:color w:val="000000"/>
                <w:szCs w:val="21"/>
              </w:rPr>
              <w:t>环境和自然资源部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DFA</w:t>
            </w:r>
          </w:p>
        </w:tc>
        <w:tc>
          <w:tcPr>
            <w:tcW w:w="6614" w:type="dxa"/>
          </w:tcPr>
          <w:p w:rsidR="00000000" w:rsidRDefault="00821B8F">
            <w:pPr>
              <w:spacing w:after="120" w:line="360" w:lineRule="exact"/>
              <w:rPr>
                <w:rFonts w:hint="eastAsia"/>
                <w:color w:val="000000"/>
                <w:szCs w:val="21"/>
              </w:rPr>
            </w:pPr>
            <w:r>
              <w:rPr>
                <w:rFonts w:hint="eastAsia"/>
                <w:color w:val="000000"/>
                <w:szCs w:val="21"/>
              </w:rPr>
              <w:t>外交部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w:t>
            </w:r>
            <w:r>
              <w:rPr>
                <w:rFonts w:hint="eastAsia"/>
                <w:color w:val="000000"/>
                <w:szCs w:val="21"/>
              </w:rPr>
              <w:t>ILG</w:t>
            </w:r>
          </w:p>
        </w:tc>
        <w:tc>
          <w:tcPr>
            <w:tcW w:w="6614" w:type="dxa"/>
          </w:tcPr>
          <w:p w:rsidR="00000000" w:rsidRDefault="00821B8F">
            <w:pPr>
              <w:spacing w:after="120" w:line="360" w:lineRule="exact"/>
              <w:rPr>
                <w:rFonts w:hint="eastAsia"/>
                <w:color w:val="000000"/>
                <w:szCs w:val="21"/>
              </w:rPr>
            </w:pPr>
            <w:r>
              <w:rPr>
                <w:rFonts w:hint="eastAsia"/>
                <w:color w:val="000000"/>
                <w:szCs w:val="21"/>
              </w:rPr>
              <w:t>内政和地方政府部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DOH</w:t>
            </w:r>
          </w:p>
        </w:tc>
        <w:tc>
          <w:tcPr>
            <w:tcW w:w="6614" w:type="dxa"/>
          </w:tcPr>
          <w:p w:rsidR="00000000" w:rsidRDefault="00821B8F">
            <w:pPr>
              <w:spacing w:after="120" w:line="360" w:lineRule="exact"/>
              <w:rPr>
                <w:rFonts w:hint="eastAsia"/>
                <w:color w:val="000000"/>
                <w:szCs w:val="21"/>
              </w:rPr>
            </w:pPr>
            <w:r>
              <w:rPr>
                <w:rFonts w:hint="eastAsia"/>
                <w:color w:val="000000"/>
                <w:szCs w:val="21"/>
              </w:rPr>
              <w:t>卫生部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DOJ</w:t>
            </w:r>
          </w:p>
        </w:tc>
        <w:tc>
          <w:tcPr>
            <w:tcW w:w="6614" w:type="dxa"/>
          </w:tcPr>
          <w:p w:rsidR="00000000" w:rsidRDefault="00821B8F">
            <w:pPr>
              <w:spacing w:after="120" w:line="360" w:lineRule="exact"/>
              <w:rPr>
                <w:rFonts w:hint="eastAsia"/>
                <w:color w:val="000000"/>
                <w:szCs w:val="21"/>
              </w:rPr>
            </w:pPr>
            <w:r>
              <w:rPr>
                <w:rFonts w:hint="eastAsia"/>
                <w:color w:val="000000"/>
                <w:szCs w:val="21"/>
              </w:rPr>
              <w:t>司法部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DOJ-BOI</w:t>
            </w:r>
          </w:p>
        </w:tc>
        <w:tc>
          <w:tcPr>
            <w:tcW w:w="6614" w:type="dxa"/>
          </w:tcPr>
          <w:p w:rsidR="00000000" w:rsidRDefault="00821B8F">
            <w:pPr>
              <w:spacing w:after="120" w:line="360" w:lineRule="exact"/>
              <w:rPr>
                <w:rFonts w:hint="eastAsia"/>
                <w:color w:val="000000"/>
                <w:szCs w:val="21"/>
              </w:rPr>
            </w:pPr>
            <w:r>
              <w:rPr>
                <w:rFonts w:hint="eastAsia"/>
                <w:color w:val="000000"/>
                <w:szCs w:val="21"/>
              </w:rPr>
              <w:t>司法部移民局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DOLE</w:t>
            </w:r>
          </w:p>
        </w:tc>
        <w:tc>
          <w:tcPr>
            <w:tcW w:w="6614" w:type="dxa"/>
          </w:tcPr>
          <w:p w:rsidR="00000000" w:rsidRDefault="00821B8F">
            <w:pPr>
              <w:spacing w:after="120" w:line="360" w:lineRule="exact"/>
              <w:rPr>
                <w:rFonts w:hint="eastAsia"/>
                <w:color w:val="000000"/>
                <w:szCs w:val="21"/>
              </w:rPr>
            </w:pPr>
            <w:r>
              <w:rPr>
                <w:rFonts w:hint="eastAsia"/>
                <w:color w:val="000000"/>
                <w:szCs w:val="21"/>
              </w:rPr>
              <w:t>劳工和就业部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DOLE-BWYW</w:t>
            </w:r>
          </w:p>
        </w:tc>
        <w:tc>
          <w:tcPr>
            <w:tcW w:w="6614" w:type="dxa"/>
          </w:tcPr>
          <w:p w:rsidR="00000000" w:rsidRDefault="00821B8F">
            <w:pPr>
              <w:spacing w:after="120" w:line="360" w:lineRule="exact"/>
              <w:rPr>
                <w:rFonts w:hint="eastAsia"/>
                <w:color w:val="000000"/>
                <w:szCs w:val="21"/>
              </w:rPr>
            </w:pPr>
            <w:r>
              <w:rPr>
                <w:rFonts w:hint="eastAsia"/>
                <w:color w:val="000000"/>
                <w:szCs w:val="21"/>
              </w:rPr>
              <w:t>劳工和就业部女工和青工局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DOLE- ILS</w:t>
            </w:r>
          </w:p>
        </w:tc>
        <w:tc>
          <w:tcPr>
            <w:tcW w:w="6614" w:type="dxa"/>
          </w:tcPr>
          <w:p w:rsidR="00000000" w:rsidRDefault="00821B8F">
            <w:pPr>
              <w:spacing w:after="120" w:line="360" w:lineRule="exact"/>
              <w:rPr>
                <w:rFonts w:hint="eastAsia"/>
                <w:color w:val="000000"/>
                <w:szCs w:val="21"/>
              </w:rPr>
            </w:pPr>
            <w:r>
              <w:rPr>
                <w:rFonts w:hint="eastAsia"/>
                <w:color w:val="000000"/>
                <w:szCs w:val="21"/>
              </w:rPr>
              <w:t>劳工和就业部劳工研究所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DOLE-NLRC</w:t>
            </w:r>
          </w:p>
        </w:tc>
        <w:tc>
          <w:tcPr>
            <w:tcW w:w="6614" w:type="dxa"/>
          </w:tcPr>
          <w:p w:rsidR="00000000" w:rsidRDefault="00821B8F">
            <w:pPr>
              <w:spacing w:after="120" w:line="360" w:lineRule="exact"/>
              <w:rPr>
                <w:rFonts w:hint="eastAsia"/>
                <w:color w:val="000000"/>
                <w:szCs w:val="21"/>
              </w:rPr>
            </w:pPr>
            <w:r>
              <w:rPr>
                <w:rFonts w:hint="eastAsia"/>
                <w:color w:val="000000"/>
                <w:szCs w:val="21"/>
              </w:rPr>
              <w:t>劳工和就业部国家劳动关系委员会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DOLE-OSHC</w:t>
            </w:r>
          </w:p>
        </w:tc>
        <w:tc>
          <w:tcPr>
            <w:tcW w:w="6614" w:type="dxa"/>
          </w:tcPr>
          <w:p w:rsidR="00000000" w:rsidRDefault="00821B8F">
            <w:pPr>
              <w:spacing w:after="120" w:line="360" w:lineRule="exact"/>
              <w:rPr>
                <w:rFonts w:hint="eastAsia"/>
                <w:color w:val="000000"/>
                <w:szCs w:val="21"/>
              </w:rPr>
            </w:pPr>
            <w:r>
              <w:rPr>
                <w:rFonts w:hint="eastAsia"/>
                <w:color w:val="000000"/>
                <w:szCs w:val="21"/>
              </w:rPr>
              <w:t>劳工和就业部职业安全和保健中心</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DOLE-OWWA</w:t>
            </w:r>
          </w:p>
        </w:tc>
        <w:tc>
          <w:tcPr>
            <w:tcW w:w="6614" w:type="dxa"/>
          </w:tcPr>
          <w:p w:rsidR="00000000" w:rsidRDefault="00821B8F">
            <w:pPr>
              <w:spacing w:after="120" w:line="360" w:lineRule="exact"/>
              <w:rPr>
                <w:rFonts w:hint="eastAsia"/>
                <w:color w:val="000000"/>
                <w:szCs w:val="21"/>
              </w:rPr>
            </w:pPr>
            <w:r>
              <w:rPr>
                <w:rFonts w:hint="eastAsia"/>
                <w:color w:val="000000"/>
                <w:szCs w:val="21"/>
              </w:rPr>
              <w:t>劳工和就业部海外菲律宾工人管理局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DOLE-POEA</w:t>
            </w:r>
          </w:p>
        </w:tc>
        <w:tc>
          <w:tcPr>
            <w:tcW w:w="6614" w:type="dxa"/>
          </w:tcPr>
          <w:p w:rsidR="00000000" w:rsidRDefault="00821B8F">
            <w:pPr>
              <w:spacing w:after="120" w:line="360" w:lineRule="exact"/>
              <w:rPr>
                <w:rFonts w:hint="eastAsia"/>
                <w:color w:val="000000"/>
                <w:szCs w:val="21"/>
              </w:rPr>
            </w:pPr>
            <w:r>
              <w:rPr>
                <w:rFonts w:hint="eastAsia"/>
                <w:color w:val="000000"/>
                <w:szCs w:val="21"/>
              </w:rPr>
              <w:t>劳工和就业部菲律宾海外就业管理局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DPWH</w:t>
            </w:r>
          </w:p>
        </w:tc>
        <w:tc>
          <w:tcPr>
            <w:tcW w:w="6614" w:type="dxa"/>
          </w:tcPr>
          <w:p w:rsidR="00000000" w:rsidRDefault="00821B8F">
            <w:pPr>
              <w:spacing w:after="120" w:line="360" w:lineRule="exact"/>
              <w:rPr>
                <w:rFonts w:hint="eastAsia"/>
                <w:color w:val="000000"/>
                <w:szCs w:val="21"/>
              </w:rPr>
            </w:pPr>
            <w:r>
              <w:rPr>
                <w:rFonts w:hint="eastAsia"/>
                <w:color w:val="000000"/>
                <w:szCs w:val="21"/>
              </w:rPr>
              <w:t>公共工程和公路部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DSWD</w:t>
            </w:r>
          </w:p>
        </w:tc>
        <w:tc>
          <w:tcPr>
            <w:tcW w:w="6614" w:type="dxa"/>
          </w:tcPr>
          <w:p w:rsidR="00000000" w:rsidRDefault="00821B8F">
            <w:pPr>
              <w:spacing w:after="120" w:line="360" w:lineRule="exact"/>
              <w:rPr>
                <w:rFonts w:hint="eastAsia"/>
                <w:color w:val="000000"/>
                <w:szCs w:val="21"/>
              </w:rPr>
            </w:pPr>
            <w:r>
              <w:rPr>
                <w:rFonts w:hint="eastAsia"/>
                <w:color w:val="000000"/>
                <w:szCs w:val="21"/>
              </w:rPr>
              <w:t>社会福利和发展部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DTI</w:t>
            </w:r>
            <w:r>
              <w:rPr>
                <w:rFonts w:hint="eastAsia"/>
                <w:color w:val="000000"/>
                <w:szCs w:val="21"/>
              </w:rPr>
              <w:tab/>
            </w:r>
          </w:p>
        </w:tc>
        <w:tc>
          <w:tcPr>
            <w:tcW w:w="6614" w:type="dxa"/>
          </w:tcPr>
          <w:p w:rsidR="00000000" w:rsidRDefault="00821B8F">
            <w:pPr>
              <w:spacing w:after="120" w:line="360" w:lineRule="exact"/>
              <w:rPr>
                <w:rFonts w:hint="eastAsia"/>
                <w:color w:val="000000"/>
                <w:szCs w:val="21"/>
              </w:rPr>
            </w:pPr>
            <w:r>
              <w:rPr>
                <w:rFonts w:hint="eastAsia"/>
                <w:color w:val="000000"/>
                <w:szCs w:val="21"/>
              </w:rPr>
              <w:t>贸易和</w:t>
            </w:r>
            <w:r>
              <w:rPr>
                <w:rFonts w:hint="eastAsia"/>
                <w:color w:val="000000"/>
                <w:szCs w:val="21"/>
              </w:rPr>
              <w:t>工业部</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GSP</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菲律宾女童子军</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IPG</w:t>
            </w:r>
            <w:r>
              <w:rPr>
                <w:rFonts w:hint="eastAsia"/>
                <w:color w:val="000000"/>
                <w:szCs w:val="21"/>
              </w:rPr>
              <w:tab/>
            </w:r>
          </w:p>
        </w:tc>
        <w:tc>
          <w:tcPr>
            <w:tcW w:w="6614" w:type="dxa"/>
          </w:tcPr>
          <w:p w:rsidR="00000000" w:rsidRDefault="00821B8F">
            <w:pPr>
              <w:spacing w:after="120" w:line="360" w:lineRule="exact"/>
              <w:rPr>
                <w:rFonts w:hint="eastAsia"/>
                <w:color w:val="000000"/>
                <w:szCs w:val="21"/>
              </w:rPr>
            </w:pPr>
            <w:r>
              <w:rPr>
                <w:rFonts w:hint="eastAsia"/>
                <w:color w:val="000000"/>
                <w:szCs w:val="21"/>
              </w:rPr>
              <w:t>政治和施政研究所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NATTCO</w:t>
            </w:r>
          </w:p>
        </w:tc>
        <w:tc>
          <w:tcPr>
            <w:tcW w:w="6614" w:type="dxa"/>
          </w:tcPr>
          <w:p w:rsidR="00000000" w:rsidRDefault="00821B8F">
            <w:pPr>
              <w:spacing w:after="120" w:line="360" w:lineRule="exact"/>
              <w:rPr>
                <w:rFonts w:hint="eastAsia"/>
                <w:color w:val="000000"/>
                <w:szCs w:val="21"/>
              </w:rPr>
            </w:pPr>
            <w:r>
              <w:rPr>
                <w:rFonts w:hint="eastAsia"/>
                <w:color w:val="000000"/>
                <w:szCs w:val="21"/>
              </w:rPr>
              <w:t>全国合作社联合会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NBI</w:t>
            </w:r>
            <w:r>
              <w:rPr>
                <w:rFonts w:hint="eastAsia"/>
                <w:color w:val="000000"/>
                <w:szCs w:val="21"/>
              </w:rPr>
              <w:tab/>
            </w:r>
          </w:p>
        </w:tc>
        <w:tc>
          <w:tcPr>
            <w:tcW w:w="6614" w:type="dxa"/>
          </w:tcPr>
          <w:p w:rsidR="00000000" w:rsidRDefault="00821B8F">
            <w:pPr>
              <w:spacing w:after="120" w:line="360" w:lineRule="exact"/>
              <w:rPr>
                <w:rFonts w:hint="eastAsia"/>
                <w:color w:val="000000"/>
                <w:szCs w:val="21"/>
              </w:rPr>
            </w:pPr>
            <w:r>
              <w:rPr>
                <w:rFonts w:hint="eastAsia"/>
                <w:color w:val="000000"/>
                <w:szCs w:val="21"/>
              </w:rPr>
              <w:t>国家调查局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NCIP</w:t>
            </w:r>
          </w:p>
        </w:tc>
        <w:tc>
          <w:tcPr>
            <w:tcW w:w="6614" w:type="dxa"/>
          </w:tcPr>
          <w:p w:rsidR="00000000" w:rsidRDefault="00821B8F">
            <w:pPr>
              <w:spacing w:after="120" w:line="360" w:lineRule="exact"/>
              <w:rPr>
                <w:rFonts w:hint="eastAsia"/>
                <w:color w:val="000000"/>
                <w:szCs w:val="21"/>
              </w:rPr>
            </w:pPr>
            <w:r>
              <w:rPr>
                <w:rFonts w:hint="eastAsia"/>
                <w:color w:val="000000"/>
                <w:szCs w:val="21"/>
              </w:rPr>
              <w:t>国家土著人民委员会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NCRFW</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菲律宾妇女作用全国委员会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NCSD</w:t>
            </w:r>
          </w:p>
        </w:tc>
        <w:tc>
          <w:tcPr>
            <w:tcW w:w="6614" w:type="dxa"/>
          </w:tcPr>
          <w:p w:rsidR="00000000" w:rsidRDefault="00821B8F">
            <w:pPr>
              <w:spacing w:after="120" w:line="360" w:lineRule="exact"/>
              <w:rPr>
                <w:rFonts w:hint="eastAsia"/>
                <w:color w:val="000000"/>
                <w:szCs w:val="21"/>
              </w:rPr>
            </w:pPr>
            <w:r>
              <w:rPr>
                <w:rFonts w:hint="eastAsia"/>
                <w:color w:val="000000"/>
                <w:szCs w:val="21"/>
              </w:rPr>
              <w:t>国家社会发展委员会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NEDA</w:t>
            </w:r>
          </w:p>
        </w:tc>
        <w:tc>
          <w:tcPr>
            <w:tcW w:w="6614" w:type="dxa"/>
          </w:tcPr>
          <w:p w:rsidR="00000000" w:rsidRDefault="00821B8F">
            <w:pPr>
              <w:spacing w:after="120" w:line="360" w:lineRule="exact"/>
              <w:rPr>
                <w:rFonts w:hint="eastAsia"/>
                <w:color w:val="000000"/>
                <w:szCs w:val="21"/>
              </w:rPr>
            </w:pPr>
            <w:r>
              <w:rPr>
                <w:rFonts w:hint="eastAsia"/>
                <w:color w:val="000000"/>
                <w:szCs w:val="21"/>
              </w:rPr>
              <w:t>国家经济和发展管理局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NFWC</w:t>
            </w:r>
          </w:p>
        </w:tc>
        <w:tc>
          <w:tcPr>
            <w:tcW w:w="6614" w:type="dxa"/>
          </w:tcPr>
          <w:p w:rsidR="00000000" w:rsidRDefault="00821B8F">
            <w:pPr>
              <w:spacing w:after="120" w:line="360" w:lineRule="exact"/>
              <w:rPr>
                <w:rFonts w:hint="eastAsia"/>
                <w:color w:val="000000"/>
                <w:szCs w:val="21"/>
              </w:rPr>
            </w:pPr>
            <w:r>
              <w:rPr>
                <w:rFonts w:hint="eastAsia"/>
                <w:color w:val="000000"/>
                <w:szCs w:val="21"/>
              </w:rPr>
              <w:t>全国妇女俱乐部联合会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NSCB</w:t>
            </w:r>
          </w:p>
        </w:tc>
        <w:tc>
          <w:tcPr>
            <w:tcW w:w="6614" w:type="dxa"/>
          </w:tcPr>
          <w:p w:rsidR="00000000" w:rsidRDefault="00821B8F">
            <w:pPr>
              <w:spacing w:after="120" w:line="360" w:lineRule="exact"/>
              <w:rPr>
                <w:rFonts w:hint="eastAsia"/>
                <w:color w:val="000000"/>
                <w:szCs w:val="21"/>
              </w:rPr>
            </w:pPr>
            <w:r>
              <w:rPr>
                <w:rFonts w:hint="eastAsia"/>
                <w:color w:val="000000"/>
                <w:szCs w:val="21"/>
              </w:rPr>
              <w:t>国家统计协调委员会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NSO</w:t>
            </w:r>
          </w:p>
        </w:tc>
        <w:tc>
          <w:tcPr>
            <w:tcW w:w="6614" w:type="dxa"/>
          </w:tcPr>
          <w:p w:rsidR="00000000" w:rsidRDefault="00821B8F">
            <w:pPr>
              <w:spacing w:after="120" w:line="360" w:lineRule="exact"/>
              <w:rPr>
                <w:rFonts w:hint="eastAsia"/>
                <w:color w:val="000000"/>
                <w:szCs w:val="21"/>
              </w:rPr>
            </w:pPr>
            <w:r>
              <w:rPr>
                <w:rFonts w:hint="eastAsia"/>
                <w:color w:val="000000"/>
                <w:szCs w:val="21"/>
              </w:rPr>
              <w:t>国家统计局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NYC</w:t>
            </w:r>
          </w:p>
        </w:tc>
        <w:tc>
          <w:tcPr>
            <w:tcW w:w="6614" w:type="dxa"/>
          </w:tcPr>
          <w:p w:rsidR="00000000" w:rsidRDefault="00821B8F">
            <w:pPr>
              <w:spacing w:after="120" w:line="360" w:lineRule="exact"/>
              <w:rPr>
                <w:rFonts w:hint="eastAsia"/>
                <w:color w:val="000000"/>
                <w:szCs w:val="21"/>
              </w:rPr>
            </w:pPr>
            <w:r>
              <w:rPr>
                <w:rFonts w:hint="eastAsia"/>
                <w:color w:val="000000"/>
                <w:szCs w:val="21"/>
              </w:rPr>
              <w:t>国家青年委员会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PSC</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菲律宾体育运动委员会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PEZA</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菲律宾经济区管理局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PIA</w:t>
            </w:r>
            <w:r>
              <w:rPr>
                <w:rFonts w:hint="eastAsia"/>
                <w:color w:val="000000"/>
                <w:szCs w:val="21"/>
              </w:rPr>
              <w:tab/>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菲律宾情报局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PMA</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菲律宾军事学院</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PNP</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菲律宾国民警</w:t>
            </w:r>
            <w:r>
              <w:rPr>
                <w:rFonts w:hint="eastAsia"/>
                <w:color w:val="000000"/>
                <w:szCs w:val="21"/>
              </w:rPr>
              <w:t>察部队</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PNGOC</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菲律宾非政府组织人口、保健和福利理事会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POPCOM</w:t>
            </w:r>
          </w:p>
        </w:tc>
        <w:tc>
          <w:tcPr>
            <w:tcW w:w="6614" w:type="dxa"/>
          </w:tcPr>
          <w:p w:rsidR="00000000" w:rsidRDefault="00821B8F">
            <w:pPr>
              <w:spacing w:after="120" w:line="360" w:lineRule="exact"/>
              <w:rPr>
                <w:rFonts w:hint="eastAsia"/>
                <w:color w:val="000000"/>
                <w:szCs w:val="21"/>
              </w:rPr>
            </w:pPr>
            <w:r>
              <w:rPr>
                <w:rFonts w:hint="eastAsia"/>
                <w:color w:val="000000"/>
                <w:szCs w:val="21"/>
              </w:rPr>
              <w:t>人口委员会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SALIGAN</w:t>
            </w:r>
          </w:p>
        </w:tc>
        <w:tc>
          <w:tcPr>
            <w:tcW w:w="6614" w:type="dxa"/>
          </w:tcPr>
          <w:p w:rsidR="00000000" w:rsidRDefault="00821B8F">
            <w:pPr>
              <w:spacing w:after="120" w:line="360" w:lineRule="exact"/>
              <w:rPr>
                <w:rFonts w:hint="eastAsia"/>
                <w:color w:val="000000"/>
                <w:szCs w:val="21"/>
              </w:rPr>
            </w:pPr>
            <w:r>
              <w:rPr>
                <w:rFonts w:hint="eastAsia"/>
                <w:i/>
                <w:color w:val="000000"/>
                <w:szCs w:val="21"/>
              </w:rPr>
              <w:t>Sentro ng Alternatibong Lingap Panlegal</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SIBOL</w:t>
            </w:r>
          </w:p>
        </w:tc>
        <w:tc>
          <w:tcPr>
            <w:tcW w:w="6614" w:type="dxa"/>
          </w:tcPr>
          <w:p w:rsidR="00000000" w:rsidRDefault="00821B8F">
            <w:pPr>
              <w:spacing w:after="120" w:line="360" w:lineRule="exact"/>
              <w:rPr>
                <w:rFonts w:hint="eastAsia"/>
                <w:color w:val="000000"/>
                <w:szCs w:val="21"/>
              </w:rPr>
            </w:pPr>
            <w:r>
              <w:rPr>
                <w:rFonts w:hint="eastAsia"/>
                <w:i/>
                <w:color w:val="000000"/>
                <w:szCs w:val="21"/>
              </w:rPr>
              <w:t>Sama-samang Inisyatiba ng Kababaihan sa Pagbabago ng Batas at Lipunan</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SC-JBC</w:t>
            </w:r>
          </w:p>
        </w:tc>
        <w:tc>
          <w:tcPr>
            <w:tcW w:w="6614" w:type="dxa"/>
          </w:tcPr>
          <w:p w:rsidR="00000000" w:rsidRDefault="00821B8F">
            <w:pPr>
              <w:spacing w:after="120" w:line="360" w:lineRule="exact"/>
              <w:rPr>
                <w:rFonts w:hint="eastAsia"/>
                <w:color w:val="000000"/>
                <w:szCs w:val="21"/>
              </w:rPr>
            </w:pPr>
            <w:r>
              <w:rPr>
                <w:rFonts w:hint="eastAsia"/>
                <w:color w:val="000000"/>
                <w:szCs w:val="21"/>
              </w:rPr>
              <w:t>最高法院法庭委员会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TUCP-SC</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菲律宾工会代表大会团结中心</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TESDA</w:t>
            </w:r>
          </w:p>
        </w:tc>
        <w:tc>
          <w:tcPr>
            <w:tcW w:w="6614" w:type="dxa"/>
          </w:tcPr>
          <w:p w:rsidR="00000000" w:rsidRDefault="00821B8F">
            <w:pPr>
              <w:spacing w:after="120" w:line="360" w:lineRule="exact"/>
              <w:rPr>
                <w:rFonts w:hint="eastAsia"/>
                <w:color w:val="000000"/>
                <w:szCs w:val="21"/>
              </w:rPr>
            </w:pPr>
            <w:r>
              <w:rPr>
                <w:rFonts w:hint="eastAsia"/>
                <w:color w:val="000000"/>
                <w:szCs w:val="21"/>
              </w:rPr>
              <w:t>技术教育和技能发展管理局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UKP</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菲律宾妇女政治和施政网络</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UCWS</w:t>
            </w:r>
          </w:p>
        </w:tc>
        <w:tc>
          <w:tcPr>
            <w:tcW w:w="6614" w:type="dxa"/>
          </w:tcPr>
          <w:p w:rsidR="00000000" w:rsidRDefault="00821B8F">
            <w:pPr>
              <w:spacing w:after="120" w:line="360" w:lineRule="exact"/>
              <w:rPr>
                <w:rFonts w:hint="eastAsia"/>
                <w:color w:val="000000"/>
                <w:szCs w:val="21"/>
              </w:rPr>
            </w:pPr>
            <w:r>
              <w:rPr>
                <w:rFonts w:hint="eastAsia"/>
                <w:color w:val="000000"/>
                <w:szCs w:val="21"/>
              </w:rPr>
              <w:t>菲律宾大学妇女研究中心</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VRB</w:t>
            </w:r>
          </w:p>
        </w:tc>
        <w:tc>
          <w:tcPr>
            <w:tcW w:w="6614" w:type="dxa"/>
          </w:tcPr>
          <w:p w:rsidR="00000000" w:rsidRDefault="00821B8F">
            <w:pPr>
              <w:spacing w:after="120" w:line="360" w:lineRule="exact"/>
              <w:rPr>
                <w:rFonts w:hint="eastAsia"/>
                <w:color w:val="000000"/>
                <w:szCs w:val="21"/>
              </w:rPr>
            </w:pPr>
            <w:r>
              <w:rPr>
                <w:rFonts w:hint="eastAsia"/>
                <w:color w:val="000000"/>
                <w:szCs w:val="21"/>
              </w:rPr>
              <w:t>录像片监管委员会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WBC</w:t>
            </w:r>
          </w:p>
        </w:tc>
        <w:tc>
          <w:tcPr>
            <w:tcW w:w="6614" w:type="dxa"/>
          </w:tcPr>
          <w:p w:rsidR="00000000" w:rsidRDefault="00821B8F">
            <w:pPr>
              <w:spacing w:after="120" w:line="360" w:lineRule="exact"/>
              <w:rPr>
                <w:rFonts w:hint="eastAsia"/>
                <w:color w:val="000000"/>
                <w:szCs w:val="21"/>
              </w:rPr>
            </w:pPr>
            <w:r>
              <w:rPr>
                <w:rFonts w:hint="eastAsia"/>
                <w:color w:val="000000"/>
                <w:szCs w:val="21"/>
              </w:rPr>
              <w:t>妇女商业委员会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WCC</w:t>
            </w:r>
          </w:p>
        </w:tc>
        <w:tc>
          <w:tcPr>
            <w:tcW w:w="6614" w:type="dxa"/>
          </w:tcPr>
          <w:p w:rsidR="00000000" w:rsidRDefault="00821B8F">
            <w:pPr>
              <w:spacing w:after="120" w:line="360" w:lineRule="exact"/>
              <w:rPr>
                <w:rFonts w:hint="eastAsia"/>
                <w:color w:val="000000"/>
                <w:szCs w:val="21"/>
              </w:rPr>
            </w:pPr>
            <w:r>
              <w:rPr>
                <w:rFonts w:hint="eastAsia"/>
                <w:color w:val="000000"/>
                <w:szCs w:val="21"/>
              </w:rPr>
              <w:t>妇女危机中心</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WIN</w:t>
            </w:r>
          </w:p>
        </w:tc>
        <w:tc>
          <w:tcPr>
            <w:tcW w:w="6614" w:type="dxa"/>
          </w:tcPr>
          <w:p w:rsidR="00000000" w:rsidRDefault="00821B8F">
            <w:pPr>
              <w:spacing w:after="120" w:line="360" w:lineRule="exact"/>
              <w:rPr>
                <w:rFonts w:hint="eastAsia"/>
                <w:color w:val="000000"/>
                <w:szCs w:val="21"/>
              </w:rPr>
            </w:pPr>
            <w:r>
              <w:rPr>
                <w:rFonts w:hint="eastAsia"/>
                <w:color w:val="000000"/>
                <w:szCs w:val="21"/>
              </w:rPr>
              <w:t>妇女建国会</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WLB</w:t>
            </w:r>
          </w:p>
        </w:tc>
        <w:tc>
          <w:tcPr>
            <w:tcW w:w="6614" w:type="dxa"/>
          </w:tcPr>
          <w:p w:rsidR="00000000" w:rsidRDefault="00821B8F">
            <w:pPr>
              <w:spacing w:after="120" w:line="360" w:lineRule="exact"/>
              <w:rPr>
                <w:rFonts w:hint="eastAsia"/>
                <w:color w:val="000000"/>
                <w:szCs w:val="21"/>
              </w:rPr>
            </w:pPr>
            <w:r>
              <w:rPr>
                <w:rFonts w:hint="eastAsia"/>
                <w:color w:val="000000"/>
                <w:szCs w:val="21"/>
              </w:rPr>
              <w:t>妇女法律局</w:t>
            </w:r>
          </w:p>
        </w:tc>
      </w:tr>
      <w:tr w:rsidR="00000000">
        <w:tblPrEx>
          <w:tblCellMar>
            <w:top w:w="0" w:type="dxa"/>
            <w:bottom w:w="0" w:type="dxa"/>
          </w:tblCellMar>
        </w:tblPrEx>
        <w:tc>
          <w:tcPr>
            <w:tcW w:w="1908" w:type="dxa"/>
          </w:tcPr>
          <w:p w:rsidR="00000000" w:rsidRDefault="00821B8F">
            <w:pPr>
              <w:spacing w:after="120" w:line="360" w:lineRule="exact"/>
              <w:rPr>
                <w:rFonts w:hint="eastAsia"/>
                <w:color w:val="000000"/>
                <w:szCs w:val="21"/>
              </w:rPr>
            </w:pPr>
            <w:r>
              <w:rPr>
                <w:rFonts w:hint="eastAsia"/>
                <w:color w:val="000000"/>
                <w:szCs w:val="21"/>
              </w:rPr>
              <w:t>WMCF</w:t>
            </w:r>
          </w:p>
        </w:tc>
        <w:tc>
          <w:tcPr>
            <w:tcW w:w="6614" w:type="dxa"/>
          </w:tcPr>
          <w:p w:rsidR="00000000" w:rsidRDefault="00821B8F">
            <w:pPr>
              <w:spacing w:after="120" w:line="360" w:lineRule="exact"/>
              <w:rPr>
                <w:rFonts w:hint="eastAsia"/>
                <w:color w:val="000000"/>
                <w:szCs w:val="21"/>
              </w:rPr>
            </w:pPr>
            <w:r>
              <w:rPr>
                <w:rFonts w:hint="eastAsia"/>
                <w:color w:val="000000"/>
                <w:szCs w:val="21"/>
              </w:rPr>
              <w:t>妇女传媒界基金会</w:t>
            </w:r>
          </w:p>
        </w:tc>
      </w:tr>
    </w:tbl>
    <w:p w:rsidR="00000000" w:rsidRDefault="00821B8F">
      <w:pPr>
        <w:pStyle w:val="Heading1"/>
        <w:numPr>
          <w:ilvl w:val="0"/>
          <w:numId w:val="0"/>
        </w:numPr>
        <w:spacing w:before="120" w:after="120" w:line="360" w:lineRule="exact"/>
        <w:rPr>
          <w:color w:val="000000"/>
          <w:sz w:val="21"/>
          <w:szCs w:val="21"/>
        </w:rPr>
      </w:pPr>
      <w:r>
        <w:rPr>
          <w:color w:val="000000"/>
          <w:sz w:val="21"/>
          <w:szCs w:val="21"/>
        </w:rPr>
        <w:br w:type="page"/>
      </w:r>
    </w:p>
    <w:p w:rsidR="00000000" w:rsidRDefault="00821B8F">
      <w:pPr>
        <w:pStyle w:val="Heading1"/>
        <w:numPr>
          <w:ilvl w:val="0"/>
          <w:numId w:val="0"/>
        </w:numPr>
        <w:spacing w:before="120" w:after="120" w:line="360" w:lineRule="exact"/>
        <w:rPr>
          <w:color w:val="000000"/>
          <w:sz w:val="21"/>
          <w:szCs w:val="21"/>
        </w:rPr>
      </w:pPr>
    </w:p>
    <w:p w:rsidR="00000000" w:rsidRDefault="00821B8F">
      <w:pPr>
        <w:pStyle w:val="Heading1"/>
        <w:numPr>
          <w:ilvl w:val="0"/>
          <w:numId w:val="0"/>
        </w:numPr>
        <w:spacing w:before="120" w:after="120" w:line="360" w:lineRule="exact"/>
        <w:rPr>
          <w:color w:val="000000"/>
          <w:sz w:val="21"/>
          <w:szCs w:val="21"/>
        </w:rPr>
      </w:pPr>
    </w:p>
    <w:p w:rsidR="00000000" w:rsidRDefault="00821B8F">
      <w:pPr>
        <w:pStyle w:val="TOC1"/>
        <w:spacing w:before="120"/>
        <w:rPr>
          <w:rFonts w:ascii="SimHei" w:hint="eastAsia"/>
        </w:rPr>
      </w:pPr>
      <w:r>
        <w:rPr>
          <w:rFonts w:ascii="SimHei" w:hint="eastAsia"/>
        </w:rPr>
        <w:t>附件</w:t>
      </w:r>
      <w:r>
        <w:rPr>
          <w:rFonts w:ascii="SimHei" w:hint="eastAsia"/>
        </w:rPr>
        <w:t xml:space="preserve">A: </w:t>
      </w:r>
      <w:r>
        <w:rPr>
          <w:rFonts w:ascii="SimHei" w:hint="eastAsia"/>
        </w:rPr>
        <w:t>正文附表</w:t>
      </w:r>
    </w:p>
    <w:p w:rsidR="00000000" w:rsidRDefault="00821B8F">
      <w:pPr>
        <w:spacing w:after="120" w:line="360" w:lineRule="exact"/>
        <w:jc w:val="center"/>
        <w:rPr>
          <w:rFonts w:hint="eastAsia"/>
          <w:color w:val="000000"/>
          <w:szCs w:val="21"/>
        </w:rPr>
      </w:pPr>
    </w:p>
    <w:p w:rsidR="00000000" w:rsidRDefault="00821B8F">
      <w:pPr>
        <w:pStyle w:val="TOC1"/>
        <w:spacing w:before="120"/>
        <w:rPr>
          <w:rFonts w:ascii="SimHei" w:hint="eastAsia"/>
        </w:rPr>
      </w:pPr>
      <w:r>
        <w:rPr>
          <w:b/>
          <w:color w:val="000000"/>
          <w:szCs w:val="21"/>
        </w:rPr>
        <w:br w:type="page"/>
      </w:r>
      <w:r>
        <w:rPr>
          <w:rFonts w:ascii="SimHei" w:hint="eastAsia"/>
        </w:rPr>
        <w:t>第十条提及的附表</w:t>
      </w:r>
    </w:p>
    <w:p w:rsidR="00000000" w:rsidRDefault="00821B8F">
      <w:pPr>
        <w:spacing w:after="120" w:line="360" w:lineRule="exact"/>
        <w:rPr>
          <w:rFonts w:hint="eastAsia"/>
          <w:bCs/>
          <w:color w:val="000000"/>
          <w:szCs w:val="21"/>
        </w:rPr>
      </w:pPr>
      <w:r>
        <w:rPr>
          <w:rFonts w:hint="eastAsia"/>
          <w:bCs/>
          <w:color w:val="000000"/>
          <w:szCs w:val="21"/>
        </w:rPr>
        <w:t>附表</w:t>
      </w:r>
      <w:r>
        <w:rPr>
          <w:rFonts w:hint="eastAsia"/>
          <w:bCs/>
          <w:color w:val="000000"/>
          <w:szCs w:val="21"/>
        </w:rPr>
        <w:t xml:space="preserve"> B10.1</w:t>
      </w:r>
      <w:r>
        <w:rPr>
          <w:rFonts w:hint="eastAsia"/>
          <w:bCs/>
          <w:color w:val="000000"/>
          <w:szCs w:val="21"/>
        </w:rPr>
        <w:t>：按受教育程度分列的男女儿童的净入学率和同侪保持率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1"/>
        <w:gridCol w:w="969"/>
        <w:gridCol w:w="970"/>
        <w:gridCol w:w="1260"/>
        <w:gridCol w:w="1260"/>
        <w:gridCol w:w="1357"/>
        <w:gridCol w:w="1439"/>
      </w:tblGrid>
      <w:tr w:rsidR="00000000">
        <w:tblPrEx>
          <w:tblCellMar>
            <w:top w:w="0" w:type="dxa"/>
            <w:bottom w:w="0" w:type="dxa"/>
          </w:tblCellMar>
        </w:tblPrEx>
        <w:trPr>
          <w:cantSplit/>
          <w:trHeight w:val="269"/>
        </w:trPr>
        <w:tc>
          <w:tcPr>
            <w:tcW w:w="1396" w:type="pct"/>
            <w:vMerge w:val="restar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受教育程度和学年</w:t>
            </w:r>
          </w:p>
        </w:tc>
        <w:tc>
          <w:tcPr>
            <w:tcW w:w="963" w:type="pct"/>
            <w:gridSpan w:val="2"/>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辍学率</w:t>
            </w:r>
          </w:p>
        </w:tc>
        <w:tc>
          <w:tcPr>
            <w:tcW w:w="1251" w:type="pct"/>
            <w:gridSpan w:val="2"/>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净入学率</w:t>
            </w:r>
          </w:p>
        </w:tc>
        <w:tc>
          <w:tcPr>
            <w:tcW w:w="1390" w:type="pct"/>
            <w:gridSpan w:val="2"/>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同侪保持率</w:t>
            </w:r>
          </w:p>
        </w:tc>
      </w:tr>
      <w:tr w:rsidR="00000000">
        <w:tblPrEx>
          <w:tblCellMar>
            <w:top w:w="0" w:type="dxa"/>
            <w:bottom w:w="0" w:type="dxa"/>
          </w:tblCellMar>
        </w:tblPrEx>
        <w:trPr>
          <w:cantSplit/>
        </w:trPr>
        <w:tc>
          <w:tcPr>
            <w:tcW w:w="1396" w:type="pct"/>
            <w:vMerge/>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rPr>
                <w:rFonts w:hint="eastAsia"/>
                <w:color w:val="000000"/>
                <w:szCs w:val="21"/>
              </w:rPr>
            </w:pP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女</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男</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女</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男</w:t>
            </w: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女</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男</w:t>
            </w:r>
          </w:p>
        </w:tc>
      </w:tr>
      <w:tr w:rsidR="00000000">
        <w:tblPrEx>
          <w:tblCellMar>
            <w:top w:w="0" w:type="dxa"/>
            <w:bottom w:w="0" w:type="dxa"/>
          </w:tblCellMar>
        </w:tblPrEx>
        <w:trPr>
          <w:cantSplit/>
        </w:trPr>
        <w:tc>
          <w:tcPr>
            <w:tcW w:w="5000" w:type="pct"/>
            <w:gridSpan w:val="7"/>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eastAsia="KaiTi_GB2312" w:hint="eastAsia"/>
                <w:iCs/>
                <w:color w:val="0000FF"/>
                <w:szCs w:val="21"/>
              </w:rPr>
            </w:pPr>
            <w:r>
              <w:rPr>
                <w:rFonts w:eastAsia="KaiTi_GB2312" w:hint="eastAsia"/>
                <w:iCs/>
                <w:color w:val="0000FF"/>
                <w:szCs w:val="21"/>
              </w:rPr>
              <w:t>初等教育</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1996/1997</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6.5</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9.4</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73.0</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63.4</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1997/1998</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6.3</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8.4</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73.5</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w:t>
            </w:r>
            <w:r>
              <w:rPr>
                <w:rFonts w:hint="eastAsia"/>
                <w:color w:val="000000"/>
                <w:szCs w:val="21"/>
              </w:rPr>
              <w:t>4.4</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1998/1999</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94.0</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97.4</w:t>
            </w: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74.3</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65.6</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1999/2000</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7.3</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8.7</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97.2</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96.8</w:t>
            </w: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74.2</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64.9</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2000/2001</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5.8</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8.4</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97.2</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96.4</w:t>
            </w: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r>
      <w:tr w:rsidR="00000000">
        <w:tblPrEx>
          <w:tblCellMar>
            <w:top w:w="0" w:type="dxa"/>
            <w:bottom w:w="0" w:type="dxa"/>
          </w:tblCellMar>
        </w:tblPrEx>
        <w:trPr>
          <w:cantSplit/>
        </w:trPr>
        <w:tc>
          <w:tcPr>
            <w:tcW w:w="5000" w:type="pct"/>
            <w:gridSpan w:val="7"/>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eastAsia="KaiTi_GB2312" w:hint="eastAsia"/>
                <w:iCs/>
                <w:color w:val="000000"/>
                <w:szCs w:val="21"/>
              </w:rPr>
            </w:pPr>
            <w:r>
              <w:rPr>
                <w:rFonts w:eastAsia="KaiTi_GB2312" w:hint="eastAsia"/>
                <w:iCs/>
                <w:color w:val="0000FF"/>
                <w:szCs w:val="21"/>
              </w:rPr>
              <w:t>中等教育</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1996/1997</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8.4</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11.3</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78.1</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68.8</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1997/1998</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8.1</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11.8</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52.6</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41.0</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1998/1999</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68.0</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62.4</w:t>
            </w: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77.3</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65.2</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1999/2000</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7.8</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13.9</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68.2</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62.7</w:t>
            </w: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77.0</w:t>
            </w: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65.1</w:t>
            </w:r>
          </w:p>
        </w:tc>
      </w:tr>
      <w:tr w:rsidR="00000000">
        <w:tblPrEx>
          <w:tblCellMar>
            <w:top w:w="0" w:type="dxa"/>
            <w:bottom w:w="0" w:type="dxa"/>
          </w:tblCellMar>
        </w:tblPrEx>
        <w:tc>
          <w:tcPr>
            <w:tcW w:w="139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 xml:space="preserve">   2000/2001</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7.1</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10.4</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69.5</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62.7</w:t>
            </w:r>
          </w:p>
        </w:tc>
        <w:tc>
          <w:tcPr>
            <w:tcW w:w="674"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c>
          <w:tcPr>
            <w:tcW w:w="71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p>
        </w:tc>
      </w:tr>
    </w:tbl>
    <w:p w:rsidR="00000000" w:rsidRDefault="00821B8F">
      <w:pPr>
        <w:spacing w:before="60" w:after="120" w:line="360" w:lineRule="exact"/>
        <w:ind w:left="-86"/>
        <w:rPr>
          <w:rFonts w:hint="eastAsia"/>
          <w:color w:val="000000"/>
          <w:szCs w:val="18"/>
        </w:rPr>
      </w:pPr>
      <w:r>
        <w:rPr>
          <w:rFonts w:hint="eastAsia"/>
          <w:color w:val="000000"/>
          <w:szCs w:val="21"/>
        </w:rPr>
        <w:t xml:space="preserve">  </w:t>
      </w:r>
      <w:r>
        <w:rPr>
          <w:rFonts w:hint="eastAsia"/>
          <w:color w:val="000000"/>
          <w:szCs w:val="18"/>
        </w:rPr>
        <w:t>资料来源：教育部规划局</w:t>
      </w:r>
      <w:r>
        <w:rPr>
          <w:rFonts w:hint="eastAsia"/>
          <w:color w:val="000000"/>
          <w:szCs w:val="18"/>
        </w:rPr>
        <w:t xml:space="preserve"> </w:t>
      </w:r>
      <w:r>
        <w:rPr>
          <w:rFonts w:hint="eastAsia"/>
          <w:color w:val="000000"/>
          <w:szCs w:val="18"/>
        </w:rPr>
        <w:t>（引自雷耶斯，</w:t>
      </w:r>
      <w:r>
        <w:rPr>
          <w:rFonts w:hint="eastAsia"/>
          <w:color w:val="000000"/>
          <w:szCs w:val="18"/>
        </w:rPr>
        <w:t>2003</w:t>
      </w:r>
      <w:r>
        <w:rPr>
          <w:rFonts w:hint="eastAsia"/>
          <w:color w:val="000000"/>
          <w:szCs w:val="18"/>
        </w:rPr>
        <w:t>年）。</w:t>
      </w:r>
    </w:p>
    <w:p w:rsidR="00000000" w:rsidRDefault="00821B8F">
      <w:pPr>
        <w:spacing w:after="120" w:line="360" w:lineRule="exact"/>
        <w:rPr>
          <w:rFonts w:hint="eastAsia"/>
          <w:color w:val="000000"/>
          <w:szCs w:val="21"/>
        </w:rPr>
      </w:pPr>
    </w:p>
    <w:p w:rsidR="00000000" w:rsidRDefault="00821B8F">
      <w:pPr>
        <w:tabs>
          <w:tab w:val="left" w:pos="0"/>
        </w:tabs>
        <w:spacing w:after="120" w:line="360" w:lineRule="exact"/>
        <w:rPr>
          <w:rFonts w:hint="eastAsia"/>
          <w:bCs/>
          <w:color w:val="000000"/>
          <w:szCs w:val="21"/>
        </w:rPr>
      </w:pPr>
      <w:r>
        <w:rPr>
          <w:rFonts w:hint="eastAsia"/>
          <w:bCs/>
          <w:color w:val="000000"/>
          <w:szCs w:val="21"/>
        </w:rPr>
        <w:t>附表</w:t>
      </w:r>
      <w:r>
        <w:rPr>
          <w:rFonts w:hint="eastAsia"/>
          <w:bCs/>
          <w:color w:val="000000"/>
          <w:szCs w:val="21"/>
        </w:rPr>
        <w:t xml:space="preserve"> B10.2</w:t>
      </w:r>
      <w:r>
        <w:rPr>
          <w:rFonts w:hint="eastAsia"/>
          <w:bCs/>
          <w:color w:val="000000"/>
          <w:szCs w:val="21"/>
        </w:rPr>
        <w:t>：选定年份按性别分列的高等教育入学率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4"/>
        <w:gridCol w:w="2100"/>
        <w:gridCol w:w="2100"/>
        <w:gridCol w:w="2100"/>
        <w:gridCol w:w="1882"/>
      </w:tblGrid>
      <w:tr w:rsidR="00000000">
        <w:tblPrEx>
          <w:tblCellMar>
            <w:top w:w="0" w:type="dxa"/>
            <w:bottom w:w="0" w:type="dxa"/>
          </w:tblCellMar>
        </w:tblPrEx>
        <w:tc>
          <w:tcPr>
            <w:tcW w:w="936"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学年</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男</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女</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总数</w:t>
            </w:r>
          </w:p>
        </w:tc>
        <w:tc>
          <w:tcPr>
            <w:tcW w:w="935" w:type="pct"/>
            <w:tcBorders>
              <w:top w:val="single" w:sz="4" w:space="0" w:color="auto"/>
              <w:left w:val="single" w:sz="4" w:space="0" w:color="auto"/>
              <w:bottom w:val="single" w:sz="4" w:space="0" w:color="auto"/>
              <w:right w:val="single" w:sz="4" w:space="0" w:color="auto"/>
            </w:tcBorders>
          </w:tcPr>
          <w:p w:rsidR="00000000" w:rsidRDefault="00821B8F">
            <w:pPr>
              <w:spacing w:before="60" w:line="360" w:lineRule="exact"/>
              <w:jc w:val="center"/>
              <w:rPr>
                <w:rFonts w:hint="eastAsia"/>
                <w:color w:val="000000"/>
                <w:szCs w:val="21"/>
              </w:rPr>
            </w:pPr>
            <w:r>
              <w:rPr>
                <w:rFonts w:hint="eastAsia"/>
                <w:color w:val="000000"/>
                <w:szCs w:val="21"/>
              </w:rPr>
              <w:t>女生的百分比</w:t>
            </w:r>
            <w:r>
              <w:rPr>
                <w:rFonts w:hint="eastAsia"/>
                <w:color w:val="000000"/>
                <w:szCs w:val="21"/>
              </w:rPr>
              <w:t xml:space="preserve"> </w:t>
            </w:r>
          </w:p>
        </w:tc>
      </w:tr>
      <w:tr w:rsidR="00000000">
        <w:tblPrEx>
          <w:tblCellMar>
            <w:top w:w="0" w:type="dxa"/>
            <w:bottom w:w="0" w:type="dxa"/>
          </w:tblCellMar>
        </w:tblPrEx>
        <w:tc>
          <w:tcPr>
            <w:tcW w:w="93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1993-1994</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 xml:space="preserve">  396 378</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 xml:space="preserve"> 523 524</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 xml:space="preserve"> 919 902</w:t>
            </w:r>
          </w:p>
        </w:tc>
        <w:tc>
          <w:tcPr>
            <w:tcW w:w="935"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56.9</w:t>
            </w:r>
          </w:p>
        </w:tc>
      </w:tr>
      <w:tr w:rsidR="00000000">
        <w:tblPrEx>
          <w:tblCellMar>
            <w:top w:w="0" w:type="dxa"/>
            <w:bottom w:w="0" w:type="dxa"/>
          </w:tblCellMar>
        </w:tblPrEx>
        <w:tc>
          <w:tcPr>
            <w:tcW w:w="93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1996-1997</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 xml:space="preserve">  895 751</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1 325 087</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2 220 838</w:t>
            </w:r>
          </w:p>
        </w:tc>
        <w:tc>
          <w:tcPr>
            <w:tcW w:w="935"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59.7</w:t>
            </w:r>
          </w:p>
        </w:tc>
      </w:tr>
      <w:tr w:rsidR="00000000">
        <w:tblPrEx>
          <w:tblCellMar>
            <w:top w:w="0" w:type="dxa"/>
            <w:bottom w:w="0" w:type="dxa"/>
          </w:tblCellMar>
        </w:tblPrEx>
        <w:tc>
          <w:tcPr>
            <w:tcW w:w="93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1998-1999</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 xml:space="preserve">  999 142</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1 280 172</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2 279 314</w:t>
            </w:r>
          </w:p>
        </w:tc>
        <w:tc>
          <w:tcPr>
            <w:tcW w:w="935"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56.2</w:t>
            </w:r>
          </w:p>
        </w:tc>
      </w:tr>
      <w:tr w:rsidR="00000000">
        <w:tblPrEx>
          <w:tblCellMar>
            <w:top w:w="0" w:type="dxa"/>
            <w:bottom w:w="0" w:type="dxa"/>
          </w:tblCellMar>
        </w:tblPrEx>
        <w:tc>
          <w:tcPr>
            <w:tcW w:w="93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1999-2000</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1 063 246</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1 310 240</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2 373 486</w:t>
            </w:r>
          </w:p>
        </w:tc>
        <w:tc>
          <w:tcPr>
            <w:tcW w:w="935"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55.2</w:t>
            </w:r>
          </w:p>
        </w:tc>
      </w:tr>
      <w:tr w:rsidR="00000000">
        <w:tblPrEx>
          <w:tblCellMar>
            <w:top w:w="0" w:type="dxa"/>
            <w:bottom w:w="0" w:type="dxa"/>
          </w:tblCellMar>
        </w:tblPrEx>
        <w:tc>
          <w:tcPr>
            <w:tcW w:w="936"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rPr>
                <w:rFonts w:hint="eastAsia"/>
                <w:color w:val="000000"/>
                <w:szCs w:val="21"/>
              </w:rPr>
            </w:pPr>
            <w:r>
              <w:rPr>
                <w:rFonts w:hint="eastAsia"/>
                <w:color w:val="000000"/>
                <w:szCs w:val="21"/>
              </w:rPr>
              <w:t>2000-2001</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1 159 462</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1 250 840</w:t>
            </w:r>
          </w:p>
        </w:tc>
        <w:tc>
          <w:tcPr>
            <w:tcW w:w="1043"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2 410 302</w:t>
            </w:r>
          </w:p>
        </w:tc>
        <w:tc>
          <w:tcPr>
            <w:tcW w:w="935" w:type="pct"/>
            <w:tcBorders>
              <w:top w:val="single" w:sz="4" w:space="0" w:color="auto"/>
              <w:left w:val="single" w:sz="4" w:space="0" w:color="auto"/>
              <w:bottom w:val="single" w:sz="4" w:space="0" w:color="auto"/>
              <w:right w:val="single" w:sz="4" w:space="0" w:color="auto"/>
            </w:tcBorders>
          </w:tcPr>
          <w:p w:rsidR="00000000" w:rsidRDefault="00821B8F">
            <w:pPr>
              <w:spacing w:before="40" w:line="360" w:lineRule="exact"/>
              <w:jc w:val="center"/>
              <w:rPr>
                <w:rFonts w:hint="eastAsia"/>
                <w:color w:val="000000"/>
                <w:szCs w:val="21"/>
              </w:rPr>
            </w:pPr>
            <w:r>
              <w:rPr>
                <w:rFonts w:hint="eastAsia"/>
                <w:color w:val="000000"/>
                <w:szCs w:val="21"/>
              </w:rPr>
              <w:t>51.9</w:t>
            </w:r>
          </w:p>
        </w:tc>
      </w:tr>
    </w:tbl>
    <w:p w:rsidR="00000000" w:rsidRDefault="00821B8F">
      <w:pPr>
        <w:spacing w:before="120" w:after="120" w:line="360" w:lineRule="exact"/>
        <w:rPr>
          <w:rFonts w:hint="eastAsia"/>
          <w:color w:val="000000"/>
          <w:szCs w:val="18"/>
        </w:rPr>
      </w:pPr>
      <w:r>
        <w:rPr>
          <w:rFonts w:hint="eastAsia"/>
          <w:color w:val="000000"/>
          <w:szCs w:val="18"/>
        </w:rPr>
        <w:t>资料来源：高等教育委员会，</w:t>
      </w:r>
      <w:r>
        <w:rPr>
          <w:rFonts w:hint="eastAsia"/>
          <w:color w:val="000000"/>
          <w:szCs w:val="18"/>
        </w:rPr>
        <w:t>1993-2001</w:t>
      </w:r>
      <w:r>
        <w:rPr>
          <w:rFonts w:hint="eastAsia"/>
          <w:color w:val="000000"/>
          <w:szCs w:val="18"/>
        </w:rPr>
        <w:t>年。</w:t>
      </w:r>
    </w:p>
    <w:p w:rsidR="00000000" w:rsidRDefault="00821B8F">
      <w:pPr>
        <w:spacing w:after="120" w:line="360" w:lineRule="exact"/>
        <w:rPr>
          <w:rFonts w:hint="eastAsia"/>
          <w:color w:val="000000"/>
          <w:szCs w:val="21"/>
        </w:rPr>
      </w:pPr>
    </w:p>
    <w:p w:rsidR="00000000" w:rsidRDefault="00821B8F">
      <w:pPr>
        <w:pStyle w:val="BodyTextIndent2"/>
        <w:spacing w:after="120" w:line="360" w:lineRule="exact"/>
        <w:ind w:firstLine="0"/>
        <w:rPr>
          <w:rFonts w:hint="eastAsia"/>
          <w:bCs/>
          <w:i w:val="0"/>
          <w:iCs/>
          <w:color w:val="000000"/>
          <w:szCs w:val="21"/>
        </w:rPr>
      </w:pPr>
      <w:r>
        <w:rPr>
          <w:rFonts w:hint="eastAsia"/>
          <w:color w:val="000000"/>
          <w:szCs w:val="21"/>
        </w:rPr>
        <w:br w:type="page"/>
      </w:r>
      <w:r>
        <w:rPr>
          <w:rFonts w:hint="eastAsia"/>
          <w:bCs/>
          <w:i w:val="0"/>
          <w:iCs/>
          <w:color w:val="000000"/>
          <w:szCs w:val="21"/>
        </w:rPr>
        <w:t>附表</w:t>
      </w:r>
      <w:r>
        <w:rPr>
          <w:rFonts w:hint="eastAsia"/>
          <w:bCs/>
          <w:i w:val="0"/>
          <w:iCs/>
          <w:color w:val="000000"/>
          <w:szCs w:val="21"/>
        </w:rPr>
        <w:t xml:space="preserve"> B10.3</w:t>
      </w:r>
      <w:r>
        <w:rPr>
          <w:rFonts w:hint="eastAsia"/>
          <w:bCs/>
          <w:i w:val="0"/>
          <w:iCs/>
          <w:color w:val="000000"/>
          <w:szCs w:val="21"/>
        </w:rPr>
        <w:t>：与性别有关的高等教育入学率选定的统计数据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7"/>
        <w:gridCol w:w="1356"/>
        <w:gridCol w:w="1355"/>
        <w:gridCol w:w="1355"/>
        <w:gridCol w:w="1355"/>
        <w:gridCol w:w="1548"/>
      </w:tblGrid>
      <w:tr w:rsidR="00000000">
        <w:tblPrEx>
          <w:tblCellMar>
            <w:top w:w="0" w:type="dxa"/>
            <w:bottom w:w="0" w:type="dxa"/>
          </w:tblCellMar>
        </w:tblPrEx>
        <w:trPr>
          <w:cantSplit/>
        </w:trPr>
        <w:tc>
          <w:tcPr>
            <w:tcW w:w="1538" w:type="pct"/>
            <w:vMerge w:val="restart"/>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459"/>
              <w:jc w:val="center"/>
              <w:rPr>
                <w:rFonts w:hint="eastAsia"/>
                <w:i w:val="0"/>
                <w:iCs/>
                <w:color w:val="000000"/>
                <w:szCs w:val="21"/>
              </w:rPr>
            </w:pPr>
          </w:p>
          <w:p w:rsidR="00000000" w:rsidRDefault="00821B8F">
            <w:pPr>
              <w:pStyle w:val="BodyTextIndent2"/>
              <w:spacing w:line="360" w:lineRule="exact"/>
              <w:ind w:firstLine="459"/>
              <w:jc w:val="center"/>
              <w:rPr>
                <w:rFonts w:hint="eastAsia"/>
                <w:i w:val="0"/>
                <w:iCs/>
                <w:color w:val="000000"/>
                <w:szCs w:val="21"/>
              </w:rPr>
            </w:pPr>
            <w:r>
              <w:rPr>
                <w:rFonts w:hint="eastAsia"/>
                <w:i w:val="0"/>
                <w:iCs/>
                <w:color w:val="000000"/>
                <w:szCs w:val="21"/>
              </w:rPr>
              <w:t>学科</w:t>
            </w:r>
          </w:p>
        </w:tc>
        <w:tc>
          <w:tcPr>
            <w:tcW w:w="2019" w:type="pct"/>
            <w:gridSpan w:val="3"/>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60" w:line="360" w:lineRule="exact"/>
              <w:ind w:firstLine="459"/>
              <w:jc w:val="center"/>
              <w:rPr>
                <w:rFonts w:hint="eastAsia"/>
                <w:i w:val="0"/>
                <w:iCs/>
                <w:color w:val="000000"/>
                <w:szCs w:val="21"/>
              </w:rPr>
            </w:pPr>
            <w:r>
              <w:rPr>
                <w:rFonts w:hint="eastAsia"/>
                <w:i w:val="0"/>
                <w:iCs/>
                <w:color w:val="000000"/>
                <w:szCs w:val="21"/>
              </w:rPr>
              <w:t>女生占总数的百分比</w:t>
            </w:r>
          </w:p>
        </w:tc>
        <w:tc>
          <w:tcPr>
            <w:tcW w:w="1442"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459"/>
              <w:jc w:val="center"/>
              <w:rPr>
                <w:rFonts w:hint="eastAsia"/>
                <w:i w:val="0"/>
                <w:iCs/>
                <w:color w:val="000000"/>
                <w:szCs w:val="21"/>
              </w:rPr>
            </w:pPr>
            <w:r>
              <w:rPr>
                <w:rFonts w:hint="eastAsia"/>
                <w:i w:val="0"/>
                <w:iCs/>
                <w:color w:val="000000"/>
                <w:szCs w:val="21"/>
              </w:rPr>
              <w:t>新生分布百分比，</w:t>
            </w:r>
            <w:r>
              <w:rPr>
                <w:rFonts w:hint="eastAsia"/>
                <w:i w:val="0"/>
                <w:iCs/>
                <w:color w:val="000000"/>
                <w:szCs w:val="21"/>
              </w:rPr>
              <w:t>1996-1997</w:t>
            </w:r>
          </w:p>
        </w:tc>
      </w:tr>
      <w:tr w:rsidR="00000000">
        <w:tblPrEx>
          <w:tblCellMar>
            <w:top w:w="0" w:type="dxa"/>
            <w:bottom w:w="0" w:type="dxa"/>
          </w:tblCellMar>
        </w:tblPrEx>
        <w:trPr>
          <w:cantSplit/>
        </w:trPr>
        <w:tc>
          <w:tcPr>
            <w:tcW w:w="1538" w:type="pct"/>
            <w:vMerge/>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459"/>
              <w:jc w:val="center"/>
              <w:rPr>
                <w:rFonts w:hint="eastAsia"/>
                <w:i w:val="0"/>
                <w:iCs/>
                <w:color w:val="000000"/>
                <w:szCs w:val="21"/>
              </w:rPr>
            </w:pP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0"/>
              <w:jc w:val="center"/>
              <w:rPr>
                <w:rFonts w:hint="eastAsia"/>
                <w:i w:val="0"/>
                <w:iCs/>
                <w:color w:val="000000"/>
                <w:szCs w:val="21"/>
              </w:rPr>
            </w:pPr>
            <w:r>
              <w:rPr>
                <w:rFonts w:hint="eastAsia"/>
                <w:i w:val="0"/>
                <w:iCs/>
                <w:color w:val="000000"/>
                <w:szCs w:val="21"/>
              </w:rPr>
              <w:t>1996-1997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0"/>
              <w:jc w:val="center"/>
              <w:rPr>
                <w:rFonts w:hint="eastAsia"/>
                <w:i w:val="0"/>
                <w:iCs/>
                <w:color w:val="000000"/>
                <w:szCs w:val="21"/>
              </w:rPr>
            </w:pPr>
            <w:r>
              <w:rPr>
                <w:rFonts w:hint="eastAsia"/>
                <w:i w:val="0"/>
                <w:iCs/>
                <w:color w:val="000000"/>
                <w:szCs w:val="21"/>
              </w:rPr>
              <w:t>1997-1998</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0"/>
              <w:jc w:val="center"/>
              <w:rPr>
                <w:rFonts w:hint="eastAsia"/>
                <w:i w:val="0"/>
                <w:iCs/>
                <w:color w:val="000000"/>
                <w:szCs w:val="21"/>
              </w:rPr>
            </w:pPr>
            <w:r>
              <w:rPr>
                <w:rFonts w:hint="eastAsia"/>
                <w:i w:val="0"/>
                <w:iCs/>
                <w:color w:val="000000"/>
                <w:szCs w:val="21"/>
              </w:rPr>
              <w:t>1999-2000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0"/>
              <w:jc w:val="center"/>
              <w:rPr>
                <w:rFonts w:hint="eastAsia"/>
                <w:i w:val="0"/>
                <w:iCs/>
                <w:color w:val="000000"/>
                <w:szCs w:val="21"/>
              </w:rPr>
            </w:pPr>
            <w:r>
              <w:rPr>
                <w:rFonts w:hint="eastAsia"/>
                <w:i w:val="0"/>
                <w:iCs/>
                <w:color w:val="000000"/>
                <w:szCs w:val="21"/>
              </w:rPr>
              <w:t>女</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line="360" w:lineRule="exact"/>
              <w:ind w:firstLine="0"/>
              <w:jc w:val="center"/>
              <w:rPr>
                <w:rFonts w:hint="eastAsia"/>
                <w:i w:val="0"/>
                <w:iCs/>
                <w:color w:val="000000"/>
                <w:szCs w:val="21"/>
              </w:rPr>
            </w:pPr>
            <w:r>
              <w:rPr>
                <w:rFonts w:hint="eastAsia"/>
                <w:i w:val="0"/>
                <w:iCs/>
                <w:color w:val="000000"/>
                <w:szCs w:val="21"/>
              </w:rPr>
              <w:t>男</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家政学</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88.2</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92.7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88.6</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0.3</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服务行</w:t>
            </w:r>
            <w:r>
              <w:rPr>
                <w:rFonts w:hint="eastAsia"/>
                <w:i w:val="0"/>
                <w:iCs/>
                <w:color w:val="000000"/>
                <w:szCs w:val="21"/>
              </w:rPr>
              <w:t>业</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84.9</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82.0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79.0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0.5</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0.1</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贸易、工艺和工业课程</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81.3</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52.5</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84.0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教育和教师培训</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78.4</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77.6</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74.7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17.8</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7.5</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大众传媒和信息学</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76.6</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77.7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65.4</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0.7</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0.3</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工商管理及相关课程</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74.9</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68.0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65.7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43.8</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21.7</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医学及附属课程</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73.8</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72.4</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69.0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11.1</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5.8</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社会科学和行为科学</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69.7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70.2</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62.7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2.2</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1.4</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自然科学</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66.4</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65.2</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64</w:t>
            </w:r>
            <w:r>
              <w:rPr>
                <w:rFonts w:hint="eastAsia"/>
                <w:i w:val="0"/>
                <w:iCs/>
                <w:color w:val="000000"/>
                <w:szCs w:val="21"/>
              </w:rPr>
              <w:t>.2</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1.2</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0.9</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人文科学</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64.1</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60.5</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54.3</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0.7</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0.6</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一般课程</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62.5</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63.0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62.6</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5.1</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4.5</w:t>
            </w:r>
          </w:p>
        </w:tc>
      </w:tr>
      <w:tr w:rsidR="00000000">
        <w:tblPrEx>
          <w:tblCellMar>
            <w:top w:w="0" w:type="dxa"/>
            <w:bottom w:w="0" w:type="dxa"/>
          </w:tblCellMar>
        </w:tblPrEx>
        <w:trPr>
          <w:trHeight w:val="197"/>
        </w:trPr>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数学和计算机学</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59.4</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55.1</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56.4</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6.9</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7.0</w:t>
            </w:r>
          </w:p>
        </w:tc>
      </w:tr>
      <w:tr w:rsidR="00000000">
        <w:tblPrEx>
          <w:tblCellMar>
            <w:top w:w="0" w:type="dxa"/>
            <w:bottom w:w="0" w:type="dxa"/>
          </w:tblCellMar>
        </w:tblPrEx>
        <w:trPr>
          <w:trHeight w:val="197"/>
        </w:trPr>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农业、林业、渔业、兽医</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50.3</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50.2</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46.6</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2.7</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4.0</w:t>
            </w:r>
          </w:p>
        </w:tc>
      </w:tr>
      <w:tr w:rsidR="00000000">
        <w:tblPrEx>
          <w:tblCellMar>
            <w:top w:w="0" w:type="dxa"/>
            <w:bottom w:w="0" w:type="dxa"/>
          </w:tblCellMar>
        </w:tblPrEx>
        <w:trPr>
          <w:trHeight w:val="197"/>
        </w:trPr>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艺术和应用艺术</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49.7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46.5</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49.8</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0.4</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0.6</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法律</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41.0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43.5</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43.0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0.5</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1.0</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建筑和市政规划</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24.6</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25.6</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34.7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0.4</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1.9</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工程</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20.0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21.</w:t>
            </w:r>
            <w:r>
              <w:rPr>
                <w:rFonts w:hint="eastAsia"/>
                <w:i w:val="0"/>
                <w:iCs/>
                <w:color w:val="000000"/>
                <w:szCs w:val="21"/>
              </w:rPr>
              <w:t>3</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25.7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4.6</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10.6</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宗教和神学</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10.0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 xml:space="preserve">  7.3</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30.9</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w:t>
            </w:r>
          </w:p>
        </w:tc>
      </w:tr>
      <w:tr w:rsidR="00000000">
        <w:tblPrEx>
          <w:tblCellMar>
            <w:top w:w="0" w:type="dxa"/>
            <w:bottom w:w="0" w:type="dxa"/>
          </w:tblCellMar>
        </w:tblPrEx>
        <w:tc>
          <w:tcPr>
            <w:tcW w:w="1538"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rPr>
                <w:rFonts w:hint="eastAsia"/>
                <w:i w:val="0"/>
                <w:iCs/>
                <w:color w:val="000000"/>
                <w:szCs w:val="21"/>
              </w:rPr>
            </w:pPr>
            <w:r>
              <w:rPr>
                <w:rFonts w:hint="eastAsia"/>
                <w:i w:val="0"/>
                <w:iCs/>
                <w:color w:val="000000"/>
                <w:szCs w:val="21"/>
              </w:rPr>
              <w:t>总计</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59.7</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56.2</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55.2</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1 325 087</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pStyle w:val="BodyTextIndent2"/>
              <w:spacing w:before="10" w:line="360" w:lineRule="exact"/>
              <w:ind w:firstLine="0"/>
              <w:jc w:val="center"/>
              <w:rPr>
                <w:rFonts w:hint="eastAsia"/>
                <w:i w:val="0"/>
                <w:iCs/>
                <w:color w:val="000000"/>
                <w:szCs w:val="21"/>
              </w:rPr>
            </w:pPr>
            <w:r>
              <w:rPr>
                <w:rFonts w:hint="eastAsia"/>
                <w:i w:val="0"/>
                <w:iCs/>
                <w:color w:val="000000"/>
                <w:szCs w:val="21"/>
              </w:rPr>
              <w:t>895 751</w:t>
            </w:r>
          </w:p>
        </w:tc>
      </w:tr>
    </w:tbl>
    <w:p w:rsidR="00000000" w:rsidRDefault="00821B8F">
      <w:pPr>
        <w:pStyle w:val="BodyTextIndent2"/>
        <w:spacing w:before="60" w:after="120" w:line="360" w:lineRule="exact"/>
        <w:ind w:left="446" w:hanging="446"/>
        <w:rPr>
          <w:rFonts w:hint="eastAsia"/>
          <w:i w:val="0"/>
          <w:iCs/>
          <w:color w:val="000000"/>
          <w:szCs w:val="18"/>
        </w:rPr>
      </w:pPr>
      <w:r>
        <w:rPr>
          <w:rFonts w:hint="eastAsia"/>
          <w:i w:val="0"/>
          <w:iCs/>
          <w:color w:val="000000"/>
          <w:szCs w:val="18"/>
        </w:rPr>
        <w:t>*</w:t>
      </w:r>
      <w:r>
        <w:rPr>
          <w:i w:val="0"/>
          <w:iCs/>
          <w:color w:val="000000"/>
          <w:szCs w:val="18"/>
        </w:rPr>
        <w:t xml:space="preserve">  </w:t>
      </w:r>
      <w:r>
        <w:rPr>
          <w:rFonts w:hint="eastAsia"/>
          <w:i w:val="0"/>
          <w:iCs/>
          <w:color w:val="000000"/>
          <w:szCs w:val="18"/>
        </w:rPr>
        <w:t>不到</w:t>
      </w:r>
      <w:r>
        <w:rPr>
          <w:rFonts w:hint="eastAsia"/>
          <w:i w:val="0"/>
          <w:iCs/>
          <w:color w:val="000000"/>
          <w:szCs w:val="18"/>
        </w:rPr>
        <w:t>0.05%</w:t>
      </w:r>
      <w:r>
        <w:rPr>
          <w:rFonts w:hint="eastAsia"/>
          <w:i w:val="0"/>
          <w:iCs/>
          <w:color w:val="000000"/>
          <w:szCs w:val="18"/>
        </w:rPr>
        <w:t>。</w:t>
      </w:r>
    </w:p>
    <w:p w:rsidR="00000000" w:rsidRDefault="00821B8F">
      <w:pPr>
        <w:pStyle w:val="BodyTextIndent2"/>
        <w:spacing w:after="120" w:line="360" w:lineRule="exact"/>
        <w:ind w:left="446" w:hanging="446"/>
        <w:rPr>
          <w:rFonts w:hint="eastAsia"/>
          <w:i w:val="0"/>
          <w:iCs/>
          <w:color w:val="000000"/>
          <w:szCs w:val="18"/>
        </w:rPr>
      </w:pPr>
      <w:r>
        <w:rPr>
          <w:rFonts w:hint="eastAsia"/>
          <w:i w:val="0"/>
          <w:iCs/>
          <w:color w:val="000000"/>
          <w:szCs w:val="18"/>
        </w:rPr>
        <w:t>资料来源：高等教育委员会，</w:t>
      </w:r>
      <w:r>
        <w:rPr>
          <w:rFonts w:hint="eastAsia"/>
          <w:i w:val="0"/>
          <w:iCs/>
          <w:color w:val="000000"/>
          <w:szCs w:val="18"/>
        </w:rPr>
        <w:t xml:space="preserve">1996/1997 </w:t>
      </w:r>
      <w:r>
        <w:rPr>
          <w:rFonts w:hint="eastAsia"/>
          <w:i w:val="0"/>
          <w:iCs/>
          <w:color w:val="000000"/>
          <w:szCs w:val="18"/>
        </w:rPr>
        <w:t>年和</w:t>
      </w:r>
      <w:r>
        <w:rPr>
          <w:rFonts w:hint="eastAsia"/>
          <w:i w:val="0"/>
          <w:iCs/>
          <w:color w:val="000000"/>
          <w:szCs w:val="18"/>
        </w:rPr>
        <w:t xml:space="preserve"> 1997/1998</w:t>
      </w:r>
      <w:r>
        <w:rPr>
          <w:rFonts w:hint="eastAsia"/>
          <w:i w:val="0"/>
          <w:iCs/>
          <w:color w:val="000000"/>
          <w:szCs w:val="18"/>
        </w:rPr>
        <w:t>年；劳工和就业部（</w:t>
      </w:r>
      <w:r>
        <w:rPr>
          <w:rFonts w:hint="eastAsia"/>
          <w:i w:val="0"/>
          <w:iCs/>
          <w:color w:val="000000"/>
          <w:szCs w:val="18"/>
        </w:rPr>
        <w:t>2003</w:t>
      </w:r>
      <w:r>
        <w:rPr>
          <w:rFonts w:hint="eastAsia"/>
          <w:i w:val="0"/>
          <w:iCs/>
          <w:color w:val="000000"/>
          <w:szCs w:val="18"/>
        </w:rPr>
        <w:t>年</w:t>
      </w:r>
      <w:r>
        <w:rPr>
          <w:rFonts w:hint="eastAsia"/>
          <w:i w:val="0"/>
          <w:iCs/>
          <w:color w:val="000000"/>
          <w:szCs w:val="18"/>
        </w:rPr>
        <w:t>c</w:t>
      </w:r>
      <w:r>
        <w:rPr>
          <w:rFonts w:hint="eastAsia"/>
          <w:i w:val="0"/>
          <w:iCs/>
          <w:color w:val="000000"/>
          <w:szCs w:val="18"/>
        </w:rPr>
        <w:t>），</w:t>
      </w:r>
      <w:r>
        <w:rPr>
          <w:rFonts w:hint="eastAsia"/>
          <w:i w:val="0"/>
          <w:iCs/>
          <w:color w:val="000000"/>
          <w:szCs w:val="18"/>
        </w:rPr>
        <w:t>1999/2000</w:t>
      </w:r>
      <w:r>
        <w:rPr>
          <w:rFonts w:hint="eastAsia"/>
          <w:i w:val="0"/>
          <w:iCs/>
          <w:color w:val="000000"/>
          <w:szCs w:val="18"/>
        </w:rPr>
        <w:t>年。</w:t>
      </w:r>
    </w:p>
    <w:p w:rsidR="00000000" w:rsidRDefault="00821B8F">
      <w:pPr>
        <w:spacing w:after="120" w:line="360" w:lineRule="exact"/>
        <w:rPr>
          <w:rFonts w:hint="eastAsia"/>
          <w:b/>
          <w:color w:val="000000"/>
          <w:szCs w:val="21"/>
        </w:rPr>
      </w:pPr>
    </w:p>
    <w:p w:rsidR="00000000" w:rsidRDefault="00821B8F">
      <w:pPr>
        <w:spacing w:after="120" w:line="360" w:lineRule="exact"/>
        <w:rPr>
          <w:rFonts w:hint="eastAsia"/>
          <w:b/>
          <w:color w:val="000000"/>
          <w:szCs w:val="21"/>
        </w:rPr>
      </w:pPr>
    </w:p>
    <w:p w:rsidR="00000000" w:rsidRDefault="00821B8F">
      <w:pPr>
        <w:spacing w:after="120" w:line="360" w:lineRule="exact"/>
        <w:rPr>
          <w:rFonts w:hint="eastAsia"/>
          <w:bCs/>
          <w:color w:val="000000"/>
          <w:szCs w:val="21"/>
        </w:rPr>
      </w:pPr>
      <w:r>
        <w:rPr>
          <w:bCs/>
          <w:color w:val="000000"/>
          <w:szCs w:val="21"/>
        </w:rPr>
        <w:br w:type="page"/>
      </w:r>
      <w:r>
        <w:rPr>
          <w:rFonts w:hint="eastAsia"/>
          <w:bCs/>
          <w:color w:val="000000"/>
          <w:szCs w:val="21"/>
        </w:rPr>
        <w:t>附表</w:t>
      </w:r>
      <w:r>
        <w:rPr>
          <w:rFonts w:hint="eastAsia"/>
          <w:bCs/>
          <w:color w:val="000000"/>
          <w:szCs w:val="21"/>
        </w:rPr>
        <w:t xml:space="preserve"> B10.4</w:t>
      </w:r>
      <w:r>
        <w:rPr>
          <w:rFonts w:hint="eastAsia"/>
          <w:bCs/>
          <w:color w:val="000000"/>
          <w:szCs w:val="21"/>
        </w:rPr>
        <w:t>：</w:t>
      </w:r>
      <w:r>
        <w:rPr>
          <w:rFonts w:hint="eastAsia"/>
          <w:bCs/>
          <w:color w:val="000000"/>
          <w:szCs w:val="21"/>
        </w:rPr>
        <w:t>2002-2003</w:t>
      </w:r>
      <w:r>
        <w:rPr>
          <w:rFonts w:hint="eastAsia"/>
          <w:bCs/>
          <w:color w:val="000000"/>
          <w:szCs w:val="21"/>
        </w:rPr>
        <w:t>学年按方案和性别分列的高等教育委员会奖学金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6"/>
        <w:gridCol w:w="968"/>
        <w:gridCol w:w="952"/>
        <w:gridCol w:w="1093"/>
        <w:gridCol w:w="1437"/>
      </w:tblGrid>
      <w:tr w:rsidR="00000000">
        <w:tblPrEx>
          <w:tblCellMar>
            <w:top w:w="0" w:type="dxa"/>
            <w:bottom w:w="0" w:type="dxa"/>
          </w:tblCellMar>
        </w:tblPrEx>
        <w:trPr>
          <w:cantSplit/>
          <w:tblHeader/>
        </w:trPr>
        <w:tc>
          <w:tcPr>
            <w:tcW w:w="2789" w:type="pct"/>
            <w:vMerge w:val="restart"/>
            <w:tcBorders>
              <w:top w:val="single" w:sz="4" w:space="0" w:color="auto"/>
              <w:left w:val="single" w:sz="4" w:space="0" w:color="auto"/>
              <w:bottom w:val="single" w:sz="4" w:space="0" w:color="auto"/>
              <w:right w:val="single" w:sz="4" w:space="0" w:color="auto"/>
            </w:tcBorders>
            <w:vAlign w:val="center"/>
          </w:tcPr>
          <w:p w:rsidR="00000000" w:rsidRDefault="00821B8F">
            <w:pPr>
              <w:spacing w:line="360" w:lineRule="exact"/>
              <w:jc w:val="center"/>
              <w:rPr>
                <w:rFonts w:hint="eastAsia"/>
                <w:color w:val="000000"/>
                <w:szCs w:val="21"/>
              </w:rPr>
            </w:pPr>
            <w:r>
              <w:rPr>
                <w:rFonts w:hint="eastAsia"/>
                <w:color w:val="000000"/>
                <w:szCs w:val="21"/>
              </w:rPr>
              <w:t>方案</w:t>
            </w:r>
          </w:p>
        </w:tc>
        <w:tc>
          <w:tcPr>
            <w:tcW w:w="1497" w:type="pct"/>
            <w:gridSpan w:val="3"/>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受领者性别</w:t>
            </w:r>
          </w:p>
        </w:tc>
        <w:tc>
          <w:tcPr>
            <w:tcW w:w="714" w:type="pct"/>
            <w:vMerge w:val="restar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color w:val="000000"/>
                <w:szCs w:val="21"/>
              </w:rPr>
            </w:pPr>
            <w:r>
              <w:rPr>
                <w:rFonts w:hint="eastAsia"/>
                <w:color w:val="000000"/>
                <w:szCs w:val="21"/>
              </w:rPr>
              <w:t>女生的</w:t>
            </w:r>
          </w:p>
          <w:p w:rsidR="00000000" w:rsidRDefault="00821B8F">
            <w:pPr>
              <w:spacing w:line="360" w:lineRule="exact"/>
              <w:jc w:val="center"/>
              <w:rPr>
                <w:rFonts w:hint="eastAsia"/>
                <w:color w:val="000000"/>
                <w:szCs w:val="21"/>
              </w:rPr>
            </w:pPr>
            <w:r>
              <w:rPr>
                <w:rFonts w:hint="eastAsia"/>
                <w:color w:val="000000"/>
                <w:szCs w:val="21"/>
              </w:rPr>
              <w:t>百分比</w:t>
            </w:r>
          </w:p>
        </w:tc>
      </w:tr>
      <w:tr w:rsidR="00000000">
        <w:tblPrEx>
          <w:tblCellMar>
            <w:top w:w="0" w:type="dxa"/>
            <w:bottom w:w="0" w:type="dxa"/>
          </w:tblCellMar>
        </w:tblPrEx>
        <w:trPr>
          <w:cantSplit/>
          <w:tblHeader/>
        </w:trPr>
        <w:tc>
          <w:tcPr>
            <w:tcW w:w="2789" w:type="pct"/>
            <w:vMerge/>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男</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女</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两性合计</w:t>
            </w:r>
            <w:r>
              <w:rPr>
                <w:rFonts w:hint="eastAsia"/>
                <w:color w:val="000000"/>
                <w:szCs w:val="21"/>
              </w:rPr>
              <w:t xml:space="preserve"> </w:t>
            </w:r>
          </w:p>
        </w:tc>
        <w:tc>
          <w:tcPr>
            <w:tcW w:w="714" w:type="pct"/>
            <w:vMerge/>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国家奖学金方案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310</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690</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1 000</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69.0</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国家综合奖学金方案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374</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890</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1 264</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70.4</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选定族裔群体助学金援助方案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429</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871</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1 300</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67.0</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总统和平进程顾问办公室——高等教育委员会叛军释放人员助学金方案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637</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837</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1 474</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56.8</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私立学校助学金方案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5 860</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8 790</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14 650</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60.0</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学生贷款计划</w:t>
            </w:r>
            <w:r>
              <w:rPr>
                <w:rFonts w:hint="eastAsia"/>
                <w:color w:val="000000"/>
                <w:szCs w:val="21"/>
              </w:rPr>
              <w:t xml:space="preserve"> </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444</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746</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1 190</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62.7</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大学师资培养基金</w:t>
            </w:r>
            <w:r>
              <w:rPr>
                <w:rFonts w:hint="eastAsia"/>
                <w:color w:val="000000"/>
                <w:szCs w:val="21"/>
              </w:rPr>
              <w:t xml:space="preserve"> </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235</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297</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532</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55.8</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高等教育委员会棉兰老穆斯林地区优等生奖学金方案</w:t>
            </w:r>
            <w:r>
              <w:rPr>
                <w:rFonts w:hint="eastAsia"/>
                <w:color w:val="000000"/>
                <w:szCs w:val="21"/>
              </w:rPr>
              <w:t xml:space="preserve"> </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78</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52</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130</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40.0</w:t>
            </w:r>
          </w:p>
        </w:tc>
      </w:tr>
      <w:tr w:rsidR="00000000">
        <w:tblPrEx>
          <w:tblCellMar>
            <w:top w:w="0" w:type="dxa"/>
            <w:bottom w:w="0" w:type="dxa"/>
          </w:tblCellMar>
        </w:tblPrEx>
        <w:trPr>
          <w:trHeight w:val="242"/>
        </w:trPr>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优教中心学习贷款方案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94</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239</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333</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71.7</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选定的优质教育中心学士国家奖学金方案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47</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57</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104</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54.8</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高等教育委员会国会选区特别奖学金方案</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6 744</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11 746</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18 490</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63.5</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五区学生贷款基金</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356</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543</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899</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60.4</w:t>
            </w:r>
          </w:p>
        </w:tc>
      </w:tr>
      <w:tr w:rsidR="00000000">
        <w:tblPrEx>
          <w:tblCellMar>
            <w:top w:w="0" w:type="dxa"/>
            <w:bottom w:w="0" w:type="dxa"/>
          </w:tblCellMar>
        </w:tblPrEx>
        <w:tc>
          <w:tcPr>
            <w:tcW w:w="278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总计</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15 608</w:t>
            </w:r>
          </w:p>
        </w:tc>
        <w:tc>
          <w:tcPr>
            <w:tcW w:w="4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25 758</w:t>
            </w:r>
          </w:p>
        </w:tc>
        <w:tc>
          <w:tcPr>
            <w:tcW w:w="54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41 366</w:t>
            </w:r>
          </w:p>
        </w:tc>
        <w:tc>
          <w:tcPr>
            <w:tcW w:w="714"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62.3</w:t>
            </w:r>
          </w:p>
        </w:tc>
      </w:tr>
    </w:tbl>
    <w:p w:rsidR="00000000" w:rsidRDefault="00821B8F">
      <w:pPr>
        <w:spacing w:after="120" w:line="360" w:lineRule="exact"/>
        <w:rPr>
          <w:rFonts w:hint="eastAsia"/>
          <w:color w:val="000000"/>
          <w:szCs w:val="21"/>
        </w:rPr>
      </w:pPr>
    </w:p>
    <w:p w:rsidR="00000000" w:rsidRDefault="00821B8F">
      <w:pPr>
        <w:spacing w:after="120" w:line="360" w:lineRule="exact"/>
        <w:rPr>
          <w:rFonts w:hint="eastAsia"/>
          <w:bCs/>
          <w:color w:val="000000"/>
          <w:szCs w:val="21"/>
        </w:rPr>
      </w:pPr>
      <w:r>
        <w:rPr>
          <w:rFonts w:hint="eastAsia"/>
          <w:bCs/>
          <w:color w:val="000000"/>
          <w:szCs w:val="21"/>
        </w:rPr>
        <w:t>附表</w:t>
      </w:r>
      <w:r>
        <w:rPr>
          <w:rFonts w:hint="eastAsia"/>
          <w:bCs/>
          <w:color w:val="000000"/>
          <w:szCs w:val="21"/>
        </w:rPr>
        <w:t xml:space="preserve"> B10.5</w:t>
      </w:r>
      <w:r>
        <w:rPr>
          <w:rFonts w:hint="eastAsia"/>
          <w:bCs/>
          <w:color w:val="000000"/>
          <w:szCs w:val="21"/>
        </w:rPr>
        <w:t>：技术教育和技能发展管理局非传统技能培训课程妇女毕业生人数，</w:t>
      </w:r>
      <w:r>
        <w:rPr>
          <w:rFonts w:hint="eastAsia"/>
          <w:bCs/>
          <w:color w:val="000000"/>
          <w:szCs w:val="21"/>
        </w:rPr>
        <w:t>1998-2001</w:t>
      </w:r>
      <w:r>
        <w:rPr>
          <w:rFonts w:hint="eastAsia"/>
          <w:bCs/>
          <w:color w:val="000000"/>
          <w:szCs w:val="21"/>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4"/>
        <w:gridCol w:w="1306"/>
        <w:gridCol w:w="1307"/>
        <w:gridCol w:w="1307"/>
        <w:gridCol w:w="1307"/>
        <w:gridCol w:w="1355"/>
      </w:tblGrid>
      <w:tr w:rsidR="00000000">
        <w:tblPrEx>
          <w:tblCellMar>
            <w:top w:w="0" w:type="dxa"/>
            <w:bottom w:w="0" w:type="dxa"/>
          </w:tblCellMar>
        </w:tblPrEx>
        <w:trPr>
          <w:cantSplit/>
        </w:trPr>
        <w:tc>
          <w:tcPr>
            <w:tcW w:w="1731" w:type="pct"/>
            <w:vMerge w:val="restart"/>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jc w:val="center"/>
              <w:rPr>
                <w:rFonts w:hint="eastAsia"/>
                <w:color w:val="000000"/>
                <w:szCs w:val="21"/>
              </w:rPr>
            </w:pPr>
            <w:r>
              <w:rPr>
                <w:rFonts w:hint="eastAsia"/>
                <w:color w:val="000000"/>
                <w:szCs w:val="21"/>
              </w:rPr>
              <w:t>培训类别</w:t>
            </w:r>
          </w:p>
        </w:tc>
        <w:tc>
          <w:tcPr>
            <w:tcW w:w="2596" w:type="pct"/>
            <w:gridSpan w:val="4"/>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jc w:val="center"/>
              <w:rPr>
                <w:rFonts w:hint="eastAsia"/>
                <w:color w:val="000000"/>
                <w:szCs w:val="21"/>
              </w:rPr>
            </w:pPr>
            <w:r>
              <w:rPr>
                <w:rFonts w:hint="eastAsia"/>
                <w:color w:val="000000"/>
                <w:szCs w:val="21"/>
              </w:rPr>
              <w:t>行业领域</w:t>
            </w:r>
          </w:p>
        </w:tc>
        <w:tc>
          <w:tcPr>
            <w:tcW w:w="673" w:type="pct"/>
            <w:vMerge w:val="restart"/>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jc w:val="center"/>
              <w:rPr>
                <w:rFonts w:hint="eastAsia"/>
                <w:color w:val="000000"/>
                <w:szCs w:val="21"/>
              </w:rPr>
            </w:pPr>
            <w:r>
              <w:rPr>
                <w:rFonts w:hint="eastAsia"/>
                <w:color w:val="000000"/>
                <w:szCs w:val="21"/>
              </w:rPr>
              <w:t>所有行业</w:t>
            </w:r>
          </w:p>
        </w:tc>
      </w:tr>
      <w:tr w:rsidR="00000000">
        <w:tblPrEx>
          <w:tblCellMar>
            <w:top w:w="0" w:type="dxa"/>
            <w:bottom w:w="0" w:type="dxa"/>
          </w:tblCellMar>
        </w:tblPrEx>
        <w:trPr>
          <w:cantSplit/>
        </w:trPr>
        <w:tc>
          <w:tcPr>
            <w:tcW w:w="1731" w:type="pct"/>
            <w:vMerge/>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rPr>
                <w:rFonts w:hint="eastAsia"/>
                <w:color w:val="000000"/>
                <w:szCs w:val="21"/>
              </w:rPr>
            </w:pP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jc w:val="center"/>
              <w:rPr>
                <w:rFonts w:hint="eastAsia"/>
                <w:color w:val="000000"/>
                <w:szCs w:val="21"/>
              </w:rPr>
            </w:pPr>
            <w:r>
              <w:rPr>
                <w:rFonts w:hint="eastAsia"/>
                <w:color w:val="000000"/>
                <w:szCs w:val="21"/>
              </w:rPr>
              <w:t>汽车</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jc w:val="center"/>
              <w:rPr>
                <w:rFonts w:hint="eastAsia"/>
                <w:color w:val="000000"/>
                <w:szCs w:val="21"/>
              </w:rPr>
            </w:pPr>
            <w:r>
              <w:rPr>
                <w:rFonts w:hint="eastAsia"/>
                <w:color w:val="000000"/>
                <w:szCs w:val="21"/>
              </w:rPr>
              <w:t>焊接</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jc w:val="center"/>
              <w:rPr>
                <w:rFonts w:hint="eastAsia"/>
                <w:color w:val="000000"/>
                <w:szCs w:val="21"/>
              </w:rPr>
            </w:pPr>
            <w:r>
              <w:rPr>
                <w:rFonts w:hint="eastAsia"/>
                <w:color w:val="000000"/>
                <w:szCs w:val="21"/>
              </w:rPr>
              <w:t>电子</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jc w:val="center"/>
              <w:rPr>
                <w:rFonts w:hint="eastAsia"/>
                <w:color w:val="000000"/>
                <w:szCs w:val="21"/>
              </w:rPr>
            </w:pPr>
            <w:r>
              <w:rPr>
                <w:rFonts w:hint="eastAsia"/>
                <w:color w:val="000000"/>
                <w:szCs w:val="21"/>
              </w:rPr>
              <w:t>陶瓷</w:t>
            </w:r>
          </w:p>
        </w:tc>
        <w:tc>
          <w:tcPr>
            <w:tcW w:w="673" w:type="pct"/>
            <w:vMerge/>
            <w:tcBorders>
              <w:top w:val="single" w:sz="4" w:space="0" w:color="auto"/>
              <w:left w:val="single" w:sz="4" w:space="0" w:color="auto"/>
              <w:bottom w:val="single" w:sz="4" w:space="0" w:color="auto"/>
              <w:right w:val="single" w:sz="4" w:space="0" w:color="auto"/>
            </w:tcBorders>
          </w:tcPr>
          <w:p w:rsidR="00000000" w:rsidRDefault="00821B8F">
            <w:pPr>
              <w:spacing w:before="20" w:line="360" w:lineRule="exact"/>
              <w:rPr>
                <w:rFonts w:hint="eastAsia"/>
                <w:color w:val="000000"/>
                <w:szCs w:val="21"/>
              </w:rPr>
            </w:pPr>
          </w:p>
        </w:tc>
      </w:tr>
      <w:tr w:rsidR="00000000">
        <w:tblPrEx>
          <w:tblCellMar>
            <w:top w:w="0" w:type="dxa"/>
            <w:bottom w:w="0" w:type="dxa"/>
          </w:tblCellMar>
        </w:tblPrEx>
        <w:tc>
          <w:tcPr>
            <w:tcW w:w="173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就业前培训</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73</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44</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107</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39</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263</w:t>
            </w:r>
          </w:p>
        </w:tc>
      </w:tr>
      <w:tr w:rsidR="00000000">
        <w:tblPrEx>
          <w:tblCellMar>
            <w:top w:w="0" w:type="dxa"/>
            <w:bottom w:w="0" w:type="dxa"/>
          </w:tblCellMar>
        </w:tblPrEx>
        <w:tc>
          <w:tcPr>
            <w:tcW w:w="173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技能升级培训</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17</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5</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0</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1</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23</w:t>
            </w:r>
          </w:p>
        </w:tc>
      </w:tr>
      <w:tr w:rsidR="00000000">
        <w:tblPrEx>
          <w:tblCellMar>
            <w:top w:w="0" w:type="dxa"/>
            <w:bottom w:w="0" w:type="dxa"/>
          </w:tblCellMar>
        </w:tblPrEx>
        <w:tc>
          <w:tcPr>
            <w:tcW w:w="173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培训员综合培训</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2</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12</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8</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9</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 xml:space="preserve"> 31</w:t>
            </w:r>
          </w:p>
        </w:tc>
      </w:tr>
      <w:tr w:rsidR="00000000">
        <w:tblPrEx>
          <w:tblCellMar>
            <w:top w:w="0" w:type="dxa"/>
            <w:bottom w:w="0" w:type="dxa"/>
          </w:tblCellMar>
        </w:tblPrEx>
        <w:tc>
          <w:tcPr>
            <w:tcW w:w="1731"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rPr>
                <w:rFonts w:hint="eastAsia"/>
                <w:color w:val="000000"/>
                <w:szCs w:val="21"/>
              </w:rPr>
            </w:pPr>
            <w:r>
              <w:rPr>
                <w:rFonts w:hint="eastAsia"/>
                <w:color w:val="000000"/>
                <w:szCs w:val="21"/>
              </w:rPr>
              <w:t>各类培训总计</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92</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61</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115</w:t>
            </w:r>
          </w:p>
        </w:tc>
        <w:tc>
          <w:tcPr>
            <w:tcW w:w="649"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49</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before="10" w:line="360" w:lineRule="exact"/>
              <w:jc w:val="center"/>
              <w:rPr>
                <w:rFonts w:hint="eastAsia"/>
                <w:color w:val="000000"/>
                <w:szCs w:val="21"/>
              </w:rPr>
            </w:pPr>
            <w:r>
              <w:rPr>
                <w:rFonts w:hint="eastAsia"/>
                <w:color w:val="000000"/>
                <w:szCs w:val="21"/>
              </w:rPr>
              <w:t>317</w:t>
            </w:r>
          </w:p>
        </w:tc>
      </w:tr>
    </w:tbl>
    <w:p w:rsidR="00000000" w:rsidRDefault="00821B8F">
      <w:pPr>
        <w:spacing w:after="120" w:line="360" w:lineRule="exact"/>
        <w:jc w:val="center"/>
        <w:rPr>
          <w:rFonts w:hint="eastAsia"/>
          <w:color w:val="000000"/>
          <w:szCs w:val="21"/>
        </w:rPr>
      </w:pPr>
    </w:p>
    <w:p w:rsidR="00000000" w:rsidRDefault="00821B8F">
      <w:pPr>
        <w:spacing w:after="120" w:line="360" w:lineRule="exact"/>
        <w:jc w:val="center"/>
        <w:rPr>
          <w:rFonts w:hint="eastAsia"/>
          <w:color w:val="000000"/>
          <w:szCs w:val="21"/>
        </w:rPr>
      </w:pPr>
    </w:p>
    <w:p w:rsidR="00000000" w:rsidRDefault="00821B8F">
      <w:pPr>
        <w:pStyle w:val="TOC1"/>
        <w:spacing w:before="120"/>
        <w:rPr>
          <w:rFonts w:ascii="SimHei" w:hint="eastAsia"/>
        </w:rPr>
      </w:pPr>
      <w:r>
        <w:rPr>
          <w:b/>
          <w:color w:val="000000"/>
          <w:szCs w:val="21"/>
        </w:rPr>
        <w:br w:type="page"/>
      </w:r>
      <w:r>
        <w:rPr>
          <w:rFonts w:ascii="SimHei" w:hint="eastAsia"/>
        </w:rPr>
        <w:t>第十一条提及的附表</w:t>
      </w:r>
    </w:p>
    <w:p w:rsidR="00000000" w:rsidRDefault="00821B8F">
      <w:pPr>
        <w:pStyle w:val="BodyText3"/>
        <w:spacing w:after="120" w:line="360" w:lineRule="exact"/>
        <w:rPr>
          <w:rFonts w:hint="eastAsia"/>
          <w:bCs/>
          <w:sz w:val="21"/>
          <w:szCs w:val="21"/>
          <w:lang w:eastAsia="zh-CN"/>
        </w:rPr>
      </w:pPr>
      <w:r>
        <w:rPr>
          <w:rFonts w:hint="eastAsia"/>
          <w:bCs/>
          <w:sz w:val="21"/>
          <w:szCs w:val="21"/>
          <w:lang w:eastAsia="zh-CN"/>
        </w:rPr>
        <w:t>附表</w:t>
      </w:r>
      <w:r>
        <w:rPr>
          <w:rFonts w:hint="eastAsia"/>
          <w:bCs/>
          <w:sz w:val="21"/>
          <w:szCs w:val="21"/>
          <w:lang w:eastAsia="zh-CN"/>
        </w:rPr>
        <w:t xml:space="preserve"> 11.1</w:t>
      </w:r>
      <w:r>
        <w:rPr>
          <w:rFonts w:hint="eastAsia"/>
          <w:bCs/>
          <w:sz w:val="21"/>
          <w:szCs w:val="21"/>
          <w:lang w:eastAsia="zh-CN"/>
        </w:rPr>
        <w:t>：按劳动者性别分列的城乡地区劳动力参与率（</w:t>
      </w:r>
      <w:r>
        <w:rPr>
          <w:rFonts w:hint="eastAsia"/>
          <w:bCs/>
          <w:sz w:val="21"/>
          <w:szCs w:val="21"/>
          <w:lang w:eastAsia="zh-CN"/>
        </w:rPr>
        <w:t>%</w:t>
      </w:r>
      <w:r>
        <w:rPr>
          <w:rFonts w:hint="eastAsia"/>
          <w:bCs/>
          <w:sz w:val="21"/>
          <w:szCs w:val="21"/>
          <w:lang w:eastAsia="zh-CN"/>
        </w:rPr>
        <w:t>）（</w:t>
      </w:r>
      <w:r>
        <w:rPr>
          <w:rFonts w:hint="eastAsia"/>
          <w:bCs/>
          <w:sz w:val="21"/>
          <w:szCs w:val="21"/>
          <w:lang w:eastAsia="zh-CN"/>
        </w:rPr>
        <w:t>10</w:t>
      </w:r>
      <w:r>
        <w:rPr>
          <w:rFonts w:hint="eastAsia"/>
          <w:bCs/>
          <w:sz w:val="21"/>
          <w:szCs w:val="21"/>
          <w:lang w:eastAsia="zh-CN"/>
        </w:rPr>
        <w:t>月份调查）</w:t>
      </w:r>
      <w:r>
        <w:rPr>
          <w:rFonts w:hint="eastAsia"/>
          <w:bCs/>
          <w:sz w:val="21"/>
          <w:szCs w:val="21"/>
          <w:lang w:eastAsia="zh-C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7"/>
        <w:gridCol w:w="872"/>
        <w:gridCol w:w="968"/>
        <w:gridCol w:w="872"/>
        <w:gridCol w:w="930"/>
        <w:gridCol w:w="950"/>
        <w:gridCol w:w="948"/>
        <w:gridCol w:w="950"/>
        <w:gridCol w:w="769"/>
      </w:tblGrid>
      <w:tr w:rsidR="00000000">
        <w:tblPrEx>
          <w:tblCellMar>
            <w:top w:w="0" w:type="dxa"/>
            <w:bottom w:w="0" w:type="dxa"/>
          </w:tblCellMar>
        </w:tblPrEx>
        <w:trPr>
          <w:cantSplit/>
        </w:trPr>
        <w:tc>
          <w:tcPr>
            <w:tcW w:w="1394" w:type="pct"/>
            <w:vMerge w:val="restar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项目</w:t>
            </w:r>
          </w:p>
        </w:tc>
        <w:tc>
          <w:tcPr>
            <w:tcW w:w="913"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1996</w:t>
            </w:r>
          </w:p>
        </w:tc>
        <w:tc>
          <w:tcPr>
            <w:tcW w:w="895"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1998</w:t>
            </w:r>
          </w:p>
        </w:tc>
        <w:tc>
          <w:tcPr>
            <w:tcW w:w="942"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2000</w:t>
            </w:r>
          </w:p>
        </w:tc>
        <w:tc>
          <w:tcPr>
            <w:tcW w:w="855"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2002</w:t>
            </w:r>
          </w:p>
        </w:tc>
      </w:tr>
      <w:tr w:rsidR="00000000">
        <w:tblPrEx>
          <w:tblCellMar>
            <w:top w:w="0" w:type="dxa"/>
            <w:bottom w:w="0" w:type="dxa"/>
          </w:tblCellMar>
        </w:tblPrEx>
        <w:trPr>
          <w:cantSplit/>
        </w:trPr>
        <w:tc>
          <w:tcPr>
            <w:tcW w:w="1394" w:type="pct"/>
            <w:vMerge/>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总计</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49.0</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82.7</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49.3</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82.9</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48.4</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80.3</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51.7</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80.8</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 </w:t>
            </w:r>
            <w:r>
              <w:rPr>
                <w:rFonts w:hint="eastAsia"/>
                <w:sz w:val="21"/>
                <w:szCs w:val="21"/>
                <w:lang w:eastAsia="zh-CN"/>
              </w:rPr>
              <w:t xml:space="preserve">  </w:t>
            </w:r>
            <w:r>
              <w:rPr>
                <w:rFonts w:hint="eastAsia"/>
                <w:sz w:val="21"/>
                <w:szCs w:val="21"/>
                <w:lang w:eastAsia="zh-CN"/>
              </w:rPr>
              <w:t>城市</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48.6</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78.5</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50.1</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78.8</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48.8</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76.6</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51.7</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77.4</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   </w:t>
            </w:r>
            <w:r>
              <w:rPr>
                <w:rFonts w:hint="eastAsia"/>
                <w:sz w:val="21"/>
                <w:szCs w:val="21"/>
                <w:lang w:eastAsia="zh-CN"/>
              </w:rPr>
              <w:t>农村</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49.3</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86.4</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48.5</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86.6</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47.9</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84.0</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51.7</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84.0</w:t>
            </w:r>
          </w:p>
        </w:tc>
      </w:tr>
    </w:tbl>
    <w:p w:rsidR="00000000" w:rsidRDefault="00821B8F">
      <w:pPr>
        <w:pStyle w:val="BodyText3"/>
        <w:spacing w:before="120" w:after="120" w:line="360" w:lineRule="exact"/>
        <w:rPr>
          <w:rFonts w:hint="eastAsia"/>
          <w:sz w:val="21"/>
          <w:szCs w:val="21"/>
          <w:lang w:eastAsia="zh-CN"/>
        </w:rPr>
      </w:pPr>
      <w:r>
        <w:rPr>
          <w:rFonts w:hint="eastAsia"/>
          <w:sz w:val="21"/>
          <w:szCs w:val="18"/>
          <w:lang w:eastAsia="zh-CN"/>
        </w:rPr>
        <w:t>资料来源：国家统计局劳动力调查，各年的数据。</w:t>
      </w:r>
    </w:p>
    <w:p w:rsidR="00000000" w:rsidRDefault="00821B8F">
      <w:pPr>
        <w:spacing w:after="120" w:line="360" w:lineRule="exact"/>
        <w:rPr>
          <w:rFonts w:hint="eastAsia"/>
          <w:color w:val="000000"/>
          <w:szCs w:val="21"/>
        </w:rPr>
      </w:pPr>
    </w:p>
    <w:p w:rsidR="00000000" w:rsidRDefault="00821B8F">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after="120" w:line="360" w:lineRule="exact"/>
        <w:rPr>
          <w:rFonts w:hint="eastAsia"/>
          <w:bCs/>
          <w:color w:val="000000"/>
          <w:spacing w:val="-2"/>
          <w:szCs w:val="21"/>
        </w:rPr>
      </w:pPr>
      <w:r>
        <w:rPr>
          <w:rFonts w:hint="eastAsia"/>
          <w:bCs/>
          <w:color w:val="000000"/>
          <w:spacing w:val="-2"/>
          <w:szCs w:val="21"/>
        </w:rPr>
        <w:t>附表</w:t>
      </w:r>
      <w:r>
        <w:rPr>
          <w:rFonts w:hint="eastAsia"/>
          <w:bCs/>
          <w:color w:val="000000"/>
          <w:spacing w:val="-2"/>
          <w:szCs w:val="21"/>
        </w:rPr>
        <w:t xml:space="preserve"> 11.2</w:t>
      </w:r>
      <w:r>
        <w:rPr>
          <w:rFonts w:hint="eastAsia"/>
          <w:bCs/>
          <w:color w:val="000000"/>
          <w:spacing w:val="-2"/>
          <w:szCs w:val="21"/>
        </w:rPr>
        <w:t>：</w:t>
      </w:r>
      <w:r>
        <w:rPr>
          <w:rFonts w:hint="eastAsia"/>
          <w:bCs/>
          <w:color w:val="000000"/>
          <w:szCs w:val="21"/>
        </w:rPr>
        <w:t>按劳动者年龄和性别分列的劳动力参与率（</w:t>
      </w:r>
      <w:r>
        <w:rPr>
          <w:rFonts w:hint="eastAsia"/>
          <w:bCs/>
          <w:color w:val="000000"/>
          <w:szCs w:val="21"/>
        </w:rPr>
        <w:t>%</w:t>
      </w:r>
      <w:r>
        <w:rPr>
          <w:rFonts w:hint="eastAsia"/>
          <w:bCs/>
          <w:color w:val="000000"/>
          <w:szCs w:val="21"/>
        </w:rPr>
        <w:t>）（</w:t>
      </w:r>
      <w:r>
        <w:rPr>
          <w:rFonts w:hint="eastAsia"/>
          <w:bCs/>
          <w:color w:val="000000"/>
          <w:szCs w:val="21"/>
        </w:rPr>
        <w:t>10</w:t>
      </w:r>
      <w:r>
        <w:rPr>
          <w:rFonts w:hint="eastAsia"/>
          <w:bCs/>
          <w:color w:val="000000"/>
          <w:szCs w:val="21"/>
        </w:rPr>
        <w:t>月份调查）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7"/>
        <w:gridCol w:w="872"/>
        <w:gridCol w:w="968"/>
        <w:gridCol w:w="872"/>
        <w:gridCol w:w="930"/>
        <w:gridCol w:w="950"/>
        <w:gridCol w:w="948"/>
        <w:gridCol w:w="950"/>
        <w:gridCol w:w="769"/>
      </w:tblGrid>
      <w:tr w:rsidR="00000000">
        <w:tblPrEx>
          <w:tblCellMar>
            <w:top w:w="0" w:type="dxa"/>
            <w:bottom w:w="0" w:type="dxa"/>
          </w:tblCellMar>
        </w:tblPrEx>
        <w:trPr>
          <w:cantSplit/>
        </w:trPr>
        <w:tc>
          <w:tcPr>
            <w:tcW w:w="1394" w:type="pct"/>
            <w:vMerge w:val="restar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年龄组</w:t>
            </w:r>
          </w:p>
        </w:tc>
        <w:tc>
          <w:tcPr>
            <w:tcW w:w="913"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1996</w:t>
            </w:r>
          </w:p>
        </w:tc>
        <w:tc>
          <w:tcPr>
            <w:tcW w:w="895"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1998</w:t>
            </w:r>
          </w:p>
        </w:tc>
        <w:tc>
          <w:tcPr>
            <w:tcW w:w="942"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2000</w:t>
            </w:r>
          </w:p>
        </w:tc>
        <w:tc>
          <w:tcPr>
            <w:tcW w:w="855"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2002</w:t>
            </w:r>
          </w:p>
        </w:tc>
      </w:tr>
      <w:tr w:rsidR="00000000">
        <w:tblPrEx>
          <w:tblCellMar>
            <w:top w:w="0" w:type="dxa"/>
            <w:bottom w:w="0" w:type="dxa"/>
          </w:tblCellMar>
        </w:tblPrEx>
        <w:trPr>
          <w:cantSplit/>
        </w:trPr>
        <w:tc>
          <w:tcPr>
            <w:tcW w:w="1394" w:type="pct"/>
            <w:vMerge/>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rPr>
            </w:pPr>
            <w:r>
              <w:rPr>
                <w:rFonts w:hint="eastAsia"/>
                <w:sz w:val="21"/>
                <w:szCs w:val="21"/>
                <w:lang w:eastAsia="zh-CN"/>
              </w:rPr>
              <w:t>女</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15-19 </w:t>
            </w:r>
            <w:r>
              <w:rPr>
                <w:rFonts w:hint="eastAsia"/>
                <w:sz w:val="21"/>
                <w:szCs w:val="21"/>
                <w:lang w:eastAsia="zh-CN"/>
              </w:rPr>
              <w:t>岁</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28.7</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46.7</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27.3</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47.4</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24.9</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41.6</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25.4</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43.0</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20-24 </w:t>
            </w:r>
            <w:r>
              <w:rPr>
                <w:rFonts w:hint="eastAsia"/>
                <w:sz w:val="21"/>
                <w:szCs w:val="21"/>
                <w:lang w:eastAsia="zh-CN"/>
              </w:rPr>
              <w:t>岁</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w:t>
            </w:r>
            <w:r>
              <w:rPr>
                <w:rFonts w:hint="eastAsia"/>
                <w:sz w:val="21"/>
                <w:szCs w:val="21"/>
                <w:lang w:eastAsia="zh-CN"/>
              </w:rPr>
              <w:t>0.2</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82.5</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51.2</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82.2</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52.0</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78.2</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55.8</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79.8</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25-34 </w:t>
            </w:r>
            <w:r>
              <w:rPr>
                <w:rFonts w:hint="eastAsia"/>
                <w:sz w:val="21"/>
                <w:szCs w:val="21"/>
                <w:lang w:eastAsia="zh-CN"/>
              </w:rPr>
              <w:t>岁</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52.6</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97.2</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53.4</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97.2</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54.1</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96.8</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57.7</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96.6</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35-44 </w:t>
            </w:r>
            <w:r>
              <w:rPr>
                <w:rFonts w:hint="eastAsia"/>
                <w:sz w:val="21"/>
                <w:szCs w:val="21"/>
                <w:lang w:eastAsia="zh-CN"/>
              </w:rPr>
              <w:t>岁</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58.4</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98.8</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60.3</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98.9</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58.2</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97.9</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62.1</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98.2</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45-54 </w:t>
            </w:r>
            <w:r>
              <w:rPr>
                <w:rFonts w:hint="eastAsia"/>
                <w:sz w:val="21"/>
                <w:szCs w:val="21"/>
                <w:lang w:eastAsia="zh-CN"/>
              </w:rPr>
              <w:t>岁</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62.3</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96.8</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62.1</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97.1</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59.3</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96.2</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65.0</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96.5</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55-64 </w:t>
            </w:r>
            <w:r>
              <w:rPr>
                <w:rFonts w:hint="eastAsia"/>
                <w:sz w:val="21"/>
                <w:szCs w:val="21"/>
                <w:lang w:eastAsia="zh-CN"/>
              </w:rPr>
              <w:t>岁</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54.1</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87.2</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54.3</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88.3</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53.6</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85.4</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56.8</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86.6</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65 </w:t>
            </w:r>
            <w:r>
              <w:rPr>
                <w:rFonts w:hint="eastAsia"/>
                <w:sz w:val="21"/>
                <w:szCs w:val="21"/>
                <w:lang w:eastAsia="zh-CN"/>
              </w:rPr>
              <w:t>岁和</w:t>
            </w:r>
            <w:r>
              <w:rPr>
                <w:rFonts w:hint="eastAsia"/>
                <w:sz w:val="21"/>
                <w:szCs w:val="21"/>
                <w:lang w:eastAsia="zh-CN"/>
              </w:rPr>
              <w:t>65</w:t>
            </w:r>
            <w:r>
              <w:rPr>
                <w:rFonts w:hint="eastAsia"/>
                <w:sz w:val="21"/>
                <w:szCs w:val="21"/>
                <w:lang w:eastAsia="zh-CN"/>
              </w:rPr>
              <w:t>岁以上</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29.0</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57.3</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29.6</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58.1</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28.9</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55.7</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31.5</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55.3</w:t>
            </w:r>
          </w:p>
        </w:tc>
      </w:tr>
    </w:tbl>
    <w:p w:rsidR="00000000" w:rsidRDefault="00821B8F">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after="120" w:line="360" w:lineRule="exact"/>
        <w:rPr>
          <w:rFonts w:hint="eastAsia"/>
          <w:color w:val="000000"/>
          <w:spacing w:val="-2"/>
          <w:szCs w:val="21"/>
        </w:rPr>
      </w:pPr>
      <w:r>
        <w:rPr>
          <w:rFonts w:hint="eastAsia"/>
          <w:color w:val="000000"/>
          <w:szCs w:val="18"/>
        </w:rPr>
        <w:t>资料来源：国家统计局劳动力调查，各年的数据。</w:t>
      </w:r>
    </w:p>
    <w:p w:rsidR="00000000" w:rsidRDefault="00821B8F">
      <w:pPr>
        <w:pStyle w:val="BodyText3"/>
        <w:spacing w:after="120" w:line="360" w:lineRule="exact"/>
        <w:rPr>
          <w:rFonts w:hint="eastAsia"/>
          <w:b/>
          <w:sz w:val="21"/>
          <w:szCs w:val="21"/>
          <w:lang w:eastAsia="zh-CN"/>
        </w:rPr>
      </w:pPr>
    </w:p>
    <w:p w:rsidR="00000000" w:rsidRDefault="00821B8F">
      <w:pPr>
        <w:pStyle w:val="BodyText3"/>
        <w:spacing w:after="120" w:line="360" w:lineRule="exact"/>
        <w:ind w:left="1200" w:hanging="1200"/>
        <w:rPr>
          <w:rFonts w:hint="eastAsia"/>
          <w:bCs/>
          <w:sz w:val="21"/>
          <w:szCs w:val="21"/>
          <w:lang w:eastAsia="zh-CN"/>
        </w:rPr>
      </w:pPr>
      <w:r>
        <w:rPr>
          <w:bCs/>
          <w:sz w:val="21"/>
          <w:szCs w:val="21"/>
          <w:lang w:eastAsia="zh-CN"/>
        </w:rPr>
        <w:br w:type="page"/>
      </w:r>
      <w:r>
        <w:rPr>
          <w:rFonts w:hint="eastAsia"/>
          <w:bCs/>
          <w:sz w:val="21"/>
          <w:szCs w:val="21"/>
          <w:lang w:eastAsia="zh-CN"/>
        </w:rPr>
        <w:t>附表</w:t>
      </w:r>
      <w:r>
        <w:rPr>
          <w:rFonts w:hint="eastAsia"/>
          <w:bCs/>
          <w:sz w:val="21"/>
          <w:szCs w:val="21"/>
          <w:lang w:eastAsia="zh-CN"/>
        </w:rPr>
        <w:t xml:space="preserve"> B11.3</w:t>
      </w:r>
      <w:r>
        <w:rPr>
          <w:rFonts w:hint="eastAsia"/>
          <w:bCs/>
          <w:sz w:val="21"/>
          <w:szCs w:val="21"/>
          <w:lang w:eastAsia="zh-CN"/>
        </w:rPr>
        <w:t>：按年龄组分列的女工对潜在劳动力（</w:t>
      </w:r>
      <w:r>
        <w:rPr>
          <w:rFonts w:hint="eastAsia"/>
          <w:bCs/>
          <w:sz w:val="21"/>
          <w:szCs w:val="21"/>
          <w:lang w:eastAsia="zh-CN"/>
        </w:rPr>
        <w:t>15</w:t>
      </w:r>
      <w:r>
        <w:rPr>
          <w:rFonts w:hint="eastAsia"/>
          <w:bCs/>
          <w:sz w:val="21"/>
          <w:szCs w:val="21"/>
          <w:lang w:eastAsia="zh-CN"/>
        </w:rPr>
        <w:t>岁以上总人口）、劳动力和就业人口的比率，</w:t>
      </w:r>
      <w:r>
        <w:rPr>
          <w:rFonts w:hint="eastAsia"/>
          <w:bCs/>
          <w:sz w:val="21"/>
          <w:szCs w:val="21"/>
          <w:lang w:eastAsia="zh-CN"/>
        </w:rPr>
        <w:t>1996</w:t>
      </w:r>
      <w:r>
        <w:rPr>
          <w:rFonts w:hint="eastAsia"/>
          <w:bCs/>
          <w:sz w:val="21"/>
          <w:szCs w:val="21"/>
          <w:lang w:eastAsia="zh-CN"/>
        </w:rPr>
        <w:t>、</w:t>
      </w:r>
      <w:r>
        <w:rPr>
          <w:rFonts w:hint="eastAsia"/>
          <w:bCs/>
          <w:sz w:val="21"/>
          <w:szCs w:val="21"/>
          <w:lang w:eastAsia="zh-CN"/>
        </w:rPr>
        <w:t>2000</w:t>
      </w:r>
      <w:r>
        <w:rPr>
          <w:rFonts w:hint="eastAsia"/>
          <w:bCs/>
          <w:sz w:val="21"/>
          <w:szCs w:val="21"/>
          <w:lang w:eastAsia="zh-CN"/>
        </w:rPr>
        <w:t>和</w:t>
      </w:r>
      <w:r>
        <w:rPr>
          <w:rFonts w:hint="eastAsia"/>
          <w:bCs/>
          <w:sz w:val="21"/>
          <w:szCs w:val="21"/>
          <w:lang w:eastAsia="zh-CN"/>
        </w:rPr>
        <w:t>2002</w:t>
      </w:r>
      <w:r>
        <w:rPr>
          <w:rFonts w:hint="eastAsia"/>
          <w:bCs/>
          <w:sz w:val="21"/>
          <w:szCs w:val="21"/>
          <w:lang w:eastAsia="zh-CN"/>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8"/>
        <w:gridCol w:w="910"/>
        <w:gridCol w:w="910"/>
        <w:gridCol w:w="910"/>
        <w:gridCol w:w="910"/>
        <w:gridCol w:w="910"/>
        <w:gridCol w:w="910"/>
        <w:gridCol w:w="910"/>
        <w:gridCol w:w="910"/>
        <w:gridCol w:w="908"/>
      </w:tblGrid>
      <w:tr w:rsidR="00000000">
        <w:tblPrEx>
          <w:tblCellMar>
            <w:top w:w="0" w:type="dxa"/>
            <w:bottom w:w="0" w:type="dxa"/>
          </w:tblCellMar>
        </w:tblPrEx>
        <w:trPr>
          <w:cantSplit/>
        </w:trPr>
        <w:tc>
          <w:tcPr>
            <w:tcW w:w="933" w:type="pct"/>
            <w:vMerge w:val="restart"/>
            <w:tcBorders>
              <w:top w:val="single" w:sz="4" w:space="0" w:color="auto"/>
              <w:left w:val="single" w:sz="4" w:space="0" w:color="auto"/>
              <w:bottom w:val="single" w:sz="4" w:space="0" w:color="auto"/>
              <w:right w:val="single" w:sz="4" w:space="0" w:color="auto"/>
            </w:tcBorders>
            <w:vAlign w:val="center"/>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年龄组</w:t>
            </w:r>
          </w:p>
        </w:tc>
        <w:tc>
          <w:tcPr>
            <w:tcW w:w="1356" w:type="pct"/>
            <w:gridSpan w:val="3"/>
            <w:tcBorders>
              <w:top w:val="single" w:sz="4" w:space="0" w:color="auto"/>
              <w:left w:val="single" w:sz="4" w:space="0" w:color="auto"/>
              <w:bottom w:val="single" w:sz="4" w:space="0" w:color="auto"/>
              <w:right w:val="single" w:sz="4" w:space="0" w:color="auto"/>
            </w:tcBorders>
            <w:vAlign w:val="center"/>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1996</w:t>
            </w:r>
          </w:p>
        </w:tc>
        <w:tc>
          <w:tcPr>
            <w:tcW w:w="1356" w:type="pct"/>
            <w:gridSpan w:val="3"/>
            <w:tcBorders>
              <w:top w:val="single" w:sz="4" w:space="0" w:color="auto"/>
              <w:left w:val="single" w:sz="4" w:space="0" w:color="auto"/>
              <w:bottom w:val="single" w:sz="4" w:space="0" w:color="auto"/>
              <w:right w:val="single" w:sz="4" w:space="0" w:color="auto"/>
            </w:tcBorders>
            <w:vAlign w:val="center"/>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2000</w:t>
            </w:r>
          </w:p>
        </w:tc>
        <w:tc>
          <w:tcPr>
            <w:tcW w:w="1356" w:type="pct"/>
            <w:gridSpan w:val="3"/>
            <w:tcBorders>
              <w:top w:val="single" w:sz="4" w:space="0" w:color="auto"/>
              <w:left w:val="single" w:sz="4" w:space="0" w:color="auto"/>
              <w:bottom w:val="single" w:sz="4" w:space="0" w:color="auto"/>
              <w:right w:val="single" w:sz="4" w:space="0" w:color="auto"/>
            </w:tcBorders>
            <w:vAlign w:val="center"/>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2002</w:t>
            </w:r>
          </w:p>
        </w:tc>
      </w:tr>
      <w:tr w:rsidR="00000000">
        <w:tblPrEx>
          <w:tblCellMar>
            <w:top w:w="0" w:type="dxa"/>
            <w:bottom w:w="0" w:type="dxa"/>
          </w:tblCellMar>
        </w:tblPrEx>
        <w:trPr>
          <w:cantSplit/>
        </w:trPr>
        <w:tc>
          <w:tcPr>
            <w:tcW w:w="933" w:type="pct"/>
            <w:vMerge/>
            <w:tcBorders>
              <w:top w:val="single" w:sz="4" w:space="0" w:color="auto"/>
              <w:left w:val="single" w:sz="4" w:space="0" w:color="auto"/>
              <w:bottom w:val="single" w:sz="4" w:space="0" w:color="auto"/>
              <w:right w:val="single" w:sz="4" w:space="0" w:color="auto"/>
            </w:tcBorders>
            <w:vAlign w:val="center"/>
          </w:tcPr>
          <w:p w:rsidR="00000000" w:rsidRDefault="00821B8F">
            <w:pPr>
              <w:pStyle w:val="BodyText"/>
              <w:spacing w:line="360" w:lineRule="exact"/>
              <w:jc w:val="center"/>
              <w:rPr>
                <w:rFonts w:ascii="SimHei" w:eastAsia="SimHei" w:hint="eastAsia"/>
                <w:bCs/>
                <w:color w:val="FF0000"/>
                <w:sz w:val="21"/>
                <w:szCs w:val="21"/>
              </w:rPr>
            </w:pP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15</w:t>
            </w:r>
            <w:r>
              <w:rPr>
                <w:rFonts w:ascii="SimHei" w:eastAsia="SimHei" w:hint="eastAsia"/>
                <w:bCs/>
                <w:color w:val="FF0000"/>
                <w:sz w:val="21"/>
                <w:szCs w:val="21"/>
              </w:rPr>
              <w:t>岁以上人口</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劳动力</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bCs/>
                <w:color w:val="FF0000"/>
                <w:sz w:val="21"/>
                <w:szCs w:val="21"/>
              </w:rPr>
            </w:pPr>
            <w:r>
              <w:rPr>
                <w:rFonts w:ascii="SimHei" w:eastAsia="SimHei" w:hint="eastAsia"/>
                <w:bCs/>
                <w:color w:val="FF0000"/>
                <w:sz w:val="21"/>
                <w:szCs w:val="21"/>
              </w:rPr>
              <w:t>就业</w:t>
            </w:r>
          </w:p>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人口</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15</w:t>
            </w:r>
            <w:r>
              <w:rPr>
                <w:rFonts w:ascii="SimHei" w:eastAsia="SimHei" w:hint="eastAsia"/>
                <w:bCs/>
                <w:color w:val="FF0000"/>
                <w:sz w:val="21"/>
                <w:szCs w:val="21"/>
              </w:rPr>
              <w:t>岁以上人口</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劳动力</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bCs/>
                <w:color w:val="FF0000"/>
                <w:sz w:val="21"/>
                <w:szCs w:val="21"/>
              </w:rPr>
            </w:pPr>
            <w:r>
              <w:rPr>
                <w:rFonts w:ascii="SimHei" w:eastAsia="SimHei" w:hint="eastAsia"/>
                <w:bCs/>
                <w:color w:val="FF0000"/>
                <w:sz w:val="21"/>
                <w:szCs w:val="21"/>
              </w:rPr>
              <w:t>就业</w:t>
            </w:r>
          </w:p>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人口</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15</w:t>
            </w:r>
            <w:r>
              <w:rPr>
                <w:rFonts w:ascii="SimHei" w:eastAsia="SimHei" w:hint="eastAsia"/>
                <w:bCs/>
                <w:color w:val="FF0000"/>
                <w:sz w:val="21"/>
                <w:szCs w:val="21"/>
              </w:rPr>
              <w:t>岁以上人口</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劳动力</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SimHei" w:eastAsia="SimHei"/>
                <w:bCs/>
                <w:color w:val="FF0000"/>
                <w:sz w:val="21"/>
                <w:szCs w:val="21"/>
              </w:rPr>
            </w:pPr>
            <w:r>
              <w:rPr>
                <w:rFonts w:ascii="SimHei" w:eastAsia="SimHei" w:hint="eastAsia"/>
                <w:bCs/>
                <w:color w:val="FF0000"/>
                <w:sz w:val="21"/>
                <w:szCs w:val="21"/>
              </w:rPr>
              <w:t>就业</w:t>
            </w:r>
          </w:p>
          <w:p w:rsidR="00000000" w:rsidRDefault="00821B8F">
            <w:pPr>
              <w:pStyle w:val="BodyText"/>
              <w:spacing w:line="360" w:lineRule="exact"/>
              <w:jc w:val="center"/>
              <w:rPr>
                <w:rFonts w:ascii="SimHei" w:eastAsia="SimHei" w:hint="eastAsia"/>
                <w:bCs/>
                <w:color w:val="FF0000"/>
                <w:sz w:val="21"/>
                <w:szCs w:val="21"/>
              </w:rPr>
            </w:pPr>
            <w:r>
              <w:rPr>
                <w:rFonts w:ascii="SimHei" w:eastAsia="SimHei" w:hint="eastAsia"/>
                <w:bCs/>
                <w:color w:val="FF0000"/>
                <w:sz w:val="21"/>
                <w:szCs w:val="21"/>
              </w:rPr>
              <w:t>人口</w:t>
            </w:r>
          </w:p>
        </w:tc>
      </w:tr>
      <w:tr w:rsidR="00000000">
        <w:tblPrEx>
          <w:tblCellMar>
            <w:top w:w="0" w:type="dxa"/>
            <w:bottom w:w="0" w:type="dxa"/>
          </w:tblCellMar>
        </w:tblPrEx>
        <w:tc>
          <w:tcPr>
            <w:tcW w:w="9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bCs/>
                <w:sz w:val="21"/>
                <w:szCs w:val="21"/>
                <w:lang w:eastAsia="zh-CN"/>
              </w:rPr>
            </w:pPr>
            <w:r>
              <w:rPr>
                <w:rFonts w:hint="eastAsia"/>
                <w:bCs/>
                <w:sz w:val="21"/>
                <w:szCs w:val="21"/>
                <w:lang w:eastAsia="zh-CN"/>
              </w:rPr>
              <w:t>15-24</w:t>
            </w:r>
            <w:r>
              <w:rPr>
                <w:rFonts w:hint="eastAsia"/>
                <w:bCs/>
                <w:sz w:val="21"/>
                <w:szCs w:val="21"/>
                <w:lang w:eastAsia="zh-CN"/>
              </w:rPr>
              <w:t>岁</w:t>
            </w:r>
            <w:r>
              <w:rPr>
                <w:rFonts w:hint="eastAsia"/>
                <w:bCs/>
                <w:sz w:val="21"/>
                <w:szCs w:val="21"/>
                <w:lang w:eastAsia="zh-CN"/>
              </w:rPr>
              <w:t xml:space="preserve"> </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48.4</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36.6</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35.3</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47.3</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36.4</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35.2</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46.9</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36.6</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35.2</w:t>
            </w:r>
          </w:p>
        </w:tc>
      </w:tr>
      <w:tr w:rsidR="00000000">
        <w:tblPrEx>
          <w:tblCellMar>
            <w:top w:w="0" w:type="dxa"/>
            <w:bottom w:w="0" w:type="dxa"/>
          </w:tblCellMar>
        </w:tblPrEx>
        <w:tc>
          <w:tcPr>
            <w:tcW w:w="9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bCs/>
                <w:sz w:val="21"/>
                <w:szCs w:val="21"/>
                <w:lang w:eastAsia="zh-CN"/>
              </w:rPr>
            </w:pPr>
            <w:r>
              <w:rPr>
                <w:rFonts w:hint="eastAsia"/>
                <w:bCs/>
                <w:sz w:val="21"/>
                <w:szCs w:val="21"/>
                <w:lang w:eastAsia="zh-CN"/>
              </w:rPr>
              <w:t>25-44</w:t>
            </w:r>
            <w:r>
              <w:rPr>
                <w:rFonts w:hint="eastAsia"/>
                <w:bCs/>
                <w:sz w:val="21"/>
                <w:szCs w:val="21"/>
                <w:lang w:eastAsia="zh-CN"/>
              </w:rPr>
              <w:t>岁</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50.1</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36.2</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36.0</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50.6</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37.1</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37.3</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50.4</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38.5</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38.4</w:t>
            </w:r>
          </w:p>
        </w:tc>
      </w:tr>
      <w:tr w:rsidR="00000000">
        <w:tblPrEx>
          <w:tblCellMar>
            <w:top w:w="0" w:type="dxa"/>
            <w:bottom w:w="0" w:type="dxa"/>
          </w:tblCellMar>
        </w:tblPrEx>
        <w:tc>
          <w:tcPr>
            <w:tcW w:w="9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bCs/>
                <w:sz w:val="21"/>
                <w:szCs w:val="21"/>
                <w:lang w:eastAsia="zh-CN"/>
              </w:rPr>
            </w:pPr>
            <w:r>
              <w:rPr>
                <w:rFonts w:hint="eastAsia"/>
                <w:bCs/>
                <w:sz w:val="21"/>
                <w:szCs w:val="21"/>
                <w:lang w:eastAsia="zh-CN"/>
              </w:rPr>
              <w:t>45</w:t>
            </w:r>
            <w:r>
              <w:rPr>
                <w:rFonts w:hint="eastAsia"/>
                <w:bCs/>
                <w:sz w:val="21"/>
                <w:szCs w:val="21"/>
                <w:lang w:eastAsia="zh-CN"/>
              </w:rPr>
              <w:t>岁和</w:t>
            </w:r>
            <w:r>
              <w:rPr>
                <w:rFonts w:hint="eastAsia"/>
                <w:bCs/>
                <w:sz w:val="21"/>
                <w:szCs w:val="21"/>
                <w:lang w:eastAsia="zh-CN"/>
              </w:rPr>
              <w:t>45</w:t>
            </w:r>
            <w:r>
              <w:rPr>
                <w:rFonts w:hint="eastAsia"/>
                <w:bCs/>
                <w:sz w:val="21"/>
                <w:szCs w:val="21"/>
                <w:lang w:eastAsia="zh-CN"/>
              </w:rPr>
              <w:t>岁以上</w:t>
            </w:r>
            <w:r>
              <w:rPr>
                <w:rFonts w:hint="eastAsia"/>
                <w:bCs/>
                <w:sz w:val="21"/>
                <w:szCs w:val="21"/>
                <w:lang w:eastAsia="zh-CN"/>
              </w:rPr>
              <w:t xml:space="preserve"> </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51.8</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39.5</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39.7</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52.6</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39.7</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40.2</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52.6</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41.6</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42.1</w:t>
            </w:r>
          </w:p>
        </w:tc>
      </w:tr>
      <w:tr w:rsidR="00000000">
        <w:tblPrEx>
          <w:tblCellMar>
            <w:top w:w="0" w:type="dxa"/>
            <w:bottom w:w="0" w:type="dxa"/>
          </w:tblCellMar>
        </w:tblPrEx>
        <w:tc>
          <w:tcPr>
            <w:tcW w:w="9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bCs/>
                <w:sz w:val="21"/>
                <w:szCs w:val="21"/>
                <w:lang w:eastAsia="zh-CN"/>
              </w:rPr>
            </w:pPr>
            <w:r>
              <w:rPr>
                <w:rFonts w:hint="eastAsia"/>
                <w:bCs/>
                <w:sz w:val="21"/>
                <w:szCs w:val="21"/>
                <w:lang w:eastAsia="zh-CN"/>
              </w:rPr>
              <w:t>总计</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50.1</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37.2</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36.9</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50.2</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37.8</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bCs/>
                <w:sz w:val="21"/>
                <w:szCs w:val="21"/>
                <w:lang w:eastAsia="zh-CN"/>
              </w:rPr>
            </w:pPr>
            <w:r>
              <w:rPr>
                <w:rFonts w:hint="eastAsia"/>
                <w:bCs/>
                <w:sz w:val="21"/>
                <w:szCs w:val="21"/>
                <w:lang w:eastAsia="zh-CN"/>
              </w:rPr>
              <w:t>37.9</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48.1</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39.1</w:t>
            </w:r>
          </w:p>
        </w:tc>
        <w:tc>
          <w:tcPr>
            <w:tcW w:w="452" w:type="pct"/>
            <w:tcBorders>
              <w:top w:val="single" w:sz="4" w:space="0" w:color="auto"/>
              <w:left w:val="single" w:sz="4" w:space="0" w:color="auto"/>
              <w:bottom w:val="single" w:sz="4" w:space="0" w:color="auto"/>
              <w:right w:val="single" w:sz="4" w:space="0" w:color="auto"/>
            </w:tcBorders>
          </w:tcPr>
          <w:p w:rsidR="00000000" w:rsidRDefault="00821B8F">
            <w:pPr>
              <w:pStyle w:val="BodyText"/>
              <w:spacing w:line="360" w:lineRule="exact"/>
              <w:jc w:val="center"/>
              <w:rPr>
                <w:rFonts w:ascii="Times New Roman" w:hint="eastAsia"/>
                <w:bCs/>
                <w:color w:val="000000"/>
                <w:sz w:val="21"/>
                <w:szCs w:val="21"/>
              </w:rPr>
            </w:pPr>
            <w:r>
              <w:rPr>
                <w:rFonts w:ascii="Times New Roman" w:hint="eastAsia"/>
                <w:bCs/>
                <w:color w:val="000000"/>
                <w:sz w:val="21"/>
                <w:szCs w:val="21"/>
              </w:rPr>
              <w:t>39.1</w:t>
            </w:r>
          </w:p>
        </w:tc>
      </w:tr>
    </w:tbl>
    <w:p w:rsidR="00000000" w:rsidRDefault="00821B8F">
      <w:pPr>
        <w:spacing w:before="120" w:after="120" w:line="360" w:lineRule="exact"/>
        <w:rPr>
          <w:rFonts w:hint="eastAsia"/>
          <w:color w:val="000000"/>
          <w:szCs w:val="21"/>
        </w:rPr>
      </w:pPr>
      <w:r>
        <w:rPr>
          <w:rFonts w:hint="eastAsia"/>
          <w:color w:val="000000"/>
          <w:szCs w:val="18"/>
        </w:rPr>
        <w:t>资料来源：国家统计局劳动力调查，各年的数据。</w:t>
      </w:r>
    </w:p>
    <w:p w:rsidR="00000000" w:rsidRDefault="00821B8F">
      <w:pPr>
        <w:pStyle w:val="BodyText3"/>
        <w:spacing w:after="120" w:line="360" w:lineRule="exact"/>
        <w:rPr>
          <w:rFonts w:hint="eastAsia"/>
          <w:b/>
          <w:sz w:val="21"/>
          <w:szCs w:val="21"/>
          <w:lang w:eastAsia="zh-CN"/>
        </w:rPr>
      </w:pPr>
    </w:p>
    <w:p w:rsidR="00000000" w:rsidRDefault="00821B8F">
      <w:pPr>
        <w:pStyle w:val="BodyText3"/>
        <w:spacing w:after="120" w:line="360" w:lineRule="exact"/>
        <w:rPr>
          <w:rFonts w:hint="eastAsia"/>
          <w:bCs/>
          <w:sz w:val="21"/>
          <w:szCs w:val="21"/>
          <w:lang w:eastAsia="zh-CN"/>
        </w:rPr>
      </w:pPr>
      <w:r>
        <w:rPr>
          <w:rFonts w:hint="eastAsia"/>
          <w:bCs/>
          <w:sz w:val="21"/>
          <w:szCs w:val="21"/>
          <w:lang w:eastAsia="zh-CN"/>
        </w:rPr>
        <w:t>附表</w:t>
      </w:r>
      <w:r>
        <w:rPr>
          <w:rFonts w:hint="eastAsia"/>
          <w:bCs/>
          <w:sz w:val="21"/>
          <w:szCs w:val="21"/>
          <w:lang w:eastAsia="zh-CN"/>
        </w:rPr>
        <w:t xml:space="preserve"> B11.4</w:t>
      </w:r>
      <w:r>
        <w:rPr>
          <w:rFonts w:hint="eastAsia"/>
          <w:bCs/>
          <w:sz w:val="21"/>
          <w:szCs w:val="21"/>
          <w:lang w:eastAsia="zh-CN"/>
        </w:rPr>
        <w:t>：按工人性别分列的城乡地区的就业率（</w:t>
      </w:r>
      <w:r>
        <w:rPr>
          <w:rFonts w:hint="eastAsia"/>
          <w:bCs/>
          <w:sz w:val="21"/>
          <w:szCs w:val="21"/>
          <w:lang w:eastAsia="zh-CN"/>
        </w:rPr>
        <w:t>%</w:t>
      </w:r>
      <w:r>
        <w:rPr>
          <w:rFonts w:hint="eastAsia"/>
          <w:bCs/>
          <w:sz w:val="21"/>
          <w:szCs w:val="21"/>
          <w:lang w:eastAsia="zh-CN"/>
        </w:rPr>
        <w:t>）（</w:t>
      </w:r>
      <w:r>
        <w:rPr>
          <w:rFonts w:hint="eastAsia"/>
          <w:bCs/>
          <w:sz w:val="21"/>
          <w:szCs w:val="21"/>
          <w:lang w:eastAsia="zh-CN"/>
        </w:rPr>
        <w:t>10</w:t>
      </w:r>
      <w:r>
        <w:rPr>
          <w:rFonts w:hint="eastAsia"/>
          <w:bCs/>
          <w:sz w:val="21"/>
          <w:szCs w:val="21"/>
          <w:lang w:eastAsia="zh-CN"/>
        </w:rPr>
        <w:t>月份调查）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7"/>
        <w:gridCol w:w="872"/>
        <w:gridCol w:w="968"/>
        <w:gridCol w:w="872"/>
        <w:gridCol w:w="930"/>
        <w:gridCol w:w="950"/>
        <w:gridCol w:w="948"/>
        <w:gridCol w:w="950"/>
        <w:gridCol w:w="769"/>
      </w:tblGrid>
      <w:tr w:rsidR="00000000">
        <w:tblPrEx>
          <w:tblCellMar>
            <w:top w:w="0" w:type="dxa"/>
            <w:bottom w:w="0" w:type="dxa"/>
          </w:tblCellMar>
        </w:tblPrEx>
        <w:trPr>
          <w:cantSplit/>
        </w:trPr>
        <w:tc>
          <w:tcPr>
            <w:tcW w:w="1394" w:type="pct"/>
            <w:vMerge w:val="restar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项目</w:t>
            </w:r>
          </w:p>
        </w:tc>
        <w:tc>
          <w:tcPr>
            <w:tcW w:w="913"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1996</w:t>
            </w:r>
          </w:p>
        </w:tc>
        <w:tc>
          <w:tcPr>
            <w:tcW w:w="895"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1998</w:t>
            </w:r>
          </w:p>
        </w:tc>
        <w:tc>
          <w:tcPr>
            <w:tcW w:w="942"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2000</w:t>
            </w:r>
          </w:p>
        </w:tc>
        <w:tc>
          <w:tcPr>
            <w:tcW w:w="855" w:type="pct"/>
            <w:gridSpan w:val="2"/>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2002</w:t>
            </w:r>
          </w:p>
        </w:tc>
      </w:tr>
      <w:tr w:rsidR="00000000">
        <w:tblPrEx>
          <w:tblCellMar>
            <w:top w:w="0" w:type="dxa"/>
            <w:bottom w:w="0" w:type="dxa"/>
          </w:tblCellMar>
        </w:tblPrEx>
        <w:trPr>
          <w:cantSplit/>
        </w:trPr>
        <w:tc>
          <w:tcPr>
            <w:tcW w:w="1394" w:type="pct"/>
            <w:vMerge/>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女</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男</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总计</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91.8</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93.0</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90.2</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90.5</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90.1</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89.7</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89.8</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89.9</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     </w:t>
            </w:r>
            <w:r>
              <w:rPr>
                <w:rFonts w:hint="eastAsia"/>
                <w:sz w:val="21"/>
                <w:szCs w:val="21"/>
                <w:lang w:eastAsia="zh-CN"/>
              </w:rPr>
              <w:t>城市</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91.1</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90.0</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89.3</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86.9</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88.7</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85.3</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88.8</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85.4</w:t>
            </w:r>
          </w:p>
        </w:tc>
      </w:tr>
      <w:tr w:rsidR="00000000">
        <w:tblPrEx>
          <w:tblCellMar>
            <w:top w:w="0" w:type="dxa"/>
            <w:bottom w:w="0" w:type="dxa"/>
          </w:tblCellMar>
        </w:tblPrEx>
        <w:tc>
          <w:tcPr>
            <w:tcW w:w="139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rPr>
                <w:rFonts w:hint="eastAsia"/>
                <w:sz w:val="21"/>
                <w:szCs w:val="21"/>
                <w:lang w:eastAsia="zh-CN"/>
              </w:rPr>
            </w:pPr>
            <w:r>
              <w:rPr>
                <w:rFonts w:hint="eastAsia"/>
                <w:sz w:val="21"/>
                <w:szCs w:val="21"/>
                <w:lang w:eastAsia="zh-CN"/>
              </w:rPr>
              <w:t xml:space="preserve">     </w:t>
            </w:r>
            <w:r>
              <w:rPr>
                <w:rFonts w:hint="eastAsia"/>
                <w:sz w:val="21"/>
                <w:szCs w:val="21"/>
                <w:lang w:eastAsia="zh-CN"/>
              </w:rPr>
              <w:t>农村</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92.5</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95.5</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91.1</w:t>
            </w:r>
          </w:p>
        </w:tc>
        <w:tc>
          <w:tcPr>
            <w:tcW w:w="46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93.4</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91.7</w:t>
            </w:r>
          </w:p>
        </w:tc>
        <w:tc>
          <w:tcPr>
            <w:tcW w:w="471"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93.6</w:t>
            </w:r>
          </w:p>
        </w:tc>
        <w:tc>
          <w:tcPr>
            <w:tcW w:w="472"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90.8</w:t>
            </w:r>
          </w:p>
        </w:tc>
        <w:tc>
          <w:tcPr>
            <w:tcW w:w="384" w:type="pct"/>
            <w:tcBorders>
              <w:top w:val="single" w:sz="4" w:space="0" w:color="auto"/>
              <w:left w:val="single" w:sz="4" w:space="0" w:color="auto"/>
              <w:bottom w:val="single" w:sz="4" w:space="0" w:color="auto"/>
              <w:right w:val="single" w:sz="4" w:space="0" w:color="auto"/>
            </w:tcBorders>
          </w:tcPr>
          <w:p w:rsidR="00000000" w:rsidRDefault="00821B8F">
            <w:pPr>
              <w:pStyle w:val="BodyText3"/>
              <w:spacing w:line="360" w:lineRule="exact"/>
              <w:jc w:val="center"/>
              <w:rPr>
                <w:rFonts w:hint="eastAsia"/>
                <w:sz w:val="21"/>
                <w:szCs w:val="21"/>
                <w:lang w:eastAsia="zh-CN"/>
              </w:rPr>
            </w:pPr>
            <w:r>
              <w:rPr>
                <w:rFonts w:hint="eastAsia"/>
                <w:sz w:val="21"/>
                <w:szCs w:val="21"/>
                <w:lang w:eastAsia="zh-CN"/>
              </w:rPr>
              <w:t>93.8</w:t>
            </w:r>
          </w:p>
        </w:tc>
      </w:tr>
    </w:tbl>
    <w:p w:rsidR="00000000" w:rsidRDefault="00821B8F">
      <w:pPr>
        <w:spacing w:before="120" w:after="120" w:line="360" w:lineRule="exact"/>
        <w:rPr>
          <w:rFonts w:hint="eastAsia"/>
          <w:color w:val="000000"/>
          <w:szCs w:val="21"/>
        </w:rPr>
      </w:pPr>
      <w:r>
        <w:rPr>
          <w:rFonts w:hint="eastAsia"/>
          <w:color w:val="000000"/>
          <w:szCs w:val="18"/>
        </w:rPr>
        <w:t>资料来源：国家统计局劳动力调查，各年的数据。</w:t>
      </w:r>
    </w:p>
    <w:p w:rsidR="00000000" w:rsidRDefault="00821B8F">
      <w:pPr>
        <w:pStyle w:val="BodyText3"/>
        <w:spacing w:after="120" w:line="360" w:lineRule="exact"/>
        <w:rPr>
          <w:rFonts w:hint="eastAsia"/>
          <w:b/>
          <w:sz w:val="21"/>
          <w:szCs w:val="21"/>
          <w:lang w:eastAsia="zh-CN"/>
        </w:rPr>
      </w:pPr>
    </w:p>
    <w:p w:rsidR="00000000" w:rsidRDefault="00821B8F">
      <w:pPr>
        <w:pStyle w:val="BodyText3"/>
        <w:spacing w:after="120" w:line="360" w:lineRule="exact"/>
        <w:rPr>
          <w:rFonts w:hint="eastAsia"/>
          <w:bCs/>
          <w:sz w:val="21"/>
          <w:szCs w:val="21"/>
          <w:lang w:eastAsia="zh-CN"/>
        </w:rPr>
      </w:pPr>
      <w:r>
        <w:rPr>
          <w:rFonts w:hint="eastAsia"/>
          <w:bCs/>
          <w:sz w:val="21"/>
          <w:szCs w:val="21"/>
          <w:lang w:eastAsia="zh-CN"/>
        </w:rPr>
        <w:t>附表</w:t>
      </w:r>
      <w:r>
        <w:rPr>
          <w:rFonts w:hint="eastAsia"/>
          <w:bCs/>
          <w:sz w:val="21"/>
          <w:szCs w:val="21"/>
          <w:lang w:eastAsia="zh-CN"/>
        </w:rPr>
        <w:t xml:space="preserve"> B11.5</w:t>
      </w:r>
      <w:r>
        <w:rPr>
          <w:rFonts w:hint="eastAsia"/>
          <w:bCs/>
          <w:sz w:val="21"/>
          <w:szCs w:val="21"/>
          <w:lang w:eastAsia="zh-CN"/>
        </w:rPr>
        <w:t>：按工人类别分列的女工占就业总人数的百分比（</w:t>
      </w:r>
      <w:r>
        <w:rPr>
          <w:rFonts w:hint="eastAsia"/>
          <w:bCs/>
          <w:sz w:val="21"/>
          <w:szCs w:val="21"/>
          <w:lang w:eastAsia="zh-CN"/>
        </w:rPr>
        <w:t>10</w:t>
      </w:r>
      <w:r>
        <w:rPr>
          <w:rFonts w:hint="eastAsia"/>
          <w:bCs/>
          <w:sz w:val="21"/>
          <w:szCs w:val="21"/>
          <w:lang w:eastAsia="zh-CN"/>
        </w:rPr>
        <w:t>月份调查）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1"/>
        <w:gridCol w:w="1645"/>
        <w:gridCol w:w="1645"/>
        <w:gridCol w:w="1355"/>
        <w:gridCol w:w="2130"/>
      </w:tblGrid>
      <w:tr w:rsidR="00000000">
        <w:tblPrEx>
          <w:tblCellMar>
            <w:top w:w="0" w:type="dxa"/>
            <w:bottom w:w="0" w:type="dxa"/>
          </w:tblCellMar>
        </w:tblPrEx>
        <w:tc>
          <w:tcPr>
            <w:tcW w:w="163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color w:val="000000"/>
                <w:szCs w:val="21"/>
              </w:rPr>
            </w:pPr>
            <w:r>
              <w:rPr>
                <w:rFonts w:hint="eastAsia"/>
                <w:color w:val="000000"/>
                <w:szCs w:val="21"/>
              </w:rPr>
              <w:t>工人类别</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1996</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1998</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2000</w:t>
            </w:r>
          </w:p>
        </w:tc>
        <w:tc>
          <w:tcPr>
            <w:tcW w:w="1058"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2002</w:t>
            </w:r>
          </w:p>
        </w:tc>
      </w:tr>
      <w:tr w:rsidR="00000000">
        <w:tblPrEx>
          <w:tblCellMar>
            <w:top w:w="0" w:type="dxa"/>
            <w:bottom w:w="0" w:type="dxa"/>
          </w:tblCellMar>
        </w:tblPrEx>
        <w:tc>
          <w:tcPr>
            <w:tcW w:w="163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color w:val="000000"/>
                <w:szCs w:val="21"/>
              </w:rPr>
            </w:pPr>
            <w:r>
              <w:rPr>
                <w:rFonts w:hint="eastAsia"/>
                <w:color w:val="000000"/>
                <w:szCs w:val="21"/>
              </w:rPr>
              <w:t>自营职业者</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31.2</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32.8</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33.4</w:t>
            </w:r>
          </w:p>
        </w:tc>
        <w:tc>
          <w:tcPr>
            <w:tcW w:w="1058"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34.5</w:t>
            </w:r>
          </w:p>
        </w:tc>
      </w:tr>
      <w:tr w:rsidR="00000000">
        <w:tblPrEx>
          <w:tblCellMar>
            <w:top w:w="0" w:type="dxa"/>
            <w:bottom w:w="0" w:type="dxa"/>
          </w:tblCellMar>
        </w:tblPrEx>
        <w:tc>
          <w:tcPr>
            <w:tcW w:w="163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color w:val="000000"/>
                <w:szCs w:val="21"/>
              </w:rPr>
            </w:pPr>
            <w:r>
              <w:rPr>
                <w:rFonts w:hint="eastAsia"/>
                <w:color w:val="000000"/>
                <w:szCs w:val="21"/>
              </w:rPr>
              <w:t>雇佣工人</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35.8</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36.9</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37.6</w:t>
            </w:r>
          </w:p>
        </w:tc>
        <w:tc>
          <w:tcPr>
            <w:tcW w:w="1058"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38.3</w:t>
            </w:r>
          </w:p>
        </w:tc>
      </w:tr>
      <w:tr w:rsidR="00000000">
        <w:tblPrEx>
          <w:tblCellMar>
            <w:top w:w="0" w:type="dxa"/>
            <w:bottom w:w="0" w:type="dxa"/>
          </w:tblCellMar>
        </w:tblPrEx>
        <w:tc>
          <w:tcPr>
            <w:tcW w:w="163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color w:val="000000"/>
                <w:szCs w:val="21"/>
              </w:rPr>
            </w:pPr>
            <w:r>
              <w:rPr>
                <w:rFonts w:hint="eastAsia"/>
                <w:color w:val="000000"/>
                <w:szCs w:val="21"/>
              </w:rPr>
              <w:t>无报酬家庭工人</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55.1</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53.0</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52.4</w:t>
            </w:r>
          </w:p>
        </w:tc>
        <w:tc>
          <w:tcPr>
            <w:tcW w:w="1058"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54.8</w:t>
            </w:r>
          </w:p>
        </w:tc>
      </w:tr>
      <w:tr w:rsidR="00000000">
        <w:tblPrEx>
          <w:tblCellMar>
            <w:top w:w="0" w:type="dxa"/>
            <w:bottom w:w="0" w:type="dxa"/>
          </w:tblCellMar>
        </w:tblPrEx>
        <w:tc>
          <w:tcPr>
            <w:tcW w:w="163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color w:val="000000"/>
                <w:szCs w:val="21"/>
              </w:rPr>
            </w:pPr>
            <w:r>
              <w:rPr>
                <w:rFonts w:hint="eastAsia"/>
                <w:color w:val="000000"/>
                <w:szCs w:val="21"/>
              </w:rPr>
              <w:t>所有劳动者</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36.9</w:t>
            </w:r>
          </w:p>
        </w:tc>
        <w:tc>
          <w:tcPr>
            <w:tcW w:w="817"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37.5</w:t>
            </w:r>
          </w:p>
        </w:tc>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37.9</w:t>
            </w:r>
          </w:p>
        </w:tc>
        <w:tc>
          <w:tcPr>
            <w:tcW w:w="1058"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42.1</w:t>
            </w:r>
          </w:p>
        </w:tc>
      </w:tr>
    </w:tbl>
    <w:p w:rsidR="00000000" w:rsidRDefault="00821B8F">
      <w:pPr>
        <w:spacing w:before="120" w:after="120" w:line="360" w:lineRule="exact"/>
        <w:rPr>
          <w:rFonts w:hint="eastAsia"/>
          <w:color w:val="000000"/>
          <w:szCs w:val="21"/>
        </w:rPr>
      </w:pPr>
      <w:r>
        <w:rPr>
          <w:rFonts w:hint="eastAsia"/>
          <w:color w:val="000000"/>
          <w:szCs w:val="18"/>
        </w:rPr>
        <w:t>资料来源：国家统计局劳动力调查，各年的数据。</w:t>
      </w:r>
    </w:p>
    <w:p w:rsidR="00000000" w:rsidRDefault="00821B8F">
      <w:pPr>
        <w:spacing w:before="120" w:after="120" w:line="360" w:lineRule="exact"/>
        <w:rPr>
          <w:rFonts w:hint="eastAsia"/>
          <w:color w:val="000000"/>
          <w:szCs w:val="21"/>
        </w:rPr>
      </w:pPr>
    </w:p>
    <w:p w:rsidR="00000000" w:rsidRDefault="00821B8F">
      <w:pPr>
        <w:spacing w:after="120" w:line="360" w:lineRule="exact"/>
        <w:rPr>
          <w:rFonts w:hint="eastAsia"/>
          <w:color w:val="000000"/>
          <w:spacing w:val="-2"/>
          <w:szCs w:val="21"/>
        </w:rPr>
      </w:pPr>
      <w:r>
        <w:rPr>
          <w:color w:val="000000"/>
          <w:spacing w:val="-2"/>
          <w:szCs w:val="21"/>
        </w:rPr>
        <w:br w:type="page"/>
      </w:r>
      <w:r>
        <w:rPr>
          <w:rFonts w:hint="eastAsia"/>
          <w:color w:val="000000"/>
          <w:spacing w:val="-2"/>
          <w:szCs w:val="21"/>
        </w:rPr>
        <w:t>附表</w:t>
      </w:r>
      <w:r>
        <w:rPr>
          <w:rFonts w:hint="eastAsia"/>
          <w:color w:val="000000"/>
          <w:spacing w:val="-2"/>
          <w:szCs w:val="21"/>
        </w:rPr>
        <w:t xml:space="preserve"> B11.6</w:t>
      </w:r>
      <w:r>
        <w:rPr>
          <w:rFonts w:hint="eastAsia"/>
          <w:color w:val="000000"/>
          <w:spacing w:val="-2"/>
          <w:szCs w:val="21"/>
        </w:rPr>
        <w:t>：按工人性别分列的城乡工人每周的平均工作时间（小时）（</w:t>
      </w:r>
      <w:r>
        <w:rPr>
          <w:rFonts w:hint="eastAsia"/>
          <w:color w:val="000000"/>
          <w:spacing w:val="-2"/>
          <w:szCs w:val="21"/>
        </w:rPr>
        <w:t>10</w:t>
      </w:r>
      <w:r>
        <w:rPr>
          <w:rFonts w:hint="eastAsia"/>
          <w:color w:val="000000"/>
          <w:spacing w:val="-2"/>
          <w:szCs w:val="21"/>
        </w:rPr>
        <w:t>月份调查）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5"/>
        <w:gridCol w:w="872"/>
        <w:gridCol w:w="1260"/>
        <w:gridCol w:w="872"/>
        <w:gridCol w:w="968"/>
        <w:gridCol w:w="872"/>
        <w:gridCol w:w="1065"/>
        <w:gridCol w:w="1065"/>
        <w:gridCol w:w="1057"/>
      </w:tblGrid>
      <w:tr w:rsidR="00000000">
        <w:tblPrEx>
          <w:tblCellMar>
            <w:top w:w="0" w:type="dxa"/>
            <w:bottom w:w="0" w:type="dxa"/>
          </w:tblCellMar>
        </w:tblPrEx>
        <w:trPr>
          <w:cantSplit/>
        </w:trPr>
        <w:tc>
          <w:tcPr>
            <w:tcW w:w="1011" w:type="pct"/>
            <w:vMerge w:val="restar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项目</w:t>
            </w:r>
          </w:p>
        </w:tc>
        <w:tc>
          <w:tcPr>
            <w:tcW w:w="1059" w:type="pct"/>
            <w:gridSpan w:val="2"/>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1995</w:t>
            </w:r>
          </w:p>
        </w:tc>
        <w:tc>
          <w:tcPr>
            <w:tcW w:w="914" w:type="pct"/>
            <w:gridSpan w:val="2"/>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1996</w:t>
            </w:r>
          </w:p>
        </w:tc>
        <w:tc>
          <w:tcPr>
            <w:tcW w:w="962" w:type="pct"/>
            <w:gridSpan w:val="2"/>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1997</w:t>
            </w:r>
          </w:p>
        </w:tc>
        <w:tc>
          <w:tcPr>
            <w:tcW w:w="1054" w:type="pct"/>
            <w:gridSpan w:val="2"/>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1998</w:t>
            </w:r>
          </w:p>
        </w:tc>
      </w:tr>
      <w:tr w:rsidR="00000000">
        <w:tblPrEx>
          <w:tblCellMar>
            <w:top w:w="0" w:type="dxa"/>
            <w:bottom w:w="0" w:type="dxa"/>
          </w:tblCellMar>
        </w:tblPrEx>
        <w:trPr>
          <w:cantSplit/>
        </w:trPr>
        <w:tc>
          <w:tcPr>
            <w:tcW w:w="1011" w:type="pct"/>
            <w:vMerge/>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女</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男</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女</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男</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女</w:t>
            </w:r>
          </w:p>
        </w:tc>
        <w:tc>
          <w:tcPr>
            <w:tcW w:w="52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男</w:t>
            </w:r>
          </w:p>
        </w:tc>
        <w:tc>
          <w:tcPr>
            <w:tcW w:w="52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女</w:t>
            </w:r>
          </w:p>
        </w:tc>
        <w:tc>
          <w:tcPr>
            <w:tcW w:w="52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男</w:t>
            </w:r>
          </w:p>
        </w:tc>
      </w:tr>
      <w:tr w:rsidR="00000000">
        <w:tblPrEx>
          <w:tblCellMar>
            <w:top w:w="0" w:type="dxa"/>
            <w:bottom w:w="0" w:type="dxa"/>
          </w:tblCellMar>
        </w:tblPrEx>
        <w:tc>
          <w:tcPr>
            <w:tcW w:w="1011"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color w:val="000000"/>
                <w:szCs w:val="21"/>
              </w:rPr>
            </w:pPr>
            <w:r>
              <w:rPr>
                <w:rFonts w:hint="eastAsia"/>
                <w:color w:val="000000"/>
                <w:szCs w:val="21"/>
              </w:rPr>
              <w:t>城市</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46.7</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45.5</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47.2</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45.9</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46.8</w:t>
            </w:r>
          </w:p>
        </w:tc>
        <w:tc>
          <w:tcPr>
            <w:tcW w:w="52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45.7</w:t>
            </w:r>
          </w:p>
        </w:tc>
        <w:tc>
          <w:tcPr>
            <w:tcW w:w="52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46.6</w:t>
            </w:r>
          </w:p>
        </w:tc>
        <w:tc>
          <w:tcPr>
            <w:tcW w:w="52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44.8</w:t>
            </w:r>
          </w:p>
        </w:tc>
      </w:tr>
      <w:tr w:rsidR="00000000">
        <w:tblPrEx>
          <w:tblCellMar>
            <w:top w:w="0" w:type="dxa"/>
            <w:bottom w:w="0" w:type="dxa"/>
          </w:tblCellMar>
        </w:tblPrEx>
        <w:tc>
          <w:tcPr>
            <w:tcW w:w="1011"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color w:val="000000"/>
                <w:szCs w:val="21"/>
              </w:rPr>
            </w:pPr>
            <w:r>
              <w:rPr>
                <w:rFonts w:hint="eastAsia"/>
                <w:color w:val="000000"/>
                <w:szCs w:val="21"/>
              </w:rPr>
              <w:t>农村</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35.9</w:t>
            </w:r>
          </w:p>
        </w:tc>
        <w:tc>
          <w:tcPr>
            <w:tcW w:w="626"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39.8</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34.6</w:t>
            </w:r>
          </w:p>
        </w:tc>
        <w:tc>
          <w:tcPr>
            <w:tcW w:w="481"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w:t>
            </w:r>
            <w:r>
              <w:rPr>
                <w:rFonts w:hint="eastAsia"/>
                <w:color w:val="000000"/>
                <w:szCs w:val="21"/>
              </w:rPr>
              <w:t>9.1</w:t>
            </w:r>
          </w:p>
        </w:tc>
        <w:tc>
          <w:tcPr>
            <w:tcW w:w="43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35.3</w:t>
            </w:r>
          </w:p>
        </w:tc>
        <w:tc>
          <w:tcPr>
            <w:tcW w:w="52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39.1</w:t>
            </w:r>
          </w:p>
        </w:tc>
        <w:tc>
          <w:tcPr>
            <w:tcW w:w="52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36.1</w:t>
            </w:r>
          </w:p>
        </w:tc>
        <w:tc>
          <w:tcPr>
            <w:tcW w:w="525"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38.5</w:t>
            </w:r>
          </w:p>
        </w:tc>
      </w:tr>
    </w:tbl>
    <w:p w:rsidR="00000000" w:rsidRDefault="00821B8F">
      <w:pPr>
        <w:spacing w:before="120" w:after="120" w:line="360" w:lineRule="exact"/>
        <w:rPr>
          <w:rFonts w:hint="eastAsia"/>
          <w:color w:val="000000"/>
          <w:szCs w:val="18"/>
        </w:rPr>
      </w:pPr>
      <w:r>
        <w:rPr>
          <w:rFonts w:hint="eastAsia"/>
          <w:color w:val="000000"/>
          <w:szCs w:val="18"/>
        </w:rPr>
        <w:t>资料来源：国家统计局劳动力调查，各年的数据。</w:t>
      </w:r>
    </w:p>
    <w:p w:rsidR="00000000" w:rsidRDefault="00821B8F">
      <w:pPr>
        <w:spacing w:before="120" w:after="120" w:line="360" w:lineRule="exact"/>
        <w:rPr>
          <w:rFonts w:hint="eastAsia"/>
          <w:color w:val="000000"/>
          <w:szCs w:val="21"/>
        </w:rPr>
      </w:pPr>
    </w:p>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after="120" w:line="360" w:lineRule="exact"/>
        <w:rPr>
          <w:rFonts w:hint="eastAsia"/>
          <w:bCs/>
          <w:color w:val="000000"/>
          <w:szCs w:val="21"/>
        </w:rPr>
      </w:pPr>
      <w:r>
        <w:rPr>
          <w:rFonts w:hint="eastAsia"/>
          <w:bCs/>
          <w:color w:val="000000"/>
          <w:szCs w:val="21"/>
        </w:rPr>
        <w:t>附表</w:t>
      </w:r>
      <w:r>
        <w:rPr>
          <w:rFonts w:hint="eastAsia"/>
          <w:bCs/>
          <w:color w:val="000000"/>
          <w:szCs w:val="21"/>
        </w:rPr>
        <w:t xml:space="preserve"> B11.7</w:t>
      </w:r>
      <w:r>
        <w:rPr>
          <w:rFonts w:hint="eastAsia"/>
          <w:bCs/>
          <w:color w:val="000000"/>
          <w:szCs w:val="21"/>
        </w:rPr>
        <w:t>：非全时劳动者的部分统计数据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3"/>
        <w:gridCol w:w="972"/>
        <w:gridCol w:w="974"/>
        <w:gridCol w:w="1168"/>
        <w:gridCol w:w="972"/>
        <w:gridCol w:w="972"/>
        <w:gridCol w:w="1115"/>
      </w:tblGrid>
      <w:tr w:rsidR="00000000">
        <w:tblPrEx>
          <w:tblCellMar>
            <w:top w:w="0" w:type="dxa"/>
            <w:bottom w:w="0" w:type="dxa"/>
          </w:tblCellMar>
        </w:tblPrEx>
        <w:trPr>
          <w:cantSplit/>
        </w:trPr>
        <w:tc>
          <w:tcPr>
            <w:tcW w:w="1933" w:type="pct"/>
            <w:vMerge w:val="restar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项目</w:t>
            </w:r>
          </w:p>
        </w:tc>
        <w:tc>
          <w:tcPr>
            <w:tcW w:w="967" w:type="pct"/>
            <w:gridSpan w:val="2"/>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1998</w:t>
            </w:r>
          </w:p>
        </w:tc>
        <w:tc>
          <w:tcPr>
            <w:tcW w:w="1063" w:type="pct"/>
            <w:gridSpan w:val="2"/>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2000</w:t>
            </w:r>
          </w:p>
        </w:tc>
        <w:tc>
          <w:tcPr>
            <w:tcW w:w="1037" w:type="pct"/>
            <w:gridSpan w:val="2"/>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2002</w:t>
            </w:r>
          </w:p>
        </w:tc>
      </w:tr>
      <w:tr w:rsidR="00000000">
        <w:tblPrEx>
          <w:tblCellMar>
            <w:top w:w="0" w:type="dxa"/>
            <w:bottom w:w="0" w:type="dxa"/>
          </w:tblCellMar>
        </w:tblPrEx>
        <w:trPr>
          <w:cantSplit/>
        </w:trPr>
        <w:tc>
          <w:tcPr>
            <w:tcW w:w="1933" w:type="pct"/>
            <w:vMerge/>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rPr>
                <w:rFonts w:hint="eastAsia"/>
                <w:color w:val="000000"/>
                <w:szCs w:val="21"/>
              </w:rPr>
            </w:pP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女</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男</w:t>
            </w:r>
          </w:p>
        </w:tc>
        <w:tc>
          <w:tcPr>
            <w:tcW w:w="580"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女</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男</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女</w:t>
            </w:r>
          </w:p>
        </w:tc>
        <w:tc>
          <w:tcPr>
            <w:tcW w:w="55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男</w:t>
            </w:r>
          </w:p>
        </w:tc>
      </w:tr>
      <w:tr w:rsidR="00000000">
        <w:tblPrEx>
          <w:tblCellMar>
            <w:top w:w="0" w:type="dxa"/>
            <w:bottom w:w="0" w:type="dxa"/>
          </w:tblCellMar>
        </w:tblPrEx>
        <w:trPr>
          <w:cantSplit/>
        </w:trPr>
        <w:tc>
          <w:tcPr>
            <w:tcW w:w="193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rPr>
                <w:rFonts w:hint="eastAsia"/>
                <w:color w:val="000000"/>
                <w:szCs w:val="21"/>
              </w:rPr>
            </w:pPr>
            <w:r>
              <w:rPr>
                <w:rFonts w:hint="eastAsia"/>
                <w:color w:val="000000"/>
                <w:szCs w:val="21"/>
              </w:rPr>
              <w:t>总就业人口（单位：</w:t>
            </w:r>
            <w:r>
              <w:rPr>
                <w:rFonts w:hint="eastAsia"/>
                <w:color w:val="000000"/>
                <w:szCs w:val="21"/>
              </w:rPr>
              <w:t>1 000</w:t>
            </w:r>
            <w:r>
              <w:rPr>
                <w:rFonts w:hint="eastAsia"/>
                <w:color w:val="000000"/>
                <w:szCs w:val="21"/>
              </w:rPr>
              <w:t>）</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10 608</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17 653</w:t>
            </w:r>
          </w:p>
        </w:tc>
        <w:tc>
          <w:tcPr>
            <w:tcW w:w="580"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10 516</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17 258</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11 812</w:t>
            </w:r>
          </w:p>
        </w:tc>
        <w:tc>
          <w:tcPr>
            <w:tcW w:w="55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18 439</w:t>
            </w:r>
          </w:p>
        </w:tc>
      </w:tr>
      <w:tr w:rsidR="00000000">
        <w:tblPrEx>
          <w:tblCellMar>
            <w:top w:w="0" w:type="dxa"/>
            <w:bottom w:w="0" w:type="dxa"/>
          </w:tblCellMar>
        </w:tblPrEx>
        <w:trPr>
          <w:cantSplit/>
        </w:trPr>
        <w:tc>
          <w:tcPr>
            <w:tcW w:w="193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rPr>
                <w:rFonts w:hint="eastAsia"/>
                <w:color w:val="000000"/>
                <w:szCs w:val="21"/>
              </w:rPr>
            </w:pPr>
            <w:r>
              <w:rPr>
                <w:rFonts w:hint="eastAsia"/>
                <w:color w:val="000000"/>
                <w:szCs w:val="21"/>
              </w:rPr>
              <w:t>非全时劳动者的百分比</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34.0</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30.8</w:t>
            </w:r>
          </w:p>
        </w:tc>
        <w:tc>
          <w:tcPr>
            <w:tcW w:w="580"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33.6</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31.8</w:t>
            </w:r>
          </w:p>
        </w:tc>
        <w:tc>
          <w:tcPr>
            <w:tcW w:w="48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37.9</w:t>
            </w:r>
          </w:p>
        </w:tc>
        <w:tc>
          <w:tcPr>
            <w:tcW w:w="553" w:type="pct"/>
            <w:tcBorders>
              <w:top w:val="single" w:sz="4" w:space="0" w:color="auto"/>
              <w:left w:val="single" w:sz="4" w:space="0" w:color="auto"/>
              <w:bottom w:val="single" w:sz="4" w:space="0" w:color="auto"/>
              <w:right w:val="single" w:sz="4" w:space="0" w:color="auto"/>
            </w:tcBorders>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36.9</w:t>
            </w:r>
          </w:p>
        </w:tc>
      </w:tr>
    </w:tbl>
    <w:p w:rsidR="00000000" w:rsidRDefault="00821B8F">
      <w:pPr>
        <w:spacing w:before="120" w:after="120" w:line="360" w:lineRule="exact"/>
        <w:rPr>
          <w:rFonts w:hint="eastAsia"/>
          <w:color w:val="000000"/>
          <w:szCs w:val="21"/>
        </w:rPr>
      </w:pPr>
      <w:r>
        <w:rPr>
          <w:rFonts w:hint="eastAsia"/>
          <w:color w:val="000000"/>
          <w:szCs w:val="18"/>
        </w:rPr>
        <w:t>资料来源：国家统计局劳动力调查，各年的数据。</w:t>
      </w:r>
    </w:p>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after="120" w:line="360" w:lineRule="exact"/>
        <w:rPr>
          <w:bCs/>
          <w:color w:val="000000"/>
          <w:szCs w:val="21"/>
        </w:rPr>
      </w:pPr>
    </w:p>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after="120" w:line="360" w:lineRule="exact"/>
        <w:rPr>
          <w:rFonts w:hint="eastAsia"/>
          <w:color w:val="000000"/>
          <w:szCs w:val="21"/>
        </w:rPr>
      </w:pPr>
      <w:r>
        <w:rPr>
          <w:rFonts w:hint="eastAsia"/>
          <w:bCs/>
          <w:color w:val="000000"/>
          <w:szCs w:val="21"/>
        </w:rPr>
        <w:t>附表</w:t>
      </w:r>
      <w:r>
        <w:rPr>
          <w:rFonts w:hint="eastAsia"/>
          <w:bCs/>
          <w:color w:val="000000"/>
          <w:szCs w:val="21"/>
        </w:rPr>
        <w:t xml:space="preserve"> B11.8</w:t>
      </w:r>
      <w:r>
        <w:rPr>
          <w:rFonts w:hint="eastAsia"/>
          <w:bCs/>
          <w:color w:val="000000"/>
          <w:szCs w:val="21"/>
        </w:rPr>
        <w:t>：按性别分列的非正规部门劳动力或完全</w:t>
      </w:r>
      <w:r>
        <w:rPr>
          <w:rFonts w:hint="eastAsia"/>
          <w:bCs/>
          <w:color w:val="000000"/>
          <w:szCs w:val="21"/>
        </w:rPr>
        <w:t>自营职业者和无报酬家庭工人数目（单位：</w:t>
      </w:r>
      <w:r>
        <w:rPr>
          <w:rFonts w:hint="eastAsia"/>
          <w:bCs/>
          <w:color w:val="000000"/>
          <w:szCs w:val="21"/>
        </w:rPr>
        <w:t>1 000</w:t>
      </w:r>
      <w:r>
        <w:rPr>
          <w:rFonts w:hint="eastAsia"/>
          <w:bCs/>
          <w:color w:val="000000"/>
          <w:szCs w:val="2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9"/>
        <w:gridCol w:w="1021"/>
        <w:gridCol w:w="1021"/>
        <w:gridCol w:w="1021"/>
        <w:gridCol w:w="1021"/>
        <w:gridCol w:w="1673"/>
      </w:tblGrid>
      <w:tr w:rsidR="00000000">
        <w:tblPrEx>
          <w:tblCellMar>
            <w:top w:w="0" w:type="dxa"/>
            <w:bottom w:w="0" w:type="dxa"/>
          </w:tblCellMar>
        </w:tblPrEx>
        <w:tc>
          <w:tcPr>
            <w:tcW w:w="2140"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劳动者性别</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1996</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1998</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2000</w:t>
            </w:r>
          </w:p>
        </w:tc>
        <w:tc>
          <w:tcPr>
            <w:tcW w:w="507" w:type="pct"/>
          </w:tcPr>
          <w:p w:rsidR="00000000" w:rsidRDefault="00821B8F">
            <w:pPr>
              <w:tabs>
                <w:tab w:val="left" w:pos="432"/>
                <w:tab w:val="left" w:pos="976"/>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ind w:right="29"/>
              <w:jc w:val="center"/>
              <w:rPr>
                <w:rFonts w:hint="eastAsia"/>
                <w:color w:val="000000"/>
                <w:szCs w:val="21"/>
              </w:rPr>
            </w:pPr>
            <w:r>
              <w:rPr>
                <w:rFonts w:hint="eastAsia"/>
                <w:color w:val="000000"/>
                <w:szCs w:val="21"/>
              </w:rPr>
              <w:t>2002</w:t>
            </w:r>
          </w:p>
        </w:tc>
        <w:tc>
          <w:tcPr>
            <w:tcW w:w="831"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1996-2002</w:t>
            </w:r>
            <w:r>
              <w:rPr>
                <w:rFonts w:hint="eastAsia"/>
                <w:color w:val="000000"/>
                <w:szCs w:val="21"/>
              </w:rPr>
              <w:t>年平均增长率</w:t>
            </w:r>
            <w:r>
              <w:rPr>
                <w:rFonts w:hint="eastAsia"/>
                <w:color w:val="000000"/>
                <w:szCs w:val="21"/>
              </w:rPr>
              <w:t xml:space="preserve"> (%)</w:t>
            </w:r>
          </w:p>
        </w:tc>
      </w:tr>
      <w:tr w:rsidR="00000000">
        <w:tblPrEx>
          <w:tblCellMar>
            <w:top w:w="0" w:type="dxa"/>
            <w:bottom w:w="0" w:type="dxa"/>
          </w:tblCellMar>
        </w:tblPrEx>
        <w:tc>
          <w:tcPr>
            <w:tcW w:w="2140"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rPr>
                <w:rFonts w:hint="eastAsia"/>
                <w:color w:val="000000"/>
                <w:szCs w:val="21"/>
              </w:rPr>
            </w:pPr>
            <w:r>
              <w:rPr>
                <w:rFonts w:hint="eastAsia"/>
                <w:color w:val="000000"/>
                <w:szCs w:val="21"/>
              </w:rPr>
              <w:t>女</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5 442</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5 487</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5 314</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6 212</w:t>
            </w:r>
          </w:p>
        </w:tc>
        <w:tc>
          <w:tcPr>
            <w:tcW w:w="831"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2.4</w:t>
            </w:r>
          </w:p>
        </w:tc>
      </w:tr>
      <w:tr w:rsidR="00000000">
        <w:tblPrEx>
          <w:tblCellMar>
            <w:top w:w="0" w:type="dxa"/>
            <w:bottom w:w="0" w:type="dxa"/>
          </w:tblCellMar>
        </w:tblPrEx>
        <w:tc>
          <w:tcPr>
            <w:tcW w:w="2140"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rPr>
                <w:rFonts w:hint="eastAsia"/>
                <w:color w:val="000000"/>
                <w:szCs w:val="21"/>
              </w:rPr>
            </w:pPr>
            <w:r>
              <w:rPr>
                <w:rFonts w:hint="eastAsia"/>
                <w:color w:val="000000"/>
                <w:szCs w:val="21"/>
              </w:rPr>
              <w:t>男</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8 903</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8 915</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8 634</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9 419</w:t>
            </w:r>
          </w:p>
        </w:tc>
        <w:tc>
          <w:tcPr>
            <w:tcW w:w="831"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1.0</w:t>
            </w:r>
          </w:p>
        </w:tc>
      </w:tr>
      <w:tr w:rsidR="00000000">
        <w:tblPrEx>
          <w:tblCellMar>
            <w:top w:w="0" w:type="dxa"/>
            <w:bottom w:w="0" w:type="dxa"/>
          </w:tblCellMar>
        </w:tblPrEx>
        <w:tc>
          <w:tcPr>
            <w:tcW w:w="2140"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rPr>
                <w:rFonts w:hint="eastAsia"/>
                <w:color w:val="000000"/>
                <w:szCs w:val="21"/>
              </w:rPr>
            </w:pPr>
            <w:r>
              <w:rPr>
                <w:rFonts w:hint="eastAsia"/>
                <w:color w:val="000000"/>
                <w:szCs w:val="21"/>
              </w:rPr>
              <w:t>完全自营职业者和无报酬家庭工人的总人数</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14 345</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14 402</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13 948</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 xml:space="preserve"> 15 631</w:t>
            </w:r>
          </w:p>
        </w:tc>
        <w:tc>
          <w:tcPr>
            <w:tcW w:w="831"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1.5</w:t>
            </w:r>
          </w:p>
        </w:tc>
      </w:tr>
      <w:tr w:rsidR="00000000">
        <w:tblPrEx>
          <w:tblCellMar>
            <w:top w:w="0" w:type="dxa"/>
            <w:bottom w:w="0" w:type="dxa"/>
          </w:tblCellMar>
        </w:tblPrEx>
        <w:tc>
          <w:tcPr>
            <w:tcW w:w="2140"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rPr>
                <w:rFonts w:hint="eastAsia"/>
                <w:color w:val="000000"/>
                <w:szCs w:val="21"/>
              </w:rPr>
            </w:pPr>
            <w:r>
              <w:rPr>
                <w:rFonts w:hint="eastAsia"/>
                <w:color w:val="000000"/>
                <w:szCs w:val="21"/>
              </w:rPr>
              <w:t>占就业总人口的百分比</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52.3</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51.0</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50.2</w:t>
            </w:r>
          </w:p>
        </w:tc>
        <w:tc>
          <w:tcPr>
            <w:tcW w:w="507"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51.7</w:t>
            </w:r>
          </w:p>
        </w:tc>
        <w:tc>
          <w:tcPr>
            <w:tcW w:w="831" w:type="pct"/>
          </w:tcPr>
          <w:p w:rsidR="00000000" w:rsidRDefault="00821B8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360" w:lineRule="exact"/>
              <w:jc w:val="center"/>
              <w:rPr>
                <w:rFonts w:hint="eastAsia"/>
                <w:color w:val="000000"/>
                <w:szCs w:val="21"/>
              </w:rPr>
            </w:pPr>
            <w:r>
              <w:rPr>
                <w:rFonts w:hint="eastAsia"/>
                <w:color w:val="000000"/>
                <w:szCs w:val="21"/>
              </w:rPr>
              <w:t>-</w:t>
            </w:r>
          </w:p>
        </w:tc>
      </w:tr>
    </w:tbl>
    <w:p w:rsidR="00000000" w:rsidRDefault="00821B8F">
      <w:pPr>
        <w:spacing w:before="120" w:after="120" w:line="360" w:lineRule="exact"/>
        <w:rPr>
          <w:rFonts w:hint="eastAsia"/>
          <w:color w:val="000000"/>
          <w:szCs w:val="21"/>
        </w:rPr>
      </w:pPr>
      <w:r>
        <w:rPr>
          <w:rFonts w:hint="eastAsia"/>
          <w:color w:val="000000"/>
          <w:szCs w:val="18"/>
        </w:rPr>
        <w:t>资料来源：国家统计局劳动力调</w:t>
      </w:r>
      <w:r>
        <w:rPr>
          <w:rFonts w:hint="eastAsia"/>
          <w:color w:val="000000"/>
          <w:szCs w:val="18"/>
        </w:rPr>
        <w:t>查，各年的数据。</w:t>
      </w:r>
    </w:p>
    <w:p w:rsidR="00000000" w:rsidRDefault="00821B8F">
      <w:pPr>
        <w:pStyle w:val="TOC1"/>
        <w:spacing w:before="120"/>
        <w:rPr>
          <w:rFonts w:ascii="SimHei" w:hint="eastAsia"/>
        </w:rPr>
      </w:pPr>
      <w:r>
        <w:rPr>
          <w:rFonts w:ascii="SimHei"/>
        </w:rPr>
        <w:br w:type="page"/>
      </w:r>
      <w:r>
        <w:rPr>
          <w:rFonts w:ascii="SimHei" w:hint="eastAsia"/>
        </w:rPr>
        <w:t>第十三条提及的附表</w:t>
      </w:r>
    </w:p>
    <w:p w:rsidR="00000000" w:rsidRDefault="00821B8F" w:rsidP="00821B8F">
      <w:pPr>
        <w:pStyle w:val="BodyText"/>
        <w:spacing w:after="120" w:line="360" w:lineRule="exact"/>
        <w:ind w:rightChars="-321" w:right="31680"/>
        <w:rPr>
          <w:rFonts w:ascii="Times New Roman" w:hint="eastAsia"/>
          <w:bCs/>
          <w:color w:val="000000"/>
          <w:sz w:val="21"/>
          <w:szCs w:val="21"/>
        </w:rPr>
      </w:pPr>
      <w:r>
        <w:rPr>
          <w:rFonts w:ascii="Times New Roman" w:hint="eastAsia"/>
          <w:bCs/>
          <w:color w:val="000000"/>
          <w:sz w:val="21"/>
          <w:szCs w:val="21"/>
        </w:rPr>
        <w:t>附表</w:t>
      </w:r>
      <w:r>
        <w:rPr>
          <w:rFonts w:ascii="Times New Roman" w:hint="eastAsia"/>
          <w:bCs/>
          <w:color w:val="000000"/>
          <w:sz w:val="21"/>
          <w:szCs w:val="21"/>
        </w:rPr>
        <w:t xml:space="preserve"> B13.1</w:t>
      </w:r>
      <w:r>
        <w:rPr>
          <w:rFonts w:ascii="Times New Roman" w:hint="eastAsia"/>
          <w:bCs/>
          <w:color w:val="000000"/>
          <w:sz w:val="21"/>
          <w:szCs w:val="21"/>
        </w:rPr>
        <w:t>：菲律宾开发银行和菲律宾土地银行发放给妇女贷款的部分信息，</w:t>
      </w:r>
      <w:r>
        <w:rPr>
          <w:rFonts w:ascii="Times New Roman" w:hint="eastAsia"/>
          <w:bCs/>
          <w:color w:val="000000"/>
          <w:sz w:val="21"/>
          <w:szCs w:val="21"/>
        </w:rPr>
        <w:t>1998-2001</w:t>
      </w:r>
      <w:r>
        <w:rPr>
          <w:rFonts w:ascii="Times New Roman" w:hint="eastAsia"/>
          <w:bCs/>
          <w:color w:val="000000"/>
          <w:sz w:val="21"/>
          <w:szCs w:val="21"/>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5"/>
        <w:gridCol w:w="2130"/>
        <w:gridCol w:w="2420"/>
        <w:gridCol w:w="1838"/>
        <w:gridCol w:w="2323"/>
      </w:tblGrid>
      <w:tr w:rsidR="00000000">
        <w:tblPrEx>
          <w:tblCellMar>
            <w:top w:w="0" w:type="dxa"/>
            <w:bottom w:w="0" w:type="dxa"/>
          </w:tblCellMar>
        </w:tblPrEx>
        <w:trPr>
          <w:cantSplit/>
        </w:trPr>
        <w:tc>
          <w:tcPr>
            <w:tcW w:w="673" w:type="pct"/>
            <w:vMerge w:val="restar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p>
          <w:p w:rsidR="00000000" w:rsidRDefault="00821B8F">
            <w:pPr>
              <w:spacing w:line="360" w:lineRule="exact"/>
              <w:jc w:val="center"/>
              <w:rPr>
                <w:rFonts w:hint="eastAsia"/>
                <w:color w:val="000000"/>
                <w:szCs w:val="21"/>
              </w:rPr>
            </w:pPr>
            <w:r>
              <w:rPr>
                <w:rFonts w:hint="eastAsia"/>
                <w:color w:val="000000"/>
                <w:szCs w:val="21"/>
              </w:rPr>
              <w:t>年份</w:t>
            </w:r>
          </w:p>
        </w:tc>
        <w:tc>
          <w:tcPr>
            <w:tcW w:w="2260" w:type="pct"/>
            <w:gridSpan w:val="2"/>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菲律宾开发银行</w:t>
            </w:r>
          </w:p>
        </w:tc>
        <w:tc>
          <w:tcPr>
            <w:tcW w:w="2067" w:type="pct"/>
            <w:gridSpan w:val="2"/>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菲律宾土地银行</w:t>
            </w:r>
          </w:p>
        </w:tc>
      </w:tr>
      <w:tr w:rsidR="00000000">
        <w:tblPrEx>
          <w:tblCellMar>
            <w:top w:w="0" w:type="dxa"/>
            <w:bottom w:w="0" w:type="dxa"/>
          </w:tblCellMar>
        </w:tblPrEx>
        <w:trPr>
          <w:cantSplit/>
        </w:trPr>
        <w:tc>
          <w:tcPr>
            <w:tcW w:w="673" w:type="pct"/>
            <w:vMerge/>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hint="eastAsia"/>
                <w:b/>
                <w:color w:val="000000"/>
                <w:szCs w:val="21"/>
              </w:rPr>
            </w:pPr>
          </w:p>
        </w:tc>
        <w:tc>
          <w:tcPr>
            <w:tcW w:w="1058"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妇女受益者人数</w:t>
            </w:r>
          </w:p>
        </w:tc>
        <w:tc>
          <w:tcPr>
            <w:tcW w:w="1202"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color w:val="000000"/>
                <w:szCs w:val="21"/>
              </w:rPr>
            </w:pPr>
            <w:r>
              <w:rPr>
                <w:rFonts w:hint="eastAsia"/>
                <w:color w:val="000000"/>
                <w:szCs w:val="21"/>
              </w:rPr>
              <w:t>贷款总额</w:t>
            </w:r>
          </w:p>
          <w:p w:rsidR="00000000" w:rsidRDefault="00821B8F">
            <w:pPr>
              <w:spacing w:line="360" w:lineRule="exact"/>
              <w:jc w:val="center"/>
              <w:rPr>
                <w:rFonts w:hint="eastAsia"/>
                <w:color w:val="000000"/>
                <w:szCs w:val="21"/>
              </w:rPr>
            </w:pPr>
            <w:r>
              <w:rPr>
                <w:rFonts w:hint="eastAsia"/>
                <w:color w:val="000000"/>
                <w:szCs w:val="21"/>
              </w:rPr>
              <w:t>（百万菲律宾比索）</w:t>
            </w:r>
          </w:p>
        </w:tc>
        <w:tc>
          <w:tcPr>
            <w:tcW w:w="91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妇女受益者人数</w:t>
            </w:r>
          </w:p>
        </w:tc>
        <w:tc>
          <w:tcPr>
            <w:tcW w:w="1154"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color w:val="000000"/>
                <w:szCs w:val="21"/>
              </w:rPr>
            </w:pPr>
            <w:r>
              <w:rPr>
                <w:rFonts w:hint="eastAsia"/>
                <w:color w:val="000000"/>
                <w:szCs w:val="21"/>
              </w:rPr>
              <w:t>贷款总额</w:t>
            </w:r>
          </w:p>
          <w:p w:rsidR="00000000" w:rsidRDefault="00821B8F">
            <w:pPr>
              <w:spacing w:line="360" w:lineRule="exact"/>
              <w:jc w:val="center"/>
              <w:rPr>
                <w:rFonts w:hint="eastAsia"/>
                <w:color w:val="000000"/>
                <w:szCs w:val="21"/>
              </w:rPr>
            </w:pPr>
            <w:r>
              <w:rPr>
                <w:rFonts w:hint="eastAsia"/>
                <w:color w:val="000000"/>
                <w:szCs w:val="21"/>
              </w:rPr>
              <w:t>（百万菲律宾比索）</w:t>
            </w:r>
          </w:p>
        </w:tc>
      </w:tr>
      <w:tr w:rsidR="00000000">
        <w:tblPrEx>
          <w:tblCellMar>
            <w:top w:w="0" w:type="dxa"/>
            <w:bottom w:w="0" w:type="dxa"/>
          </w:tblCellMar>
        </w:tblPrEx>
        <w:trPr>
          <w:cantSplit/>
        </w:trPr>
        <w:tc>
          <w:tcPr>
            <w:tcW w:w="67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1998</w:t>
            </w:r>
          </w:p>
          <w:p w:rsidR="00000000" w:rsidRDefault="00821B8F">
            <w:pPr>
              <w:spacing w:line="360" w:lineRule="exact"/>
              <w:jc w:val="center"/>
              <w:rPr>
                <w:rFonts w:hint="eastAsia"/>
                <w:color w:val="000000"/>
                <w:szCs w:val="21"/>
              </w:rPr>
            </w:pPr>
            <w:r>
              <w:rPr>
                <w:rFonts w:hint="eastAsia"/>
                <w:color w:val="000000"/>
                <w:szCs w:val="21"/>
              </w:rPr>
              <w:t>1999</w:t>
            </w:r>
          </w:p>
          <w:p w:rsidR="00000000" w:rsidRDefault="00821B8F">
            <w:pPr>
              <w:spacing w:line="360" w:lineRule="exact"/>
              <w:jc w:val="center"/>
              <w:rPr>
                <w:rFonts w:hint="eastAsia"/>
                <w:color w:val="000000"/>
                <w:szCs w:val="21"/>
              </w:rPr>
            </w:pPr>
            <w:r>
              <w:rPr>
                <w:rFonts w:hint="eastAsia"/>
                <w:color w:val="000000"/>
                <w:szCs w:val="21"/>
              </w:rPr>
              <w:t>2000</w:t>
            </w:r>
          </w:p>
          <w:p w:rsidR="00000000" w:rsidRDefault="00821B8F">
            <w:pPr>
              <w:spacing w:line="360" w:lineRule="exact"/>
              <w:jc w:val="center"/>
              <w:rPr>
                <w:rFonts w:hint="eastAsia"/>
                <w:color w:val="000000"/>
                <w:szCs w:val="21"/>
              </w:rPr>
            </w:pPr>
            <w:r>
              <w:rPr>
                <w:rFonts w:hint="eastAsia"/>
                <w:color w:val="000000"/>
                <w:szCs w:val="21"/>
              </w:rPr>
              <w:t>2001</w:t>
            </w:r>
          </w:p>
        </w:tc>
        <w:tc>
          <w:tcPr>
            <w:tcW w:w="1058"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 xml:space="preserve">  121</w:t>
            </w:r>
          </w:p>
          <w:p w:rsidR="00000000" w:rsidRDefault="00821B8F">
            <w:pPr>
              <w:spacing w:line="360" w:lineRule="exact"/>
              <w:jc w:val="center"/>
              <w:rPr>
                <w:rFonts w:hint="eastAsia"/>
                <w:color w:val="000000"/>
                <w:szCs w:val="21"/>
              </w:rPr>
            </w:pPr>
            <w:r>
              <w:rPr>
                <w:rFonts w:hint="eastAsia"/>
                <w:color w:val="000000"/>
                <w:szCs w:val="21"/>
              </w:rPr>
              <w:t xml:space="preserve">  445</w:t>
            </w:r>
          </w:p>
          <w:p w:rsidR="00000000" w:rsidRDefault="00821B8F">
            <w:pPr>
              <w:spacing w:line="360" w:lineRule="exact"/>
              <w:jc w:val="center"/>
              <w:rPr>
                <w:rFonts w:hint="eastAsia"/>
                <w:color w:val="000000"/>
                <w:szCs w:val="21"/>
              </w:rPr>
            </w:pPr>
            <w:r>
              <w:rPr>
                <w:rFonts w:hint="eastAsia"/>
                <w:color w:val="000000"/>
                <w:szCs w:val="21"/>
              </w:rPr>
              <w:t>5 070</w:t>
            </w:r>
          </w:p>
          <w:p w:rsidR="00000000" w:rsidRDefault="00821B8F">
            <w:pPr>
              <w:spacing w:line="360" w:lineRule="exact"/>
              <w:jc w:val="center"/>
              <w:rPr>
                <w:rFonts w:hint="eastAsia"/>
                <w:color w:val="000000"/>
                <w:szCs w:val="21"/>
              </w:rPr>
            </w:pPr>
            <w:r>
              <w:rPr>
                <w:rFonts w:hint="eastAsia"/>
                <w:color w:val="000000"/>
                <w:szCs w:val="21"/>
              </w:rPr>
              <w:t>9 692</w:t>
            </w:r>
          </w:p>
        </w:tc>
        <w:tc>
          <w:tcPr>
            <w:tcW w:w="1202"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 xml:space="preserve">  30.365</w:t>
            </w:r>
          </w:p>
          <w:p w:rsidR="00000000" w:rsidRDefault="00821B8F">
            <w:pPr>
              <w:spacing w:line="360" w:lineRule="exact"/>
              <w:jc w:val="center"/>
              <w:rPr>
                <w:rFonts w:hint="eastAsia"/>
                <w:color w:val="000000"/>
                <w:szCs w:val="21"/>
              </w:rPr>
            </w:pPr>
            <w:r>
              <w:rPr>
                <w:rFonts w:hint="eastAsia"/>
                <w:color w:val="000000"/>
                <w:szCs w:val="21"/>
              </w:rPr>
              <w:t xml:space="preserve">  57.359</w:t>
            </w:r>
          </w:p>
          <w:p w:rsidR="00000000" w:rsidRDefault="00821B8F">
            <w:pPr>
              <w:spacing w:line="360" w:lineRule="exact"/>
              <w:jc w:val="center"/>
              <w:rPr>
                <w:rFonts w:hint="eastAsia"/>
                <w:color w:val="000000"/>
                <w:szCs w:val="21"/>
              </w:rPr>
            </w:pPr>
            <w:r>
              <w:rPr>
                <w:rFonts w:hint="eastAsia"/>
                <w:color w:val="000000"/>
                <w:szCs w:val="21"/>
              </w:rPr>
              <w:t xml:space="preserve">  79.288</w:t>
            </w:r>
          </w:p>
          <w:p w:rsidR="00000000" w:rsidRDefault="00821B8F">
            <w:pPr>
              <w:spacing w:line="360" w:lineRule="exact"/>
              <w:jc w:val="center"/>
              <w:rPr>
                <w:rFonts w:hint="eastAsia"/>
                <w:color w:val="000000"/>
                <w:szCs w:val="21"/>
              </w:rPr>
            </w:pPr>
            <w:r>
              <w:rPr>
                <w:rFonts w:hint="eastAsia"/>
                <w:color w:val="000000"/>
                <w:szCs w:val="21"/>
              </w:rPr>
              <w:t xml:space="preserve"> 136.849</w:t>
            </w:r>
          </w:p>
        </w:tc>
        <w:tc>
          <w:tcPr>
            <w:tcW w:w="913"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3 885</w:t>
            </w:r>
          </w:p>
          <w:p w:rsidR="00000000" w:rsidRDefault="00821B8F">
            <w:pPr>
              <w:spacing w:line="360" w:lineRule="exact"/>
              <w:jc w:val="center"/>
              <w:rPr>
                <w:rFonts w:hint="eastAsia"/>
                <w:color w:val="000000"/>
                <w:szCs w:val="21"/>
              </w:rPr>
            </w:pPr>
            <w:r>
              <w:rPr>
                <w:rFonts w:hint="eastAsia"/>
                <w:color w:val="000000"/>
                <w:szCs w:val="21"/>
              </w:rPr>
              <w:t>3 526</w:t>
            </w:r>
          </w:p>
          <w:p w:rsidR="00000000" w:rsidRDefault="00821B8F">
            <w:pPr>
              <w:spacing w:line="360" w:lineRule="exact"/>
              <w:jc w:val="center"/>
              <w:rPr>
                <w:rFonts w:hint="eastAsia"/>
                <w:color w:val="000000"/>
                <w:szCs w:val="21"/>
              </w:rPr>
            </w:pPr>
            <w:r>
              <w:rPr>
                <w:rFonts w:hint="eastAsia"/>
                <w:color w:val="000000"/>
                <w:szCs w:val="21"/>
              </w:rPr>
              <w:t>3 455</w:t>
            </w:r>
          </w:p>
          <w:p w:rsidR="00000000" w:rsidRDefault="00821B8F">
            <w:pPr>
              <w:spacing w:line="360" w:lineRule="exact"/>
              <w:jc w:val="center"/>
              <w:rPr>
                <w:rFonts w:hint="eastAsia"/>
                <w:color w:val="000000"/>
                <w:szCs w:val="21"/>
              </w:rPr>
            </w:pPr>
            <w:r>
              <w:rPr>
                <w:rFonts w:hint="eastAsia"/>
                <w:color w:val="000000"/>
                <w:szCs w:val="21"/>
              </w:rPr>
              <w:t>3 726</w:t>
            </w:r>
          </w:p>
        </w:tc>
        <w:tc>
          <w:tcPr>
            <w:tcW w:w="1154"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3.704</w:t>
            </w:r>
          </w:p>
          <w:p w:rsidR="00000000" w:rsidRDefault="00821B8F">
            <w:pPr>
              <w:spacing w:line="360" w:lineRule="exact"/>
              <w:jc w:val="center"/>
              <w:rPr>
                <w:rFonts w:hint="eastAsia"/>
                <w:color w:val="000000"/>
                <w:szCs w:val="21"/>
              </w:rPr>
            </w:pPr>
            <w:r>
              <w:rPr>
                <w:rFonts w:hint="eastAsia"/>
                <w:color w:val="000000"/>
                <w:szCs w:val="21"/>
              </w:rPr>
              <w:t>3.874</w:t>
            </w:r>
          </w:p>
          <w:p w:rsidR="00000000" w:rsidRDefault="00821B8F">
            <w:pPr>
              <w:spacing w:line="360" w:lineRule="exact"/>
              <w:jc w:val="center"/>
              <w:rPr>
                <w:rFonts w:hint="eastAsia"/>
                <w:color w:val="000000"/>
                <w:szCs w:val="21"/>
              </w:rPr>
            </w:pPr>
            <w:r>
              <w:rPr>
                <w:rFonts w:hint="eastAsia"/>
                <w:color w:val="000000"/>
                <w:szCs w:val="21"/>
              </w:rPr>
              <w:t>6.4</w:t>
            </w:r>
            <w:r>
              <w:rPr>
                <w:rFonts w:hint="eastAsia"/>
                <w:color w:val="000000"/>
                <w:szCs w:val="21"/>
              </w:rPr>
              <w:t>29</w:t>
            </w:r>
          </w:p>
          <w:p w:rsidR="00000000" w:rsidRDefault="00821B8F">
            <w:pPr>
              <w:spacing w:line="360" w:lineRule="exact"/>
              <w:jc w:val="center"/>
              <w:rPr>
                <w:rFonts w:hint="eastAsia"/>
                <w:color w:val="000000"/>
                <w:szCs w:val="21"/>
              </w:rPr>
            </w:pPr>
            <w:r>
              <w:rPr>
                <w:rFonts w:hint="eastAsia"/>
                <w:color w:val="000000"/>
                <w:szCs w:val="21"/>
              </w:rPr>
              <w:t>5.043</w:t>
            </w:r>
          </w:p>
        </w:tc>
      </w:tr>
    </w:tbl>
    <w:p w:rsidR="00000000" w:rsidRDefault="00821B8F">
      <w:pPr>
        <w:spacing w:before="120" w:after="120" w:line="360" w:lineRule="exact"/>
        <w:rPr>
          <w:rFonts w:hint="eastAsia"/>
          <w:color w:val="000000"/>
          <w:szCs w:val="21"/>
        </w:rPr>
      </w:pPr>
      <w:r>
        <w:rPr>
          <w:rFonts w:hint="eastAsia"/>
          <w:color w:val="000000"/>
          <w:szCs w:val="18"/>
        </w:rPr>
        <w:t>资料来源：贸易和工业部</w:t>
      </w:r>
      <w:r>
        <w:rPr>
          <w:rFonts w:hint="eastAsia"/>
          <w:color w:val="000000"/>
          <w:szCs w:val="21"/>
        </w:rPr>
        <w:t>。</w:t>
      </w:r>
    </w:p>
    <w:p w:rsidR="00000000" w:rsidRDefault="00821B8F">
      <w:pPr>
        <w:spacing w:before="120" w:after="120" w:line="360" w:lineRule="exact"/>
        <w:rPr>
          <w:rFonts w:hint="eastAsia"/>
          <w:color w:val="000000"/>
          <w:szCs w:val="21"/>
        </w:rPr>
      </w:pPr>
    </w:p>
    <w:p w:rsidR="00000000" w:rsidRDefault="00821B8F">
      <w:pPr>
        <w:spacing w:after="120" w:line="360" w:lineRule="exact"/>
        <w:rPr>
          <w:rFonts w:hint="eastAsia"/>
          <w:bCs/>
          <w:color w:val="000000"/>
          <w:szCs w:val="21"/>
        </w:rPr>
      </w:pPr>
      <w:r>
        <w:rPr>
          <w:rFonts w:hint="eastAsia"/>
          <w:bCs/>
          <w:color w:val="000000"/>
          <w:szCs w:val="21"/>
        </w:rPr>
        <w:t>附表</w:t>
      </w:r>
      <w:r>
        <w:rPr>
          <w:rFonts w:hint="eastAsia"/>
          <w:bCs/>
          <w:color w:val="000000"/>
          <w:szCs w:val="21"/>
        </w:rPr>
        <w:t xml:space="preserve"> B13.2</w:t>
      </w:r>
      <w:r>
        <w:rPr>
          <w:rFonts w:hint="eastAsia"/>
          <w:bCs/>
          <w:color w:val="000000"/>
          <w:szCs w:val="21"/>
        </w:rPr>
        <w:t>：贸易和工业部培训方案的受益人数，</w:t>
      </w:r>
      <w:r>
        <w:rPr>
          <w:rFonts w:hint="eastAsia"/>
          <w:bCs/>
          <w:color w:val="000000"/>
          <w:szCs w:val="21"/>
        </w:rPr>
        <w:t>2001</w:t>
      </w:r>
      <w:r>
        <w:rPr>
          <w:rFonts w:hint="eastAsia"/>
          <w:bCs/>
          <w:color w:val="000000"/>
          <w:szCs w:val="21"/>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0"/>
        <w:gridCol w:w="1548"/>
        <w:gridCol w:w="1548"/>
        <w:gridCol w:w="1550"/>
      </w:tblGrid>
      <w:tr w:rsidR="00000000">
        <w:tblPrEx>
          <w:tblCellMar>
            <w:top w:w="0" w:type="dxa"/>
            <w:bottom w:w="0" w:type="dxa"/>
          </w:tblCellMar>
        </w:tblPrEx>
        <w:trPr>
          <w:cantSplit/>
          <w:tblHeader/>
        </w:trPr>
        <w:tc>
          <w:tcPr>
            <w:tcW w:w="2692" w:type="pct"/>
            <w:vMerge w:val="restar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培训机构</w:t>
            </w:r>
            <w:r>
              <w:rPr>
                <w:rFonts w:hint="eastAsia"/>
                <w:color w:val="000000"/>
                <w:szCs w:val="21"/>
              </w:rPr>
              <w:t>/</w:t>
            </w:r>
            <w:r>
              <w:rPr>
                <w:rFonts w:hint="eastAsia"/>
                <w:color w:val="000000"/>
                <w:szCs w:val="21"/>
              </w:rPr>
              <w:t>培训课程</w:t>
            </w:r>
          </w:p>
        </w:tc>
        <w:tc>
          <w:tcPr>
            <w:tcW w:w="2308" w:type="pct"/>
            <w:gridSpan w:val="3"/>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学员人数</w:t>
            </w:r>
          </w:p>
        </w:tc>
      </w:tr>
      <w:tr w:rsidR="00000000">
        <w:tblPrEx>
          <w:tblCellMar>
            <w:top w:w="0" w:type="dxa"/>
            <w:bottom w:w="0" w:type="dxa"/>
          </w:tblCellMar>
        </w:tblPrEx>
        <w:trPr>
          <w:cantSplit/>
          <w:tblHeader/>
        </w:trPr>
        <w:tc>
          <w:tcPr>
            <w:tcW w:w="2692" w:type="pct"/>
            <w:vMerge/>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妇女</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男子</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center"/>
              <w:rPr>
                <w:rFonts w:hint="eastAsia"/>
                <w:color w:val="000000"/>
                <w:szCs w:val="21"/>
              </w:rPr>
            </w:pPr>
            <w:r>
              <w:rPr>
                <w:rFonts w:hint="eastAsia"/>
                <w:color w:val="000000"/>
                <w:szCs w:val="21"/>
              </w:rPr>
              <w:t>合计</w:t>
            </w:r>
          </w:p>
        </w:tc>
      </w:tr>
      <w:tr w:rsidR="00000000">
        <w:tblPrEx>
          <w:tblCellMar>
            <w:top w:w="0" w:type="dxa"/>
            <w:bottom w:w="0" w:type="dxa"/>
          </w:tblCellMar>
        </w:tblPrEx>
        <w:trPr>
          <w:cantSplit/>
          <w:trHeight w:val="1808"/>
        </w:trPr>
        <w:tc>
          <w:tcPr>
            <w:tcW w:w="2692"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eastAsia="KaiTi_GB2312" w:hint="eastAsia"/>
                <w:iCs/>
                <w:color w:val="0000FF"/>
                <w:szCs w:val="21"/>
              </w:rPr>
            </w:pPr>
            <w:r>
              <w:rPr>
                <w:rFonts w:eastAsia="KaiTi_GB2312" w:hint="eastAsia"/>
                <w:iCs/>
                <w:color w:val="0000FF"/>
                <w:szCs w:val="21"/>
              </w:rPr>
              <w:t>菲律宾贸易培训中心</w:t>
            </w:r>
          </w:p>
          <w:p w:rsidR="00000000" w:rsidRDefault="00821B8F">
            <w:pPr>
              <w:spacing w:line="360" w:lineRule="exact"/>
              <w:rPr>
                <w:rFonts w:hint="eastAsia"/>
                <w:color w:val="000000"/>
                <w:szCs w:val="21"/>
              </w:rPr>
            </w:pPr>
            <w:r>
              <w:rPr>
                <w:rFonts w:hint="eastAsia"/>
                <w:color w:val="000000"/>
                <w:szCs w:val="21"/>
              </w:rPr>
              <w:t>外向型企业发展</w:t>
            </w:r>
          </w:p>
          <w:p w:rsidR="00000000" w:rsidRDefault="00821B8F">
            <w:pPr>
              <w:spacing w:line="360" w:lineRule="exact"/>
              <w:rPr>
                <w:rFonts w:hint="eastAsia"/>
                <w:color w:val="000000"/>
                <w:szCs w:val="21"/>
              </w:rPr>
            </w:pPr>
            <w:r>
              <w:rPr>
                <w:rFonts w:hint="eastAsia"/>
                <w:color w:val="000000"/>
              </w:rPr>
              <w:t>质量</w:t>
            </w:r>
            <w:r>
              <w:rPr>
                <w:rFonts w:hint="eastAsia"/>
                <w:color w:val="000000"/>
              </w:rPr>
              <w:t>/</w:t>
            </w:r>
            <w:r>
              <w:rPr>
                <w:rFonts w:hint="eastAsia"/>
                <w:color w:val="000000"/>
              </w:rPr>
              <w:t>生产能力</w:t>
            </w:r>
            <w:r>
              <w:rPr>
                <w:rFonts w:hint="eastAsia"/>
                <w:color w:val="000000"/>
              </w:rPr>
              <w:t>/</w:t>
            </w:r>
            <w:r>
              <w:rPr>
                <w:rFonts w:hint="eastAsia"/>
                <w:color w:val="000000"/>
              </w:rPr>
              <w:t>环保</w:t>
            </w:r>
          </w:p>
          <w:p w:rsidR="00000000" w:rsidRDefault="00821B8F">
            <w:pPr>
              <w:spacing w:line="360" w:lineRule="exact"/>
              <w:rPr>
                <w:rFonts w:hint="eastAsia"/>
                <w:color w:val="000000"/>
              </w:rPr>
            </w:pPr>
            <w:r>
              <w:rPr>
                <w:rFonts w:hint="eastAsia"/>
                <w:color w:val="000000"/>
              </w:rPr>
              <w:t>以产品为中心的方案</w:t>
            </w:r>
          </w:p>
          <w:p w:rsidR="00000000" w:rsidRDefault="00821B8F">
            <w:pPr>
              <w:spacing w:line="360" w:lineRule="exact"/>
              <w:rPr>
                <w:rFonts w:hint="eastAsia"/>
                <w:color w:val="000000"/>
                <w:szCs w:val="21"/>
              </w:rPr>
            </w:pPr>
            <w:r>
              <w:rPr>
                <w:rFonts w:hint="eastAsia"/>
                <w:color w:val="000000"/>
                <w:szCs w:val="21"/>
              </w:rPr>
              <w:t>家具</w:t>
            </w:r>
          </w:p>
          <w:p w:rsidR="00000000" w:rsidRDefault="00821B8F">
            <w:pPr>
              <w:spacing w:line="360" w:lineRule="exact"/>
              <w:rPr>
                <w:rFonts w:hint="eastAsia"/>
                <w:color w:val="000000"/>
                <w:szCs w:val="21"/>
              </w:rPr>
            </w:pPr>
            <w:r>
              <w:rPr>
                <w:rFonts w:hint="eastAsia"/>
                <w:color w:val="000000"/>
                <w:szCs w:val="21"/>
              </w:rPr>
              <w:t>服装</w:t>
            </w:r>
          </w:p>
          <w:p w:rsidR="00000000" w:rsidRDefault="00821B8F">
            <w:pPr>
              <w:pStyle w:val="FootnoteText"/>
              <w:spacing w:line="360" w:lineRule="exact"/>
              <w:rPr>
                <w:rFonts w:hint="eastAsia"/>
                <w:color w:val="000000"/>
                <w:sz w:val="21"/>
                <w:szCs w:val="21"/>
              </w:rPr>
            </w:pPr>
            <w:r>
              <w:rPr>
                <w:rFonts w:hint="eastAsia"/>
                <w:color w:val="000000"/>
                <w:sz w:val="21"/>
                <w:szCs w:val="21"/>
              </w:rPr>
              <w:t>语言课程</w:t>
            </w:r>
          </w:p>
          <w:p w:rsidR="00000000" w:rsidRDefault="00821B8F">
            <w:pPr>
              <w:spacing w:line="360" w:lineRule="exact"/>
              <w:rPr>
                <w:rFonts w:hint="eastAsia"/>
                <w:color w:val="000000"/>
                <w:szCs w:val="21"/>
              </w:rPr>
            </w:pPr>
            <w:r>
              <w:rPr>
                <w:rFonts w:hint="eastAsia"/>
                <w:color w:val="000000"/>
                <w:szCs w:val="21"/>
              </w:rPr>
              <w:t xml:space="preserve">SMED </w:t>
            </w:r>
            <w:r>
              <w:rPr>
                <w:rFonts w:hint="eastAsia"/>
                <w:color w:val="000000"/>
                <w:szCs w:val="21"/>
              </w:rPr>
              <w:t>工作研讨班</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right"/>
              <w:rPr>
                <w:rFonts w:hint="eastAsia"/>
                <w:iCs/>
                <w:color w:val="000000"/>
                <w:szCs w:val="21"/>
              </w:rPr>
            </w:pPr>
            <w:r>
              <w:rPr>
                <w:rFonts w:hint="eastAsia"/>
                <w:iCs/>
                <w:color w:val="000000"/>
                <w:szCs w:val="21"/>
              </w:rPr>
              <w:t>3 912</w:t>
            </w:r>
          </w:p>
          <w:p w:rsidR="00000000" w:rsidRDefault="00821B8F">
            <w:pPr>
              <w:spacing w:line="360" w:lineRule="exact"/>
              <w:jc w:val="right"/>
              <w:rPr>
                <w:rFonts w:hint="eastAsia"/>
                <w:color w:val="000000"/>
                <w:szCs w:val="21"/>
              </w:rPr>
            </w:pPr>
            <w:r>
              <w:rPr>
                <w:rFonts w:hint="eastAsia"/>
                <w:color w:val="000000"/>
                <w:szCs w:val="21"/>
              </w:rPr>
              <w:t>1 276</w:t>
            </w:r>
          </w:p>
          <w:p w:rsidR="00000000" w:rsidRDefault="00821B8F">
            <w:pPr>
              <w:spacing w:line="360" w:lineRule="exact"/>
              <w:jc w:val="right"/>
              <w:rPr>
                <w:rFonts w:hint="eastAsia"/>
                <w:color w:val="000000"/>
                <w:szCs w:val="21"/>
              </w:rPr>
            </w:pPr>
            <w:r>
              <w:rPr>
                <w:rFonts w:hint="eastAsia"/>
                <w:color w:val="000000"/>
                <w:szCs w:val="21"/>
              </w:rPr>
              <w:t>772</w:t>
            </w:r>
          </w:p>
          <w:p w:rsidR="00000000" w:rsidRDefault="00821B8F">
            <w:pPr>
              <w:spacing w:line="360" w:lineRule="exact"/>
              <w:jc w:val="right"/>
              <w:rPr>
                <w:rFonts w:hint="eastAsia"/>
                <w:color w:val="000000"/>
                <w:szCs w:val="21"/>
              </w:rPr>
            </w:pPr>
            <w:r>
              <w:rPr>
                <w:rFonts w:hint="eastAsia"/>
                <w:color w:val="000000"/>
                <w:szCs w:val="21"/>
              </w:rPr>
              <w:t>539</w:t>
            </w:r>
          </w:p>
          <w:p w:rsidR="00000000" w:rsidRDefault="00821B8F">
            <w:pPr>
              <w:spacing w:line="360" w:lineRule="exact"/>
              <w:jc w:val="right"/>
              <w:rPr>
                <w:rFonts w:hint="eastAsia"/>
                <w:color w:val="000000"/>
                <w:szCs w:val="21"/>
              </w:rPr>
            </w:pPr>
            <w:r>
              <w:rPr>
                <w:rFonts w:hint="eastAsia"/>
                <w:color w:val="000000"/>
                <w:szCs w:val="21"/>
              </w:rPr>
              <w:t>20</w:t>
            </w:r>
          </w:p>
          <w:p w:rsidR="00000000" w:rsidRDefault="00821B8F">
            <w:pPr>
              <w:spacing w:line="360" w:lineRule="exact"/>
              <w:jc w:val="right"/>
              <w:rPr>
                <w:rFonts w:hint="eastAsia"/>
                <w:color w:val="000000"/>
                <w:szCs w:val="21"/>
              </w:rPr>
            </w:pPr>
            <w:r>
              <w:rPr>
                <w:rFonts w:hint="eastAsia"/>
                <w:color w:val="000000"/>
                <w:szCs w:val="21"/>
              </w:rPr>
              <w:t>200</w:t>
            </w:r>
          </w:p>
          <w:p w:rsidR="00000000" w:rsidRDefault="00821B8F">
            <w:pPr>
              <w:spacing w:line="360" w:lineRule="exact"/>
              <w:jc w:val="right"/>
              <w:rPr>
                <w:rFonts w:hint="eastAsia"/>
                <w:color w:val="000000"/>
                <w:szCs w:val="21"/>
              </w:rPr>
            </w:pPr>
            <w:r>
              <w:rPr>
                <w:rFonts w:hint="eastAsia"/>
                <w:color w:val="000000"/>
                <w:szCs w:val="21"/>
              </w:rPr>
              <w:t>40</w:t>
            </w:r>
          </w:p>
          <w:p w:rsidR="00000000" w:rsidRDefault="00821B8F">
            <w:pPr>
              <w:spacing w:line="360" w:lineRule="exact"/>
              <w:jc w:val="right"/>
              <w:rPr>
                <w:rFonts w:hint="eastAsia"/>
                <w:color w:val="000000"/>
                <w:szCs w:val="21"/>
              </w:rPr>
            </w:pPr>
            <w:r>
              <w:rPr>
                <w:rFonts w:hint="eastAsia"/>
                <w:color w:val="000000"/>
                <w:szCs w:val="21"/>
              </w:rPr>
              <w:t>1 065</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right"/>
              <w:rPr>
                <w:rFonts w:hint="eastAsia"/>
                <w:iCs/>
                <w:color w:val="000000"/>
                <w:szCs w:val="21"/>
              </w:rPr>
            </w:pPr>
            <w:r>
              <w:rPr>
                <w:rFonts w:hint="eastAsia"/>
                <w:iCs/>
                <w:color w:val="000000"/>
                <w:szCs w:val="21"/>
              </w:rPr>
              <w:t>5 695</w:t>
            </w:r>
          </w:p>
          <w:p w:rsidR="00000000" w:rsidRDefault="00821B8F">
            <w:pPr>
              <w:spacing w:line="360" w:lineRule="exact"/>
              <w:jc w:val="right"/>
              <w:rPr>
                <w:rFonts w:hint="eastAsia"/>
                <w:color w:val="000000"/>
                <w:szCs w:val="21"/>
              </w:rPr>
            </w:pPr>
            <w:r>
              <w:rPr>
                <w:rFonts w:hint="eastAsia"/>
                <w:color w:val="000000"/>
                <w:szCs w:val="21"/>
              </w:rPr>
              <w:t>1 843</w:t>
            </w:r>
          </w:p>
          <w:p w:rsidR="00000000" w:rsidRDefault="00821B8F">
            <w:pPr>
              <w:spacing w:line="360" w:lineRule="exact"/>
              <w:jc w:val="right"/>
              <w:rPr>
                <w:rFonts w:hint="eastAsia"/>
                <w:color w:val="000000"/>
                <w:szCs w:val="21"/>
              </w:rPr>
            </w:pPr>
            <w:r>
              <w:rPr>
                <w:rFonts w:hint="eastAsia"/>
                <w:color w:val="000000"/>
                <w:szCs w:val="21"/>
              </w:rPr>
              <w:t>2 390</w:t>
            </w:r>
          </w:p>
          <w:p w:rsidR="00000000" w:rsidRDefault="00821B8F">
            <w:pPr>
              <w:spacing w:line="360" w:lineRule="exact"/>
              <w:jc w:val="right"/>
              <w:rPr>
                <w:rFonts w:hint="eastAsia"/>
                <w:color w:val="000000"/>
                <w:szCs w:val="21"/>
              </w:rPr>
            </w:pPr>
            <w:r>
              <w:rPr>
                <w:rFonts w:hint="eastAsia"/>
                <w:color w:val="000000"/>
                <w:szCs w:val="21"/>
              </w:rPr>
              <w:t>552</w:t>
            </w:r>
          </w:p>
          <w:p w:rsidR="00000000" w:rsidRDefault="00821B8F">
            <w:pPr>
              <w:spacing w:line="360" w:lineRule="exact"/>
              <w:jc w:val="right"/>
              <w:rPr>
                <w:rFonts w:hint="eastAsia"/>
                <w:color w:val="000000"/>
                <w:szCs w:val="21"/>
              </w:rPr>
            </w:pPr>
            <w:r>
              <w:rPr>
                <w:rFonts w:hint="eastAsia"/>
                <w:color w:val="000000"/>
                <w:szCs w:val="21"/>
              </w:rPr>
              <w:t>83</w:t>
            </w:r>
          </w:p>
          <w:p w:rsidR="00000000" w:rsidRDefault="00821B8F">
            <w:pPr>
              <w:spacing w:line="360" w:lineRule="exact"/>
              <w:jc w:val="right"/>
              <w:rPr>
                <w:rFonts w:hint="eastAsia"/>
                <w:color w:val="000000"/>
                <w:szCs w:val="21"/>
              </w:rPr>
            </w:pPr>
            <w:r>
              <w:rPr>
                <w:rFonts w:hint="eastAsia"/>
                <w:color w:val="000000"/>
                <w:szCs w:val="21"/>
              </w:rPr>
              <w:t>180</w:t>
            </w:r>
          </w:p>
          <w:p w:rsidR="00000000" w:rsidRDefault="00821B8F">
            <w:pPr>
              <w:spacing w:line="360" w:lineRule="exact"/>
              <w:jc w:val="right"/>
              <w:rPr>
                <w:rFonts w:hint="eastAsia"/>
                <w:color w:val="000000"/>
                <w:szCs w:val="21"/>
              </w:rPr>
            </w:pPr>
            <w:r>
              <w:rPr>
                <w:rFonts w:hint="eastAsia"/>
                <w:color w:val="000000"/>
                <w:szCs w:val="21"/>
              </w:rPr>
              <w:t>15</w:t>
            </w:r>
          </w:p>
          <w:p w:rsidR="00000000" w:rsidRDefault="00821B8F">
            <w:pPr>
              <w:spacing w:line="360" w:lineRule="exact"/>
              <w:jc w:val="right"/>
              <w:rPr>
                <w:rFonts w:hint="eastAsia"/>
                <w:color w:val="000000"/>
                <w:szCs w:val="21"/>
              </w:rPr>
            </w:pPr>
            <w:r>
              <w:rPr>
                <w:rFonts w:hint="eastAsia"/>
                <w:color w:val="000000"/>
                <w:szCs w:val="21"/>
              </w:rPr>
              <w:t>632</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right"/>
              <w:rPr>
                <w:rFonts w:hint="eastAsia"/>
                <w:iCs/>
                <w:color w:val="000000"/>
                <w:szCs w:val="21"/>
              </w:rPr>
            </w:pPr>
            <w:r>
              <w:rPr>
                <w:rFonts w:hint="eastAsia"/>
                <w:iCs/>
                <w:color w:val="000000"/>
                <w:szCs w:val="21"/>
              </w:rPr>
              <w:t>9 607</w:t>
            </w:r>
          </w:p>
          <w:p w:rsidR="00000000" w:rsidRDefault="00821B8F">
            <w:pPr>
              <w:spacing w:line="360" w:lineRule="exact"/>
              <w:jc w:val="right"/>
              <w:rPr>
                <w:rFonts w:hint="eastAsia"/>
                <w:color w:val="000000"/>
                <w:szCs w:val="21"/>
              </w:rPr>
            </w:pPr>
            <w:r>
              <w:rPr>
                <w:rFonts w:hint="eastAsia"/>
                <w:color w:val="000000"/>
                <w:szCs w:val="21"/>
              </w:rPr>
              <w:t>3 119</w:t>
            </w:r>
          </w:p>
          <w:p w:rsidR="00000000" w:rsidRDefault="00821B8F">
            <w:pPr>
              <w:spacing w:line="360" w:lineRule="exact"/>
              <w:jc w:val="right"/>
              <w:rPr>
                <w:rFonts w:hint="eastAsia"/>
                <w:color w:val="000000"/>
                <w:szCs w:val="21"/>
              </w:rPr>
            </w:pPr>
            <w:r>
              <w:rPr>
                <w:rFonts w:hint="eastAsia"/>
                <w:color w:val="000000"/>
                <w:szCs w:val="21"/>
              </w:rPr>
              <w:t>3 162</w:t>
            </w:r>
          </w:p>
          <w:p w:rsidR="00000000" w:rsidRDefault="00821B8F">
            <w:pPr>
              <w:spacing w:line="360" w:lineRule="exact"/>
              <w:jc w:val="right"/>
              <w:rPr>
                <w:rFonts w:hint="eastAsia"/>
                <w:color w:val="000000"/>
                <w:szCs w:val="21"/>
              </w:rPr>
            </w:pPr>
            <w:r>
              <w:rPr>
                <w:rFonts w:hint="eastAsia"/>
                <w:color w:val="000000"/>
                <w:szCs w:val="21"/>
              </w:rPr>
              <w:t>1 091</w:t>
            </w:r>
          </w:p>
          <w:p w:rsidR="00000000" w:rsidRDefault="00821B8F">
            <w:pPr>
              <w:spacing w:line="360" w:lineRule="exact"/>
              <w:jc w:val="right"/>
              <w:rPr>
                <w:rFonts w:hint="eastAsia"/>
                <w:color w:val="000000"/>
                <w:szCs w:val="21"/>
              </w:rPr>
            </w:pPr>
            <w:r>
              <w:rPr>
                <w:rFonts w:hint="eastAsia"/>
                <w:color w:val="000000"/>
                <w:szCs w:val="21"/>
              </w:rPr>
              <w:t>103</w:t>
            </w:r>
          </w:p>
          <w:p w:rsidR="00000000" w:rsidRDefault="00821B8F">
            <w:pPr>
              <w:spacing w:line="360" w:lineRule="exact"/>
              <w:jc w:val="right"/>
              <w:rPr>
                <w:rFonts w:hint="eastAsia"/>
                <w:color w:val="000000"/>
                <w:szCs w:val="21"/>
              </w:rPr>
            </w:pPr>
            <w:r>
              <w:rPr>
                <w:rFonts w:hint="eastAsia"/>
                <w:color w:val="000000"/>
                <w:szCs w:val="21"/>
              </w:rPr>
              <w:t>380</w:t>
            </w:r>
          </w:p>
          <w:p w:rsidR="00000000" w:rsidRDefault="00821B8F">
            <w:pPr>
              <w:spacing w:line="360" w:lineRule="exact"/>
              <w:jc w:val="right"/>
              <w:rPr>
                <w:rFonts w:hint="eastAsia"/>
                <w:color w:val="000000"/>
                <w:szCs w:val="21"/>
              </w:rPr>
            </w:pPr>
            <w:r>
              <w:rPr>
                <w:rFonts w:hint="eastAsia"/>
                <w:color w:val="000000"/>
                <w:szCs w:val="21"/>
              </w:rPr>
              <w:t>55</w:t>
            </w:r>
          </w:p>
          <w:p w:rsidR="00000000" w:rsidRDefault="00821B8F">
            <w:pPr>
              <w:spacing w:line="360" w:lineRule="exact"/>
              <w:jc w:val="right"/>
              <w:rPr>
                <w:rFonts w:hint="eastAsia"/>
                <w:color w:val="000000"/>
                <w:szCs w:val="21"/>
              </w:rPr>
            </w:pPr>
            <w:r>
              <w:rPr>
                <w:rFonts w:hint="eastAsia"/>
                <w:color w:val="000000"/>
                <w:szCs w:val="21"/>
              </w:rPr>
              <w:t>1 697</w:t>
            </w:r>
          </w:p>
        </w:tc>
      </w:tr>
      <w:tr w:rsidR="00000000">
        <w:tblPrEx>
          <w:tblCellMar>
            <w:top w:w="0" w:type="dxa"/>
            <w:bottom w:w="0" w:type="dxa"/>
          </w:tblCellMar>
        </w:tblPrEx>
        <w:trPr>
          <w:cantSplit/>
        </w:trPr>
        <w:tc>
          <w:tcPr>
            <w:tcW w:w="2692"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rPr>
                <w:rFonts w:eastAsia="KaiTi_GB2312" w:hint="eastAsia"/>
                <w:iCs/>
                <w:color w:val="000000"/>
                <w:szCs w:val="21"/>
              </w:rPr>
            </w:pPr>
            <w:r>
              <w:rPr>
                <w:rFonts w:eastAsia="KaiTi_GB2312" w:hint="eastAsia"/>
                <w:iCs/>
                <w:color w:val="0000FF"/>
                <w:szCs w:val="21"/>
              </w:rPr>
              <w:t>家庭作坊工业技术中心</w:t>
            </w:r>
          </w:p>
          <w:p w:rsidR="00000000" w:rsidRDefault="00821B8F">
            <w:pPr>
              <w:spacing w:line="360" w:lineRule="exact"/>
              <w:rPr>
                <w:rFonts w:hint="eastAsia"/>
                <w:color w:val="000000"/>
                <w:szCs w:val="21"/>
              </w:rPr>
            </w:pPr>
            <w:r>
              <w:rPr>
                <w:rFonts w:hint="eastAsia"/>
                <w:color w:val="000000"/>
                <w:szCs w:val="21"/>
              </w:rPr>
              <w:t>礼品和家居用品</w:t>
            </w:r>
          </w:p>
          <w:p w:rsidR="00000000" w:rsidRDefault="00821B8F">
            <w:pPr>
              <w:spacing w:line="360" w:lineRule="exact"/>
              <w:rPr>
                <w:rFonts w:hint="eastAsia"/>
                <w:color w:val="000000"/>
                <w:szCs w:val="21"/>
              </w:rPr>
            </w:pPr>
            <w:r>
              <w:rPr>
                <w:rFonts w:hint="eastAsia"/>
                <w:color w:val="000000"/>
                <w:szCs w:val="21"/>
              </w:rPr>
              <w:t>家具和建筑木工</w:t>
            </w:r>
          </w:p>
          <w:p w:rsidR="00000000" w:rsidRDefault="00821B8F">
            <w:pPr>
              <w:spacing w:line="360" w:lineRule="exact"/>
              <w:rPr>
                <w:rFonts w:hint="eastAsia"/>
                <w:color w:val="000000"/>
                <w:szCs w:val="21"/>
              </w:rPr>
            </w:pPr>
            <w:r>
              <w:rPr>
                <w:rFonts w:hint="eastAsia"/>
                <w:color w:val="000000"/>
                <w:szCs w:val="21"/>
              </w:rPr>
              <w:t>珠宝首饰</w:t>
            </w:r>
          </w:p>
          <w:p w:rsidR="00000000" w:rsidRDefault="00821B8F">
            <w:pPr>
              <w:spacing w:line="360" w:lineRule="exact"/>
              <w:rPr>
                <w:rFonts w:hint="eastAsia"/>
                <w:color w:val="000000"/>
                <w:szCs w:val="21"/>
              </w:rPr>
            </w:pPr>
            <w:r>
              <w:rPr>
                <w:rFonts w:hint="eastAsia"/>
                <w:color w:val="000000"/>
                <w:szCs w:val="21"/>
              </w:rPr>
              <w:t>鞋袜</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right"/>
              <w:rPr>
                <w:rFonts w:hint="eastAsia"/>
                <w:iCs/>
                <w:color w:val="000000"/>
                <w:szCs w:val="21"/>
              </w:rPr>
            </w:pPr>
            <w:r>
              <w:rPr>
                <w:rFonts w:hint="eastAsia"/>
                <w:iCs/>
                <w:color w:val="000000"/>
                <w:szCs w:val="21"/>
              </w:rPr>
              <w:t>3 364</w:t>
            </w:r>
          </w:p>
          <w:p w:rsidR="00000000" w:rsidRDefault="00821B8F">
            <w:pPr>
              <w:spacing w:line="360" w:lineRule="exact"/>
              <w:jc w:val="right"/>
              <w:rPr>
                <w:rFonts w:hint="eastAsia"/>
                <w:color w:val="000000"/>
                <w:szCs w:val="21"/>
              </w:rPr>
            </w:pPr>
            <w:r>
              <w:rPr>
                <w:rFonts w:hint="eastAsia"/>
                <w:color w:val="000000"/>
                <w:szCs w:val="21"/>
              </w:rPr>
              <w:t>3 276</w:t>
            </w:r>
          </w:p>
          <w:p w:rsidR="00000000" w:rsidRDefault="00821B8F">
            <w:pPr>
              <w:spacing w:line="360" w:lineRule="exact"/>
              <w:jc w:val="right"/>
              <w:rPr>
                <w:rFonts w:hint="eastAsia"/>
                <w:color w:val="000000"/>
                <w:szCs w:val="21"/>
              </w:rPr>
            </w:pPr>
            <w:r>
              <w:rPr>
                <w:rFonts w:hint="eastAsia"/>
                <w:color w:val="000000"/>
                <w:szCs w:val="21"/>
              </w:rPr>
              <w:t>2</w:t>
            </w:r>
          </w:p>
          <w:p w:rsidR="00000000" w:rsidRDefault="00821B8F">
            <w:pPr>
              <w:spacing w:line="360" w:lineRule="exact"/>
              <w:jc w:val="right"/>
              <w:rPr>
                <w:rFonts w:hint="eastAsia"/>
                <w:color w:val="000000"/>
                <w:szCs w:val="21"/>
              </w:rPr>
            </w:pPr>
            <w:r>
              <w:rPr>
                <w:rFonts w:hint="eastAsia"/>
                <w:color w:val="000000"/>
                <w:szCs w:val="21"/>
              </w:rPr>
              <w:t>49</w:t>
            </w:r>
          </w:p>
          <w:p w:rsidR="00000000" w:rsidRDefault="00821B8F">
            <w:pPr>
              <w:spacing w:line="360" w:lineRule="exact"/>
              <w:jc w:val="right"/>
              <w:rPr>
                <w:rFonts w:hint="eastAsia"/>
                <w:color w:val="000000"/>
                <w:szCs w:val="21"/>
              </w:rPr>
            </w:pPr>
            <w:r>
              <w:rPr>
                <w:rFonts w:hint="eastAsia"/>
                <w:color w:val="000000"/>
                <w:szCs w:val="21"/>
              </w:rPr>
              <w:t>37</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right"/>
              <w:rPr>
                <w:rFonts w:hint="eastAsia"/>
                <w:iCs/>
                <w:color w:val="000000"/>
                <w:szCs w:val="21"/>
              </w:rPr>
            </w:pPr>
            <w:r>
              <w:rPr>
                <w:rFonts w:hint="eastAsia"/>
                <w:iCs/>
                <w:color w:val="000000"/>
                <w:szCs w:val="21"/>
              </w:rPr>
              <w:t>1 100</w:t>
            </w:r>
          </w:p>
          <w:p w:rsidR="00000000" w:rsidRDefault="00821B8F">
            <w:pPr>
              <w:spacing w:line="360" w:lineRule="exact"/>
              <w:jc w:val="right"/>
              <w:rPr>
                <w:rFonts w:hint="eastAsia"/>
                <w:color w:val="000000"/>
                <w:szCs w:val="21"/>
              </w:rPr>
            </w:pPr>
            <w:r>
              <w:rPr>
                <w:rFonts w:hint="eastAsia"/>
                <w:color w:val="000000"/>
                <w:szCs w:val="21"/>
              </w:rPr>
              <w:t>738</w:t>
            </w:r>
          </w:p>
          <w:p w:rsidR="00000000" w:rsidRDefault="00821B8F">
            <w:pPr>
              <w:spacing w:line="360" w:lineRule="exact"/>
              <w:jc w:val="right"/>
              <w:rPr>
                <w:rFonts w:hint="eastAsia"/>
                <w:color w:val="000000"/>
                <w:szCs w:val="21"/>
              </w:rPr>
            </w:pPr>
            <w:r>
              <w:rPr>
                <w:rFonts w:hint="eastAsia"/>
                <w:color w:val="000000"/>
                <w:szCs w:val="21"/>
              </w:rPr>
              <w:t>208</w:t>
            </w:r>
          </w:p>
          <w:p w:rsidR="00000000" w:rsidRDefault="00821B8F">
            <w:pPr>
              <w:spacing w:line="360" w:lineRule="exact"/>
              <w:jc w:val="right"/>
              <w:rPr>
                <w:rFonts w:hint="eastAsia"/>
                <w:color w:val="000000"/>
                <w:szCs w:val="21"/>
              </w:rPr>
            </w:pPr>
            <w:r>
              <w:rPr>
                <w:rFonts w:hint="eastAsia"/>
                <w:color w:val="000000"/>
                <w:szCs w:val="21"/>
              </w:rPr>
              <w:t>40</w:t>
            </w:r>
          </w:p>
          <w:p w:rsidR="00000000" w:rsidRDefault="00821B8F">
            <w:pPr>
              <w:spacing w:line="360" w:lineRule="exact"/>
              <w:jc w:val="right"/>
              <w:rPr>
                <w:rFonts w:hint="eastAsia"/>
                <w:color w:val="000000"/>
                <w:szCs w:val="21"/>
              </w:rPr>
            </w:pPr>
            <w:r>
              <w:rPr>
                <w:rFonts w:hint="eastAsia"/>
                <w:color w:val="000000"/>
                <w:szCs w:val="21"/>
              </w:rPr>
              <w:t>114</w:t>
            </w:r>
          </w:p>
        </w:tc>
        <w:tc>
          <w:tcPr>
            <w:tcW w:w="769" w:type="pct"/>
            <w:tcBorders>
              <w:top w:val="single" w:sz="4" w:space="0" w:color="auto"/>
              <w:left w:val="single" w:sz="4" w:space="0" w:color="auto"/>
              <w:bottom w:val="single" w:sz="4" w:space="0" w:color="auto"/>
              <w:right w:val="single" w:sz="4" w:space="0" w:color="auto"/>
            </w:tcBorders>
          </w:tcPr>
          <w:p w:rsidR="00000000" w:rsidRDefault="00821B8F">
            <w:pPr>
              <w:spacing w:line="360" w:lineRule="exact"/>
              <w:jc w:val="right"/>
              <w:rPr>
                <w:rFonts w:hint="eastAsia"/>
                <w:iCs/>
                <w:color w:val="000000"/>
                <w:szCs w:val="21"/>
              </w:rPr>
            </w:pPr>
            <w:r>
              <w:rPr>
                <w:rFonts w:hint="eastAsia"/>
                <w:iCs/>
                <w:color w:val="000000"/>
                <w:szCs w:val="21"/>
              </w:rPr>
              <w:t>4 464</w:t>
            </w:r>
          </w:p>
          <w:p w:rsidR="00000000" w:rsidRDefault="00821B8F">
            <w:pPr>
              <w:spacing w:line="360" w:lineRule="exact"/>
              <w:jc w:val="right"/>
              <w:rPr>
                <w:rFonts w:hint="eastAsia"/>
                <w:color w:val="000000"/>
                <w:szCs w:val="21"/>
              </w:rPr>
            </w:pPr>
            <w:r>
              <w:rPr>
                <w:rFonts w:hint="eastAsia"/>
                <w:color w:val="000000"/>
                <w:szCs w:val="21"/>
              </w:rPr>
              <w:t>4 014</w:t>
            </w:r>
          </w:p>
          <w:p w:rsidR="00000000" w:rsidRDefault="00821B8F">
            <w:pPr>
              <w:spacing w:line="360" w:lineRule="exact"/>
              <w:jc w:val="right"/>
              <w:rPr>
                <w:rFonts w:hint="eastAsia"/>
                <w:color w:val="000000"/>
                <w:szCs w:val="21"/>
              </w:rPr>
            </w:pPr>
            <w:r>
              <w:rPr>
                <w:rFonts w:hint="eastAsia"/>
                <w:color w:val="000000"/>
                <w:szCs w:val="21"/>
              </w:rPr>
              <w:t>210</w:t>
            </w:r>
          </w:p>
          <w:p w:rsidR="00000000" w:rsidRDefault="00821B8F">
            <w:pPr>
              <w:spacing w:line="360" w:lineRule="exact"/>
              <w:jc w:val="right"/>
              <w:rPr>
                <w:rFonts w:hint="eastAsia"/>
                <w:color w:val="000000"/>
                <w:szCs w:val="21"/>
              </w:rPr>
            </w:pPr>
            <w:r>
              <w:rPr>
                <w:rFonts w:hint="eastAsia"/>
                <w:color w:val="000000"/>
                <w:szCs w:val="21"/>
              </w:rPr>
              <w:t>89</w:t>
            </w:r>
          </w:p>
          <w:p w:rsidR="00000000" w:rsidRDefault="00821B8F">
            <w:pPr>
              <w:spacing w:line="360" w:lineRule="exact"/>
              <w:jc w:val="right"/>
              <w:rPr>
                <w:rFonts w:hint="eastAsia"/>
                <w:color w:val="000000"/>
                <w:szCs w:val="21"/>
              </w:rPr>
            </w:pPr>
            <w:r>
              <w:rPr>
                <w:rFonts w:hint="eastAsia"/>
                <w:color w:val="000000"/>
                <w:szCs w:val="21"/>
              </w:rPr>
              <w:t>151</w:t>
            </w:r>
          </w:p>
        </w:tc>
      </w:tr>
    </w:tbl>
    <w:p w:rsidR="00000000" w:rsidRDefault="00821B8F">
      <w:pPr>
        <w:spacing w:before="60" w:after="120" w:line="360" w:lineRule="exact"/>
        <w:rPr>
          <w:rFonts w:hint="eastAsia"/>
          <w:color w:val="000000"/>
          <w:szCs w:val="21"/>
        </w:rPr>
      </w:pPr>
      <w:r>
        <w:rPr>
          <w:rFonts w:hint="eastAsia"/>
          <w:color w:val="000000"/>
          <w:szCs w:val="18"/>
        </w:rPr>
        <w:t>资料来源：贸易和工业部。</w:t>
      </w:r>
    </w:p>
    <w:p w:rsidR="00000000" w:rsidRDefault="00821B8F">
      <w:pPr>
        <w:pStyle w:val="TOC1"/>
        <w:spacing w:before="120"/>
        <w:rPr>
          <w:rFonts w:ascii="SimHei" w:hint="eastAsia"/>
        </w:rPr>
      </w:pPr>
      <w:r>
        <w:rPr>
          <w:b/>
          <w:color w:val="000000"/>
          <w:szCs w:val="21"/>
        </w:rPr>
        <w:br w:type="page"/>
      </w:r>
      <w:r>
        <w:rPr>
          <w:rFonts w:ascii="SimHei" w:hint="eastAsia"/>
        </w:rPr>
        <w:t>第十四条提及的附表</w:t>
      </w:r>
    </w:p>
    <w:p w:rsidR="00000000" w:rsidRDefault="00821B8F">
      <w:pPr>
        <w:spacing w:after="120" w:line="360" w:lineRule="exact"/>
        <w:rPr>
          <w:rFonts w:hint="eastAsia"/>
          <w:bCs/>
          <w:color w:val="000000"/>
          <w:szCs w:val="21"/>
        </w:rPr>
      </w:pPr>
      <w:r>
        <w:rPr>
          <w:rFonts w:hint="eastAsia"/>
          <w:bCs/>
          <w:color w:val="000000"/>
          <w:szCs w:val="21"/>
        </w:rPr>
        <w:t>附表</w:t>
      </w:r>
      <w:r>
        <w:rPr>
          <w:rFonts w:hint="eastAsia"/>
          <w:bCs/>
          <w:color w:val="000000"/>
          <w:szCs w:val="21"/>
        </w:rPr>
        <w:t xml:space="preserve"> B14.1</w:t>
      </w:r>
      <w:r>
        <w:rPr>
          <w:rFonts w:hint="eastAsia"/>
          <w:bCs/>
          <w:color w:val="000000"/>
          <w:szCs w:val="21"/>
        </w:rPr>
        <w:t>：选定的财政指标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6"/>
        <w:gridCol w:w="1156"/>
        <w:gridCol w:w="1156"/>
        <w:gridCol w:w="1156"/>
        <w:gridCol w:w="1156"/>
        <w:gridCol w:w="1156"/>
      </w:tblGrid>
      <w:tr w:rsidR="00000000">
        <w:tblPrEx>
          <w:tblCellMar>
            <w:top w:w="0" w:type="dxa"/>
            <w:bottom w:w="0" w:type="dxa"/>
          </w:tblCellMar>
        </w:tblPrEx>
        <w:tc>
          <w:tcPr>
            <w:tcW w:w="2128" w:type="pct"/>
          </w:tcPr>
          <w:p w:rsidR="00000000" w:rsidRDefault="00821B8F">
            <w:pPr>
              <w:spacing w:line="360" w:lineRule="exact"/>
              <w:jc w:val="center"/>
              <w:rPr>
                <w:rFonts w:hint="eastAsia"/>
                <w:color w:val="000000"/>
                <w:szCs w:val="21"/>
              </w:rPr>
            </w:pPr>
            <w:r>
              <w:rPr>
                <w:rFonts w:hint="eastAsia"/>
                <w:color w:val="000000"/>
                <w:szCs w:val="21"/>
              </w:rPr>
              <w:t>项目</w:t>
            </w:r>
          </w:p>
        </w:tc>
        <w:tc>
          <w:tcPr>
            <w:tcW w:w="574" w:type="pct"/>
          </w:tcPr>
          <w:p w:rsidR="00000000" w:rsidRDefault="00821B8F">
            <w:pPr>
              <w:spacing w:line="360" w:lineRule="exact"/>
              <w:jc w:val="center"/>
              <w:rPr>
                <w:rFonts w:hint="eastAsia"/>
                <w:color w:val="000000"/>
                <w:szCs w:val="21"/>
              </w:rPr>
            </w:pPr>
            <w:r>
              <w:rPr>
                <w:rFonts w:hint="eastAsia"/>
                <w:color w:val="000000"/>
                <w:szCs w:val="21"/>
              </w:rPr>
              <w:t>1994</w:t>
            </w:r>
          </w:p>
        </w:tc>
        <w:tc>
          <w:tcPr>
            <w:tcW w:w="574" w:type="pct"/>
          </w:tcPr>
          <w:p w:rsidR="00000000" w:rsidRDefault="00821B8F">
            <w:pPr>
              <w:spacing w:line="360" w:lineRule="exact"/>
              <w:jc w:val="center"/>
              <w:rPr>
                <w:rFonts w:hint="eastAsia"/>
                <w:color w:val="000000"/>
                <w:szCs w:val="21"/>
              </w:rPr>
            </w:pPr>
            <w:r>
              <w:rPr>
                <w:rFonts w:hint="eastAsia"/>
                <w:color w:val="000000"/>
                <w:szCs w:val="21"/>
              </w:rPr>
              <w:t>1996</w:t>
            </w:r>
          </w:p>
        </w:tc>
        <w:tc>
          <w:tcPr>
            <w:tcW w:w="574" w:type="pct"/>
          </w:tcPr>
          <w:p w:rsidR="00000000" w:rsidRDefault="00821B8F">
            <w:pPr>
              <w:spacing w:line="360" w:lineRule="exact"/>
              <w:jc w:val="center"/>
              <w:rPr>
                <w:rFonts w:hint="eastAsia"/>
                <w:color w:val="000000"/>
                <w:szCs w:val="21"/>
              </w:rPr>
            </w:pPr>
            <w:r>
              <w:rPr>
                <w:rFonts w:hint="eastAsia"/>
                <w:color w:val="000000"/>
                <w:szCs w:val="21"/>
              </w:rPr>
              <w:t>1998</w:t>
            </w:r>
          </w:p>
        </w:tc>
        <w:tc>
          <w:tcPr>
            <w:tcW w:w="574" w:type="pct"/>
          </w:tcPr>
          <w:p w:rsidR="00000000" w:rsidRDefault="00821B8F">
            <w:pPr>
              <w:spacing w:line="360" w:lineRule="exact"/>
              <w:jc w:val="center"/>
              <w:rPr>
                <w:rFonts w:hint="eastAsia"/>
                <w:color w:val="000000"/>
                <w:szCs w:val="21"/>
              </w:rPr>
            </w:pPr>
            <w:r>
              <w:rPr>
                <w:rFonts w:hint="eastAsia"/>
                <w:color w:val="000000"/>
                <w:szCs w:val="21"/>
              </w:rPr>
              <w:t>2000</w:t>
            </w:r>
          </w:p>
        </w:tc>
        <w:tc>
          <w:tcPr>
            <w:tcW w:w="574" w:type="pct"/>
          </w:tcPr>
          <w:p w:rsidR="00000000" w:rsidRDefault="00821B8F">
            <w:pPr>
              <w:spacing w:line="360" w:lineRule="exact"/>
              <w:jc w:val="center"/>
              <w:rPr>
                <w:rFonts w:hint="eastAsia"/>
                <w:color w:val="000000"/>
                <w:szCs w:val="21"/>
              </w:rPr>
            </w:pPr>
            <w:r>
              <w:rPr>
                <w:rFonts w:hint="eastAsia"/>
                <w:color w:val="000000"/>
                <w:szCs w:val="21"/>
              </w:rPr>
              <w:t>2002</w:t>
            </w:r>
          </w:p>
        </w:tc>
      </w:tr>
      <w:tr w:rsidR="00000000">
        <w:tblPrEx>
          <w:tblCellMar>
            <w:top w:w="0" w:type="dxa"/>
            <w:bottom w:w="0" w:type="dxa"/>
          </w:tblCellMar>
        </w:tblPrEx>
        <w:tc>
          <w:tcPr>
            <w:tcW w:w="2128" w:type="pct"/>
          </w:tcPr>
          <w:p w:rsidR="00000000" w:rsidRDefault="00821B8F">
            <w:pPr>
              <w:spacing w:line="360" w:lineRule="exact"/>
              <w:rPr>
                <w:rFonts w:hint="eastAsia"/>
                <w:color w:val="000000"/>
                <w:szCs w:val="21"/>
              </w:rPr>
            </w:pPr>
            <w:r>
              <w:rPr>
                <w:rFonts w:hint="eastAsia"/>
                <w:color w:val="000000"/>
                <w:szCs w:val="21"/>
              </w:rPr>
              <w:t>外债（</w:t>
            </w:r>
            <w:r>
              <w:rPr>
                <w:rFonts w:hint="eastAsia"/>
                <w:color w:val="000000"/>
                <w:szCs w:val="21"/>
              </w:rPr>
              <w:t>10</w:t>
            </w:r>
            <w:r>
              <w:rPr>
                <w:rFonts w:hint="eastAsia"/>
                <w:color w:val="000000"/>
                <w:szCs w:val="21"/>
              </w:rPr>
              <w:t>亿美元）</w:t>
            </w:r>
            <w:r>
              <w:rPr>
                <w:rFonts w:hint="eastAsia"/>
                <w:color w:val="000000"/>
                <w:szCs w:val="21"/>
              </w:rPr>
              <w:t>*</w:t>
            </w:r>
          </w:p>
        </w:tc>
        <w:tc>
          <w:tcPr>
            <w:tcW w:w="574" w:type="pct"/>
          </w:tcPr>
          <w:p w:rsidR="00000000" w:rsidRDefault="00821B8F">
            <w:pPr>
              <w:spacing w:line="360" w:lineRule="exact"/>
              <w:jc w:val="right"/>
              <w:rPr>
                <w:rFonts w:hint="eastAsia"/>
                <w:color w:val="000000"/>
                <w:szCs w:val="21"/>
              </w:rPr>
            </w:pPr>
            <w:r>
              <w:rPr>
                <w:rFonts w:hint="eastAsia"/>
                <w:color w:val="000000"/>
                <w:szCs w:val="21"/>
              </w:rPr>
              <w:t>39.4</w:t>
            </w:r>
          </w:p>
        </w:tc>
        <w:tc>
          <w:tcPr>
            <w:tcW w:w="574" w:type="pct"/>
          </w:tcPr>
          <w:p w:rsidR="00000000" w:rsidRDefault="00821B8F">
            <w:pPr>
              <w:spacing w:line="360" w:lineRule="exact"/>
              <w:jc w:val="right"/>
              <w:rPr>
                <w:rFonts w:hint="eastAsia"/>
                <w:color w:val="000000"/>
                <w:szCs w:val="21"/>
              </w:rPr>
            </w:pPr>
            <w:r>
              <w:rPr>
                <w:rFonts w:hint="eastAsia"/>
                <w:color w:val="000000"/>
                <w:szCs w:val="21"/>
              </w:rPr>
              <w:t>40.1</w:t>
            </w:r>
          </w:p>
        </w:tc>
        <w:tc>
          <w:tcPr>
            <w:tcW w:w="574" w:type="pct"/>
          </w:tcPr>
          <w:p w:rsidR="00000000" w:rsidRDefault="00821B8F">
            <w:pPr>
              <w:spacing w:line="360" w:lineRule="exact"/>
              <w:jc w:val="right"/>
              <w:rPr>
                <w:rFonts w:hint="eastAsia"/>
                <w:color w:val="000000"/>
                <w:szCs w:val="21"/>
              </w:rPr>
            </w:pPr>
            <w:r>
              <w:rPr>
                <w:rFonts w:hint="eastAsia"/>
                <w:color w:val="000000"/>
                <w:szCs w:val="21"/>
              </w:rPr>
              <w:t>48.3</w:t>
            </w:r>
          </w:p>
        </w:tc>
        <w:tc>
          <w:tcPr>
            <w:tcW w:w="574" w:type="pct"/>
          </w:tcPr>
          <w:p w:rsidR="00000000" w:rsidRDefault="00821B8F">
            <w:pPr>
              <w:spacing w:line="360" w:lineRule="exact"/>
              <w:jc w:val="right"/>
              <w:rPr>
                <w:rFonts w:hint="eastAsia"/>
                <w:color w:val="000000"/>
                <w:szCs w:val="21"/>
              </w:rPr>
            </w:pPr>
            <w:r>
              <w:rPr>
                <w:rFonts w:hint="eastAsia"/>
                <w:color w:val="000000"/>
                <w:szCs w:val="21"/>
              </w:rPr>
              <w:t>50.0</w:t>
            </w:r>
          </w:p>
        </w:tc>
        <w:tc>
          <w:tcPr>
            <w:tcW w:w="574" w:type="pct"/>
          </w:tcPr>
          <w:p w:rsidR="00000000" w:rsidRDefault="00821B8F">
            <w:pPr>
              <w:spacing w:line="360" w:lineRule="exact"/>
              <w:jc w:val="right"/>
              <w:rPr>
                <w:rFonts w:hint="eastAsia"/>
                <w:color w:val="000000"/>
                <w:szCs w:val="21"/>
              </w:rPr>
            </w:pPr>
            <w:r>
              <w:rPr>
                <w:rFonts w:hint="eastAsia"/>
                <w:color w:val="000000"/>
                <w:szCs w:val="21"/>
              </w:rPr>
              <w:t>52.2</w:t>
            </w:r>
          </w:p>
        </w:tc>
      </w:tr>
      <w:tr w:rsidR="00000000">
        <w:tblPrEx>
          <w:tblCellMar>
            <w:top w:w="0" w:type="dxa"/>
            <w:bottom w:w="0" w:type="dxa"/>
          </w:tblCellMar>
        </w:tblPrEx>
        <w:tc>
          <w:tcPr>
            <w:tcW w:w="2128" w:type="pct"/>
          </w:tcPr>
          <w:p w:rsidR="00000000" w:rsidRDefault="00821B8F">
            <w:pPr>
              <w:spacing w:line="360" w:lineRule="exact"/>
              <w:rPr>
                <w:rFonts w:hint="eastAsia"/>
                <w:color w:val="000000"/>
                <w:szCs w:val="21"/>
              </w:rPr>
            </w:pPr>
            <w:r>
              <w:rPr>
                <w:rFonts w:hint="eastAsia"/>
                <w:color w:val="000000"/>
                <w:szCs w:val="21"/>
              </w:rPr>
              <w:t>政府总支出（</w:t>
            </w:r>
            <w:r>
              <w:rPr>
                <w:rFonts w:hint="eastAsia"/>
                <w:color w:val="000000"/>
                <w:szCs w:val="21"/>
              </w:rPr>
              <w:t>10</w:t>
            </w:r>
            <w:r>
              <w:rPr>
                <w:rFonts w:hint="eastAsia"/>
                <w:color w:val="000000"/>
                <w:szCs w:val="21"/>
              </w:rPr>
              <w:t>亿比索）</w:t>
            </w:r>
          </w:p>
        </w:tc>
        <w:tc>
          <w:tcPr>
            <w:tcW w:w="574" w:type="pct"/>
          </w:tcPr>
          <w:p w:rsidR="00000000" w:rsidRDefault="00821B8F">
            <w:pPr>
              <w:spacing w:line="360" w:lineRule="exact"/>
              <w:jc w:val="right"/>
              <w:rPr>
                <w:rFonts w:hint="eastAsia"/>
                <w:color w:val="000000"/>
                <w:szCs w:val="21"/>
              </w:rPr>
            </w:pPr>
            <w:r>
              <w:rPr>
                <w:rFonts w:hint="eastAsia"/>
                <w:color w:val="000000"/>
                <w:szCs w:val="21"/>
              </w:rPr>
              <w:t>327.8</w:t>
            </w:r>
          </w:p>
        </w:tc>
        <w:tc>
          <w:tcPr>
            <w:tcW w:w="574" w:type="pct"/>
          </w:tcPr>
          <w:p w:rsidR="00000000" w:rsidRDefault="00821B8F">
            <w:pPr>
              <w:spacing w:line="360" w:lineRule="exact"/>
              <w:jc w:val="right"/>
              <w:rPr>
                <w:rFonts w:hint="eastAsia"/>
                <w:color w:val="000000"/>
                <w:szCs w:val="21"/>
              </w:rPr>
            </w:pPr>
            <w:r>
              <w:rPr>
                <w:rFonts w:hint="eastAsia"/>
                <w:color w:val="000000"/>
                <w:szCs w:val="21"/>
              </w:rPr>
              <w:t>493.5</w:t>
            </w:r>
          </w:p>
        </w:tc>
        <w:tc>
          <w:tcPr>
            <w:tcW w:w="574" w:type="pct"/>
          </w:tcPr>
          <w:p w:rsidR="00000000" w:rsidRDefault="00821B8F">
            <w:pPr>
              <w:spacing w:line="360" w:lineRule="exact"/>
              <w:jc w:val="right"/>
              <w:rPr>
                <w:rFonts w:hint="eastAsia"/>
                <w:color w:val="000000"/>
                <w:szCs w:val="21"/>
              </w:rPr>
            </w:pPr>
            <w:r>
              <w:rPr>
                <w:rFonts w:hint="eastAsia"/>
                <w:color w:val="000000"/>
                <w:szCs w:val="21"/>
              </w:rPr>
              <w:t>537.4</w:t>
            </w:r>
          </w:p>
        </w:tc>
        <w:tc>
          <w:tcPr>
            <w:tcW w:w="574" w:type="pct"/>
          </w:tcPr>
          <w:p w:rsidR="00000000" w:rsidRDefault="00821B8F">
            <w:pPr>
              <w:spacing w:line="360" w:lineRule="exact"/>
              <w:jc w:val="right"/>
              <w:rPr>
                <w:rFonts w:hint="eastAsia"/>
                <w:color w:val="000000"/>
                <w:szCs w:val="21"/>
              </w:rPr>
            </w:pPr>
            <w:r>
              <w:rPr>
                <w:rFonts w:hint="eastAsia"/>
                <w:color w:val="000000"/>
                <w:szCs w:val="21"/>
              </w:rPr>
              <w:t>682.3</w:t>
            </w:r>
          </w:p>
        </w:tc>
        <w:tc>
          <w:tcPr>
            <w:tcW w:w="574" w:type="pct"/>
          </w:tcPr>
          <w:p w:rsidR="00000000" w:rsidRDefault="00821B8F">
            <w:pPr>
              <w:spacing w:line="360" w:lineRule="exact"/>
              <w:jc w:val="right"/>
              <w:rPr>
                <w:rFonts w:hint="eastAsia"/>
                <w:color w:val="000000"/>
                <w:szCs w:val="21"/>
              </w:rPr>
            </w:pPr>
            <w:r>
              <w:rPr>
                <w:rFonts w:hint="eastAsia"/>
                <w:color w:val="000000"/>
                <w:szCs w:val="21"/>
              </w:rPr>
              <w:t>780.8</w:t>
            </w:r>
          </w:p>
        </w:tc>
      </w:tr>
      <w:tr w:rsidR="00000000">
        <w:tblPrEx>
          <w:tblCellMar>
            <w:top w:w="0" w:type="dxa"/>
            <w:bottom w:w="0" w:type="dxa"/>
          </w:tblCellMar>
        </w:tblPrEx>
        <w:tc>
          <w:tcPr>
            <w:tcW w:w="2128" w:type="pct"/>
          </w:tcPr>
          <w:p w:rsidR="00000000" w:rsidRDefault="00821B8F">
            <w:pPr>
              <w:spacing w:line="360" w:lineRule="exact"/>
              <w:rPr>
                <w:rFonts w:hint="eastAsia"/>
                <w:color w:val="000000"/>
                <w:szCs w:val="21"/>
              </w:rPr>
            </w:pPr>
            <w:r>
              <w:rPr>
                <w:rFonts w:hint="eastAsia"/>
                <w:color w:val="000000"/>
                <w:szCs w:val="21"/>
              </w:rPr>
              <w:t>预算盈余</w:t>
            </w:r>
            <w:r>
              <w:rPr>
                <w:rFonts w:hint="eastAsia"/>
                <w:color w:val="000000"/>
                <w:szCs w:val="21"/>
              </w:rPr>
              <w:t>（赤字）（</w:t>
            </w:r>
            <w:r>
              <w:rPr>
                <w:rFonts w:hint="eastAsia"/>
                <w:color w:val="000000"/>
                <w:szCs w:val="21"/>
              </w:rPr>
              <w:t>10</w:t>
            </w:r>
            <w:r>
              <w:rPr>
                <w:rFonts w:hint="eastAsia"/>
                <w:color w:val="000000"/>
                <w:szCs w:val="21"/>
              </w:rPr>
              <w:t>亿比索）</w:t>
            </w:r>
          </w:p>
        </w:tc>
        <w:tc>
          <w:tcPr>
            <w:tcW w:w="574" w:type="pct"/>
          </w:tcPr>
          <w:p w:rsidR="00000000" w:rsidRDefault="00821B8F">
            <w:pPr>
              <w:spacing w:line="360" w:lineRule="exact"/>
              <w:jc w:val="right"/>
              <w:rPr>
                <w:rFonts w:hint="eastAsia"/>
                <w:color w:val="000000"/>
                <w:szCs w:val="21"/>
              </w:rPr>
            </w:pPr>
            <w:r>
              <w:rPr>
                <w:rFonts w:hint="eastAsia"/>
                <w:color w:val="000000"/>
                <w:szCs w:val="21"/>
              </w:rPr>
              <w:t>(18.1)</w:t>
            </w:r>
          </w:p>
        </w:tc>
        <w:tc>
          <w:tcPr>
            <w:tcW w:w="574" w:type="pct"/>
          </w:tcPr>
          <w:p w:rsidR="00000000" w:rsidRDefault="00821B8F">
            <w:pPr>
              <w:spacing w:line="360" w:lineRule="exact"/>
              <w:jc w:val="right"/>
              <w:rPr>
                <w:rFonts w:hint="eastAsia"/>
                <w:color w:val="000000"/>
                <w:szCs w:val="21"/>
              </w:rPr>
            </w:pPr>
            <w:r>
              <w:rPr>
                <w:rFonts w:hint="eastAsia"/>
                <w:color w:val="000000"/>
                <w:szCs w:val="21"/>
              </w:rPr>
              <w:t>(6.2)</w:t>
            </w:r>
          </w:p>
        </w:tc>
        <w:tc>
          <w:tcPr>
            <w:tcW w:w="574" w:type="pct"/>
          </w:tcPr>
          <w:p w:rsidR="00000000" w:rsidRDefault="00821B8F">
            <w:pPr>
              <w:spacing w:line="360" w:lineRule="exact"/>
              <w:jc w:val="right"/>
              <w:rPr>
                <w:rFonts w:hint="eastAsia"/>
                <w:color w:val="000000"/>
                <w:szCs w:val="21"/>
              </w:rPr>
            </w:pPr>
            <w:r>
              <w:rPr>
                <w:rFonts w:hint="eastAsia"/>
                <w:color w:val="000000"/>
                <w:szCs w:val="21"/>
              </w:rPr>
              <w:t>49.9</w:t>
            </w:r>
          </w:p>
        </w:tc>
        <w:tc>
          <w:tcPr>
            <w:tcW w:w="574" w:type="pct"/>
          </w:tcPr>
          <w:p w:rsidR="00000000" w:rsidRDefault="00821B8F">
            <w:pPr>
              <w:spacing w:line="360" w:lineRule="exact"/>
              <w:jc w:val="right"/>
              <w:rPr>
                <w:rFonts w:hint="eastAsia"/>
                <w:color w:val="000000"/>
                <w:szCs w:val="21"/>
              </w:rPr>
            </w:pPr>
            <w:r>
              <w:rPr>
                <w:rFonts w:hint="eastAsia"/>
                <w:color w:val="000000"/>
                <w:szCs w:val="21"/>
              </w:rPr>
              <w:t>(134.2)</w:t>
            </w:r>
          </w:p>
        </w:tc>
        <w:tc>
          <w:tcPr>
            <w:tcW w:w="574" w:type="pct"/>
          </w:tcPr>
          <w:p w:rsidR="00000000" w:rsidRDefault="00821B8F">
            <w:pPr>
              <w:spacing w:line="360" w:lineRule="exact"/>
              <w:jc w:val="right"/>
              <w:rPr>
                <w:rFonts w:hint="eastAsia"/>
                <w:color w:val="000000"/>
                <w:szCs w:val="21"/>
              </w:rPr>
            </w:pPr>
            <w:r>
              <w:rPr>
                <w:rFonts w:hint="eastAsia"/>
                <w:color w:val="000000"/>
                <w:szCs w:val="21"/>
              </w:rPr>
              <w:t>(130.0)</w:t>
            </w:r>
          </w:p>
        </w:tc>
      </w:tr>
      <w:tr w:rsidR="00000000">
        <w:tblPrEx>
          <w:tblCellMar>
            <w:top w:w="0" w:type="dxa"/>
            <w:bottom w:w="0" w:type="dxa"/>
          </w:tblCellMar>
        </w:tblPrEx>
        <w:tc>
          <w:tcPr>
            <w:tcW w:w="2128" w:type="pct"/>
          </w:tcPr>
          <w:p w:rsidR="00000000" w:rsidRDefault="00821B8F">
            <w:pPr>
              <w:spacing w:line="360" w:lineRule="exact"/>
              <w:rPr>
                <w:rFonts w:hint="eastAsia"/>
                <w:color w:val="000000"/>
                <w:szCs w:val="21"/>
              </w:rPr>
            </w:pPr>
            <w:r>
              <w:rPr>
                <w:rFonts w:hint="eastAsia"/>
                <w:color w:val="000000"/>
                <w:szCs w:val="21"/>
              </w:rPr>
              <w:t>社会服务支出（</w:t>
            </w:r>
            <w:r>
              <w:rPr>
                <w:rFonts w:hint="eastAsia"/>
                <w:color w:val="000000"/>
                <w:szCs w:val="21"/>
              </w:rPr>
              <w:t>10</w:t>
            </w:r>
            <w:r>
              <w:rPr>
                <w:rFonts w:hint="eastAsia"/>
                <w:color w:val="000000"/>
                <w:szCs w:val="21"/>
              </w:rPr>
              <w:t>亿比索）</w:t>
            </w:r>
          </w:p>
        </w:tc>
        <w:tc>
          <w:tcPr>
            <w:tcW w:w="574" w:type="pct"/>
          </w:tcPr>
          <w:p w:rsidR="00000000" w:rsidRDefault="00821B8F">
            <w:pPr>
              <w:spacing w:line="360" w:lineRule="exact"/>
              <w:jc w:val="right"/>
              <w:rPr>
                <w:rFonts w:hint="eastAsia"/>
                <w:color w:val="000000"/>
                <w:szCs w:val="21"/>
              </w:rPr>
            </w:pPr>
            <w:r>
              <w:rPr>
                <w:rFonts w:hint="eastAsia"/>
                <w:color w:val="000000"/>
                <w:szCs w:val="21"/>
              </w:rPr>
              <w:t>76.9</w:t>
            </w:r>
          </w:p>
        </w:tc>
        <w:tc>
          <w:tcPr>
            <w:tcW w:w="574" w:type="pct"/>
          </w:tcPr>
          <w:p w:rsidR="00000000" w:rsidRDefault="00821B8F">
            <w:pPr>
              <w:spacing w:line="360" w:lineRule="exact"/>
              <w:jc w:val="right"/>
              <w:rPr>
                <w:rFonts w:hint="eastAsia"/>
                <w:color w:val="000000"/>
                <w:szCs w:val="21"/>
              </w:rPr>
            </w:pPr>
            <w:r>
              <w:rPr>
                <w:rFonts w:hint="eastAsia"/>
                <w:color w:val="000000"/>
                <w:szCs w:val="21"/>
              </w:rPr>
              <w:t>122.9</w:t>
            </w:r>
          </w:p>
        </w:tc>
        <w:tc>
          <w:tcPr>
            <w:tcW w:w="574" w:type="pct"/>
          </w:tcPr>
          <w:p w:rsidR="00000000" w:rsidRDefault="00821B8F">
            <w:pPr>
              <w:spacing w:line="360" w:lineRule="exact"/>
              <w:jc w:val="right"/>
              <w:rPr>
                <w:rFonts w:hint="eastAsia"/>
                <w:color w:val="000000"/>
                <w:szCs w:val="21"/>
              </w:rPr>
            </w:pPr>
            <w:r>
              <w:rPr>
                <w:rFonts w:hint="eastAsia"/>
                <w:color w:val="000000"/>
                <w:szCs w:val="21"/>
              </w:rPr>
              <w:t>175.2</w:t>
            </w:r>
          </w:p>
        </w:tc>
        <w:tc>
          <w:tcPr>
            <w:tcW w:w="574" w:type="pct"/>
          </w:tcPr>
          <w:p w:rsidR="00000000" w:rsidRDefault="00821B8F">
            <w:pPr>
              <w:spacing w:line="360" w:lineRule="exact"/>
              <w:jc w:val="right"/>
              <w:rPr>
                <w:rFonts w:hint="eastAsia"/>
                <w:color w:val="000000"/>
                <w:szCs w:val="21"/>
              </w:rPr>
            </w:pPr>
            <w:r>
              <w:rPr>
                <w:rFonts w:hint="eastAsia"/>
                <w:color w:val="000000"/>
                <w:szCs w:val="21"/>
              </w:rPr>
              <w:t>213.0</w:t>
            </w:r>
          </w:p>
        </w:tc>
        <w:tc>
          <w:tcPr>
            <w:tcW w:w="574" w:type="pct"/>
          </w:tcPr>
          <w:p w:rsidR="00000000" w:rsidRDefault="00821B8F">
            <w:pPr>
              <w:spacing w:line="360" w:lineRule="exact"/>
              <w:jc w:val="right"/>
              <w:rPr>
                <w:rFonts w:hint="eastAsia"/>
                <w:color w:val="000000"/>
                <w:szCs w:val="21"/>
              </w:rPr>
            </w:pPr>
            <w:r>
              <w:rPr>
                <w:rFonts w:hint="eastAsia"/>
                <w:color w:val="000000"/>
                <w:szCs w:val="21"/>
              </w:rPr>
              <w:t>233.0</w:t>
            </w:r>
          </w:p>
        </w:tc>
      </w:tr>
      <w:tr w:rsidR="00000000">
        <w:tblPrEx>
          <w:tblCellMar>
            <w:top w:w="0" w:type="dxa"/>
            <w:bottom w:w="0" w:type="dxa"/>
          </w:tblCellMar>
        </w:tblPrEx>
        <w:tc>
          <w:tcPr>
            <w:tcW w:w="2128" w:type="pct"/>
          </w:tcPr>
          <w:p w:rsidR="00000000" w:rsidRDefault="00821B8F">
            <w:pPr>
              <w:spacing w:line="360" w:lineRule="exact"/>
              <w:rPr>
                <w:rFonts w:hint="eastAsia"/>
                <w:color w:val="000000"/>
                <w:szCs w:val="21"/>
              </w:rPr>
            </w:pPr>
            <w:r>
              <w:rPr>
                <w:rFonts w:hint="eastAsia"/>
                <w:color w:val="000000"/>
                <w:szCs w:val="21"/>
              </w:rPr>
              <w:t>社会服务支出预算占预算总额的百分比</w:t>
            </w:r>
          </w:p>
        </w:tc>
        <w:tc>
          <w:tcPr>
            <w:tcW w:w="574" w:type="pct"/>
          </w:tcPr>
          <w:p w:rsidR="00000000" w:rsidRDefault="00821B8F">
            <w:pPr>
              <w:spacing w:line="360" w:lineRule="exact"/>
              <w:jc w:val="right"/>
              <w:rPr>
                <w:rFonts w:hint="eastAsia"/>
                <w:color w:val="000000"/>
                <w:szCs w:val="21"/>
              </w:rPr>
            </w:pPr>
            <w:r>
              <w:rPr>
                <w:rFonts w:hint="eastAsia"/>
                <w:color w:val="000000"/>
                <w:szCs w:val="21"/>
              </w:rPr>
              <w:t>23.5</w:t>
            </w:r>
          </w:p>
        </w:tc>
        <w:tc>
          <w:tcPr>
            <w:tcW w:w="574" w:type="pct"/>
          </w:tcPr>
          <w:p w:rsidR="00000000" w:rsidRDefault="00821B8F">
            <w:pPr>
              <w:spacing w:line="360" w:lineRule="exact"/>
              <w:jc w:val="right"/>
              <w:rPr>
                <w:rFonts w:hint="eastAsia"/>
                <w:color w:val="000000"/>
                <w:szCs w:val="21"/>
              </w:rPr>
            </w:pPr>
            <w:r>
              <w:rPr>
                <w:rFonts w:hint="eastAsia"/>
                <w:color w:val="000000"/>
                <w:szCs w:val="21"/>
              </w:rPr>
              <w:t>24.9</w:t>
            </w:r>
          </w:p>
        </w:tc>
        <w:tc>
          <w:tcPr>
            <w:tcW w:w="574" w:type="pct"/>
          </w:tcPr>
          <w:p w:rsidR="00000000" w:rsidRDefault="00821B8F">
            <w:pPr>
              <w:spacing w:line="360" w:lineRule="exact"/>
              <w:jc w:val="right"/>
              <w:rPr>
                <w:rFonts w:hint="eastAsia"/>
                <w:color w:val="000000"/>
                <w:szCs w:val="21"/>
              </w:rPr>
            </w:pPr>
            <w:r>
              <w:rPr>
                <w:rFonts w:hint="eastAsia"/>
                <w:color w:val="000000"/>
                <w:szCs w:val="21"/>
              </w:rPr>
              <w:t>32.6</w:t>
            </w:r>
          </w:p>
        </w:tc>
        <w:tc>
          <w:tcPr>
            <w:tcW w:w="574" w:type="pct"/>
          </w:tcPr>
          <w:p w:rsidR="00000000" w:rsidRDefault="00821B8F">
            <w:pPr>
              <w:spacing w:line="360" w:lineRule="exact"/>
              <w:jc w:val="right"/>
              <w:rPr>
                <w:rFonts w:hint="eastAsia"/>
                <w:color w:val="000000"/>
                <w:szCs w:val="21"/>
              </w:rPr>
            </w:pPr>
            <w:r>
              <w:rPr>
                <w:rFonts w:hint="eastAsia"/>
                <w:color w:val="000000"/>
                <w:szCs w:val="21"/>
              </w:rPr>
              <w:t>31.2</w:t>
            </w:r>
          </w:p>
        </w:tc>
        <w:tc>
          <w:tcPr>
            <w:tcW w:w="574" w:type="pct"/>
          </w:tcPr>
          <w:p w:rsidR="00000000" w:rsidRDefault="00821B8F">
            <w:pPr>
              <w:spacing w:line="360" w:lineRule="exact"/>
              <w:jc w:val="right"/>
              <w:rPr>
                <w:rFonts w:hint="eastAsia"/>
                <w:color w:val="000000"/>
                <w:szCs w:val="21"/>
              </w:rPr>
            </w:pPr>
            <w:r>
              <w:rPr>
                <w:rFonts w:hint="eastAsia"/>
                <w:color w:val="000000"/>
                <w:szCs w:val="21"/>
              </w:rPr>
              <w:t>29.8</w:t>
            </w:r>
          </w:p>
        </w:tc>
      </w:tr>
      <w:tr w:rsidR="00000000">
        <w:tblPrEx>
          <w:tblCellMar>
            <w:top w:w="0" w:type="dxa"/>
            <w:bottom w:w="0" w:type="dxa"/>
          </w:tblCellMar>
        </w:tblPrEx>
        <w:tc>
          <w:tcPr>
            <w:tcW w:w="2128" w:type="pct"/>
          </w:tcPr>
          <w:p w:rsidR="00000000" w:rsidRDefault="00821B8F">
            <w:pPr>
              <w:spacing w:line="360" w:lineRule="exact"/>
              <w:rPr>
                <w:rFonts w:hint="eastAsia"/>
                <w:color w:val="000000"/>
                <w:szCs w:val="21"/>
              </w:rPr>
            </w:pPr>
            <w:r>
              <w:rPr>
                <w:rFonts w:hint="eastAsia"/>
                <w:color w:val="000000"/>
                <w:szCs w:val="21"/>
              </w:rPr>
              <w:t>偿债额占预算总额的百分比</w:t>
            </w:r>
          </w:p>
        </w:tc>
        <w:tc>
          <w:tcPr>
            <w:tcW w:w="574" w:type="pct"/>
          </w:tcPr>
          <w:p w:rsidR="00000000" w:rsidRDefault="00821B8F">
            <w:pPr>
              <w:spacing w:line="360" w:lineRule="exact"/>
              <w:jc w:val="right"/>
              <w:rPr>
                <w:rFonts w:hint="eastAsia"/>
                <w:color w:val="000000"/>
                <w:szCs w:val="21"/>
              </w:rPr>
            </w:pPr>
            <w:r>
              <w:rPr>
                <w:rFonts w:hint="eastAsia"/>
                <w:color w:val="000000"/>
                <w:szCs w:val="21"/>
              </w:rPr>
              <w:t>24.1</w:t>
            </w:r>
          </w:p>
        </w:tc>
        <w:tc>
          <w:tcPr>
            <w:tcW w:w="574" w:type="pct"/>
          </w:tcPr>
          <w:p w:rsidR="00000000" w:rsidRDefault="00821B8F">
            <w:pPr>
              <w:spacing w:line="360" w:lineRule="exact"/>
              <w:jc w:val="right"/>
              <w:rPr>
                <w:rFonts w:hint="eastAsia"/>
                <w:color w:val="000000"/>
                <w:szCs w:val="21"/>
              </w:rPr>
            </w:pPr>
            <w:r>
              <w:rPr>
                <w:rFonts w:hint="eastAsia"/>
                <w:color w:val="000000"/>
                <w:szCs w:val="21"/>
              </w:rPr>
              <w:t>18.3</w:t>
            </w:r>
          </w:p>
        </w:tc>
        <w:tc>
          <w:tcPr>
            <w:tcW w:w="574" w:type="pct"/>
          </w:tcPr>
          <w:p w:rsidR="00000000" w:rsidRDefault="00821B8F">
            <w:pPr>
              <w:spacing w:line="360" w:lineRule="exact"/>
              <w:jc w:val="right"/>
              <w:rPr>
                <w:rFonts w:hint="eastAsia"/>
                <w:color w:val="000000"/>
                <w:szCs w:val="21"/>
              </w:rPr>
            </w:pPr>
            <w:r>
              <w:rPr>
                <w:rFonts w:hint="eastAsia"/>
                <w:color w:val="000000"/>
                <w:szCs w:val="21"/>
              </w:rPr>
              <w:t>18.5</w:t>
            </w:r>
          </w:p>
        </w:tc>
        <w:tc>
          <w:tcPr>
            <w:tcW w:w="574" w:type="pct"/>
          </w:tcPr>
          <w:p w:rsidR="00000000" w:rsidRDefault="00821B8F">
            <w:pPr>
              <w:spacing w:line="360" w:lineRule="exact"/>
              <w:jc w:val="right"/>
              <w:rPr>
                <w:rFonts w:hint="eastAsia"/>
                <w:color w:val="000000"/>
                <w:szCs w:val="21"/>
              </w:rPr>
            </w:pPr>
            <w:r>
              <w:rPr>
                <w:rFonts w:hint="eastAsia"/>
                <w:color w:val="000000"/>
                <w:szCs w:val="21"/>
              </w:rPr>
              <w:t>20.6</w:t>
            </w:r>
          </w:p>
        </w:tc>
        <w:tc>
          <w:tcPr>
            <w:tcW w:w="574" w:type="pct"/>
          </w:tcPr>
          <w:p w:rsidR="00000000" w:rsidRDefault="00821B8F">
            <w:pPr>
              <w:spacing w:line="360" w:lineRule="exact"/>
              <w:jc w:val="right"/>
              <w:rPr>
                <w:rFonts w:hint="eastAsia"/>
                <w:color w:val="000000"/>
                <w:szCs w:val="21"/>
              </w:rPr>
            </w:pPr>
            <w:r>
              <w:rPr>
                <w:rFonts w:hint="eastAsia"/>
                <w:color w:val="000000"/>
                <w:szCs w:val="21"/>
              </w:rPr>
              <w:t>26.2</w:t>
            </w:r>
          </w:p>
        </w:tc>
      </w:tr>
    </w:tbl>
    <w:p w:rsidR="00000000" w:rsidRDefault="00821B8F">
      <w:pPr>
        <w:spacing w:before="60" w:after="120" w:line="360" w:lineRule="exact"/>
        <w:rPr>
          <w:rFonts w:hint="eastAsia"/>
          <w:color w:val="000000"/>
          <w:szCs w:val="18"/>
        </w:rPr>
      </w:pPr>
      <w:r>
        <w:rPr>
          <w:rFonts w:hint="eastAsia"/>
          <w:color w:val="000000"/>
          <w:szCs w:val="18"/>
        </w:rPr>
        <w:t>资料来源：关于外债数据，见亚洲开发银行网站；其他数据均选自国家统计局，《</w:t>
      </w:r>
      <w:r>
        <w:rPr>
          <w:rFonts w:hint="eastAsia"/>
          <w:color w:val="000000"/>
          <w:szCs w:val="18"/>
        </w:rPr>
        <w:t>2002</w:t>
      </w:r>
      <w:r>
        <w:rPr>
          <w:rFonts w:hint="eastAsia"/>
          <w:color w:val="000000"/>
          <w:szCs w:val="18"/>
        </w:rPr>
        <w:t>年菲律宾年鉴》。</w:t>
      </w:r>
    </w:p>
    <w:p w:rsidR="00000000" w:rsidRDefault="00821B8F">
      <w:pPr>
        <w:spacing w:before="120" w:after="120" w:line="360" w:lineRule="exact"/>
        <w:jc w:val="center"/>
        <w:rPr>
          <w:rFonts w:hint="eastAsia"/>
          <w:b/>
          <w:color w:val="000000"/>
          <w:szCs w:val="21"/>
        </w:rPr>
      </w:pPr>
    </w:p>
    <w:p w:rsidR="00000000" w:rsidRDefault="00821B8F">
      <w:pPr>
        <w:pStyle w:val="TOC1"/>
        <w:spacing w:before="120"/>
        <w:rPr>
          <w:rFonts w:ascii="SimHei" w:hint="eastAsia"/>
        </w:rPr>
      </w:pPr>
      <w:r>
        <w:rPr>
          <w:rFonts w:ascii="SimHei" w:hint="eastAsia"/>
        </w:rPr>
        <w:t>附件</w:t>
      </w:r>
      <w:r>
        <w:rPr>
          <w:rFonts w:ascii="SimHei" w:hint="eastAsia"/>
        </w:rPr>
        <w:t xml:space="preserve">B: </w:t>
      </w:r>
      <w:r>
        <w:rPr>
          <w:rFonts w:ascii="SimHei" w:hint="eastAsia"/>
        </w:rPr>
        <w:t>菲律宾执行北京行动纲要的进展报告（</w:t>
      </w:r>
      <w:r>
        <w:rPr>
          <w:rFonts w:ascii="SimHei" w:hint="eastAsia"/>
        </w:rPr>
        <w:t>2001-2003</w:t>
      </w:r>
      <w:r>
        <w:rPr>
          <w:rFonts w:ascii="SimHei" w:hint="eastAsia"/>
        </w:rPr>
        <w:t>年</w:t>
      </w:r>
      <w:r>
        <w:rPr>
          <w:rFonts w:ascii="SimHei" w:hint="eastAsia"/>
        </w:rPr>
        <w:t>）和成果文件</w:t>
      </w:r>
    </w:p>
    <w:p w:rsidR="00000000" w:rsidRDefault="00821B8F">
      <w:pPr>
        <w:tabs>
          <w:tab w:val="left" w:pos="6569"/>
        </w:tabs>
        <w:spacing w:before="120" w:after="120" w:line="360" w:lineRule="exact"/>
        <w:rPr>
          <w:rFonts w:hint="eastAsia"/>
          <w:color w:val="000000"/>
          <w:szCs w:val="21"/>
        </w:rPr>
      </w:pPr>
      <w:r>
        <w:rPr>
          <w:rFonts w:hint="eastAsia"/>
          <w:color w:val="000000"/>
          <w:szCs w:val="21"/>
        </w:rPr>
        <w:t>说明：</w:t>
      </w:r>
    </w:p>
    <w:p w:rsidR="00000000" w:rsidRDefault="00821B8F">
      <w:pPr>
        <w:spacing w:after="240" w:line="360" w:lineRule="exact"/>
        <w:jc w:val="left"/>
        <w:rPr>
          <w:rFonts w:hint="eastAsia"/>
          <w:color w:val="000000"/>
          <w:szCs w:val="21"/>
        </w:rPr>
      </w:pPr>
      <w:r>
        <w:rPr>
          <w:rFonts w:hint="eastAsia"/>
          <w:color w:val="000000"/>
          <w:szCs w:val="21"/>
        </w:rPr>
        <w:t>附件</w:t>
      </w:r>
      <w:r>
        <w:rPr>
          <w:rFonts w:hint="eastAsia"/>
          <w:color w:val="000000"/>
          <w:szCs w:val="21"/>
        </w:rPr>
        <w:t>B</w:t>
      </w:r>
      <w:r>
        <w:rPr>
          <w:rFonts w:hint="eastAsia"/>
          <w:color w:val="000000"/>
          <w:szCs w:val="21"/>
        </w:rPr>
        <w:t>提到的报告将以其收文时所用的语言发给委员会各位委员。</w:t>
      </w:r>
    </w:p>
    <w:p w:rsidR="00000000" w:rsidRDefault="00821B8F">
      <w:pPr>
        <w:spacing w:after="240" w:line="360" w:lineRule="exact"/>
        <w:jc w:val="left"/>
        <w:rPr>
          <w:rFonts w:hint="eastAsia"/>
          <w:color w:val="000000"/>
          <w:szCs w:val="21"/>
        </w:rPr>
      </w:pPr>
      <w:r>
        <w:rPr>
          <w:rFonts w:hint="eastAsia"/>
          <w:color w:val="000000"/>
          <w:szCs w:val="21"/>
        </w:rPr>
        <w:t>*</w:t>
      </w:r>
      <w:r>
        <w:rPr>
          <w:color w:val="000000"/>
          <w:szCs w:val="21"/>
        </w:rPr>
        <w:t xml:space="preserve"> </w:t>
      </w:r>
      <w:r>
        <w:rPr>
          <w:rFonts w:hint="eastAsia"/>
          <w:color w:val="000000"/>
          <w:szCs w:val="21"/>
        </w:rPr>
        <w:t>注：</w:t>
      </w:r>
      <w:r>
        <w:rPr>
          <w:rFonts w:hint="eastAsia"/>
          <w:color w:val="000000"/>
          <w:szCs w:val="21"/>
        </w:rPr>
        <w:t>B14</w:t>
      </w:r>
      <w:r>
        <w:rPr>
          <w:color w:val="000000"/>
          <w:szCs w:val="21"/>
        </w:rPr>
        <w:t>.2</w:t>
      </w:r>
      <w:r>
        <w:rPr>
          <w:rFonts w:hint="eastAsia"/>
          <w:color w:val="000000"/>
          <w:szCs w:val="21"/>
        </w:rPr>
        <w:t>和</w:t>
      </w:r>
      <w:r>
        <w:rPr>
          <w:color w:val="000000"/>
          <w:szCs w:val="21"/>
        </w:rPr>
        <w:t>B14</w:t>
      </w:r>
      <w:r>
        <w:rPr>
          <w:rFonts w:hint="eastAsia"/>
          <w:color w:val="000000"/>
          <w:szCs w:val="21"/>
        </w:rPr>
        <w:t>.3</w:t>
      </w:r>
      <w:r>
        <w:rPr>
          <w:rFonts w:hint="eastAsia"/>
          <w:color w:val="000000"/>
          <w:szCs w:val="21"/>
        </w:rPr>
        <w:t>未列在提交件中。</w:t>
      </w:r>
    </w:p>
    <w:p w:rsidR="00000000" w:rsidRDefault="00821B8F">
      <w:pPr>
        <w:spacing w:after="240" w:line="360" w:lineRule="exact"/>
        <w:jc w:val="left"/>
        <w:rPr>
          <w:rFonts w:hint="eastAsia"/>
          <w:sz w:val="18"/>
          <w:szCs w:val="18"/>
        </w:rPr>
      </w:pPr>
    </w:p>
    <w:p w:rsidR="00000000" w:rsidRDefault="00821B8F">
      <w:pPr>
        <w:spacing w:after="240" w:line="360" w:lineRule="exact"/>
        <w:jc w:val="center"/>
        <w:rPr>
          <w:rFonts w:hint="eastAsia"/>
          <w:sz w:val="18"/>
          <w:szCs w:val="18"/>
        </w:rPr>
      </w:pPr>
      <w:r>
        <w:rPr>
          <w:rFonts w:hint="eastAsia"/>
          <w:sz w:val="18"/>
          <w:szCs w:val="18"/>
        </w:rPr>
        <w:t>——————</w:t>
      </w:r>
    </w:p>
    <w:sectPr w:rsidR="00000000">
      <w:headerReference w:type="even" r:id="rId33"/>
      <w:headerReference w:type="default" r:id="rId34"/>
      <w:footerReference w:type="even" r:id="rId35"/>
      <w:footerReference w:type="default" r:id="rId36"/>
      <w:pgSz w:w="12242" w:h="15842" w:code="54"/>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821B8F">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w:t>
      </w:r>
      <w:r>
        <w:rPr>
          <w:rFonts w:hint="eastAsia"/>
        </w:rPr>
        <w:t>4</w:t>
      </w:r>
      <w:r>
        <w:t>4</w:t>
      </w:r>
      <w:r>
        <w:rPr>
          <w:rFonts w:hint="eastAsia"/>
        </w:rPr>
        <w:t>5969</w:t>
      </w:r>
      <w:r>
        <w:t>C&lt;&lt;ODS JOB NO&gt;&gt;</w:t>
      </w:r>
    </w:p>
    <w:p w:rsidR="00000000" w:rsidRDefault="00821B8F">
      <w:pPr>
        <w:pStyle w:val="CommentText"/>
      </w:pPr>
      <w:r>
        <w:t>&lt;&lt;ODS DOC SYMBOL1&gt;&gt;CEDAW/C/</w:t>
      </w:r>
      <w:r>
        <w:rPr>
          <w:rFonts w:hint="eastAsia"/>
        </w:rPr>
        <w:t>PHI</w:t>
      </w:r>
      <w:r>
        <w:t>/</w:t>
      </w:r>
      <w:r>
        <w:rPr>
          <w:rFonts w:hint="eastAsia"/>
        </w:rPr>
        <w:t>5</w:t>
      </w:r>
      <w:r>
        <w:t>-</w:t>
      </w:r>
      <w:r>
        <w:rPr>
          <w:rFonts w:hint="eastAsia"/>
        </w:rPr>
        <w:t>6</w:t>
      </w:r>
      <w:r>
        <w:t>&lt;&lt;ODS DOC SYMBOL1&gt;&gt;</w:t>
      </w:r>
    </w:p>
    <w:p w:rsidR="00000000" w:rsidRDefault="00821B8F">
      <w:pPr>
        <w:pStyle w:val="CommentText"/>
      </w:pPr>
      <w:r>
        <w:t>&lt;&lt;ODS DOC SYMBOL2</w:t>
      </w:r>
      <w:r>
        <w:t>&gt;&gt;&lt;&lt;ODS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1B8F">
      <w:pPr>
        <w:spacing w:line="240" w:lineRule="auto"/>
      </w:pPr>
      <w:r>
        <w:separator/>
      </w:r>
    </w:p>
  </w:endnote>
  <w:endnote w:type="continuationSeparator" w:id="0">
    <w:p w:rsidR="00000000" w:rsidRDefault="00821B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TXinwei">
    <w:altName w:val="华文新魏"/>
    <w:charset w:val="86"/>
    <w:family w:val="auto"/>
    <w:pitch w:val="variable"/>
    <w:sig w:usb0="00000001" w:usb1="080F0000" w:usb2="00000010" w:usb3="00000000" w:csb0="0004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Macedonian Tms">
    <w:charset w:val="00"/>
    <w:family w:val="roman"/>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C C Swiss">
    <w:altName w:val="Times New Roman"/>
    <w:panose1 w:val="00000000000000000000"/>
    <w:charset w:val="00"/>
    <w:family w:val="roman"/>
    <w:notTrueType/>
    <w:pitch w:val="default"/>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821B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821B8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spacing w:before="60" w:after="60" w:line="200" w:lineRule="exact"/>
    </w:pPr>
    <w:r>
      <w:rPr>
        <w:rFonts w:hint="eastAsia"/>
      </w:rPr>
      <w:t>04-</w:t>
    </w:r>
    <w:r>
      <w:t>4</w:t>
    </w:r>
    <w:r>
      <w:rPr>
        <w:rFonts w:hint="eastAsia"/>
      </w:rPr>
      <w:t>5969</w:t>
    </w:r>
    <w:r>
      <w:t>(</w:t>
    </w:r>
    <w:r>
      <w:rPr>
        <w:rFonts w:hint="eastAsia"/>
      </w:rPr>
      <w:t>C</w:t>
    </w:r>
    <w:r>
      <w:t>)</w:t>
    </w:r>
  </w:p>
  <w:p w:rsidR="00000000" w:rsidRDefault="00821B8F">
    <w:pPr>
      <w:spacing w:before="60" w:after="60" w:line="200" w:lineRule="exact"/>
      <w:rPr>
        <w:rFonts w:ascii="Barcode 3 of 9 by request" w:hAnsi="Barcode 3 of 9 by request"/>
        <w:b/>
      </w:rPr>
    </w:pPr>
    <w:r>
      <w:rPr>
        <w:rFonts w:ascii="Barcode 3 of 9 by request" w:hAnsi="Barcode 3 of 9 by request"/>
        <w:b/>
      </w:rPr>
      <w:t>*0445969*</w:t>
    </w:r>
  </w:p>
  <w:p w:rsidR="00000000" w:rsidRDefault="00821B8F">
    <w:pPr>
      <w:pStyle w:val="FootnoteText"/>
      <w:spacing w:afterLines="50" w:after="120"/>
      <w:rPr>
        <w:rFonts w:hint="eastAsia"/>
        <w:b/>
        <w:bCs/>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821B8F">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000000" w:rsidRDefault="00821B8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1B8F">
      <w:pPr>
        <w:spacing w:line="240" w:lineRule="auto"/>
      </w:pPr>
      <w:r>
        <w:separator/>
      </w:r>
    </w:p>
  </w:footnote>
  <w:footnote w:type="continuationSeparator" w:id="0">
    <w:p w:rsidR="00000000" w:rsidRDefault="00821B8F">
      <w:pPr>
        <w:spacing w:line="240" w:lineRule="auto"/>
      </w:pPr>
      <w:r>
        <w:continuationSeparator/>
      </w:r>
    </w:p>
  </w:footnote>
  <w:footnote w:id="1">
    <w:p w:rsidR="00000000" w:rsidRDefault="00821B8F">
      <w:pPr>
        <w:pStyle w:val="FootnoteText"/>
        <w:spacing w:line="320" w:lineRule="exact"/>
        <w:ind w:left="480" w:hanging="480"/>
        <w:jc w:val="both"/>
        <w:rPr>
          <w:rFonts w:eastAsia="SimSun" w:hint="eastAsia"/>
        </w:rPr>
      </w:pPr>
      <w:r>
        <w:rPr>
          <w:rStyle w:val="FootnoteReference"/>
          <w:rFonts w:eastAsia="SimSun"/>
        </w:rPr>
        <w:t>*</w:t>
      </w:r>
      <w:r>
        <w:rPr>
          <w:rFonts w:eastAsia="SimSun" w:hint="eastAsia"/>
        </w:rPr>
        <w:t xml:space="preserve">  </w:t>
      </w:r>
      <w:r>
        <w:rPr>
          <w:rFonts w:eastAsia="SimSun" w:hint="eastAsia"/>
        </w:rPr>
        <w:tab/>
      </w:r>
      <w:r>
        <w:rPr>
          <w:rFonts w:eastAsia="SimSun" w:hint="eastAsia"/>
        </w:rPr>
        <w:t>本报告未经正式编辑而分发。</w:t>
      </w:r>
    </w:p>
    <w:p w:rsidR="00000000" w:rsidRDefault="00821B8F">
      <w:pPr>
        <w:pStyle w:val="FootnoteText"/>
        <w:spacing w:line="320" w:lineRule="exact"/>
        <w:ind w:left="480" w:hanging="480"/>
        <w:jc w:val="both"/>
        <w:rPr>
          <w:rFonts w:eastAsia="SimSun"/>
        </w:rPr>
      </w:pPr>
    </w:p>
  </w:footnote>
  <w:footnote w:id="2">
    <w:p w:rsidR="00000000" w:rsidRDefault="00821B8F">
      <w:pPr>
        <w:pStyle w:val="FootnoteText"/>
        <w:spacing w:after="120" w:line="320" w:lineRule="exact"/>
        <w:jc w:val="both"/>
        <w:rPr>
          <w:rFonts w:eastAsia="SimSun"/>
        </w:rPr>
      </w:pPr>
      <w:r>
        <w:rPr>
          <w:rStyle w:val="FootnoteReference"/>
          <w:rFonts w:eastAsia="SimSun"/>
        </w:rPr>
        <w:footnoteRef/>
      </w:r>
      <w:r>
        <w:rPr>
          <w:rFonts w:eastAsia="SimSun" w:hint="eastAsia"/>
          <w:spacing w:val="-2"/>
        </w:rPr>
        <w:t xml:space="preserve"> </w:t>
      </w:r>
      <w:r>
        <w:rPr>
          <w:rFonts w:eastAsia="SimSun"/>
          <w:spacing w:val="-2"/>
        </w:rPr>
        <w:t xml:space="preserve"> </w:t>
      </w:r>
      <w:r>
        <w:rPr>
          <w:rFonts w:eastAsia="SimSun" w:hint="eastAsia"/>
          <w:spacing w:val="-2"/>
        </w:rPr>
        <w:t>菲律宾向联合国消除对妇女歧视委员会提交的第二次定期报告中介绍，第一次民权革命发生在</w:t>
      </w:r>
      <w:r>
        <w:rPr>
          <w:rFonts w:eastAsia="SimSun" w:hint="eastAsia"/>
          <w:spacing w:val="-2"/>
        </w:rPr>
        <w:t>1986</w:t>
      </w:r>
      <w:r>
        <w:rPr>
          <w:rFonts w:eastAsia="SimSun" w:hint="eastAsia"/>
          <w:spacing w:val="-2"/>
        </w:rPr>
        <w:t>年。和第一次一样，第二次民权革命被称为</w:t>
      </w:r>
      <w:r>
        <w:rPr>
          <w:rFonts w:eastAsia="SimSun" w:hint="eastAsia"/>
          <w:spacing w:val="-2"/>
        </w:rPr>
        <w:t>EDSA II</w:t>
      </w:r>
      <w:r>
        <w:rPr>
          <w:rFonts w:eastAsia="SimSun" w:hint="eastAsia"/>
          <w:spacing w:val="-2"/>
        </w:rPr>
        <w:t>，是用</w:t>
      </w:r>
      <w:r>
        <w:rPr>
          <w:rFonts w:eastAsia="SimSun" w:hint="eastAsia"/>
          <w:spacing w:val="-2"/>
        </w:rPr>
        <w:t>Epifanio de los Santos</w:t>
      </w:r>
      <w:r>
        <w:rPr>
          <w:rFonts w:eastAsia="SimSun" w:hint="eastAsia"/>
          <w:spacing w:val="-2"/>
        </w:rPr>
        <w:t>大道（</w:t>
      </w:r>
      <w:r>
        <w:rPr>
          <w:rFonts w:eastAsia="SimSun" w:hint="eastAsia"/>
          <w:spacing w:val="-2"/>
        </w:rPr>
        <w:t>EDSA</w:t>
      </w:r>
      <w:r>
        <w:rPr>
          <w:rFonts w:eastAsia="SimSun" w:hint="eastAsia"/>
          <w:spacing w:val="-2"/>
        </w:rPr>
        <w:t>）命名的，在“革命”期间大批人聚集在这里。</w:t>
      </w:r>
    </w:p>
  </w:footnote>
  <w:footnote w:id="3">
    <w:p w:rsidR="00000000" w:rsidRDefault="00821B8F">
      <w:pPr>
        <w:pStyle w:val="BodyText"/>
        <w:spacing w:after="120" w:line="320" w:lineRule="exact"/>
        <w:rPr>
          <w:rFonts w:ascii="Times New Roman"/>
          <w:sz w:val="18"/>
        </w:rPr>
      </w:pPr>
      <w:r>
        <w:rPr>
          <w:rStyle w:val="FootnoteReference"/>
          <w:rFonts w:ascii="Times New Roman"/>
          <w:sz w:val="18"/>
        </w:rPr>
        <w:footnoteRef/>
      </w:r>
      <w:r>
        <w:rPr>
          <w:rFonts w:ascii="Times New Roman"/>
          <w:sz w:val="18"/>
        </w:rPr>
        <w:t xml:space="preserve">  </w:t>
      </w:r>
      <w:r>
        <w:rPr>
          <w:rFonts w:ascii="Times New Roman" w:hint="eastAsia"/>
          <w:sz w:val="18"/>
        </w:rPr>
        <w:t>自</w:t>
      </w:r>
      <w:r>
        <w:rPr>
          <w:rFonts w:ascii="Times New Roman" w:hint="eastAsia"/>
          <w:sz w:val="18"/>
        </w:rPr>
        <w:t>1960</w:t>
      </w:r>
      <w:r>
        <w:rPr>
          <w:rFonts w:ascii="Times New Roman" w:hint="eastAsia"/>
          <w:sz w:val="18"/>
        </w:rPr>
        <w:t>年代起，菲律宾与共产党领导下的菲律宾新人民军一直在发生武</w:t>
      </w:r>
      <w:r>
        <w:rPr>
          <w:rFonts w:ascii="Times New Roman" w:hint="eastAsia"/>
          <w:sz w:val="18"/>
        </w:rPr>
        <w:t>装冲突，自</w:t>
      </w:r>
      <w:r>
        <w:rPr>
          <w:rFonts w:ascii="Times New Roman" w:hint="eastAsia"/>
          <w:sz w:val="18"/>
        </w:rPr>
        <w:t>1970</w:t>
      </w:r>
      <w:r>
        <w:rPr>
          <w:rFonts w:ascii="Times New Roman" w:hint="eastAsia"/>
          <w:sz w:val="18"/>
        </w:rPr>
        <w:t>年代开始，又与南方分裂主义运动，主要是</w:t>
      </w:r>
      <w:r>
        <w:rPr>
          <w:rFonts w:ascii="Times New Roman"/>
          <w:sz w:val="18"/>
        </w:rPr>
        <w:t>摩洛</w:t>
      </w:r>
      <w:r>
        <w:rPr>
          <w:rFonts w:ascii="Times New Roman" w:hint="eastAsia"/>
          <w:sz w:val="18"/>
        </w:rPr>
        <w:t>全国解放阵线和</w:t>
      </w:r>
      <w:r>
        <w:rPr>
          <w:rFonts w:ascii="Times New Roman"/>
          <w:sz w:val="18"/>
        </w:rPr>
        <w:t>摩洛</w:t>
      </w:r>
      <w:r>
        <w:rPr>
          <w:rFonts w:ascii="Times New Roman" w:hint="eastAsia"/>
          <w:sz w:val="18"/>
        </w:rPr>
        <w:t>伊斯兰解放阵线发生武装冲突。</w:t>
      </w:r>
      <w:r>
        <w:rPr>
          <w:rFonts w:ascii="Times New Roman"/>
          <w:sz w:val="18"/>
        </w:rPr>
        <w:t>摩洛民族解放阵线</w:t>
      </w:r>
      <w:r>
        <w:rPr>
          <w:rFonts w:ascii="Times New Roman" w:hint="eastAsia"/>
          <w:sz w:val="18"/>
        </w:rPr>
        <w:t>首先在</w:t>
      </w:r>
      <w:r>
        <w:rPr>
          <w:rFonts w:ascii="Times New Roman" w:hint="eastAsia"/>
          <w:sz w:val="18"/>
        </w:rPr>
        <w:t>1976</w:t>
      </w:r>
      <w:r>
        <w:rPr>
          <w:rFonts w:ascii="Times New Roman" w:hint="eastAsia"/>
          <w:sz w:val="18"/>
        </w:rPr>
        <w:t>年与政府进行和谈，终于在</w:t>
      </w:r>
      <w:r>
        <w:rPr>
          <w:rFonts w:ascii="Times New Roman" w:hint="eastAsia"/>
          <w:sz w:val="18"/>
        </w:rPr>
        <w:t>1996</w:t>
      </w:r>
      <w:r>
        <w:rPr>
          <w:rFonts w:ascii="Times New Roman" w:hint="eastAsia"/>
          <w:sz w:val="18"/>
        </w:rPr>
        <w:t>年几个以穆斯林为主的省份赢得了自治。</w:t>
      </w:r>
      <w:r>
        <w:rPr>
          <w:rFonts w:ascii="Times New Roman"/>
          <w:sz w:val="18"/>
        </w:rPr>
        <w:t>摩洛</w:t>
      </w:r>
      <w:r>
        <w:rPr>
          <w:rFonts w:ascii="Times New Roman" w:hint="eastAsia"/>
          <w:sz w:val="18"/>
        </w:rPr>
        <w:t>伊斯兰解放阵线在</w:t>
      </w:r>
      <w:r>
        <w:rPr>
          <w:rFonts w:ascii="Times New Roman" w:hint="eastAsia"/>
          <w:sz w:val="18"/>
        </w:rPr>
        <w:t>1977</w:t>
      </w:r>
      <w:r>
        <w:rPr>
          <w:rFonts w:ascii="Times New Roman" w:hint="eastAsia"/>
          <w:sz w:val="18"/>
        </w:rPr>
        <w:t>年从摩洛民族解放阵线中分离出来，为达到建立独立的伊斯兰国家的目的继续进行长期武装斗争。阿布沙耶夫（在阿拉伯语中意为“上帝之剑”）是另一个武装分裂团伙。这个团伙干下了大量犯罪活动，主要是绑票，政府正在对其进行搜捕（费雷尔，</w:t>
      </w:r>
      <w:r>
        <w:rPr>
          <w:rFonts w:ascii="Times New Roman"/>
          <w:sz w:val="18"/>
        </w:rPr>
        <w:t>2003</w:t>
      </w:r>
      <w:r>
        <w:rPr>
          <w:rFonts w:ascii="Times New Roman" w:hint="eastAsia"/>
          <w:sz w:val="18"/>
        </w:rPr>
        <w:t>年）。</w:t>
      </w:r>
    </w:p>
  </w:footnote>
  <w:footnote w:id="4">
    <w:p w:rsidR="00000000" w:rsidRDefault="00821B8F">
      <w:pPr>
        <w:pStyle w:val="BodyText"/>
        <w:spacing w:after="120" w:line="320" w:lineRule="exact"/>
        <w:rPr>
          <w:rFonts w:ascii="Times New Roman" w:hint="eastAsia"/>
          <w:sz w:val="18"/>
        </w:rPr>
      </w:pPr>
      <w:r>
        <w:rPr>
          <w:rStyle w:val="FootnoteReference"/>
          <w:rFonts w:ascii="Times New Roman"/>
          <w:sz w:val="18"/>
        </w:rPr>
        <w:footnoteRef/>
      </w:r>
      <w:r>
        <w:rPr>
          <w:rFonts w:ascii="Times New Roman"/>
          <w:sz w:val="18"/>
        </w:rPr>
        <w:t xml:space="preserve">  </w:t>
      </w:r>
      <w:r>
        <w:rPr>
          <w:rFonts w:ascii="Times New Roman" w:hint="eastAsia"/>
          <w:sz w:val="18"/>
        </w:rPr>
        <w:t>根据菲律宾国家经济发展管理局和</w:t>
      </w:r>
      <w:r>
        <w:rPr>
          <w:rFonts w:ascii="Times New Roman" w:hint="eastAsia"/>
          <w:sz w:val="18"/>
        </w:rPr>
        <w:t>2000</w:t>
      </w:r>
      <w:r>
        <w:rPr>
          <w:rFonts w:ascii="Times New Roman" w:hint="eastAsia"/>
          <w:sz w:val="18"/>
        </w:rPr>
        <w:t>年联合国开发计划署的联合评估。</w:t>
      </w:r>
    </w:p>
  </w:footnote>
  <w:footnote w:id="5">
    <w:p w:rsidR="00000000" w:rsidRDefault="00821B8F">
      <w:pPr>
        <w:pStyle w:val="BodyText"/>
        <w:tabs>
          <w:tab w:val="left" w:pos="1620"/>
        </w:tabs>
        <w:spacing w:after="120" w:line="320" w:lineRule="exact"/>
        <w:rPr>
          <w:rFonts w:ascii="Times New Roman" w:hint="eastAsia"/>
          <w:sz w:val="18"/>
        </w:rPr>
      </w:pPr>
      <w:r>
        <w:rPr>
          <w:rStyle w:val="FootnoteReference"/>
          <w:rFonts w:ascii="Times New Roman"/>
          <w:sz w:val="18"/>
        </w:rPr>
        <w:footnoteRef/>
      </w:r>
      <w:r>
        <w:rPr>
          <w:rFonts w:ascii="Times New Roman" w:hint="eastAsia"/>
          <w:sz w:val="18"/>
        </w:rPr>
        <w:t xml:space="preserve"> </w:t>
      </w:r>
      <w:r>
        <w:rPr>
          <w:rFonts w:ascii="Times New Roman" w:hint="eastAsia"/>
          <w:sz w:val="18"/>
        </w:rPr>
        <w:t>非指数犯罪指未视为指数犯罪的其他各种犯罪。</w:t>
      </w:r>
    </w:p>
  </w:footnote>
  <w:footnote w:id="6">
    <w:p w:rsidR="00000000" w:rsidRDefault="00821B8F">
      <w:pPr>
        <w:pStyle w:val="FootnoteText"/>
        <w:spacing w:after="120" w:line="320" w:lineRule="exact"/>
        <w:jc w:val="both"/>
        <w:rPr>
          <w:rFonts w:eastAsia="SimSun"/>
        </w:rPr>
      </w:pPr>
      <w:r>
        <w:rPr>
          <w:rStyle w:val="FootnoteReference"/>
          <w:rFonts w:eastAsia="SimSun"/>
        </w:rPr>
        <w:footnoteRef/>
      </w:r>
      <w:r>
        <w:rPr>
          <w:rFonts w:eastAsia="SimSun" w:hint="eastAsia"/>
        </w:rPr>
        <w:t xml:space="preserve"> </w:t>
      </w:r>
      <w:r>
        <w:rPr>
          <w:rFonts w:eastAsia="SimSun" w:hint="eastAsia"/>
        </w:rPr>
        <w:t>指数犯罪指案情重大、频繁发生、带有目的性因而必须引起足够注意的那些犯罪，包括谋杀、人身伤害、抢劫、盗窃和强奸。</w:t>
      </w:r>
    </w:p>
  </w:footnote>
  <w:footnote w:id="7">
    <w:p w:rsidR="00000000" w:rsidRDefault="00821B8F">
      <w:pPr>
        <w:pStyle w:val="BodyText"/>
        <w:tabs>
          <w:tab w:val="left" w:pos="1620"/>
        </w:tabs>
        <w:spacing w:after="120" w:line="320" w:lineRule="exact"/>
        <w:rPr>
          <w:rFonts w:ascii="Times New Roman"/>
          <w:sz w:val="18"/>
        </w:rPr>
      </w:pPr>
      <w:r>
        <w:rPr>
          <w:rStyle w:val="FootnoteReference"/>
          <w:rFonts w:ascii="Times New Roman"/>
          <w:sz w:val="18"/>
        </w:rPr>
        <w:footnoteRef/>
      </w:r>
      <w:r>
        <w:rPr>
          <w:rFonts w:ascii="Times New Roman"/>
          <w:sz w:val="18"/>
        </w:rPr>
        <w:t xml:space="preserve"> </w:t>
      </w:r>
      <w:r>
        <w:rPr>
          <w:rFonts w:ascii="Times New Roman" w:hint="eastAsia"/>
          <w:sz w:val="18"/>
        </w:rPr>
        <w:t>国家统计协调委员会估计，</w:t>
      </w:r>
      <w:r>
        <w:rPr>
          <w:rFonts w:ascii="Times New Roman" w:hint="eastAsia"/>
          <w:sz w:val="18"/>
        </w:rPr>
        <w:t>2000</w:t>
      </w:r>
      <w:r>
        <w:rPr>
          <w:rFonts w:ascii="Times New Roman" w:hint="eastAsia"/>
          <w:sz w:val="18"/>
        </w:rPr>
        <w:t>年的人均贫穷阈值或满足个人食品与非食品基本需求的数额是</w:t>
      </w:r>
      <w:r>
        <w:rPr>
          <w:rFonts w:ascii="Times New Roman" w:hint="eastAsia"/>
          <w:sz w:val="18"/>
        </w:rPr>
        <w:t>13 916</w:t>
      </w:r>
      <w:r>
        <w:rPr>
          <w:rFonts w:ascii="Times New Roman" w:hint="eastAsia"/>
          <w:sz w:val="18"/>
        </w:rPr>
        <w:t>菲律宾比索或</w:t>
      </w:r>
      <w:r>
        <w:rPr>
          <w:rFonts w:ascii="Times New Roman" w:hint="eastAsia"/>
          <w:sz w:val="18"/>
        </w:rPr>
        <w:t>315</w:t>
      </w:r>
      <w:r>
        <w:rPr>
          <w:rFonts w:ascii="Times New Roman" w:hint="eastAsia"/>
          <w:sz w:val="18"/>
        </w:rPr>
        <w:t>美元（根据菲律宾中央银行当时的汇率每</w:t>
      </w:r>
      <w:r>
        <w:rPr>
          <w:rFonts w:ascii="Times New Roman" w:hint="eastAsia"/>
          <w:sz w:val="18"/>
        </w:rPr>
        <w:t>44</w:t>
      </w:r>
      <w:r>
        <w:rPr>
          <w:rFonts w:ascii="Times New Roman"/>
          <w:sz w:val="18"/>
        </w:rPr>
        <w:t>.</w:t>
      </w:r>
      <w:r>
        <w:rPr>
          <w:rFonts w:ascii="Times New Roman" w:hint="eastAsia"/>
          <w:sz w:val="18"/>
        </w:rPr>
        <w:t>2</w:t>
      </w:r>
      <w:r>
        <w:rPr>
          <w:rFonts w:ascii="Times New Roman" w:hint="eastAsia"/>
          <w:sz w:val="18"/>
        </w:rPr>
        <w:t>比索兑</w:t>
      </w:r>
      <w:r>
        <w:rPr>
          <w:rFonts w:ascii="Times New Roman" w:hint="eastAsia"/>
          <w:sz w:val="18"/>
        </w:rPr>
        <w:t>1</w:t>
      </w:r>
      <w:r>
        <w:rPr>
          <w:rFonts w:ascii="Times New Roman" w:hint="eastAsia"/>
          <w:sz w:val="18"/>
        </w:rPr>
        <w:t>美元）、或每月约</w:t>
      </w:r>
      <w:r>
        <w:rPr>
          <w:rFonts w:ascii="Times New Roman" w:hint="eastAsia"/>
          <w:sz w:val="18"/>
        </w:rPr>
        <w:t>1 160</w:t>
      </w:r>
      <w:r>
        <w:rPr>
          <w:rFonts w:ascii="Times New Roman" w:hint="eastAsia"/>
          <w:sz w:val="18"/>
        </w:rPr>
        <w:t>比索（</w:t>
      </w:r>
      <w:r>
        <w:rPr>
          <w:rFonts w:ascii="Times New Roman" w:hint="eastAsia"/>
          <w:sz w:val="18"/>
        </w:rPr>
        <w:t>26</w:t>
      </w:r>
      <w:r>
        <w:rPr>
          <w:rFonts w:ascii="Times New Roman" w:hint="eastAsia"/>
          <w:sz w:val="18"/>
        </w:rPr>
        <w:t>美元）。这就是说，一个六口之家每月至少要赚得</w:t>
      </w:r>
      <w:r>
        <w:rPr>
          <w:rFonts w:ascii="Times New Roman" w:hint="eastAsia"/>
          <w:sz w:val="18"/>
        </w:rPr>
        <w:t>6 958</w:t>
      </w:r>
      <w:r>
        <w:rPr>
          <w:rFonts w:ascii="Times New Roman" w:hint="eastAsia"/>
          <w:sz w:val="18"/>
        </w:rPr>
        <w:t>比索（</w:t>
      </w:r>
      <w:r>
        <w:rPr>
          <w:rFonts w:ascii="Times New Roman" w:hint="eastAsia"/>
          <w:sz w:val="18"/>
        </w:rPr>
        <w:t>157</w:t>
      </w:r>
      <w:r>
        <w:rPr>
          <w:rFonts w:ascii="Times New Roman" w:hint="eastAsia"/>
          <w:sz w:val="18"/>
        </w:rPr>
        <w:t>美元）才能满足家庭成员的基本需求。</w:t>
      </w:r>
    </w:p>
  </w:footnote>
  <w:footnote w:id="8">
    <w:p w:rsidR="00000000" w:rsidRDefault="00821B8F">
      <w:pPr>
        <w:pStyle w:val="FootnoteText"/>
        <w:spacing w:after="120" w:line="320" w:lineRule="exact"/>
        <w:jc w:val="both"/>
        <w:rPr>
          <w:rFonts w:eastAsia="SimSun"/>
        </w:rPr>
      </w:pPr>
      <w:r>
        <w:rPr>
          <w:rStyle w:val="FootnoteReference"/>
          <w:rFonts w:eastAsia="SimSun"/>
        </w:rPr>
        <w:footnoteRef/>
      </w:r>
      <w:r>
        <w:rPr>
          <w:rFonts w:eastAsia="SimSun" w:hint="eastAsia"/>
        </w:rPr>
        <w:t xml:space="preserve"> </w:t>
      </w:r>
      <w:r>
        <w:rPr>
          <w:rFonts w:eastAsia="SimSun" w:hint="eastAsia"/>
        </w:rPr>
        <w:t>吉</w:t>
      </w:r>
      <w:r>
        <w:rPr>
          <w:rFonts w:eastAsia="SimSun" w:hint="eastAsia"/>
        </w:rPr>
        <w:t>尼比率是计量收入不平等程度的一个指数，等于收入分布曲线（劳仑兹曲线）与对角线（计量收入不平等程度的理想收入平等线）之间的面积。吉尼比率或吉尼系数越接近于零，收入的分配越平等（劳动和就业统计局，（未标明日期）：</w:t>
      </w:r>
      <w:r>
        <w:rPr>
          <w:rFonts w:eastAsia="SimSun" w:hint="eastAsia"/>
        </w:rPr>
        <w:t>18</w:t>
      </w:r>
      <w:r>
        <w:rPr>
          <w:rFonts w:eastAsia="SimSun" w:hint="eastAsia"/>
        </w:rPr>
        <w:t>）。</w:t>
      </w:r>
    </w:p>
  </w:footnote>
  <w:footnote w:id="9">
    <w:p w:rsidR="00000000" w:rsidRDefault="00821B8F">
      <w:pPr>
        <w:pStyle w:val="BodyText"/>
        <w:tabs>
          <w:tab w:val="left" w:pos="1620"/>
        </w:tabs>
        <w:spacing w:after="120" w:line="320" w:lineRule="exact"/>
        <w:rPr>
          <w:rFonts w:ascii="Times New Roman" w:hint="eastAsia"/>
          <w:sz w:val="18"/>
        </w:rPr>
      </w:pPr>
      <w:r>
        <w:rPr>
          <w:rStyle w:val="FootnoteReference"/>
          <w:rFonts w:ascii="Times New Roman"/>
          <w:sz w:val="18"/>
        </w:rPr>
        <w:footnoteRef/>
      </w:r>
      <w:r>
        <w:rPr>
          <w:rFonts w:ascii="Times New Roman"/>
          <w:sz w:val="18"/>
        </w:rPr>
        <w:t xml:space="preserve"> </w:t>
      </w:r>
      <w:r>
        <w:rPr>
          <w:rFonts w:ascii="Times New Roman" w:hint="eastAsia"/>
          <w:sz w:val="18"/>
        </w:rPr>
        <w:t>1990</w:t>
      </w:r>
      <w:r>
        <w:rPr>
          <w:rFonts w:ascii="Times New Roman" w:hint="eastAsia"/>
          <w:sz w:val="18"/>
        </w:rPr>
        <w:t>和</w:t>
      </w:r>
      <w:r>
        <w:rPr>
          <w:rFonts w:ascii="Times New Roman" w:hint="eastAsia"/>
          <w:sz w:val="18"/>
        </w:rPr>
        <w:t>1995</w:t>
      </w:r>
      <w:r>
        <w:rPr>
          <w:rFonts w:ascii="Times New Roman" w:hint="eastAsia"/>
          <w:sz w:val="18"/>
        </w:rPr>
        <w:t>年的产妇死亡率和婴儿及儿童死亡率的数据选自“技术工作组关于产妇和儿童死亡率的最终报告”（国家统计协调委员会，</w:t>
      </w:r>
      <w:r>
        <w:rPr>
          <w:rFonts w:ascii="Times New Roman" w:hint="eastAsia"/>
          <w:sz w:val="18"/>
        </w:rPr>
        <w:t>1995</w:t>
      </w:r>
      <w:r>
        <w:rPr>
          <w:rFonts w:ascii="Times New Roman" w:hint="eastAsia"/>
          <w:sz w:val="18"/>
        </w:rPr>
        <w:t>年），</w:t>
      </w:r>
      <w:r>
        <w:rPr>
          <w:rFonts w:ascii="Times New Roman" w:hint="eastAsia"/>
          <w:sz w:val="18"/>
        </w:rPr>
        <w:t>1998</w:t>
      </w:r>
      <w:r>
        <w:rPr>
          <w:rFonts w:ascii="Times New Roman" w:hint="eastAsia"/>
          <w:sz w:val="18"/>
        </w:rPr>
        <w:t>年的数据选自国家统计局</w:t>
      </w:r>
      <w:r>
        <w:rPr>
          <w:rFonts w:ascii="Times New Roman" w:hint="eastAsia"/>
          <w:sz w:val="18"/>
        </w:rPr>
        <w:t>1998</w:t>
      </w:r>
      <w:r>
        <w:rPr>
          <w:rFonts w:ascii="Times New Roman" w:hint="eastAsia"/>
          <w:sz w:val="18"/>
        </w:rPr>
        <w:t>年全国人口和健康调查报告。</w:t>
      </w:r>
      <w:r>
        <w:rPr>
          <w:rFonts w:ascii="Times New Roman" w:hint="eastAsia"/>
          <w:sz w:val="18"/>
        </w:rPr>
        <w:t xml:space="preserve"> </w:t>
      </w:r>
    </w:p>
  </w:footnote>
  <w:footnote w:id="10">
    <w:p w:rsidR="00000000" w:rsidRDefault="00821B8F">
      <w:pPr>
        <w:pStyle w:val="BodyText"/>
        <w:tabs>
          <w:tab w:val="left" w:pos="1620"/>
        </w:tabs>
        <w:spacing w:after="120" w:line="320" w:lineRule="exact"/>
        <w:rPr>
          <w:rFonts w:ascii="Times New Roman"/>
          <w:sz w:val="18"/>
        </w:rPr>
      </w:pPr>
      <w:r>
        <w:rPr>
          <w:rStyle w:val="FootnoteReference"/>
          <w:rFonts w:ascii="Times New Roman"/>
          <w:sz w:val="18"/>
        </w:rPr>
        <w:footnoteRef/>
      </w:r>
      <w:r>
        <w:rPr>
          <w:rFonts w:ascii="Times New Roman"/>
          <w:sz w:val="18"/>
        </w:rPr>
        <w:t xml:space="preserve"> </w:t>
      </w:r>
      <w:r>
        <w:rPr>
          <w:rFonts w:ascii="Times New Roman" w:hint="eastAsia"/>
          <w:sz w:val="18"/>
        </w:rPr>
        <w:t>人类发展指数是一个复合指数，用来计量在人类发展的以下三个基本层面取得的总体成就</w:t>
      </w:r>
      <w:r>
        <w:rPr>
          <w:rFonts w:ascii="Times New Roman" w:hint="eastAsia"/>
          <w:sz w:val="18"/>
        </w:rPr>
        <w:t>：健康长寿、知识以及体面的生活标准。</w:t>
      </w:r>
    </w:p>
  </w:footnote>
  <w:footnote w:id="11">
    <w:p w:rsidR="00000000" w:rsidRDefault="00821B8F">
      <w:pPr>
        <w:pStyle w:val="FootnoteText"/>
        <w:spacing w:after="120" w:line="320" w:lineRule="exact"/>
        <w:jc w:val="both"/>
        <w:rPr>
          <w:rFonts w:eastAsia="SimSun"/>
        </w:rPr>
      </w:pPr>
      <w:r>
        <w:rPr>
          <w:rStyle w:val="FootnoteReference"/>
          <w:rFonts w:eastAsia="SimSun"/>
        </w:rPr>
        <w:footnoteRef/>
      </w:r>
      <w:r>
        <w:rPr>
          <w:rFonts w:eastAsia="SimSun"/>
        </w:rPr>
        <w:t xml:space="preserve"> </w:t>
      </w:r>
      <w:r>
        <w:rPr>
          <w:rFonts w:eastAsia="SimSun" w:hint="eastAsia"/>
        </w:rPr>
        <w:t>按性别开列的发展指数是一项复合指数，用来计量人类发展指数中包含的三个基本层面上取得的总体成就：健康长寿、知识以及体面的生活标准，并针对男女不平等对其进行调整。妇女权力指数是一项复合指数，用来计量在赋予权力的以下三个基本层面上的性别不平等程度：经济参与与决策、政治参与与决策以及支配经济资源的权力。</w:t>
      </w:r>
    </w:p>
  </w:footnote>
  <w:footnote w:id="12">
    <w:p w:rsidR="00000000" w:rsidRDefault="00821B8F">
      <w:pPr>
        <w:pStyle w:val="FootnoteText"/>
        <w:spacing w:after="120" w:line="320" w:lineRule="exact"/>
        <w:jc w:val="both"/>
        <w:rPr>
          <w:rFonts w:eastAsia="SimSun"/>
        </w:rPr>
      </w:pPr>
      <w:r>
        <w:rPr>
          <w:rStyle w:val="FootnoteReference"/>
          <w:rFonts w:eastAsia="SimSun"/>
        </w:rPr>
        <w:footnoteRef/>
      </w:r>
      <w:r>
        <w:rPr>
          <w:rFonts w:eastAsia="SimSun" w:hint="eastAsia"/>
        </w:rPr>
        <w:t xml:space="preserve"> </w:t>
      </w:r>
      <w:r>
        <w:rPr>
          <w:rFonts w:eastAsia="SimSun" w:hint="eastAsia"/>
        </w:rPr>
        <w:t>以下各小段主要选自伊洛（</w:t>
      </w:r>
      <w:r>
        <w:rPr>
          <w:rFonts w:eastAsia="SimSun" w:hint="eastAsia"/>
        </w:rPr>
        <w:t>2002</w:t>
      </w:r>
      <w:r>
        <w:rPr>
          <w:rFonts w:eastAsia="SimSun" w:hint="eastAsia"/>
        </w:rPr>
        <w:t>年</w:t>
      </w:r>
      <w:r>
        <w:rPr>
          <w:rFonts w:eastAsia="SimSun"/>
        </w:rPr>
        <w:t>b</w:t>
      </w:r>
      <w:r>
        <w:rPr>
          <w:rFonts w:eastAsia="SimSun" w:hint="eastAsia"/>
        </w:rPr>
        <w:t>）。</w:t>
      </w:r>
    </w:p>
  </w:footnote>
  <w:footnote w:id="13">
    <w:p w:rsidR="00000000" w:rsidRDefault="00821B8F">
      <w:pPr>
        <w:pStyle w:val="FootnoteText"/>
        <w:spacing w:after="120" w:line="320" w:lineRule="exact"/>
        <w:jc w:val="both"/>
        <w:rPr>
          <w:rFonts w:eastAsia="SimSun"/>
        </w:rPr>
      </w:pPr>
      <w:r>
        <w:rPr>
          <w:rStyle w:val="FootnoteReference"/>
          <w:rFonts w:eastAsia="SimSun"/>
        </w:rPr>
        <w:footnoteRef/>
      </w:r>
      <w:r>
        <w:rPr>
          <w:rFonts w:eastAsia="SimSun" w:hint="eastAsia"/>
        </w:rPr>
        <w:t xml:space="preserve"> </w:t>
      </w:r>
      <w:r>
        <w:rPr>
          <w:rFonts w:eastAsia="SimSun" w:hint="eastAsia"/>
        </w:rPr>
        <w:t>较低的估计数字是根据劳动力调查得出的自给型和无报酬家佣占雇用工人总数的百分比，较高的估计数字是将家庭劳动力调查报告的整个经</w:t>
      </w:r>
      <w:r>
        <w:rPr>
          <w:rFonts w:eastAsia="SimSun" w:hint="eastAsia"/>
        </w:rPr>
        <w:t>济领域的就业数据减去政府雇员和企业就业的数据所得的差（于，</w:t>
      </w:r>
      <w:r>
        <w:rPr>
          <w:rFonts w:eastAsia="SimSun" w:hint="eastAsia"/>
        </w:rPr>
        <w:t>2002</w:t>
      </w:r>
      <w:r>
        <w:rPr>
          <w:rFonts w:eastAsia="SimSun" w:hint="eastAsia"/>
        </w:rPr>
        <w:t>年）。</w:t>
      </w:r>
    </w:p>
  </w:footnote>
  <w:footnote w:id="14">
    <w:p w:rsidR="00000000" w:rsidRDefault="00821B8F">
      <w:pPr>
        <w:pStyle w:val="FootnoteText"/>
        <w:spacing w:after="120" w:line="32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根据</w:t>
      </w:r>
      <w:r>
        <w:rPr>
          <w:rFonts w:eastAsia="SimSun" w:hint="eastAsia"/>
        </w:rPr>
        <w:t>2004</w:t>
      </w:r>
      <w:r>
        <w:rPr>
          <w:rFonts w:eastAsia="SimSun" w:hint="eastAsia"/>
        </w:rPr>
        <w:t>年</w:t>
      </w:r>
      <w:r>
        <w:rPr>
          <w:rFonts w:eastAsia="SimSun" w:hint="eastAsia"/>
        </w:rPr>
        <w:t>3</w:t>
      </w:r>
      <w:r>
        <w:rPr>
          <w:rFonts w:eastAsia="SimSun" w:hint="eastAsia"/>
        </w:rPr>
        <w:t>月菲律宾国民警察部队妇女儿童服务台向妇女委员会提交的“对儿童的犯罪年度和季度比较统计数据（</w:t>
      </w:r>
      <w:r>
        <w:rPr>
          <w:rFonts w:eastAsia="SimSun" w:hint="eastAsia"/>
        </w:rPr>
        <w:t>1999-2003</w:t>
      </w:r>
      <w:r>
        <w:rPr>
          <w:rFonts w:eastAsia="SimSun" w:hint="eastAsia"/>
        </w:rPr>
        <w:t>年）”表。</w:t>
      </w:r>
    </w:p>
  </w:footnote>
  <w:footnote w:id="15">
    <w:p w:rsidR="00000000" w:rsidRDefault="00821B8F">
      <w:pPr>
        <w:pStyle w:val="FootnoteText"/>
        <w:spacing w:after="120" w:line="320" w:lineRule="exact"/>
        <w:rPr>
          <w:rFonts w:eastAsia="SimSun" w:hint="eastAsia"/>
        </w:rPr>
      </w:pPr>
      <w:r>
        <w:rPr>
          <w:rStyle w:val="FootnoteReference"/>
          <w:rFonts w:eastAsia="SimSun"/>
        </w:rPr>
        <w:footnoteRef/>
      </w:r>
      <w:r>
        <w:rPr>
          <w:rFonts w:eastAsia="SimSun"/>
        </w:rPr>
        <w:t xml:space="preserve">  </w:t>
      </w:r>
      <w:r>
        <w:rPr>
          <w:rFonts w:eastAsia="SimSun" w:hint="eastAsia"/>
        </w:rPr>
        <w:t>关于实用识字，最近的资料来源是国家统计局</w:t>
      </w:r>
      <w:r>
        <w:rPr>
          <w:rFonts w:eastAsia="SimSun" w:hint="eastAsia"/>
        </w:rPr>
        <w:t>1994</w:t>
      </w:r>
      <w:r>
        <w:rPr>
          <w:rFonts w:eastAsia="SimSun" w:hint="eastAsia"/>
        </w:rPr>
        <w:t>年进行的《实用识字、教育与大众媒体调查的报告》。</w:t>
      </w:r>
    </w:p>
  </w:footnote>
  <w:footnote w:id="16">
    <w:p w:rsidR="00000000" w:rsidRDefault="00821B8F">
      <w:pPr>
        <w:pStyle w:val="FootnoteText"/>
        <w:spacing w:after="120" w:line="320" w:lineRule="exact"/>
        <w:rPr>
          <w:rFonts w:eastAsia="SimSun" w:hint="eastAsia"/>
        </w:rPr>
      </w:pPr>
      <w:r>
        <w:rPr>
          <w:rStyle w:val="FootnoteReference"/>
          <w:rFonts w:eastAsia="SimSun"/>
        </w:rPr>
        <w:footnoteRef/>
      </w:r>
      <w:r>
        <w:rPr>
          <w:rFonts w:eastAsia="SimSun"/>
        </w:rPr>
        <w:t xml:space="preserve">  </w:t>
      </w:r>
      <w:r>
        <w:rPr>
          <w:rFonts w:eastAsia="SimSun" w:hint="eastAsia"/>
        </w:rPr>
        <w:t>就学率或净入学率是指特定级别的正规学龄在册学生在该年龄组（小学</w:t>
      </w:r>
      <w:r>
        <w:rPr>
          <w:rFonts w:eastAsia="SimSun" w:hint="eastAsia"/>
        </w:rPr>
        <w:t>7-12</w:t>
      </w:r>
      <w:r>
        <w:rPr>
          <w:rFonts w:eastAsia="SimSun" w:hint="eastAsia"/>
        </w:rPr>
        <w:t>岁、中学</w:t>
      </w:r>
      <w:r>
        <w:rPr>
          <w:rFonts w:eastAsia="SimSun" w:hint="eastAsia"/>
        </w:rPr>
        <w:t>13-16</w:t>
      </w:r>
      <w:r>
        <w:rPr>
          <w:rFonts w:eastAsia="SimSun" w:hint="eastAsia"/>
        </w:rPr>
        <w:t>岁）的全部儿童中所占的比例。</w:t>
      </w:r>
    </w:p>
  </w:footnote>
  <w:footnote w:id="17">
    <w:p w:rsidR="00000000" w:rsidRDefault="00821B8F">
      <w:pPr>
        <w:pStyle w:val="FootnoteText"/>
        <w:spacing w:after="120" w:line="320" w:lineRule="exact"/>
        <w:rPr>
          <w:rFonts w:eastAsia="SimSun" w:hint="eastAsia"/>
        </w:rPr>
      </w:pPr>
      <w:r>
        <w:rPr>
          <w:rStyle w:val="FootnoteReference"/>
          <w:rFonts w:eastAsia="SimSun"/>
        </w:rPr>
        <w:footnoteRef/>
      </w:r>
      <w:r>
        <w:rPr>
          <w:rFonts w:eastAsia="SimSun"/>
        </w:rPr>
        <w:t xml:space="preserve">  </w:t>
      </w:r>
      <w:r>
        <w:rPr>
          <w:rFonts w:eastAsia="SimSun" w:hint="eastAsia"/>
        </w:rPr>
        <w:t>辍学率是指在某一学年内中途退学的学生以及虽然读完有关年级</w:t>
      </w:r>
      <w:r>
        <w:rPr>
          <w:rFonts w:eastAsia="SimSun" w:hint="eastAsia"/>
        </w:rPr>
        <w:t>/</w:t>
      </w:r>
      <w:r>
        <w:rPr>
          <w:rFonts w:eastAsia="SimSun" w:hint="eastAsia"/>
        </w:rPr>
        <w:t>学年但</w:t>
      </w:r>
      <w:r>
        <w:rPr>
          <w:rFonts w:eastAsia="SimSun" w:hint="eastAsia"/>
        </w:rPr>
        <w:t>没有在下个年级</w:t>
      </w:r>
      <w:r>
        <w:rPr>
          <w:rFonts w:eastAsia="SimSun" w:hint="eastAsia"/>
        </w:rPr>
        <w:t>/</w:t>
      </w:r>
      <w:r>
        <w:rPr>
          <w:rFonts w:eastAsia="SimSun" w:hint="eastAsia"/>
        </w:rPr>
        <w:t>学年注册的学生在上一学年注册的学生总数中所占的比例。</w:t>
      </w:r>
    </w:p>
  </w:footnote>
  <w:footnote w:id="18">
    <w:p w:rsidR="00000000" w:rsidRDefault="00821B8F">
      <w:pPr>
        <w:pStyle w:val="FootnoteText"/>
        <w:spacing w:after="120" w:line="320" w:lineRule="exact"/>
        <w:rPr>
          <w:rFonts w:eastAsia="SimSun" w:hint="eastAsia"/>
        </w:rPr>
      </w:pPr>
      <w:r>
        <w:rPr>
          <w:rStyle w:val="FootnoteReference"/>
          <w:rFonts w:eastAsia="SimSun"/>
        </w:rPr>
        <w:footnoteRef/>
      </w:r>
      <w:r>
        <w:rPr>
          <w:rFonts w:eastAsia="SimSun"/>
        </w:rPr>
        <w:t xml:space="preserve"> </w:t>
      </w:r>
      <w:r>
        <w:rPr>
          <w:rFonts w:eastAsia="SimSun" w:hint="eastAsia"/>
        </w:rPr>
        <w:t>在菲律宾的大多数地区，劳动力供应的性别差距有三个方面的含义。首先是菲律宾的生育率高（平均每个妇女生</w:t>
      </w:r>
      <w:r>
        <w:rPr>
          <w:rFonts w:eastAsia="SimSun" w:hint="eastAsia"/>
        </w:rPr>
        <w:t>3.5</w:t>
      </w:r>
      <w:r>
        <w:rPr>
          <w:rFonts w:eastAsia="SimSun" w:hint="eastAsia"/>
        </w:rPr>
        <w:t>胎；相比之下，泰国的生育率为</w:t>
      </w:r>
      <w:r>
        <w:rPr>
          <w:rFonts w:eastAsia="SimSun" w:hint="eastAsia"/>
        </w:rPr>
        <w:t>1.9</w:t>
      </w:r>
      <w:r>
        <w:rPr>
          <w:rFonts w:eastAsia="SimSun" w:hint="eastAsia"/>
        </w:rPr>
        <w:t>，印度尼西亚为</w:t>
      </w:r>
      <w:r>
        <w:rPr>
          <w:rFonts w:eastAsia="SimSun" w:hint="eastAsia"/>
        </w:rPr>
        <w:t>2.6</w:t>
      </w:r>
      <w:r>
        <w:rPr>
          <w:rFonts w:eastAsia="SimSun" w:hint="eastAsia"/>
        </w:rPr>
        <w:t>，马来西亚为</w:t>
      </w:r>
      <w:r>
        <w:rPr>
          <w:rFonts w:eastAsia="SimSun" w:hint="eastAsia"/>
        </w:rPr>
        <w:t>3.0</w:t>
      </w:r>
      <w:r>
        <w:rPr>
          <w:rFonts w:eastAsia="SimSun" w:hint="eastAsia"/>
        </w:rPr>
        <w:t>；亚洲开发银行，</w:t>
      </w:r>
      <w:r>
        <w:rPr>
          <w:rFonts w:eastAsia="SimSun" w:hint="eastAsia"/>
        </w:rPr>
        <w:t>2001</w:t>
      </w:r>
      <w:r>
        <w:rPr>
          <w:rFonts w:eastAsia="SimSun" w:hint="eastAsia"/>
        </w:rPr>
        <w:t>年），这样就在若干年内把妇女束缚在生儿育女方面。另外还要加上多年抚养孩子的时间，这是两性家庭劳动分工的结果，它把照料孩子的责任留了妇女。除非有条件雇用保姆，否则妇女往往都把经济参与局限在能够在家或离家不远的地方干活儿的企业。非正规经济工作</w:t>
      </w:r>
      <w:r>
        <w:rPr>
          <w:rFonts w:eastAsia="SimSun" w:hint="eastAsia"/>
        </w:rPr>
        <w:t>让许多妇女可以兼顾家务活儿与市场工作，这种情况表明男女表现为相似的劳动力参与率模式。然而，旷日持久的危机局势似乎正在把越来越多的妇女推向劳动力市场，其中包括那些属于有幼儿的年龄组的妇女。</w:t>
      </w:r>
    </w:p>
  </w:footnote>
  <w:footnote w:id="19">
    <w:p w:rsidR="00000000" w:rsidRDefault="00821B8F">
      <w:pPr>
        <w:pStyle w:val="FootnoteText"/>
        <w:spacing w:after="120" w:line="32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全国劳工联合会和妇女委员会的尤尔吉特·洪库拉达在</w:t>
      </w:r>
      <w:r>
        <w:rPr>
          <w:rFonts w:eastAsia="SimSun" w:hint="eastAsia"/>
        </w:rPr>
        <w:t>2002</w:t>
      </w:r>
      <w:r>
        <w:rPr>
          <w:rFonts w:eastAsia="SimSun" w:hint="eastAsia"/>
        </w:rPr>
        <w:t>年</w:t>
      </w:r>
      <w:r>
        <w:rPr>
          <w:rFonts w:eastAsia="SimSun" w:hint="eastAsia"/>
        </w:rPr>
        <w:t>2</w:t>
      </w:r>
      <w:r>
        <w:rPr>
          <w:rFonts w:eastAsia="SimSun" w:hint="eastAsia"/>
        </w:rPr>
        <w:t>月</w:t>
      </w:r>
      <w:r>
        <w:rPr>
          <w:rFonts w:eastAsia="SimSun" w:hint="eastAsia"/>
        </w:rPr>
        <w:t>26</w:t>
      </w:r>
      <w:r>
        <w:rPr>
          <w:rFonts w:eastAsia="SimSun" w:hint="eastAsia"/>
        </w:rPr>
        <w:t>日举行的亚洲开发银行和国际劳工组织的区域联合技术援助全国研讨会上提供的实例（伊洛，</w:t>
      </w:r>
      <w:r>
        <w:rPr>
          <w:rFonts w:eastAsia="SimSun" w:hint="eastAsia"/>
        </w:rPr>
        <w:t>2002</w:t>
      </w:r>
      <w:r>
        <w:rPr>
          <w:rFonts w:eastAsia="SimSun" w:hint="eastAsia"/>
        </w:rPr>
        <w:t>年</w:t>
      </w:r>
      <w:r>
        <w:rPr>
          <w:rFonts w:eastAsia="SimSun" w:hint="eastAsia"/>
        </w:rPr>
        <w:t>b</w:t>
      </w:r>
      <w:r>
        <w:rPr>
          <w:rFonts w:eastAsia="SimSun" w:hint="eastAsia"/>
        </w:rPr>
        <w:t>）。</w:t>
      </w:r>
    </w:p>
  </w:footnote>
  <w:footnote w:id="20">
    <w:p w:rsidR="00000000" w:rsidRDefault="00821B8F">
      <w:pPr>
        <w:pStyle w:val="FootnoteText"/>
        <w:spacing w:after="120" w:line="320" w:lineRule="exact"/>
        <w:rPr>
          <w:rFonts w:eastAsia="SimSun" w:hint="eastAsia"/>
        </w:rPr>
      </w:pPr>
      <w:r>
        <w:rPr>
          <w:rStyle w:val="FootnoteReference"/>
          <w:rFonts w:eastAsia="SimSun"/>
        </w:rPr>
        <w:footnoteRef/>
      </w:r>
      <w:r>
        <w:rPr>
          <w:rFonts w:eastAsia="SimSun"/>
        </w:rPr>
        <w:t xml:space="preserve">  </w:t>
      </w:r>
      <w:r>
        <w:rPr>
          <w:rFonts w:eastAsia="SimSun" w:hint="eastAsia"/>
        </w:rPr>
        <w:t>试验性时间使用调查重点在于</w:t>
      </w:r>
      <w:r>
        <w:rPr>
          <w:rFonts w:eastAsia="SimSun" w:hint="eastAsia"/>
        </w:rPr>
        <w:t>10</w:t>
      </w:r>
      <w:r>
        <w:rPr>
          <w:rFonts w:eastAsia="SimSun" w:hint="eastAsia"/>
        </w:rPr>
        <w:t>岁和</w:t>
      </w:r>
      <w:r>
        <w:rPr>
          <w:rFonts w:eastAsia="SimSun" w:hint="eastAsia"/>
        </w:rPr>
        <w:t>10</w:t>
      </w:r>
      <w:r>
        <w:rPr>
          <w:rFonts w:eastAsia="SimSun" w:hint="eastAsia"/>
        </w:rPr>
        <w:t>岁以上家庭人口。其目的是产生有关这些人如何分配时间去做有报酬工作、家务活儿、其他非市场工作和休闲活动的数据；提</w:t>
      </w:r>
      <w:r>
        <w:rPr>
          <w:rFonts w:eastAsia="SimSun" w:hint="eastAsia"/>
        </w:rPr>
        <w:t>供估计无报酬家务劳动的价值所需的定量信息；并确定影响个人时间利用选择的因素以及这些因素在不同的人口子群中是如何分布的。</w:t>
      </w:r>
    </w:p>
  </w:footnote>
  <w:footnote w:id="21">
    <w:p w:rsidR="00000000" w:rsidRDefault="00821B8F">
      <w:pPr>
        <w:pStyle w:val="FootnoteText"/>
        <w:spacing w:after="120" w:line="320" w:lineRule="exact"/>
        <w:rPr>
          <w:rFonts w:eastAsia="SimSun" w:hint="eastAsia"/>
        </w:rPr>
      </w:pPr>
      <w:r>
        <w:rPr>
          <w:rStyle w:val="FootnoteReference"/>
          <w:rFonts w:eastAsia="SimSun" w:hint="eastAsia"/>
        </w:rPr>
        <w:footnoteRef/>
      </w:r>
      <w:r>
        <w:rPr>
          <w:rFonts w:eastAsia="SimSun" w:hint="eastAsia"/>
        </w:rPr>
        <w:t xml:space="preserve"> </w:t>
      </w:r>
      <w:r>
        <w:rPr>
          <w:rFonts w:eastAsia="SimSun"/>
        </w:rPr>
        <w:t xml:space="preserve"> </w:t>
      </w:r>
      <w:r>
        <w:rPr>
          <w:rFonts w:eastAsia="SimSun" w:hint="eastAsia"/>
        </w:rPr>
        <w:t>这里使用“卖淫妇女”而不是“女性色情业者”，因为后者使卖淫行为合法化。使用“卖淫妇女”亦即承认贫穷是迫使妇女卖淫的首要因素。</w:t>
      </w:r>
    </w:p>
  </w:footnote>
  <w:footnote w:id="22">
    <w:p w:rsidR="00000000" w:rsidRDefault="00821B8F">
      <w:pPr>
        <w:pStyle w:val="FootnoteText"/>
        <w:spacing w:after="120" w:line="320" w:lineRule="exact"/>
        <w:jc w:val="both"/>
        <w:rPr>
          <w:rFonts w:eastAsia="SimSun" w:hint="eastAsia"/>
        </w:rPr>
      </w:pPr>
      <w:r>
        <w:rPr>
          <w:rStyle w:val="FootnoteReference"/>
          <w:rFonts w:eastAsia="SimSun" w:hint="eastAsia"/>
        </w:rPr>
        <w:footnoteRef/>
      </w:r>
      <w:r>
        <w:rPr>
          <w:rFonts w:eastAsia="SimSun" w:hint="eastAsia"/>
        </w:rPr>
        <w:t xml:space="preserve"> </w:t>
      </w:r>
      <w:r>
        <w:rPr>
          <w:rFonts w:eastAsia="SimSun"/>
        </w:rPr>
        <w:t xml:space="preserve"> </w:t>
      </w:r>
      <w:r>
        <w:rPr>
          <w:rFonts w:eastAsia="SimSun" w:hint="eastAsia"/>
        </w:rPr>
        <w:t>“土地改革社团”是由一个自治市内的一群经过土地改革的镇（村）组成，那里的农民和农业工人正等着全面实行土地改革。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21B8F">
                      <w:pPr>
                        <w:pStyle w:val="Header"/>
                        <w:pBdr>
                          <w:bottom w:val="none" w:sz="0" w:space="0" w:color="auto"/>
                        </w:pBdr>
                        <w:spacing w:after="80"/>
                        <w:jc w:val="both"/>
                        <w:rPr>
                          <w:b/>
                        </w:rPr>
                      </w:pPr>
                      <w:r>
                        <w:rPr>
                          <w:b/>
                        </w:rPr>
                        <w:t>CEDAW/C/CHI/4</w:t>
                      </w:r>
                    </w:p>
                  </w:tc>
                  <w:tc>
                    <w:tcPr>
                      <w:tcW w:w="5048" w:type="dxa"/>
                      <w:tcBorders>
                        <w:bottom w:val="single" w:sz="4" w:space="0" w:color="auto"/>
                      </w:tcBorders>
                      <w:vAlign w:val="bottom"/>
                    </w:tcPr>
                    <w:p w:rsidR="00000000" w:rsidRDefault="00821B8F">
                      <w:pPr>
                        <w:pStyle w:val="Header"/>
                        <w:pBdr>
                          <w:bottom w:val="none" w:sz="0" w:space="0" w:color="auto"/>
                        </w:pBdr>
                      </w:pPr>
                    </w:p>
                  </w:tc>
                </w:tr>
              </w:tbl>
              <w:p w:rsidR="00000000" w:rsidRDefault="00821B8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21B8F">
                      <w:pPr>
                        <w:pStyle w:val="Header"/>
                        <w:pBdr>
                          <w:bottom w:val="none" w:sz="0" w:space="0" w:color="auto"/>
                        </w:pBdr>
                      </w:pPr>
                    </w:p>
                  </w:tc>
                  <w:tc>
                    <w:tcPr>
                      <w:tcW w:w="5048" w:type="dxa"/>
                      <w:tcBorders>
                        <w:bottom w:val="single" w:sz="4" w:space="0" w:color="auto"/>
                      </w:tcBorders>
                      <w:vAlign w:val="bottom"/>
                    </w:tcPr>
                    <w:p w:rsidR="00000000" w:rsidRDefault="00821B8F">
                      <w:pPr>
                        <w:pStyle w:val="Header"/>
                        <w:pBdr>
                          <w:bottom w:val="none" w:sz="0" w:space="0" w:color="auto"/>
                        </w:pBdr>
                        <w:spacing w:after="80"/>
                        <w:jc w:val="right"/>
                        <w:rPr>
                          <w:b/>
                        </w:rPr>
                      </w:pPr>
                      <w:r>
                        <w:rPr>
                          <w:b/>
                        </w:rPr>
                        <w:t>CEDAW/C/CHI/4</w:t>
                      </w:r>
                    </w:p>
                  </w:tc>
                </w:tr>
              </w:tbl>
              <w:p w:rsidR="00000000" w:rsidRDefault="00821B8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821B8F">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821B8F">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821B8F">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821B8F">
          <w:pPr>
            <w:spacing w:line="240" w:lineRule="auto"/>
            <w:jc w:val="right"/>
            <w:rPr>
              <w:position w:val="-4"/>
              <w:sz w:val="20"/>
            </w:rPr>
          </w:pPr>
          <w:r>
            <w:rPr>
              <w:position w:val="-4"/>
              <w:sz w:val="36"/>
            </w:rPr>
            <w:t>CEDAW</w:t>
          </w:r>
          <w:r>
            <w:rPr>
              <w:position w:val="-4"/>
            </w:rPr>
            <w:t>/C/PHI/5-6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821B8F">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821B8F">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821B8F">
          <w:pPr>
            <w:pStyle w:val="XLarge"/>
            <w:spacing w:before="109" w:after="140" w:line="520" w:lineRule="exact"/>
          </w:pPr>
          <w:r>
            <w:rPr>
              <w:rFonts w:hint="eastAsia"/>
            </w:rPr>
            <w:t>消除对妇女一切形式</w:t>
          </w:r>
          <w:r>
            <w:br/>
          </w:r>
          <w:r>
            <w:rPr>
              <w:rFonts w:hint="eastAsia"/>
            </w:rPr>
            <w:t>歧</w:t>
          </w:r>
          <w:r>
            <w:rPr>
              <w:rFonts w:hint="eastAsia"/>
            </w:rPr>
            <w:t>视公约</w:t>
          </w:r>
        </w:p>
      </w:tc>
      <w:tc>
        <w:tcPr>
          <w:tcW w:w="245" w:type="dxa"/>
          <w:tcBorders>
            <w:left w:val="nil"/>
            <w:bottom w:val="single" w:sz="12" w:space="0" w:color="auto"/>
            <w:right w:val="nil"/>
          </w:tcBorders>
        </w:tcPr>
        <w:p w:rsidR="00000000" w:rsidRDefault="00821B8F">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821B8F">
          <w:pPr>
            <w:spacing w:before="240" w:line="240" w:lineRule="exact"/>
          </w:pPr>
          <w:r>
            <w:t>Distr.: General</w:t>
          </w:r>
        </w:p>
        <w:p w:rsidR="00000000" w:rsidRDefault="00821B8F">
          <w:pPr>
            <w:spacing w:line="240" w:lineRule="exact"/>
          </w:pPr>
          <w:r>
            <w:t>2 August 2004</w:t>
          </w:r>
        </w:p>
        <w:p w:rsidR="00000000" w:rsidRDefault="00821B8F">
          <w:pPr>
            <w:spacing w:line="240" w:lineRule="exact"/>
          </w:pPr>
        </w:p>
        <w:p w:rsidR="00000000" w:rsidRDefault="00821B8F">
          <w:pPr>
            <w:spacing w:line="240" w:lineRule="exact"/>
          </w:pPr>
          <w:r>
            <w:t>Chinese</w:t>
          </w:r>
        </w:p>
        <w:p w:rsidR="00000000" w:rsidRDefault="00821B8F">
          <w:pPr>
            <w:spacing w:line="240" w:lineRule="exact"/>
          </w:pPr>
          <w:r>
            <w:t>Original: English</w:t>
          </w:r>
        </w:p>
      </w:tc>
    </w:tr>
  </w:tbl>
  <w:p w:rsidR="00000000" w:rsidRDefault="00821B8F">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6" type="#_x0000_t202" style="position:absolute;left:0;text-align:left;margin-left:-5.8pt;margin-top:-.1pt;width:7in;height:50.4pt;z-index:4" stroked="f">
          <v:textbox style="mso-next-textbox:#_x0000_s206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21B8F">
                      <w:pPr>
                        <w:pStyle w:val="Header"/>
                        <w:pBdr>
                          <w:bottom w:val="none" w:sz="0" w:space="0" w:color="auto"/>
                        </w:pBdr>
                        <w:spacing w:after="80"/>
                        <w:jc w:val="both"/>
                        <w:rPr>
                          <w:rFonts w:hint="eastAsia"/>
                          <w:b/>
                        </w:rPr>
                      </w:pPr>
                      <w:r>
                        <w:rPr>
                          <w:b/>
                        </w:rPr>
                        <w:t>CEDAW/C/</w:t>
                      </w:r>
                      <w:r>
                        <w:rPr>
                          <w:rFonts w:hint="eastAsia"/>
                          <w:b/>
                        </w:rPr>
                        <w:t>PHI</w:t>
                      </w:r>
                      <w:r>
                        <w:rPr>
                          <w:b/>
                        </w:rPr>
                        <w:t>/</w:t>
                      </w:r>
                      <w:r>
                        <w:rPr>
                          <w:rFonts w:hint="eastAsia"/>
                          <w:b/>
                        </w:rPr>
                        <w:t>5</w:t>
                      </w:r>
                      <w:r>
                        <w:rPr>
                          <w:b/>
                        </w:rPr>
                        <w:t>-</w:t>
                      </w:r>
                      <w:r>
                        <w:rPr>
                          <w:rFonts w:hint="eastAsia"/>
                          <w:b/>
                        </w:rPr>
                        <w:t>6</w:t>
                      </w:r>
                    </w:p>
                  </w:tc>
                  <w:tc>
                    <w:tcPr>
                      <w:tcW w:w="5048" w:type="dxa"/>
                      <w:tcBorders>
                        <w:bottom w:val="single" w:sz="4" w:space="0" w:color="auto"/>
                      </w:tcBorders>
                      <w:vAlign w:val="bottom"/>
                    </w:tcPr>
                    <w:p w:rsidR="00000000" w:rsidRDefault="00821B8F">
                      <w:pPr>
                        <w:pStyle w:val="Header"/>
                        <w:pBdr>
                          <w:bottom w:val="none" w:sz="0" w:space="0" w:color="auto"/>
                        </w:pBdr>
                      </w:pPr>
                    </w:p>
                  </w:tc>
                </w:tr>
              </w:tbl>
              <w:p w:rsidR="00000000" w:rsidRDefault="00821B8F"/>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1B8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5" type="#_x0000_t202" style="position:absolute;left:0;text-align:left;margin-left:-6pt;margin-top:.95pt;width:7in;height:50.4pt;z-index:3" stroked="f">
          <v:textbox style="mso-next-textbox:#_x0000_s206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821B8F">
                      <w:pPr>
                        <w:pStyle w:val="Header"/>
                        <w:pBdr>
                          <w:bottom w:val="none" w:sz="0" w:space="0" w:color="auto"/>
                        </w:pBdr>
                      </w:pPr>
                    </w:p>
                  </w:tc>
                  <w:tc>
                    <w:tcPr>
                      <w:tcW w:w="5048" w:type="dxa"/>
                      <w:tcBorders>
                        <w:bottom w:val="single" w:sz="4" w:space="0" w:color="auto"/>
                      </w:tcBorders>
                      <w:vAlign w:val="bottom"/>
                    </w:tcPr>
                    <w:p w:rsidR="00000000" w:rsidRDefault="00821B8F">
                      <w:pPr>
                        <w:pStyle w:val="Header"/>
                        <w:pBdr>
                          <w:bottom w:val="none" w:sz="0" w:space="0" w:color="auto"/>
                        </w:pBdr>
                        <w:spacing w:after="80"/>
                        <w:jc w:val="right"/>
                        <w:rPr>
                          <w:rFonts w:hint="eastAsia"/>
                          <w:b/>
                        </w:rPr>
                      </w:pPr>
                      <w:r>
                        <w:rPr>
                          <w:b/>
                        </w:rPr>
                        <w:t>CEDAW/C/</w:t>
                      </w:r>
                      <w:r>
                        <w:rPr>
                          <w:rFonts w:hint="eastAsia"/>
                          <w:b/>
                        </w:rPr>
                        <w:t>P</w:t>
                      </w:r>
                      <w:r>
                        <w:rPr>
                          <w:rFonts w:hint="eastAsia"/>
                          <w:b/>
                        </w:rPr>
                        <w:t>HI</w:t>
                      </w:r>
                      <w:r>
                        <w:rPr>
                          <w:b/>
                        </w:rPr>
                        <w:t>/</w:t>
                      </w:r>
                      <w:r>
                        <w:rPr>
                          <w:rFonts w:hint="eastAsia"/>
                          <w:b/>
                        </w:rPr>
                        <w:t>5</w:t>
                      </w:r>
                      <w:r>
                        <w:rPr>
                          <w:b/>
                        </w:rPr>
                        <w:t>-</w:t>
                      </w:r>
                      <w:r>
                        <w:rPr>
                          <w:rFonts w:hint="eastAsia"/>
                          <w:b/>
                        </w:rPr>
                        <w:t>6</w:t>
                      </w:r>
                    </w:p>
                  </w:tc>
                </w:tr>
              </w:tbl>
              <w:p w:rsidR="00000000" w:rsidRDefault="00821B8F"/>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000003"/>
    <w:multiLevelType w:val="multilevel"/>
    <w:tmpl w:val="00000000"/>
    <w:lvl w:ilvl="0">
      <w:start w:val="1"/>
      <w:numFmt w:val="decimal"/>
      <w:lvlText w:val="%1."/>
      <w:lvlJc w:val="left"/>
      <w:pPr>
        <w:tabs>
          <w:tab w:val="num" w:pos="720"/>
        </w:tabs>
        <w:ind w:left="720" w:hanging="720"/>
      </w:pPr>
      <w:rPr>
        <w:rFonts w:ascii="Bell MT" w:hAnsi="Bell MT" w:cs="Tahoma"/>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2234DE"/>
    <w:multiLevelType w:val="hybridMultilevel"/>
    <w:tmpl w:val="D9D6A3DE"/>
    <w:lvl w:ilvl="0" w:tplc="334C383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25411"/>
    <w:multiLevelType w:val="hybridMultilevel"/>
    <w:tmpl w:val="9D18455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0">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013B5D63"/>
    <w:multiLevelType w:val="singleLevel"/>
    <w:tmpl w:val="C9DA4F02"/>
    <w:lvl w:ilvl="0">
      <w:start w:val="502"/>
      <w:numFmt w:val="decimal"/>
      <w:lvlText w:val="%1."/>
      <w:lvlJc w:val="left"/>
      <w:pPr>
        <w:tabs>
          <w:tab w:val="num" w:pos="396"/>
        </w:tabs>
        <w:ind w:left="396" w:hanging="396"/>
      </w:pPr>
      <w:rPr>
        <w:rFonts w:hint="default"/>
      </w:rPr>
    </w:lvl>
  </w:abstractNum>
  <w:abstractNum w:abstractNumId="37">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8">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9">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0">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41">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01C92199"/>
    <w:multiLevelType w:val="hybridMultilevel"/>
    <w:tmpl w:val="7BE22864"/>
    <w:lvl w:ilvl="0" w:tplc="0FF8F78C">
      <w:start w:val="1"/>
      <w:numFmt w:val="decimal"/>
      <w:lvlText w:val="（%1）"/>
      <w:lvlJc w:val="left"/>
      <w:pPr>
        <w:tabs>
          <w:tab w:val="num" w:pos="1798"/>
        </w:tabs>
        <w:ind w:left="1798" w:hanging="12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4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4">
    <w:nsid w:val="01D60BB0"/>
    <w:multiLevelType w:val="hybridMultilevel"/>
    <w:tmpl w:val="3BBCEF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5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55">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58">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
    <w:nsid w:val="035E4DE6"/>
    <w:multiLevelType w:val="singleLevel"/>
    <w:tmpl w:val="1D3032F0"/>
    <w:lvl w:ilvl="0">
      <w:start w:val="1"/>
      <w:numFmt w:val="lowerLetter"/>
      <w:lvlText w:val="%1."/>
      <w:lvlJc w:val="left"/>
      <w:pPr>
        <w:tabs>
          <w:tab w:val="num" w:pos="360"/>
        </w:tabs>
        <w:ind w:left="360" w:hanging="360"/>
      </w:pPr>
      <w:rPr>
        <w:rFonts w:hint="default"/>
      </w:rPr>
    </w:lvl>
  </w:abstractNum>
  <w:abstractNum w:abstractNumId="61">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2">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6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6">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67">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70">
    <w:nsid w:val="048D47BD"/>
    <w:multiLevelType w:val="multilevel"/>
    <w:tmpl w:val="B42459F0"/>
    <w:lvl w:ilvl="0">
      <w:start w:val="95"/>
      <w:numFmt w:val="decimal"/>
      <w:lvlText w:val="%1."/>
      <w:lvlJc w:val="left"/>
      <w:pPr>
        <w:tabs>
          <w:tab w:val="num" w:pos="360"/>
        </w:tabs>
        <w:ind w:left="360" w:hanging="360"/>
      </w:pPr>
      <w:rPr>
        <w:rFonts w:hint="default"/>
        <w:u w:val="none"/>
      </w:rPr>
    </w:lvl>
    <w:lvl w:ilvl="1">
      <w:start w:val="1"/>
      <w:numFmt w:val="lowerLetter"/>
      <w:lvlText w:val="%2."/>
      <w:lvlJc w:val="left"/>
      <w:pPr>
        <w:tabs>
          <w:tab w:val="num" w:pos="1580"/>
        </w:tabs>
        <w:ind w:left="1580" w:hanging="360"/>
      </w:pPr>
    </w:lvl>
    <w:lvl w:ilvl="2" w:tentative="1">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71">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74">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5">
    <w:nsid w:val="04E57A93"/>
    <w:multiLevelType w:val="hybridMultilevel"/>
    <w:tmpl w:val="36EECEF8"/>
    <w:lvl w:ilvl="0" w:tplc="04090003">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76">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8">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0">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81">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82">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84">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
    <w:nsid w:val="06575F8C"/>
    <w:multiLevelType w:val="singleLevel"/>
    <w:tmpl w:val="895646A4"/>
    <w:lvl w:ilvl="0">
      <w:start w:val="1"/>
      <w:numFmt w:val="lowerLetter"/>
      <w:lvlText w:val="%1．"/>
      <w:lvlJc w:val="left"/>
      <w:pPr>
        <w:tabs>
          <w:tab w:val="num" w:pos="345"/>
        </w:tabs>
        <w:ind w:left="345" w:hanging="345"/>
      </w:pPr>
      <w:rPr>
        <w:rFonts w:hint="default"/>
      </w:rPr>
    </w:lvl>
  </w:abstractNum>
  <w:abstractNum w:abstractNumId="86">
    <w:nsid w:val="065A6D1C"/>
    <w:multiLevelType w:val="hybridMultilevel"/>
    <w:tmpl w:val="9154DF2A"/>
    <w:lvl w:ilvl="0" w:tplc="4FCEFB12">
      <w:start w:val="1"/>
      <w:numFmt w:val="lowerLetter"/>
      <w:lvlText w:val="%1."/>
      <w:lvlJc w:val="left"/>
      <w:pPr>
        <w:tabs>
          <w:tab w:val="num" w:pos="841"/>
        </w:tabs>
        <w:ind w:left="841" w:hanging="420"/>
      </w:pPr>
      <w:rPr>
        <w:rFonts w:hint="eastAsia"/>
      </w:rPr>
    </w:lvl>
    <w:lvl w:ilvl="1" w:tplc="DAE89066">
      <w:start w:val="2"/>
      <w:numFmt w:val="upperLetter"/>
      <w:lvlText w:val="%2．"/>
      <w:lvlJc w:val="left"/>
      <w:pPr>
        <w:tabs>
          <w:tab w:val="num" w:pos="825"/>
        </w:tabs>
        <w:ind w:left="825" w:hanging="40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88">
    <w:nsid w:val="068D7157"/>
    <w:multiLevelType w:val="multilevel"/>
    <w:tmpl w:val="46B88878"/>
    <w:lvl w:ilvl="0">
      <w:start w:val="32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6A92DB1"/>
    <w:multiLevelType w:val="hybridMultilevel"/>
    <w:tmpl w:val="6E04FF16"/>
    <w:lvl w:ilvl="0" w:tplc="451EF400">
      <w:start w:val="2"/>
      <w:numFmt w:val="decimal"/>
      <w:lvlText w:val="%1．"/>
      <w:lvlJc w:val="left"/>
      <w:pPr>
        <w:tabs>
          <w:tab w:val="num" w:pos="1290"/>
        </w:tabs>
        <w:ind w:left="1290" w:hanging="720"/>
      </w:pPr>
      <w:rPr>
        <w:rFonts w:ascii="STXinwei" w:eastAsia="STXinwei" w:hint="eastAsia"/>
        <w:sz w:val="30"/>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91">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92">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3">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4">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96">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9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8">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9">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01">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2">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04">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5">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6">
    <w:nsid w:val="08EA3C1E"/>
    <w:multiLevelType w:val="hybridMultilevel"/>
    <w:tmpl w:val="3DECE566"/>
    <w:lvl w:ilvl="0" w:tplc="F210022E">
      <w:start w:val="1"/>
      <w:numFmt w:val="decimal"/>
      <w:lvlText w:val="%1、"/>
      <w:lvlJc w:val="left"/>
      <w:pPr>
        <w:tabs>
          <w:tab w:val="num" w:pos="720"/>
        </w:tabs>
        <w:ind w:left="720" w:hanging="720"/>
      </w:pPr>
      <w:rPr>
        <w:rFonts w:hint="eastAsia"/>
      </w:rPr>
    </w:lvl>
    <w:lvl w:ilvl="1" w:tplc="21EE2EF0">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08F546CD"/>
    <w:multiLevelType w:val="hybridMultilevel"/>
    <w:tmpl w:val="C1E4C31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11">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2">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15">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6">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18">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19">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20">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3">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4">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6">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7">
    <w:nsid w:val="0ACE28B8"/>
    <w:multiLevelType w:val="hybridMultilevel"/>
    <w:tmpl w:val="0178D6D8"/>
    <w:lvl w:ilvl="0" w:tplc="5680FD46">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29">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30">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31">
    <w:nsid w:val="0B1B3AB4"/>
    <w:multiLevelType w:val="multilevel"/>
    <w:tmpl w:val="3294D3DE"/>
    <w:lvl w:ilvl="0">
      <w:start w:val="1"/>
      <w:numFmt w:val="lowerLetter"/>
      <w:lvlText w:val="%1."/>
      <w:lvlJc w:val="left"/>
      <w:pPr>
        <w:tabs>
          <w:tab w:val="num" w:pos="760"/>
        </w:tabs>
        <w:ind w:left="760" w:hanging="360"/>
      </w:pPr>
      <w:rPr>
        <w:rFonts w:cs="Times New Roman" w:hint="default"/>
      </w:rPr>
    </w:lvl>
    <w:lvl w:ilvl="1" w:tentative="1">
      <w:start w:val="1"/>
      <w:numFmt w:val="lowerLetter"/>
      <w:lvlText w:val="%2."/>
      <w:lvlJc w:val="left"/>
      <w:pPr>
        <w:tabs>
          <w:tab w:val="num" w:pos="1480"/>
        </w:tabs>
        <w:ind w:left="1480" w:hanging="360"/>
      </w:p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132">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34">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6">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38">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39">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41">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4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0C2D3A45"/>
    <w:multiLevelType w:val="singleLevel"/>
    <w:tmpl w:val="475024BA"/>
    <w:lvl w:ilvl="0">
      <w:start w:val="1"/>
      <w:numFmt w:val="upperLetter"/>
      <w:lvlText w:val="%1．"/>
      <w:lvlJc w:val="left"/>
      <w:pPr>
        <w:tabs>
          <w:tab w:val="num" w:pos="405"/>
        </w:tabs>
        <w:ind w:left="405" w:hanging="405"/>
      </w:pPr>
      <w:rPr>
        <w:rFonts w:hint="eastAsia"/>
      </w:rPr>
    </w:lvl>
  </w:abstractNum>
  <w:abstractNum w:abstractNumId="146">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47">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48">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
    <w:nsid w:val="0C955FF4"/>
    <w:multiLevelType w:val="singleLevel"/>
    <w:tmpl w:val="E1FCFC96"/>
    <w:lvl w:ilvl="0">
      <w:start w:val="1"/>
      <w:numFmt w:val="upperLetter"/>
      <w:lvlText w:val="%1—"/>
      <w:lvlJc w:val="left"/>
      <w:pPr>
        <w:tabs>
          <w:tab w:val="num" w:pos="405"/>
        </w:tabs>
        <w:ind w:left="405" w:hanging="405"/>
      </w:pPr>
      <w:rPr>
        <w:rFonts w:hint="eastAsia"/>
      </w:rPr>
    </w:lvl>
  </w:abstractNum>
  <w:abstractNum w:abstractNumId="150">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
    <w:nsid w:val="0CC05670"/>
    <w:multiLevelType w:val="singleLevel"/>
    <w:tmpl w:val="79B2050C"/>
    <w:lvl w:ilvl="0">
      <w:start w:val="1"/>
      <w:numFmt w:val="decimal"/>
      <w:lvlText w:val="%1."/>
      <w:lvlJc w:val="left"/>
      <w:pPr>
        <w:tabs>
          <w:tab w:val="num" w:pos="360"/>
        </w:tabs>
        <w:ind w:left="0" w:firstLine="0"/>
      </w:pPr>
    </w:lvl>
  </w:abstractNum>
  <w:abstractNum w:abstractNumId="152">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4">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56">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57">
    <w:nsid w:val="0D645F5F"/>
    <w:multiLevelType w:val="multilevel"/>
    <w:tmpl w:val="7144A638"/>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2"/>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9">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0">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63">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4">
    <w:nsid w:val="0DEA7359"/>
    <w:multiLevelType w:val="multilevel"/>
    <w:tmpl w:val="F43E7834"/>
    <w:lvl w:ilvl="0">
      <w:start w:val="1"/>
      <w:numFmt w:val="lowerLetter"/>
      <w:lvlText w:val="%1."/>
      <w:lvlJc w:val="left"/>
      <w:pPr>
        <w:tabs>
          <w:tab w:val="num" w:pos="860"/>
        </w:tabs>
        <w:ind w:left="860" w:hanging="360"/>
      </w:pPr>
      <w:rPr>
        <w:rFonts w:hint="default"/>
        <w:i/>
      </w:rPr>
    </w:lvl>
    <w:lvl w:ilvl="1" w:tentative="1">
      <w:start w:val="1"/>
      <w:numFmt w:val="lowerLetter"/>
      <w:lvlText w:val="%2."/>
      <w:lvlJc w:val="left"/>
      <w:pPr>
        <w:tabs>
          <w:tab w:val="num" w:pos="1580"/>
        </w:tabs>
        <w:ind w:left="1580" w:hanging="360"/>
      </w:pPr>
    </w:lvl>
    <w:lvl w:ilvl="2" w:tentative="1">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165">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66">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7">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68">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69">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70">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71">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173">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75">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76">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77">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8">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0E94714A"/>
    <w:multiLevelType w:val="singleLevel"/>
    <w:tmpl w:val="C20C0094"/>
    <w:lvl w:ilvl="0">
      <w:numFmt w:val="bullet"/>
      <w:lvlText w:val="-"/>
      <w:lvlJc w:val="left"/>
      <w:pPr>
        <w:tabs>
          <w:tab w:val="num" w:pos="360"/>
        </w:tabs>
        <w:ind w:left="360" w:hanging="360"/>
      </w:pPr>
      <w:rPr>
        <w:rFonts w:hint="default"/>
      </w:rPr>
    </w:lvl>
  </w:abstractNum>
  <w:abstractNum w:abstractNumId="180">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181">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182">
    <w:nsid w:val="0EC97779"/>
    <w:multiLevelType w:val="hybridMultilevel"/>
    <w:tmpl w:val="7FFEC538"/>
    <w:lvl w:ilvl="0" w:tplc="AB0C587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3">
    <w:nsid w:val="0EEA4F67"/>
    <w:multiLevelType w:val="hybridMultilevel"/>
    <w:tmpl w:val="920C77FC"/>
    <w:lvl w:ilvl="0" w:tplc="FFDAF8F0">
      <w:start w:val="252"/>
      <w:numFmt w:val="decimal"/>
      <w:lvlText w:val="%1."/>
      <w:lvlJc w:val="left"/>
      <w:pPr>
        <w:tabs>
          <w:tab w:val="num" w:pos="1617"/>
        </w:tabs>
        <w:ind w:left="1617" w:hanging="1140"/>
      </w:pPr>
      <w:rPr>
        <w:rFonts w:hint="eastAsia"/>
      </w:rPr>
    </w:lvl>
    <w:lvl w:ilvl="1" w:tplc="04090019" w:tentative="1">
      <w:start w:val="1"/>
      <w:numFmt w:val="lowerLetter"/>
      <w:lvlText w:val="%2)"/>
      <w:lvlJc w:val="left"/>
      <w:pPr>
        <w:tabs>
          <w:tab w:val="num" w:pos="1317"/>
        </w:tabs>
        <w:ind w:left="1317" w:hanging="420"/>
      </w:pPr>
    </w:lvl>
    <w:lvl w:ilvl="2" w:tplc="0409001B" w:tentative="1">
      <w:start w:val="1"/>
      <w:numFmt w:val="lowerRoman"/>
      <w:lvlText w:val="%3."/>
      <w:lvlJc w:val="right"/>
      <w:pPr>
        <w:tabs>
          <w:tab w:val="num" w:pos="1737"/>
        </w:tabs>
        <w:ind w:left="1737" w:hanging="420"/>
      </w:pPr>
    </w:lvl>
    <w:lvl w:ilvl="3" w:tplc="0409000F" w:tentative="1">
      <w:start w:val="1"/>
      <w:numFmt w:val="decimal"/>
      <w:lvlText w:val="%4."/>
      <w:lvlJc w:val="left"/>
      <w:pPr>
        <w:tabs>
          <w:tab w:val="num" w:pos="2157"/>
        </w:tabs>
        <w:ind w:left="2157" w:hanging="420"/>
      </w:pPr>
    </w:lvl>
    <w:lvl w:ilvl="4" w:tplc="04090019" w:tentative="1">
      <w:start w:val="1"/>
      <w:numFmt w:val="lowerLetter"/>
      <w:lvlText w:val="%5)"/>
      <w:lvlJc w:val="left"/>
      <w:pPr>
        <w:tabs>
          <w:tab w:val="num" w:pos="2577"/>
        </w:tabs>
        <w:ind w:left="2577" w:hanging="420"/>
      </w:pPr>
    </w:lvl>
    <w:lvl w:ilvl="5" w:tplc="0409001B" w:tentative="1">
      <w:start w:val="1"/>
      <w:numFmt w:val="lowerRoman"/>
      <w:lvlText w:val="%6."/>
      <w:lvlJc w:val="right"/>
      <w:pPr>
        <w:tabs>
          <w:tab w:val="num" w:pos="2997"/>
        </w:tabs>
        <w:ind w:left="2997" w:hanging="420"/>
      </w:pPr>
    </w:lvl>
    <w:lvl w:ilvl="6" w:tplc="0409000F" w:tentative="1">
      <w:start w:val="1"/>
      <w:numFmt w:val="decimal"/>
      <w:lvlText w:val="%7."/>
      <w:lvlJc w:val="left"/>
      <w:pPr>
        <w:tabs>
          <w:tab w:val="num" w:pos="3417"/>
        </w:tabs>
        <w:ind w:left="3417" w:hanging="420"/>
      </w:pPr>
    </w:lvl>
    <w:lvl w:ilvl="7" w:tplc="04090019" w:tentative="1">
      <w:start w:val="1"/>
      <w:numFmt w:val="lowerLetter"/>
      <w:lvlText w:val="%8)"/>
      <w:lvlJc w:val="left"/>
      <w:pPr>
        <w:tabs>
          <w:tab w:val="num" w:pos="3837"/>
        </w:tabs>
        <w:ind w:left="3837" w:hanging="420"/>
      </w:pPr>
    </w:lvl>
    <w:lvl w:ilvl="8" w:tplc="0409001B" w:tentative="1">
      <w:start w:val="1"/>
      <w:numFmt w:val="lowerRoman"/>
      <w:lvlText w:val="%9."/>
      <w:lvlJc w:val="right"/>
      <w:pPr>
        <w:tabs>
          <w:tab w:val="num" w:pos="4257"/>
        </w:tabs>
        <w:ind w:left="4257" w:hanging="420"/>
      </w:pPr>
    </w:lvl>
  </w:abstractNum>
  <w:abstractNum w:abstractNumId="184">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85">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86">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88">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89">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90">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91">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2">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93">
    <w:nsid w:val="0FC769F8"/>
    <w:multiLevelType w:val="singleLevel"/>
    <w:tmpl w:val="3724B4CC"/>
    <w:lvl w:ilvl="0">
      <w:numFmt w:val="bullet"/>
      <w:lvlText w:val="-"/>
      <w:lvlJc w:val="left"/>
      <w:pPr>
        <w:tabs>
          <w:tab w:val="num" w:pos="360"/>
        </w:tabs>
        <w:ind w:left="360" w:hanging="360"/>
      </w:pPr>
      <w:rPr>
        <w:rFonts w:hint="default"/>
      </w:rPr>
    </w:lvl>
  </w:abstractNum>
  <w:abstractNum w:abstractNumId="194">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5">
    <w:nsid w:val="10245551"/>
    <w:multiLevelType w:val="multilevel"/>
    <w:tmpl w:val="476C6E90"/>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6">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8">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00">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01">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0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5">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6">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7">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08">
    <w:nsid w:val="117F61CA"/>
    <w:multiLevelType w:val="hybridMultilevel"/>
    <w:tmpl w:val="343A0E08"/>
    <w:lvl w:ilvl="0" w:tplc="75D297A8">
      <w:start w:val="1"/>
      <w:numFmt w:val="lowerLetter"/>
      <w:lvlText w:val="%1)"/>
      <w:lvlJc w:val="left"/>
      <w:pPr>
        <w:tabs>
          <w:tab w:val="num" w:pos="1800"/>
        </w:tabs>
        <w:ind w:left="1800" w:hanging="360"/>
      </w:pPr>
      <w:rPr>
        <w:rFonts w:hint="default"/>
      </w:rPr>
    </w:lvl>
    <w:lvl w:ilvl="1" w:tplc="BC9E91FE">
      <w:start w:val="1"/>
      <w:numFmt w:val="decimal"/>
      <w:lvlText w:val="%2."/>
      <w:lvlJc w:val="left"/>
      <w:pPr>
        <w:tabs>
          <w:tab w:val="num" w:pos="3480"/>
        </w:tabs>
        <w:ind w:left="3480" w:hanging="1320"/>
      </w:pPr>
      <w:rPr>
        <w:rFonts w:hint="default"/>
      </w:rPr>
    </w:lvl>
    <w:lvl w:ilvl="2" w:tplc="042F001B">
      <w:start w:val="1"/>
      <w:numFmt w:val="lowerRoman"/>
      <w:lvlText w:val="%3."/>
      <w:lvlJc w:val="right"/>
      <w:pPr>
        <w:tabs>
          <w:tab w:val="num" w:pos="3240"/>
        </w:tabs>
        <w:ind w:left="3240" w:hanging="180"/>
      </w:pPr>
    </w:lvl>
    <w:lvl w:ilvl="3" w:tplc="042F000F" w:tentative="1">
      <w:start w:val="1"/>
      <w:numFmt w:val="decimal"/>
      <w:lvlText w:val="%4."/>
      <w:lvlJc w:val="left"/>
      <w:pPr>
        <w:tabs>
          <w:tab w:val="num" w:pos="3960"/>
        </w:tabs>
        <w:ind w:left="3960" w:hanging="360"/>
      </w:pPr>
    </w:lvl>
    <w:lvl w:ilvl="4" w:tplc="042F0019" w:tentative="1">
      <w:start w:val="1"/>
      <w:numFmt w:val="lowerLetter"/>
      <w:lvlText w:val="%5."/>
      <w:lvlJc w:val="left"/>
      <w:pPr>
        <w:tabs>
          <w:tab w:val="num" w:pos="4680"/>
        </w:tabs>
        <w:ind w:left="4680" w:hanging="360"/>
      </w:pPr>
    </w:lvl>
    <w:lvl w:ilvl="5" w:tplc="042F001B" w:tentative="1">
      <w:start w:val="1"/>
      <w:numFmt w:val="lowerRoman"/>
      <w:lvlText w:val="%6."/>
      <w:lvlJc w:val="right"/>
      <w:pPr>
        <w:tabs>
          <w:tab w:val="num" w:pos="5400"/>
        </w:tabs>
        <w:ind w:left="5400" w:hanging="180"/>
      </w:pPr>
    </w:lvl>
    <w:lvl w:ilvl="6" w:tplc="042F000F" w:tentative="1">
      <w:start w:val="1"/>
      <w:numFmt w:val="decimal"/>
      <w:lvlText w:val="%7."/>
      <w:lvlJc w:val="left"/>
      <w:pPr>
        <w:tabs>
          <w:tab w:val="num" w:pos="6120"/>
        </w:tabs>
        <w:ind w:left="6120" w:hanging="360"/>
      </w:pPr>
    </w:lvl>
    <w:lvl w:ilvl="7" w:tplc="042F0019" w:tentative="1">
      <w:start w:val="1"/>
      <w:numFmt w:val="lowerLetter"/>
      <w:lvlText w:val="%8."/>
      <w:lvlJc w:val="left"/>
      <w:pPr>
        <w:tabs>
          <w:tab w:val="num" w:pos="6840"/>
        </w:tabs>
        <w:ind w:left="6840" w:hanging="360"/>
      </w:pPr>
    </w:lvl>
    <w:lvl w:ilvl="8" w:tplc="042F001B" w:tentative="1">
      <w:start w:val="1"/>
      <w:numFmt w:val="lowerRoman"/>
      <w:lvlText w:val="%9."/>
      <w:lvlJc w:val="right"/>
      <w:pPr>
        <w:tabs>
          <w:tab w:val="num" w:pos="7560"/>
        </w:tabs>
        <w:ind w:left="7560" w:hanging="180"/>
      </w:pPr>
    </w:lvl>
  </w:abstractNum>
  <w:abstractNum w:abstractNumId="209">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10">
    <w:nsid w:val="11C61DB9"/>
    <w:multiLevelType w:val="hybridMultilevel"/>
    <w:tmpl w:val="2E221CA4"/>
    <w:lvl w:ilvl="0" w:tplc="9EF8413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1">
    <w:nsid w:val="11D13353"/>
    <w:multiLevelType w:val="multilevel"/>
    <w:tmpl w:val="FFF4E716"/>
    <w:lvl w:ilvl="0">
      <w:start w:val="129"/>
      <w:numFmt w:val="decimal"/>
      <w:lvlText w:val="%1."/>
      <w:lvlJc w:val="left"/>
      <w:pPr>
        <w:tabs>
          <w:tab w:val="num" w:pos="744"/>
        </w:tabs>
        <w:ind w:left="744" w:hanging="384"/>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11DE2395"/>
    <w:multiLevelType w:val="hybridMultilevel"/>
    <w:tmpl w:val="8AD45ADA"/>
    <w:lvl w:ilvl="0" w:tplc="A1248A6A">
      <w:start w:val="1"/>
      <w:numFmt w:val="lowerLetter"/>
      <w:lvlText w:val="%1)"/>
      <w:lvlJc w:val="left"/>
      <w:pPr>
        <w:tabs>
          <w:tab w:val="num" w:pos="1680"/>
        </w:tabs>
        <w:ind w:left="1680" w:hanging="9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3">
    <w:nsid w:val="12877873"/>
    <w:multiLevelType w:val="multilevel"/>
    <w:tmpl w:val="1924C41A"/>
    <w:lvl w:ilvl="0">
      <w:start w:val="1"/>
      <w:numFmt w:val="lowerLetter"/>
      <w:lvlText w:val="%1."/>
      <w:lvlJc w:val="left"/>
      <w:pPr>
        <w:tabs>
          <w:tab w:val="num" w:pos="8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4">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16">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17">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9">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20">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21">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3">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24">
    <w:nsid w:val="139C6C6F"/>
    <w:multiLevelType w:val="singleLevel"/>
    <w:tmpl w:val="5778FE62"/>
    <w:lvl w:ilvl="0">
      <w:start w:val="1"/>
      <w:numFmt w:val="upperLetter"/>
      <w:lvlText w:val="%1．"/>
      <w:lvlJc w:val="left"/>
      <w:pPr>
        <w:tabs>
          <w:tab w:val="num" w:pos="420"/>
        </w:tabs>
        <w:ind w:left="420" w:hanging="420"/>
      </w:pPr>
      <w:rPr>
        <w:rFonts w:hint="eastAsia"/>
        <w:b/>
      </w:rPr>
    </w:lvl>
  </w:abstractNum>
  <w:abstractNum w:abstractNumId="225">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27">
    <w:nsid w:val="13D632A6"/>
    <w:multiLevelType w:val="singleLevel"/>
    <w:tmpl w:val="7D4419BA"/>
    <w:lvl w:ilvl="0">
      <w:start w:val="106"/>
      <w:numFmt w:val="decimal"/>
      <w:lvlText w:val="%1．"/>
      <w:lvlJc w:val="left"/>
      <w:pPr>
        <w:tabs>
          <w:tab w:val="num" w:pos="945"/>
        </w:tabs>
        <w:ind w:left="945" w:hanging="825"/>
      </w:pPr>
      <w:rPr>
        <w:rFonts w:hint="eastAsia"/>
      </w:rPr>
    </w:lvl>
  </w:abstractNum>
  <w:abstractNum w:abstractNumId="228">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31">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232">
    <w:nsid w:val="148C7747"/>
    <w:multiLevelType w:val="hybridMultilevel"/>
    <w:tmpl w:val="70FE565E"/>
    <w:lvl w:ilvl="0" w:tplc="F880CDD8">
      <w:start w:val="1"/>
      <w:numFmt w:val="japaneseCounting"/>
      <w:lvlText w:val="%1、"/>
      <w:lvlJc w:val="left"/>
      <w:pPr>
        <w:tabs>
          <w:tab w:val="num" w:pos="420"/>
        </w:tabs>
        <w:ind w:left="420" w:hanging="420"/>
      </w:pPr>
      <w:rPr>
        <w:rFonts w:hint="eastAsia"/>
      </w:rPr>
    </w:lvl>
    <w:lvl w:ilvl="1" w:tplc="7294FB08">
      <w:start w:val="1"/>
      <w:numFmt w:val="bullet"/>
      <w:lvlText w:val=""/>
      <w:lvlJc w:val="left"/>
      <w:pPr>
        <w:tabs>
          <w:tab w:val="num" w:pos="885"/>
        </w:tabs>
        <w:ind w:left="885" w:hanging="465"/>
      </w:pPr>
      <w:rPr>
        <w:rFonts w:ascii="Symbol" w:hAnsi="Symbol" w:hint="default"/>
      </w:r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3">
    <w:nsid w:val="14BF2398"/>
    <w:multiLevelType w:val="singleLevel"/>
    <w:tmpl w:val="3724B4CC"/>
    <w:lvl w:ilvl="0">
      <w:numFmt w:val="bullet"/>
      <w:lvlText w:val="-"/>
      <w:lvlJc w:val="left"/>
      <w:pPr>
        <w:tabs>
          <w:tab w:val="num" w:pos="360"/>
        </w:tabs>
        <w:ind w:left="360" w:hanging="360"/>
      </w:pPr>
      <w:rPr>
        <w:rFonts w:hint="default"/>
      </w:rPr>
    </w:lvl>
  </w:abstractNum>
  <w:abstractNum w:abstractNumId="234">
    <w:nsid w:val="14D862BC"/>
    <w:multiLevelType w:val="hybridMultilevel"/>
    <w:tmpl w:val="BB86AE68"/>
    <w:lvl w:ilvl="0" w:tplc="43EC1568">
      <w:start w:val="1"/>
      <w:numFmt w:val="decimal"/>
      <w:lvlText w:val="%1、"/>
      <w:lvlJc w:val="left"/>
      <w:pPr>
        <w:tabs>
          <w:tab w:val="num" w:pos="1544"/>
        </w:tabs>
        <w:ind w:left="1544" w:hanging="984"/>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35">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236">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7">
    <w:nsid w:val="151C78F5"/>
    <w:multiLevelType w:val="hybridMultilevel"/>
    <w:tmpl w:val="897A8ACE"/>
    <w:lvl w:ilvl="0" w:tplc="6BE831BC">
      <w:start w:val="1"/>
      <w:numFmt w:val="decimal"/>
      <w:lvlText w:val="%1、"/>
      <w:lvlJc w:val="left"/>
      <w:pPr>
        <w:tabs>
          <w:tab w:val="num" w:pos="720"/>
        </w:tabs>
        <w:ind w:left="720" w:hanging="720"/>
      </w:pPr>
      <w:rPr>
        <w:rFonts w:hint="eastAsia"/>
      </w:rPr>
    </w:lvl>
    <w:lvl w:ilvl="1" w:tplc="73C6E852">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8">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39">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40">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241">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242">
    <w:nsid w:val="158C6120"/>
    <w:multiLevelType w:val="hybridMultilevel"/>
    <w:tmpl w:val="4A2ABDDE"/>
    <w:lvl w:ilvl="0" w:tplc="9D40130E">
      <w:start w:val="2"/>
      <w:numFmt w:val="decimal"/>
      <w:lvlText w:val="%1."/>
      <w:lvlJc w:val="left"/>
      <w:pPr>
        <w:tabs>
          <w:tab w:val="num" w:pos="4770"/>
        </w:tabs>
        <w:ind w:left="4770" w:hanging="1890"/>
      </w:pPr>
      <w:rPr>
        <w:rFonts w:hint="default"/>
      </w:rPr>
    </w:lvl>
    <w:lvl w:ilvl="1" w:tplc="042F0019" w:tentative="1">
      <w:start w:val="1"/>
      <w:numFmt w:val="lowerLetter"/>
      <w:lvlText w:val="%2."/>
      <w:lvlJc w:val="left"/>
      <w:pPr>
        <w:tabs>
          <w:tab w:val="num" w:pos="3960"/>
        </w:tabs>
        <w:ind w:left="3960" w:hanging="360"/>
      </w:pPr>
    </w:lvl>
    <w:lvl w:ilvl="2" w:tplc="042F001B" w:tentative="1">
      <w:start w:val="1"/>
      <w:numFmt w:val="lowerRoman"/>
      <w:lvlText w:val="%3."/>
      <w:lvlJc w:val="right"/>
      <w:pPr>
        <w:tabs>
          <w:tab w:val="num" w:pos="4680"/>
        </w:tabs>
        <w:ind w:left="4680" w:hanging="180"/>
      </w:pPr>
    </w:lvl>
    <w:lvl w:ilvl="3" w:tplc="042F000F" w:tentative="1">
      <w:start w:val="1"/>
      <w:numFmt w:val="decimal"/>
      <w:lvlText w:val="%4."/>
      <w:lvlJc w:val="left"/>
      <w:pPr>
        <w:tabs>
          <w:tab w:val="num" w:pos="5400"/>
        </w:tabs>
        <w:ind w:left="5400" w:hanging="360"/>
      </w:pPr>
    </w:lvl>
    <w:lvl w:ilvl="4" w:tplc="042F0019" w:tentative="1">
      <w:start w:val="1"/>
      <w:numFmt w:val="lowerLetter"/>
      <w:lvlText w:val="%5."/>
      <w:lvlJc w:val="left"/>
      <w:pPr>
        <w:tabs>
          <w:tab w:val="num" w:pos="6120"/>
        </w:tabs>
        <w:ind w:left="6120" w:hanging="360"/>
      </w:pPr>
    </w:lvl>
    <w:lvl w:ilvl="5" w:tplc="042F001B" w:tentative="1">
      <w:start w:val="1"/>
      <w:numFmt w:val="lowerRoman"/>
      <w:lvlText w:val="%6."/>
      <w:lvlJc w:val="right"/>
      <w:pPr>
        <w:tabs>
          <w:tab w:val="num" w:pos="6840"/>
        </w:tabs>
        <w:ind w:left="6840" w:hanging="180"/>
      </w:pPr>
    </w:lvl>
    <w:lvl w:ilvl="6" w:tplc="042F000F" w:tentative="1">
      <w:start w:val="1"/>
      <w:numFmt w:val="decimal"/>
      <w:lvlText w:val="%7."/>
      <w:lvlJc w:val="left"/>
      <w:pPr>
        <w:tabs>
          <w:tab w:val="num" w:pos="7560"/>
        </w:tabs>
        <w:ind w:left="7560" w:hanging="360"/>
      </w:pPr>
    </w:lvl>
    <w:lvl w:ilvl="7" w:tplc="042F0019" w:tentative="1">
      <w:start w:val="1"/>
      <w:numFmt w:val="lowerLetter"/>
      <w:lvlText w:val="%8."/>
      <w:lvlJc w:val="left"/>
      <w:pPr>
        <w:tabs>
          <w:tab w:val="num" w:pos="8280"/>
        </w:tabs>
        <w:ind w:left="8280" w:hanging="360"/>
      </w:pPr>
    </w:lvl>
    <w:lvl w:ilvl="8" w:tplc="042F001B" w:tentative="1">
      <w:start w:val="1"/>
      <w:numFmt w:val="lowerRoman"/>
      <w:lvlText w:val="%9."/>
      <w:lvlJc w:val="right"/>
      <w:pPr>
        <w:tabs>
          <w:tab w:val="num" w:pos="9000"/>
        </w:tabs>
        <w:ind w:left="9000" w:hanging="180"/>
      </w:pPr>
    </w:lvl>
  </w:abstractNum>
  <w:abstractNum w:abstractNumId="243">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44">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46">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47">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48">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49">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50">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1">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3">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54">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6">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7">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8">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59">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60">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2">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3">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64">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5">
    <w:nsid w:val="1706072F"/>
    <w:multiLevelType w:val="multilevel"/>
    <w:tmpl w:val="46B88878"/>
    <w:lvl w:ilvl="0">
      <w:start w:val="235"/>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6">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67">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8">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9">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70">
    <w:nsid w:val="17D204D9"/>
    <w:multiLevelType w:val="multilevel"/>
    <w:tmpl w:val="46B88878"/>
    <w:lvl w:ilvl="0">
      <w:start w:val="143"/>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2">
    <w:nsid w:val="17F136C7"/>
    <w:multiLevelType w:val="hybridMultilevel"/>
    <w:tmpl w:val="79CCF0A4"/>
    <w:lvl w:ilvl="0" w:tplc="4D0C391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3">
    <w:nsid w:val="17F828A5"/>
    <w:multiLevelType w:val="hybridMultilevel"/>
    <w:tmpl w:val="DF7C2E4E"/>
    <w:lvl w:ilvl="0" w:tplc="0409000B">
      <w:start w:val="1"/>
      <w:numFmt w:val="bullet"/>
      <w:lvlText w:val=""/>
      <w:lvlJc w:val="left"/>
      <w:pPr>
        <w:tabs>
          <w:tab w:val="num" w:pos="1500"/>
        </w:tabs>
        <w:ind w:left="1500" w:hanging="360"/>
      </w:pPr>
      <w:rPr>
        <w:rFonts w:ascii="Wingdings" w:hAnsi="Wingdings"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4">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75">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76">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7">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8">
    <w:nsid w:val="1885653B"/>
    <w:multiLevelType w:val="hybridMultilevel"/>
    <w:tmpl w:val="B61622D2"/>
    <w:lvl w:ilvl="0" w:tplc="38A4527C">
      <w:start w:val="5"/>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9">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80">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81">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82">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83">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4">
    <w:nsid w:val="18F9341D"/>
    <w:multiLevelType w:val="singleLevel"/>
    <w:tmpl w:val="E59E848C"/>
    <w:lvl w:ilvl="0">
      <w:start w:val="1"/>
      <w:numFmt w:val="decimal"/>
      <w:lvlText w:val="%1."/>
      <w:lvlJc w:val="left"/>
      <w:pPr>
        <w:tabs>
          <w:tab w:val="num" w:pos="420"/>
        </w:tabs>
        <w:ind w:left="420" w:hanging="420"/>
      </w:pPr>
      <w:rPr>
        <w:rFonts w:hint="eastAsia"/>
      </w:rPr>
    </w:lvl>
  </w:abstractNum>
  <w:abstractNum w:abstractNumId="285">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6">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8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88">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89">
    <w:nsid w:val="198672BD"/>
    <w:multiLevelType w:val="multilevel"/>
    <w:tmpl w:val="46B88878"/>
    <w:lvl w:ilvl="0">
      <w:start w:val="252"/>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0">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19976446"/>
    <w:multiLevelType w:val="multilevel"/>
    <w:tmpl w:val="69BE1C12"/>
    <w:lvl w:ilvl="0">
      <w:start w:val="56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2">
    <w:nsid w:val="19994449"/>
    <w:multiLevelType w:val="multilevel"/>
    <w:tmpl w:val="477E44C2"/>
    <w:lvl w:ilvl="0">
      <w:start w:val="71"/>
      <w:numFmt w:val="decimal"/>
      <w:lvlText w:val="%1."/>
      <w:lvlJc w:val="left"/>
      <w:pPr>
        <w:tabs>
          <w:tab w:val="num" w:pos="360"/>
        </w:tabs>
        <w:ind w:left="360" w:hanging="360"/>
      </w:pPr>
      <w:rPr>
        <w:rFonts w:hint="default"/>
      </w:rPr>
    </w:lvl>
    <w:lvl w:ilvl="1">
      <w:start w:val="4"/>
      <w:numFmt w:val="upperRoman"/>
      <w:lvlText w:val="%2."/>
      <w:lvlJc w:val="left"/>
      <w:pPr>
        <w:tabs>
          <w:tab w:val="num" w:pos="1440"/>
        </w:tabs>
        <w:ind w:left="1440" w:hanging="720"/>
      </w:pPr>
      <w:rPr>
        <w:rFonts w:hint="default"/>
      </w:rPr>
    </w:lvl>
    <w:lvl w:ilvl="2">
      <w:start w:val="1"/>
      <w:numFmt w:val="lowerLetter"/>
      <w:lvlText w:val="%3."/>
      <w:lvlJc w:val="left"/>
      <w:pPr>
        <w:tabs>
          <w:tab w:val="num" w:pos="1980"/>
        </w:tabs>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3">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4">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95">
    <w:nsid w:val="1A6B3091"/>
    <w:multiLevelType w:val="singleLevel"/>
    <w:tmpl w:val="ED0C7AEA"/>
    <w:lvl w:ilvl="0">
      <w:start w:val="1"/>
      <w:numFmt w:val="upperLetter"/>
      <w:lvlText w:val="%1．"/>
      <w:lvlJc w:val="left"/>
      <w:pPr>
        <w:tabs>
          <w:tab w:val="num" w:pos="405"/>
        </w:tabs>
        <w:ind w:left="405" w:hanging="405"/>
      </w:pPr>
      <w:rPr>
        <w:rFonts w:hint="eastAsia"/>
      </w:rPr>
    </w:lvl>
  </w:abstractNum>
  <w:abstractNum w:abstractNumId="296">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97">
    <w:nsid w:val="1A7B268E"/>
    <w:multiLevelType w:val="singleLevel"/>
    <w:tmpl w:val="0C09000F"/>
    <w:lvl w:ilvl="0">
      <w:start w:val="1"/>
      <w:numFmt w:val="decimal"/>
      <w:lvlText w:val="%1."/>
      <w:lvlJc w:val="left"/>
      <w:pPr>
        <w:tabs>
          <w:tab w:val="num" w:pos="360"/>
        </w:tabs>
        <w:ind w:left="360" w:hanging="360"/>
      </w:pPr>
    </w:lvl>
  </w:abstractNum>
  <w:abstractNum w:abstractNumId="298">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299">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0">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0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4">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05">
    <w:nsid w:val="1B914970"/>
    <w:multiLevelType w:val="multilevel"/>
    <w:tmpl w:val="83B2B668"/>
    <w:lvl w:ilvl="0">
      <w:start w:val="153"/>
      <w:numFmt w:val="decimal"/>
      <w:lvlText w:val="%1."/>
      <w:lvlJc w:val="left"/>
      <w:pPr>
        <w:tabs>
          <w:tab w:val="num" w:pos="396"/>
        </w:tabs>
        <w:ind w:left="396" w:hanging="396"/>
      </w:pPr>
      <w:rPr>
        <w:rFonts w:hint="default"/>
        <w:i/>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307">
    <w:nsid w:val="1B997F95"/>
    <w:multiLevelType w:val="singleLevel"/>
    <w:tmpl w:val="BA5040B6"/>
    <w:lvl w:ilvl="0">
      <w:start w:val="1"/>
      <w:numFmt w:val="lowerLetter"/>
      <w:lvlText w:val="%1."/>
      <w:lvlJc w:val="left"/>
      <w:pPr>
        <w:tabs>
          <w:tab w:val="num" w:pos="285"/>
        </w:tabs>
        <w:ind w:left="285" w:hanging="285"/>
      </w:pPr>
      <w:rPr>
        <w:rFonts w:hint="default"/>
      </w:rPr>
    </w:lvl>
  </w:abstractNum>
  <w:abstractNum w:abstractNumId="308">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9">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0">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1BEA17EC"/>
    <w:multiLevelType w:val="hybridMultilevel"/>
    <w:tmpl w:val="0360F2D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2">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13">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314">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15">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31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7">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31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9">
    <w:nsid w:val="1C731AF1"/>
    <w:multiLevelType w:val="hybridMultilevel"/>
    <w:tmpl w:val="828A5DBA"/>
    <w:lvl w:ilvl="0" w:tplc="D138DD80">
      <w:start w:val="1"/>
      <w:numFmt w:val="decimal"/>
      <w:lvlText w:val="%1."/>
      <w:lvlJc w:val="left"/>
      <w:pPr>
        <w:tabs>
          <w:tab w:val="num" w:pos="1080"/>
        </w:tabs>
        <w:ind w:left="1080" w:hanging="360"/>
      </w:pPr>
      <w:rPr>
        <w:rFonts w:hint="default"/>
      </w:rPr>
    </w:lvl>
    <w:lvl w:ilvl="1" w:tplc="1CE876D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2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322">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2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2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326">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7">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28">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1CF2211E"/>
    <w:multiLevelType w:val="hybridMultilevel"/>
    <w:tmpl w:val="98126824"/>
    <w:lvl w:ilvl="0" w:tplc="C7989CFA">
      <w:start w:val="304"/>
      <w:numFmt w:val="decimal"/>
      <w:lvlText w:val="%1."/>
      <w:lvlJc w:val="left"/>
      <w:pPr>
        <w:tabs>
          <w:tab w:val="num" w:pos="1050"/>
        </w:tabs>
        <w:ind w:left="1050" w:hanging="63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0">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1">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2">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3">
    <w:nsid w:val="1D1D2353"/>
    <w:multiLevelType w:val="hybridMultilevel"/>
    <w:tmpl w:val="D06428B0"/>
    <w:lvl w:ilvl="0" w:tplc="334C383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4">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335">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7">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8">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9">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0">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1">
    <w:nsid w:val="1DCF48E2"/>
    <w:multiLevelType w:val="hybridMultilevel"/>
    <w:tmpl w:val="8AF0838E"/>
    <w:lvl w:ilvl="0" w:tplc="B6820F6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2">
    <w:nsid w:val="1DD35DAF"/>
    <w:multiLevelType w:val="hybridMultilevel"/>
    <w:tmpl w:val="94B0BBF0"/>
    <w:lvl w:ilvl="0" w:tplc="D6E83C3A">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3">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5">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6">
    <w:nsid w:val="1E282DE7"/>
    <w:multiLevelType w:val="hybridMultilevel"/>
    <w:tmpl w:val="889ADE5C"/>
    <w:lvl w:ilvl="0" w:tplc="E3F6D088">
      <w:start w:val="3"/>
      <w:numFmt w:val="decimal"/>
      <w:lvlText w:val="%1."/>
      <w:lvlJc w:val="left"/>
      <w:pPr>
        <w:tabs>
          <w:tab w:val="num" w:pos="712"/>
        </w:tabs>
        <w:ind w:left="712" w:hanging="372"/>
      </w:pPr>
      <w:rPr>
        <w:rFonts w:hint="default"/>
      </w:r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347">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9">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50">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51">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52">
    <w:nsid w:val="1F1F2105"/>
    <w:multiLevelType w:val="singleLevel"/>
    <w:tmpl w:val="EFDC7BD6"/>
    <w:lvl w:ilvl="0">
      <w:start w:val="1"/>
      <w:numFmt w:val="lowerLetter"/>
      <w:lvlText w:val="%1."/>
      <w:lvlJc w:val="left"/>
      <w:pPr>
        <w:tabs>
          <w:tab w:val="num" w:pos="765"/>
        </w:tabs>
        <w:ind w:left="765" w:hanging="285"/>
      </w:pPr>
      <w:rPr>
        <w:rFonts w:hint="default"/>
      </w:rPr>
    </w:lvl>
  </w:abstractNum>
  <w:abstractNum w:abstractNumId="353">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355">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356">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8">
    <w:nsid w:val="1F5F4791"/>
    <w:multiLevelType w:val="singleLevel"/>
    <w:tmpl w:val="0C09000F"/>
    <w:lvl w:ilvl="0">
      <w:start w:val="1"/>
      <w:numFmt w:val="decimal"/>
      <w:lvlText w:val="%1."/>
      <w:lvlJc w:val="left"/>
      <w:pPr>
        <w:tabs>
          <w:tab w:val="num" w:pos="360"/>
        </w:tabs>
        <w:ind w:left="360" w:hanging="360"/>
      </w:pPr>
    </w:lvl>
  </w:abstractNum>
  <w:abstractNum w:abstractNumId="35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361">
    <w:nsid w:val="1F6E7BAF"/>
    <w:multiLevelType w:val="singleLevel"/>
    <w:tmpl w:val="64BA9446"/>
    <w:lvl w:ilvl="0">
      <w:start w:val="1"/>
      <w:numFmt w:val="lowerLetter"/>
      <w:lvlText w:val="%1．"/>
      <w:lvlJc w:val="left"/>
      <w:pPr>
        <w:tabs>
          <w:tab w:val="num" w:pos="345"/>
        </w:tabs>
        <w:ind w:left="345" w:hanging="345"/>
      </w:pPr>
      <w:rPr>
        <w:rFonts w:hint="default"/>
      </w:rPr>
    </w:lvl>
  </w:abstractNum>
  <w:abstractNum w:abstractNumId="362">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63">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6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5">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6">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8">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7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71">
    <w:nsid w:val="20225DE8"/>
    <w:multiLevelType w:val="singleLevel"/>
    <w:tmpl w:val="D49879A6"/>
    <w:lvl w:ilvl="0">
      <w:start w:val="1"/>
      <w:numFmt w:val="lowerLetter"/>
      <w:lvlText w:val="%1."/>
      <w:lvlJc w:val="left"/>
      <w:pPr>
        <w:tabs>
          <w:tab w:val="num" w:pos="285"/>
        </w:tabs>
        <w:ind w:left="285" w:hanging="285"/>
      </w:pPr>
      <w:rPr>
        <w:rFonts w:hint="default"/>
      </w:rPr>
    </w:lvl>
  </w:abstractNum>
  <w:abstractNum w:abstractNumId="372">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3">
    <w:nsid w:val="208A0D5F"/>
    <w:multiLevelType w:val="multilevel"/>
    <w:tmpl w:val="8EA4C88A"/>
    <w:lvl w:ilvl="0">
      <w:start w:val="430"/>
      <w:numFmt w:val="decimal"/>
      <w:lvlText w:val="%1."/>
      <w:lvlJc w:val="left"/>
      <w:pPr>
        <w:tabs>
          <w:tab w:val="num" w:pos="396"/>
        </w:tabs>
        <w:ind w:left="396" w:hanging="396"/>
      </w:pPr>
      <w:rPr>
        <w:rFonts w:ascii="Tahoma" w:hAnsi="Tahoma" w:hint="default"/>
        <w:sz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4">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75">
    <w:nsid w:val="208F397E"/>
    <w:multiLevelType w:val="hybridMultilevel"/>
    <w:tmpl w:val="492CACA6"/>
    <w:lvl w:ilvl="0" w:tplc="F4BEC6F6">
      <w:start w:val="1"/>
      <w:numFmt w:val="lowerLetter"/>
      <w:lvlText w:val="（%1）"/>
      <w:lvlJc w:val="left"/>
      <w:pPr>
        <w:tabs>
          <w:tab w:val="num" w:pos="1890"/>
        </w:tabs>
        <w:ind w:left="1890" w:hanging="1305"/>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376">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77">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7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79">
    <w:nsid w:val="20FE6015"/>
    <w:multiLevelType w:val="singleLevel"/>
    <w:tmpl w:val="0409000F"/>
    <w:lvl w:ilvl="0">
      <w:start w:val="1"/>
      <w:numFmt w:val="decimal"/>
      <w:lvlText w:val="%1."/>
      <w:lvlJc w:val="left"/>
      <w:pPr>
        <w:tabs>
          <w:tab w:val="num" w:pos="425"/>
        </w:tabs>
        <w:ind w:left="425" w:hanging="425"/>
      </w:pPr>
    </w:lvl>
  </w:abstractNum>
  <w:abstractNum w:abstractNumId="380">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81">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382">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383">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4">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385">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214750EE"/>
    <w:multiLevelType w:val="singleLevel"/>
    <w:tmpl w:val="F22E61FA"/>
    <w:lvl w:ilvl="0">
      <w:start w:val="1"/>
      <w:numFmt w:val="lowerLetter"/>
      <w:lvlText w:val="%1．"/>
      <w:lvlJc w:val="left"/>
      <w:pPr>
        <w:tabs>
          <w:tab w:val="num" w:pos="330"/>
        </w:tabs>
        <w:ind w:left="330" w:hanging="330"/>
      </w:pPr>
      <w:rPr>
        <w:rFonts w:hint="default"/>
      </w:rPr>
    </w:lvl>
  </w:abstractNum>
  <w:abstractNum w:abstractNumId="387">
    <w:nsid w:val="217248EE"/>
    <w:multiLevelType w:val="hybridMultilevel"/>
    <w:tmpl w:val="DF18298C"/>
    <w:lvl w:ilvl="0" w:tplc="45FAFABC">
      <w:start w:val="1"/>
      <w:numFmt w:val="lowerLetter"/>
      <w:lvlText w:val="%1."/>
      <w:lvlJc w:val="left"/>
      <w:pPr>
        <w:tabs>
          <w:tab w:val="num" w:pos="840"/>
        </w:tabs>
        <w:ind w:left="840" w:hanging="420"/>
      </w:pPr>
      <w:rPr>
        <w:rFonts w:hint="eastAsia"/>
      </w:rPr>
    </w:lvl>
    <w:lvl w:ilvl="1" w:tplc="2D4646FC">
      <w:start w:val="1"/>
      <w:numFmt w:val="upp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218B15EA"/>
    <w:multiLevelType w:val="hybridMultilevel"/>
    <w:tmpl w:val="E772B988"/>
    <w:lvl w:ilvl="0" w:tplc="7294FB08">
      <w:start w:val="1"/>
      <w:numFmt w:val="bullet"/>
      <w:lvlText w:val=""/>
      <w:lvlJc w:val="left"/>
      <w:pPr>
        <w:tabs>
          <w:tab w:val="num" w:pos="2189"/>
        </w:tabs>
        <w:ind w:left="2189"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9">
    <w:nsid w:val="21921FFC"/>
    <w:multiLevelType w:val="hybridMultilevel"/>
    <w:tmpl w:val="A23A0382"/>
    <w:lvl w:ilvl="0" w:tplc="04090001">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390">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1">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392">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93">
    <w:nsid w:val="22111B73"/>
    <w:multiLevelType w:val="hybridMultilevel"/>
    <w:tmpl w:val="882EF390"/>
    <w:lvl w:ilvl="0" w:tplc="6E0AECAE">
      <w:numFmt w:val="bullet"/>
      <w:lvlText w:val="-"/>
      <w:lvlJc w:val="left"/>
      <w:pPr>
        <w:tabs>
          <w:tab w:val="num" w:pos="1080"/>
        </w:tabs>
        <w:ind w:left="1080" w:hanging="360"/>
      </w:pPr>
      <w:rPr>
        <w:rFonts w:ascii="Times New Roman" w:eastAsia="Times New Roman" w:hAnsi="Times New Roman" w:cs="Times New Roman" w:hint="default"/>
      </w:rPr>
    </w:lvl>
    <w:lvl w:ilvl="1" w:tplc="042F0003" w:tentative="1">
      <w:start w:val="1"/>
      <w:numFmt w:val="bullet"/>
      <w:lvlText w:val="o"/>
      <w:lvlJc w:val="left"/>
      <w:pPr>
        <w:tabs>
          <w:tab w:val="num" w:pos="1800"/>
        </w:tabs>
        <w:ind w:left="1800" w:hanging="360"/>
      </w:pPr>
      <w:rPr>
        <w:rFonts w:ascii="Courier New" w:hAnsi="Courier New" w:cs="Courier New" w:hint="default"/>
      </w:rPr>
    </w:lvl>
    <w:lvl w:ilvl="2" w:tplc="042F0005" w:tentative="1">
      <w:start w:val="1"/>
      <w:numFmt w:val="bullet"/>
      <w:lvlText w:val=""/>
      <w:lvlJc w:val="left"/>
      <w:pPr>
        <w:tabs>
          <w:tab w:val="num" w:pos="2520"/>
        </w:tabs>
        <w:ind w:left="2520" w:hanging="360"/>
      </w:pPr>
      <w:rPr>
        <w:rFonts w:ascii="Wingdings" w:hAnsi="Wingdings" w:hint="default"/>
      </w:rPr>
    </w:lvl>
    <w:lvl w:ilvl="3" w:tplc="042F0001" w:tentative="1">
      <w:start w:val="1"/>
      <w:numFmt w:val="bullet"/>
      <w:lvlText w:val=""/>
      <w:lvlJc w:val="left"/>
      <w:pPr>
        <w:tabs>
          <w:tab w:val="num" w:pos="3240"/>
        </w:tabs>
        <w:ind w:left="3240" w:hanging="360"/>
      </w:pPr>
      <w:rPr>
        <w:rFonts w:ascii="Symbol" w:hAnsi="Symbol" w:hint="default"/>
      </w:rPr>
    </w:lvl>
    <w:lvl w:ilvl="4" w:tplc="042F0003" w:tentative="1">
      <w:start w:val="1"/>
      <w:numFmt w:val="bullet"/>
      <w:lvlText w:val="o"/>
      <w:lvlJc w:val="left"/>
      <w:pPr>
        <w:tabs>
          <w:tab w:val="num" w:pos="3960"/>
        </w:tabs>
        <w:ind w:left="3960" w:hanging="360"/>
      </w:pPr>
      <w:rPr>
        <w:rFonts w:ascii="Courier New" w:hAnsi="Courier New" w:cs="Courier New" w:hint="default"/>
      </w:rPr>
    </w:lvl>
    <w:lvl w:ilvl="5" w:tplc="042F0005" w:tentative="1">
      <w:start w:val="1"/>
      <w:numFmt w:val="bullet"/>
      <w:lvlText w:val=""/>
      <w:lvlJc w:val="left"/>
      <w:pPr>
        <w:tabs>
          <w:tab w:val="num" w:pos="4680"/>
        </w:tabs>
        <w:ind w:left="4680" w:hanging="360"/>
      </w:pPr>
      <w:rPr>
        <w:rFonts w:ascii="Wingdings" w:hAnsi="Wingdings" w:hint="default"/>
      </w:rPr>
    </w:lvl>
    <w:lvl w:ilvl="6" w:tplc="042F0001" w:tentative="1">
      <w:start w:val="1"/>
      <w:numFmt w:val="bullet"/>
      <w:lvlText w:val=""/>
      <w:lvlJc w:val="left"/>
      <w:pPr>
        <w:tabs>
          <w:tab w:val="num" w:pos="5400"/>
        </w:tabs>
        <w:ind w:left="5400" w:hanging="360"/>
      </w:pPr>
      <w:rPr>
        <w:rFonts w:ascii="Symbol" w:hAnsi="Symbol" w:hint="default"/>
      </w:rPr>
    </w:lvl>
    <w:lvl w:ilvl="7" w:tplc="042F0003" w:tentative="1">
      <w:start w:val="1"/>
      <w:numFmt w:val="bullet"/>
      <w:lvlText w:val="o"/>
      <w:lvlJc w:val="left"/>
      <w:pPr>
        <w:tabs>
          <w:tab w:val="num" w:pos="6120"/>
        </w:tabs>
        <w:ind w:left="6120" w:hanging="360"/>
      </w:pPr>
      <w:rPr>
        <w:rFonts w:ascii="Courier New" w:hAnsi="Courier New" w:cs="Courier New" w:hint="default"/>
      </w:rPr>
    </w:lvl>
    <w:lvl w:ilvl="8" w:tplc="042F0005" w:tentative="1">
      <w:start w:val="1"/>
      <w:numFmt w:val="bullet"/>
      <w:lvlText w:val=""/>
      <w:lvlJc w:val="left"/>
      <w:pPr>
        <w:tabs>
          <w:tab w:val="num" w:pos="6840"/>
        </w:tabs>
        <w:ind w:left="6840" w:hanging="360"/>
      </w:pPr>
      <w:rPr>
        <w:rFonts w:ascii="Wingdings" w:hAnsi="Wingdings" w:hint="default"/>
      </w:rPr>
    </w:lvl>
  </w:abstractNum>
  <w:abstractNum w:abstractNumId="394">
    <w:nsid w:val="2245604D"/>
    <w:multiLevelType w:val="hybridMultilevel"/>
    <w:tmpl w:val="5726D258"/>
    <w:lvl w:ilvl="0" w:tplc="334C383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5">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97">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98">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9">
    <w:nsid w:val="22D0478D"/>
    <w:multiLevelType w:val="hybridMultilevel"/>
    <w:tmpl w:val="50D200C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0">
    <w:nsid w:val="22ED1E9B"/>
    <w:multiLevelType w:val="singleLevel"/>
    <w:tmpl w:val="CD3C0AB0"/>
    <w:lvl w:ilvl="0">
      <w:start w:val="233"/>
      <w:numFmt w:val="decimal"/>
      <w:lvlText w:val=""/>
      <w:lvlJc w:val="left"/>
      <w:pPr>
        <w:tabs>
          <w:tab w:val="num" w:pos="360"/>
        </w:tabs>
        <w:ind w:left="360" w:hanging="360"/>
      </w:pPr>
      <w:rPr>
        <w:rFonts w:hint="default"/>
        <w:i/>
      </w:rPr>
    </w:lvl>
  </w:abstractNum>
  <w:abstractNum w:abstractNumId="401">
    <w:nsid w:val="22F537EE"/>
    <w:multiLevelType w:val="hybridMultilevel"/>
    <w:tmpl w:val="1892153C"/>
    <w:lvl w:ilvl="0" w:tplc="549E9278">
      <w:start w:val="1"/>
      <w:numFmt w:val="decimal"/>
      <w:lvlText w:val="%1、"/>
      <w:lvlJc w:val="left"/>
      <w:pPr>
        <w:tabs>
          <w:tab w:val="num" w:pos="720"/>
        </w:tabs>
        <w:ind w:left="720" w:hanging="720"/>
      </w:pPr>
      <w:rPr>
        <w:rFonts w:hint="eastAsia"/>
      </w:rPr>
    </w:lvl>
    <w:lvl w:ilvl="1" w:tplc="EE4682AC">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2">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3">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4">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5">
    <w:nsid w:val="2375067C"/>
    <w:multiLevelType w:val="multilevel"/>
    <w:tmpl w:val="193EE608"/>
    <w:lvl w:ilvl="0">
      <w:start w:val="483"/>
      <w:numFmt w:val="decimal"/>
      <w:lvlText w:val="%1."/>
      <w:lvlJc w:val="left"/>
      <w:pPr>
        <w:tabs>
          <w:tab w:val="num" w:pos="396"/>
        </w:tabs>
        <w:ind w:left="396" w:hanging="396"/>
      </w:pPr>
      <w:rPr>
        <w:rFonts w:hint="default"/>
      </w:rPr>
    </w:lvl>
    <w:lvl w:ilvl="1">
      <w:start w:val="1"/>
      <w:numFmt w:val="lowerLetter"/>
      <w:lvlText w:val="%2."/>
      <w:lvlJc w:val="left"/>
      <w:pPr>
        <w:tabs>
          <w:tab w:val="num" w:pos="1500"/>
        </w:tabs>
        <w:ind w:left="1500" w:hanging="420"/>
      </w:pPr>
      <w:rPr>
        <w:rFonts w:hint="eastAsia"/>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6">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407">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408">
    <w:nsid w:val="23C15CA8"/>
    <w:multiLevelType w:val="hybridMultilevel"/>
    <w:tmpl w:val="BE204E6C"/>
    <w:lvl w:ilvl="0" w:tplc="9E1C3BF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9">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1">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412">
    <w:nsid w:val="23E40A51"/>
    <w:multiLevelType w:val="hybridMultilevel"/>
    <w:tmpl w:val="65D29D9E"/>
    <w:lvl w:ilvl="0" w:tplc="2C7282C0">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41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419">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20">
    <w:nsid w:val="24EB0B23"/>
    <w:multiLevelType w:val="multilevel"/>
    <w:tmpl w:val="46B88878"/>
    <w:lvl w:ilvl="0">
      <w:start w:val="540"/>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1">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2">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423">
    <w:nsid w:val="25310157"/>
    <w:multiLevelType w:val="hybridMultilevel"/>
    <w:tmpl w:val="A6DE2456"/>
    <w:lvl w:ilvl="0" w:tplc="1F44C302">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424">
    <w:nsid w:val="25A56FC1"/>
    <w:multiLevelType w:val="hybridMultilevel"/>
    <w:tmpl w:val="435C88B8"/>
    <w:lvl w:ilvl="0" w:tplc="A0C0513A">
      <w:start w:val="1"/>
      <w:numFmt w:val="lowerLetter"/>
      <w:lvlText w:val="%1."/>
      <w:lvlJc w:val="left"/>
      <w:pPr>
        <w:tabs>
          <w:tab w:val="num" w:pos="1261"/>
        </w:tabs>
        <w:ind w:left="1261" w:hanging="420"/>
      </w:pPr>
      <w:rPr>
        <w:rFonts w:hint="eastAsia"/>
      </w:rPr>
    </w:lvl>
    <w:lvl w:ilvl="1" w:tplc="04090019" w:tentative="1">
      <w:start w:val="1"/>
      <w:numFmt w:val="lowerLetter"/>
      <w:lvlText w:val="%2)"/>
      <w:lvlJc w:val="left"/>
      <w:pPr>
        <w:tabs>
          <w:tab w:val="num" w:pos="1261"/>
        </w:tabs>
        <w:ind w:left="1261" w:hanging="420"/>
      </w:pPr>
    </w:lvl>
    <w:lvl w:ilvl="2" w:tplc="0409001B" w:tentative="1">
      <w:start w:val="1"/>
      <w:numFmt w:val="lowerRoman"/>
      <w:lvlText w:val="%3."/>
      <w:lvlJc w:val="right"/>
      <w:pPr>
        <w:tabs>
          <w:tab w:val="num" w:pos="1681"/>
        </w:tabs>
        <w:ind w:left="1681" w:hanging="420"/>
      </w:pPr>
    </w:lvl>
    <w:lvl w:ilvl="3" w:tplc="0409000F" w:tentative="1">
      <w:start w:val="1"/>
      <w:numFmt w:val="decimal"/>
      <w:lvlText w:val="%4."/>
      <w:lvlJc w:val="left"/>
      <w:pPr>
        <w:tabs>
          <w:tab w:val="num" w:pos="2101"/>
        </w:tabs>
        <w:ind w:left="2101" w:hanging="420"/>
      </w:pPr>
    </w:lvl>
    <w:lvl w:ilvl="4" w:tplc="04090019" w:tentative="1">
      <w:start w:val="1"/>
      <w:numFmt w:val="lowerLetter"/>
      <w:lvlText w:val="%5)"/>
      <w:lvlJc w:val="left"/>
      <w:pPr>
        <w:tabs>
          <w:tab w:val="num" w:pos="2521"/>
        </w:tabs>
        <w:ind w:left="2521" w:hanging="420"/>
      </w:pPr>
    </w:lvl>
    <w:lvl w:ilvl="5" w:tplc="0409001B" w:tentative="1">
      <w:start w:val="1"/>
      <w:numFmt w:val="lowerRoman"/>
      <w:lvlText w:val="%6."/>
      <w:lvlJc w:val="right"/>
      <w:pPr>
        <w:tabs>
          <w:tab w:val="num" w:pos="2941"/>
        </w:tabs>
        <w:ind w:left="2941" w:hanging="420"/>
      </w:pPr>
    </w:lvl>
    <w:lvl w:ilvl="6" w:tplc="0409000F" w:tentative="1">
      <w:start w:val="1"/>
      <w:numFmt w:val="decimal"/>
      <w:lvlText w:val="%7."/>
      <w:lvlJc w:val="left"/>
      <w:pPr>
        <w:tabs>
          <w:tab w:val="num" w:pos="3361"/>
        </w:tabs>
        <w:ind w:left="3361" w:hanging="420"/>
      </w:pPr>
    </w:lvl>
    <w:lvl w:ilvl="7" w:tplc="04090019" w:tentative="1">
      <w:start w:val="1"/>
      <w:numFmt w:val="lowerLetter"/>
      <w:lvlText w:val="%8)"/>
      <w:lvlJc w:val="left"/>
      <w:pPr>
        <w:tabs>
          <w:tab w:val="num" w:pos="3781"/>
        </w:tabs>
        <w:ind w:left="3781" w:hanging="420"/>
      </w:pPr>
    </w:lvl>
    <w:lvl w:ilvl="8" w:tplc="0409001B" w:tentative="1">
      <w:start w:val="1"/>
      <w:numFmt w:val="lowerRoman"/>
      <w:lvlText w:val="%9."/>
      <w:lvlJc w:val="right"/>
      <w:pPr>
        <w:tabs>
          <w:tab w:val="num" w:pos="4201"/>
        </w:tabs>
        <w:ind w:left="4201" w:hanging="420"/>
      </w:pPr>
    </w:lvl>
  </w:abstractNum>
  <w:abstractNum w:abstractNumId="42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426">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42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428">
    <w:nsid w:val="260C51BD"/>
    <w:multiLevelType w:val="multilevel"/>
    <w:tmpl w:val="46B88878"/>
    <w:lvl w:ilvl="0">
      <w:start w:val="283"/>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430">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431">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2">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33">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34">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435">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6">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7">
    <w:nsid w:val="27215708"/>
    <w:multiLevelType w:val="multilevel"/>
    <w:tmpl w:val="46B88878"/>
    <w:lvl w:ilvl="0">
      <w:start w:val="369"/>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8">
    <w:nsid w:val="272D1655"/>
    <w:multiLevelType w:val="multilevel"/>
    <w:tmpl w:val="50D200C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9">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0">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441">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443">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5">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46">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447">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8">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9">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0">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2">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3">
    <w:nsid w:val="27FB0A20"/>
    <w:multiLevelType w:val="singleLevel"/>
    <w:tmpl w:val="389E55FA"/>
    <w:lvl w:ilvl="0">
      <w:numFmt w:val="bullet"/>
      <w:lvlText w:val="-"/>
      <w:lvlJc w:val="left"/>
      <w:pPr>
        <w:tabs>
          <w:tab w:val="num" w:pos="780"/>
        </w:tabs>
        <w:ind w:left="780" w:hanging="360"/>
      </w:pPr>
      <w:rPr>
        <w:rFonts w:hint="eastAsia"/>
      </w:rPr>
    </w:lvl>
  </w:abstractNum>
  <w:abstractNum w:abstractNumId="454">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5">
    <w:nsid w:val="28130803"/>
    <w:multiLevelType w:val="hybridMultilevel"/>
    <w:tmpl w:val="0BDC5D58"/>
    <w:lvl w:ilvl="0" w:tplc="21EE2EF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456">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458">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459">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460">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1">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2">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3">
    <w:nsid w:val="290D0946"/>
    <w:multiLevelType w:val="singleLevel"/>
    <w:tmpl w:val="DF484B32"/>
    <w:lvl w:ilvl="0">
      <w:start w:val="510"/>
      <w:numFmt w:val="decimal"/>
      <w:lvlText w:val="%1."/>
      <w:lvlJc w:val="left"/>
      <w:pPr>
        <w:tabs>
          <w:tab w:val="num" w:pos="396"/>
        </w:tabs>
        <w:ind w:left="396" w:hanging="396"/>
      </w:pPr>
      <w:rPr>
        <w:rFonts w:hint="default"/>
        <w:b w:val="0"/>
      </w:rPr>
    </w:lvl>
  </w:abstractNum>
  <w:abstractNum w:abstractNumId="464">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66">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467">
    <w:nsid w:val="29654B95"/>
    <w:multiLevelType w:val="hybridMultilevel"/>
    <w:tmpl w:val="A52E5DC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8">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70">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471">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72">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73">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4">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476">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478">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479">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481">
    <w:nsid w:val="2AEB4359"/>
    <w:multiLevelType w:val="multilevel"/>
    <w:tmpl w:val="B6CAD748"/>
    <w:lvl w:ilvl="0">
      <w:start w:val="45"/>
      <w:numFmt w:val="decimal"/>
      <w:lvlText w:val="%1."/>
      <w:lvlJc w:val="left"/>
      <w:pPr>
        <w:tabs>
          <w:tab w:val="num" w:pos="360"/>
        </w:tabs>
        <w:ind w:left="360" w:hanging="36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482">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83">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4">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48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48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487">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488">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9">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0">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2">
    <w:nsid w:val="2C0E47C2"/>
    <w:multiLevelType w:val="hybridMultilevel"/>
    <w:tmpl w:val="27F89760"/>
    <w:lvl w:ilvl="0" w:tplc="B4442378">
      <w:start w:val="1"/>
      <w:numFmt w:val="upperRoman"/>
      <w:lvlText w:val="%1."/>
      <w:lvlJc w:val="left"/>
      <w:pPr>
        <w:tabs>
          <w:tab w:val="num" w:pos="420"/>
        </w:tabs>
        <w:ind w:left="420" w:hanging="420"/>
      </w:pPr>
      <w:rPr>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3">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4">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5">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496">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7">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8">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9">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0">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501">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02">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503">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2D543047"/>
    <w:multiLevelType w:val="singleLevel"/>
    <w:tmpl w:val="9F343776"/>
    <w:lvl w:ilvl="0">
      <w:start w:val="1"/>
      <w:numFmt w:val="decimal"/>
      <w:lvlText w:val="%1．"/>
      <w:lvlJc w:val="left"/>
      <w:pPr>
        <w:tabs>
          <w:tab w:val="num" w:pos="525"/>
        </w:tabs>
        <w:ind w:left="525" w:hanging="525"/>
      </w:pPr>
      <w:rPr>
        <w:rFonts w:hint="eastAsia"/>
      </w:rPr>
    </w:lvl>
  </w:abstractNum>
  <w:abstractNum w:abstractNumId="506">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7">
    <w:nsid w:val="2D61188D"/>
    <w:multiLevelType w:val="singleLevel"/>
    <w:tmpl w:val="0674E09C"/>
    <w:lvl w:ilvl="0">
      <w:start w:val="4"/>
      <w:numFmt w:val="decimal"/>
      <w:lvlText w:val="%1"/>
      <w:lvlJc w:val="left"/>
      <w:pPr>
        <w:tabs>
          <w:tab w:val="num" w:pos="360"/>
        </w:tabs>
        <w:ind w:left="360" w:hanging="360"/>
      </w:pPr>
      <w:rPr>
        <w:rFonts w:hint="eastAsia"/>
      </w:rPr>
    </w:lvl>
  </w:abstractNum>
  <w:abstractNum w:abstractNumId="508">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509">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51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511">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512">
    <w:nsid w:val="2DBC3DEC"/>
    <w:multiLevelType w:val="singleLevel"/>
    <w:tmpl w:val="7EDC3892"/>
    <w:lvl w:ilvl="0">
      <w:start w:val="1"/>
      <w:numFmt w:val="lowerLetter"/>
      <w:lvlText w:val="%1."/>
      <w:lvlJc w:val="left"/>
      <w:pPr>
        <w:tabs>
          <w:tab w:val="num" w:pos="405"/>
        </w:tabs>
        <w:ind w:left="405" w:hanging="405"/>
      </w:pPr>
      <w:rPr>
        <w:rFonts w:hint="default"/>
      </w:rPr>
    </w:lvl>
  </w:abstractNum>
  <w:abstractNum w:abstractNumId="513">
    <w:nsid w:val="2DF85203"/>
    <w:multiLevelType w:val="multilevel"/>
    <w:tmpl w:val="056E903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
      <w:numFmt w:val="upperLetter"/>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4">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515">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17">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518">
    <w:nsid w:val="2E327E8D"/>
    <w:multiLevelType w:val="hybridMultilevel"/>
    <w:tmpl w:val="549410C4"/>
    <w:lvl w:ilvl="0" w:tplc="E294E9D0">
      <w:start w:val="1"/>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519">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20">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1">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2">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52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52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26">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527">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528">
    <w:nsid w:val="2F614923"/>
    <w:multiLevelType w:val="hybridMultilevel"/>
    <w:tmpl w:val="34E21E40"/>
    <w:lvl w:ilvl="0" w:tplc="94201F96">
      <w:start w:val="6"/>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9">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530">
    <w:nsid w:val="2FC30A41"/>
    <w:multiLevelType w:val="hybridMultilevel"/>
    <w:tmpl w:val="81B8FC70"/>
    <w:lvl w:ilvl="0" w:tplc="00C0273C">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1">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2">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53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534">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35">
    <w:nsid w:val="302528D7"/>
    <w:multiLevelType w:val="hybridMultilevel"/>
    <w:tmpl w:val="FD041A28"/>
    <w:lvl w:ilvl="0" w:tplc="F47A6D06">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6">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37">
    <w:nsid w:val="30380537"/>
    <w:multiLevelType w:val="multilevel"/>
    <w:tmpl w:val="3F5AA998"/>
    <w:lvl w:ilvl="0">
      <w:start w:val="1"/>
      <w:numFmt w:val="lowerLetter"/>
      <w:lvlText w:val="%1."/>
      <w:lvlJc w:val="left"/>
      <w:pPr>
        <w:tabs>
          <w:tab w:val="num" w:pos="760"/>
        </w:tabs>
        <w:ind w:left="760" w:hanging="360"/>
      </w:pPr>
      <w:rPr>
        <w:rFonts w:cs="SimSun" w:hint="default"/>
      </w:rPr>
    </w:lvl>
    <w:lvl w:ilvl="1">
      <w:start w:val="8"/>
      <w:numFmt w:val="decimal"/>
      <w:lvlText w:val="%2."/>
      <w:lvlJc w:val="left"/>
      <w:pPr>
        <w:tabs>
          <w:tab w:val="num" w:pos="1480"/>
        </w:tabs>
        <w:ind w:left="1480" w:hanging="360"/>
      </w:pPr>
      <w:rPr>
        <w:rFonts w:hint="default"/>
      </w:r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53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539">
    <w:nsid w:val="30392E80"/>
    <w:multiLevelType w:val="multilevel"/>
    <w:tmpl w:val="46B88878"/>
    <w:lvl w:ilvl="0">
      <w:start w:val="156"/>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0">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41">
    <w:nsid w:val="30421A85"/>
    <w:multiLevelType w:val="hybridMultilevel"/>
    <w:tmpl w:val="E8324CAE"/>
    <w:lvl w:ilvl="0" w:tplc="60B8FC12">
      <w:start w:val="1"/>
      <w:numFmt w:val="lowerLetter"/>
      <w:lvlText w:val="%1)"/>
      <w:lvlJc w:val="left"/>
      <w:pPr>
        <w:tabs>
          <w:tab w:val="num" w:pos="912"/>
        </w:tabs>
        <w:ind w:left="912" w:hanging="36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54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543">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54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545">
    <w:nsid w:val="309B569E"/>
    <w:multiLevelType w:val="hybridMultilevel"/>
    <w:tmpl w:val="5246A070"/>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6">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7">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48">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31291ECE"/>
    <w:multiLevelType w:val="hybridMultilevel"/>
    <w:tmpl w:val="A70E3B78"/>
    <w:lvl w:ilvl="0" w:tplc="B1CC4D52">
      <w:start w:val="456"/>
      <w:numFmt w:val="decimal"/>
      <w:lvlText w:val="%1."/>
      <w:lvlJc w:val="left"/>
      <w:pPr>
        <w:tabs>
          <w:tab w:val="num" w:pos="1050"/>
        </w:tabs>
        <w:ind w:left="1050" w:hanging="63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0">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51">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552">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3">
    <w:nsid w:val="324829A2"/>
    <w:multiLevelType w:val="singleLevel"/>
    <w:tmpl w:val="D4569D4A"/>
    <w:lvl w:ilvl="0">
      <w:start w:val="2"/>
      <w:numFmt w:val="upperLetter"/>
      <w:lvlText w:val="%1．"/>
      <w:lvlJc w:val="left"/>
      <w:pPr>
        <w:tabs>
          <w:tab w:val="num" w:pos="390"/>
        </w:tabs>
        <w:ind w:left="390" w:hanging="390"/>
      </w:pPr>
      <w:rPr>
        <w:rFonts w:hint="eastAsia"/>
      </w:rPr>
    </w:lvl>
  </w:abstractNum>
  <w:abstractNum w:abstractNumId="554">
    <w:nsid w:val="32772E62"/>
    <w:multiLevelType w:val="hybridMultilevel"/>
    <w:tmpl w:val="8AF0838E"/>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5">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556">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9">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0">
    <w:nsid w:val="32D00E1A"/>
    <w:multiLevelType w:val="singleLevel"/>
    <w:tmpl w:val="7750969C"/>
    <w:lvl w:ilvl="0">
      <w:start w:val="1"/>
      <w:numFmt w:val="lowerLetter"/>
      <w:lvlText w:val="%1．"/>
      <w:lvlJc w:val="left"/>
      <w:pPr>
        <w:tabs>
          <w:tab w:val="num" w:pos="930"/>
        </w:tabs>
        <w:ind w:left="930" w:hanging="330"/>
      </w:pPr>
      <w:rPr>
        <w:rFonts w:hint="default"/>
      </w:rPr>
    </w:lvl>
  </w:abstractNum>
  <w:abstractNum w:abstractNumId="561">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562">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63">
    <w:nsid w:val="334F273E"/>
    <w:multiLevelType w:val="multilevel"/>
    <w:tmpl w:val="39501572"/>
    <w:lvl w:ilvl="0">
      <w:start w:val="3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338D53BB"/>
    <w:multiLevelType w:val="singleLevel"/>
    <w:tmpl w:val="058E9970"/>
    <w:lvl w:ilvl="0">
      <w:start w:val="1"/>
      <w:numFmt w:val="lowerLetter"/>
      <w:lvlText w:val="%1."/>
      <w:lvlJc w:val="left"/>
      <w:pPr>
        <w:tabs>
          <w:tab w:val="num" w:pos="225"/>
        </w:tabs>
        <w:ind w:left="225" w:hanging="225"/>
      </w:pPr>
      <w:rPr>
        <w:rFonts w:hint="default"/>
      </w:rPr>
    </w:lvl>
  </w:abstractNum>
  <w:abstractNum w:abstractNumId="566">
    <w:nsid w:val="339A6A73"/>
    <w:multiLevelType w:val="hybridMultilevel"/>
    <w:tmpl w:val="3976EEF6"/>
    <w:lvl w:ilvl="0" w:tplc="D5E8A69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7">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69">
    <w:nsid w:val="33CE2EA8"/>
    <w:multiLevelType w:val="singleLevel"/>
    <w:tmpl w:val="4378BA4C"/>
    <w:lvl w:ilvl="0">
      <w:start w:val="1"/>
      <w:numFmt w:val="lowerLetter"/>
      <w:lvlText w:val="%1."/>
      <w:lvlJc w:val="left"/>
      <w:pPr>
        <w:tabs>
          <w:tab w:val="num" w:pos="285"/>
        </w:tabs>
        <w:ind w:left="285" w:hanging="285"/>
      </w:pPr>
      <w:rPr>
        <w:rFonts w:hint="default"/>
      </w:rPr>
    </w:lvl>
  </w:abstractNum>
  <w:abstractNum w:abstractNumId="57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571">
    <w:nsid w:val="33DF366F"/>
    <w:multiLevelType w:val="singleLevel"/>
    <w:tmpl w:val="143EF40C"/>
    <w:lvl w:ilvl="0">
      <w:start w:val="1"/>
      <w:numFmt w:val="upperLetter"/>
      <w:lvlText w:val="%1．"/>
      <w:lvlJc w:val="left"/>
      <w:pPr>
        <w:tabs>
          <w:tab w:val="num" w:pos="405"/>
        </w:tabs>
        <w:ind w:left="405" w:hanging="405"/>
      </w:pPr>
      <w:rPr>
        <w:rFonts w:hint="eastAsia"/>
      </w:rPr>
    </w:lvl>
  </w:abstractNum>
  <w:abstractNum w:abstractNumId="572">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3">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74">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5">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34C526B5"/>
    <w:multiLevelType w:val="hybridMultilevel"/>
    <w:tmpl w:val="34948664"/>
    <w:lvl w:ilvl="0" w:tplc="4D0C391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7">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8">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9">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0">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58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583">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4">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5">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8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7">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58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589">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590">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92">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593">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4">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595">
    <w:nsid w:val="36CC75B9"/>
    <w:multiLevelType w:val="hybridMultilevel"/>
    <w:tmpl w:val="90769B2E"/>
    <w:lvl w:ilvl="0" w:tplc="E6F84EF2">
      <w:start w:val="262"/>
      <w:numFmt w:val="decimal"/>
      <w:lvlText w:val="%1."/>
      <w:lvlJc w:val="left"/>
      <w:pPr>
        <w:tabs>
          <w:tab w:val="num" w:pos="420"/>
        </w:tabs>
        <w:ind w:left="420" w:hanging="420"/>
      </w:pPr>
      <w:rPr>
        <w:rFonts w:ascii="Times New Roman" w:hAnsi="Times New Roman" w:hint="eastAsia"/>
      </w:rPr>
    </w:lvl>
    <w:lvl w:ilvl="1" w:tplc="B12ED98C">
      <w:start w:val="1"/>
      <w:numFmt w:val="upperLetter"/>
      <w:lvlText w:val="%2．"/>
      <w:lvlJc w:val="left"/>
      <w:pPr>
        <w:tabs>
          <w:tab w:val="num" w:pos="840"/>
        </w:tabs>
        <w:ind w:left="840" w:hanging="420"/>
      </w:pPr>
      <w:rPr>
        <w:rFonts w:hint="eastAsia"/>
      </w:rPr>
    </w:lvl>
    <w:lvl w:ilvl="2" w:tplc="AC76CDA8">
      <w:start w:val="1"/>
      <w:numFmt w:val="lowerLetter"/>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370501F2"/>
    <w:multiLevelType w:val="hybridMultilevel"/>
    <w:tmpl w:val="A5CE7642"/>
    <w:lvl w:ilvl="0" w:tplc="74DEE542">
      <w:start w:val="1"/>
      <w:numFmt w:val="lowerLetter"/>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97">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98">
    <w:nsid w:val="37201488"/>
    <w:multiLevelType w:val="hybridMultilevel"/>
    <w:tmpl w:val="510A621E"/>
    <w:lvl w:ilvl="0" w:tplc="9B86E56E">
      <w:start w:val="1"/>
      <w:numFmt w:val="decimal"/>
      <w:lvlText w:val="（%1）"/>
      <w:lvlJc w:val="left"/>
      <w:pPr>
        <w:tabs>
          <w:tab w:val="num" w:pos="1860"/>
        </w:tabs>
        <w:ind w:left="1860" w:hanging="129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59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1">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2">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3">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04">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6">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7">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8">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9">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0">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1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4">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15">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16">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617">
    <w:nsid w:val="38D75AFA"/>
    <w:multiLevelType w:val="hybridMultilevel"/>
    <w:tmpl w:val="56E89B08"/>
    <w:lvl w:ilvl="0" w:tplc="8006F054">
      <w:start w:val="1"/>
      <w:numFmt w:val="lowerLetter"/>
      <w:lvlText w:val="(%1)"/>
      <w:lvlJc w:val="left"/>
      <w:pPr>
        <w:tabs>
          <w:tab w:val="num" w:pos="930"/>
        </w:tabs>
        <w:ind w:left="930" w:hanging="360"/>
      </w:pPr>
      <w:rPr>
        <w:rFonts w:hint="eastAsia"/>
      </w:rPr>
    </w:lvl>
    <w:lvl w:ilvl="1" w:tplc="EAAA04BE">
      <w:start w:val="1"/>
      <w:numFmt w:val="lowerLetter"/>
      <w:lvlText w:val="%2)"/>
      <w:lvlJc w:val="left"/>
      <w:pPr>
        <w:tabs>
          <w:tab w:val="num" w:pos="1845"/>
        </w:tabs>
        <w:ind w:left="1845" w:hanging="855"/>
      </w:pPr>
      <w:rPr>
        <w:rFonts w:hint="eastAsia"/>
      </w:r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618">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619">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20">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1">
    <w:nsid w:val="394A1DF2"/>
    <w:multiLevelType w:val="multilevel"/>
    <w:tmpl w:val="D1625DC8"/>
    <w:lvl w:ilvl="0">
      <w:start w:val="529"/>
      <w:numFmt w:val="decimal"/>
      <w:lvlText w:val="%1."/>
      <w:lvlJc w:val="left"/>
      <w:pPr>
        <w:tabs>
          <w:tab w:val="num" w:pos="396"/>
        </w:tabs>
        <w:ind w:left="396" w:hanging="396"/>
      </w:pPr>
      <w:rPr>
        <w:rFonts w:hint="default"/>
      </w:rPr>
    </w:lvl>
    <w:lvl w:ilvl="1">
      <w:start w:val="496"/>
      <w:numFmt w:val="decimal"/>
      <w:lvlText w:val="%2."/>
      <w:lvlJc w:val="left"/>
      <w:pPr>
        <w:tabs>
          <w:tab w:val="num" w:pos="1455"/>
        </w:tabs>
        <w:ind w:left="1455" w:hanging="37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2">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23">
    <w:nsid w:val="398C70E1"/>
    <w:multiLevelType w:val="multilevel"/>
    <w:tmpl w:val="4C7E0E6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4">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6">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7">
    <w:nsid w:val="39DE3E0C"/>
    <w:multiLevelType w:val="multilevel"/>
    <w:tmpl w:val="46B88878"/>
    <w:lvl w:ilvl="0">
      <w:start w:val="483"/>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8">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29">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630">
    <w:nsid w:val="3A2614DB"/>
    <w:multiLevelType w:val="multilevel"/>
    <w:tmpl w:val="D70CA3F8"/>
    <w:lvl w:ilvl="0">
      <w:start w:val="616"/>
      <w:numFmt w:val="decimal"/>
      <w:lvlText w:val="%1."/>
      <w:lvlJc w:val="left"/>
      <w:pPr>
        <w:tabs>
          <w:tab w:val="num" w:pos="285"/>
        </w:tabs>
        <w:ind w:left="285" w:hanging="375"/>
      </w:pPr>
      <w:rPr>
        <w:rFonts w:hint="default"/>
      </w:rPr>
    </w:lvl>
    <w:lvl w:ilvl="1">
      <w:start w:val="1"/>
      <w:numFmt w:val="lowerLetter"/>
      <w:lvlText w:val="%2."/>
      <w:lvlJc w:val="left"/>
      <w:pPr>
        <w:tabs>
          <w:tab w:val="num" w:pos="990"/>
        </w:tabs>
        <w:ind w:left="990" w:hanging="360"/>
      </w:pPr>
      <w:rPr>
        <w:rFonts w:hint="default"/>
      </w:rPr>
    </w:lvl>
    <w:lvl w:ilvl="2">
      <w:start w:val="1"/>
      <w:numFmt w:val="bullet"/>
      <w:lvlText w:val="−"/>
      <w:lvlJc w:val="left"/>
      <w:pPr>
        <w:tabs>
          <w:tab w:val="num" w:pos="1831"/>
        </w:tabs>
        <w:ind w:left="1813" w:hanging="283"/>
      </w:pPr>
      <w:rPr>
        <w:rFonts w:ascii="Tahoma" w:hAnsi="Tahoma" w:hint="default"/>
      </w:rPr>
    </w:lvl>
    <w:lvl w:ilvl="3">
      <w:start w:val="1"/>
      <w:numFmt w:val="decimal"/>
      <w:lvlText w:val="%4."/>
      <w:lvlJc w:val="left"/>
      <w:pPr>
        <w:tabs>
          <w:tab w:val="num" w:pos="2430"/>
        </w:tabs>
        <w:ind w:left="2430" w:hanging="360"/>
      </w:pPr>
    </w:lvl>
    <w:lvl w:ilvl="4">
      <w:start w:val="1"/>
      <w:numFmt w:val="lowerLetter"/>
      <w:lvlText w:val="%5."/>
      <w:lvlJc w:val="left"/>
      <w:pPr>
        <w:tabs>
          <w:tab w:val="num" w:pos="3150"/>
        </w:tabs>
        <w:ind w:left="3150" w:hanging="360"/>
      </w:pPr>
    </w:lvl>
    <w:lvl w:ilvl="5">
      <w:start w:val="1"/>
      <w:numFmt w:val="lowerRoman"/>
      <w:lvlText w:val="%6."/>
      <w:lvlJc w:val="right"/>
      <w:pPr>
        <w:tabs>
          <w:tab w:val="num" w:pos="3870"/>
        </w:tabs>
        <w:ind w:left="3870" w:hanging="180"/>
      </w:pPr>
    </w:lvl>
    <w:lvl w:ilvl="6">
      <w:start w:val="1"/>
      <w:numFmt w:val="decimal"/>
      <w:lvlText w:val="%7."/>
      <w:lvlJc w:val="left"/>
      <w:pPr>
        <w:tabs>
          <w:tab w:val="num" w:pos="4590"/>
        </w:tabs>
        <w:ind w:left="4590" w:hanging="360"/>
      </w:pPr>
    </w:lvl>
    <w:lvl w:ilvl="7">
      <w:start w:val="1"/>
      <w:numFmt w:val="lowerLetter"/>
      <w:lvlText w:val="%8."/>
      <w:lvlJc w:val="left"/>
      <w:pPr>
        <w:tabs>
          <w:tab w:val="num" w:pos="5310"/>
        </w:tabs>
        <w:ind w:left="5310" w:hanging="360"/>
      </w:pPr>
    </w:lvl>
    <w:lvl w:ilvl="8">
      <w:start w:val="1"/>
      <w:numFmt w:val="lowerRoman"/>
      <w:lvlText w:val="%9."/>
      <w:lvlJc w:val="right"/>
      <w:pPr>
        <w:tabs>
          <w:tab w:val="num" w:pos="6030"/>
        </w:tabs>
        <w:ind w:left="6030" w:hanging="180"/>
      </w:pPr>
    </w:lvl>
  </w:abstractNum>
  <w:abstractNum w:abstractNumId="631">
    <w:nsid w:val="3A371B80"/>
    <w:multiLevelType w:val="singleLevel"/>
    <w:tmpl w:val="66487904"/>
    <w:lvl w:ilvl="0">
      <w:start w:val="1"/>
      <w:numFmt w:val="lowerLetter"/>
      <w:lvlText w:val="%1."/>
      <w:lvlJc w:val="left"/>
      <w:pPr>
        <w:tabs>
          <w:tab w:val="num" w:pos="405"/>
        </w:tabs>
        <w:ind w:left="405" w:hanging="285"/>
      </w:pPr>
      <w:rPr>
        <w:rFonts w:hint="default"/>
      </w:rPr>
    </w:lvl>
  </w:abstractNum>
  <w:abstractNum w:abstractNumId="632">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33">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634">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6">
    <w:nsid w:val="3A9F2637"/>
    <w:multiLevelType w:val="multilevel"/>
    <w:tmpl w:val="5726D258"/>
    <w:lvl w:ilvl="0">
      <w:start w:val="1"/>
      <w:numFmt w:val="lowerLetter"/>
      <w:lvlText w:val="%1."/>
      <w:lvlJc w:val="left"/>
      <w:pPr>
        <w:tabs>
          <w:tab w:val="num" w:pos="841"/>
        </w:tabs>
        <w:ind w:left="841"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7">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638">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9">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64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3">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645">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46">
    <w:nsid w:val="3BE6347F"/>
    <w:multiLevelType w:val="singleLevel"/>
    <w:tmpl w:val="6CFC930C"/>
    <w:lvl w:ilvl="0">
      <w:start w:val="107"/>
      <w:numFmt w:val="decimal"/>
      <w:lvlText w:val="%1．"/>
      <w:lvlJc w:val="left"/>
      <w:pPr>
        <w:tabs>
          <w:tab w:val="num" w:pos="705"/>
        </w:tabs>
        <w:ind w:left="705" w:hanging="585"/>
      </w:pPr>
      <w:rPr>
        <w:rFonts w:hint="eastAsia"/>
      </w:rPr>
    </w:lvl>
  </w:abstractNum>
  <w:abstractNum w:abstractNumId="647">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648">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9">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0">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2">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3">
    <w:nsid w:val="3C9D1AB7"/>
    <w:multiLevelType w:val="hybridMultilevel"/>
    <w:tmpl w:val="28606246"/>
    <w:lvl w:ilvl="0" w:tplc="4DD2DF1E">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4">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5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656">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7">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658">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59">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660">
    <w:nsid w:val="3D5C3146"/>
    <w:multiLevelType w:val="hybridMultilevel"/>
    <w:tmpl w:val="9958625A"/>
    <w:lvl w:ilvl="0" w:tplc="F6A80E34">
      <w:start w:val="1"/>
      <w:numFmt w:val="lowerLetter"/>
      <w:lvlText w:val="%1."/>
      <w:lvlJc w:val="left"/>
      <w:pPr>
        <w:tabs>
          <w:tab w:val="num" w:pos="840"/>
        </w:tabs>
        <w:ind w:left="840" w:hanging="420"/>
      </w:pPr>
      <w:rPr>
        <w:rFonts w:hint="default"/>
      </w:rPr>
    </w:lvl>
    <w:lvl w:ilvl="1" w:tplc="78C82D94">
      <w:start w:val="1"/>
      <w:numFmt w:val="upperLetter"/>
      <w:lvlText w:val="%2．"/>
      <w:lvlJc w:val="left"/>
      <w:pPr>
        <w:tabs>
          <w:tab w:val="num" w:pos="1260"/>
        </w:tabs>
        <w:ind w:left="1260" w:hanging="4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6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662">
    <w:nsid w:val="3D761C42"/>
    <w:multiLevelType w:val="singleLevel"/>
    <w:tmpl w:val="7D94FDFA"/>
    <w:lvl w:ilvl="0">
      <w:start w:val="1"/>
      <w:numFmt w:val="lowerLetter"/>
      <w:lvlText w:val="%1."/>
      <w:lvlJc w:val="left"/>
      <w:pPr>
        <w:tabs>
          <w:tab w:val="num" w:pos="360"/>
        </w:tabs>
        <w:ind w:left="360" w:hanging="360"/>
      </w:pPr>
      <w:rPr>
        <w:rFonts w:hint="default"/>
      </w:rPr>
    </w:lvl>
  </w:abstractNum>
  <w:abstractNum w:abstractNumId="66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4">
    <w:nsid w:val="3D843801"/>
    <w:multiLevelType w:val="hybridMultilevel"/>
    <w:tmpl w:val="E7BE1DDA"/>
    <w:lvl w:ilvl="0" w:tplc="89CE375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665">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66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66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66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670">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72">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3">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4">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675">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676">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3EC1231C"/>
    <w:multiLevelType w:val="multilevel"/>
    <w:tmpl w:val="46B88878"/>
    <w:lvl w:ilvl="0">
      <w:start w:val="3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8">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679">
    <w:nsid w:val="3EC71C20"/>
    <w:multiLevelType w:val="multilevel"/>
    <w:tmpl w:val="6B9803F4"/>
    <w:lvl w:ilvl="0">
      <w:start w:val="13"/>
      <w:numFmt w:val="decimal"/>
      <w:lvlText w:val="%1"/>
      <w:lvlJc w:val="left"/>
      <w:pPr>
        <w:tabs>
          <w:tab w:val="num" w:pos="1080"/>
        </w:tabs>
        <w:ind w:left="1080" w:hanging="1080"/>
      </w:pPr>
      <w:rPr>
        <w:rFonts w:hint="default"/>
      </w:rPr>
    </w:lvl>
    <w:lvl w:ilvl="1">
      <w:start w:val="2"/>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80">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1">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682">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83">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4">
    <w:nsid w:val="3F374F76"/>
    <w:multiLevelType w:val="multilevel"/>
    <w:tmpl w:val="3824373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22"/>
      <w:numFmt w:val="decimal"/>
      <w:lvlText w:val="%3."/>
      <w:lvlJc w:val="left"/>
      <w:pPr>
        <w:tabs>
          <w:tab w:val="num" w:pos="2364"/>
        </w:tabs>
        <w:ind w:left="2364" w:hanging="384"/>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5">
    <w:nsid w:val="3F3F14DD"/>
    <w:multiLevelType w:val="multilevel"/>
    <w:tmpl w:val="F8125CBA"/>
    <w:lvl w:ilvl="0">
      <w:start w:val="4"/>
      <w:numFmt w:val="lowerLetter"/>
      <w:lvlText w:val="%1."/>
      <w:lvlJc w:val="left"/>
      <w:pPr>
        <w:tabs>
          <w:tab w:val="num" w:pos="810"/>
        </w:tabs>
        <w:ind w:left="810" w:hanging="360"/>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68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688">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9">
    <w:nsid w:val="3FB95888"/>
    <w:multiLevelType w:val="hybridMultilevel"/>
    <w:tmpl w:val="5AB8ACC6"/>
    <w:lvl w:ilvl="0" w:tplc="0409000B">
      <w:start w:val="1"/>
      <w:numFmt w:val="bullet"/>
      <w:lvlText w:val=""/>
      <w:lvlJc w:val="left"/>
      <w:pPr>
        <w:tabs>
          <w:tab w:val="num" w:pos="990"/>
        </w:tabs>
        <w:ind w:left="990" w:hanging="420"/>
      </w:pPr>
      <w:rPr>
        <w:rFonts w:ascii="Wingdings" w:hAnsi="Wingdings" w:hint="default"/>
      </w:rPr>
    </w:lvl>
    <w:lvl w:ilvl="1" w:tplc="04090003" w:tentative="1">
      <w:start w:val="1"/>
      <w:numFmt w:val="bullet"/>
      <w:lvlText w:val=""/>
      <w:lvlJc w:val="left"/>
      <w:pPr>
        <w:tabs>
          <w:tab w:val="num" w:pos="1410"/>
        </w:tabs>
        <w:ind w:left="1410" w:hanging="420"/>
      </w:pPr>
      <w:rPr>
        <w:rFonts w:ascii="Wingdings" w:hAnsi="Wingdings" w:hint="default"/>
      </w:rPr>
    </w:lvl>
    <w:lvl w:ilvl="2" w:tplc="04090005"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3" w:tentative="1">
      <w:start w:val="1"/>
      <w:numFmt w:val="bullet"/>
      <w:lvlText w:val=""/>
      <w:lvlJc w:val="left"/>
      <w:pPr>
        <w:tabs>
          <w:tab w:val="num" w:pos="2670"/>
        </w:tabs>
        <w:ind w:left="2670" w:hanging="420"/>
      </w:pPr>
      <w:rPr>
        <w:rFonts w:ascii="Wingdings" w:hAnsi="Wingdings" w:hint="default"/>
      </w:rPr>
    </w:lvl>
    <w:lvl w:ilvl="5" w:tplc="04090005"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3" w:tentative="1">
      <w:start w:val="1"/>
      <w:numFmt w:val="bullet"/>
      <w:lvlText w:val=""/>
      <w:lvlJc w:val="left"/>
      <w:pPr>
        <w:tabs>
          <w:tab w:val="num" w:pos="3930"/>
        </w:tabs>
        <w:ind w:left="3930" w:hanging="420"/>
      </w:pPr>
      <w:rPr>
        <w:rFonts w:ascii="Wingdings" w:hAnsi="Wingdings" w:hint="default"/>
      </w:rPr>
    </w:lvl>
    <w:lvl w:ilvl="8" w:tplc="04090005" w:tentative="1">
      <w:start w:val="1"/>
      <w:numFmt w:val="bullet"/>
      <w:lvlText w:val=""/>
      <w:lvlJc w:val="left"/>
      <w:pPr>
        <w:tabs>
          <w:tab w:val="num" w:pos="4350"/>
        </w:tabs>
        <w:ind w:left="4350" w:hanging="420"/>
      </w:pPr>
      <w:rPr>
        <w:rFonts w:ascii="Wingdings" w:hAnsi="Wingdings" w:hint="default"/>
      </w:rPr>
    </w:lvl>
  </w:abstractNum>
  <w:abstractNum w:abstractNumId="690">
    <w:nsid w:val="3FD768B5"/>
    <w:multiLevelType w:val="singleLevel"/>
    <w:tmpl w:val="4F18CCF2"/>
    <w:lvl w:ilvl="0">
      <w:start w:val="1"/>
      <w:numFmt w:val="lowerLetter"/>
      <w:lvlText w:val="%1."/>
      <w:lvlJc w:val="left"/>
      <w:pPr>
        <w:tabs>
          <w:tab w:val="num" w:pos="765"/>
        </w:tabs>
        <w:ind w:left="765" w:hanging="285"/>
      </w:pPr>
      <w:rPr>
        <w:rFonts w:hint="default"/>
      </w:rPr>
    </w:lvl>
  </w:abstractNum>
  <w:abstractNum w:abstractNumId="691">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92">
    <w:nsid w:val="3FEA3ACA"/>
    <w:multiLevelType w:val="hybridMultilevel"/>
    <w:tmpl w:val="FDB217DC"/>
    <w:lvl w:ilvl="0" w:tplc="08E214DE">
      <w:start w:val="1"/>
      <w:numFmt w:val="bullet"/>
      <w:lvlText w:val=""/>
      <w:lvlJc w:val="left"/>
      <w:pPr>
        <w:tabs>
          <w:tab w:val="num" w:pos="1025"/>
        </w:tabs>
        <w:ind w:left="1025" w:hanging="465"/>
      </w:pPr>
      <w:rPr>
        <w:rFonts w:ascii="Wingdings 2" w:hAnsi="Wingdings 2"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69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94">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695">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96">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7">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698">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9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70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70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6">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708">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9">
    <w:nsid w:val="41505A9E"/>
    <w:multiLevelType w:val="hybridMultilevel"/>
    <w:tmpl w:val="59D6B8C8"/>
    <w:lvl w:ilvl="0" w:tplc="B10A64EE">
      <w:start w:val="1"/>
      <w:numFmt w:val="decimal"/>
      <w:lvlText w:val="（%1）"/>
      <w:lvlJc w:val="left"/>
      <w:pPr>
        <w:tabs>
          <w:tab w:val="num" w:pos="750"/>
        </w:tabs>
        <w:ind w:left="750" w:hanging="750"/>
      </w:pPr>
      <w:rPr>
        <w:rFonts w:hAnsi="Times New Roman" w:hint="eastAsia"/>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0">
    <w:nsid w:val="4161689F"/>
    <w:multiLevelType w:val="singleLevel"/>
    <w:tmpl w:val="DF4A9D64"/>
    <w:lvl w:ilvl="0">
      <w:start w:val="1"/>
      <w:numFmt w:val="upperLetter"/>
      <w:lvlText w:val="%1．"/>
      <w:lvlJc w:val="left"/>
      <w:pPr>
        <w:tabs>
          <w:tab w:val="num" w:pos="525"/>
        </w:tabs>
        <w:ind w:left="525" w:hanging="525"/>
      </w:pPr>
      <w:rPr>
        <w:rFonts w:hint="eastAsia"/>
      </w:rPr>
    </w:lvl>
  </w:abstractNum>
  <w:abstractNum w:abstractNumId="711">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712">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3">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714">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5">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16">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717">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8">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19">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0">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1">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722">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723">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4">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5">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6">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7">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8">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9">
    <w:nsid w:val="42CC52C7"/>
    <w:multiLevelType w:val="hybridMultilevel"/>
    <w:tmpl w:val="018A63CA"/>
    <w:lvl w:ilvl="0" w:tplc="80F605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0">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1">
    <w:nsid w:val="42FC053D"/>
    <w:multiLevelType w:val="singleLevel"/>
    <w:tmpl w:val="3FA07214"/>
    <w:lvl w:ilvl="0">
      <w:start w:val="1"/>
      <w:numFmt w:val="upperRoman"/>
      <w:lvlText w:val="%1．"/>
      <w:lvlJc w:val="left"/>
      <w:pPr>
        <w:tabs>
          <w:tab w:val="num" w:pos="720"/>
        </w:tabs>
        <w:ind w:left="720" w:hanging="720"/>
      </w:pPr>
      <w:rPr>
        <w:rFonts w:hint="eastAsia"/>
      </w:rPr>
    </w:lvl>
  </w:abstractNum>
  <w:abstractNum w:abstractNumId="732">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733">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734">
    <w:nsid w:val="43222DA8"/>
    <w:multiLevelType w:val="multilevel"/>
    <w:tmpl w:val="2486A4C4"/>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35">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737">
    <w:nsid w:val="434B4949"/>
    <w:multiLevelType w:val="hybridMultilevel"/>
    <w:tmpl w:val="D402E7FC"/>
    <w:lvl w:ilvl="0" w:tplc="B32E624E">
      <w:start w:val="1"/>
      <w:numFmt w:val="lowerLetter"/>
      <w:lvlText w:val="%1)"/>
      <w:lvlJc w:val="left"/>
      <w:pPr>
        <w:tabs>
          <w:tab w:val="num" w:pos="1425"/>
        </w:tabs>
        <w:ind w:left="1425" w:hanging="85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738">
    <w:nsid w:val="43556425"/>
    <w:multiLevelType w:val="hybridMultilevel"/>
    <w:tmpl w:val="F9A035EC"/>
    <w:lvl w:ilvl="0" w:tplc="9500BCEC">
      <w:start w:val="1"/>
      <w:numFmt w:val="lowerLetter"/>
      <w:lvlText w:val="(%1)"/>
      <w:lvlJc w:val="left"/>
      <w:pPr>
        <w:tabs>
          <w:tab w:val="num" w:pos="1835"/>
        </w:tabs>
        <w:ind w:left="1835" w:hanging="1275"/>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739">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74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1">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42">
    <w:nsid w:val="439C6D9D"/>
    <w:multiLevelType w:val="hybridMultilevel"/>
    <w:tmpl w:val="0E24F5DA"/>
    <w:lvl w:ilvl="0" w:tplc="A59A9BFE">
      <w:start w:val="2"/>
      <w:numFmt w:val="decimal"/>
      <w:lvlText w:val="%1."/>
      <w:lvlJc w:val="left"/>
      <w:pPr>
        <w:tabs>
          <w:tab w:val="num" w:pos="720"/>
        </w:tabs>
        <w:ind w:left="720" w:hanging="360"/>
      </w:pPr>
      <w:rPr>
        <w:rFonts w:hint="default"/>
        <w:color w:val="8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3">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4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6">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7">
    <w:nsid w:val="444304FB"/>
    <w:multiLevelType w:val="singleLevel"/>
    <w:tmpl w:val="A530A84E"/>
    <w:lvl w:ilvl="0">
      <w:start w:val="1"/>
      <w:numFmt w:val="lowerLetter"/>
      <w:lvlText w:val="%1."/>
      <w:lvlJc w:val="left"/>
      <w:pPr>
        <w:tabs>
          <w:tab w:val="num" w:pos="720"/>
        </w:tabs>
        <w:ind w:left="720" w:hanging="360"/>
      </w:pPr>
      <w:rPr>
        <w:rFonts w:hint="default"/>
      </w:rPr>
    </w:lvl>
  </w:abstractNum>
  <w:abstractNum w:abstractNumId="74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9">
    <w:nsid w:val="45242C3B"/>
    <w:multiLevelType w:val="multilevel"/>
    <w:tmpl w:val="A52E5DC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0">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1">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2">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753">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4">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755">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6">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757">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8">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59">
    <w:nsid w:val="46340688"/>
    <w:multiLevelType w:val="singleLevel"/>
    <w:tmpl w:val="61FEAFBC"/>
    <w:lvl w:ilvl="0">
      <w:start w:val="233"/>
      <w:numFmt w:val="decimal"/>
      <w:lvlText w:val="%1．"/>
      <w:lvlJc w:val="left"/>
      <w:pPr>
        <w:tabs>
          <w:tab w:val="num" w:pos="540"/>
        </w:tabs>
        <w:ind w:left="540" w:hanging="540"/>
      </w:pPr>
      <w:rPr>
        <w:rFonts w:hint="eastAsia"/>
      </w:rPr>
    </w:lvl>
  </w:abstractNum>
  <w:abstractNum w:abstractNumId="760">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761">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762">
    <w:nsid w:val="46614C39"/>
    <w:multiLevelType w:val="hybridMultilevel"/>
    <w:tmpl w:val="FC8C1F0C"/>
    <w:lvl w:ilvl="0" w:tplc="D6E83C3A">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3">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4">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765">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6">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67">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68">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9">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770">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1">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772">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773">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4">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775">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76">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7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778">
    <w:nsid w:val="47C047F8"/>
    <w:multiLevelType w:val="singleLevel"/>
    <w:tmpl w:val="0409000F"/>
    <w:lvl w:ilvl="0">
      <w:start w:val="1"/>
      <w:numFmt w:val="decimal"/>
      <w:lvlText w:val="%1."/>
      <w:lvlJc w:val="left"/>
      <w:pPr>
        <w:tabs>
          <w:tab w:val="num" w:pos="360"/>
        </w:tabs>
        <w:ind w:left="360" w:hanging="360"/>
      </w:pPr>
    </w:lvl>
  </w:abstractNum>
  <w:abstractNum w:abstractNumId="779">
    <w:nsid w:val="47C10C4F"/>
    <w:multiLevelType w:val="hybridMultilevel"/>
    <w:tmpl w:val="40207B6A"/>
    <w:lvl w:ilvl="0" w:tplc="CD0245A6">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78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1">
    <w:nsid w:val="47EC7E97"/>
    <w:multiLevelType w:val="multilevel"/>
    <w:tmpl w:val="135279FA"/>
    <w:lvl w:ilvl="0">
      <w:start w:val="1"/>
      <w:numFmt w:val="decimal"/>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82">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3">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5">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86">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7">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788">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9">
    <w:nsid w:val="4846765C"/>
    <w:multiLevelType w:val="multilevel"/>
    <w:tmpl w:val="46B88878"/>
    <w:lvl w:ilvl="0">
      <w:start w:val="4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0">
    <w:nsid w:val="486F0B4F"/>
    <w:multiLevelType w:val="hybridMultilevel"/>
    <w:tmpl w:val="A6BAB444"/>
    <w:lvl w:ilvl="0" w:tplc="BB5E7476">
      <w:start w:val="1"/>
      <w:numFmt w:val="decimal"/>
      <w:lvlText w:val="%1."/>
      <w:lvlJc w:val="left"/>
      <w:pPr>
        <w:tabs>
          <w:tab w:val="num" w:pos="1080"/>
        </w:tabs>
        <w:ind w:left="1080" w:hanging="360"/>
      </w:pPr>
      <w:rPr>
        <w:rFonts w:ascii="Times New Roman" w:hAnsi="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91">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93">
    <w:nsid w:val="48C61A16"/>
    <w:multiLevelType w:val="multilevel"/>
    <w:tmpl w:val="46B88878"/>
    <w:lvl w:ilvl="0">
      <w:start w:val="35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797">
    <w:nsid w:val="495A39BF"/>
    <w:multiLevelType w:val="hybridMultilevel"/>
    <w:tmpl w:val="921A90DC"/>
    <w:lvl w:ilvl="0" w:tplc="4C082ADC">
      <w:start w:val="2"/>
      <w:numFmt w:val="decimal"/>
      <w:lvlText w:val="%1．"/>
      <w:lvlJc w:val="left"/>
      <w:pPr>
        <w:tabs>
          <w:tab w:val="num" w:pos="1284"/>
        </w:tabs>
        <w:ind w:left="1284" w:hanging="720"/>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79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9">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00">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1">
    <w:nsid w:val="49917EFD"/>
    <w:multiLevelType w:val="multilevel"/>
    <w:tmpl w:val="34948664"/>
    <w:lvl w:ilvl="0">
      <w:start w:val="1"/>
      <w:numFmt w:val="lowerLetter"/>
      <w:lvlText w:val="%1."/>
      <w:lvlJc w:val="left"/>
      <w:pPr>
        <w:tabs>
          <w:tab w:val="num" w:pos="841"/>
        </w:tabs>
        <w:ind w:left="841"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0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803">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804">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5">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806">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07">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808">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80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1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813">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14">
    <w:nsid w:val="4B1D67F3"/>
    <w:multiLevelType w:val="singleLevel"/>
    <w:tmpl w:val="45CE5710"/>
    <w:lvl w:ilvl="0">
      <w:start w:val="1"/>
      <w:numFmt w:val="lowerLetter"/>
      <w:lvlText w:val="%1."/>
      <w:lvlJc w:val="left"/>
      <w:pPr>
        <w:tabs>
          <w:tab w:val="num" w:pos="285"/>
        </w:tabs>
        <w:ind w:left="285" w:hanging="285"/>
      </w:pPr>
      <w:rPr>
        <w:rFonts w:hint="default"/>
      </w:rPr>
    </w:lvl>
  </w:abstractNum>
  <w:abstractNum w:abstractNumId="815">
    <w:nsid w:val="4B2A3C3B"/>
    <w:multiLevelType w:val="multilevel"/>
    <w:tmpl w:val="24A886A0"/>
    <w:lvl w:ilvl="0">
      <w:start w:val="1"/>
      <w:numFmt w:val="decimal"/>
      <w:lvlText w:val="%1."/>
      <w:lvlJc w:val="left"/>
      <w:pPr>
        <w:tabs>
          <w:tab w:val="num" w:pos="420"/>
        </w:tabs>
        <w:ind w:left="420" w:hanging="420"/>
      </w:pPr>
    </w:lvl>
    <w:lvl w:ilvl="1">
      <w:start w:val="1"/>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816">
    <w:nsid w:val="4B3163C0"/>
    <w:multiLevelType w:val="hybridMultilevel"/>
    <w:tmpl w:val="FDB217DC"/>
    <w:lvl w:ilvl="0" w:tplc="04090001">
      <w:start w:val="1"/>
      <w:numFmt w:val="bullet"/>
      <w:lvlText w:val=""/>
      <w:lvlJc w:val="left"/>
      <w:pPr>
        <w:tabs>
          <w:tab w:val="num" w:pos="980"/>
        </w:tabs>
        <w:ind w:left="980" w:hanging="420"/>
      </w:pPr>
      <w:rPr>
        <w:rFonts w:ascii="Wingdings" w:hAnsi="Wingdings" w:hint="default"/>
      </w:rPr>
    </w:lvl>
    <w:lvl w:ilvl="1" w:tplc="04090003" w:tentative="1">
      <w:start w:val="1"/>
      <w:numFmt w:val="bullet"/>
      <w:lvlText w:val=""/>
      <w:lvlJc w:val="left"/>
      <w:pPr>
        <w:tabs>
          <w:tab w:val="num" w:pos="1400"/>
        </w:tabs>
        <w:ind w:left="1400" w:hanging="420"/>
      </w:pPr>
      <w:rPr>
        <w:rFonts w:ascii="Wingdings" w:hAnsi="Wingdings" w:hint="default"/>
      </w:rPr>
    </w:lvl>
    <w:lvl w:ilvl="2" w:tplc="04090005" w:tentative="1">
      <w:start w:val="1"/>
      <w:numFmt w:val="bullet"/>
      <w:lvlText w:val=""/>
      <w:lvlJc w:val="left"/>
      <w:pPr>
        <w:tabs>
          <w:tab w:val="num" w:pos="1820"/>
        </w:tabs>
        <w:ind w:left="1820" w:hanging="420"/>
      </w:pPr>
      <w:rPr>
        <w:rFonts w:ascii="Wingdings" w:hAnsi="Wingdings" w:hint="default"/>
      </w:rPr>
    </w:lvl>
    <w:lvl w:ilvl="3" w:tplc="04090001" w:tentative="1">
      <w:start w:val="1"/>
      <w:numFmt w:val="bullet"/>
      <w:lvlText w:val=""/>
      <w:lvlJc w:val="left"/>
      <w:pPr>
        <w:tabs>
          <w:tab w:val="num" w:pos="2240"/>
        </w:tabs>
        <w:ind w:left="2240" w:hanging="420"/>
      </w:pPr>
      <w:rPr>
        <w:rFonts w:ascii="Wingdings" w:hAnsi="Wingdings" w:hint="default"/>
      </w:rPr>
    </w:lvl>
    <w:lvl w:ilvl="4" w:tplc="04090003" w:tentative="1">
      <w:start w:val="1"/>
      <w:numFmt w:val="bullet"/>
      <w:lvlText w:val=""/>
      <w:lvlJc w:val="left"/>
      <w:pPr>
        <w:tabs>
          <w:tab w:val="num" w:pos="2660"/>
        </w:tabs>
        <w:ind w:left="2660" w:hanging="420"/>
      </w:pPr>
      <w:rPr>
        <w:rFonts w:ascii="Wingdings" w:hAnsi="Wingdings" w:hint="default"/>
      </w:rPr>
    </w:lvl>
    <w:lvl w:ilvl="5" w:tplc="04090005" w:tentative="1">
      <w:start w:val="1"/>
      <w:numFmt w:val="bullet"/>
      <w:lvlText w:val=""/>
      <w:lvlJc w:val="left"/>
      <w:pPr>
        <w:tabs>
          <w:tab w:val="num" w:pos="3080"/>
        </w:tabs>
        <w:ind w:left="3080" w:hanging="420"/>
      </w:pPr>
      <w:rPr>
        <w:rFonts w:ascii="Wingdings" w:hAnsi="Wingdings" w:hint="default"/>
      </w:rPr>
    </w:lvl>
    <w:lvl w:ilvl="6" w:tplc="04090001" w:tentative="1">
      <w:start w:val="1"/>
      <w:numFmt w:val="bullet"/>
      <w:lvlText w:val=""/>
      <w:lvlJc w:val="left"/>
      <w:pPr>
        <w:tabs>
          <w:tab w:val="num" w:pos="3500"/>
        </w:tabs>
        <w:ind w:left="3500" w:hanging="420"/>
      </w:pPr>
      <w:rPr>
        <w:rFonts w:ascii="Wingdings" w:hAnsi="Wingdings" w:hint="default"/>
      </w:rPr>
    </w:lvl>
    <w:lvl w:ilvl="7" w:tplc="04090003" w:tentative="1">
      <w:start w:val="1"/>
      <w:numFmt w:val="bullet"/>
      <w:lvlText w:val=""/>
      <w:lvlJc w:val="left"/>
      <w:pPr>
        <w:tabs>
          <w:tab w:val="num" w:pos="3920"/>
        </w:tabs>
        <w:ind w:left="3920" w:hanging="420"/>
      </w:pPr>
      <w:rPr>
        <w:rFonts w:ascii="Wingdings" w:hAnsi="Wingdings" w:hint="default"/>
      </w:rPr>
    </w:lvl>
    <w:lvl w:ilvl="8" w:tplc="04090005" w:tentative="1">
      <w:start w:val="1"/>
      <w:numFmt w:val="bullet"/>
      <w:lvlText w:val=""/>
      <w:lvlJc w:val="left"/>
      <w:pPr>
        <w:tabs>
          <w:tab w:val="num" w:pos="4340"/>
        </w:tabs>
        <w:ind w:left="4340" w:hanging="420"/>
      </w:pPr>
      <w:rPr>
        <w:rFonts w:ascii="Wingdings" w:hAnsi="Wingdings" w:hint="default"/>
      </w:rPr>
    </w:lvl>
  </w:abstractNum>
  <w:abstractNum w:abstractNumId="817">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818">
    <w:nsid w:val="4B5E28C6"/>
    <w:multiLevelType w:val="hybridMultilevel"/>
    <w:tmpl w:val="79486364"/>
    <w:lvl w:ilvl="0" w:tplc="1678785A">
      <w:start w:val="5"/>
      <w:numFmt w:val="bullet"/>
      <w:lvlText w:val="-"/>
      <w:lvlJc w:val="left"/>
      <w:pPr>
        <w:tabs>
          <w:tab w:val="num" w:pos="1800"/>
        </w:tabs>
        <w:ind w:left="1800" w:hanging="360"/>
      </w:pPr>
      <w:rPr>
        <w:rFonts w:ascii="Macedonian Tms" w:eastAsia="Times New Roman" w:hAnsi="Macedonian Tms" w:cs="Times New Roman" w:hint="default"/>
      </w:rPr>
    </w:lvl>
    <w:lvl w:ilvl="1" w:tplc="042F0003" w:tentative="1">
      <w:start w:val="1"/>
      <w:numFmt w:val="bullet"/>
      <w:lvlText w:val="o"/>
      <w:lvlJc w:val="left"/>
      <w:pPr>
        <w:tabs>
          <w:tab w:val="num" w:pos="2520"/>
        </w:tabs>
        <w:ind w:left="2520" w:hanging="360"/>
      </w:pPr>
      <w:rPr>
        <w:rFonts w:ascii="Courier New" w:hAnsi="Courier New" w:cs="Courier New" w:hint="default"/>
      </w:rPr>
    </w:lvl>
    <w:lvl w:ilvl="2" w:tplc="042F0005" w:tentative="1">
      <w:start w:val="1"/>
      <w:numFmt w:val="bullet"/>
      <w:lvlText w:val=""/>
      <w:lvlJc w:val="left"/>
      <w:pPr>
        <w:tabs>
          <w:tab w:val="num" w:pos="3240"/>
        </w:tabs>
        <w:ind w:left="3240" w:hanging="360"/>
      </w:pPr>
      <w:rPr>
        <w:rFonts w:ascii="Wingdings" w:hAnsi="Wingdings" w:hint="default"/>
      </w:rPr>
    </w:lvl>
    <w:lvl w:ilvl="3" w:tplc="042F0001" w:tentative="1">
      <w:start w:val="1"/>
      <w:numFmt w:val="bullet"/>
      <w:lvlText w:val=""/>
      <w:lvlJc w:val="left"/>
      <w:pPr>
        <w:tabs>
          <w:tab w:val="num" w:pos="3960"/>
        </w:tabs>
        <w:ind w:left="3960" w:hanging="360"/>
      </w:pPr>
      <w:rPr>
        <w:rFonts w:ascii="Symbol" w:hAnsi="Symbol" w:hint="default"/>
      </w:rPr>
    </w:lvl>
    <w:lvl w:ilvl="4" w:tplc="042F0003" w:tentative="1">
      <w:start w:val="1"/>
      <w:numFmt w:val="bullet"/>
      <w:lvlText w:val="o"/>
      <w:lvlJc w:val="left"/>
      <w:pPr>
        <w:tabs>
          <w:tab w:val="num" w:pos="4680"/>
        </w:tabs>
        <w:ind w:left="4680" w:hanging="360"/>
      </w:pPr>
      <w:rPr>
        <w:rFonts w:ascii="Courier New" w:hAnsi="Courier New" w:cs="Courier New" w:hint="default"/>
      </w:rPr>
    </w:lvl>
    <w:lvl w:ilvl="5" w:tplc="042F0005" w:tentative="1">
      <w:start w:val="1"/>
      <w:numFmt w:val="bullet"/>
      <w:lvlText w:val=""/>
      <w:lvlJc w:val="left"/>
      <w:pPr>
        <w:tabs>
          <w:tab w:val="num" w:pos="5400"/>
        </w:tabs>
        <w:ind w:left="5400" w:hanging="360"/>
      </w:pPr>
      <w:rPr>
        <w:rFonts w:ascii="Wingdings" w:hAnsi="Wingdings" w:hint="default"/>
      </w:rPr>
    </w:lvl>
    <w:lvl w:ilvl="6" w:tplc="042F0001" w:tentative="1">
      <w:start w:val="1"/>
      <w:numFmt w:val="bullet"/>
      <w:lvlText w:val=""/>
      <w:lvlJc w:val="left"/>
      <w:pPr>
        <w:tabs>
          <w:tab w:val="num" w:pos="6120"/>
        </w:tabs>
        <w:ind w:left="6120" w:hanging="360"/>
      </w:pPr>
      <w:rPr>
        <w:rFonts w:ascii="Symbol" w:hAnsi="Symbol" w:hint="default"/>
      </w:rPr>
    </w:lvl>
    <w:lvl w:ilvl="7" w:tplc="042F0003" w:tentative="1">
      <w:start w:val="1"/>
      <w:numFmt w:val="bullet"/>
      <w:lvlText w:val="o"/>
      <w:lvlJc w:val="left"/>
      <w:pPr>
        <w:tabs>
          <w:tab w:val="num" w:pos="6840"/>
        </w:tabs>
        <w:ind w:left="6840" w:hanging="360"/>
      </w:pPr>
      <w:rPr>
        <w:rFonts w:ascii="Courier New" w:hAnsi="Courier New" w:cs="Courier New" w:hint="default"/>
      </w:rPr>
    </w:lvl>
    <w:lvl w:ilvl="8" w:tplc="042F0005" w:tentative="1">
      <w:start w:val="1"/>
      <w:numFmt w:val="bullet"/>
      <w:lvlText w:val=""/>
      <w:lvlJc w:val="left"/>
      <w:pPr>
        <w:tabs>
          <w:tab w:val="num" w:pos="7560"/>
        </w:tabs>
        <w:ind w:left="7560" w:hanging="360"/>
      </w:pPr>
      <w:rPr>
        <w:rFonts w:ascii="Wingdings" w:hAnsi="Wingdings" w:hint="default"/>
      </w:rPr>
    </w:lvl>
  </w:abstractNum>
  <w:abstractNum w:abstractNumId="819">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0">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821">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822">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823">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4">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5">
    <w:nsid w:val="4BE60720"/>
    <w:multiLevelType w:val="hybridMultilevel"/>
    <w:tmpl w:val="B4ACCF06"/>
    <w:lvl w:ilvl="0" w:tplc="419C7BB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26">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827">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8">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829">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830">
    <w:nsid w:val="4C6337C9"/>
    <w:multiLevelType w:val="hybridMultilevel"/>
    <w:tmpl w:val="92BE24A8"/>
    <w:lvl w:ilvl="0" w:tplc="758ABB22">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83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33">
    <w:nsid w:val="4CAF2928"/>
    <w:multiLevelType w:val="multilevel"/>
    <w:tmpl w:val="056E903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
      <w:numFmt w:val="upp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4">
    <w:nsid w:val="4CB1663B"/>
    <w:multiLevelType w:val="singleLevel"/>
    <w:tmpl w:val="7578FBA8"/>
    <w:lvl w:ilvl="0">
      <w:start w:val="108"/>
      <w:numFmt w:val="decimal"/>
      <w:lvlText w:val="%1．"/>
      <w:lvlJc w:val="left"/>
      <w:pPr>
        <w:tabs>
          <w:tab w:val="num" w:pos="720"/>
        </w:tabs>
        <w:ind w:left="720" w:hanging="600"/>
      </w:pPr>
      <w:rPr>
        <w:rFonts w:hint="eastAsia"/>
      </w:rPr>
    </w:lvl>
  </w:abstractNum>
  <w:abstractNum w:abstractNumId="835">
    <w:nsid w:val="4CC56482"/>
    <w:multiLevelType w:val="multilevel"/>
    <w:tmpl w:val="718EE1C8"/>
    <w:lvl w:ilvl="0">
      <w:start w:val="513"/>
      <w:numFmt w:val="decimal"/>
      <w:lvlText w:val="%1."/>
      <w:lvlJc w:val="left"/>
      <w:pPr>
        <w:tabs>
          <w:tab w:val="num" w:pos="396"/>
        </w:tabs>
        <w:ind w:left="396" w:hanging="396"/>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836">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83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83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839">
    <w:nsid w:val="4D004034"/>
    <w:multiLevelType w:val="hybridMultilevel"/>
    <w:tmpl w:val="D402D910"/>
    <w:lvl w:ilvl="0" w:tplc="9FE6D6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840">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841">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2">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843">
    <w:nsid w:val="4D63183E"/>
    <w:multiLevelType w:val="hybridMultilevel"/>
    <w:tmpl w:val="277639D6"/>
    <w:lvl w:ilvl="0" w:tplc="B4442378">
      <w:start w:val="1"/>
      <w:numFmt w:val="upperRoman"/>
      <w:lvlText w:val="%1."/>
      <w:lvlJc w:val="left"/>
      <w:pPr>
        <w:tabs>
          <w:tab w:val="num" w:pos="420"/>
        </w:tabs>
        <w:ind w:left="420" w:hanging="420"/>
      </w:pPr>
      <w:rPr>
        <w:b/>
      </w:rPr>
    </w:lvl>
    <w:lvl w:ilvl="1" w:tplc="4B3A5F0C">
      <w:start w:val="1"/>
      <w:numFmt w:val="bullet"/>
      <w:lvlText w:val=""/>
      <w:lvlJc w:val="left"/>
      <w:pPr>
        <w:tabs>
          <w:tab w:val="num" w:pos="840"/>
        </w:tabs>
        <w:ind w:left="840" w:hanging="42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FE1044C2">
      <w:start w:val="1"/>
      <w:numFmt w:val="decimal"/>
      <w:lvlText w:val="%4."/>
      <w:lvlJc w:val="left"/>
      <w:pPr>
        <w:tabs>
          <w:tab w:val="num" w:pos="680"/>
        </w:tabs>
        <w:ind w:left="680" w:hanging="340"/>
      </w:pPr>
      <w:rPr>
        <w:rFonts w:hint="eastAsia"/>
        <w:b w:val="0"/>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4">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45">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6">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7">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848">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49">
    <w:nsid w:val="4E392275"/>
    <w:multiLevelType w:val="multilevel"/>
    <w:tmpl w:val="46B88878"/>
    <w:lvl w:ilvl="0">
      <w:start w:val="11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0">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1">
    <w:nsid w:val="4E585202"/>
    <w:multiLevelType w:val="multilevel"/>
    <w:tmpl w:val="07989CAE"/>
    <w:lvl w:ilvl="0">
      <w:start w:val="686"/>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2">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3">
    <w:nsid w:val="4E765683"/>
    <w:multiLevelType w:val="singleLevel"/>
    <w:tmpl w:val="491287E8"/>
    <w:lvl w:ilvl="0">
      <w:numFmt w:val="bullet"/>
      <w:lvlText w:val="-"/>
      <w:lvlJc w:val="left"/>
      <w:pPr>
        <w:tabs>
          <w:tab w:val="num" w:pos="780"/>
        </w:tabs>
        <w:ind w:left="780" w:hanging="360"/>
      </w:pPr>
      <w:rPr>
        <w:rFonts w:hint="eastAsia"/>
      </w:rPr>
    </w:lvl>
  </w:abstractNum>
  <w:abstractNum w:abstractNumId="854">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855">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56">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857">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8">
    <w:nsid w:val="4F901754"/>
    <w:multiLevelType w:val="hybridMultilevel"/>
    <w:tmpl w:val="327E5790"/>
    <w:lvl w:ilvl="0" w:tplc="2EE67D08">
      <w:start w:val="1"/>
      <w:numFmt w:val="decimal"/>
      <w:lvlText w:val="%1."/>
      <w:lvlJc w:val="left"/>
      <w:pPr>
        <w:tabs>
          <w:tab w:val="num" w:pos="680"/>
        </w:tabs>
        <w:ind w:left="680" w:hanging="34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61">
    <w:nsid w:val="4FA95CA7"/>
    <w:multiLevelType w:val="hybridMultilevel"/>
    <w:tmpl w:val="A7FE69DE"/>
    <w:lvl w:ilvl="0" w:tplc="2C168F08">
      <w:start w:val="1"/>
      <w:numFmt w:val="lowerLetter"/>
      <w:lvlText w:val="%1)"/>
      <w:lvlJc w:val="left"/>
      <w:pPr>
        <w:tabs>
          <w:tab w:val="num" w:pos="1080"/>
        </w:tabs>
        <w:ind w:left="1080" w:hanging="360"/>
      </w:pPr>
      <w:rPr>
        <w:rFonts w:hint="default"/>
        <w: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62">
    <w:nsid w:val="4FB81C25"/>
    <w:multiLevelType w:val="multilevel"/>
    <w:tmpl w:val="79042EE4"/>
    <w:lvl w:ilvl="0">
      <w:start w:val="1"/>
      <w:numFmt w:val="lowerLetter"/>
      <w:lvlText w:val="%1."/>
      <w:lvlJc w:val="left"/>
      <w:pPr>
        <w:tabs>
          <w:tab w:val="num" w:pos="1261"/>
        </w:tabs>
        <w:ind w:left="1261"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6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67">
    <w:nsid w:val="4FE24850"/>
    <w:multiLevelType w:val="multilevel"/>
    <w:tmpl w:val="ACD87618"/>
    <w:lvl w:ilvl="0">
      <w:start w:val="1"/>
      <w:numFmt w:val="upperRoman"/>
      <w:lvlText w:val="%1."/>
      <w:lvlJc w:val="left"/>
      <w:pPr>
        <w:tabs>
          <w:tab w:val="num" w:pos="360"/>
        </w:tabs>
        <w:ind w:left="360" w:hanging="72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868">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69">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87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87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876">
    <w:nsid w:val="51073AAE"/>
    <w:multiLevelType w:val="hybridMultilevel"/>
    <w:tmpl w:val="0E2CF4E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7">
    <w:nsid w:val="51114AD3"/>
    <w:multiLevelType w:val="multilevel"/>
    <w:tmpl w:val="13A4CCEC"/>
    <w:lvl w:ilvl="0">
      <w:start w:val="1"/>
      <w:numFmt w:val="lowerLetter"/>
      <w:lvlText w:val="%1."/>
      <w:lvlJc w:val="left"/>
      <w:pPr>
        <w:tabs>
          <w:tab w:val="num" w:pos="720"/>
        </w:tabs>
        <w:ind w:left="720" w:hanging="360"/>
      </w:pPr>
      <w:rPr>
        <w:rFonts w:cs="Times New Roman" w:hint="default"/>
        <w:b w:val="0"/>
      </w:rPr>
    </w:lvl>
    <w:lvl w:ilvl="1">
      <w:start w:val="2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8">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9">
    <w:nsid w:val="514A4C2A"/>
    <w:multiLevelType w:val="multilevel"/>
    <w:tmpl w:val="07989CAE"/>
    <w:lvl w:ilvl="0">
      <w:start w:val="686"/>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0">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882">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3">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4">
    <w:nsid w:val="51A86567"/>
    <w:multiLevelType w:val="hybridMultilevel"/>
    <w:tmpl w:val="239A1ACC"/>
    <w:lvl w:ilvl="0" w:tplc="B3FE9D82">
      <w:start w:val="1"/>
      <w:numFmt w:val="decimal"/>
      <w:lvlText w:val="%1、"/>
      <w:lvlJc w:val="left"/>
      <w:pPr>
        <w:tabs>
          <w:tab w:val="num" w:pos="1575"/>
        </w:tabs>
        <w:ind w:left="1575" w:hanging="100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85">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86">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887">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8">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9">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0">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891">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2">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3">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894">
    <w:nsid w:val="534B22B5"/>
    <w:multiLevelType w:val="multilevel"/>
    <w:tmpl w:val="7F1E0F5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95">
    <w:nsid w:val="53570065"/>
    <w:multiLevelType w:val="hybridMultilevel"/>
    <w:tmpl w:val="81F4EB0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6">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7">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9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899">
    <w:nsid w:val="53AF2D03"/>
    <w:multiLevelType w:val="singleLevel"/>
    <w:tmpl w:val="0409000F"/>
    <w:lvl w:ilvl="0">
      <w:start w:val="1"/>
      <w:numFmt w:val="decimal"/>
      <w:lvlText w:val="%1."/>
      <w:lvlJc w:val="left"/>
      <w:pPr>
        <w:tabs>
          <w:tab w:val="num" w:pos="360"/>
        </w:tabs>
        <w:ind w:left="360" w:hanging="360"/>
      </w:pPr>
    </w:lvl>
  </w:abstractNum>
  <w:abstractNum w:abstractNumId="900">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1">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2">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903">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04">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05">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906">
    <w:nsid w:val="53FE7F8A"/>
    <w:multiLevelType w:val="hybridMultilevel"/>
    <w:tmpl w:val="3D4048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7">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908">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9">
    <w:nsid w:val="549B1334"/>
    <w:multiLevelType w:val="multilevel"/>
    <w:tmpl w:val="20388ACC"/>
    <w:lvl w:ilvl="0">
      <w:start w:val="1"/>
      <w:numFmt w:val="decimal"/>
      <w:lvlText w:val="%1."/>
      <w:lvlJc w:val="left"/>
      <w:pPr>
        <w:tabs>
          <w:tab w:val="num" w:pos="841"/>
        </w:tabs>
        <w:ind w:left="841" w:hanging="420"/>
      </w:pPr>
    </w:lvl>
    <w:lvl w:ilvl="1">
      <w:start w:val="1"/>
      <w:numFmt w:val="lowerLetter"/>
      <w:lvlText w:val="%2)"/>
      <w:lvlJc w:val="left"/>
      <w:pPr>
        <w:tabs>
          <w:tab w:val="num" w:pos="1261"/>
        </w:tabs>
        <w:ind w:left="1261" w:hanging="420"/>
      </w:pPr>
    </w:lvl>
    <w:lvl w:ilvl="2">
      <w:start w:val="1"/>
      <w:numFmt w:val="lowerRoman"/>
      <w:lvlText w:val="%3."/>
      <w:lvlJc w:val="right"/>
      <w:pPr>
        <w:tabs>
          <w:tab w:val="num" w:pos="1681"/>
        </w:tabs>
        <w:ind w:left="1681" w:hanging="420"/>
      </w:pPr>
    </w:lvl>
    <w:lvl w:ilvl="3">
      <w:start w:val="1"/>
      <w:numFmt w:val="decimal"/>
      <w:lvlText w:val="%4."/>
      <w:lvlJc w:val="left"/>
      <w:pPr>
        <w:tabs>
          <w:tab w:val="num" w:pos="2101"/>
        </w:tabs>
        <w:ind w:left="2101" w:hanging="420"/>
      </w:pPr>
    </w:lvl>
    <w:lvl w:ilvl="4">
      <w:start w:val="1"/>
      <w:numFmt w:val="lowerLetter"/>
      <w:lvlText w:val="%5)"/>
      <w:lvlJc w:val="left"/>
      <w:pPr>
        <w:tabs>
          <w:tab w:val="num" w:pos="2521"/>
        </w:tabs>
        <w:ind w:left="2521" w:hanging="420"/>
      </w:pPr>
    </w:lvl>
    <w:lvl w:ilvl="5">
      <w:start w:val="1"/>
      <w:numFmt w:val="lowerRoman"/>
      <w:lvlText w:val="%6."/>
      <w:lvlJc w:val="right"/>
      <w:pPr>
        <w:tabs>
          <w:tab w:val="num" w:pos="2941"/>
        </w:tabs>
        <w:ind w:left="2941" w:hanging="420"/>
      </w:pPr>
    </w:lvl>
    <w:lvl w:ilvl="6">
      <w:start w:val="1"/>
      <w:numFmt w:val="decimal"/>
      <w:lvlText w:val="%7."/>
      <w:lvlJc w:val="left"/>
      <w:pPr>
        <w:tabs>
          <w:tab w:val="num" w:pos="3361"/>
        </w:tabs>
        <w:ind w:left="3361" w:hanging="420"/>
      </w:pPr>
    </w:lvl>
    <w:lvl w:ilvl="7">
      <w:start w:val="1"/>
      <w:numFmt w:val="lowerLetter"/>
      <w:lvlText w:val="%8)"/>
      <w:lvlJc w:val="left"/>
      <w:pPr>
        <w:tabs>
          <w:tab w:val="num" w:pos="3781"/>
        </w:tabs>
        <w:ind w:left="3781" w:hanging="420"/>
      </w:pPr>
    </w:lvl>
    <w:lvl w:ilvl="8">
      <w:start w:val="1"/>
      <w:numFmt w:val="lowerRoman"/>
      <w:lvlText w:val="%9."/>
      <w:lvlJc w:val="right"/>
      <w:pPr>
        <w:tabs>
          <w:tab w:val="num" w:pos="4201"/>
        </w:tabs>
        <w:ind w:left="4201" w:hanging="420"/>
      </w:pPr>
    </w:lvl>
  </w:abstractNum>
  <w:abstractNum w:abstractNumId="910">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912">
    <w:nsid w:val="54E23680"/>
    <w:multiLevelType w:val="multilevel"/>
    <w:tmpl w:val="CE8ED57C"/>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3">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14">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915">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916">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917">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8">
    <w:nsid w:val="557C34EA"/>
    <w:multiLevelType w:val="hybridMultilevel"/>
    <w:tmpl w:val="D58AC30A"/>
    <w:lvl w:ilvl="0" w:tplc="8D407C10">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19">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920">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1">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922">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923">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92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25">
    <w:nsid w:val="56220EAB"/>
    <w:multiLevelType w:val="hybridMultilevel"/>
    <w:tmpl w:val="1FAED600"/>
    <w:lvl w:ilvl="0" w:tplc="FBA4653C">
      <w:start w:val="1"/>
      <w:numFmt w:val="lowerLetter"/>
      <w:lvlText w:val="%1)"/>
      <w:lvlJc w:val="left"/>
      <w:pPr>
        <w:tabs>
          <w:tab w:val="num" w:pos="1455"/>
        </w:tabs>
        <w:ind w:left="1455" w:hanging="870"/>
      </w:pPr>
      <w:rPr>
        <w:rFonts w:hint="eastAsia"/>
      </w:rPr>
    </w:lvl>
    <w:lvl w:ilvl="1" w:tplc="04090019" w:tentative="1">
      <w:start w:val="1"/>
      <w:numFmt w:val="lowerLetter"/>
      <w:lvlText w:val="%2)"/>
      <w:lvlJc w:val="left"/>
      <w:pPr>
        <w:tabs>
          <w:tab w:val="num" w:pos="1425"/>
        </w:tabs>
        <w:ind w:left="1425" w:hanging="420"/>
      </w:pPr>
    </w:lvl>
    <w:lvl w:ilvl="2" w:tplc="0409001B" w:tentative="1">
      <w:start w:val="1"/>
      <w:numFmt w:val="lowerRoman"/>
      <w:lvlText w:val="%3."/>
      <w:lvlJc w:val="right"/>
      <w:pPr>
        <w:tabs>
          <w:tab w:val="num" w:pos="1845"/>
        </w:tabs>
        <w:ind w:left="1845" w:hanging="420"/>
      </w:pPr>
    </w:lvl>
    <w:lvl w:ilvl="3" w:tplc="0409000F" w:tentative="1">
      <w:start w:val="1"/>
      <w:numFmt w:val="decimal"/>
      <w:lvlText w:val="%4."/>
      <w:lvlJc w:val="left"/>
      <w:pPr>
        <w:tabs>
          <w:tab w:val="num" w:pos="2265"/>
        </w:tabs>
        <w:ind w:left="2265" w:hanging="420"/>
      </w:pPr>
    </w:lvl>
    <w:lvl w:ilvl="4" w:tplc="04090019" w:tentative="1">
      <w:start w:val="1"/>
      <w:numFmt w:val="lowerLetter"/>
      <w:lvlText w:val="%5)"/>
      <w:lvlJc w:val="left"/>
      <w:pPr>
        <w:tabs>
          <w:tab w:val="num" w:pos="2685"/>
        </w:tabs>
        <w:ind w:left="2685" w:hanging="420"/>
      </w:pPr>
    </w:lvl>
    <w:lvl w:ilvl="5" w:tplc="0409001B" w:tentative="1">
      <w:start w:val="1"/>
      <w:numFmt w:val="lowerRoman"/>
      <w:lvlText w:val="%6."/>
      <w:lvlJc w:val="right"/>
      <w:pPr>
        <w:tabs>
          <w:tab w:val="num" w:pos="3105"/>
        </w:tabs>
        <w:ind w:left="3105" w:hanging="420"/>
      </w:pPr>
    </w:lvl>
    <w:lvl w:ilvl="6" w:tplc="0409000F" w:tentative="1">
      <w:start w:val="1"/>
      <w:numFmt w:val="decimal"/>
      <w:lvlText w:val="%7."/>
      <w:lvlJc w:val="left"/>
      <w:pPr>
        <w:tabs>
          <w:tab w:val="num" w:pos="3525"/>
        </w:tabs>
        <w:ind w:left="3525" w:hanging="420"/>
      </w:pPr>
    </w:lvl>
    <w:lvl w:ilvl="7" w:tplc="04090019" w:tentative="1">
      <w:start w:val="1"/>
      <w:numFmt w:val="lowerLetter"/>
      <w:lvlText w:val="%8)"/>
      <w:lvlJc w:val="left"/>
      <w:pPr>
        <w:tabs>
          <w:tab w:val="num" w:pos="3945"/>
        </w:tabs>
        <w:ind w:left="3945" w:hanging="420"/>
      </w:pPr>
    </w:lvl>
    <w:lvl w:ilvl="8" w:tplc="0409001B" w:tentative="1">
      <w:start w:val="1"/>
      <w:numFmt w:val="lowerRoman"/>
      <w:lvlText w:val="%9."/>
      <w:lvlJc w:val="right"/>
      <w:pPr>
        <w:tabs>
          <w:tab w:val="num" w:pos="4365"/>
        </w:tabs>
        <w:ind w:left="4365" w:hanging="420"/>
      </w:pPr>
    </w:lvl>
  </w:abstractNum>
  <w:abstractNum w:abstractNumId="926">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56CF1D01"/>
    <w:multiLevelType w:val="singleLevel"/>
    <w:tmpl w:val="D1B4697C"/>
    <w:lvl w:ilvl="0">
      <w:start w:val="149"/>
      <w:numFmt w:val="decimal"/>
      <w:lvlText w:val="%1."/>
      <w:lvlJc w:val="left"/>
      <w:pPr>
        <w:tabs>
          <w:tab w:val="num" w:pos="396"/>
        </w:tabs>
        <w:ind w:left="396" w:hanging="396"/>
      </w:pPr>
      <w:rPr>
        <w:rFonts w:hint="default"/>
      </w:rPr>
    </w:lvl>
  </w:abstractNum>
  <w:abstractNum w:abstractNumId="928">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930">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931">
    <w:nsid w:val="571B7123"/>
    <w:multiLevelType w:val="singleLevel"/>
    <w:tmpl w:val="22ACAB10"/>
    <w:lvl w:ilvl="0">
      <w:start w:val="1"/>
      <w:numFmt w:val="lowerLetter"/>
      <w:lvlText w:val="%1．"/>
      <w:lvlJc w:val="left"/>
      <w:pPr>
        <w:tabs>
          <w:tab w:val="num" w:pos="345"/>
        </w:tabs>
        <w:ind w:left="345" w:hanging="345"/>
      </w:pPr>
      <w:rPr>
        <w:rFonts w:hint="default"/>
      </w:rPr>
    </w:lvl>
  </w:abstractNum>
  <w:abstractNum w:abstractNumId="932">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933">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34">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35">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6">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937">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38">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39">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0">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1">
    <w:nsid w:val="57C60912"/>
    <w:multiLevelType w:val="hybridMultilevel"/>
    <w:tmpl w:val="4322F92A"/>
    <w:lvl w:ilvl="0" w:tplc="7EF63700">
      <w:start w:val="1"/>
      <w:numFmt w:val="lowerLetter"/>
      <w:lvlText w:val="%1)"/>
      <w:lvlJc w:val="left"/>
      <w:pPr>
        <w:tabs>
          <w:tab w:val="num" w:pos="898"/>
        </w:tabs>
        <w:ind w:left="898" w:hanging="360"/>
      </w:pPr>
      <w:rPr>
        <w:rFonts w:hint="eastAsia"/>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942">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3">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5">
    <w:nsid w:val="58A91C3A"/>
    <w:multiLevelType w:val="hybridMultilevel"/>
    <w:tmpl w:val="43B02EC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6">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948">
    <w:nsid w:val="58D65993"/>
    <w:multiLevelType w:val="singleLevel"/>
    <w:tmpl w:val="04090015"/>
    <w:lvl w:ilvl="0">
      <w:start w:val="1"/>
      <w:numFmt w:val="upperLetter"/>
      <w:lvlText w:val="%1."/>
      <w:lvlJc w:val="left"/>
      <w:pPr>
        <w:tabs>
          <w:tab w:val="num" w:pos="360"/>
        </w:tabs>
        <w:ind w:left="360" w:hanging="360"/>
      </w:pPr>
      <w:rPr>
        <w:rFonts w:hint="default"/>
      </w:rPr>
    </w:lvl>
  </w:abstractNum>
  <w:abstractNum w:abstractNumId="949">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0">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951">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52">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3">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954">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955">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956">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957">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8">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9">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960">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961">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2">
    <w:nsid w:val="5A2B739A"/>
    <w:multiLevelType w:val="singleLevel"/>
    <w:tmpl w:val="7048D88E"/>
    <w:lvl w:ilvl="0">
      <w:start w:val="1"/>
      <w:numFmt w:val="lowerLetter"/>
      <w:lvlText w:val="%1."/>
      <w:lvlJc w:val="left"/>
      <w:pPr>
        <w:tabs>
          <w:tab w:val="num" w:pos="360"/>
        </w:tabs>
        <w:ind w:left="360" w:hanging="360"/>
      </w:pPr>
      <w:rPr>
        <w:rFonts w:hint="default"/>
      </w:rPr>
    </w:lvl>
  </w:abstractNum>
  <w:abstractNum w:abstractNumId="96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964">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96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6">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7">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8">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9">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0">
    <w:nsid w:val="5B853EA9"/>
    <w:multiLevelType w:val="singleLevel"/>
    <w:tmpl w:val="1BA61856"/>
    <w:lvl w:ilvl="0">
      <w:start w:val="1"/>
      <w:numFmt w:val="lowerLetter"/>
      <w:lvlText w:val="%1."/>
      <w:lvlJc w:val="left"/>
      <w:pPr>
        <w:tabs>
          <w:tab w:val="num" w:pos="285"/>
        </w:tabs>
        <w:ind w:left="285" w:hanging="285"/>
      </w:pPr>
      <w:rPr>
        <w:rFonts w:hint="default"/>
      </w:rPr>
    </w:lvl>
  </w:abstractNum>
  <w:abstractNum w:abstractNumId="971">
    <w:nsid w:val="5B8D6939"/>
    <w:multiLevelType w:val="hybridMultilevel"/>
    <w:tmpl w:val="5B36AF98"/>
    <w:lvl w:ilvl="0" w:tplc="5B22B06A">
      <w:start w:val="5"/>
      <w:numFmt w:val="decimal"/>
      <w:lvlText w:val="（%1）"/>
      <w:lvlJc w:val="left"/>
      <w:pPr>
        <w:tabs>
          <w:tab w:val="num" w:pos="1357"/>
        </w:tabs>
        <w:ind w:left="1357" w:hanging="720"/>
      </w:pPr>
      <w:rPr>
        <w:rFonts w:ascii="SimSun" w:hAnsi="SimSun" w:hint="eastAsia"/>
        <w:color w:val="auto"/>
      </w:rPr>
    </w:lvl>
    <w:lvl w:ilvl="1" w:tplc="04090019" w:tentative="1">
      <w:start w:val="1"/>
      <w:numFmt w:val="lowerLetter"/>
      <w:lvlText w:val="%2)"/>
      <w:lvlJc w:val="left"/>
      <w:pPr>
        <w:tabs>
          <w:tab w:val="num" w:pos="1477"/>
        </w:tabs>
        <w:ind w:left="1477" w:hanging="420"/>
      </w:pPr>
    </w:lvl>
    <w:lvl w:ilvl="2" w:tplc="0409001B" w:tentative="1">
      <w:start w:val="1"/>
      <w:numFmt w:val="lowerRoman"/>
      <w:lvlText w:val="%3."/>
      <w:lvlJc w:val="right"/>
      <w:pPr>
        <w:tabs>
          <w:tab w:val="num" w:pos="1897"/>
        </w:tabs>
        <w:ind w:left="1897" w:hanging="420"/>
      </w:pPr>
    </w:lvl>
    <w:lvl w:ilvl="3" w:tplc="0409000F" w:tentative="1">
      <w:start w:val="1"/>
      <w:numFmt w:val="decimal"/>
      <w:lvlText w:val="%4."/>
      <w:lvlJc w:val="left"/>
      <w:pPr>
        <w:tabs>
          <w:tab w:val="num" w:pos="2317"/>
        </w:tabs>
        <w:ind w:left="2317" w:hanging="420"/>
      </w:pPr>
    </w:lvl>
    <w:lvl w:ilvl="4" w:tplc="04090019" w:tentative="1">
      <w:start w:val="1"/>
      <w:numFmt w:val="lowerLetter"/>
      <w:lvlText w:val="%5)"/>
      <w:lvlJc w:val="left"/>
      <w:pPr>
        <w:tabs>
          <w:tab w:val="num" w:pos="2737"/>
        </w:tabs>
        <w:ind w:left="2737" w:hanging="420"/>
      </w:pPr>
    </w:lvl>
    <w:lvl w:ilvl="5" w:tplc="0409001B" w:tentative="1">
      <w:start w:val="1"/>
      <w:numFmt w:val="lowerRoman"/>
      <w:lvlText w:val="%6."/>
      <w:lvlJc w:val="right"/>
      <w:pPr>
        <w:tabs>
          <w:tab w:val="num" w:pos="3157"/>
        </w:tabs>
        <w:ind w:left="3157" w:hanging="420"/>
      </w:pPr>
    </w:lvl>
    <w:lvl w:ilvl="6" w:tplc="0409000F" w:tentative="1">
      <w:start w:val="1"/>
      <w:numFmt w:val="decimal"/>
      <w:lvlText w:val="%7."/>
      <w:lvlJc w:val="left"/>
      <w:pPr>
        <w:tabs>
          <w:tab w:val="num" w:pos="3577"/>
        </w:tabs>
        <w:ind w:left="3577" w:hanging="420"/>
      </w:pPr>
    </w:lvl>
    <w:lvl w:ilvl="7" w:tplc="04090019" w:tentative="1">
      <w:start w:val="1"/>
      <w:numFmt w:val="lowerLetter"/>
      <w:lvlText w:val="%8)"/>
      <w:lvlJc w:val="left"/>
      <w:pPr>
        <w:tabs>
          <w:tab w:val="num" w:pos="3997"/>
        </w:tabs>
        <w:ind w:left="3997" w:hanging="420"/>
      </w:pPr>
    </w:lvl>
    <w:lvl w:ilvl="8" w:tplc="0409001B" w:tentative="1">
      <w:start w:val="1"/>
      <w:numFmt w:val="lowerRoman"/>
      <w:lvlText w:val="%9."/>
      <w:lvlJc w:val="right"/>
      <w:pPr>
        <w:tabs>
          <w:tab w:val="num" w:pos="4417"/>
        </w:tabs>
        <w:ind w:left="4417" w:hanging="420"/>
      </w:pPr>
    </w:lvl>
  </w:abstractNum>
  <w:abstractNum w:abstractNumId="972">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73">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4">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5">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976">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77">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8">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79">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0">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981">
    <w:nsid w:val="5CAA2325"/>
    <w:multiLevelType w:val="singleLevel"/>
    <w:tmpl w:val="F11C56CE"/>
    <w:lvl w:ilvl="0">
      <w:start w:val="1"/>
      <w:numFmt w:val="upperLetter"/>
      <w:lvlText w:val="%1．"/>
      <w:lvlJc w:val="left"/>
      <w:pPr>
        <w:tabs>
          <w:tab w:val="num" w:pos="405"/>
        </w:tabs>
        <w:ind w:left="405" w:hanging="405"/>
      </w:pPr>
      <w:rPr>
        <w:rFonts w:hint="eastAsia"/>
      </w:rPr>
    </w:lvl>
  </w:abstractNum>
  <w:abstractNum w:abstractNumId="982">
    <w:nsid w:val="5CBF4592"/>
    <w:multiLevelType w:val="hybridMultilevel"/>
    <w:tmpl w:val="B880AA0E"/>
    <w:lvl w:ilvl="0" w:tplc="29502CFE">
      <w:start w:val="1"/>
      <w:numFmt w:val="japaneseCounting"/>
      <w:lvlText w:val="%1．"/>
      <w:lvlJc w:val="left"/>
      <w:pPr>
        <w:tabs>
          <w:tab w:val="num" w:pos="480"/>
        </w:tabs>
        <w:ind w:left="480" w:hanging="480"/>
      </w:pPr>
      <w:rPr>
        <w:rFonts w:hint="eastAsia"/>
      </w:rPr>
    </w:lvl>
    <w:lvl w:ilvl="1" w:tplc="6C348DC0">
      <w:start w:val="1"/>
      <w:numFmt w:val="lowerLetter"/>
      <w:lvlText w:val="%2."/>
      <w:lvlJc w:val="left"/>
      <w:pPr>
        <w:tabs>
          <w:tab w:val="num" w:pos="780"/>
        </w:tabs>
        <w:ind w:left="780" w:hanging="360"/>
      </w:pPr>
      <w:rPr>
        <w:rFonts w:hint="default"/>
      </w:rPr>
    </w:lvl>
    <w:lvl w:ilvl="2" w:tplc="51685D3A">
      <w:start w:val="1"/>
      <w:numFmt w:val="upperLetter"/>
      <w:lvlText w:val="%3．"/>
      <w:lvlJc w:val="left"/>
      <w:pPr>
        <w:tabs>
          <w:tab w:val="num" w:pos="1260"/>
        </w:tabs>
        <w:ind w:left="1260" w:hanging="420"/>
      </w:pPr>
      <w:rPr>
        <w:rFonts w:hint="eastAsia"/>
        <w:b/>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98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985">
    <w:nsid w:val="5D387605"/>
    <w:multiLevelType w:val="multilevel"/>
    <w:tmpl w:val="29445E40"/>
    <w:lvl w:ilvl="0">
      <w:start w:val="15"/>
      <w:numFmt w:val="decimal"/>
      <w:lvlText w:val="%1."/>
      <w:lvlJc w:val="left"/>
      <w:pPr>
        <w:tabs>
          <w:tab w:val="num" w:pos="720"/>
        </w:tabs>
        <w:ind w:left="720" w:hanging="360"/>
      </w:pPr>
      <w:rPr>
        <w:rFonts w:cs="Times New Roman" w:hint="default"/>
        <w:sz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98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98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90">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991">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992">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3">
    <w:nsid w:val="5DCD3A8A"/>
    <w:multiLevelType w:val="multilevel"/>
    <w:tmpl w:val="3EB2961C"/>
    <w:lvl w:ilvl="0">
      <w:start w:val="1"/>
      <w:numFmt w:val="decimal"/>
      <w:lvlText w:val="%1."/>
      <w:lvlJc w:val="left"/>
      <w:pPr>
        <w:tabs>
          <w:tab w:val="num" w:pos="720"/>
        </w:tabs>
        <w:ind w:left="720" w:hanging="360"/>
      </w:pPr>
      <w:rPr>
        <w:rFonts w:hint="default"/>
      </w:rPr>
    </w:lvl>
    <w:lvl w:ilvl="1">
      <w:start w:val="637"/>
      <w:numFmt w:val="decimal"/>
      <w:lvlText w:val="%2."/>
      <w:lvlJc w:val="left"/>
      <w:pPr>
        <w:tabs>
          <w:tab w:val="num" w:pos="1455"/>
        </w:tabs>
        <w:ind w:left="1455" w:hanging="375"/>
      </w:pPr>
      <w:rPr>
        <w:rFonts w:hint="default"/>
        <w:b w:val="0"/>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4">
    <w:nsid w:val="5E232676"/>
    <w:multiLevelType w:val="multilevel"/>
    <w:tmpl w:val="48C2CFE8"/>
    <w:lvl w:ilvl="0">
      <w:start w:val="1"/>
      <w:numFmt w:val="upperRoman"/>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95">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996">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997">
    <w:nsid w:val="5EC31D90"/>
    <w:multiLevelType w:val="hybridMultilevel"/>
    <w:tmpl w:val="27B82EA6"/>
    <w:lvl w:ilvl="0" w:tplc="E8467404">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8">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9">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0">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001">
    <w:nsid w:val="5ED54B6F"/>
    <w:multiLevelType w:val="hybridMultilevel"/>
    <w:tmpl w:val="27A8B0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2">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003">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04">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5">
    <w:nsid w:val="5F686CF0"/>
    <w:multiLevelType w:val="hybridMultilevel"/>
    <w:tmpl w:val="B2645652"/>
    <w:lvl w:ilvl="0" w:tplc="4A38DAE8">
      <w:start w:val="1"/>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06">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7">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008">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09">
    <w:nsid w:val="5FE75F5A"/>
    <w:multiLevelType w:val="hybridMultilevel"/>
    <w:tmpl w:val="7D965666"/>
    <w:lvl w:ilvl="0" w:tplc="91D4F4E4">
      <w:start w:val="1"/>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10">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011">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2">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3">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4">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1015">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6">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17">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8">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9">
    <w:nsid w:val="608349D4"/>
    <w:multiLevelType w:val="hybridMultilevel"/>
    <w:tmpl w:val="7F3A359C"/>
    <w:lvl w:ilvl="0" w:tplc="3C061FDA">
      <w:start w:val="1"/>
      <w:numFmt w:val="bullet"/>
      <w:lvlText w:val=""/>
      <w:lvlJc w:val="left"/>
      <w:pPr>
        <w:tabs>
          <w:tab w:val="num" w:pos="420"/>
        </w:tabs>
        <w:ind w:left="420" w:hanging="250"/>
      </w:pPr>
      <w:rPr>
        <w:rFonts w:ascii="Wingdings" w:hAnsi="Wingdings" w:hint="default"/>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0">
    <w:nsid w:val="60850D85"/>
    <w:multiLevelType w:val="multilevel"/>
    <w:tmpl w:val="277639D6"/>
    <w:lvl w:ilvl="0">
      <w:start w:val="1"/>
      <w:numFmt w:val="upperRoman"/>
      <w:lvlText w:val="%1."/>
      <w:lvlJc w:val="left"/>
      <w:pPr>
        <w:tabs>
          <w:tab w:val="num" w:pos="420"/>
        </w:tabs>
        <w:ind w:left="420" w:hanging="420"/>
      </w:pPr>
      <w:rPr>
        <w:b/>
      </w:rPr>
    </w:lvl>
    <w:lvl w:ilvl="1">
      <w:start w:val="1"/>
      <w:numFmt w:val="bullet"/>
      <w:lvlText w:val=""/>
      <w:lvlJc w:val="left"/>
      <w:pPr>
        <w:tabs>
          <w:tab w:val="num" w:pos="840"/>
        </w:tabs>
        <w:ind w:left="840" w:hanging="420"/>
      </w:pPr>
      <w:rPr>
        <w:rFonts w:ascii="Wingdings" w:hAnsi="Wingdings" w:hint="default"/>
        <w:sz w:val="13"/>
        <w:szCs w:val="13"/>
      </w:rPr>
    </w:lvl>
    <w:lvl w:ilvl="2">
      <w:start w:val="1"/>
      <w:numFmt w:val="lowerRoman"/>
      <w:lvlText w:val="%3."/>
      <w:lvlJc w:val="right"/>
      <w:pPr>
        <w:tabs>
          <w:tab w:val="num" w:pos="1260"/>
        </w:tabs>
        <w:ind w:left="1260" w:hanging="420"/>
      </w:pPr>
    </w:lvl>
    <w:lvl w:ilvl="3">
      <w:start w:val="1"/>
      <w:numFmt w:val="decimal"/>
      <w:lvlText w:val="%4."/>
      <w:lvlJc w:val="left"/>
      <w:pPr>
        <w:tabs>
          <w:tab w:val="num" w:pos="680"/>
        </w:tabs>
        <w:ind w:left="680" w:hanging="340"/>
      </w:pPr>
      <w:rPr>
        <w:rFonts w:hint="eastAsia"/>
        <w:b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21">
    <w:nsid w:val="60A73065"/>
    <w:multiLevelType w:val="singleLevel"/>
    <w:tmpl w:val="0C09000F"/>
    <w:lvl w:ilvl="0">
      <w:start w:val="1"/>
      <w:numFmt w:val="decimal"/>
      <w:lvlText w:val="%1."/>
      <w:lvlJc w:val="left"/>
      <w:pPr>
        <w:tabs>
          <w:tab w:val="num" w:pos="360"/>
        </w:tabs>
        <w:ind w:left="360" w:hanging="360"/>
      </w:pPr>
    </w:lvl>
  </w:abstractNum>
  <w:abstractNum w:abstractNumId="1022">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3">
    <w:nsid w:val="60FD13B2"/>
    <w:multiLevelType w:val="multilevel"/>
    <w:tmpl w:val="578871E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7"/>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4">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025">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26">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27">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8">
    <w:nsid w:val="61BE7D16"/>
    <w:multiLevelType w:val="multilevel"/>
    <w:tmpl w:val="46B88878"/>
    <w:lvl w:ilvl="0">
      <w:start w:val="262"/>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9">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030">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1">
    <w:nsid w:val="62077D24"/>
    <w:multiLevelType w:val="hybridMultilevel"/>
    <w:tmpl w:val="39DE6FC4"/>
    <w:lvl w:ilvl="0" w:tplc="4D0C391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2">
    <w:nsid w:val="620C307E"/>
    <w:multiLevelType w:val="singleLevel"/>
    <w:tmpl w:val="23B8CE94"/>
    <w:lvl w:ilvl="0">
      <w:start w:val="107"/>
      <w:numFmt w:val="decimal"/>
      <w:lvlText w:val="%1．"/>
      <w:lvlJc w:val="left"/>
      <w:pPr>
        <w:tabs>
          <w:tab w:val="num" w:pos="705"/>
        </w:tabs>
        <w:ind w:left="705" w:hanging="585"/>
      </w:pPr>
      <w:rPr>
        <w:rFonts w:hint="eastAsia"/>
      </w:rPr>
    </w:lvl>
  </w:abstractNum>
  <w:abstractNum w:abstractNumId="1033">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34">
    <w:nsid w:val="621D3D02"/>
    <w:multiLevelType w:val="singleLevel"/>
    <w:tmpl w:val="0409000F"/>
    <w:lvl w:ilvl="0">
      <w:start w:val="1"/>
      <w:numFmt w:val="decimal"/>
      <w:lvlText w:val="%1."/>
      <w:lvlJc w:val="left"/>
      <w:pPr>
        <w:tabs>
          <w:tab w:val="num" w:pos="425"/>
        </w:tabs>
        <w:ind w:left="425" w:hanging="425"/>
      </w:pPr>
    </w:lvl>
  </w:abstractNum>
  <w:abstractNum w:abstractNumId="1035">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03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037">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038">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1039">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1040">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41">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2">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043">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044">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5">
    <w:nsid w:val="63352E35"/>
    <w:multiLevelType w:val="hybridMultilevel"/>
    <w:tmpl w:val="40183566"/>
    <w:lvl w:ilvl="0" w:tplc="9C0E568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46">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47">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9">
    <w:nsid w:val="643C233B"/>
    <w:multiLevelType w:val="hybridMultilevel"/>
    <w:tmpl w:val="A782A892"/>
    <w:lvl w:ilvl="0" w:tplc="BC267D0C">
      <w:start w:val="262"/>
      <w:numFmt w:val="decimal"/>
      <w:lvlText w:val="%1."/>
      <w:lvlJc w:val="left"/>
      <w:pPr>
        <w:tabs>
          <w:tab w:val="num" w:pos="420"/>
        </w:tabs>
        <w:ind w:left="420" w:hanging="42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0">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51">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2">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3">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54">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55">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056">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057">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058">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9">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0">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1">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2">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63">
    <w:nsid w:val="65565824"/>
    <w:multiLevelType w:val="hybridMultilevel"/>
    <w:tmpl w:val="5BF8D00E"/>
    <w:lvl w:ilvl="0" w:tplc="16D2C2C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4">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5">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066">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7">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8">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9">
    <w:nsid w:val="65BB0828"/>
    <w:multiLevelType w:val="singleLevel"/>
    <w:tmpl w:val="FAE498CE"/>
    <w:lvl w:ilvl="0">
      <w:start w:val="1"/>
      <w:numFmt w:val="upperLetter"/>
      <w:lvlText w:val="%1．"/>
      <w:lvlJc w:val="left"/>
      <w:pPr>
        <w:tabs>
          <w:tab w:val="num" w:pos="525"/>
        </w:tabs>
        <w:ind w:left="525" w:hanging="525"/>
      </w:pPr>
      <w:rPr>
        <w:rFonts w:hint="eastAsia"/>
      </w:rPr>
    </w:lvl>
  </w:abstractNum>
  <w:abstractNum w:abstractNumId="1070">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1">
    <w:nsid w:val="65DC7D0D"/>
    <w:multiLevelType w:val="multilevel"/>
    <w:tmpl w:val="6E98156E"/>
    <w:lvl w:ilvl="0">
      <w:start w:val="1"/>
      <w:numFmt w:val="lowerLetter"/>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072">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73">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074">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075">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076">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77">
    <w:nsid w:val="666340E6"/>
    <w:multiLevelType w:val="hybridMultilevel"/>
    <w:tmpl w:val="72743B0A"/>
    <w:lvl w:ilvl="0" w:tplc="45FAFABC">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78">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79">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80">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1">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3">
    <w:nsid w:val="669A6F3D"/>
    <w:multiLevelType w:val="hybridMultilevel"/>
    <w:tmpl w:val="090693A2"/>
    <w:lvl w:ilvl="0" w:tplc="9B5C9BA8">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084">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85">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86">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087">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8">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08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090">
    <w:nsid w:val="677821D7"/>
    <w:multiLevelType w:val="hybridMultilevel"/>
    <w:tmpl w:val="0E2E6EF4"/>
    <w:lvl w:ilvl="0" w:tplc="5E3ECC1E">
      <w:start w:val="1"/>
      <w:numFmt w:val="decimal"/>
      <w:lvlText w:val="%1、"/>
      <w:lvlJc w:val="left"/>
      <w:pPr>
        <w:tabs>
          <w:tab w:val="num" w:pos="1569"/>
        </w:tabs>
        <w:ind w:left="1569" w:hanging="1005"/>
      </w:pPr>
      <w:rPr>
        <w:rFonts w:hint="eastAsia"/>
      </w:rPr>
    </w:lvl>
    <w:lvl w:ilvl="1" w:tplc="04090019" w:tentative="1">
      <w:start w:val="1"/>
      <w:numFmt w:val="lowerLetter"/>
      <w:lvlText w:val="%2)"/>
      <w:lvlJc w:val="left"/>
      <w:pPr>
        <w:tabs>
          <w:tab w:val="num" w:pos="1404"/>
        </w:tabs>
        <w:ind w:left="1404" w:hanging="420"/>
      </w:pPr>
    </w:lvl>
    <w:lvl w:ilvl="2" w:tplc="0409001B" w:tentative="1">
      <w:start w:val="1"/>
      <w:numFmt w:val="lowerRoman"/>
      <w:lvlText w:val="%3."/>
      <w:lvlJc w:val="right"/>
      <w:pPr>
        <w:tabs>
          <w:tab w:val="num" w:pos="1824"/>
        </w:tabs>
        <w:ind w:left="1824" w:hanging="420"/>
      </w:pPr>
    </w:lvl>
    <w:lvl w:ilvl="3" w:tplc="0409000F" w:tentative="1">
      <w:start w:val="1"/>
      <w:numFmt w:val="decimal"/>
      <w:lvlText w:val="%4."/>
      <w:lvlJc w:val="left"/>
      <w:pPr>
        <w:tabs>
          <w:tab w:val="num" w:pos="2244"/>
        </w:tabs>
        <w:ind w:left="2244" w:hanging="420"/>
      </w:pPr>
    </w:lvl>
    <w:lvl w:ilvl="4" w:tplc="04090019" w:tentative="1">
      <w:start w:val="1"/>
      <w:numFmt w:val="lowerLetter"/>
      <w:lvlText w:val="%5)"/>
      <w:lvlJc w:val="left"/>
      <w:pPr>
        <w:tabs>
          <w:tab w:val="num" w:pos="2664"/>
        </w:tabs>
        <w:ind w:left="2664" w:hanging="420"/>
      </w:pPr>
    </w:lvl>
    <w:lvl w:ilvl="5" w:tplc="0409001B" w:tentative="1">
      <w:start w:val="1"/>
      <w:numFmt w:val="lowerRoman"/>
      <w:lvlText w:val="%6."/>
      <w:lvlJc w:val="right"/>
      <w:pPr>
        <w:tabs>
          <w:tab w:val="num" w:pos="3084"/>
        </w:tabs>
        <w:ind w:left="3084" w:hanging="420"/>
      </w:pPr>
    </w:lvl>
    <w:lvl w:ilvl="6" w:tplc="0409000F" w:tentative="1">
      <w:start w:val="1"/>
      <w:numFmt w:val="decimal"/>
      <w:lvlText w:val="%7."/>
      <w:lvlJc w:val="left"/>
      <w:pPr>
        <w:tabs>
          <w:tab w:val="num" w:pos="3504"/>
        </w:tabs>
        <w:ind w:left="3504" w:hanging="420"/>
      </w:pPr>
    </w:lvl>
    <w:lvl w:ilvl="7" w:tplc="04090019" w:tentative="1">
      <w:start w:val="1"/>
      <w:numFmt w:val="lowerLetter"/>
      <w:lvlText w:val="%8)"/>
      <w:lvlJc w:val="left"/>
      <w:pPr>
        <w:tabs>
          <w:tab w:val="num" w:pos="3924"/>
        </w:tabs>
        <w:ind w:left="3924" w:hanging="420"/>
      </w:pPr>
    </w:lvl>
    <w:lvl w:ilvl="8" w:tplc="0409001B" w:tentative="1">
      <w:start w:val="1"/>
      <w:numFmt w:val="lowerRoman"/>
      <w:lvlText w:val="%9."/>
      <w:lvlJc w:val="right"/>
      <w:pPr>
        <w:tabs>
          <w:tab w:val="num" w:pos="4344"/>
        </w:tabs>
        <w:ind w:left="4344" w:hanging="420"/>
      </w:pPr>
    </w:lvl>
  </w:abstractNum>
  <w:abstractNum w:abstractNumId="1091">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092">
    <w:nsid w:val="67AC0F9C"/>
    <w:multiLevelType w:val="hybridMultilevel"/>
    <w:tmpl w:val="F90A7B6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3">
    <w:nsid w:val="67B843FB"/>
    <w:multiLevelType w:val="singleLevel"/>
    <w:tmpl w:val="87869E02"/>
    <w:lvl w:ilvl="0">
      <w:start w:val="1"/>
      <w:numFmt w:val="upperLetter"/>
      <w:lvlText w:val="%1．"/>
      <w:lvlJc w:val="left"/>
      <w:pPr>
        <w:tabs>
          <w:tab w:val="num" w:pos="405"/>
        </w:tabs>
        <w:ind w:left="405" w:hanging="405"/>
      </w:pPr>
      <w:rPr>
        <w:rFonts w:hint="eastAsia"/>
      </w:rPr>
    </w:lvl>
  </w:abstractNum>
  <w:abstractNum w:abstractNumId="1094">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95">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096">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7">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098">
    <w:nsid w:val="6812546B"/>
    <w:multiLevelType w:val="multilevel"/>
    <w:tmpl w:val="46B88878"/>
    <w:lvl w:ilvl="0">
      <w:start w:val="179"/>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9">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100">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1">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1102">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3">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1104">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5">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06">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7">
    <w:nsid w:val="695649AF"/>
    <w:multiLevelType w:val="hybridMultilevel"/>
    <w:tmpl w:val="ED244452"/>
    <w:lvl w:ilvl="0" w:tplc="0409000F">
      <w:start w:val="1"/>
      <w:numFmt w:val="decimal"/>
      <w:lvlText w:val="%1."/>
      <w:lvlJc w:val="left"/>
      <w:pPr>
        <w:tabs>
          <w:tab w:val="num" w:pos="720"/>
        </w:tabs>
        <w:ind w:left="720" w:hanging="360"/>
      </w:pPr>
    </w:lvl>
    <w:lvl w:ilvl="1" w:tplc="6DF02B7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8">
    <w:nsid w:val="69C859F2"/>
    <w:multiLevelType w:val="hybridMultilevel"/>
    <w:tmpl w:val="706418E4"/>
    <w:lvl w:ilvl="0" w:tplc="8A66CCB2">
      <w:start w:val="14"/>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9">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10">
    <w:nsid w:val="69F23E8D"/>
    <w:multiLevelType w:val="multilevel"/>
    <w:tmpl w:val="BD420E98"/>
    <w:lvl w:ilvl="0">
      <w:start w:val="1"/>
      <w:numFmt w:val="bullet"/>
      <w:lvlText w:val=""/>
      <w:lvlJc w:val="left"/>
      <w:pPr>
        <w:tabs>
          <w:tab w:val="num" w:pos="1584"/>
        </w:tabs>
        <w:ind w:left="1440" w:hanging="216"/>
      </w:pPr>
      <w:rPr>
        <w:rFonts w:ascii="Wingdings" w:hAnsi="Wingdings" w:cs="SimHei" w:hint="default"/>
        <w:sz w:val="16"/>
        <w:szCs w:val="16"/>
      </w:rPr>
    </w:lvl>
    <w:lvl w:ilvl="1">
      <w:start w:val="1"/>
      <w:numFmt w:val="bullet"/>
      <w:lvlText w:val="o"/>
      <w:lvlJc w:val="left"/>
      <w:pPr>
        <w:tabs>
          <w:tab w:val="num" w:pos="1872"/>
        </w:tabs>
        <w:ind w:left="1872" w:hanging="360"/>
      </w:pPr>
      <w:rPr>
        <w:rFonts w:ascii="Courier New" w:hAnsi="Courier New" w:cs="Century" w:hint="default"/>
      </w:rPr>
    </w:lvl>
    <w:lvl w:ilvl="2">
      <w:start w:val="1"/>
      <w:numFmt w:val="bullet"/>
      <w:lvlText w:val=""/>
      <w:lvlJc w:val="left"/>
      <w:pPr>
        <w:tabs>
          <w:tab w:val="num" w:pos="2592"/>
        </w:tabs>
        <w:ind w:left="2592" w:hanging="360"/>
      </w:pPr>
      <w:rPr>
        <w:rFonts w:ascii="Wingdings" w:hAnsi="Wingdings" w:cs="SimHei" w:hint="default"/>
      </w:rPr>
    </w:lvl>
    <w:lvl w:ilvl="3">
      <w:start w:val="1"/>
      <w:numFmt w:val="bullet"/>
      <w:lvlText w:val=""/>
      <w:lvlJc w:val="left"/>
      <w:pPr>
        <w:tabs>
          <w:tab w:val="num" w:pos="3312"/>
        </w:tabs>
        <w:ind w:left="3312" w:hanging="360"/>
      </w:pPr>
      <w:rPr>
        <w:rFonts w:ascii="Symbol" w:hAnsi="Symbol" w:cs="Symbol" w:hint="default"/>
      </w:rPr>
    </w:lvl>
    <w:lvl w:ilvl="4">
      <w:start w:val="1"/>
      <w:numFmt w:val="bullet"/>
      <w:lvlText w:val="o"/>
      <w:lvlJc w:val="left"/>
      <w:pPr>
        <w:tabs>
          <w:tab w:val="num" w:pos="4032"/>
        </w:tabs>
        <w:ind w:left="4032" w:hanging="360"/>
      </w:pPr>
      <w:rPr>
        <w:rFonts w:ascii="Courier New" w:hAnsi="Courier New" w:cs="Century" w:hint="default"/>
      </w:rPr>
    </w:lvl>
    <w:lvl w:ilvl="5">
      <w:start w:val="1"/>
      <w:numFmt w:val="bullet"/>
      <w:lvlText w:val=""/>
      <w:lvlJc w:val="left"/>
      <w:pPr>
        <w:tabs>
          <w:tab w:val="num" w:pos="4752"/>
        </w:tabs>
        <w:ind w:left="4752" w:hanging="360"/>
      </w:pPr>
      <w:rPr>
        <w:rFonts w:ascii="Wingdings" w:hAnsi="Wingdings" w:cs="SimHei" w:hint="default"/>
      </w:rPr>
    </w:lvl>
    <w:lvl w:ilvl="6">
      <w:start w:val="1"/>
      <w:numFmt w:val="bullet"/>
      <w:lvlText w:val=""/>
      <w:lvlJc w:val="left"/>
      <w:pPr>
        <w:tabs>
          <w:tab w:val="num" w:pos="5472"/>
        </w:tabs>
        <w:ind w:left="5472" w:hanging="360"/>
      </w:pPr>
      <w:rPr>
        <w:rFonts w:ascii="Symbol" w:hAnsi="Symbol" w:cs="Symbol" w:hint="default"/>
      </w:rPr>
    </w:lvl>
    <w:lvl w:ilvl="7">
      <w:start w:val="1"/>
      <w:numFmt w:val="bullet"/>
      <w:lvlText w:val="o"/>
      <w:lvlJc w:val="left"/>
      <w:pPr>
        <w:tabs>
          <w:tab w:val="num" w:pos="6192"/>
        </w:tabs>
        <w:ind w:left="6192" w:hanging="360"/>
      </w:pPr>
      <w:rPr>
        <w:rFonts w:ascii="Courier New" w:hAnsi="Courier New" w:cs="Century" w:hint="default"/>
      </w:rPr>
    </w:lvl>
    <w:lvl w:ilvl="8">
      <w:start w:val="1"/>
      <w:numFmt w:val="bullet"/>
      <w:lvlText w:val=""/>
      <w:lvlJc w:val="left"/>
      <w:pPr>
        <w:tabs>
          <w:tab w:val="num" w:pos="6912"/>
        </w:tabs>
        <w:ind w:left="6912" w:hanging="360"/>
      </w:pPr>
      <w:rPr>
        <w:rFonts w:ascii="Wingdings" w:hAnsi="Wingdings" w:cs="SimHei" w:hint="default"/>
      </w:rPr>
    </w:lvl>
  </w:abstractNum>
  <w:abstractNum w:abstractNumId="1111">
    <w:nsid w:val="6A046C37"/>
    <w:multiLevelType w:val="multilevel"/>
    <w:tmpl w:val="6B32FB7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2">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1113">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1114">
    <w:nsid w:val="6A464CF7"/>
    <w:multiLevelType w:val="multilevel"/>
    <w:tmpl w:val="68DC4F72"/>
    <w:lvl w:ilvl="0">
      <w:start w:val="1"/>
      <w:numFmt w:val="lowerLetter"/>
      <w:lvlText w:val="%1."/>
      <w:lvlJc w:val="left"/>
      <w:pPr>
        <w:tabs>
          <w:tab w:val="num" w:pos="841"/>
        </w:tabs>
        <w:ind w:left="841"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15">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116">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17">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8">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9">
    <w:nsid w:val="6A9E7067"/>
    <w:multiLevelType w:val="multilevel"/>
    <w:tmpl w:val="D70CA3F8"/>
    <w:lvl w:ilvl="0">
      <w:start w:val="616"/>
      <w:numFmt w:val="decimal"/>
      <w:lvlText w:val="%1."/>
      <w:lvlJc w:val="left"/>
      <w:pPr>
        <w:tabs>
          <w:tab w:val="num" w:pos="285"/>
        </w:tabs>
        <w:ind w:left="285" w:hanging="375"/>
      </w:pPr>
      <w:rPr>
        <w:rFonts w:hint="default"/>
      </w:rPr>
    </w:lvl>
    <w:lvl w:ilvl="1">
      <w:start w:val="1"/>
      <w:numFmt w:val="lowerLetter"/>
      <w:lvlText w:val="%2."/>
      <w:lvlJc w:val="left"/>
      <w:pPr>
        <w:tabs>
          <w:tab w:val="num" w:pos="990"/>
        </w:tabs>
        <w:ind w:left="990" w:hanging="360"/>
      </w:pPr>
      <w:rPr>
        <w:rFonts w:hint="default"/>
      </w:rPr>
    </w:lvl>
    <w:lvl w:ilvl="2">
      <w:start w:val="1"/>
      <w:numFmt w:val="bullet"/>
      <w:lvlText w:val="−"/>
      <w:lvlJc w:val="left"/>
      <w:pPr>
        <w:tabs>
          <w:tab w:val="num" w:pos="1831"/>
        </w:tabs>
        <w:ind w:left="1813" w:hanging="283"/>
      </w:pPr>
      <w:rPr>
        <w:rFonts w:ascii="Tahoma" w:hAnsi="Tahoma" w:hint="default"/>
      </w:rPr>
    </w:lvl>
    <w:lvl w:ilvl="3">
      <w:start w:val="1"/>
      <w:numFmt w:val="decimal"/>
      <w:lvlText w:val="%4."/>
      <w:lvlJc w:val="left"/>
      <w:pPr>
        <w:tabs>
          <w:tab w:val="num" w:pos="2430"/>
        </w:tabs>
        <w:ind w:left="2430" w:hanging="360"/>
      </w:pPr>
    </w:lvl>
    <w:lvl w:ilvl="4">
      <w:start w:val="1"/>
      <w:numFmt w:val="lowerLetter"/>
      <w:lvlText w:val="%5."/>
      <w:lvlJc w:val="left"/>
      <w:pPr>
        <w:tabs>
          <w:tab w:val="num" w:pos="3150"/>
        </w:tabs>
        <w:ind w:left="3150" w:hanging="360"/>
      </w:pPr>
    </w:lvl>
    <w:lvl w:ilvl="5">
      <w:start w:val="1"/>
      <w:numFmt w:val="lowerRoman"/>
      <w:lvlText w:val="%6."/>
      <w:lvlJc w:val="right"/>
      <w:pPr>
        <w:tabs>
          <w:tab w:val="num" w:pos="3870"/>
        </w:tabs>
        <w:ind w:left="3870" w:hanging="180"/>
      </w:pPr>
    </w:lvl>
    <w:lvl w:ilvl="6">
      <w:start w:val="1"/>
      <w:numFmt w:val="decimal"/>
      <w:lvlText w:val="%7."/>
      <w:lvlJc w:val="left"/>
      <w:pPr>
        <w:tabs>
          <w:tab w:val="num" w:pos="4590"/>
        </w:tabs>
        <w:ind w:left="4590" w:hanging="360"/>
      </w:pPr>
    </w:lvl>
    <w:lvl w:ilvl="7">
      <w:start w:val="1"/>
      <w:numFmt w:val="lowerLetter"/>
      <w:lvlText w:val="%8."/>
      <w:lvlJc w:val="left"/>
      <w:pPr>
        <w:tabs>
          <w:tab w:val="num" w:pos="5310"/>
        </w:tabs>
        <w:ind w:left="5310" w:hanging="360"/>
      </w:pPr>
    </w:lvl>
    <w:lvl w:ilvl="8">
      <w:start w:val="1"/>
      <w:numFmt w:val="lowerRoman"/>
      <w:lvlText w:val="%9."/>
      <w:lvlJc w:val="right"/>
      <w:pPr>
        <w:tabs>
          <w:tab w:val="num" w:pos="6030"/>
        </w:tabs>
        <w:ind w:left="6030" w:hanging="180"/>
      </w:pPr>
    </w:lvl>
  </w:abstractNum>
  <w:abstractNum w:abstractNumId="1120">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121">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122">
    <w:nsid w:val="6AC83E8A"/>
    <w:multiLevelType w:val="hybridMultilevel"/>
    <w:tmpl w:val="016E4E88"/>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3">
    <w:nsid w:val="6ACC70F2"/>
    <w:multiLevelType w:val="hybridMultilevel"/>
    <w:tmpl w:val="A7F8631C"/>
    <w:lvl w:ilvl="0" w:tplc="334C383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4">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5">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26">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7">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8">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9">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0">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1">
    <w:nsid w:val="6B5F7413"/>
    <w:multiLevelType w:val="hybridMultilevel"/>
    <w:tmpl w:val="9D0EC496"/>
    <w:lvl w:ilvl="0" w:tplc="093CA0BA">
      <w:start w:val="1"/>
      <w:numFmt w:val="lowerLetter"/>
      <w:lvlText w:val="%1)"/>
      <w:lvlJc w:val="left"/>
      <w:pPr>
        <w:tabs>
          <w:tab w:val="num" w:pos="1416"/>
        </w:tabs>
        <w:ind w:left="1416" w:hanging="864"/>
      </w:pPr>
      <w:rPr>
        <w:rFonts w:hint="default"/>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132">
    <w:nsid w:val="6B7246A2"/>
    <w:multiLevelType w:val="singleLevel"/>
    <w:tmpl w:val="F07666D0"/>
    <w:lvl w:ilvl="0">
      <w:start w:val="107"/>
      <w:numFmt w:val="decimal"/>
      <w:lvlText w:val="%1．"/>
      <w:lvlJc w:val="left"/>
      <w:pPr>
        <w:tabs>
          <w:tab w:val="num" w:pos="705"/>
        </w:tabs>
        <w:ind w:left="705" w:hanging="585"/>
      </w:pPr>
      <w:rPr>
        <w:rFonts w:hint="eastAsia"/>
      </w:rPr>
    </w:lvl>
  </w:abstractNum>
  <w:abstractNum w:abstractNumId="113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4">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135">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36">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7">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138">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39">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140">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4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2">
    <w:nsid w:val="6C2774ED"/>
    <w:multiLevelType w:val="singleLevel"/>
    <w:tmpl w:val="4114E738"/>
    <w:lvl w:ilvl="0">
      <w:start w:val="1"/>
      <w:numFmt w:val="decimal"/>
      <w:lvlText w:val="%1)"/>
      <w:legacy w:legacy="1" w:legacySpace="0" w:legacyIndent="360"/>
      <w:lvlJc w:val="left"/>
      <w:pPr>
        <w:ind w:left="360" w:hanging="360"/>
      </w:pPr>
    </w:lvl>
  </w:abstractNum>
  <w:abstractNum w:abstractNumId="114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4">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4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7">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8">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49">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150">
    <w:nsid w:val="6C886412"/>
    <w:multiLevelType w:val="hybridMultilevel"/>
    <w:tmpl w:val="E96EE3EC"/>
    <w:lvl w:ilvl="0" w:tplc="57D612D0">
      <w:start w:val="1"/>
      <w:numFmt w:val="decimal"/>
      <w:lvlText w:val="%1."/>
      <w:lvlJc w:val="left"/>
      <w:pPr>
        <w:tabs>
          <w:tab w:val="num" w:pos="680"/>
        </w:tabs>
        <w:ind w:left="680" w:hanging="340"/>
      </w:pPr>
      <w:rPr>
        <w:rFonts w:hint="eastAsia"/>
      </w:rPr>
    </w:lvl>
    <w:lvl w:ilvl="1" w:tplc="3C061FDA">
      <w:start w:val="1"/>
      <w:numFmt w:val="bullet"/>
      <w:lvlText w:val=""/>
      <w:lvlJc w:val="left"/>
      <w:pPr>
        <w:tabs>
          <w:tab w:val="num" w:pos="670"/>
        </w:tabs>
        <w:ind w:left="670" w:hanging="250"/>
      </w:pPr>
      <w:rPr>
        <w:rFonts w:ascii="Wingdings" w:hAnsi="Wingdings" w:hint="default"/>
        <w:sz w:val="13"/>
        <w:szCs w:val="13"/>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1">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152">
    <w:nsid w:val="6C9443E1"/>
    <w:multiLevelType w:val="multilevel"/>
    <w:tmpl w:val="BE5AF9CA"/>
    <w:lvl w:ilvl="0">
      <w:start w:val="616"/>
      <w:numFmt w:val="decimal"/>
      <w:lvlText w:val="%1."/>
      <w:lvlJc w:val="left"/>
      <w:pPr>
        <w:tabs>
          <w:tab w:val="num" w:pos="285"/>
        </w:tabs>
        <w:ind w:left="285" w:hanging="375"/>
      </w:pPr>
      <w:rPr>
        <w:rFonts w:hint="default"/>
      </w:rPr>
    </w:lvl>
    <w:lvl w:ilvl="1">
      <w:start w:val="1"/>
      <w:numFmt w:val="lowerLetter"/>
      <w:lvlText w:val="%2."/>
      <w:lvlJc w:val="left"/>
      <w:pPr>
        <w:tabs>
          <w:tab w:val="num" w:pos="990"/>
        </w:tabs>
        <w:ind w:left="990" w:hanging="360"/>
      </w:pPr>
      <w:rPr>
        <w:rFonts w:hint="default"/>
      </w:rPr>
    </w:lvl>
    <w:lvl w:ilvl="2" w:tentative="1">
      <w:start w:val="1"/>
      <w:numFmt w:val="lowerRoman"/>
      <w:lvlText w:val="%3."/>
      <w:lvlJc w:val="right"/>
      <w:pPr>
        <w:tabs>
          <w:tab w:val="num" w:pos="1710"/>
        </w:tabs>
        <w:ind w:left="1710" w:hanging="180"/>
      </w:pPr>
    </w:lvl>
    <w:lvl w:ilvl="3" w:tentative="1">
      <w:start w:val="1"/>
      <w:numFmt w:val="decimal"/>
      <w:lvlText w:val="%4."/>
      <w:lvlJc w:val="left"/>
      <w:pPr>
        <w:tabs>
          <w:tab w:val="num" w:pos="2430"/>
        </w:tabs>
        <w:ind w:left="2430" w:hanging="360"/>
      </w:pPr>
    </w:lvl>
    <w:lvl w:ilvl="4" w:tentative="1">
      <w:start w:val="1"/>
      <w:numFmt w:val="lowerLetter"/>
      <w:lvlText w:val="%5."/>
      <w:lvlJc w:val="left"/>
      <w:pPr>
        <w:tabs>
          <w:tab w:val="num" w:pos="3150"/>
        </w:tabs>
        <w:ind w:left="3150" w:hanging="360"/>
      </w:pPr>
    </w:lvl>
    <w:lvl w:ilvl="5" w:tentative="1">
      <w:start w:val="1"/>
      <w:numFmt w:val="lowerRoman"/>
      <w:lvlText w:val="%6."/>
      <w:lvlJc w:val="right"/>
      <w:pPr>
        <w:tabs>
          <w:tab w:val="num" w:pos="3870"/>
        </w:tabs>
        <w:ind w:left="3870" w:hanging="180"/>
      </w:pPr>
    </w:lvl>
    <w:lvl w:ilvl="6" w:tentative="1">
      <w:start w:val="1"/>
      <w:numFmt w:val="decimal"/>
      <w:lvlText w:val="%7."/>
      <w:lvlJc w:val="left"/>
      <w:pPr>
        <w:tabs>
          <w:tab w:val="num" w:pos="4590"/>
        </w:tabs>
        <w:ind w:left="4590" w:hanging="360"/>
      </w:pPr>
    </w:lvl>
    <w:lvl w:ilvl="7" w:tentative="1">
      <w:start w:val="1"/>
      <w:numFmt w:val="lowerLetter"/>
      <w:lvlText w:val="%8."/>
      <w:lvlJc w:val="left"/>
      <w:pPr>
        <w:tabs>
          <w:tab w:val="num" w:pos="5310"/>
        </w:tabs>
        <w:ind w:left="5310" w:hanging="360"/>
      </w:pPr>
    </w:lvl>
    <w:lvl w:ilvl="8" w:tentative="1">
      <w:start w:val="1"/>
      <w:numFmt w:val="lowerRoman"/>
      <w:lvlText w:val="%9."/>
      <w:lvlJc w:val="right"/>
      <w:pPr>
        <w:tabs>
          <w:tab w:val="num" w:pos="6030"/>
        </w:tabs>
        <w:ind w:left="6030" w:hanging="180"/>
      </w:pPr>
    </w:lvl>
  </w:abstractNum>
  <w:abstractNum w:abstractNumId="1153">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54">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155">
    <w:nsid w:val="6CA705E6"/>
    <w:multiLevelType w:val="hybridMultilevel"/>
    <w:tmpl w:val="ED08D27E"/>
    <w:lvl w:ilvl="0" w:tplc="F47A6D06">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6">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57">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58">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59">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0">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161">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62">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163">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4">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5">
    <w:nsid w:val="6D5518CC"/>
    <w:multiLevelType w:val="multilevel"/>
    <w:tmpl w:val="46B88878"/>
    <w:lvl w:ilvl="0">
      <w:start w:val="483"/>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6">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7">
    <w:nsid w:val="6DAA63AE"/>
    <w:multiLevelType w:val="multilevel"/>
    <w:tmpl w:val="C1E4C31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68">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9">
    <w:nsid w:val="6DF34312"/>
    <w:multiLevelType w:val="hybridMultilevel"/>
    <w:tmpl w:val="F192F55A"/>
    <w:lvl w:ilvl="0" w:tplc="2620DEA8">
      <w:start w:val="1"/>
      <w:numFmt w:val="decimal"/>
      <w:lvlText w:val="%1."/>
      <w:lvlJc w:val="left"/>
      <w:pPr>
        <w:tabs>
          <w:tab w:val="num" w:pos="420"/>
        </w:tabs>
        <w:ind w:left="420" w:hanging="420"/>
      </w:pPr>
      <w:rPr>
        <w:b w:val="0"/>
        <w:color w:val="auto"/>
      </w:rPr>
    </w:lvl>
    <w:lvl w:ilvl="1" w:tplc="79C60E74">
      <w:start w:val="2"/>
      <w:numFmt w:val="upperRoman"/>
      <w:lvlText w:val="%2."/>
      <w:lvlJc w:val="left"/>
      <w:pPr>
        <w:tabs>
          <w:tab w:val="num" w:pos="0"/>
        </w:tabs>
        <w:ind w:left="0" w:firstLine="0"/>
      </w:pPr>
      <w:rPr>
        <w:rFonts w:hint="eastAsia"/>
      </w:rPr>
    </w:lvl>
    <w:lvl w:ilvl="2" w:tplc="0409001B" w:tentative="1">
      <w:start w:val="1"/>
      <w:numFmt w:val="lowerRoman"/>
      <w:lvlText w:val="%3."/>
      <w:lvlJc w:val="right"/>
      <w:pPr>
        <w:tabs>
          <w:tab w:val="num" w:pos="-340"/>
        </w:tabs>
        <w:ind w:left="-340" w:hanging="420"/>
      </w:pPr>
    </w:lvl>
    <w:lvl w:ilvl="3" w:tplc="0409000F" w:tentative="1">
      <w:start w:val="1"/>
      <w:numFmt w:val="decimal"/>
      <w:lvlText w:val="%4."/>
      <w:lvlJc w:val="left"/>
      <w:pPr>
        <w:tabs>
          <w:tab w:val="num" w:pos="80"/>
        </w:tabs>
        <w:ind w:left="80" w:hanging="420"/>
      </w:pPr>
    </w:lvl>
    <w:lvl w:ilvl="4" w:tplc="04090019" w:tentative="1">
      <w:start w:val="1"/>
      <w:numFmt w:val="lowerLetter"/>
      <w:lvlText w:val="%5)"/>
      <w:lvlJc w:val="left"/>
      <w:pPr>
        <w:tabs>
          <w:tab w:val="num" w:pos="500"/>
        </w:tabs>
        <w:ind w:left="500" w:hanging="420"/>
      </w:pPr>
    </w:lvl>
    <w:lvl w:ilvl="5" w:tplc="0409001B" w:tentative="1">
      <w:start w:val="1"/>
      <w:numFmt w:val="lowerRoman"/>
      <w:lvlText w:val="%6."/>
      <w:lvlJc w:val="right"/>
      <w:pPr>
        <w:tabs>
          <w:tab w:val="num" w:pos="920"/>
        </w:tabs>
        <w:ind w:left="920" w:hanging="420"/>
      </w:pPr>
    </w:lvl>
    <w:lvl w:ilvl="6" w:tplc="0409000F" w:tentative="1">
      <w:start w:val="1"/>
      <w:numFmt w:val="decimal"/>
      <w:lvlText w:val="%7."/>
      <w:lvlJc w:val="left"/>
      <w:pPr>
        <w:tabs>
          <w:tab w:val="num" w:pos="1340"/>
        </w:tabs>
        <w:ind w:left="1340" w:hanging="420"/>
      </w:pPr>
    </w:lvl>
    <w:lvl w:ilvl="7" w:tplc="04090019" w:tentative="1">
      <w:start w:val="1"/>
      <w:numFmt w:val="lowerLetter"/>
      <w:lvlText w:val="%8)"/>
      <w:lvlJc w:val="left"/>
      <w:pPr>
        <w:tabs>
          <w:tab w:val="num" w:pos="1760"/>
        </w:tabs>
        <w:ind w:left="1760" w:hanging="420"/>
      </w:pPr>
    </w:lvl>
    <w:lvl w:ilvl="8" w:tplc="0409001B" w:tentative="1">
      <w:start w:val="1"/>
      <w:numFmt w:val="lowerRoman"/>
      <w:lvlText w:val="%9."/>
      <w:lvlJc w:val="right"/>
      <w:pPr>
        <w:tabs>
          <w:tab w:val="num" w:pos="2180"/>
        </w:tabs>
        <w:ind w:left="2180" w:hanging="420"/>
      </w:pPr>
    </w:lvl>
  </w:abstractNum>
  <w:abstractNum w:abstractNumId="117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71">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172">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3">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74">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75">
    <w:nsid w:val="6E806708"/>
    <w:multiLevelType w:val="singleLevel"/>
    <w:tmpl w:val="E2B4B80C"/>
    <w:lvl w:ilvl="0">
      <w:start w:val="1"/>
      <w:numFmt w:val="lowerLetter"/>
      <w:lvlText w:val="%1."/>
      <w:lvlJc w:val="left"/>
      <w:pPr>
        <w:tabs>
          <w:tab w:val="num" w:pos="780"/>
        </w:tabs>
        <w:ind w:left="780" w:hanging="300"/>
      </w:pPr>
      <w:rPr>
        <w:rFonts w:hint="default"/>
      </w:rPr>
    </w:lvl>
  </w:abstractNum>
  <w:abstractNum w:abstractNumId="1176">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7">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8">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9">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80">
    <w:nsid w:val="6ED951D3"/>
    <w:multiLevelType w:val="hybridMultilevel"/>
    <w:tmpl w:val="5E428C62"/>
    <w:lvl w:ilvl="0" w:tplc="2146CCE4">
      <w:start w:val="1"/>
      <w:numFmt w:val="decimal"/>
      <w:lvlText w:val="%1、"/>
      <w:lvlJc w:val="left"/>
      <w:pPr>
        <w:tabs>
          <w:tab w:val="num" w:pos="720"/>
        </w:tabs>
        <w:ind w:left="720" w:hanging="720"/>
      </w:pPr>
      <w:rPr>
        <w:rFonts w:hint="eastAsia"/>
      </w:rPr>
    </w:lvl>
    <w:lvl w:ilvl="1" w:tplc="20D63DDC">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1">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2">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18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4">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85">
    <w:nsid w:val="6FB42CCB"/>
    <w:multiLevelType w:val="multilevel"/>
    <w:tmpl w:val="46B88878"/>
    <w:lvl w:ilvl="0">
      <w:start w:val="187"/>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6">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7">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8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89">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0">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91">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2">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3">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4">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195">
    <w:nsid w:val="705826EE"/>
    <w:multiLevelType w:val="singleLevel"/>
    <w:tmpl w:val="7C94D1B0"/>
    <w:lvl w:ilvl="0">
      <w:start w:val="1"/>
      <w:numFmt w:val="lowerLetter"/>
      <w:lvlText w:val="%1．"/>
      <w:lvlJc w:val="left"/>
      <w:pPr>
        <w:tabs>
          <w:tab w:val="num" w:pos="315"/>
        </w:tabs>
        <w:ind w:left="315" w:hanging="315"/>
      </w:pPr>
      <w:rPr>
        <w:rFonts w:hint="default"/>
      </w:rPr>
    </w:lvl>
  </w:abstractNum>
  <w:abstractNum w:abstractNumId="1196">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7">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8">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9">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200">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1">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202">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203">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04">
    <w:nsid w:val="70EF4C65"/>
    <w:multiLevelType w:val="hybridMultilevel"/>
    <w:tmpl w:val="348AEC6E"/>
    <w:lvl w:ilvl="0" w:tplc="636C83B4">
      <w:start w:val="262"/>
      <w:numFmt w:val="decimal"/>
      <w:lvlText w:val="%1."/>
      <w:lvlJc w:val="left"/>
      <w:pPr>
        <w:tabs>
          <w:tab w:val="num" w:pos="375"/>
        </w:tabs>
        <w:ind w:left="375" w:hanging="375"/>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5">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206">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207">
    <w:nsid w:val="71581D54"/>
    <w:multiLevelType w:val="singleLevel"/>
    <w:tmpl w:val="90EC1F8C"/>
    <w:lvl w:ilvl="0">
      <w:start w:val="1"/>
      <w:numFmt w:val="lowerLetter"/>
      <w:lvlText w:val="%1."/>
      <w:lvlJc w:val="left"/>
      <w:pPr>
        <w:tabs>
          <w:tab w:val="num" w:pos="405"/>
        </w:tabs>
        <w:ind w:left="405" w:hanging="405"/>
      </w:pPr>
      <w:rPr>
        <w:rFonts w:hint="default"/>
      </w:rPr>
    </w:lvl>
  </w:abstractNum>
  <w:abstractNum w:abstractNumId="1208">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209">
    <w:nsid w:val="7182489A"/>
    <w:multiLevelType w:val="singleLevel"/>
    <w:tmpl w:val="DA688280"/>
    <w:lvl w:ilvl="0">
      <w:start w:val="1"/>
      <w:numFmt w:val="lowerLetter"/>
      <w:lvlText w:val="%1."/>
      <w:lvlJc w:val="left"/>
      <w:pPr>
        <w:tabs>
          <w:tab w:val="num" w:pos="405"/>
        </w:tabs>
        <w:ind w:left="405" w:hanging="285"/>
      </w:pPr>
      <w:rPr>
        <w:rFonts w:hint="default"/>
      </w:rPr>
    </w:lvl>
  </w:abstractNum>
  <w:abstractNum w:abstractNumId="1210">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1">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2">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213">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4">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5">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6">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217">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21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19">
    <w:nsid w:val="72C70C8E"/>
    <w:multiLevelType w:val="hybridMultilevel"/>
    <w:tmpl w:val="150CB084"/>
    <w:lvl w:ilvl="0" w:tplc="FFFFFFFF">
      <w:start w:val="1"/>
      <w:numFmt w:val="lowerLetter"/>
      <w:lvlText w:val="%1."/>
      <w:lvlJc w:val="left"/>
      <w:pPr>
        <w:tabs>
          <w:tab w:val="num" w:pos="405"/>
        </w:tabs>
        <w:ind w:left="405" w:hanging="40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20">
    <w:nsid w:val="72CB17A0"/>
    <w:multiLevelType w:val="multilevel"/>
    <w:tmpl w:val="46B88878"/>
    <w:lvl w:ilvl="0">
      <w:start w:val="275"/>
      <w:numFmt w:val="decimal"/>
      <w:lvlText w:val="%1."/>
      <w:lvlJc w:val="left"/>
      <w:pPr>
        <w:tabs>
          <w:tab w:val="num" w:pos="396"/>
        </w:tabs>
        <w:ind w:left="396" w:hanging="396"/>
      </w:pPr>
      <w:rPr>
        <w:rFonts w:hint="default"/>
        <w:b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1">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222">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23">
    <w:nsid w:val="730B434E"/>
    <w:multiLevelType w:val="singleLevel"/>
    <w:tmpl w:val="B3F07878"/>
    <w:lvl w:ilvl="0">
      <w:start w:val="1"/>
      <w:numFmt w:val="lowerLetter"/>
      <w:lvlText w:val="%1."/>
      <w:lvlJc w:val="left"/>
      <w:pPr>
        <w:tabs>
          <w:tab w:val="num" w:pos="285"/>
        </w:tabs>
        <w:ind w:left="285" w:hanging="285"/>
      </w:pPr>
      <w:rPr>
        <w:rFonts w:hint="default"/>
      </w:rPr>
    </w:lvl>
  </w:abstractNum>
  <w:abstractNum w:abstractNumId="122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5">
    <w:nsid w:val="731E0BDE"/>
    <w:multiLevelType w:val="hybridMultilevel"/>
    <w:tmpl w:val="A8A8CF10"/>
    <w:lvl w:ilvl="0" w:tplc="A4BEA4A4">
      <w:start w:val="3"/>
      <w:numFmt w:val="decimal"/>
      <w:lvlText w:val="%1．"/>
      <w:lvlJc w:val="left"/>
      <w:pPr>
        <w:tabs>
          <w:tab w:val="num" w:pos="1272"/>
        </w:tabs>
        <w:ind w:left="1272" w:hanging="720"/>
      </w:pPr>
      <w:rPr>
        <w:rFonts w:hint="eastAsia"/>
      </w:rPr>
    </w:lvl>
    <w:lvl w:ilvl="1" w:tplc="04090019" w:tentative="1">
      <w:start w:val="1"/>
      <w:numFmt w:val="lowerLetter"/>
      <w:lvlText w:val="%2)"/>
      <w:lvlJc w:val="left"/>
      <w:pPr>
        <w:tabs>
          <w:tab w:val="num" w:pos="1392"/>
        </w:tabs>
        <w:ind w:left="1392" w:hanging="420"/>
      </w:pPr>
    </w:lvl>
    <w:lvl w:ilvl="2" w:tplc="0409001B" w:tentative="1">
      <w:start w:val="1"/>
      <w:numFmt w:val="lowerRoman"/>
      <w:lvlText w:val="%3."/>
      <w:lvlJc w:val="right"/>
      <w:pPr>
        <w:tabs>
          <w:tab w:val="num" w:pos="1812"/>
        </w:tabs>
        <w:ind w:left="1812" w:hanging="420"/>
      </w:pPr>
    </w:lvl>
    <w:lvl w:ilvl="3" w:tplc="0409000F" w:tentative="1">
      <w:start w:val="1"/>
      <w:numFmt w:val="decimal"/>
      <w:lvlText w:val="%4."/>
      <w:lvlJc w:val="left"/>
      <w:pPr>
        <w:tabs>
          <w:tab w:val="num" w:pos="2232"/>
        </w:tabs>
        <w:ind w:left="2232" w:hanging="420"/>
      </w:pPr>
    </w:lvl>
    <w:lvl w:ilvl="4" w:tplc="04090019" w:tentative="1">
      <w:start w:val="1"/>
      <w:numFmt w:val="lowerLetter"/>
      <w:lvlText w:val="%5)"/>
      <w:lvlJc w:val="left"/>
      <w:pPr>
        <w:tabs>
          <w:tab w:val="num" w:pos="2652"/>
        </w:tabs>
        <w:ind w:left="2652" w:hanging="420"/>
      </w:pPr>
    </w:lvl>
    <w:lvl w:ilvl="5" w:tplc="0409001B" w:tentative="1">
      <w:start w:val="1"/>
      <w:numFmt w:val="lowerRoman"/>
      <w:lvlText w:val="%6."/>
      <w:lvlJc w:val="right"/>
      <w:pPr>
        <w:tabs>
          <w:tab w:val="num" w:pos="3072"/>
        </w:tabs>
        <w:ind w:left="3072" w:hanging="420"/>
      </w:pPr>
    </w:lvl>
    <w:lvl w:ilvl="6" w:tplc="0409000F" w:tentative="1">
      <w:start w:val="1"/>
      <w:numFmt w:val="decimal"/>
      <w:lvlText w:val="%7."/>
      <w:lvlJc w:val="left"/>
      <w:pPr>
        <w:tabs>
          <w:tab w:val="num" w:pos="3492"/>
        </w:tabs>
        <w:ind w:left="3492" w:hanging="420"/>
      </w:pPr>
    </w:lvl>
    <w:lvl w:ilvl="7" w:tplc="04090019" w:tentative="1">
      <w:start w:val="1"/>
      <w:numFmt w:val="lowerLetter"/>
      <w:lvlText w:val="%8)"/>
      <w:lvlJc w:val="left"/>
      <w:pPr>
        <w:tabs>
          <w:tab w:val="num" w:pos="3912"/>
        </w:tabs>
        <w:ind w:left="3912" w:hanging="420"/>
      </w:pPr>
    </w:lvl>
    <w:lvl w:ilvl="8" w:tplc="0409001B" w:tentative="1">
      <w:start w:val="1"/>
      <w:numFmt w:val="lowerRoman"/>
      <w:lvlText w:val="%9."/>
      <w:lvlJc w:val="right"/>
      <w:pPr>
        <w:tabs>
          <w:tab w:val="num" w:pos="4332"/>
        </w:tabs>
        <w:ind w:left="4332" w:hanging="420"/>
      </w:pPr>
    </w:lvl>
  </w:abstractNum>
  <w:abstractNum w:abstractNumId="1226">
    <w:nsid w:val="73456E92"/>
    <w:multiLevelType w:val="hybridMultilevel"/>
    <w:tmpl w:val="5B7C094E"/>
    <w:lvl w:ilvl="0" w:tplc="3C061FDA">
      <w:start w:val="1"/>
      <w:numFmt w:val="bullet"/>
      <w:lvlText w:val=""/>
      <w:lvlJc w:val="left"/>
      <w:pPr>
        <w:tabs>
          <w:tab w:val="num" w:pos="420"/>
        </w:tabs>
        <w:ind w:left="420" w:hanging="250"/>
      </w:pPr>
      <w:rPr>
        <w:rFonts w:ascii="Wingdings" w:hAnsi="Wingdings" w:hint="default"/>
        <w:sz w:val="13"/>
        <w:szCs w:val="13"/>
      </w:rPr>
    </w:lvl>
    <w:lvl w:ilvl="1" w:tplc="6376151C">
      <w:numFmt w:val="bullet"/>
      <w:lvlText w:val="-"/>
      <w:lvlJc w:val="left"/>
      <w:pPr>
        <w:tabs>
          <w:tab w:val="num" w:pos="360"/>
        </w:tabs>
        <w:ind w:left="360" w:hanging="360"/>
      </w:pPr>
      <w:rPr>
        <w:rFonts w:ascii="Times New Roman" w:eastAsia="SimSun" w:hAnsi="Times New Roman" w:cs="Times New Roman"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22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8">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229">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23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23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23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23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37">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238">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39">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0">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241">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2">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3">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4">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45">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4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7">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8">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249">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50">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1">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2">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53">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54">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5">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256">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7">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258">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9">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260">
    <w:nsid w:val="762B1081"/>
    <w:multiLevelType w:val="multilevel"/>
    <w:tmpl w:val="46B88878"/>
    <w:lvl w:ilvl="0">
      <w:start w:val="12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1">
    <w:nsid w:val="767A6D9D"/>
    <w:multiLevelType w:val="hybridMultilevel"/>
    <w:tmpl w:val="028ABCAC"/>
    <w:lvl w:ilvl="0" w:tplc="A13621DA">
      <w:start w:val="2"/>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262">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3">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4">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65">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6">
    <w:nsid w:val="77235490"/>
    <w:multiLevelType w:val="multilevel"/>
    <w:tmpl w:val="46B88878"/>
    <w:lvl w:ilvl="0">
      <w:start w:val="137"/>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7">
    <w:nsid w:val="77281BB5"/>
    <w:multiLevelType w:val="hybridMultilevel"/>
    <w:tmpl w:val="F3525402"/>
    <w:lvl w:ilvl="0" w:tplc="4B22A45C">
      <w:start w:val="1"/>
      <w:numFmt w:val="decimal"/>
      <w:lvlText w:val="（%1）"/>
      <w:lvlJc w:val="left"/>
      <w:pPr>
        <w:tabs>
          <w:tab w:val="num" w:pos="1393"/>
        </w:tabs>
        <w:ind w:left="1393" w:hanging="1035"/>
      </w:pPr>
      <w:rPr>
        <w:rFonts w:hint="eastAsia"/>
      </w:rPr>
    </w:lvl>
    <w:lvl w:ilvl="1" w:tplc="04090019" w:tentative="1">
      <w:start w:val="1"/>
      <w:numFmt w:val="lowerLetter"/>
      <w:lvlText w:val="%2)"/>
      <w:lvlJc w:val="left"/>
      <w:pPr>
        <w:tabs>
          <w:tab w:val="num" w:pos="1198"/>
        </w:tabs>
        <w:ind w:left="1198" w:hanging="420"/>
      </w:pPr>
    </w:lvl>
    <w:lvl w:ilvl="2" w:tplc="0409001B" w:tentative="1">
      <w:start w:val="1"/>
      <w:numFmt w:val="lowerRoman"/>
      <w:lvlText w:val="%3."/>
      <w:lvlJc w:val="right"/>
      <w:pPr>
        <w:tabs>
          <w:tab w:val="num" w:pos="1618"/>
        </w:tabs>
        <w:ind w:left="1618" w:hanging="420"/>
      </w:pPr>
    </w:lvl>
    <w:lvl w:ilvl="3" w:tplc="0409000F" w:tentative="1">
      <w:start w:val="1"/>
      <w:numFmt w:val="decimal"/>
      <w:lvlText w:val="%4."/>
      <w:lvlJc w:val="left"/>
      <w:pPr>
        <w:tabs>
          <w:tab w:val="num" w:pos="2038"/>
        </w:tabs>
        <w:ind w:left="2038" w:hanging="420"/>
      </w:pPr>
    </w:lvl>
    <w:lvl w:ilvl="4" w:tplc="04090019" w:tentative="1">
      <w:start w:val="1"/>
      <w:numFmt w:val="lowerLetter"/>
      <w:lvlText w:val="%5)"/>
      <w:lvlJc w:val="left"/>
      <w:pPr>
        <w:tabs>
          <w:tab w:val="num" w:pos="2458"/>
        </w:tabs>
        <w:ind w:left="2458" w:hanging="420"/>
      </w:pPr>
    </w:lvl>
    <w:lvl w:ilvl="5" w:tplc="0409001B" w:tentative="1">
      <w:start w:val="1"/>
      <w:numFmt w:val="lowerRoman"/>
      <w:lvlText w:val="%6."/>
      <w:lvlJc w:val="right"/>
      <w:pPr>
        <w:tabs>
          <w:tab w:val="num" w:pos="2878"/>
        </w:tabs>
        <w:ind w:left="2878" w:hanging="420"/>
      </w:pPr>
    </w:lvl>
    <w:lvl w:ilvl="6" w:tplc="0409000F" w:tentative="1">
      <w:start w:val="1"/>
      <w:numFmt w:val="decimal"/>
      <w:lvlText w:val="%7."/>
      <w:lvlJc w:val="left"/>
      <w:pPr>
        <w:tabs>
          <w:tab w:val="num" w:pos="3298"/>
        </w:tabs>
        <w:ind w:left="3298" w:hanging="420"/>
      </w:pPr>
    </w:lvl>
    <w:lvl w:ilvl="7" w:tplc="04090019" w:tentative="1">
      <w:start w:val="1"/>
      <w:numFmt w:val="lowerLetter"/>
      <w:lvlText w:val="%8)"/>
      <w:lvlJc w:val="left"/>
      <w:pPr>
        <w:tabs>
          <w:tab w:val="num" w:pos="3718"/>
        </w:tabs>
        <w:ind w:left="3718" w:hanging="420"/>
      </w:pPr>
    </w:lvl>
    <w:lvl w:ilvl="8" w:tplc="0409001B" w:tentative="1">
      <w:start w:val="1"/>
      <w:numFmt w:val="lowerRoman"/>
      <w:lvlText w:val="%9."/>
      <w:lvlJc w:val="right"/>
      <w:pPr>
        <w:tabs>
          <w:tab w:val="num" w:pos="4138"/>
        </w:tabs>
        <w:ind w:left="4138" w:hanging="420"/>
      </w:pPr>
    </w:lvl>
  </w:abstractNum>
  <w:abstractNum w:abstractNumId="1268">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9">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270">
    <w:nsid w:val="77293C41"/>
    <w:multiLevelType w:val="multilevel"/>
    <w:tmpl w:val="58B80E96"/>
    <w:lvl w:ilvl="0">
      <w:start w:val="493"/>
      <w:numFmt w:val="decimal"/>
      <w:lvlText w:val="%1."/>
      <w:lvlJc w:val="left"/>
      <w:pPr>
        <w:tabs>
          <w:tab w:val="num" w:pos="360"/>
        </w:tabs>
        <w:ind w:left="360" w:hanging="375"/>
      </w:pPr>
      <w:rPr>
        <w:rFonts w:hint="default"/>
      </w:rPr>
    </w:lvl>
    <w:lvl w:ilvl="1">
      <w:start w:val="1"/>
      <w:numFmt w:val="lowerLetter"/>
      <w:lvlText w:val="%2."/>
      <w:lvlJc w:val="left"/>
      <w:pPr>
        <w:tabs>
          <w:tab w:val="num" w:pos="1065"/>
        </w:tabs>
        <w:ind w:left="1065" w:hanging="360"/>
      </w:pPr>
    </w:lvl>
    <w:lvl w:ilvl="2">
      <w:start w:val="1"/>
      <w:numFmt w:val="lowerRoman"/>
      <w:lvlText w:val="%3."/>
      <w:lvlJc w:val="right"/>
      <w:pPr>
        <w:tabs>
          <w:tab w:val="num" w:pos="1785"/>
        </w:tabs>
        <w:ind w:left="1785" w:hanging="180"/>
      </w:pPr>
    </w:lvl>
    <w:lvl w:ilvl="3">
      <w:start w:val="1"/>
      <w:numFmt w:val="decimal"/>
      <w:lvlText w:val="%4."/>
      <w:lvlJc w:val="left"/>
      <w:pPr>
        <w:tabs>
          <w:tab w:val="num" w:pos="2505"/>
        </w:tabs>
        <w:ind w:left="2505" w:hanging="360"/>
      </w:pPr>
    </w:lvl>
    <w:lvl w:ilvl="4">
      <w:start w:val="1"/>
      <w:numFmt w:val="lowerLetter"/>
      <w:lvlText w:val="%5."/>
      <w:lvlJc w:val="left"/>
      <w:pPr>
        <w:tabs>
          <w:tab w:val="num" w:pos="3225"/>
        </w:tabs>
        <w:ind w:left="3225" w:hanging="360"/>
      </w:pPr>
    </w:lvl>
    <w:lvl w:ilvl="5">
      <w:start w:val="1"/>
      <w:numFmt w:val="lowerRoman"/>
      <w:lvlText w:val="%6."/>
      <w:lvlJc w:val="right"/>
      <w:pPr>
        <w:tabs>
          <w:tab w:val="num" w:pos="3945"/>
        </w:tabs>
        <w:ind w:left="3945" w:hanging="180"/>
      </w:pPr>
    </w:lvl>
    <w:lvl w:ilvl="6">
      <w:start w:val="1"/>
      <w:numFmt w:val="decimal"/>
      <w:lvlText w:val="%7."/>
      <w:lvlJc w:val="left"/>
      <w:pPr>
        <w:tabs>
          <w:tab w:val="num" w:pos="4665"/>
        </w:tabs>
        <w:ind w:left="4665" w:hanging="360"/>
      </w:pPr>
    </w:lvl>
    <w:lvl w:ilvl="7">
      <w:start w:val="1"/>
      <w:numFmt w:val="lowerLetter"/>
      <w:lvlText w:val="%8."/>
      <w:lvlJc w:val="left"/>
      <w:pPr>
        <w:tabs>
          <w:tab w:val="num" w:pos="5385"/>
        </w:tabs>
        <w:ind w:left="5385" w:hanging="360"/>
      </w:pPr>
    </w:lvl>
    <w:lvl w:ilvl="8">
      <w:start w:val="1"/>
      <w:numFmt w:val="lowerRoman"/>
      <w:lvlText w:val="%9."/>
      <w:lvlJc w:val="right"/>
      <w:pPr>
        <w:tabs>
          <w:tab w:val="num" w:pos="6105"/>
        </w:tabs>
        <w:ind w:left="6105" w:hanging="180"/>
      </w:pPr>
    </w:lvl>
  </w:abstractNum>
  <w:abstractNum w:abstractNumId="1271">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2">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273">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274">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5">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6">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7">
    <w:nsid w:val="77B66314"/>
    <w:multiLevelType w:val="hybridMultilevel"/>
    <w:tmpl w:val="D2FEE67E"/>
    <w:lvl w:ilvl="0" w:tplc="BCD482FE">
      <w:start w:val="2"/>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8">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280">
    <w:nsid w:val="784C540C"/>
    <w:multiLevelType w:val="hybridMultilevel"/>
    <w:tmpl w:val="1C544430"/>
    <w:lvl w:ilvl="0" w:tplc="505EAB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28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283">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8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86">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7">
    <w:nsid w:val="79365136"/>
    <w:multiLevelType w:val="hybridMultilevel"/>
    <w:tmpl w:val="862E3886"/>
    <w:lvl w:ilvl="0" w:tplc="F47A6D06">
      <w:start w:val="1"/>
      <w:numFmt w:val="lowerLetter"/>
      <w:lvlText w:val="%1."/>
      <w:lvlJc w:val="left"/>
      <w:pPr>
        <w:tabs>
          <w:tab w:val="num" w:pos="840"/>
        </w:tabs>
        <w:ind w:left="840" w:hanging="420"/>
      </w:pPr>
      <w:rPr>
        <w:rFonts w:hint="eastAsia"/>
      </w:rPr>
    </w:lvl>
    <w:lvl w:ilvl="1" w:tplc="D54EB824">
      <w:start w:val="485"/>
      <w:numFmt w:val="decimal"/>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8">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89">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290">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1">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2">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293">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4">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5">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96">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29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298">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299">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00">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1">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302">
    <w:nsid w:val="7A30518C"/>
    <w:multiLevelType w:val="hybridMultilevel"/>
    <w:tmpl w:val="63DC8F06"/>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03">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4">
    <w:nsid w:val="7A462DA0"/>
    <w:multiLevelType w:val="singleLevel"/>
    <w:tmpl w:val="04090015"/>
    <w:lvl w:ilvl="0">
      <w:start w:val="6"/>
      <w:numFmt w:val="upperLetter"/>
      <w:lvlText w:val="%1."/>
      <w:lvlJc w:val="left"/>
      <w:pPr>
        <w:tabs>
          <w:tab w:val="num" w:pos="360"/>
        </w:tabs>
        <w:ind w:left="360" w:hanging="360"/>
      </w:pPr>
      <w:rPr>
        <w:rFonts w:hint="default"/>
      </w:rPr>
    </w:lvl>
  </w:abstractNum>
  <w:abstractNum w:abstractNumId="1305">
    <w:nsid w:val="7A486CA4"/>
    <w:multiLevelType w:val="multilevel"/>
    <w:tmpl w:val="C17EB6E0"/>
    <w:lvl w:ilvl="0">
      <w:start w:val="1"/>
      <w:numFmt w:val="lowerLetter"/>
      <w:lvlText w:val="%1."/>
      <w:lvlJc w:val="left"/>
      <w:pPr>
        <w:tabs>
          <w:tab w:val="num" w:pos="763"/>
        </w:tabs>
        <w:ind w:left="763" w:hanging="360"/>
      </w:pPr>
      <w:rPr>
        <w:rFonts w:hint="default"/>
      </w:rPr>
    </w:lvl>
    <w:lvl w:ilvl="1" w:tentative="1">
      <w:start w:val="1"/>
      <w:numFmt w:val="lowerLetter"/>
      <w:lvlText w:val="%2."/>
      <w:lvlJc w:val="left"/>
      <w:pPr>
        <w:tabs>
          <w:tab w:val="num" w:pos="1483"/>
        </w:tabs>
        <w:ind w:left="1483" w:hanging="360"/>
      </w:pPr>
    </w:lvl>
    <w:lvl w:ilvl="2" w:tentative="1">
      <w:start w:val="1"/>
      <w:numFmt w:val="lowerRoman"/>
      <w:lvlText w:val="%3."/>
      <w:lvlJc w:val="right"/>
      <w:pPr>
        <w:tabs>
          <w:tab w:val="num" w:pos="2203"/>
        </w:tabs>
        <w:ind w:left="2203" w:hanging="180"/>
      </w:pPr>
    </w:lvl>
    <w:lvl w:ilvl="3" w:tentative="1">
      <w:start w:val="1"/>
      <w:numFmt w:val="decimal"/>
      <w:lvlText w:val="%4."/>
      <w:lvlJc w:val="left"/>
      <w:pPr>
        <w:tabs>
          <w:tab w:val="num" w:pos="2923"/>
        </w:tabs>
        <w:ind w:left="2923" w:hanging="360"/>
      </w:pPr>
    </w:lvl>
    <w:lvl w:ilvl="4" w:tentative="1">
      <w:start w:val="1"/>
      <w:numFmt w:val="lowerLetter"/>
      <w:lvlText w:val="%5."/>
      <w:lvlJc w:val="left"/>
      <w:pPr>
        <w:tabs>
          <w:tab w:val="num" w:pos="3643"/>
        </w:tabs>
        <w:ind w:left="3643" w:hanging="360"/>
      </w:pPr>
    </w:lvl>
    <w:lvl w:ilvl="5" w:tentative="1">
      <w:start w:val="1"/>
      <w:numFmt w:val="lowerRoman"/>
      <w:lvlText w:val="%6."/>
      <w:lvlJc w:val="right"/>
      <w:pPr>
        <w:tabs>
          <w:tab w:val="num" w:pos="4363"/>
        </w:tabs>
        <w:ind w:left="4363" w:hanging="180"/>
      </w:pPr>
    </w:lvl>
    <w:lvl w:ilvl="6" w:tentative="1">
      <w:start w:val="1"/>
      <w:numFmt w:val="decimal"/>
      <w:lvlText w:val="%7."/>
      <w:lvlJc w:val="left"/>
      <w:pPr>
        <w:tabs>
          <w:tab w:val="num" w:pos="5083"/>
        </w:tabs>
        <w:ind w:left="5083" w:hanging="360"/>
      </w:pPr>
    </w:lvl>
    <w:lvl w:ilvl="7" w:tentative="1">
      <w:start w:val="1"/>
      <w:numFmt w:val="lowerLetter"/>
      <w:lvlText w:val="%8."/>
      <w:lvlJc w:val="left"/>
      <w:pPr>
        <w:tabs>
          <w:tab w:val="num" w:pos="5803"/>
        </w:tabs>
        <w:ind w:left="5803" w:hanging="360"/>
      </w:pPr>
    </w:lvl>
    <w:lvl w:ilvl="8" w:tentative="1">
      <w:start w:val="1"/>
      <w:numFmt w:val="lowerRoman"/>
      <w:lvlText w:val="%9."/>
      <w:lvlJc w:val="right"/>
      <w:pPr>
        <w:tabs>
          <w:tab w:val="num" w:pos="6523"/>
        </w:tabs>
        <w:ind w:left="6523" w:hanging="180"/>
      </w:pPr>
    </w:lvl>
  </w:abstractNum>
  <w:abstractNum w:abstractNumId="1306">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307">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8">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09">
    <w:nsid w:val="7ABE118E"/>
    <w:multiLevelType w:val="hybridMultilevel"/>
    <w:tmpl w:val="1CCC1390"/>
    <w:lvl w:ilvl="0" w:tplc="B0F63EBC">
      <w:start w:val="359"/>
      <w:numFmt w:val="bullet"/>
      <w:lvlText w:val="■"/>
      <w:lvlJc w:val="left"/>
      <w:pPr>
        <w:tabs>
          <w:tab w:val="num" w:pos="360"/>
        </w:tabs>
        <w:ind w:left="360" w:hanging="360"/>
      </w:pPr>
      <w:rPr>
        <w:rFonts w:ascii="SimSun" w:eastAsia="SimSun" w:hAnsi="SimSun"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0">
    <w:nsid w:val="7AC94729"/>
    <w:multiLevelType w:val="multilevel"/>
    <w:tmpl w:val="C60C57D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1">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312">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31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31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5">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6">
    <w:nsid w:val="7B9F4C52"/>
    <w:multiLevelType w:val="singleLevel"/>
    <w:tmpl w:val="469E76E4"/>
    <w:lvl w:ilvl="0">
      <w:numFmt w:val="bullet"/>
      <w:lvlText w:val="-"/>
      <w:lvlJc w:val="left"/>
      <w:pPr>
        <w:tabs>
          <w:tab w:val="num" w:pos="780"/>
        </w:tabs>
        <w:ind w:left="780" w:hanging="360"/>
      </w:pPr>
      <w:rPr>
        <w:rFonts w:hint="default"/>
      </w:rPr>
    </w:lvl>
  </w:abstractNum>
  <w:abstractNum w:abstractNumId="1317">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319">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20">
    <w:nsid w:val="7C1B7042"/>
    <w:multiLevelType w:val="hybridMultilevel"/>
    <w:tmpl w:val="B062278A"/>
    <w:lvl w:ilvl="0" w:tplc="4D0C391E">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1">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2">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23">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324">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25">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326">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327">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328">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329">
    <w:nsid w:val="7D2D735F"/>
    <w:multiLevelType w:val="hybridMultilevel"/>
    <w:tmpl w:val="9162CC8A"/>
    <w:lvl w:ilvl="0" w:tplc="91224E5C">
      <w:start w:val="1"/>
      <w:numFmt w:val="decimal"/>
      <w:lvlText w:val="%1、"/>
      <w:lvlJc w:val="left"/>
      <w:pPr>
        <w:tabs>
          <w:tab w:val="num" w:pos="1515"/>
        </w:tabs>
        <w:ind w:left="1515" w:hanging="945"/>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330">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331">
    <w:nsid w:val="7D772035"/>
    <w:multiLevelType w:val="multilevel"/>
    <w:tmpl w:val="C8982430"/>
    <w:lvl w:ilvl="0">
      <w:start w:val="1"/>
      <w:numFmt w:val="decimal"/>
      <w:lvlText w:val="%1."/>
      <w:lvlJc w:val="left"/>
      <w:pPr>
        <w:tabs>
          <w:tab w:val="num" w:pos="420"/>
        </w:tabs>
        <w:ind w:left="420" w:hanging="420"/>
      </w:pPr>
    </w:lvl>
    <w:lvl w:ilvl="1">
      <w:start w:val="2"/>
      <w:numFmt w:val="upperRoman"/>
      <w:lvlText w:val="%2."/>
      <w:lvlJc w:val="left"/>
      <w:pPr>
        <w:tabs>
          <w:tab w:val="num" w:pos="0"/>
        </w:tabs>
        <w:ind w:left="0" w:firstLine="0"/>
      </w:pPr>
      <w:rPr>
        <w:rFonts w:hint="eastAsia"/>
      </w:rPr>
    </w:lvl>
    <w:lvl w:ilvl="2">
      <w:start w:val="1"/>
      <w:numFmt w:val="lowerRoman"/>
      <w:lvlText w:val="%3."/>
      <w:lvlJc w:val="right"/>
      <w:pPr>
        <w:tabs>
          <w:tab w:val="num" w:pos="-340"/>
        </w:tabs>
        <w:ind w:left="-340" w:hanging="420"/>
      </w:pPr>
    </w:lvl>
    <w:lvl w:ilvl="3">
      <w:start w:val="1"/>
      <w:numFmt w:val="decimal"/>
      <w:lvlText w:val="%4."/>
      <w:lvlJc w:val="left"/>
      <w:pPr>
        <w:tabs>
          <w:tab w:val="num" w:pos="80"/>
        </w:tabs>
        <w:ind w:left="80" w:hanging="420"/>
      </w:pPr>
    </w:lvl>
    <w:lvl w:ilvl="4">
      <w:start w:val="1"/>
      <w:numFmt w:val="lowerLetter"/>
      <w:lvlText w:val="%5)"/>
      <w:lvlJc w:val="left"/>
      <w:pPr>
        <w:tabs>
          <w:tab w:val="num" w:pos="500"/>
        </w:tabs>
        <w:ind w:left="500" w:hanging="420"/>
      </w:pPr>
    </w:lvl>
    <w:lvl w:ilvl="5">
      <w:start w:val="1"/>
      <w:numFmt w:val="lowerRoman"/>
      <w:lvlText w:val="%6."/>
      <w:lvlJc w:val="right"/>
      <w:pPr>
        <w:tabs>
          <w:tab w:val="num" w:pos="920"/>
        </w:tabs>
        <w:ind w:left="920" w:hanging="420"/>
      </w:pPr>
    </w:lvl>
    <w:lvl w:ilvl="6">
      <w:start w:val="1"/>
      <w:numFmt w:val="decimal"/>
      <w:lvlText w:val="%7."/>
      <w:lvlJc w:val="left"/>
      <w:pPr>
        <w:tabs>
          <w:tab w:val="num" w:pos="1340"/>
        </w:tabs>
        <w:ind w:left="1340" w:hanging="420"/>
      </w:pPr>
    </w:lvl>
    <w:lvl w:ilvl="7">
      <w:start w:val="1"/>
      <w:numFmt w:val="lowerLetter"/>
      <w:lvlText w:val="%8)"/>
      <w:lvlJc w:val="left"/>
      <w:pPr>
        <w:tabs>
          <w:tab w:val="num" w:pos="1760"/>
        </w:tabs>
        <w:ind w:left="1760" w:hanging="420"/>
      </w:pPr>
    </w:lvl>
    <w:lvl w:ilvl="8">
      <w:start w:val="1"/>
      <w:numFmt w:val="lowerRoman"/>
      <w:lvlText w:val="%9."/>
      <w:lvlJc w:val="right"/>
      <w:pPr>
        <w:tabs>
          <w:tab w:val="num" w:pos="2180"/>
        </w:tabs>
        <w:ind w:left="2180" w:hanging="420"/>
      </w:pPr>
    </w:lvl>
  </w:abstractNum>
  <w:abstractNum w:abstractNumId="1332">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33">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334">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335">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36">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337">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338">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9">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340">
    <w:nsid w:val="7DF73499"/>
    <w:multiLevelType w:val="hybridMultilevel"/>
    <w:tmpl w:val="BAA0430C"/>
    <w:lvl w:ilvl="0" w:tplc="DADA6694">
      <w:start w:val="1"/>
      <w:numFmt w:val="lowerLetter"/>
      <w:lvlText w:val="%1."/>
      <w:lvlJc w:val="left"/>
      <w:pPr>
        <w:tabs>
          <w:tab w:val="num" w:pos="841"/>
        </w:tabs>
        <w:ind w:left="841" w:hanging="420"/>
      </w:pPr>
      <w:rPr>
        <w:rFonts w:hint="eastAsia"/>
      </w:rPr>
    </w:lvl>
    <w:lvl w:ilvl="1" w:tplc="04090019" w:tentative="1">
      <w:start w:val="1"/>
      <w:numFmt w:val="lowerLetter"/>
      <w:lvlText w:val="%2)"/>
      <w:lvlJc w:val="left"/>
      <w:pPr>
        <w:tabs>
          <w:tab w:val="num" w:pos="1261"/>
        </w:tabs>
        <w:ind w:left="1261" w:hanging="420"/>
      </w:pPr>
    </w:lvl>
    <w:lvl w:ilvl="2" w:tplc="0409001B" w:tentative="1">
      <w:start w:val="1"/>
      <w:numFmt w:val="lowerRoman"/>
      <w:lvlText w:val="%3."/>
      <w:lvlJc w:val="right"/>
      <w:pPr>
        <w:tabs>
          <w:tab w:val="num" w:pos="1681"/>
        </w:tabs>
        <w:ind w:left="1681" w:hanging="420"/>
      </w:pPr>
    </w:lvl>
    <w:lvl w:ilvl="3" w:tplc="0409000F" w:tentative="1">
      <w:start w:val="1"/>
      <w:numFmt w:val="decimal"/>
      <w:lvlText w:val="%4."/>
      <w:lvlJc w:val="left"/>
      <w:pPr>
        <w:tabs>
          <w:tab w:val="num" w:pos="2101"/>
        </w:tabs>
        <w:ind w:left="2101" w:hanging="420"/>
      </w:pPr>
    </w:lvl>
    <w:lvl w:ilvl="4" w:tplc="04090019" w:tentative="1">
      <w:start w:val="1"/>
      <w:numFmt w:val="lowerLetter"/>
      <w:lvlText w:val="%5)"/>
      <w:lvlJc w:val="left"/>
      <w:pPr>
        <w:tabs>
          <w:tab w:val="num" w:pos="2521"/>
        </w:tabs>
        <w:ind w:left="2521" w:hanging="420"/>
      </w:pPr>
    </w:lvl>
    <w:lvl w:ilvl="5" w:tplc="0409001B" w:tentative="1">
      <w:start w:val="1"/>
      <w:numFmt w:val="lowerRoman"/>
      <w:lvlText w:val="%6."/>
      <w:lvlJc w:val="right"/>
      <w:pPr>
        <w:tabs>
          <w:tab w:val="num" w:pos="2941"/>
        </w:tabs>
        <w:ind w:left="2941" w:hanging="420"/>
      </w:pPr>
    </w:lvl>
    <w:lvl w:ilvl="6" w:tplc="0409000F" w:tentative="1">
      <w:start w:val="1"/>
      <w:numFmt w:val="decimal"/>
      <w:lvlText w:val="%7."/>
      <w:lvlJc w:val="left"/>
      <w:pPr>
        <w:tabs>
          <w:tab w:val="num" w:pos="3361"/>
        </w:tabs>
        <w:ind w:left="3361" w:hanging="420"/>
      </w:pPr>
    </w:lvl>
    <w:lvl w:ilvl="7" w:tplc="04090019" w:tentative="1">
      <w:start w:val="1"/>
      <w:numFmt w:val="lowerLetter"/>
      <w:lvlText w:val="%8)"/>
      <w:lvlJc w:val="left"/>
      <w:pPr>
        <w:tabs>
          <w:tab w:val="num" w:pos="3781"/>
        </w:tabs>
        <w:ind w:left="3781" w:hanging="420"/>
      </w:pPr>
    </w:lvl>
    <w:lvl w:ilvl="8" w:tplc="0409001B" w:tentative="1">
      <w:start w:val="1"/>
      <w:numFmt w:val="lowerRoman"/>
      <w:lvlText w:val="%9."/>
      <w:lvlJc w:val="right"/>
      <w:pPr>
        <w:tabs>
          <w:tab w:val="num" w:pos="4201"/>
        </w:tabs>
        <w:ind w:left="4201" w:hanging="420"/>
      </w:pPr>
    </w:lvl>
  </w:abstractNum>
  <w:abstractNum w:abstractNumId="1341">
    <w:nsid w:val="7E2C4163"/>
    <w:multiLevelType w:val="hybridMultilevel"/>
    <w:tmpl w:val="F01C0B90"/>
    <w:lvl w:ilvl="0" w:tplc="270073B2">
      <w:start w:val="1"/>
      <w:numFmt w:val="lowerLetter"/>
      <w:lvlText w:val="%1."/>
      <w:lvlJc w:val="left"/>
      <w:pPr>
        <w:tabs>
          <w:tab w:val="num" w:pos="1261"/>
        </w:tabs>
        <w:ind w:left="1261" w:hanging="420"/>
      </w:pPr>
      <w:rPr>
        <w:rFonts w:hint="eastAsia"/>
      </w:rPr>
    </w:lvl>
    <w:lvl w:ilvl="1" w:tplc="A0C0513A">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2">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343">
    <w:nsid w:val="7E5719CF"/>
    <w:multiLevelType w:val="hybridMultilevel"/>
    <w:tmpl w:val="94367F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44">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345">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346">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347">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348">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9">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350">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51">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2">
    <w:nsid w:val="7F1D58D8"/>
    <w:multiLevelType w:val="hybridMultilevel"/>
    <w:tmpl w:val="0D0E22A6"/>
    <w:lvl w:ilvl="0" w:tplc="BE6CD280">
      <w:start w:val="1"/>
      <w:numFmt w:val="decimal"/>
      <w:lvlText w:val="%1．"/>
      <w:lvlJc w:val="left"/>
      <w:pPr>
        <w:tabs>
          <w:tab w:val="num" w:pos="1290"/>
        </w:tabs>
        <w:ind w:left="1290" w:hanging="720"/>
      </w:pPr>
      <w:rPr>
        <w:rFonts w:hint="eastAsia"/>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353">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354">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355">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356">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357">
    <w:nsid w:val="7F842F8D"/>
    <w:multiLevelType w:val="singleLevel"/>
    <w:tmpl w:val="C4185F76"/>
    <w:lvl w:ilvl="0">
      <w:start w:val="1"/>
      <w:numFmt w:val="decimal"/>
      <w:lvlText w:val="%1."/>
      <w:lvlJc w:val="left"/>
      <w:pPr>
        <w:tabs>
          <w:tab w:val="num" w:pos="1110"/>
        </w:tabs>
        <w:ind w:left="1110" w:hanging="390"/>
      </w:pPr>
      <w:rPr>
        <w:rFonts w:hint="default"/>
      </w:rPr>
    </w:lvl>
  </w:abstractNum>
  <w:abstractNum w:abstractNumId="1358">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359">
    <w:nsid w:val="7FB87F23"/>
    <w:multiLevelType w:val="singleLevel"/>
    <w:tmpl w:val="626A02E4"/>
    <w:lvl w:ilvl="0">
      <w:start w:val="11"/>
      <w:numFmt w:val="upperLetter"/>
      <w:lvlText w:val="%1."/>
      <w:lvlJc w:val="left"/>
      <w:pPr>
        <w:tabs>
          <w:tab w:val="num" w:pos="432"/>
        </w:tabs>
        <w:ind w:left="432" w:hanging="432"/>
      </w:pPr>
      <w:rPr>
        <w:rFonts w:hint="default"/>
      </w:rPr>
    </w:lvl>
  </w:abstractNum>
  <w:abstractNum w:abstractNumId="1360">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361">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809"/>
  </w:num>
  <w:num w:numId="2">
    <w:abstractNumId w:val="43"/>
  </w:num>
  <w:num w:numId="3">
    <w:abstractNumId w:val="220"/>
  </w:num>
  <w:num w:numId="4">
    <w:abstractNumId w:val="693"/>
  </w:num>
  <w:num w:numId="5">
    <w:abstractNumId w:val="396"/>
  </w:num>
  <w:num w:numId="6">
    <w:abstractNumId w:val="427"/>
  </w:num>
  <w:num w:numId="7">
    <w:abstractNumId w:val="817"/>
  </w:num>
  <w:num w:numId="8">
    <w:abstractNumId w:val="619"/>
  </w:num>
  <w:num w:numId="9">
    <w:abstractNumId w:val="885"/>
  </w:num>
  <w:num w:numId="10">
    <w:abstractNumId w:val="1003"/>
  </w:num>
  <w:num w:numId="11">
    <w:abstractNumId w:val="727"/>
  </w:num>
  <w:num w:numId="12">
    <w:abstractNumId w:val="995"/>
  </w:num>
  <w:num w:numId="13">
    <w:abstractNumId w:val="592"/>
  </w:num>
  <w:num w:numId="14">
    <w:abstractNumId w:val="306"/>
  </w:num>
  <w:num w:numId="15">
    <w:abstractNumId w:val="429"/>
  </w:num>
  <w:num w:numId="16">
    <w:abstractNumId w:val="668"/>
  </w:num>
  <w:num w:numId="17">
    <w:abstractNumId w:val="538"/>
  </w:num>
  <w:num w:numId="18">
    <w:abstractNumId w:val="542"/>
  </w:num>
  <w:num w:numId="19">
    <w:abstractNumId w:val="259"/>
  </w:num>
  <w:num w:numId="20">
    <w:abstractNumId w:val="681"/>
  </w:num>
  <w:num w:numId="21">
    <w:abstractNumId w:val="514"/>
  </w:num>
  <w:num w:numId="22">
    <w:abstractNumId w:val="446"/>
  </w:num>
  <w:num w:numId="23">
    <w:abstractNumId w:val="1073"/>
  </w:num>
  <w:num w:numId="24">
    <w:abstractNumId w:val="582"/>
  </w:num>
  <w:num w:numId="25">
    <w:abstractNumId w:val="1007"/>
  </w:num>
  <w:num w:numId="26">
    <w:abstractNumId w:val="279"/>
  </w:num>
  <w:num w:numId="27">
    <w:abstractNumId w:val="866"/>
  </w:num>
  <w:num w:numId="28">
    <w:abstractNumId w:val="1253"/>
  </w:num>
  <w:num w:numId="29">
    <w:abstractNumId w:val="1174"/>
  </w:num>
  <w:num w:numId="30">
    <w:abstractNumId w:val="1035"/>
  </w:num>
  <w:num w:numId="31">
    <w:abstractNumId w:val="1212"/>
  </w:num>
  <w:num w:numId="32">
    <w:abstractNumId w:val="1330"/>
  </w:num>
  <w:num w:numId="33">
    <w:abstractNumId w:val="860"/>
  </w:num>
  <w:num w:numId="34">
    <w:abstractNumId w:val="954"/>
  </w:num>
  <w:num w:numId="35">
    <w:abstractNumId w:val="475"/>
  </w:num>
  <w:num w:numId="36">
    <w:abstractNumId w:val="669"/>
  </w:num>
  <w:num w:numId="37">
    <w:abstractNumId w:val="1248"/>
  </w:num>
  <w:num w:numId="38">
    <w:abstractNumId w:val="840"/>
  </w:num>
  <w:num w:numId="39">
    <w:abstractNumId w:val="281"/>
  </w:num>
  <w:num w:numId="40">
    <w:abstractNumId w:val="796"/>
  </w:num>
  <w:num w:numId="41">
    <w:abstractNumId w:val="805"/>
  </w:num>
  <w:num w:numId="42">
    <w:abstractNumId w:val="1358"/>
  </w:num>
  <w:num w:numId="43">
    <w:abstractNumId w:val="847"/>
  </w:num>
  <w:num w:numId="44">
    <w:abstractNumId w:val="713"/>
  </w:num>
  <w:num w:numId="45">
    <w:abstractNumId w:val="1318"/>
  </w:num>
  <w:num w:numId="46">
    <w:abstractNumId w:val="655"/>
  </w:num>
  <w:num w:numId="47">
    <w:abstractNumId w:val="1325"/>
  </w:num>
  <w:num w:numId="48">
    <w:abstractNumId w:val="156"/>
  </w:num>
  <w:num w:numId="49">
    <w:abstractNumId w:val="1234"/>
  </w:num>
  <w:num w:numId="50">
    <w:abstractNumId w:val="657"/>
  </w:num>
  <w:num w:numId="51">
    <w:abstractNumId w:val="275"/>
  </w:num>
  <w:num w:numId="52">
    <w:abstractNumId w:val="29"/>
  </w:num>
  <w:num w:numId="53">
    <w:abstractNumId w:val="384"/>
  </w:num>
  <w:num w:numId="54">
    <w:abstractNumId w:val="321"/>
  </w:num>
  <w:num w:numId="55">
    <w:abstractNumId w:val="963"/>
  </w:num>
  <w:num w:numId="56">
    <w:abstractNumId w:val="526"/>
  </w:num>
  <w:num w:numId="57">
    <w:abstractNumId w:val="771"/>
  </w:num>
  <w:num w:numId="58">
    <w:abstractNumId w:val="96"/>
  </w:num>
  <w:num w:numId="59">
    <w:abstractNumId w:val="666"/>
  </w:num>
  <w:num w:numId="60">
    <w:abstractNumId w:val="216"/>
  </w:num>
  <w:num w:numId="61">
    <w:abstractNumId w:val="570"/>
  </w:num>
  <w:num w:numId="62">
    <w:abstractNumId w:val="174"/>
  </w:num>
  <w:num w:numId="63">
    <w:abstractNumId w:val="406"/>
  </w:num>
  <w:num w:numId="64">
    <w:abstractNumId w:val="777"/>
  </w:num>
  <w:num w:numId="65">
    <w:abstractNumId w:val="787"/>
  </w:num>
  <w:num w:numId="66">
    <w:abstractNumId w:val="1312"/>
  </w:num>
  <w:num w:numId="67">
    <w:abstractNumId w:val="1050"/>
  </w:num>
  <w:num w:numId="68">
    <w:abstractNumId w:val="189"/>
  </w:num>
  <w:num w:numId="69">
    <w:abstractNumId w:val="95"/>
  </w:num>
  <w:num w:numId="70">
    <w:abstractNumId w:val="675"/>
  </w:num>
  <w:num w:numId="71">
    <w:abstractNumId w:val="687"/>
  </w:num>
  <w:num w:numId="72">
    <w:abstractNumId w:val="1282"/>
  </w:num>
  <w:num w:numId="73">
    <w:abstractNumId w:val="169"/>
  </w:num>
  <w:num w:numId="74">
    <w:abstractNumId w:val="589"/>
  </w:num>
  <w:num w:numId="75">
    <w:abstractNumId w:val="661"/>
  </w:num>
  <w:num w:numId="76">
    <w:abstractNumId w:val="1099"/>
  </w:num>
  <w:num w:numId="77">
    <w:abstractNumId w:val="140"/>
  </w:num>
  <w:num w:numId="78">
    <w:abstractNumId w:val="123"/>
  </w:num>
  <w:num w:numId="79">
    <w:abstractNumId w:val="1116"/>
  </w:num>
  <w:num w:numId="80">
    <w:abstractNumId w:val="1091"/>
  </w:num>
  <w:num w:numId="81">
    <w:abstractNumId w:val="792"/>
  </w:num>
  <w:num w:numId="82">
    <w:abstractNumId w:val="1285"/>
  </w:num>
  <w:num w:numId="83">
    <w:abstractNumId w:val="92"/>
  </w:num>
  <w:num w:numId="84">
    <w:abstractNumId w:val="93"/>
  </w:num>
  <w:num w:numId="85">
    <w:abstractNumId w:val="1094"/>
  </w:num>
  <w:num w:numId="86">
    <w:abstractNumId w:val="1355"/>
  </w:num>
  <w:num w:numId="87">
    <w:abstractNumId w:val="527"/>
  </w:num>
  <w:num w:numId="88">
    <w:abstractNumId w:val="701"/>
  </w:num>
  <w:num w:numId="89">
    <w:abstractNumId w:val="1154"/>
  </w:num>
  <w:num w:numId="90">
    <w:abstractNumId w:val="1333"/>
  </w:num>
  <w:num w:numId="91">
    <w:abstractNumId w:val="165"/>
  </w:num>
  <w:num w:numId="92">
    <w:abstractNumId w:val="287"/>
  </w:num>
  <w:num w:numId="93">
    <w:abstractNumId w:val="167"/>
  </w:num>
  <w:num w:numId="94">
    <w:abstractNumId w:val="733"/>
  </w:num>
  <w:num w:numId="95">
    <w:abstractNumId w:val="1162"/>
  </w:num>
  <w:num w:numId="96">
    <w:abstractNumId w:val="199"/>
  </w:num>
  <w:num w:numId="97">
    <w:abstractNumId w:val="1328"/>
  </w:num>
  <w:num w:numId="98">
    <w:abstractNumId w:val="555"/>
  </w:num>
  <w:num w:numId="99">
    <w:abstractNumId w:val="187"/>
  </w:num>
  <w:num w:numId="100">
    <w:abstractNumId w:val="313"/>
  </w:num>
  <w:num w:numId="101">
    <w:abstractNumId w:val="633"/>
  </w:num>
  <w:num w:numId="102">
    <w:abstractNumId w:val="529"/>
  </w:num>
  <w:num w:numId="103">
    <w:abstractNumId w:val="486"/>
  </w:num>
  <w:num w:numId="104">
    <w:abstractNumId w:val="245"/>
  </w:num>
  <w:num w:numId="105">
    <w:abstractNumId w:val="644"/>
  </w:num>
  <w:num w:numId="106">
    <w:abstractNumId w:val="716"/>
  </w:num>
  <w:num w:numId="107">
    <w:abstractNumId w:val="1095"/>
  </w:num>
  <w:num w:numId="108">
    <w:abstractNumId w:val="947"/>
  </w:num>
  <w:num w:numId="109">
    <w:abstractNumId w:val="188"/>
  </w:num>
  <w:num w:numId="110">
    <w:abstractNumId w:val="370"/>
  </w:num>
  <w:num w:numId="111">
    <w:abstractNumId w:val="1323"/>
  </w:num>
  <w:num w:numId="112">
    <w:abstractNumId w:val="495"/>
  </w:num>
  <w:num w:numId="113">
    <w:abstractNumId w:val="1086"/>
  </w:num>
  <w:num w:numId="114">
    <w:abstractNumId w:val="907"/>
  </w:num>
  <w:num w:numId="115">
    <w:abstractNumId w:val="991"/>
  </w:num>
  <w:num w:numId="116">
    <w:abstractNumId w:val="659"/>
  </w:num>
  <w:num w:numId="117">
    <w:abstractNumId w:val="667"/>
  </w:num>
  <w:num w:numId="118">
    <w:abstractNumId w:val="953"/>
  </w:num>
  <w:num w:numId="119">
    <w:abstractNumId w:val="137"/>
  </w:num>
  <w:num w:numId="120">
    <w:abstractNumId w:val="425"/>
  </w:num>
  <w:num w:numId="121">
    <w:abstractNumId w:val="351"/>
  </w:num>
  <w:num w:numId="122">
    <w:abstractNumId w:val="1311"/>
  </w:num>
  <w:num w:numId="123">
    <w:abstractNumId w:val="246"/>
  </w:num>
  <w:num w:numId="124">
    <w:abstractNumId w:val="1255"/>
  </w:num>
  <w:num w:numId="125">
    <w:abstractNumId w:val="769"/>
  </w:num>
  <w:num w:numId="126">
    <w:abstractNumId w:val="1055"/>
  </w:num>
  <w:num w:numId="127">
    <w:abstractNumId w:val="41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85"/>
  </w:num>
  <w:num w:numId="139">
    <w:abstractNumId w:val="1016"/>
  </w:num>
  <w:num w:numId="140">
    <w:abstractNumId w:val="230"/>
  </w:num>
  <w:num w:numId="141">
    <w:abstractNumId w:val="1279"/>
  </w:num>
  <w:num w:numId="142">
    <w:abstractNumId w:val="831"/>
  </w:num>
  <w:num w:numId="143">
    <w:abstractNumId w:val="100"/>
  </w:num>
  <w:num w:numId="144">
    <w:abstractNumId w:val="1043"/>
  </w:num>
  <w:num w:numId="145">
    <w:abstractNumId w:val="842"/>
  </w:num>
  <w:num w:numId="146">
    <w:abstractNumId w:val="301"/>
  </w:num>
  <w:num w:numId="147">
    <w:abstractNumId w:val="1170"/>
  </w:num>
  <w:num w:numId="148">
    <w:abstractNumId w:val="915"/>
  </w:num>
  <w:num w:numId="149">
    <w:abstractNumId w:val="509"/>
  </w:num>
  <w:num w:numId="150">
    <w:abstractNumId w:val="802"/>
  </w:num>
  <w:num w:numId="151">
    <w:abstractNumId w:val="517"/>
  </w:num>
  <w:num w:numId="152">
    <w:abstractNumId w:val="239"/>
  </w:num>
  <w:num w:numId="153">
    <w:abstractNumId w:val="142"/>
  </w:num>
  <w:num w:numId="154">
    <w:abstractNumId w:val="52"/>
  </w:num>
  <w:num w:numId="155">
    <w:abstractNumId w:val="1089"/>
  </w:num>
  <w:num w:numId="156">
    <w:abstractNumId w:val="1292"/>
  </w:num>
  <w:num w:numId="157">
    <w:abstractNumId w:val="484"/>
  </w:num>
  <w:num w:numId="158">
    <w:abstractNumId w:val="369"/>
  </w:num>
  <w:num w:numId="159">
    <w:abstractNumId w:val="243"/>
  </w:num>
  <w:num w:numId="160">
    <w:abstractNumId w:val="959"/>
  </w:num>
  <w:num w:numId="161">
    <w:abstractNumId w:val="1120"/>
  </w:num>
  <w:num w:numId="162">
    <w:abstractNumId w:val="457"/>
  </w:num>
  <w:num w:numId="163">
    <w:abstractNumId w:val="1151"/>
  </w:num>
  <w:num w:numId="164">
    <w:abstractNumId w:val="837"/>
  </w:num>
  <w:num w:numId="165">
    <w:abstractNumId w:val="1306"/>
  </w:num>
  <w:num w:numId="166">
    <w:abstractNumId w:val="898"/>
  </w:num>
  <w:num w:numId="167">
    <w:abstractNumId w:val="983"/>
  </w:num>
  <w:num w:numId="168">
    <w:abstractNumId w:val="707"/>
  </w:num>
  <w:num w:numId="169">
    <w:abstractNumId w:val="20"/>
  </w:num>
  <w:num w:numId="170">
    <w:abstractNumId w:val="1281"/>
  </w:num>
  <w:num w:numId="171">
    <w:abstractNumId w:val="647"/>
  </w:num>
  <w:num w:numId="172">
    <w:abstractNumId w:val="192"/>
  </w:num>
  <w:num w:numId="173">
    <w:abstractNumId w:val="533"/>
  </w:num>
  <w:num w:numId="174">
    <w:abstractNumId w:val="485"/>
  </w:num>
  <w:num w:numId="175">
    <w:abstractNumId w:val="15"/>
  </w:num>
  <w:num w:numId="176">
    <w:abstractNumId w:val="588"/>
  </w:num>
  <w:num w:numId="177">
    <w:abstractNumId w:val="711"/>
  </w:num>
  <w:num w:numId="178">
    <w:abstractNumId w:val="1065"/>
  </w:num>
  <w:num w:numId="179">
    <w:abstractNumId w:val="519"/>
  </w:num>
  <w:num w:numId="180">
    <w:abstractNumId w:val="1183"/>
  </w:num>
  <w:num w:numId="181">
    <w:abstractNumId w:val="908"/>
  </w:num>
  <w:num w:numId="182">
    <w:abstractNumId w:val="609"/>
  </w:num>
  <w:num w:numId="183">
    <w:abstractNumId w:val="1146"/>
  </w:num>
  <w:num w:numId="184">
    <w:abstractNumId w:val="973"/>
  </w:num>
  <w:num w:numId="185">
    <w:abstractNumId w:val="1227"/>
  </w:num>
  <w:num w:numId="186">
    <w:abstractNumId w:val="1082"/>
  </w:num>
  <w:num w:numId="187">
    <w:abstractNumId w:val="1059"/>
  </w:num>
  <w:num w:numId="188">
    <w:abstractNumId w:val="144"/>
  </w:num>
  <w:num w:numId="189">
    <w:abstractNumId w:val="383"/>
  </w:num>
  <w:num w:numId="190">
    <w:abstractNumId w:val="1224"/>
  </w:num>
  <w:num w:numId="191">
    <w:abstractNumId w:val="1118"/>
  </w:num>
  <w:num w:numId="192">
    <w:abstractNumId w:val="746"/>
  </w:num>
  <w:num w:numId="193">
    <w:abstractNumId w:val="888"/>
  </w:num>
  <w:num w:numId="194">
    <w:abstractNumId w:val="1191"/>
  </w:num>
  <w:num w:numId="195">
    <w:abstractNumId w:val="441"/>
  </w:num>
  <w:num w:numId="196">
    <w:abstractNumId w:val="476"/>
  </w:num>
  <w:num w:numId="197">
    <w:abstractNumId w:val="359"/>
  </w:num>
  <w:num w:numId="198">
    <w:abstractNumId w:val="1130"/>
  </w:num>
  <w:num w:numId="199">
    <w:abstractNumId w:val="798"/>
  </w:num>
  <w:num w:numId="200">
    <w:abstractNumId w:val="564"/>
  </w:num>
  <w:num w:numId="201">
    <w:abstractNumId w:val="464"/>
  </w:num>
  <w:num w:numId="202">
    <w:abstractNumId w:val="1052"/>
  </w:num>
  <w:num w:numId="203">
    <w:abstractNumId w:val="417"/>
  </w:num>
  <w:num w:numId="204">
    <w:abstractNumId w:val="34"/>
  </w:num>
  <w:num w:numId="205">
    <w:abstractNumId w:val="992"/>
  </w:num>
  <w:num w:numId="206">
    <w:abstractNumId w:val="504"/>
  </w:num>
  <w:num w:numId="207">
    <w:abstractNumId w:val="579"/>
  </w:num>
  <w:num w:numId="208">
    <w:abstractNumId w:val="745"/>
  </w:num>
  <w:num w:numId="209">
    <w:abstractNumId w:val="901"/>
  </w:num>
  <w:num w:numId="210">
    <w:abstractNumId w:val="1193"/>
  </w:num>
  <w:num w:numId="211">
    <w:abstractNumId w:val="76"/>
  </w:num>
  <w:num w:numId="212">
    <w:abstractNumId w:val="89"/>
  </w:num>
  <w:num w:numId="213">
    <w:abstractNumId w:val="1254"/>
  </w:num>
  <w:num w:numId="214">
    <w:abstractNumId w:val="324"/>
  </w:num>
  <w:num w:numId="215">
    <w:abstractNumId w:val="800"/>
  </w:num>
  <w:num w:numId="216">
    <w:abstractNumId w:val="409"/>
  </w:num>
  <w:num w:numId="217">
    <w:abstractNumId w:val="1124"/>
  </w:num>
  <w:num w:numId="218">
    <w:abstractNumId w:val="134"/>
  </w:num>
  <w:num w:numId="219">
    <w:abstractNumId w:val="524"/>
  </w:num>
  <w:num w:numId="220">
    <w:abstractNumId w:val="900"/>
  </w:num>
  <w:num w:numId="221">
    <w:abstractNumId w:val="71"/>
  </w:num>
  <w:num w:numId="222">
    <w:abstractNumId w:val="696"/>
  </w:num>
  <w:num w:numId="223">
    <w:abstractNumId w:val="704"/>
  </w:num>
  <w:num w:numId="224">
    <w:abstractNumId w:val="1338"/>
  </w:num>
  <w:num w:numId="225">
    <w:abstractNumId w:val="624"/>
  </w:num>
  <w:num w:numId="226">
    <w:abstractNumId w:val="1133"/>
  </w:num>
  <w:num w:numId="227">
    <w:abstractNumId w:val="1231"/>
  </w:num>
  <w:num w:numId="228">
    <w:abstractNumId w:val="229"/>
  </w:num>
  <w:num w:numId="229">
    <w:abstractNumId w:val="870"/>
  </w:num>
  <w:num w:numId="230">
    <w:abstractNumId w:val="1192"/>
  </w:num>
  <w:num w:numId="231">
    <w:abstractNumId w:val="705"/>
  </w:num>
  <w:num w:numId="232">
    <w:abstractNumId w:val="810"/>
  </w:num>
  <w:num w:numId="233">
    <w:abstractNumId w:val="64"/>
  </w:num>
  <w:num w:numId="234">
    <w:abstractNumId w:val="688"/>
  </w:num>
  <w:num w:numId="235">
    <w:abstractNumId w:val="443"/>
  </w:num>
  <w:num w:numId="236">
    <w:abstractNumId w:val="251"/>
  </w:num>
  <w:num w:numId="237">
    <w:abstractNumId w:val="703"/>
  </w:num>
  <w:num w:numId="238">
    <w:abstractNumId w:val="395"/>
  </w:num>
  <w:num w:numId="239">
    <w:abstractNumId w:val="450"/>
  </w:num>
  <w:num w:numId="240">
    <w:abstractNumId w:val="548"/>
  </w:num>
  <w:num w:numId="241">
    <w:abstractNumId w:val="723"/>
  </w:num>
  <w:num w:numId="242">
    <w:abstractNumId w:val="961"/>
  </w:num>
  <w:num w:numId="243">
    <w:abstractNumId w:val="290"/>
  </w:num>
  <w:num w:numId="244">
    <w:abstractNumId w:val="53"/>
  </w:num>
  <w:num w:numId="245">
    <w:abstractNumId w:val="795"/>
  </w:num>
  <w:num w:numId="246">
    <w:abstractNumId w:val="578"/>
  </w:num>
  <w:num w:numId="247">
    <w:abstractNumId w:val="1070"/>
  </w:num>
  <w:num w:numId="248">
    <w:abstractNumId w:val="1196"/>
  </w:num>
  <w:num w:numId="249">
    <w:abstractNumId w:val="788"/>
  </w:num>
  <w:num w:numId="250">
    <w:abstractNumId w:val="824"/>
  </w:num>
  <w:num w:numId="251">
    <w:abstractNumId w:val="640"/>
  </w:num>
  <w:num w:numId="252">
    <w:abstractNumId w:val="1012"/>
  </w:num>
  <w:num w:numId="253">
    <w:abstractNumId w:val="846"/>
  </w:num>
  <w:num w:numId="254">
    <w:abstractNumId w:val="610"/>
  </w:num>
  <w:num w:numId="255">
    <w:abstractNumId w:val="225"/>
  </w:num>
  <w:num w:numId="256">
    <w:abstractNumId w:val="1250"/>
  </w:num>
  <w:num w:numId="257">
    <w:abstractNumId w:val="786"/>
  </w:num>
  <w:num w:numId="258">
    <w:abstractNumId w:val="59"/>
  </w:num>
  <w:num w:numId="259">
    <w:abstractNumId w:val="171"/>
  </w:num>
  <w:num w:numId="260">
    <w:abstractNumId w:val="32"/>
  </w:num>
  <w:num w:numId="261">
    <w:abstractNumId w:val="1100"/>
  </w:num>
  <w:num w:numId="262">
    <w:abstractNumId w:val="643"/>
  </w:num>
  <w:num w:numId="263">
    <w:abstractNumId w:val="1068"/>
  </w:num>
  <w:num w:numId="264">
    <w:abstractNumId w:val="25"/>
  </w:num>
  <w:num w:numId="265">
    <w:abstractNumId w:val="221"/>
  </w:num>
  <w:num w:numId="266">
    <w:abstractNumId w:val="958"/>
  </w:num>
  <w:num w:numId="267">
    <w:abstractNumId w:val="1044"/>
  </w:num>
  <w:num w:numId="268">
    <w:abstractNumId w:val="19"/>
  </w:num>
  <w:num w:numId="269">
    <w:abstractNumId w:val="366"/>
  </w:num>
  <w:num w:numId="270">
    <w:abstractNumId w:val="328"/>
  </w:num>
  <w:num w:numId="271">
    <w:abstractNumId w:val="965"/>
  </w:num>
  <w:num w:numId="272">
    <w:abstractNumId w:val="873"/>
  </w:num>
  <w:num w:numId="273">
    <w:abstractNumId w:val="1314"/>
  </w:num>
  <w:num w:numId="274">
    <w:abstractNumId w:val="935"/>
  </w:num>
  <w:num w:numId="275">
    <w:abstractNumId w:val="556"/>
  </w:num>
  <w:num w:numId="276">
    <w:abstractNumId w:val="1284"/>
  </w:num>
  <w:num w:numId="277">
    <w:abstractNumId w:val="30"/>
  </w:num>
  <w:num w:numId="278">
    <w:abstractNumId w:val="456"/>
  </w:num>
  <w:num w:numId="279">
    <w:abstractNumId w:val="1141"/>
  </w:num>
  <w:num w:numId="280">
    <w:abstractNumId w:val="217"/>
  </w:num>
  <w:num w:numId="281">
    <w:abstractNumId w:val="1176"/>
  </w:num>
  <w:num w:numId="282">
    <w:abstractNumId w:val="300"/>
  </w:num>
  <w:num w:numId="283">
    <w:abstractNumId w:val="173"/>
  </w:num>
  <w:num w:numId="284">
    <w:abstractNumId w:val="863"/>
  </w:num>
  <w:num w:numId="285">
    <w:abstractNumId w:val="521"/>
  </w:num>
  <w:num w:numId="286">
    <w:abstractNumId w:val="859"/>
  </w:num>
  <w:num w:numId="287">
    <w:abstractNumId w:val="1258"/>
  </w:num>
  <w:num w:numId="288">
    <w:abstractNumId w:val="121"/>
  </w:num>
  <w:num w:numId="289">
    <w:abstractNumId w:val="515"/>
  </w:num>
  <w:num w:numId="290">
    <w:abstractNumId w:val="1166"/>
  </w:num>
  <w:num w:numId="291">
    <w:abstractNumId w:val="1177"/>
  </w:num>
  <w:num w:numId="292">
    <w:abstractNumId w:val="751"/>
  </w:num>
  <w:num w:numId="293">
    <w:abstractNumId w:val="699"/>
  </w:num>
  <w:num w:numId="294">
    <w:abstractNumId w:val="612"/>
  </w:num>
  <w:num w:numId="295">
    <w:abstractNumId w:val="161"/>
  </w:num>
  <w:num w:numId="296">
    <w:abstractNumId w:val="132"/>
  </w:num>
  <w:num w:numId="297">
    <w:abstractNumId w:val="864"/>
  </w:num>
  <w:num w:numId="298">
    <w:abstractNumId w:val="203"/>
  </w:num>
  <w:num w:numId="299">
    <w:abstractNumId w:val="1168"/>
  </w:num>
  <w:num w:numId="300">
    <w:abstractNumId w:val="107"/>
  </w:num>
  <w:num w:numId="301">
    <w:abstractNumId w:val="590"/>
  </w:num>
  <w:num w:numId="302">
    <w:abstractNumId w:val="196"/>
  </w:num>
  <w:num w:numId="303">
    <w:abstractNumId w:val="244"/>
  </w:num>
  <w:num w:numId="304">
    <w:abstractNumId w:val="415"/>
  </w:num>
  <w:num w:numId="305">
    <w:abstractNumId w:val="1276"/>
  </w:num>
  <w:num w:numId="306">
    <w:abstractNumId w:val="944"/>
  </w:num>
  <w:num w:numId="307">
    <w:abstractNumId w:val="557"/>
  </w:num>
  <w:num w:numId="308">
    <w:abstractNumId w:val="1291"/>
  </w:num>
  <w:num w:numId="309">
    <w:abstractNumId w:val="1300"/>
  </w:num>
  <w:num w:numId="310">
    <w:abstractNumId w:val="577"/>
  </w:num>
  <w:num w:numId="311">
    <w:abstractNumId w:val="605"/>
  </w:num>
  <w:num w:numId="312">
    <w:abstractNumId w:val="650"/>
  </w:num>
  <w:num w:numId="313">
    <w:abstractNumId w:val="1262"/>
  </w:num>
  <w:num w:numId="314">
    <w:abstractNumId w:val="214"/>
  </w:num>
  <w:num w:numId="315">
    <w:abstractNumId w:val="811"/>
  </w:num>
  <w:num w:numId="316">
    <w:abstractNumId w:val="178"/>
  </w:num>
  <w:num w:numId="317">
    <w:abstractNumId w:val="780"/>
  </w:num>
  <w:num w:numId="318">
    <w:abstractNumId w:val="770"/>
  </w:num>
  <w:num w:numId="319">
    <w:abstractNumId w:val="717"/>
  </w:num>
  <w:num w:numId="320">
    <w:abstractNumId w:val="1271"/>
  </w:num>
  <w:num w:numId="321">
    <w:abstractNumId w:val="1145"/>
  </w:num>
  <w:num w:numId="322">
    <w:abstractNumId w:val="353"/>
  </w:num>
  <w:num w:numId="323">
    <w:abstractNumId w:val="575"/>
  </w:num>
  <w:num w:numId="324">
    <w:abstractNumId w:val="379"/>
  </w:num>
  <w:num w:numId="325">
    <w:abstractNumId w:val="1002"/>
  </w:num>
  <w:num w:numId="326">
    <w:abstractNumId w:val="768"/>
  </w:num>
  <w:num w:numId="327">
    <w:abstractNumId w:val="186"/>
  </w:num>
  <w:num w:numId="328">
    <w:abstractNumId w:val="260"/>
  </w:num>
  <w:num w:numId="329">
    <w:abstractNumId w:val="460"/>
  </w:num>
  <w:num w:numId="330">
    <w:abstractNumId w:val="368"/>
  </w:num>
  <w:num w:numId="331">
    <w:abstractNumId w:val="310"/>
  </w:num>
  <w:num w:numId="332">
    <w:abstractNumId w:val="50"/>
  </w:num>
  <w:num w:numId="333">
    <w:abstractNumId w:val="1143"/>
  </w:num>
  <w:num w:numId="334">
    <w:abstractNumId w:val="490"/>
  </w:num>
  <w:num w:numId="335">
    <w:abstractNumId w:val="823"/>
  </w:num>
  <w:num w:numId="336">
    <w:abstractNumId w:val="1252"/>
  </w:num>
  <w:num w:numId="337">
    <w:abstractNumId w:val="248"/>
  </w:num>
  <w:num w:numId="338">
    <w:abstractNumId w:val="622"/>
  </w:num>
  <w:num w:numId="339">
    <w:abstractNumId w:val="1161"/>
  </w:num>
  <w:num w:numId="340">
    <w:abstractNumId w:val="130"/>
  </w:num>
  <w:num w:numId="341">
    <w:abstractNumId w:val="249"/>
  </w:num>
  <w:num w:numId="342">
    <w:abstractNumId w:val="407"/>
  </w:num>
  <w:num w:numId="343">
    <w:abstractNumId w:val="66"/>
  </w:num>
  <w:num w:numId="344">
    <w:abstractNumId w:val="362"/>
  </w:num>
  <w:num w:numId="345">
    <w:abstractNumId w:val="756"/>
  </w:num>
  <w:num w:numId="346">
    <w:abstractNumId w:val="340"/>
  </w:num>
  <w:num w:numId="347">
    <w:abstractNumId w:val="117"/>
  </w:num>
  <w:num w:numId="348">
    <w:abstractNumId w:val="893"/>
  </w:num>
  <w:num w:numId="349">
    <w:abstractNumId w:val="1115"/>
  </w:num>
  <w:num w:numId="350">
    <w:abstractNumId w:val="984"/>
  </w:num>
  <w:num w:numId="351">
    <w:abstractNumId w:val="760"/>
  </w:num>
  <w:num w:numId="352">
    <w:abstractNumId w:val="378"/>
  </w:num>
  <w:num w:numId="353">
    <w:abstractNumId w:val="1245"/>
  </w:num>
  <w:num w:numId="354">
    <w:abstractNumId w:val="1144"/>
  </w:num>
  <w:num w:numId="355">
    <w:abstractNumId w:val="410"/>
  </w:num>
  <w:num w:numId="356">
    <w:abstractNumId w:val="904"/>
  </w:num>
  <w:num w:numId="357">
    <w:abstractNumId w:val="1251"/>
  </w:num>
  <w:num w:numId="358">
    <w:abstractNumId w:val="435"/>
  </w:num>
  <w:num w:numId="359">
    <w:abstractNumId w:val="544"/>
  </w:num>
  <w:num w:numId="360">
    <w:abstractNumId w:val="750"/>
  </w:num>
  <w:num w:numId="361">
    <w:abstractNumId w:val="608"/>
  </w:num>
  <w:num w:numId="362">
    <w:abstractNumId w:val="1236"/>
  </w:num>
  <w:num w:numId="363">
    <w:abstractNumId w:val="256"/>
  </w:num>
  <w:num w:numId="364">
    <w:abstractNumId w:val="1085"/>
  </w:num>
  <w:num w:numId="365">
    <w:abstractNumId w:val="1076"/>
  </w:num>
  <w:num w:numId="366">
    <w:abstractNumId w:val="41"/>
  </w:num>
  <w:num w:numId="367">
    <w:abstractNumId w:val="855"/>
  </w:num>
  <w:num w:numId="368">
    <w:abstractNumId w:val="449"/>
  </w:num>
  <w:num w:numId="369">
    <w:abstractNumId w:val="1173"/>
  </w:num>
  <w:num w:numId="370">
    <w:abstractNumId w:val="614"/>
  </w:num>
  <w:num w:numId="371">
    <w:abstractNumId w:val="848"/>
  </w:num>
  <w:num w:numId="372">
    <w:abstractNumId w:val="695"/>
  </w:num>
  <w:num w:numId="373">
    <w:abstractNumId w:val="1046"/>
  </w:num>
  <w:num w:numId="374">
    <w:abstractNumId w:val="65"/>
  </w:num>
  <w:num w:numId="375">
    <w:abstractNumId w:val="1296"/>
  </w:num>
  <w:num w:numId="376">
    <w:abstractNumId w:val="114"/>
  </w:num>
  <w:num w:numId="377">
    <w:abstractNumId w:val="397"/>
  </w:num>
  <w:num w:numId="378">
    <w:abstractNumId w:val="1342"/>
  </w:num>
  <w:num w:numId="379">
    <w:abstractNumId w:val="803"/>
  </w:num>
  <w:num w:numId="380">
    <w:abstractNumId w:val="774"/>
  </w:num>
  <w:num w:numId="381">
    <w:abstractNumId w:val="323"/>
  </w:num>
  <w:num w:numId="382">
    <w:abstractNumId w:val="440"/>
  </w:num>
  <w:num w:numId="383">
    <w:abstractNumId w:val="550"/>
  </w:num>
  <w:num w:numId="384">
    <w:abstractNumId w:val="1008"/>
  </w:num>
  <w:num w:numId="385">
    <w:abstractNumId w:val="465"/>
  </w:num>
  <w:num w:numId="386">
    <w:abstractNumId w:val="372"/>
  </w:num>
  <w:num w:numId="387">
    <w:abstractNumId w:val="372"/>
    <w:lvlOverride w:ilvl="0"/>
    <w:lvlOverride w:ilvl="1"/>
    <w:lvlOverride w:ilvl="2"/>
    <w:lvlOverride w:ilvl="3"/>
    <w:lvlOverride w:ilvl="4"/>
    <w:lvlOverride w:ilvl="5"/>
    <w:lvlOverride w:ilvl="6"/>
    <w:lvlOverride w:ilvl="7"/>
    <w:lvlOverride w:ilvl="8"/>
  </w:num>
  <w:num w:numId="388">
    <w:abstractNumId w:val="317"/>
  </w:num>
  <w:num w:numId="389">
    <w:abstractNumId w:val="200"/>
  </w:num>
  <w:num w:numId="390">
    <w:abstractNumId w:val="472"/>
  </w:num>
  <w:num w:numId="391">
    <w:abstractNumId w:val="372"/>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921"/>
  </w:num>
  <w:num w:numId="393">
    <w:abstractNumId w:val="209"/>
  </w:num>
  <w:num w:numId="394">
    <w:abstractNumId w:val="1182"/>
  </w:num>
  <w:num w:numId="395">
    <w:abstractNumId w:val="11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18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510"/>
  </w:num>
  <w:num w:numId="398">
    <w:abstractNumId w:val="886"/>
  </w:num>
  <w:num w:numId="399">
    <w:abstractNumId w:val="22"/>
  </w:num>
  <w:num w:numId="400">
    <w:abstractNumId w:val="881"/>
  </w:num>
  <w:num w:numId="401">
    <w:abstractNumId w:val="1097"/>
  </w:num>
  <w:num w:numId="402">
    <w:abstractNumId w:val="1297"/>
  </w:num>
  <w:num w:numId="403">
    <w:abstractNumId w:val="618"/>
  </w:num>
  <w:num w:numId="404">
    <w:abstractNumId w:val="294"/>
  </w:num>
  <w:num w:numId="405">
    <w:abstractNumId w:val="1235"/>
  </w:num>
  <w:num w:numId="406">
    <w:abstractNumId w:val="874"/>
  </w:num>
  <w:num w:numId="407">
    <w:abstractNumId w:val="700"/>
  </w:num>
  <w:num w:numId="408">
    <w:abstractNumId w:val="736"/>
  </w:num>
  <w:num w:numId="409">
    <w:abstractNumId w:val="1036"/>
  </w:num>
  <w:num w:numId="410">
    <w:abstractNumId w:val="1121"/>
  </w:num>
  <w:num w:numId="411">
    <w:abstractNumId w:val="1034"/>
  </w:num>
  <w:num w:numId="412">
    <w:abstractNumId w:val="267"/>
  </w:num>
  <w:num w:numId="413">
    <w:abstractNumId w:val="933"/>
  </w:num>
  <w:num w:numId="414">
    <w:abstractNumId w:val="1273"/>
  </w:num>
  <w:num w:numId="415">
    <w:abstractNumId w:val="1324"/>
  </w:num>
  <w:num w:numId="416">
    <w:abstractNumId w:val="79"/>
  </w:num>
  <w:num w:numId="417">
    <w:abstractNumId w:val="97"/>
  </w:num>
  <w:num w:numId="418">
    <w:abstractNumId w:val="1072"/>
  </w:num>
  <w:num w:numId="419">
    <w:abstractNumId w:val="166"/>
  </w:num>
  <w:num w:numId="420">
    <w:abstractNumId w:val="1153"/>
  </w:num>
  <w:num w:numId="421">
    <w:abstractNumId w:val="276"/>
  </w:num>
  <w:num w:numId="422">
    <w:abstractNumId w:val="343"/>
  </w:num>
  <w:num w:numId="423">
    <w:abstractNumId w:val="794"/>
  </w:num>
  <w:num w:numId="424">
    <w:abstractNumId w:val="1308"/>
  </w:num>
  <w:num w:numId="425">
    <w:abstractNumId w:val="432"/>
  </w:num>
  <w:num w:numId="426">
    <w:abstractNumId w:val="938"/>
  </w:num>
  <w:num w:numId="427">
    <w:abstractNumId w:val="128"/>
  </w:num>
  <w:num w:numId="428">
    <w:abstractNumId w:val="645"/>
  </w:num>
  <w:num w:numId="429">
    <w:abstractNumId w:val="345"/>
  </w:num>
  <w:num w:numId="430">
    <w:abstractNumId w:val="45"/>
  </w:num>
  <w:num w:numId="431">
    <w:abstractNumId w:val="722"/>
  </w:num>
  <w:num w:numId="432">
    <w:abstractNumId w:val="1056"/>
  </w:num>
  <w:num w:numId="433">
    <w:abstractNumId w:val="482"/>
  </w:num>
  <w:num w:numId="434">
    <w:abstractNumId w:val="250"/>
  </w:num>
  <w:num w:numId="435">
    <w:abstractNumId w:val="392"/>
  </w:num>
  <w:num w:numId="436">
    <w:abstractNumId w:val="586"/>
  </w:num>
  <w:num w:numId="437">
    <w:abstractNumId w:val="1335"/>
  </w:num>
  <w:num w:numId="438">
    <w:abstractNumId w:val="1322"/>
  </w:num>
  <w:num w:numId="439">
    <w:abstractNumId w:val="602"/>
  </w:num>
  <w:num w:numId="440">
    <w:abstractNumId w:val="804"/>
  </w:num>
  <w:num w:numId="441">
    <w:abstractNumId w:val="177"/>
  </w:num>
  <w:num w:numId="442">
    <w:abstractNumId w:val="125"/>
  </w:num>
  <w:num w:numId="443">
    <w:abstractNumId w:val="115"/>
  </w:num>
  <w:num w:numId="444">
    <w:abstractNumId w:val="222"/>
  </w:num>
  <w:num w:numId="445">
    <w:abstractNumId w:val="776"/>
  </w:num>
  <w:num w:numId="446">
    <w:abstractNumId w:val="1264"/>
  </w:num>
  <w:num w:numId="447">
    <w:abstractNumId w:val="562"/>
  </w:num>
  <w:num w:numId="448">
    <w:abstractNumId w:val="1295"/>
  </w:num>
  <w:num w:numId="449">
    <w:abstractNumId w:val="1283"/>
  </w:num>
  <w:num w:numId="450">
    <w:abstractNumId w:val="228"/>
  </w:num>
  <w:num w:numId="451">
    <w:abstractNumId w:val="599"/>
  </w:num>
  <w:num w:numId="452">
    <w:abstractNumId w:val="283"/>
  </w:num>
  <w:num w:numId="453">
    <w:abstractNumId w:val="506"/>
  </w:num>
  <w:num w:numId="454">
    <w:abstractNumId w:val="758"/>
  </w:num>
  <w:num w:numId="455">
    <w:abstractNumId w:val="206"/>
  </w:num>
  <w:num w:numId="456">
    <w:abstractNumId w:val="1184"/>
  </w:num>
  <w:num w:numId="457">
    <w:abstractNumId w:val="543"/>
  </w:num>
  <w:num w:numId="458">
    <w:abstractNumId w:val="821"/>
  </w:num>
  <w:num w:numId="459">
    <w:abstractNumId w:val="226"/>
  </w:num>
  <w:num w:numId="460">
    <w:abstractNumId w:val="1078"/>
  </w:num>
  <w:num w:numId="461">
    <w:abstractNumId w:val="724"/>
  </w:num>
  <w:num w:numId="462">
    <w:abstractNumId w:val="158"/>
  </w:num>
  <w:num w:numId="463">
    <w:abstractNumId w:val="648"/>
  </w:num>
  <w:num w:numId="464">
    <w:abstractNumId w:val="126"/>
  </w:num>
  <w:num w:numId="465">
    <w:abstractNumId w:val="122"/>
  </w:num>
  <w:num w:numId="466">
    <w:abstractNumId w:val="191"/>
  </w:num>
  <w:num w:numId="467">
    <w:abstractNumId w:val="436"/>
  </w:num>
  <w:num w:numId="468">
    <w:abstractNumId w:val="838"/>
  </w:num>
  <w:num w:numId="469">
    <w:abstractNumId w:val="1269"/>
  </w:num>
  <w:num w:numId="470">
    <w:abstractNumId w:val="153"/>
  </w:num>
  <w:num w:numId="471">
    <w:abstractNumId w:val="77"/>
  </w:num>
  <w:num w:numId="472">
    <w:abstractNumId w:val="606"/>
  </w:num>
  <w:num w:numId="473">
    <w:abstractNumId w:val="285"/>
  </w:num>
  <w:num w:numId="474">
    <w:abstractNumId w:val="531"/>
  </w:num>
  <w:num w:numId="475">
    <w:abstractNumId w:val="261"/>
  </w:num>
  <w:num w:numId="476">
    <w:abstractNumId w:val="748"/>
  </w:num>
  <w:num w:numId="477">
    <w:abstractNumId w:val="1198"/>
  </w:num>
  <w:num w:numId="478">
    <w:abstractNumId w:val="266"/>
  </w:num>
  <w:num w:numId="479">
    <w:abstractNumId w:val="523"/>
  </w:num>
  <w:num w:numId="480">
    <w:abstractNumId w:val="853"/>
  </w:num>
  <w:num w:numId="481">
    <w:abstractNumId w:val="453"/>
  </w:num>
  <w:num w:numId="482">
    <w:abstractNumId w:val="1040"/>
  </w:num>
  <w:num w:numId="483">
    <w:abstractNumId w:val="600"/>
  </w:num>
  <w:num w:numId="484">
    <w:abstractNumId w:val="1249"/>
  </w:num>
  <w:num w:numId="485">
    <w:abstractNumId w:val="887"/>
  </w:num>
  <w:num w:numId="486">
    <w:abstractNumId w:val="686"/>
  </w:num>
  <w:num w:numId="487">
    <w:abstractNumId w:val="1013"/>
  </w:num>
  <w:num w:numId="488">
    <w:abstractNumId w:val="46"/>
  </w:num>
  <w:num w:numId="489">
    <w:abstractNumId w:val="568"/>
  </w:num>
  <w:num w:numId="490">
    <w:abstractNumId w:val="238"/>
  </w:num>
  <w:num w:numId="491">
    <w:abstractNumId w:val="1084"/>
  </w:num>
  <w:num w:numId="492">
    <w:abstractNumId w:val="978"/>
  </w:num>
  <w:num w:numId="493">
    <w:abstractNumId w:val="702"/>
  </w:num>
  <w:num w:numId="494">
    <w:abstractNumId w:val="202"/>
  </w:num>
  <w:num w:numId="495">
    <w:abstractNumId w:val="69"/>
  </w:num>
  <w:num w:numId="496">
    <w:abstractNumId w:val="721"/>
  </w:num>
  <w:num w:numId="497">
    <w:abstractNumId w:val="1326"/>
  </w:num>
  <w:num w:numId="498">
    <w:abstractNumId w:val="271"/>
  </w:num>
  <w:num w:numId="499">
    <w:abstractNumId w:val="1079"/>
  </w:num>
  <w:num w:numId="500">
    <w:abstractNumId w:val="972"/>
  </w:num>
  <w:num w:numId="501">
    <w:abstractNumId w:val="1203"/>
  </w:num>
  <w:num w:numId="502">
    <w:abstractNumId w:val="832"/>
  </w:num>
  <w:num w:numId="503">
    <w:abstractNumId w:val="597"/>
  </w:num>
  <w:num w:numId="504">
    <w:abstractNumId w:val="1201"/>
  </w:num>
  <w:num w:numId="505">
    <w:abstractNumId w:val="1037"/>
  </w:num>
  <w:num w:numId="506">
    <w:abstractNumId w:val="1000"/>
  </w:num>
  <w:num w:numId="507">
    <w:abstractNumId w:val="452"/>
  </w:num>
  <w:num w:numId="508">
    <w:abstractNumId w:val="103"/>
  </w:num>
  <w:num w:numId="509">
    <w:abstractNumId w:val="350"/>
  </w:num>
  <w:num w:numId="510">
    <w:abstractNumId w:val="989"/>
  </w:num>
  <w:num w:numId="511">
    <w:abstractNumId w:val="806"/>
  </w:num>
  <w:num w:numId="512">
    <w:abstractNumId w:val="1188"/>
  </w:num>
  <w:num w:numId="513">
    <w:abstractNumId w:val="51"/>
  </w:num>
  <w:num w:numId="514">
    <w:abstractNumId w:val="374"/>
  </w:num>
  <w:num w:numId="515">
    <w:abstractNumId w:val="277"/>
  </w:num>
  <w:num w:numId="516">
    <w:abstractNumId w:val="111"/>
  </w:num>
  <w:num w:numId="517">
    <w:abstractNumId w:val="875"/>
  </w:num>
  <w:num w:numId="518">
    <w:abstractNumId w:val="344"/>
  </w:num>
  <w:num w:numId="519">
    <w:abstractNumId w:val="1230"/>
  </w:num>
  <w:num w:numId="520">
    <w:abstractNumId w:val="355"/>
  </w:num>
  <w:num w:numId="521">
    <w:abstractNumId w:val="1202"/>
  </w:num>
  <w:num w:numId="522">
    <w:abstractNumId w:val="63"/>
  </w:num>
  <w:num w:numId="523">
    <w:abstractNumId w:val="1024"/>
  </w:num>
  <w:num w:numId="524">
    <w:abstractNumId w:val="822"/>
  </w:num>
  <w:num w:numId="525">
    <w:abstractNumId w:val="1075"/>
  </w:num>
  <w:num w:numId="526">
    <w:abstractNumId w:val="487"/>
  </w:num>
  <w:num w:numId="527">
    <w:abstractNumId w:val="1137"/>
  </w:num>
  <w:num w:numId="528">
    <w:abstractNumId w:val="360"/>
  </w:num>
  <w:num w:numId="529">
    <w:abstractNumId w:val="1218"/>
  </w:num>
  <w:num w:numId="530">
    <w:abstractNumId w:val="377"/>
  </w:num>
  <w:num w:numId="531">
    <w:abstractNumId w:val="320"/>
  </w:num>
  <w:num w:numId="532">
    <w:abstractNumId w:val="263"/>
  </w:num>
  <w:num w:numId="533">
    <w:abstractNumId w:val="445"/>
  </w:num>
  <w:num w:numId="534">
    <w:abstractNumId w:val="17"/>
  </w:num>
  <w:num w:numId="535">
    <w:abstractNumId w:val="585"/>
  </w:num>
  <w:num w:numId="536">
    <w:abstractNumId w:val="1179"/>
  </w:num>
  <w:num w:numId="537">
    <w:abstractNumId w:val="868"/>
  </w:num>
  <w:num w:numId="538">
    <w:abstractNumId w:val="1025"/>
  </w:num>
  <w:num w:numId="539">
    <w:abstractNumId w:val="27"/>
  </w:num>
  <w:num w:numId="540">
    <w:abstractNumId w:val="857"/>
  </w:num>
  <w:num w:numId="541">
    <w:abstractNumId w:val="999"/>
  </w:num>
  <w:num w:numId="542">
    <w:abstractNumId w:val="1096"/>
  </w:num>
  <w:num w:numId="543">
    <w:abstractNumId w:val="16"/>
  </w:num>
  <w:num w:numId="544">
    <w:abstractNumId w:val="480"/>
  </w:num>
  <w:num w:numId="545">
    <w:abstractNumId w:val="102"/>
  </w:num>
  <w:num w:numId="546">
    <w:abstractNumId w:val="194"/>
  </w:num>
  <w:num w:numId="547">
    <w:abstractNumId w:val="318"/>
  </w:num>
  <w:num w:numId="548">
    <w:abstractNumId w:val="986"/>
  </w:num>
  <w:num w:numId="549">
    <w:abstractNumId w:val="302"/>
  </w:num>
  <w:num w:numId="550">
    <w:abstractNumId w:val="139"/>
  </w:num>
  <w:num w:numId="551">
    <w:abstractNumId w:val="642"/>
  </w:num>
  <w:num w:numId="552">
    <w:abstractNumId w:val="1307"/>
  </w:num>
  <w:num w:numId="553">
    <w:abstractNumId w:val="889"/>
  </w:num>
  <w:num w:numId="554">
    <w:abstractNumId w:val="56"/>
  </w:num>
  <w:num w:numId="555">
    <w:abstractNumId w:val="1156"/>
  </w:num>
  <w:num w:numId="556">
    <w:abstractNumId w:val="498"/>
  </w:num>
  <w:num w:numId="557">
    <w:abstractNumId w:val="1041"/>
  </w:num>
  <w:num w:numId="558">
    <w:abstractNumId w:val="1246"/>
  </w:num>
  <w:num w:numId="559">
    <w:abstractNumId w:val="728"/>
  </w:num>
  <w:num w:numId="560">
    <w:abstractNumId w:val="1361"/>
  </w:num>
  <w:num w:numId="561">
    <w:abstractNumId w:val="413"/>
  </w:num>
  <w:num w:numId="562">
    <w:abstractNumId w:val="303"/>
  </w:num>
  <w:num w:numId="563">
    <w:abstractNumId w:val="1157"/>
  </w:num>
  <w:num w:numId="564">
    <w:abstractNumId w:val="757"/>
  </w:num>
  <w:num w:numId="565">
    <w:abstractNumId w:val="1222"/>
  </w:num>
  <w:num w:numId="566">
    <w:abstractNumId w:val="483"/>
  </w:num>
  <w:num w:numId="567">
    <w:abstractNumId w:val="78"/>
  </w:num>
  <w:num w:numId="568">
    <w:abstractNumId w:val="755"/>
  </w:num>
  <w:num w:numId="569">
    <w:abstractNumId w:val="613"/>
  </w:num>
  <w:num w:numId="570">
    <w:abstractNumId w:val="998"/>
  </w:num>
  <w:num w:numId="571">
    <w:abstractNumId w:val="1186"/>
  </w:num>
  <w:num w:numId="572">
    <w:abstractNumId w:val="957"/>
  </w:num>
  <w:num w:numId="573">
    <w:abstractNumId w:val="1263"/>
  </w:num>
  <w:num w:numId="574">
    <w:abstractNumId w:val="1030"/>
  </w:num>
  <w:num w:numId="575">
    <w:abstractNumId w:val="663"/>
  </w:num>
  <w:num w:numId="576">
    <w:abstractNumId w:val="218"/>
  </w:num>
  <w:num w:numId="577">
    <w:abstractNumId w:val="1058"/>
  </w:num>
  <w:num w:numId="578">
    <w:abstractNumId w:val="154"/>
  </w:num>
  <w:num w:numId="579">
    <w:abstractNumId w:val="1241"/>
  </w:num>
  <w:num w:numId="580">
    <w:abstractNumId w:val="414"/>
  </w:num>
  <w:num w:numId="581">
    <w:abstractNumId w:val="338"/>
  </w:num>
  <w:num w:numId="582">
    <w:abstractNumId w:val="299"/>
  </w:num>
  <w:num w:numId="583">
    <w:abstractNumId w:val="891"/>
  </w:num>
  <w:num w:numId="584">
    <w:abstractNumId w:val="331"/>
  </w:num>
  <w:num w:numId="585">
    <w:abstractNumId w:val="1163"/>
  </w:num>
  <w:num w:numId="586">
    <w:abstractNumId w:val="743"/>
  </w:num>
  <w:num w:numId="587">
    <w:abstractNumId w:val="316"/>
  </w:num>
  <w:num w:numId="588">
    <w:abstractNumId w:val="94"/>
  </w:num>
  <w:num w:numId="589">
    <w:abstractNumId w:val="649"/>
  </w:num>
  <w:num w:numId="590">
    <w:abstractNumId w:val="168"/>
  </w:num>
  <w:num w:numId="591">
    <w:abstractNumId w:val="241"/>
  </w:num>
  <w:num w:numId="592">
    <w:abstractNumId w:val="1074"/>
  </w:num>
  <w:num w:numId="593">
    <w:abstractNumId w:val="1149"/>
  </w:num>
  <w:num w:numId="594">
    <w:abstractNumId w:val="1360"/>
  </w:num>
  <w:num w:numId="595">
    <w:abstractNumId w:val="919"/>
  </w:num>
  <w:num w:numId="596">
    <w:abstractNumId w:val="772"/>
  </w:num>
  <w:num w:numId="597">
    <w:abstractNumId w:val="987"/>
  </w:num>
  <w:num w:numId="598">
    <w:abstractNumId w:val="732"/>
  </w:num>
  <w:num w:numId="599">
    <w:abstractNumId w:val="1289"/>
  </w:num>
  <w:num w:numId="600">
    <w:abstractNumId w:val="561"/>
  </w:num>
  <w:num w:numId="601">
    <w:abstractNumId w:val="1257"/>
  </w:num>
  <w:num w:numId="602">
    <w:abstractNumId w:val="674"/>
  </w:num>
  <w:num w:numId="603">
    <w:abstractNumId w:val="1205"/>
  </w:num>
  <w:num w:numId="604">
    <w:abstractNumId w:val="1171"/>
  </w:num>
  <w:num w:numId="605">
    <w:abstractNumId w:val="916"/>
  </w:num>
  <w:num w:numId="606">
    <w:abstractNumId w:val="752"/>
  </w:num>
  <w:num w:numId="607">
    <w:abstractNumId w:val="826"/>
  </w:num>
  <w:num w:numId="608">
    <w:abstractNumId w:val="1233"/>
  </w:num>
  <w:num w:numId="609">
    <w:abstractNumId w:val="459"/>
  </w:num>
  <w:num w:numId="610">
    <w:abstractNumId w:val="146"/>
  </w:num>
  <w:num w:numId="611">
    <w:abstractNumId w:val="175"/>
  </w:num>
  <w:num w:numId="612">
    <w:abstractNumId w:val="190"/>
  </w:num>
  <w:num w:numId="613">
    <w:abstractNumId w:val="1029"/>
  </w:num>
  <w:num w:numId="614">
    <w:abstractNumId w:val="391"/>
  </w:num>
  <w:num w:numId="615">
    <w:abstractNumId w:val="119"/>
  </w:num>
  <w:num w:numId="616">
    <w:abstractNumId w:val="325"/>
  </w:num>
  <w:num w:numId="617">
    <w:abstractNumId w:val="1334"/>
  </w:num>
  <w:num w:numId="618">
    <w:abstractNumId w:val="1259"/>
  </w:num>
  <w:num w:numId="619">
    <w:abstractNumId w:val="1206"/>
  </w:num>
  <w:num w:numId="620">
    <w:abstractNumId w:val="1346"/>
  </w:num>
  <w:num w:numId="621">
    <w:abstractNumId w:val="207"/>
  </w:num>
  <w:num w:numId="622">
    <w:abstractNumId w:val="807"/>
  </w:num>
  <w:num w:numId="623">
    <w:abstractNumId w:val="286"/>
  </w:num>
  <w:num w:numId="624">
    <w:abstractNumId w:val="1349"/>
  </w:num>
  <w:num w:numId="625">
    <w:abstractNumId w:val="975"/>
  </w:num>
  <w:num w:numId="626">
    <w:abstractNumId w:val="442"/>
  </w:num>
  <w:num w:numId="627">
    <w:abstractNumId w:val="502"/>
  </w:num>
  <w:num w:numId="628">
    <w:abstractNumId w:val="426"/>
  </w:num>
  <w:num w:numId="629">
    <w:abstractNumId w:val="418"/>
  </w:num>
  <w:num w:numId="630">
    <w:abstractNumId w:val="1336"/>
  </w:num>
  <w:num w:numId="631">
    <w:abstractNumId w:val="744"/>
  </w:num>
  <w:num w:numId="632">
    <w:abstractNumId w:val="1272"/>
  </w:num>
  <w:num w:numId="633">
    <w:abstractNumId w:val="1066"/>
  </w:num>
  <w:num w:numId="634">
    <w:abstractNumId w:val="10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239"/>
  </w:num>
  <w:num w:numId="636">
    <w:abstractNumId w:val="129"/>
  </w:num>
  <w:num w:numId="637">
    <w:abstractNumId w:val="1247"/>
  </w:num>
  <w:num w:numId="638">
    <w:abstractNumId w:val="892"/>
  </w:num>
  <w:num w:numId="639">
    <w:abstractNumId w:val="1213"/>
  </w:num>
  <w:num w:numId="640">
    <w:abstractNumId w:val="1213"/>
    <w:lvlOverride w:ilvl="0"/>
    <w:lvlOverride w:ilvl="1"/>
    <w:lvlOverride w:ilvl="2"/>
    <w:lvlOverride w:ilvl="3"/>
    <w:lvlOverride w:ilvl="4"/>
    <w:lvlOverride w:ilvl="5"/>
    <w:lvlOverride w:ilvl="6"/>
    <w:lvlOverride w:ilvl="7"/>
    <w:lvlOverride w:ilvl="8"/>
  </w:num>
  <w:num w:numId="641">
    <w:abstractNumId w:val="706"/>
  </w:num>
  <w:num w:numId="642">
    <w:abstractNumId w:val="546"/>
  </w:num>
  <w:num w:numId="643">
    <w:abstractNumId w:val="1275"/>
  </w:num>
  <w:num w:numId="644">
    <w:abstractNumId w:val="444"/>
  </w:num>
  <w:num w:numId="645">
    <w:abstractNumId w:val="1106"/>
  </w:num>
  <w:num w:numId="646">
    <w:abstractNumId w:val="356"/>
  </w:num>
  <w:num w:numId="647">
    <w:abstractNumId w:val="766"/>
  </w:num>
  <w:num w:numId="648">
    <w:abstractNumId w:val="611"/>
  </w:num>
  <w:num w:numId="649">
    <w:abstractNumId w:val="871"/>
  </w:num>
  <w:num w:numId="650">
    <w:abstractNumId w:val="138"/>
  </w:num>
  <w:num w:numId="651">
    <w:abstractNumId w:val="314"/>
  </w:num>
  <w:num w:numId="652">
    <w:abstractNumId w:val="411"/>
  </w:num>
  <w:num w:numId="653">
    <w:abstractNumId w:val="1228"/>
  </w:num>
  <w:num w:numId="654">
    <w:abstractNumId w:val="327"/>
  </w:num>
  <w:num w:numId="655">
    <w:abstractNumId w:val="1138"/>
  </w:num>
  <w:num w:numId="656">
    <w:abstractNumId w:val="433"/>
  </w:num>
  <w:num w:numId="657">
    <w:abstractNumId w:val="376"/>
  </w:num>
  <w:num w:numId="658">
    <w:abstractNumId w:val="1327"/>
  </w:num>
  <w:num w:numId="659">
    <w:abstractNumId w:val="534"/>
  </w:num>
  <w:num w:numId="660">
    <w:abstractNumId w:val="951"/>
  </w:num>
  <w:num w:numId="661">
    <w:abstractNumId w:val="296"/>
  </w:num>
  <w:num w:numId="662">
    <w:abstractNumId w:val="920"/>
  </w:num>
  <w:num w:numId="663">
    <w:abstractNumId w:val="979"/>
  </w:num>
  <w:num w:numId="664">
    <w:abstractNumId w:val="82"/>
  </w:num>
  <w:num w:numId="665">
    <w:abstractNumId w:val="1351"/>
  </w:num>
  <w:num w:numId="666">
    <w:abstractNumId w:val="652"/>
  </w:num>
  <w:num w:numId="667">
    <w:abstractNumId w:val="1067"/>
  </w:num>
  <w:num w:numId="668">
    <w:abstractNumId w:val="949"/>
  </w:num>
  <w:num w:numId="669">
    <w:abstractNumId w:val="626"/>
  </w:num>
  <w:num w:numId="670">
    <w:abstractNumId w:val="448"/>
  </w:num>
  <w:num w:numId="671">
    <w:abstractNumId w:val="1339"/>
  </w:num>
  <w:num w:numId="672">
    <w:abstractNumId w:val="118"/>
  </w:num>
  <w:num w:numId="673">
    <w:abstractNumId w:val="1353"/>
  </w:num>
  <w:num w:numId="674">
    <w:abstractNumId w:val="49"/>
  </w:num>
  <w:num w:numId="675">
    <w:abstractNumId w:val="430"/>
  </w:num>
  <w:num w:numId="676">
    <w:abstractNumId w:val="491"/>
  </w:num>
  <w:num w:numId="677">
    <w:abstractNumId w:val="641"/>
  </w:num>
  <w:num w:numId="678">
    <w:abstractNumId w:val="1232"/>
  </w:num>
  <w:num w:numId="679">
    <w:abstractNumId w:val="326"/>
  </w:num>
  <w:num w:numId="680">
    <w:abstractNumId w:val="1010"/>
  </w:num>
  <w:num w:numId="681">
    <w:abstractNumId w:val="1061"/>
  </w:num>
  <w:num w:numId="682">
    <w:abstractNumId w:val="61"/>
  </w:num>
  <w:num w:numId="683">
    <w:abstractNumId w:val="349"/>
  </w:num>
  <w:num w:numId="684">
    <w:abstractNumId w:val="726"/>
  </w:num>
  <w:num w:numId="685">
    <w:abstractNumId w:val="1022"/>
  </w:num>
  <w:num w:numId="686">
    <w:abstractNumId w:val="841"/>
  </w:num>
  <w:num w:numId="687">
    <w:abstractNumId w:val="1187"/>
  </w:num>
  <w:num w:numId="688">
    <w:abstractNumId w:val="741"/>
  </w:num>
  <w:num w:numId="689">
    <w:abstractNumId w:val="469"/>
  </w:num>
  <w:num w:numId="690">
    <w:abstractNumId w:val="813"/>
  </w:num>
  <w:num w:numId="691">
    <w:abstractNumId w:val="844"/>
  </w:num>
  <w:num w:numId="692">
    <w:abstractNumId w:val="280"/>
  </w:num>
  <w:num w:numId="693">
    <w:abstractNumId w:val="1134"/>
  </w:num>
  <w:num w:numId="694">
    <w:abstractNumId w:val="715"/>
  </w:num>
  <w:num w:numId="695">
    <w:abstractNumId w:val="312"/>
  </w:num>
  <w:num w:numId="696">
    <w:abstractNumId w:val="332"/>
  </w:num>
  <w:num w:numId="697">
    <w:abstractNumId w:val="28"/>
  </w:num>
  <w:num w:numId="698">
    <w:abstractNumId w:val="1135"/>
  </w:num>
  <w:num w:numId="699">
    <w:abstractNumId w:val="913"/>
  </w:num>
  <w:num w:numId="700">
    <w:abstractNumId w:val="1054"/>
  </w:num>
  <w:num w:numId="701">
    <w:abstractNumId w:val="470"/>
  </w:num>
  <w:num w:numId="702">
    <w:abstractNumId w:val="635"/>
  </w:num>
  <w:num w:numId="703">
    <w:abstractNumId w:val="1238"/>
  </w:num>
  <w:num w:numId="704">
    <w:abstractNumId w:val="1299"/>
  </w:num>
  <w:num w:numId="705">
    <w:abstractNumId w:val="1033"/>
  </w:num>
  <w:num w:numId="706">
    <w:abstractNumId w:val="62"/>
  </w:num>
  <w:num w:numId="707">
    <w:abstractNumId w:val="236"/>
  </w:num>
  <w:num w:numId="708">
    <w:abstractNumId w:val="740"/>
  </w:num>
  <w:num w:numId="709">
    <w:abstractNumId w:val="309"/>
  </w:num>
  <w:num w:numId="710">
    <w:abstractNumId w:val="48"/>
  </w:num>
  <w:num w:numId="711">
    <w:abstractNumId w:val="558"/>
  </w:num>
  <w:num w:numId="712">
    <w:abstractNumId w:val="1278"/>
  </w:num>
  <w:num w:numId="713">
    <w:abstractNumId w:val="148"/>
  </w:num>
  <w:num w:numId="714">
    <w:abstractNumId w:val="712"/>
  </w:num>
  <w:num w:numId="715">
    <w:abstractNumId w:val="404"/>
  </w:num>
  <w:num w:numId="716">
    <w:abstractNumId w:val="651"/>
  </w:num>
  <w:num w:numId="717">
    <w:abstractNumId w:val="462"/>
  </w:num>
  <w:num w:numId="718">
    <w:abstractNumId w:val="1158"/>
  </w:num>
  <w:num w:numId="719">
    <w:abstractNumId w:val="607"/>
  </w:num>
  <w:num w:numId="720">
    <w:abstractNumId w:val="74"/>
  </w:num>
  <w:num w:numId="721">
    <w:abstractNumId w:val="98"/>
  </w:num>
  <w:num w:numId="722">
    <w:abstractNumId w:val="1160"/>
  </w:num>
  <w:num w:numId="723">
    <w:abstractNumId w:val="775"/>
  </w:num>
  <w:num w:numId="724">
    <w:abstractNumId w:val="1087"/>
  </w:num>
  <w:num w:numId="725">
    <w:abstractNumId w:val="671"/>
  </w:num>
  <w:num w:numId="726">
    <w:abstractNumId w:val="1345"/>
  </w:num>
  <w:num w:numId="727">
    <w:abstractNumId w:val="80"/>
  </w:num>
  <w:num w:numId="728">
    <w:abstractNumId w:val="1354"/>
  </w:num>
  <w:num w:numId="729">
    <w:abstractNumId w:val="869"/>
  </w:num>
  <w:num w:numId="730">
    <w:abstractNumId w:val="671"/>
    <w:lvlOverride w:ilvl="0">
      <w:startOverride w:val="1"/>
    </w:lvlOverride>
  </w:num>
  <w:num w:numId="731">
    <w:abstractNumId w:val="587"/>
  </w:num>
  <w:num w:numId="732">
    <w:abstractNumId w:val="288"/>
  </w:num>
  <w:num w:numId="733">
    <w:abstractNumId w:val="594"/>
  </w:num>
  <w:num w:numId="734">
    <w:abstractNumId w:val="808"/>
  </w:num>
  <w:num w:numId="735">
    <w:abstractNumId w:val="637"/>
  </w:num>
  <w:num w:numId="736">
    <w:abstractNumId w:val="836"/>
  </w:num>
  <w:num w:numId="737">
    <w:abstractNumId w:val="87"/>
  </w:num>
  <w:num w:numId="738">
    <w:abstractNumId w:val="1217"/>
  </w:num>
  <w:num w:numId="739">
    <w:abstractNumId w:val="676"/>
  </w:num>
  <w:num w:numId="740">
    <w:abstractNumId w:val="1148"/>
  </w:num>
  <w:num w:numId="741">
    <w:abstractNumId w:val="536"/>
  </w:num>
  <w:num w:numId="742">
    <w:abstractNumId w:val="247"/>
  </w:num>
  <w:num w:numId="743">
    <w:abstractNumId w:val="718"/>
  </w:num>
  <w:num w:numId="744">
    <w:abstractNumId w:val="854"/>
  </w:num>
  <w:num w:numId="745">
    <w:abstractNumId w:val="135"/>
  </w:num>
  <w:num w:numId="746">
    <w:abstractNumId w:val="104"/>
  </w:num>
  <w:num w:numId="747">
    <w:abstractNumId w:val="113"/>
  </w:num>
  <w:num w:numId="748">
    <w:abstractNumId w:val="150"/>
  </w:num>
  <w:num w:numId="749">
    <w:abstractNumId w:val="72"/>
  </w:num>
  <w:num w:numId="750">
    <w:abstractNumId w:val="910"/>
  </w:num>
  <w:num w:numId="751">
    <w:abstractNumId w:val="753"/>
  </w:num>
  <w:num w:numId="752">
    <w:abstractNumId w:val="348"/>
  </w:num>
  <w:num w:numId="753">
    <w:abstractNumId w:val="1317"/>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0"/>
    <w:lvlOverride w:ilvl="0">
      <w:lvl w:ilvl="0">
        <w:numFmt w:val="bullet"/>
        <w:lvlText w:val="-"/>
        <w:legacy w:legacy="1" w:legacySpace="0" w:legacyIndent="360"/>
        <w:lvlJc w:val="left"/>
        <w:pPr>
          <w:ind w:left="360" w:hanging="360"/>
        </w:pPr>
      </w:lvl>
    </w:lvlOverride>
  </w:num>
  <w:num w:numId="7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142"/>
  </w:num>
  <w:num w:numId="762">
    <w:abstractNumId w:val="1142"/>
    <w:lvlOverride w:ilvl="0">
      <w:lvl w:ilvl="0">
        <w:start w:val="2"/>
        <w:numFmt w:val="decimal"/>
        <w:lvlText w:val="%1)"/>
        <w:legacy w:legacy="1" w:legacySpace="0" w:legacyIndent="360"/>
        <w:lvlJc w:val="left"/>
        <w:pPr>
          <w:ind w:left="360" w:hanging="360"/>
        </w:pPr>
      </w:lvl>
    </w:lvlOverride>
  </w:num>
  <w:num w:numId="763">
    <w:abstractNumId w:val="81"/>
  </w:num>
  <w:num w:numId="764">
    <w:abstractNumId w:val="1211"/>
  </w:num>
  <w:num w:numId="765">
    <w:abstractNumId w:val="1027"/>
  </w:num>
  <w:num w:numId="766">
    <w:abstractNumId w:val="1265"/>
  </w:num>
  <w:num w:numId="767">
    <w:abstractNumId w:val="380"/>
  </w:num>
  <w:num w:numId="768">
    <w:abstractNumId w:val="924"/>
  </w:num>
  <w:num w:numId="769">
    <w:abstractNumId w:val="1064"/>
  </w:num>
  <w:num w:numId="770">
    <w:abstractNumId w:val="964"/>
  </w:num>
  <w:num w:numId="771">
    <w:abstractNumId w:val="591"/>
  </w:num>
  <w:num w:numId="772">
    <w:abstractNumId w:val="620"/>
  </w:num>
  <w:num w:numId="773">
    <w:abstractNumId w:val="120"/>
  </w:num>
  <w:num w:numId="774">
    <w:abstractNumId w:val="1274"/>
  </w:num>
  <w:num w:numId="775">
    <w:abstractNumId w:val="1102"/>
  </w:num>
  <w:num w:numId="776">
    <w:abstractNumId w:val="1128"/>
  </w:num>
  <w:num w:numId="777">
    <w:abstractNumId w:val="1048"/>
  </w:num>
  <w:num w:numId="778">
    <w:abstractNumId w:val="330"/>
  </w:num>
  <w:num w:numId="779">
    <w:abstractNumId w:val="567"/>
  </w:num>
  <w:num w:numId="780">
    <w:abstractNumId w:val="1104"/>
  </w:num>
  <w:num w:numId="781">
    <w:abstractNumId w:val="1197"/>
  </w:num>
  <w:num w:numId="782">
    <w:abstractNumId w:val="367"/>
  </w:num>
  <w:num w:numId="783">
    <w:abstractNumId w:val="347"/>
  </w:num>
  <w:num w:numId="784">
    <w:abstractNumId w:val="1060"/>
  </w:num>
  <w:num w:numId="785">
    <w:abstractNumId w:val="337"/>
  </w:num>
  <w:num w:numId="786">
    <w:abstractNumId w:val="896"/>
  </w:num>
  <w:num w:numId="787">
    <w:abstractNumId w:val="339"/>
  </w:num>
  <w:num w:numId="788">
    <w:abstractNumId w:val="1294"/>
  </w:num>
  <w:num w:numId="789">
    <w:abstractNumId w:val="634"/>
  </w:num>
  <w:num w:numId="790">
    <w:abstractNumId w:val="479"/>
  </w:num>
  <w:num w:numId="791">
    <w:abstractNumId w:val="673"/>
  </w:num>
  <w:num w:numId="792">
    <w:abstractNumId w:val="670"/>
  </w:num>
  <w:num w:numId="793">
    <w:abstractNumId w:val="765"/>
  </w:num>
  <w:num w:numId="794">
    <w:abstractNumId w:val="638"/>
  </w:num>
  <w:num w:numId="795">
    <w:abstractNumId w:val="274"/>
  </w:num>
  <w:num w:numId="796">
    <w:abstractNumId w:val="697"/>
  </w:num>
  <w:num w:numId="797">
    <w:abstractNumId w:val="952"/>
  </w:num>
  <w:num w:numId="798">
    <w:abstractNumId w:val="782"/>
  </w:num>
  <w:num w:numId="799">
    <w:abstractNumId w:val="454"/>
  </w:num>
  <w:num w:numId="800">
    <w:abstractNumId w:val="865"/>
  </w:num>
  <w:num w:numId="801">
    <w:abstractNumId w:val="1243"/>
  </w:num>
  <w:num w:numId="802">
    <w:abstractNumId w:val="974"/>
  </w:num>
  <w:num w:numId="803">
    <w:abstractNumId w:val="1127"/>
  </w:num>
  <w:num w:numId="804">
    <w:abstractNumId w:val="852"/>
  </w:num>
  <w:num w:numId="805">
    <w:abstractNumId w:val="364"/>
  </w:num>
  <w:num w:numId="806">
    <w:abstractNumId w:val="336"/>
  </w:num>
  <w:num w:numId="807">
    <w:abstractNumId w:val="461"/>
  </w:num>
  <w:num w:numId="808">
    <w:abstractNumId w:val="552"/>
  </w:num>
  <w:num w:numId="809">
    <w:abstractNumId w:val="160"/>
  </w:num>
  <w:num w:numId="810">
    <w:abstractNumId w:val="257"/>
  </w:num>
  <w:num w:numId="811">
    <w:abstractNumId w:val="850"/>
  </w:num>
  <w:num w:numId="812">
    <w:abstractNumId w:val="940"/>
  </w:num>
  <w:num w:numId="813">
    <w:abstractNumId w:val="604"/>
  </w:num>
  <w:num w:numId="814">
    <w:abstractNumId w:val="928"/>
  </w:num>
  <w:num w:numId="815">
    <w:abstractNumId w:val="580"/>
  </w:num>
  <w:num w:numId="816">
    <w:abstractNumId w:val="365"/>
  </w:num>
  <w:num w:numId="817">
    <w:abstractNumId w:val="473"/>
  </w:num>
  <w:num w:numId="818">
    <w:abstractNumId w:val="197"/>
  </w:num>
  <w:num w:numId="819">
    <w:abstractNumId w:val="672"/>
  </w:num>
  <w:num w:numId="820">
    <w:abstractNumId w:val="714"/>
  </w:num>
  <w:num w:numId="821">
    <w:abstractNumId w:val="1018"/>
  </w:num>
  <w:num w:numId="822">
    <w:abstractNumId w:val="198"/>
  </w:num>
  <w:num w:numId="823">
    <w:abstractNumId w:val="943"/>
  </w:num>
  <w:num w:numId="824">
    <w:abstractNumId w:val="1293"/>
  </w:num>
  <w:num w:numId="825">
    <w:abstractNumId w:val="1136"/>
  </w:num>
  <w:num w:numId="826">
    <w:abstractNumId w:val="1015"/>
  </w:num>
  <w:num w:numId="827">
    <w:abstractNumId w:val="625"/>
  </w:num>
  <w:num w:numId="828">
    <w:abstractNumId w:val="763"/>
  </w:num>
  <w:num w:numId="829">
    <w:abstractNumId w:val="431"/>
  </w:num>
  <w:num w:numId="830">
    <w:abstractNumId w:val="719"/>
  </w:num>
  <w:num w:numId="831">
    <w:abstractNumId w:val="474"/>
  </w:num>
  <w:num w:numId="832">
    <w:abstractNumId w:val="880"/>
  </w:num>
  <w:num w:numId="833">
    <w:abstractNumId w:val="819"/>
  </w:num>
  <w:num w:numId="834">
    <w:abstractNumId w:val="583"/>
  </w:num>
  <w:num w:numId="835">
    <w:abstractNumId w:val="1189"/>
  </w:num>
  <w:num w:numId="836">
    <w:abstractNumId w:val="926"/>
  </w:num>
  <w:num w:numId="837">
    <w:abstractNumId w:val="1215"/>
  </w:num>
  <w:num w:numId="838">
    <w:abstractNumId w:val="1348"/>
  </w:num>
  <w:num w:numId="839">
    <w:abstractNumId w:val="1051"/>
  </w:num>
  <w:num w:numId="840">
    <w:abstractNumId w:val="357"/>
  </w:num>
  <w:num w:numId="841">
    <w:abstractNumId w:val="240"/>
  </w:num>
  <w:num w:numId="842">
    <w:abstractNumId w:val="1237"/>
  </w:num>
  <w:num w:numId="843">
    <w:abstractNumId w:val="936"/>
  </w:num>
  <w:num w:numId="844">
    <w:abstractNumId w:val="551"/>
  </w:num>
  <w:num w:numId="845">
    <w:abstractNumId w:val="1139"/>
  </w:num>
  <w:num w:numId="846">
    <w:abstractNumId w:val="54"/>
  </w:num>
  <w:num w:numId="847">
    <w:abstractNumId w:val="532"/>
  </w:num>
  <w:num w:numId="848">
    <w:abstractNumId w:val="929"/>
  </w:num>
  <w:num w:numId="849">
    <w:abstractNumId w:val="820"/>
  </w:num>
  <w:num w:numId="850">
    <w:abstractNumId w:val="508"/>
  </w:num>
  <w:num w:numId="851">
    <w:abstractNumId w:val="764"/>
  </w:num>
  <w:num w:numId="852">
    <w:abstractNumId w:val="629"/>
  </w:num>
  <w:num w:numId="853">
    <w:abstractNumId w:val="219"/>
  </w:num>
  <w:num w:numId="854">
    <w:abstractNumId w:val="616"/>
  </w:num>
  <w:num w:numId="855">
    <w:abstractNumId w:val="930"/>
  </w:num>
  <w:num w:numId="856">
    <w:abstractNumId w:val="37"/>
  </w:num>
  <w:num w:numId="857">
    <w:abstractNumId w:val="434"/>
  </w:num>
  <w:num w:numId="858">
    <w:abstractNumId w:val="143"/>
  </w:num>
  <w:num w:numId="859">
    <w:abstractNumId w:val="201"/>
  </w:num>
  <w:num w:numId="860">
    <w:abstractNumId w:val="1319"/>
  </w:num>
  <w:num w:numId="861">
    <w:abstractNumId w:val="946"/>
  </w:num>
  <w:num w:numId="862">
    <w:abstractNumId w:val="385"/>
  </w:num>
  <w:num w:numId="863">
    <w:abstractNumId w:val="767"/>
  </w:num>
  <w:num w:numId="864">
    <w:abstractNumId w:val="976"/>
  </w:num>
  <w:num w:numId="865">
    <w:abstractNumId w:val="977"/>
  </w:num>
  <w:num w:numId="866">
    <w:abstractNumId w:val="1080"/>
  </w:num>
  <w:num w:numId="867">
    <w:abstractNumId w:val="1256"/>
  </w:num>
  <w:num w:numId="868">
    <w:abstractNumId w:val="1303"/>
  </w:num>
  <w:num w:numId="869">
    <w:abstractNumId w:val="939"/>
  </w:num>
  <w:num w:numId="870">
    <w:abstractNumId w:val="1242"/>
  </w:num>
  <w:num w:numId="871">
    <w:abstractNumId w:val="152"/>
  </w:num>
  <w:num w:numId="872">
    <w:abstractNumId w:val="656"/>
  </w:num>
  <w:num w:numId="873">
    <w:abstractNumId w:val="403"/>
  </w:num>
  <w:num w:numId="874">
    <w:abstractNumId w:val="1004"/>
  </w:num>
  <w:num w:numId="875">
    <w:abstractNumId w:val="1178"/>
  </w:num>
  <w:num w:numId="876">
    <w:abstractNumId w:val="496"/>
  </w:num>
  <w:num w:numId="877">
    <w:abstractNumId w:val="1164"/>
  </w:num>
  <w:num w:numId="878">
    <w:abstractNumId w:val="845"/>
  </w:num>
  <w:num w:numId="879">
    <w:abstractNumId w:val="252"/>
  </w:num>
  <w:num w:numId="880">
    <w:abstractNumId w:val="447"/>
  </w:num>
  <w:num w:numId="881">
    <w:abstractNumId w:val="969"/>
  </w:num>
  <w:num w:numId="882">
    <w:abstractNumId w:val="47"/>
  </w:num>
  <w:num w:numId="883">
    <w:abstractNumId w:val="21"/>
  </w:num>
  <w:num w:numId="884">
    <w:abstractNumId w:val="601"/>
  </w:num>
  <w:num w:numId="885">
    <w:abstractNumId w:val="773"/>
  </w:num>
  <w:num w:numId="886">
    <w:abstractNumId w:val="23"/>
  </w:num>
  <w:num w:numId="887">
    <w:abstractNumId w:val="1172"/>
  </w:num>
  <w:num w:numId="888">
    <w:abstractNumId w:val="1129"/>
  </w:num>
  <w:num w:numId="889">
    <w:abstractNumId w:val="872"/>
  </w:num>
  <w:num w:numId="890">
    <w:abstractNumId w:val="439"/>
  </w:num>
  <w:num w:numId="891">
    <w:abstractNumId w:val="112"/>
  </w:num>
  <w:num w:numId="892">
    <w:abstractNumId w:val="1006"/>
  </w:num>
  <w:num w:numId="893">
    <w:abstractNumId w:val="791"/>
  </w:num>
  <w:num w:numId="894">
    <w:abstractNumId w:val="784"/>
  </w:num>
  <w:num w:numId="895">
    <w:abstractNumId w:val="354"/>
  </w:num>
  <w:num w:numId="896">
    <w:abstractNumId w:val="942"/>
  </w:num>
  <w:num w:numId="897">
    <w:abstractNumId w:val="31"/>
  </w:num>
  <w:num w:numId="898">
    <w:abstractNumId w:val="827"/>
  </w:num>
  <w:num w:numId="899">
    <w:abstractNumId w:val="451"/>
  </w:num>
  <w:num w:numId="900">
    <w:abstractNumId w:val="1109"/>
  </w:num>
  <w:num w:numId="901">
    <w:abstractNumId w:val="890"/>
  </w:num>
  <w:num w:numId="902">
    <w:abstractNumId w:val="184"/>
  </w:num>
  <w:num w:numId="903">
    <w:abstractNumId w:val="584"/>
  </w:num>
  <w:num w:numId="904">
    <w:abstractNumId w:val="1290"/>
  </w:num>
  <w:num w:numId="905">
    <w:abstractNumId w:val="683"/>
  </w:num>
  <w:num w:numId="906">
    <w:abstractNumId w:val="812"/>
  </w:num>
  <w:num w:numId="907">
    <w:abstractNumId w:val="163"/>
  </w:num>
  <w:num w:numId="908">
    <w:abstractNumId w:val="421"/>
  </w:num>
  <w:num w:numId="909">
    <w:abstractNumId w:val="911"/>
  </w:num>
  <w:num w:numId="910">
    <w:abstractNumId w:val="1316"/>
  </w:num>
  <w:num w:numId="911">
    <w:abstractNumId w:val="38"/>
  </w:num>
  <w:num w:numId="912">
    <w:abstractNumId w:val="960"/>
  </w:num>
  <w:num w:numId="913">
    <w:abstractNumId w:val="988"/>
  </w:num>
  <w:num w:numId="914">
    <w:abstractNumId w:val="654"/>
  </w:num>
  <w:num w:numId="915">
    <w:abstractNumId w:val="500"/>
  </w:num>
  <w:num w:numId="916">
    <w:abstractNumId w:val="691"/>
  </w:num>
  <w:num w:numId="917">
    <w:abstractNumId w:val="258"/>
  </w:num>
  <w:num w:numId="918">
    <w:abstractNumId w:val="1208"/>
  </w:num>
  <w:num w:numId="919">
    <w:abstractNumId w:val="829"/>
  </w:num>
  <w:num w:numId="920">
    <w:abstractNumId w:val="170"/>
  </w:num>
  <w:num w:numId="921">
    <w:abstractNumId w:val="12"/>
  </w:num>
  <w:num w:numId="922">
    <w:abstractNumId w:val="334"/>
  </w:num>
  <w:num w:numId="923">
    <w:abstractNumId w:val="905"/>
  </w:num>
  <w:num w:numId="924">
    <w:abstractNumId w:val="1229"/>
  </w:num>
  <w:num w:numId="925">
    <w:abstractNumId w:val="1350"/>
  </w:num>
  <w:num w:numId="926">
    <w:abstractNumId w:val="516"/>
  </w:num>
  <w:num w:numId="927">
    <w:abstractNumId w:val="725"/>
  </w:num>
  <w:num w:numId="928">
    <w:abstractNumId w:val="658"/>
  </w:num>
  <w:num w:numId="929">
    <w:abstractNumId w:val="665"/>
  </w:num>
  <w:num w:numId="930">
    <w:abstractNumId w:val="628"/>
  </w:num>
  <w:num w:numId="931">
    <w:abstractNumId w:val="799"/>
  </w:num>
  <w:num w:numId="932">
    <w:abstractNumId w:val="540"/>
  </w:num>
  <w:num w:numId="933">
    <w:abstractNumId w:val="520"/>
  </w:num>
  <w:num w:numId="934">
    <w:abstractNumId w:val="1026"/>
  </w:num>
  <w:num w:numId="935">
    <w:abstractNumId w:val="968"/>
  </w:num>
  <w:num w:numId="936">
    <w:abstractNumId w:val="162"/>
  </w:num>
  <w:num w:numId="937">
    <w:abstractNumId w:val="1053"/>
  </w:num>
  <w:num w:numId="938">
    <w:abstractNumId w:val="155"/>
  </w:num>
  <w:num w:numId="939">
    <w:abstractNumId w:val="10"/>
    <w:lvlOverride w:ilvl="0">
      <w:lvl w:ilvl="0">
        <w:numFmt w:val="bullet"/>
        <w:lvlText w:val=""/>
        <w:legacy w:legacy="1" w:legacySpace="0" w:legacyIndent="360"/>
        <w:lvlJc w:val="left"/>
        <w:rPr>
          <w:rFonts w:ascii="Symbol" w:hAnsi="Symbol" w:cs="Symbol" w:hint="default"/>
        </w:rPr>
      </w:lvl>
    </w:lvlOverride>
  </w:num>
  <w:num w:numId="940">
    <w:abstractNumId w:val="1313"/>
  </w:num>
  <w:num w:numId="941">
    <w:abstractNumId w:val="269"/>
  </w:num>
  <w:num w:numId="942">
    <w:abstractNumId w:val="176"/>
  </w:num>
  <w:num w:numId="943">
    <w:abstractNumId w:val="1088"/>
  </w:num>
  <w:num w:numId="944">
    <w:abstractNumId w:val="363"/>
  </w:num>
  <w:num w:numId="945">
    <w:abstractNumId w:val="902"/>
  </w:num>
  <w:num w:numId="946">
    <w:abstractNumId w:val="110"/>
  </w:num>
  <w:num w:numId="947">
    <w:abstractNumId w:val="68"/>
  </w:num>
  <w:num w:numId="948">
    <w:abstractNumId w:val="603"/>
  </w:num>
  <w:num w:numId="949">
    <w:abstractNumId w:val="1337"/>
  </w:num>
  <w:num w:numId="950">
    <w:abstractNumId w:val="83"/>
  </w:num>
  <w:num w:numId="951">
    <w:abstractNumId w:val="133"/>
    <w:lvlOverride w:ilvl="0">
      <w:startOverride w:val="1"/>
    </w:lvlOverride>
  </w:num>
  <w:num w:numId="952">
    <w:abstractNumId w:val="1298"/>
  </w:num>
  <w:num w:numId="953">
    <w:abstractNumId w:val="856"/>
  </w:num>
  <w:num w:numId="954">
    <w:abstractNumId w:val="231"/>
  </w:num>
  <w:num w:numId="955">
    <w:abstractNumId w:val="10"/>
    <w:lvlOverride w:ilvl="0">
      <w:lvl w:ilvl="0">
        <w:numFmt w:val="bullet"/>
        <w:lvlText w:val=""/>
        <w:legacy w:legacy="1" w:legacySpace="0" w:legacyIndent="360"/>
        <w:lvlJc w:val="left"/>
        <w:rPr>
          <w:rFonts w:ascii="Symbol" w:hAnsi="Symbol" w:hint="default"/>
        </w:rPr>
      </w:lvl>
    </w:lvlOverride>
  </w:num>
  <w:num w:numId="956">
    <w:abstractNumId w:val="932"/>
  </w:num>
  <w:num w:numId="957">
    <w:abstractNumId w:val="503"/>
  </w:num>
  <w:num w:numId="958">
    <w:abstractNumId w:val="966"/>
  </w:num>
  <w:num w:numId="959">
    <w:abstractNumId w:val="55"/>
  </w:num>
  <w:num w:numId="960">
    <w:abstractNumId w:val="730"/>
  </w:num>
  <w:num w:numId="961">
    <w:abstractNumId w:val="58"/>
  </w:num>
  <w:num w:numId="962">
    <w:abstractNumId w:val="680"/>
  </w:num>
  <w:num w:numId="963">
    <w:abstractNumId w:val="1117"/>
  </w:num>
  <w:num w:numId="964">
    <w:abstractNumId w:val="694"/>
  </w:num>
  <w:num w:numId="965">
    <w:abstractNumId w:val="682"/>
  </w:num>
  <w:num w:numId="966">
    <w:abstractNumId w:val="223"/>
  </w:num>
  <w:num w:numId="967">
    <w:abstractNumId w:val="1057"/>
  </w:num>
  <w:num w:numId="968">
    <w:abstractNumId w:val="1042"/>
  </w:num>
  <w:num w:numId="969">
    <w:abstractNumId w:val="698"/>
  </w:num>
  <w:num w:numId="970">
    <w:abstractNumId w:val="24"/>
  </w:num>
  <w:num w:numId="971">
    <w:abstractNumId w:val="783"/>
  </w:num>
  <w:num w:numId="972">
    <w:abstractNumId w:val="720"/>
  </w:num>
  <w:num w:numId="973">
    <w:abstractNumId w:val="708"/>
  </w:num>
  <w:num w:numId="974">
    <w:abstractNumId w:val="308"/>
  </w:num>
  <w:num w:numId="975">
    <w:abstractNumId w:val="255"/>
  </w:num>
  <w:num w:numId="976">
    <w:abstractNumId w:val="903"/>
  </w:num>
  <w:num w:numId="977">
    <w:abstractNumId w:val="262"/>
  </w:num>
  <w:num w:numId="978">
    <w:abstractNumId w:val="488"/>
  </w:num>
  <w:num w:numId="979">
    <w:abstractNumId w:val="141"/>
  </w:num>
  <w:num w:numId="980">
    <w:abstractNumId w:val="468"/>
  </w:num>
  <w:num w:numId="981">
    <w:abstractNumId w:val="878"/>
  </w:num>
  <w:num w:numId="982">
    <w:abstractNumId w:val="1210"/>
  </w:num>
  <w:num w:numId="983">
    <w:abstractNumId w:val="1011"/>
  </w:num>
  <w:num w:numId="984">
    <w:abstractNumId w:val="1081"/>
  </w:num>
  <w:num w:numId="985">
    <w:abstractNumId w:val="84"/>
  </w:num>
  <w:num w:numId="986">
    <w:abstractNumId w:val="268"/>
  </w:num>
  <w:num w:numId="987">
    <w:abstractNumId w:val="1286"/>
  </w:num>
  <w:num w:numId="988">
    <w:abstractNumId w:val="883"/>
  </w:num>
  <w:num w:numId="989">
    <w:abstractNumId w:val="934"/>
  </w:num>
  <w:num w:numId="990">
    <w:abstractNumId w:val="1125"/>
  </w:num>
  <w:num w:numId="991">
    <w:abstractNumId w:val="499"/>
  </w:num>
  <w:num w:numId="992">
    <w:abstractNumId w:val="390"/>
  </w:num>
  <w:num w:numId="993">
    <w:abstractNumId w:val="493"/>
  </w:num>
  <w:num w:numId="994">
    <w:abstractNumId w:val="419"/>
  </w:num>
  <w:num w:numId="995">
    <w:abstractNumId w:val="322"/>
  </w:num>
  <w:num w:numId="996">
    <w:abstractNumId w:val="1181"/>
  </w:num>
  <w:num w:numId="997">
    <w:abstractNumId w:val="35"/>
  </w:num>
  <w:num w:numId="998">
    <w:abstractNumId w:val="615"/>
  </w:num>
  <w:num w:numId="999">
    <w:abstractNumId w:val="109"/>
  </w:num>
  <w:num w:numId="1000">
    <w:abstractNumId w:val="99"/>
  </w:num>
  <w:num w:numId="1001">
    <w:abstractNumId w:val="525"/>
  </w:num>
  <w:num w:numId="1002">
    <w:abstractNumId w:val="1321"/>
  </w:num>
  <w:num w:numId="1003">
    <w:abstractNumId w:val="593"/>
  </w:num>
  <w:num w:numId="1004">
    <w:abstractNumId w:val="1105"/>
  </w:num>
  <w:num w:numId="1005">
    <w:abstractNumId w:val="1200"/>
  </w:num>
  <w:num w:numId="1006">
    <w:abstractNumId w:val="264"/>
  </w:num>
  <w:num w:numId="1007">
    <w:abstractNumId w:val="897"/>
  </w:num>
  <w:num w:numId="1008">
    <w:abstractNumId w:val="559"/>
  </w:num>
  <w:num w:numId="1009">
    <w:abstractNumId w:val="1190"/>
  </w:num>
  <w:num w:numId="1010">
    <w:abstractNumId w:val="497"/>
  </w:num>
  <w:num w:numId="1011">
    <w:abstractNumId w:val="1140"/>
  </w:num>
  <w:num w:numId="1012">
    <w:abstractNumId w:val="1126"/>
  </w:num>
  <w:num w:numId="1013">
    <w:abstractNumId w:val="1244"/>
  </w:num>
  <w:num w:numId="1014">
    <w:abstractNumId w:val="574"/>
  </w:num>
  <w:num w:numId="1015">
    <w:abstractNumId w:val="39"/>
  </w:num>
  <w:num w:numId="1016">
    <w:abstractNumId w:val="828"/>
  </w:num>
  <w:num w:numId="1017">
    <w:abstractNumId w:val="466"/>
  </w:num>
  <w:num w:numId="1018">
    <w:abstractNumId w:val="882"/>
  </w:num>
  <w:num w:numId="1019">
    <w:abstractNumId w:val="1268"/>
  </w:num>
  <w:num w:numId="1020">
    <w:abstractNumId w:val="398"/>
  </w:num>
  <w:num w:numId="1021">
    <w:abstractNumId w:val="967"/>
  </w:num>
  <w:num w:numId="1022">
    <w:abstractNumId w:val="1047"/>
  </w:num>
  <w:num w:numId="1023">
    <w:abstractNumId w:val="917"/>
  </w:num>
  <w:num w:numId="1024">
    <w:abstractNumId w:val="254"/>
  </w:num>
  <w:num w:numId="1025">
    <w:abstractNumId w:val="735"/>
  </w:num>
  <w:num w:numId="1026">
    <w:abstractNumId w:val="1315"/>
  </w:num>
  <w:num w:numId="1027">
    <w:abstractNumId w:val="1159"/>
  </w:num>
  <w:num w:numId="1028">
    <w:abstractNumId w:val="335"/>
  </w:num>
  <w:num w:numId="1029">
    <w:abstractNumId w:val="843"/>
  </w:num>
  <w:num w:numId="1030">
    <w:abstractNumId w:val="994"/>
  </w:num>
  <w:num w:numId="1031">
    <w:abstractNumId w:val="858"/>
  </w:num>
  <w:num w:numId="1032">
    <w:abstractNumId w:val="195"/>
  </w:num>
  <w:num w:numId="1033">
    <w:abstractNumId w:val="734"/>
  </w:num>
  <w:num w:numId="1034">
    <w:abstractNumId w:val="157"/>
  </w:num>
  <w:num w:numId="1035">
    <w:abstractNumId w:val="1020"/>
  </w:num>
  <w:num w:numId="1036">
    <w:abstractNumId w:val="346"/>
  </w:num>
  <w:num w:numId="1037">
    <w:abstractNumId w:val="1169"/>
  </w:num>
  <w:num w:numId="1038">
    <w:abstractNumId w:val="815"/>
  </w:num>
  <w:num w:numId="1039">
    <w:abstractNumId w:val="1331"/>
  </w:num>
  <w:num w:numId="1040">
    <w:abstractNumId w:val="492"/>
  </w:num>
  <w:num w:numId="1041">
    <w:abstractNumId w:val="1150"/>
  </w:num>
  <w:num w:numId="1042">
    <w:abstractNumId w:val="1226"/>
  </w:num>
  <w:num w:numId="1043">
    <w:abstractNumId w:val="545"/>
  </w:num>
  <w:num w:numId="1044">
    <w:abstractNumId w:val="1019"/>
  </w:num>
  <w:num w:numId="1045">
    <w:abstractNumId w:val="183"/>
  </w:num>
  <w:num w:numId="1046">
    <w:abstractNumId w:val="1309"/>
  </w:num>
  <w:num w:numId="1047">
    <w:abstractNumId w:val="232"/>
  </w:num>
  <w:num w:numId="1048">
    <w:abstractNumId w:val="388"/>
  </w:num>
  <w:num w:numId="1049">
    <w:abstractNumId w:val="566"/>
  </w:num>
  <w:num w:numId="1050">
    <w:abstractNumId w:val="408"/>
  </w:num>
  <w:num w:numId="1051">
    <w:abstractNumId w:val="412"/>
  </w:num>
  <w:num w:numId="1052">
    <w:abstractNumId w:val="1103"/>
  </w:num>
  <w:num w:numId="1053">
    <w:abstractNumId w:val="997"/>
  </w:num>
  <w:num w:numId="1054">
    <w:abstractNumId w:val="1001"/>
  </w:num>
  <w:num w:numId="1055">
    <w:abstractNumId w:val="861"/>
  </w:num>
  <w:num w:numId="1056">
    <w:abstractNumId w:val="1092"/>
  </w:num>
  <w:num w:numId="1057">
    <w:abstractNumId w:val="596"/>
  </w:num>
  <w:num w:numId="1058">
    <w:abstractNumId w:val="273"/>
  </w:num>
  <w:num w:numId="1059">
    <w:abstractNumId w:val="1045"/>
  </w:num>
  <w:num w:numId="1060">
    <w:abstractNumId w:val="182"/>
  </w:num>
  <w:num w:numId="1061">
    <w:abstractNumId w:val="489"/>
  </w:num>
  <w:num w:numId="1062">
    <w:abstractNumId w:val="179"/>
  </w:num>
  <w:num w:numId="1063">
    <w:abstractNumId w:val="899"/>
  </w:num>
  <w:num w:numId="1064">
    <w:abstractNumId w:val="208"/>
  </w:num>
  <w:num w:numId="1065">
    <w:abstractNumId w:val="242"/>
  </w:num>
  <w:num w:numId="1066">
    <w:abstractNumId w:val="818"/>
  </w:num>
  <w:num w:numId="1067">
    <w:abstractNumId w:val="906"/>
  </w:num>
  <w:num w:numId="1068">
    <w:abstractNumId w:val="44"/>
  </w:num>
  <w:num w:numId="1069">
    <w:abstractNumId w:val="311"/>
  </w:num>
  <w:num w:numId="1070">
    <w:abstractNumId w:val="1343"/>
  </w:num>
  <w:num w:numId="1071">
    <w:abstractNumId w:val="742"/>
  </w:num>
  <w:num w:numId="1072">
    <w:abstractNumId w:val="530"/>
  </w:num>
  <w:num w:numId="1073">
    <w:abstractNumId w:val="1332"/>
  </w:num>
  <w:num w:numId="1074">
    <w:abstractNumId w:val="298"/>
  </w:num>
  <w:num w:numId="1075">
    <w:abstractNumId w:val="205"/>
  </w:num>
  <w:num w:numId="1076">
    <w:abstractNumId w:val="778"/>
  </w:num>
  <w:num w:numId="1077">
    <w:abstractNumId w:val="1280"/>
  </w:num>
  <w:num w:numId="1078">
    <w:abstractNumId w:val="1038"/>
  </w:num>
  <w:num w:numId="1079">
    <w:abstractNumId w:val="297"/>
  </w:num>
  <w:num w:numId="1080">
    <w:abstractNumId w:val="1021"/>
  </w:num>
  <w:num w:numId="1081">
    <w:abstractNumId w:val="914"/>
  </w:num>
  <w:num w:numId="1082">
    <w:abstractNumId w:val="955"/>
  </w:num>
  <w:num w:numId="1083">
    <w:abstractNumId w:val="1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1084">
    <w:abstractNumId w:val="67"/>
  </w:num>
  <w:num w:numId="1085">
    <w:abstractNumId w:val="547"/>
  </w:num>
  <w:num w:numId="1086">
    <w:abstractNumId w:val="785"/>
  </w:num>
  <w:num w:numId="1087">
    <w:abstractNumId w:val="204"/>
  </w:num>
  <w:num w:numId="1088">
    <w:abstractNumId w:val="1214"/>
  </w:num>
  <w:num w:numId="1089">
    <w:abstractNumId w:val="572"/>
  </w:num>
  <w:num w:numId="1090">
    <w:abstractNumId w:val="124"/>
  </w:num>
  <w:num w:numId="1091">
    <w:abstractNumId w:val="1147"/>
  </w:num>
  <w:num w:numId="1092">
    <w:abstractNumId w:val="1062"/>
  </w:num>
  <w:num w:numId="1093">
    <w:abstractNumId w:val="1344"/>
  </w:num>
  <w:num w:numId="1094">
    <w:abstractNumId w:val="1017"/>
  </w:num>
  <w:num w:numId="1095">
    <w:abstractNumId w:val="494"/>
  </w:num>
  <w:num w:numId="1096">
    <w:abstractNumId w:val="639"/>
  </w:num>
  <w:num w:numId="1097">
    <w:abstractNumId w:val="632"/>
  </w:num>
  <w:num w:numId="1098">
    <w:abstractNumId w:val="14"/>
  </w:num>
  <w:num w:numId="1099">
    <w:abstractNumId w:val="101"/>
  </w:num>
  <w:num w:numId="1100">
    <w:abstractNumId w:val="402"/>
  </w:num>
  <w:num w:numId="1101">
    <w:abstractNumId w:val="91"/>
  </w:num>
  <w:num w:numId="1102">
    <w:abstractNumId w:val="116"/>
  </w:num>
  <w:num w:numId="1103">
    <w:abstractNumId w:val="937"/>
  </w:num>
  <w:num w:numId="1104">
    <w:abstractNumId w:val="293"/>
  </w:num>
  <w:num w:numId="1105">
    <w:abstractNumId w:val="235"/>
  </w:num>
  <w:num w:numId="1106">
    <w:abstractNumId w:val="573"/>
  </w:num>
  <w:num w:numId="1107">
    <w:abstractNumId w:val="159"/>
  </w:num>
  <w:num w:numId="1108">
    <w:abstractNumId w:val="193"/>
  </w:num>
  <w:num w:numId="1109">
    <w:abstractNumId w:val="233"/>
  </w:num>
  <w:num w:numId="1110">
    <w:abstractNumId w:val="754"/>
  </w:num>
  <w:num w:numId="1111">
    <w:abstractNumId w:val="1113"/>
  </w:num>
  <w:num w:numId="1112">
    <w:abstractNumId w:val="1039"/>
  </w:num>
  <w:num w:numId="1113">
    <w:abstractNumId w:val="1240"/>
  </w:num>
  <w:num w:numId="1114">
    <w:abstractNumId w:val="1014"/>
  </w:num>
  <w:num w:numId="1115">
    <w:abstractNumId w:val="996"/>
  </w:num>
  <w:num w:numId="1116">
    <w:abstractNumId w:val="477"/>
  </w:num>
  <w:num w:numId="1117">
    <w:abstractNumId w:val="304"/>
  </w:num>
  <w:num w:numId="1118">
    <w:abstractNumId w:val="922"/>
  </w:num>
  <w:num w:numId="1119">
    <w:abstractNumId w:val="253"/>
  </w:num>
  <w:num w:numId="1120">
    <w:abstractNumId w:val="522"/>
  </w:num>
  <w:num w:numId="1121">
    <w:abstractNumId w:val="478"/>
  </w:num>
  <w:num w:numId="1122">
    <w:abstractNumId w:val="1347"/>
  </w:num>
  <w:num w:numId="1123">
    <w:abstractNumId w:val="950"/>
  </w:num>
  <w:num w:numId="1124">
    <w:abstractNumId w:val="1301"/>
  </w:num>
  <w:num w:numId="1125">
    <w:abstractNumId w:val="381"/>
  </w:num>
  <w:num w:numId="1126">
    <w:abstractNumId w:val="215"/>
  </w:num>
  <w:num w:numId="1127">
    <w:abstractNumId w:val="282"/>
  </w:num>
  <w:num w:numId="1128">
    <w:abstractNumId w:val="136"/>
  </w:num>
  <w:num w:numId="1129">
    <w:abstractNumId w:val="33"/>
  </w:num>
  <w:num w:numId="1130">
    <w:abstractNumId w:val="172"/>
  </w:num>
  <w:num w:numId="1131">
    <w:abstractNumId w:val="147"/>
  </w:num>
  <w:num w:numId="1132">
    <w:abstractNumId w:val="923"/>
  </w:num>
  <w:num w:numId="1133">
    <w:abstractNumId w:val="1356"/>
  </w:num>
  <w:num w:numId="1134">
    <w:abstractNumId w:val="581"/>
  </w:num>
  <w:num w:numId="1135">
    <w:abstractNumId w:val="990"/>
  </w:num>
  <w:num w:numId="1136">
    <w:abstractNumId w:val="1112"/>
  </w:num>
  <w:num w:numId="1137">
    <w:abstractNumId w:val="458"/>
  </w:num>
  <w:num w:numId="1138">
    <w:abstractNumId w:val="40"/>
  </w:num>
  <w:num w:numId="1139">
    <w:abstractNumId w:val="501"/>
  </w:num>
  <w:num w:numId="1140">
    <w:abstractNumId w:val="678"/>
  </w:num>
  <w:num w:numId="1141">
    <w:abstractNumId w:val="180"/>
  </w:num>
  <w:num w:numId="1142">
    <w:abstractNumId w:val="1221"/>
  </w:num>
  <w:num w:numId="1143">
    <w:abstractNumId w:val="422"/>
  </w:num>
  <w:num w:numId="1144">
    <w:abstractNumId w:val="761"/>
  </w:num>
  <w:num w:numId="1145">
    <w:abstractNumId w:val="1101"/>
  </w:num>
  <w:num w:numId="1146">
    <w:abstractNumId w:val="105"/>
  </w:num>
  <w:num w:numId="1147">
    <w:abstractNumId w:val="181"/>
  </w:num>
  <w:num w:numId="1148">
    <w:abstractNumId w:val="1357"/>
  </w:num>
  <w:num w:numId="1149">
    <w:abstractNumId w:val="10"/>
    <w:lvlOverride w:ilvl="0">
      <w:lvl w:ilvl="0">
        <w:start w:val="1"/>
        <w:numFmt w:val="bullet"/>
        <w:lvlText w:val="–"/>
        <w:legacy w:legacy="1" w:legacySpace="0" w:legacyIndent="284"/>
        <w:lvlJc w:val="left"/>
        <w:rPr>
          <w:rFonts w:ascii="Times New Roman" w:hAnsi="Times New Roman" w:hint="default"/>
        </w:rPr>
      </w:lvl>
    </w:lvlOverride>
  </w:num>
  <w:num w:numId="1150">
    <w:abstractNumId w:val="980"/>
  </w:num>
  <w:num w:numId="1151">
    <w:abstractNumId w:val="57"/>
  </w:num>
  <w:num w:numId="1152">
    <w:abstractNumId w:val="511"/>
  </w:num>
  <w:num w:numId="1153">
    <w:abstractNumId w:val="1194"/>
  </w:num>
  <w:num w:numId="1154">
    <w:abstractNumId w:val="315"/>
    <w:lvlOverride w:ilvl="0">
      <w:startOverride w:val="1"/>
    </w:lvlOverride>
  </w:num>
  <w:num w:numId="1155">
    <w:abstractNumId w:val="1199"/>
    <w:lvlOverride w:ilvl="0"/>
  </w:num>
  <w:num w:numId="1156">
    <w:abstractNumId w:val="382"/>
    <w:lvlOverride w:ilvl="0"/>
  </w:num>
  <w:num w:numId="1157">
    <w:abstractNumId w:val="358"/>
    <w:lvlOverride w:ilvl="0">
      <w:startOverride w:val="1"/>
    </w:lvlOverride>
  </w:num>
  <w:num w:numId="1158">
    <w:abstractNumId w:val="73"/>
    <w:lvlOverride w:ilvl="0"/>
  </w:num>
  <w:num w:numId="1159">
    <w:abstractNumId w:val="1216"/>
    <w:lvlOverride w:ilvl="0"/>
  </w:num>
  <w:num w:numId="1160">
    <w:abstractNumId w:val="1288"/>
  </w:num>
  <w:num w:numId="1161">
    <w:abstractNumId w:val="739"/>
  </w:num>
  <w:num w:numId="1162">
    <w:abstractNumId w:val="956"/>
  </w:num>
  <w:num w:numId="1163">
    <w:abstractNumId w:val="151"/>
  </w:num>
  <w:num w:numId="1164">
    <w:abstractNumId w:val="1107"/>
  </w:num>
  <w:num w:numId="1165">
    <w:abstractNumId w:val="790"/>
  </w:num>
  <w:num w:numId="1166">
    <w:abstractNumId w:val="471"/>
  </w:num>
  <w:num w:numId="1167">
    <w:abstractNumId w:val="729"/>
  </w:num>
  <w:num w:numId="1168">
    <w:abstractNumId w:val="1122"/>
  </w:num>
  <w:num w:numId="1169">
    <w:abstractNumId w:val="876"/>
  </w:num>
  <w:num w:numId="1170">
    <w:abstractNumId w:val="393"/>
  </w:num>
  <w:num w:numId="1171">
    <w:abstractNumId w:val="319"/>
  </w:num>
  <w:num w:numId="1172">
    <w:abstractNumId w:val="212"/>
  </w:num>
  <w:num w:numId="1173">
    <w:abstractNumId w:val="3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5">
    <w:abstractNumId w:val="10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6">
    <w:abstractNumId w:val="5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7">
    <w:abstractNumId w:val="2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8">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9">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0">
    <w:abstractNumId w:val="7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1">
    <w:abstractNumId w:val="11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2">
    <w:abstractNumId w:val="8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131"/>
  </w:num>
  <w:num w:numId="1184">
    <w:abstractNumId w:val="779"/>
  </w:num>
  <w:num w:numId="1185">
    <w:abstractNumId w:val="234"/>
  </w:num>
  <w:num w:numId="1186">
    <w:abstractNumId w:val="1063"/>
  </w:num>
  <w:num w:numId="1187">
    <w:abstractNumId w:val="709"/>
  </w:num>
  <w:num w:numId="1188">
    <w:abstractNumId w:val="210"/>
  </w:num>
  <w:num w:numId="1189">
    <w:abstractNumId w:val="1090"/>
  </w:num>
  <w:num w:numId="1190">
    <w:abstractNumId w:val="42"/>
  </w:num>
  <w:num w:numId="1191">
    <w:abstractNumId w:val="1267"/>
  </w:num>
  <w:num w:numId="1192">
    <w:abstractNumId w:val="971"/>
  </w:num>
  <w:num w:numId="1193">
    <w:abstractNumId w:val="598"/>
  </w:num>
  <w:num w:numId="1194">
    <w:abstractNumId w:val="737"/>
  </w:num>
  <w:num w:numId="1195">
    <w:abstractNumId w:val="375"/>
  </w:num>
  <w:num w:numId="1196">
    <w:abstractNumId w:val="918"/>
  </w:num>
  <w:num w:numId="1197">
    <w:abstractNumId w:val="839"/>
  </w:num>
  <w:num w:numId="1198">
    <w:abstractNumId w:val="541"/>
  </w:num>
  <w:num w:numId="1199">
    <w:abstractNumId w:val="884"/>
  </w:num>
  <w:num w:numId="1200">
    <w:abstractNumId w:val="738"/>
  </w:num>
  <w:num w:numId="1201">
    <w:abstractNumId w:val="106"/>
  </w:num>
  <w:num w:numId="1202">
    <w:abstractNumId w:val="1329"/>
  </w:num>
  <w:num w:numId="1203">
    <w:abstractNumId w:val="389"/>
  </w:num>
  <w:num w:numId="1204">
    <w:abstractNumId w:val="617"/>
  </w:num>
  <w:num w:numId="1205">
    <w:abstractNumId w:val="75"/>
  </w:num>
  <w:num w:numId="1206">
    <w:abstractNumId w:val="925"/>
  </w:num>
  <w:num w:numId="1207">
    <w:abstractNumId w:val="401"/>
  </w:num>
  <w:num w:numId="1208">
    <w:abstractNumId w:val="689"/>
  </w:num>
  <w:num w:numId="1209">
    <w:abstractNumId w:val="237"/>
  </w:num>
  <w:num w:numId="1210">
    <w:abstractNumId w:val="1180"/>
  </w:num>
  <w:num w:numId="1211">
    <w:abstractNumId w:val="941"/>
  </w:num>
  <w:num w:numId="1212">
    <w:abstractNumId w:val="816"/>
  </w:num>
  <w:num w:numId="1213">
    <w:abstractNumId w:val="1005"/>
  </w:num>
  <w:num w:numId="1214">
    <w:abstractNumId w:val="278"/>
  </w:num>
  <w:num w:numId="1215">
    <w:abstractNumId w:val="528"/>
  </w:num>
  <w:num w:numId="1216">
    <w:abstractNumId w:val="518"/>
  </w:num>
  <w:num w:numId="1217">
    <w:abstractNumId w:val="797"/>
  </w:num>
  <w:num w:numId="1218">
    <w:abstractNumId w:val="1083"/>
  </w:num>
  <w:num w:numId="1219">
    <w:abstractNumId w:val="423"/>
  </w:num>
  <w:num w:numId="1220">
    <w:abstractNumId w:val="664"/>
  </w:num>
  <w:num w:numId="1221">
    <w:abstractNumId w:val="1261"/>
  </w:num>
  <w:num w:numId="1222">
    <w:abstractNumId w:val="1225"/>
  </w:num>
  <w:num w:numId="1223">
    <w:abstractNumId w:val="1009"/>
  </w:num>
  <w:num w:numId="1224">
    <w:abstractNumId w:val="1352"/>
  </w:num>
  <w:num w:numId="1225">
    <w:abstractNumId w:val="825"/>
  </w:num>
  <w:num w:numId="1226">
    <w:abstractNumId w:val="90"/>
  </w:num>
  <w:num w:numId="1227">
    <w:abstractNumId w:val="341"/>
  </w:num>
  <w:num w:numId="1228">
    <w:abstractNumId w:val="554"/>
  </w:num>
  <w:num w:numId="1229">
    <w:abstractNumId w:val="342"/>
  </w:num>
  <w:num w:numId="1230">
    <w:abstractNumId w:val="762"/>
  </w:num>
  <w:num w:numId="1231">
    <w:abstractNumId w:val="455"/>
  </w:num>
  <w:num w:numId="1232">
    <w:abstractNumId w:val="692"/>
  </w:num>
  <w:num w:numId="1233">
    <w:abstractNumId w:val="1108"/>
  </w:num>
  <w:num w:numId="1234">
    <w:abstractNumId w:val="149"/>
  </w:num>
  <w:num w:numId="1235">
    <w:abstractNumId w:val="505"/>
  </w:num>
  <w:num w:numId="1236">
    <w:abstractNumId w:val="284"/>
  </w:num>
  <w:num w:numId="1237">
    <w:abstractNumId w:val="931"/>
  </w:num>
  <w:num w:numId="1238">
    <w:abstractNumId w:val="85"/>
  </w:num>
  <w:num w:numId="1239">
    <w:abstractNumId w:val="361"/>
  </w:num>
  <w:num w:numId="1240">
    <w:abstractNumId w:val="1195"/>
  </w:num>
  <w:num w:numId="1241">
    <w:abstractNumId w:val="386"/>
  </w:num>
  <w:num w:numId="1242">
    <w:abstractNumId w:val="512"/>
  </w:num>
  <w:num w:numId="1243">
    <w:abstractNumId w:val="1207"/>
  </w:num>
  <w:num w:numId="1244">
    <w:abstractNumId w:val="981"/>
  </w:num>
  <w:num w:numId="1245">
    <w:abstractNumId w:val="569"/>
  </w:num>
  <w:num w:numId="1246">
    <w:abstractNumId w:val="631"/>
  </w:num>
  <w:num w:numId="1247">
    <w:abstractNumId w:val="227"/>
  </w:num>
  <w:num w:numId="1248">
    <w:abstractNumId w:val="731"/>
  </w:num>
  <w:num w:numId="1249">
    <w:abstractNumId w:val="1032"/>
  </w:num>
  <w:num w:numId="1250">
    <w:abstractNumId w:val="646"/>
  </w:num>
  <w:num w:numId="1251">
    <w:abstractNumId w:val="1132"/>
  </w:num>
  <w:num w:numId="1252">
    <w:abstractNumId w:val="834"/>
  </w:num>
  <w:num w:numId="1253">
    <w:abstractNumId w:val="1209"/>
  </w:num>
  <w:num w:numId="1254">
    <w:abstractNumId w:val="507"/>
  </w:num>
  <w:num w:numId="1255">
    <w:abstractNumId w:val="1111"/>
  </w:num>
  <w:num w:numId="1256">
    <w:abstractNumId w:val="537"/>
  </w:num>
  <w:num w:numId="1257">
    <w:abstractNumId w:val="985"/>
  </w:num>
  <w:num w:numId="1258">
    <w:abstractNumId w:val="877"/>
  </w:num>
  <w:num w:numId="1259">
    <w:abstractNumId w:val="131"/>
  </w:num>
  <w:num w:numId="1260">
    <w:abstractNumId w:val="623"/>
  </w:num>
  <w:num w:numId="1261">
    <w:abstractNumId w:val="1305"/>
  </w:num>
  <w:num w:numId="1262">
    <w:abstractNumId w:val="563"/>
  </w:num>
  <w:num w:numId="1263">
    <w:abstractNumId w:val="867"/>
  </w:num>
  <w:num w:numId="1264">
    <w:abstractNumId w:val="292"/>
  </w:num>
  <w:num w:numId="1265">
    <w:abstractNumId w:val="164"/>
  </w:num>
  <w:num w:numId="1266">
    <w:abstractNumId w:val="481"/>
  </w:num>
  <w:num w:numId="1267">
    <w:abstractNumId w:val="70"/>
  </w:num>
  <w:num w:numId="1268">
    <w:abstractNumId w:val="849"/>
  </w:num>
  <w:num w:numId="1269">
    <w:abstractNumId w:val="1260"/>
  </w:num>
  <w:num w:numId="1270">
    <w:abstractNumId w:val="684"/>
  </w:num>
  <w:num w:numId="1271">
    <w:abstractNumId w:val="1310"/>
  </w:num>
  <w:num w:numId="1272">
    <w:abstractNumId w:val="1266"/>
  </w:num>
  <w:num w:numId="1273">
    <w:abstractNumId w:val="270"/>
  </w:num>
  <w:num w:numId="1274">
    <w:abstractNumId w:val="539"/>
  </w:num>
  <w:num w:numId="1275">
    <w:abstractNumId w:val="1023"/>
  </w:num>
  <w:num w:numId="1276">
    <w:abstractNumId w:val="1098"/>
  </w:num>
  <w:num w:numId="1277">
    <w:abstractNumId w:val="1185"/>
  </w:num>
  <w:num w:numId="1278">
    <w:abstractNumId w:val="211"/>
  </w:num>
  <w:num w:numId="1279">
    <w:abstractNumId w:val="927"/>
  </w:num>
  <w:num w:numId="1280">
    <w:abstractNumId w:val="305"/>
  </w:num>
  <w:num w:numId="1281">
    <w:abstractNumId w:val="265"/>
  </w:num>
  <w:num w:numId="1282">
    <w:abstractNumId w:val="289"/>
  </w:num>
  <w:num w:numId="1283">
    <w:abstractNumId w:val="1028"/>
  </w:num>
  <w:num w:numId="1284">
    <w:abstractNumId w:val="1220"/>
  </w:num>
  <w:num w:numId="1285">
    <w:abstractNumId w:val="1071"/>
  </w:num>
  <w:num w:numId="1286">
    <w:abstractNumId w:val="428"/>
  </w:num>
  <w:num w:numId="1287">
    <w:abstractNumId w:val="677"/>
  </w:num>
  <w:num w:numId="1288">
    <w:abstractNumId w:val="747"/>
  </w:num>
  <w:num w:numId="1289">
    <w:abstractNumId w:val="912"/>
  </w:num>
  <w:num w:numId="1290">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91">
    <w:abstractNumId w:val="1270"/>
  </w:num>
  <w:num w:numId="1292">
    <w:abstractNumId w:val="1110"/>
  </w:num>
  <w:num w:numId="1293">
    <w:abstractNumId w:val="88"/>
  </w:num>
  <w:num w:numId="1294">
    <w:abstractNumId w:val="793"/>
  </w:num>
  <w:num w:numId="1295">
    <w:abstractNumId w:val="437"/>
  </w:num>
  <w:num w:numId="1296">
    <w:abstractNumId w:val="789"/>
  </w:num>
  <w:num w:numId="1297">
    <w:abstractNumId w:val="291"/>
  </w:num>
  <w:num w:numId="1298">
    <w:abstractNumId w:val="948"/>
  </w:num>
  <w:num w:numId="1299">
    <w:abstractNumId w:val="60"/>
  </w:num>
  <w:num w:numId="1300">
    <w:abstractNumId w:val="373"/>
  </w:num>
  <w:num w:numId="1301">
    <w:abstractNumId w:val="1152"/>
  </w:num>
  <w:num w:numId="1302">
    <w:abstractNumId w:val="1165"/>
  </w:num>
  <w:num w:numId="1303">
    <w:abstractNumId w:val="993"/>
  </w:num>
  <w:num w:numId="1304">
    <w:abstractNumId w:val="513"/>
  </w:num>
  <w:num w:numId="1305">
    <w:abstractNumId w:val="685"/>
  </w:num>
  <w:num w:numId="1306">
    <w:abstractNumId w:val="36"/>
  </w:num>
  <w:num w:numId="1307">
    <w:abstractNumId w:val="463"/>
  </w:num>
  <w:num w:numId="1308">
    <w:abstractNumId w:val="835"/>
  </w:num>
  <w:num w:numId="1309">
    <w:abstractNumId w:val="621"/>
  </w:num>
  <w:num w:numId="1310">
    <w:abstractNumId w:val="879"/>
  </w:num>
  <w:num w:numId="1311">
    <w:abstractNumId w:val="420"/>
  </w:num>
  <w:num w:numId="1312">
    <w:abstractNumId w:val="894"/>
  </w:num>
  <w:num w:numId="1313">
    <w:abstractNumId w:val="1359"/>
  </w:num>
  <w:num w:numId="1314">
    <w:abstractNumId w:val="894"/>
    <w:lvlOverride w:ilvl="0">
      <w:startOverride w:val="38"/>
    </w:lvlOverride>
    <w:lvlOverride w:ilvl="1">
      <w:startOverride w:val="2"/>
    </w:lvlOverride>
  </w:num>
  <w:num w:numId="1315">
    <w:abstractNumId w:val="894"/>
    <w:lvlOverride w:ilvl="0">
      <w:startOverride w:val="99"/>
    </w:lvlOverride>
    <w:lvlOverride w:ilvl="1">
      <w:startOverride w:val="3"/>
    </w:lvlOverride>
  </w:num>
  <w:num w:numId="1316">
    <w:abstractNumId w:val="679"/>
  </w:num>
  <w:num w:numId="1317">
    <w:abstractNumId w:val="1304"/>
  </w:num>
  <w:num w:numId="1318">
    <w:abstractNumId w:val="982"/>
  </w:num>
  <w:num w:numId="1319">
    <w:abstractNumId w:val="295"/>
  </w:num>
  <w:num w:numId="1320">
    <w:abstractNumId w:val="565"/>
  </w:num>
  <w:num w:numId="1321">
    <w:abstractNumId w:val="1069"/>
  </w:num>
  <w:num w:numId="1322">
    <w:abstractNumId w:val="1223"/>
  </w:num>
  <w:num w:numId="1323">
    <w:abstractNumId w:val="1093"/>
  </w:num>
  <w:num w:numId="1324">
    <w:abstractNumId w:val="814"/>
  </w:num>
  <w:num w:numId="1325">
    <w:abstractNumId w:val="307"/>
  </w:num>
  <w:num w:numId="1326">
    <w:abstractNumId w:val="962"/>
  </w:num>
  <w:num w:numId="1327">
    <w:abstractNumId w:val="710"/>
  </w:num>
  <w:num w:numId="1328">
    <w:abstractNumId w:val="970"/>
  </w:num>
  <w:num w:numId="1329">
    <w:abstractNumId w:val="145"/>
  </w:num>
  <w:num w:numId="1330">
    <w:abstractNumId w:val="571"/>
  </w:num>
  <w:num w:numId="1331">
    <w:abstractNumId w:val="553"/>
  </w:num>
  <w:num w:numId="1332">
    <w:abstractNumId w:val="371"/>
  </w:num>
  <w:num w:numId="1333">
    <w:abstractNumId w:val="662"/>
  </w:num>
  <w:num w:numId="1334">
    <w:abstractNumId w:val="1302"/>
  </w:num>
  <w:num w:numId="1335">
    <w:abstractNumId w:val="690"/>
  </w:num>
  <w:num w:numId="1336">
    <w:abstractNumId w:val="1175"/>
  </w:num>
  <w:num w:numId="1337">
    <w:abstractNumId w:val="560"/>
  </w:num>
  <w:num w:numId="1338">
    <w:abstractNumId w:val="759"/>
  </w:num>
  <w:num w:numId="1339">
    <w:abstractNumId w:val="400"/>
  </w:num>
  <w:num w:numId="1340">
    <w:abstractNumId w:val="352"/>
  </w:num>
  <w:num w:numId="1341">
    <w:abstractNumId w:val="224"/>
  </w:num>
  <w:num w:numId="1342">
    <w:abstractNumId w:val="1219"/>
  </w:num>
  <w:num w:numId="1343">
    <w:abstractNumId w:val="945"/>
  </w:num>
  <w:num w:numId="1344">
    <w:abstractNumId w:val="895"/>
  </w:num>
  <w:num w:numId="1345">
    <w:abstractNumId w:val="982"/>
    <w:lvlOverride w:ilvl="0">
      <w:startOverride w:val="1"/>
    </w:lvlOverride>
    <w:lvlOverride w:ilvl="1">
      <w:startOverride w:val="1"/>
    </w:lvlOverride>
    <w:lvlOverride w:ilvl="2">
      <w:startOverride w:val="1"/>
    </w:lvlOverride>
  </w:num>
  <w:num w:numId="1346">
    <w:abstractNumId w:val="1170"/>
  </w:num>
  <w:num w:numId="1347">
    <w:abstractNumId w:val="1170"/>
  </w:num>
  <w:num w:numId="1348">
    <w:abstractNumId w:val="1170"/>
  </w:num>
  <w:num w:numId="1349">
    <w:abstractNumId w:val="1170"/>
  </w:num>
  <w:num w:numId="1350">
    <w:abstractNumId w:val="1170"/>
  </w:num>
  <w:num w:numId="1351">
    <w:abstractNumId w:val="1170"/>
  </w:num>
  <w:num w:numId="1352">
    <w:abstractNumId w:val="1170"/>
  </w:num>
  <w:num w:numId="1353">
    <w:abstractNumId w:val="1170"/>
  </w:num>
  <w:num w:numId="1354">
    <w:abstractNumId w:val="1170"/>
  </w:num>
  <w:num w:numId="1355">
    <w:abstractNumId w:val="1170"/>
  </w:num>
  <w:num w:numId="1356">
    <w:abstractNumId w:val="1170"/>
  </w:num>
  <w:num w:numId="1357">
    <w:abstractNumId w:val="1170"/>
  </w:num>
  <w:num w:numId="1358">
    <w:abstractNumId w:val="1170"/>
  </w:num>
  <w:num w:numId="1359">
    <w:abstractNumId w:val="1170"/>
  </w:num>
  <w:num w:numId="1360">
    <w:abstractNumId w:val="1170"/>
  </w:num>
  <w:num w:numId="1361">
    <w:abstractNumId w:val="1170"/>
  </w:num>
  <w:num w:numId="1362">
    <w:abstractNumId w:val="1170"/>
  </w:num>
  <w:num w:numId="1363">
    <w:abstractNumId w:val="1170"/>
  </w:num>
  <w:num w:numId="1364">
    <w:abstractNumId w:val="127"/>
  </w:num>
  <w:num w:numId="1365">
    <w:abstractNumId w:val="329"/>
  </w:num>
  <w:num w:numId="1366">
    <w:abstractNumId w:val="1077"/>
  </w:num>
  <w:num w:numId="1367">
    <w:abstractNumId w:val="781"/>
  </w:num>
  <w:num w:numId="1368">
    <w:abstractNumId w:val="387"/>
  </w:num>
  <w:num w:numId="1369">
    <w:abstractNumId w:val="1340"/>
  </w:num>
  <w:num w:numId="1370">
    <w:abstractNumId w:val="909"/>
  </w:num>
  <w:num w:numId="1371">
    <w:abstractNumId w:val="1341"/>
  </w:num>
  <w:num w:numId="1372">
    <w:abstractNumId w:val="862"/>
  </w:num>
  <w:num w:numId="1373">
    <w:abstractNumId w:val="424"/>
  </w:num>
  <w:num w:numId="1374">
    <w:abstractNumId w:val="660"/>
  </w:num>
  <w:num w:numId="1375">
    <w:abstractNumId w:val="467"/>
  </w:num>
  <w:num w:numId="1376">
    <w:abstractNumId w:val="749"/>
  </w:num>
  <w:num w:numId="1377">
    <w:abstractNumId w:val="272"/>
  </w:num>
  <w:num w:numId="1378">
    <w:abstractNumId w:val="399"/>
  </w:num>
  <w:num w:numId="1379">
    <w:abstractNumId w:val="438"/>
  </w:num>
  <w:num w:numId="1380">
    <w:abstractNumId w:val="1320"/>
  </w:num>
  <w:num w:numId="1381">
    <w:abstractNumId w:val="108"/>
  </w:num>
  <w:num w:numId="1382">
    <w:abstractNumId w:val="1167"/>
  </w:num>
  <w:num w:numId="1383">
    <w:abstractNumId w:val="1031"/>
  </w:num>
  <w:num w:numId="1384">
    <w:abstractNumId w:val="576"/>
  </w:num>
  <w:num w:numId="1385">
    <w:abstractNumId w:val="801"/>
  </w:num>
  <w:num w:numId="1386">
    <w:abstractNumId w:val="86"/>
  </w:num>
  <w:num w:numId="1387">
    <w:abstractNumId w:val="394"/>
  </w:num>
  <w:num w:numId="1388">
    <w:abstractNumId w:val="1287"/>
  </w:num>
  <w:num w:numId="1389">
    <w:abstractNumId w:val="636"/>
  </w:num>
  <w:num w:numId="1390">
    <w:abstractNumId w:val="549"/>
  </w:num>
  <w:num w:numId="1391">
    <w:abstractNumId w:val="1155"/>
  </w:num>
  <w:num w:numId="1392">
    <w:abstractNumId w:val="535"/>
  </w:num>
  <w:num w:numId="1393">
    <w:abstractNumId w:val="1119"/>
  </w:num>
  <w:num w:numId="1394">
    <w:abstractNumId w:val="630"/>
  </w:num>
  <w:num w:numId="1395">
    <w:abstractNumId w:val="653"/>
  </w:num>
  <w:num w:numId="1396">
    <w:abstractNumId w:val="213"/>
  </w:num>
  <w:num w:numId="1397">
    <w:abstractNumId w:val="627"/>
  </w:num>
  <w:num w:numId="1398">
    <w:abstractNumId w:val="405"/>
  </w:num>
  <w:num w:numId="1399">
    <w:abstractNumId w:val="13"/>
  </w:num>
  <w:num w:numId="1400">
    <w:abstractNumId w:val="1277"/>
  </w:num>
  <w:num w:numId="1401">
    <w:abstractNumId w:val="833"/>
  </w:num>
  <w:num w:numId="1402">
    <w:abstractNumId w:val="333"/>
  </w:num>
  <w:num w:numId="1403">
    <w:abstractNumId w:val="851"/>
  </w:num>
  <w:num w:numId="1404">
    <w:abstractNumId w:val="1123"/>
  </w:num>
  <w:num w:numId="1405">
    <w:abstractNumId w:val="830"/>
  </w:num>
  <w:num w:numId="1406">
    <w:abstractNumId w:val="1114"/>
  </w:num>
  <w:num w:numId="1407">
    <w:abstractNumId w:val="1204"/>
  </w:num>
  <w:num w:numId="1408">
    <w:abstractNumId w:val="1049"/>
  </w:num>
  <w:num w:numId="1409">
    <w:abstractNumId w:val="595"/>
  </w:num>
  <w:num w:numId="1410">
    <w:abstractNumId w:val="1069"/>
    <w:lvlOverride w:ilvl="0">
      <w:startOverride w:val="1"/>
    </w:lvlOverride>
  </w:num>
  <w:num w:numId="1411">
    <w:abstractNumId w:val="18"/>
  </w:num>
  <w:num w:numId="1412">
    <w:abstractNumId w:val="1170"/>
  </w:num>
  <w:num w:numId="1413">
    <w:abstractNumId w:val="1170"/>
  </w:num>
  <w:num w:numId="1414">
    <w:abstractNumId w:val="1170"/>
  </w:num>
  <w:num w:numId="1415">
    <w:abstractNumId w:val="1170"/>
  </w:num>
  <w:num w:numId="1416">
    <w:abstractNumId w:val="1170"/>
  </w:num>
  <w:num w:numId="1417">
    <w:abstractNumId w:val="1170"/>
  </w:num>
  <w:num w:numId="1418">
    <w:abstractNumId w:val="1170"/>
  </w:num>
  <w:num w:numId="1419">
    <w:abstractNumId w:val="1170"/>
  </w:num>
  <w:num w:numId="1420">
    <w:abstractNumId w:val="1170"/>
  </w:num>
  <w:num w:numId="1421">
    <w:abstractNumId w:val="1170"/>
  </w:num>
  <w:num w:numId="1422">
    <w:abstractNumId w:val="1170"/>
  </w:num>
  <w:num w:numId="1423">
    <w:abstractNumId w:val="1170"/>
  </w:num>
  <w:num w:numId="1424">
    <w:abstractNumId w:val="1170"/>
  </w:num>
  <w:num w:numId="1425">
    <w:abstractNumId w:val="1170"/>
  </w:num>
  <w:num w:numId="1426">
    <w:abstractNumId w:val="1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B8F"/>
    <w:rsid w:val="00821B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spacing w:after="240" w:line="360" w:lineRule="exact"/>
      <w:jc w:val="center"/>
    </w:pPr>
    <w:rPr>
      <w:rFonts w:eastAsia="SimHei"/>
      <w:bCs/>
      <w:color w:val="FF0000"/>
      <w:sz w:val="24"/>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after="240" w:line="3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paragraph" w:customStyle="1" w:styleId="font5">
    <w:name w:val="font5"/>
    <w:basedOn w:val="Normal"/>
    <w:pPr>
      <w:widowControl/>
      <w:adjustRightInd/>
      <w:spacing w:before="100" w:beforeAutospacing="1" w:after="100" w:afterAutospacing="1" w:line="240" w:lineRule="auto"/>
      <w:jc w:val="left"/>
      <w:textAlignment w:val="auto"/>
    </w:pPr>
    <w:rPr>
      <w:rFonts w:ascii="Arial" w:eastAsia="Arial Unicode MS" w:hAnsi="Arial" w:cs="Arial"/>
      <w:sz w:val="16"/>
      <w:szCs w:val="16"/>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Arial" w:eastAsia="Arial Unicode MS" w:hAnsi="Arial" w:cs="Arial"/>
      <w:sz w:val="18"/>
      <w:szCs w:val="18"/>
    </w:rPr>
  </w:style>
  <w:style w:type="paragraph" w:customStyle="1" w:styleId="font7">
    <w:name w:val="font7"/>
    <w:basedOn w:val="Normal"/>
    <w:pPr>
      <w:widowControl/>
      <w:adjustRightInd/>
      <w:spacing w:before="100" w:beforeAutospacing="1" w:after="100" w:afterAutospacing="1" w:line="240" w:lineRule="auto"/>
      <w:jc w:val="left"/>
      <w:textAlignment w:val="auto"/>
    </w:pPr>
    <w:rPr>
      <w:rFonts w:ascii="Arial" w:eastAsia="Arial Unicode MS" w:hAnsi="Arial" w:cs="Arial"/>
      <w:b/>
      <w:bCs/>
      <w:sz w:val="18"/>
      <w:szCs w:val="18"/>
    </w:rPr>
  </w:style>
  <w:style w:type="paragraph" w:customStyle="1" w:styleId="font8">
    <w:name w:val="font8"/>
    <w:basedOn w:val="Normal"/>
    <w:pPr>
      <w:widowControl/>
      <w:adjustRightInd/>
      <w:spacing w:before="100" w:beforeAutospacing="1" w:after="100" w:afterAutospacing="1" w:line="240" w:lineRule="auto"/>
      <w:jc w:val="left"/>
      <w:textAlignment w:val="auto"/>
    </w:pPr>
    <w:rPr>
      <w:rFonts w:ascii="Arial" w:eastAsia="Arial Unicode MS" w:hAnsi="Arial" w:cs="Arial"/>
      <w:i/>
      <w:iCs/>
      <w:sz w:val="16"/>
      <w:szCs w:val="16"/>
    </w:rPr>
  </w:style>
  <w:style w:type="paragraph" w:customStyle="1" w:styleId="font9">
    <w:name w:val="font9"/>
    <w:basedOn w:val="Normal"/>
    <w:pPr>
      <w:widowControl/>
      <w:adjustRightInd/>
      <w:spacing w:before="100" w:beforeAutospacing="1" w:after="100" w:afterAutospacing="1" w:line="240" w:lineRule="auto"/>
      <w:jc w:val="left"/>
      <w:textAlignment w:val="auto"/>
    </w:pPr>
    <w:rPr>
      <w:rFonts w:ascii="SimSun" w:hAnsi="SimSun" w:cs="Arial Unicode MS" w:hint="eastAsia"/>
      <w:sz w:val="18"/>
      <w:szCs w:val="18"/>
    </w:rPr>
  </w:style>
  <w:style w:type="paragraph" w:customStyle="1" w:styleId="xl25">
    <w:name w:val="xl25"/>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6">
    <w:name w:val="xl26"/>
    <w:basedOn w:val="Normal"/>
    <w:pPr>
      <w:widowControl/>
      <w:pBdr>
        <w:top w:val="single" w:sz="4" w:space="0" w:color="auto"/>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7">
    <w:name w:val="xl27"/>
    <w:basedOn w:val="Normal"/>
    <w:pPr>
      <w:widowControl/>
      <w:pBdr>
        <w:top w:val="single" w:sz="4" w:space="0" w:color="auto"/>
        <w:left w:val="single" w:sz="4"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8">
    <w:name w:val="xl28"/>
    <w:basedOn w:val="Normal"/>
    <w:pPr>
      <w:widowControl/>
      <w:pBdr>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0">
    <w:name w:val="xl30"/>
    <w:basedOn w:val="Normal"/>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1">
    <w:name w:val="xl31"/>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2">
    <w:name w:val="xl32"/>
    <w:basedOn w:val="Normal"/>
    <w:pPr>
      <w:widowControl/>
      <w:shd w:val="clear" w:color="auto" w:fill="C0C0C0"/>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3">
    <w:name w:val="xl33"/>
    <w:basedOn w:val="Normal"/>
    <w:pPr>
      <w:widowControl/>
      <w:pBdr>
        <w:top w:val="single" w:sz="8" w:space="0" w:color="auto"/>
        <w:left w:val="single" w:sz="8"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MAC C Swiss" w:eastAsia="Arial Unicode MS" w:hAnsi="MAC C Swiss" w:cs="Arial Unicode MS"/>
      <w:b/>
      <w:bCs/>
      <w:sz w:val="18"/>
      <w:szCs w:val="18"/>
    </w:rPr>
  </w:style>
  <w:style w:type="paragraph" w:customStyle="1" w:styleId="xl34">
    <w:name w:val="xl34"/>
    <w:basedOn w:val="Normal"/>
    <w:pPr>
      <w:widowControl/>
      <w:pBdr>
        <w:left w:val="single" w:sz="8"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MAC C Swiss" w:eastAsia="Arial Unicode MS" w:hAnsi="MAC C Swiss" w:cs="Arial Unicode MS"/>
      <w:b/>
      <w:bCs/>
      <w:sz w:val="18"/>
      <w:szCs w:val="18"/>
    </w:rPr>
  </w:style>
  <w:style w:type="paragraph" w:customStyle="1" w:styleId="xl35">
    <w:name w:val="xl35"/>
    <w:basedOn w:val="Normal"/>
    <w:pPr>
      <w:widowControl/>
      <w:pBdr>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6">
    <w:name w:val="xl36"/>
    <w:basedOn w:val="Normal"/>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7">
    <w:name w:val="xl37"/>
    <w:basedOn w:val="Normal"/>
    <w:pPr>
      <w:widowControl/>
      <w:pBdr>
        <w:top w:val="single" w:sz="4" w:space="0" w:color="auto"/>
        <w:left w:val="single" w:sz="4"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8">
    <w:name w:val="xl38"/>
    <w:basedOn w:val="Normal"/>
    <w:pPr>
      <w:widowControl/>
      <w:pBdr>
        <w:top w:val="single" w:sz="8"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39">
    <w:name w:val="xl39"/>
    <w:basedOn w:val="Normal"/>
    <w:pPr>
      <w:widowControl/>
      <w:pBdr>
        <w:top w:val="single" w:sz="8"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0">
    <w:name w:val="xl40"/>
    <w:basedOn w:val="Normal"/>
    <w:pPr>
      <w:widowControl/>
      <w:pBdr>
        <w:top w:val="single" w:sz="8" w:space="0" w:color="auto"/>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1">
    <w:name w:val="xl41"/>
    <w:basedOn w:val="Normal"/>
    <w:pPr>
      <w:widowControl/>
      <w:pBdr>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2">
    <w:name w:val="xl42"/>
    <w:basedOn w:val="Normal"/>
    <w:pPr>
      <w:widowControl/>
      <w:pBdr>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MAC C Swiss" w:eastAsia="Arial Unicode MS" w:hAnsi="MAC C Swiss" w:cs="Arial Unicode MS"/>
      <w:sz w:val="18"/>
      <w:szCs w:val="18"/>
    </w:rPr>
  </w:style>
  <w:style w:type="paragraph" w:customStyle="1" w:styleId="xl43">
    <w:name w:val="xl43"/>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MAC C Swiss" w:eastAsia="Arial Unicode MS" w:hAnsi="MAC C Swiss" w:cs="Arial Unicode MS"/>
      <w:sz w:val="18"/>
      <w:szCs w:val="18"/>
    </w:rPr>
  </w:style>
  <w:style w:type="paragraph" w:customStyle="1" w:styleId="xl45">
    <w:name w:val="xl45"/>
    <w:basedOn w:val="Normal"/>
    <w:pPr>
      <w:widowControl/>
      <w:pBdr>
        <w:top w:val="single" w:sz="4" w:space="0" w:color="auto"/>
        <w:left w:val="single" w:sz="8"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6">
    <w:name w:val="xl46"/>
    <w:basedOn w:val="Normal"/>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right"/>
      <w:textAlignment w:val="center"/>
    </w:pPr>
    <w:rPr>
      <w:rFonts w:ascii="MAC C Swiss" w:eastAsia="Arial Unicode MS" w:hAnsi="MAC C Swiss" w:cs="Arial Unicode MS"/>
      <w:sz w:val="18"/>
      <w:szCs w:val="18"/>
    </w:rPr>
  </w:style>
  <w:style w:type="paragraph" w:customStyle="1" w:styleId="xl47">
    <w:name w:val="xl47"/>
    <w:basedOn w:val="Normal"/>
    <w:pPr>
      <w:widowControl/>
      <w:pBdr>
        <w:top w:val="single" w:sz="8" w:space="0" w:color="auto"/>
        <w:left w:val="single" w:sz="8"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8">
    <w:name w:val="xl48"/>
    <w:basedOn w:val="Normal"/>
    <w:pPr>
      <w:widowControl/>
      <w:pBdr>
        <w:top w:val="single" w:sz="8" w:space="0" w:color="auto"/>
        <w:bottom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49">
    <w:name w:val="xl49"/>
    <w:basedOn w:val="Normal"/>
    <w:pPr>
      <w:widowControl/>
      <w:pBdr>
        <w:top w:val="single" w:sz="8" w:space="0" w:color="auto"/>
        <w:bottom w:val="single" w:sz="8"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0">
    <w:name w:val="xl50"/>
    <w:basedOn w:val="Normal"/>
    <w:pPr>
      <w:widowControl/>
      <w:pBdr>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1">
    <w:name w:val="xl51"/>
    <w:basedOn w:val="Normal"/>
    <w:pPr>
      <w:widowControl/>
      <w:pBdr>
        <w:left w:val="single" w:sz="4" w:space="0" w:color="auto"/>
        <w:bottom w:val="single" w:sz="4" w:space="0" w:color="auto"/>
        <w:right w:val="single" w:sz="8"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2">
    <w:name w:val="xl52"/>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53">
    <w:name w:val="xl53"/>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sz w:val="18"/>
      <w:szCs w:val="18"/>
    </w:rPr>
  </w:style>
  <w:style w:type="paragraph" w:customStyle="1" w:styleId="xl54">
    <w:name w:val="xl54"/>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i/>
      <w:iCs/>
      <w:sz w:val="18"/>
      <w:szCs w:val="18"/>
    </w:rPr>
  </w:style>
  <w:style w:type="paragraph" w:customStyle="1" w:styleId="xl55">
    <w:name w:val="xl55"/>
    <w:basedOn w:val="Normal"/>
    <w:pPr>
      <w:widowControl/>
      <w:adjustRightInd/>
      <w:spacing w:before="100" w:beforeAutospacing="1" w:after="100" w:afterAutospacing="1" w:line="240" w:lineRule="auto"/>
      <w:jc w:val="left"/>
      <w:textAlignment w:val="center"/>
    </w:pPr>
    <w:rPr>
      <w:rFonts w:ascii="MAC C Swiss" w:eastAsia="Arial Unicode MS" w:hAnsi="MAC C Swiss" w:cs="Arial Unicode MS"/>
      <w:sz w:val="16"/>
      <w:szCs w:val="16"/>
    </w:rPr>
  </w:style>
  <w:style w:type="paragraph" w:customStyle="1" w:styleId="xl56">
    <w:name w:val="xl56"/>
    <w:basedOn w:val="Normal"/>
    <w:pPr>
      <w:widowControl/>
      <w:pBdr>
        <w:top w:val="single" w:sz="8" w:space="0" w:color="auto"/>
        <w:left w:val="single" w:sz="8"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57">
    <w:name w:val="xl57"/>
    <w:basedOn w:val="Normal"/>
    <w:pPr>
      <w:widowControl/>
      <w:shd w:val="clear" w:color="auto" w:fill="C0C0C0"/>
      <w:adjustRightInd/>
      <w:spacing w:before="100" w:beforeAutospacing="1" w:after="100" w:afterAutospacing="1" w:line="240" w:lineRule="auto"/>
      <w:jc w:val="left"/>
      <w:textAlignment w:val="center"/>
    </w:pPr>
    <w:rPr>
      <w:rFonts w:ascii="Arial Unicode MS" w:eastAsia="Arial Unicode MS" w:hAnsi="Arial Unicode MS" w:cs="Arial Unicode MS"/>
      <w:b/>
      <w:bCs/>
      <w:sz w:val="18"/>
      <w:szCs w:val="18"/>
    </w:rPr>
  </w:style>
  <w:style w:type="paragraph" w:customStyle="1" w:styleId="xl58">
    <w:name w:val="xl58"/>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Arial Unicode MS" w:eastAsia="Arial Unicode MS" w:hAnsi="Arial Unicode MS" w:cs="Arial Unicode MS"/>
      <w:sz w:val="18"/>
      <w:szCs w:val="18"/>
    </w:rPr>
  </w:style>
  <w:style w:type="paragraph" w:customStyle="1" w:styleId="xl59">
    <w:name w:val="xl59"/>
    <w:basedOn w:val="Normal"/>
    <w:pPr>
      <w:widowControl/>
      <w:pBdr>
        <w:top w:val="single" w:sz="4"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60">
    <w:name w:val="xl60"/>
    <w:basedOn w:val="Normal"/>
    <w:pPr>
      <w:widowControl/>
      <w:pBdr>
        <w:top w:val="single" w:sz="4" w:space="0" w:color="auto"/>
        <w:left w:val="single" w:sz="8" w:space="0" w:color="auto"/>
        <w:bottom w:val="single" w:sz="8" w:space="0" w:color="auto"/>
        <w:right w:val="single" w:sz="4" w:space="0" w:color="auto"/>
      </w:pBdr>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61">
    <w:name w:val="xl61"/>
    <w:basedOn w:val="Normal"/>
    <w:pPr>
      <w:widowControl/>
      <w:adjustRightInd/>
      <w:spacing w:before="100" w:beforeAutospacing="1" w:after="100" w:afterAutospacing="1" w:line="240" w:lineRule="auto"/>
      <w:jc w:val="left"/>
      <w:textAlignment w:val="center"/>
    </w:pPr>
    <w:rPr>
      <w:rFonts w:ascii="SimSun" w:hAnsi="SimSun" w:cs="Arial Unicode MS" w:hint="eastAsia"/>
      <w:i/>
      <w:iCs/>
      <w:sz w:val="16"/>
      <w:szCs w:val="16"/>
    </w:rPr>
  </w:style>
  <w:style w:type="paragraph" w:customStyle="1" w:styleId="xl62">
    <w:name w:val="xl62"/>
    <w:basedOn w:val="Normal"/>
    <w:pPr>
      <w:widowControl/>
      <w:adjustRightInd/>
      <w:spacing w:before="100" w:beforeAutospacing="1" w:after="100" w:afterAutospacing="1" w:line="240" w:lineRule="auto"/>
      <w:jc w:val="left"/>
      <w:textAlignment w:val="center"/>
    </w:pPr>
    <w:rPr>
      <w:rFonts w:ascii="SimSun" w:hAnsi="SimSun" w:cs="Arial Unicode MS" w:hint="eastAsia"/>
      <w:b/>
      <w:bCs/>
      <w:sz w:val="16"/>
      <w:szCs w:val="16"/>
    </w:rPr>
  </w:style>
  <w:style w:type="paragraph" w:customStyle="1" w:styleId="xl63">
    <w:name w:val="xl63"/>
    <w:basedOn w:val="Normal"/>
    <w:pPr>
      <w:widowControl/>
      <w:pBdr>
        <w:top w:val="single" w:sz="8" w:space="0" w:color="auto"/>
        <w:left w:val="single" w:sz="4"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SimSun" w:hAnsi="SimSun" w:cs="Arial Unicode MS" w:hint="eastAsia"/>
      <w:b/>
      <w:bCs/>
      <w:sz w:val="18"/>
      <w:szCs w:val="18"/>
    </w:rPr>
  </w:style>
  <w:style w:type="paragraph" w:customStyle="1" w:styleId="xl64">
    <w:name w:val="xl64"/>
    <w:basedOn w:val="Normal"/>
    <w:pPr>
      <w:widowControl/>
      <w:pBdr>
        <w:top w:val="single" w:sz="8" w:space="0" w:color="auto"/>
        <w:left w:val="single" w:sz="4" w:space="0" w:color="auto"/>
        <w:bottom w:val="single" w:sz="8" w:space="0" w:color="auto"/>
        <w:right w:val="single" w:sz="8" w:space="0" w:color="auto"/>
      </w:pBdr>
      <w:adjustRightInd/>
      <w:spacing w:before="100" w:beforeAutospacing="1" w:after="100" w:afterAutospacing="1" w:line="240" w:lineRule="auto"/>
      <w:jc w:val="center"/>
      <w:textAlignment w:val="center"/>
    </w:pPr>
    <w:rPr>
      <w:rFonts w:ascii="SimSun" w:hAnsi="SimSun" w:cs="Arial Unicode MS" w:hint="eastAsia"/>
      <w:b/>
      <w:bCs/>
      <w:sz w:val="18"/>
      <w:szCs w:val="18"/>
    </w:rPr>
  </w:style>
  <w:style w:type="paragraph" w:customStyle="1" w:styleId="xl65">
    <w:name w:val="xl65"/>
    <w:basedOn w:val="Normal"/>
    <w:pPr>
      <w:widowControl/>
      <w:pBdr>
        <w:top w:val="single" w:sz="8" w:space="0" w:color="auto"/>
        <w:left w:val="single" w:sz="8" w:space="0" w:color="auto"/>
        <w:bottom w:val="single" w:sz="8" w:space="0" w:color="auto"/>
      </w:pBdr>
      <w:adjustRightInd/>
      <w:spacing w:before="100" w:beforeAutospacing="1" w:after="100" w:afterAutospacing="1" w:line="240" w:lineRule="auto"/>
      <w:jc w:val="center"/>
      <w:textAlignment w:val="center"/>
    </w:pPr>
    <w:rPr>
      <w:rFonts w:ascii="SimSun" w:hAnsi="SimSun" w:cs="Arial Unicode MS" w:hint="eastAsia"/>
      <w:b/>
      <w:bCs/>
      <w:sz w:val="18"/>
      <w:szCs w:val="18"/>
    </w:rPr>
  </w:style>
  <w:style w:type="paragraph" w:customStyle="1" w:styleId="font10">
    <w:name w:val="font10"/>
    <w:basedOn w:val="Normal"/>
    <w:pPr>
      <w:widowControl/>
      <w:adjustRightInd/>
      <w:spacing w:before="100" w:beforeAutospacing="1" w:after="100" w:afterAutospacing="1" w:line="240" w:lineRule="auto"/>
      <w:jc w:val="left"/>
      <w:textAlignment w:val="auto"/>
    </w:pPr>
    <w:rPr>
      <w:rFonts w:ascii="SimSun" w:hAnsi="SimSun" w:cs="Arial Unicode MS" w:hint="eastAsia"/>
      <w:b/>
      <w:bCs/>
      <w:i/>
      <w:iCs/>
      <w:sz w:val="16"/>
      <w:szCs w:val="16"/>
    </w:rPr>
  </w:style>
  <w:style w:type="paragraph" w:customStyle="1" w:styleId="xl66">
    <w:name w:val="xl66"/>
    <w:basedOn w:val="Normal"/>
    <w:pPr>
      <w:widowControl/>
      <w:pBdr>
        <w:top w:val="single" w:sz="8" w:space="0" w:color="auto"/>
        <w:left w:val="single" w:sz="8"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SimSun" w:hAnsi="SimSun" w:cs="Arial Unicode MS" w:hint="eastAsia"/>
      <w:sz w:val="18"/>
      <w:szCs w:val="18"/>
    </w:rPr>
  </w:style>
  <w:style w:type="paragraph" w:customStyle="1" w:styleId="xl67">
    <w:name w:val="xl67"/>
    <w:basedOn w:val="Normal"/>
    <w:pPr>
      <w:widowControl/>
      <w:pBdr>
        <w:top w:val="single" w:sz="4" w:space="0" w:color="auto"/>
        <w:left w:val="single" w:sz="8"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SimSun" w:hAnsi="SimSun" w:cs="Arial Unicode MS" w:hint="eastAsia"/>
      <w:sz w:val="18"/>
      <w:szCs w:val="18"/>
    </w:rPr>
  </w:style>
  <w:style w:type="paragraph" w:customStyle="1" w:styleId="xl68">
    <w:name w:val="xl68"/>
    <w:basedOn w:val="Normal"/>
    <w:pPr>
      <w:widowControl/>
      <w:pBdr>
        <w:top w:val="single" w:sz="8" w:space="0" w:color="auto"/>
        <w:left w:val="single" w:sz="8"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69">
    <w:name w:val="xl69"/>
    <w:basedOn w:val="Normal"/>
    <w:pPr>
      <w:widowControl/>
      <w:shd w:val="clear" w:color="auto" w:fill="C0C0C0"/>
      <w:adjustRightInd/>
      <w:spacing w:before="100" w:beforeAutospacing="1" w:after="100" w:afterAutospacing="1" w:line="240" w:lineRule="auto"/>
      <w:jc w:val="left"/>
      <w:textAlignment w:val="center"/>
    </w:pPr>
    <w:rPr>
      <w:rFonts w:ascii="MAC C Swiss" w:eastAsia="Arial Unicode MS" w:hAnsi="MAC C Swiss" w:cs="Arial Unicode MS"/>
      <w:b/>
      <w:bCs/>
      <w:sz w:val="18"/>
      <w:szCs w:val="18"/>
    </w:rPr>
  </w:style>
  <w:style w:type="paragraph" w:customStyle="1" w:styleId="xl70">
    <w:name w:val="xl70"/>
    <w:basedOn w:val="Normal"/>
    <w:pPr>
      <w:widowControl/>
      <w:adjustRightInd/>
      <w:spacing w:before="100" w:beforeAutospacing="1" w:after="100" w:afterAutospacing="1" w:line="240" w:lineRule="auto"/>
      <w:jc w:val="left"/>
      <w:textAlignment w:val="center"/>
    </w:pPr>
    <w:rPr>
      <w:rFonts w:ascii="SimSun" w:hAnsi="SimSun" w:cs="Arial Unicode MS" w:hint="eastAsia"/>
      <w:sz w:val="18"/>
      <w:szCs w:val="18"/>
    </w:rPr>
  </w:style>
  <w:style w:type="paragraph" w:customStyle="1" w:styleId="xl71">
    <w:name w:val="xl71"/>
    <w:basedOn w:val="Normal"/>
    <w:pPr>
      <w:widowControl/>
      <w:shd w:val="clear" w:color="auto" w:fill="C0C0C0"/>
      <w:adjustRightInd/>
      <w:spacing w:before="100" w:beforeAutospacing="1" w:after="100" w:afterAutospacing="1" w:line="240" w:lineRule="auto"/>
      <w:jc w:val="left"/>
      <w:textAlignment w:val="center"/>
    </w:pPr>
    <w:rPr>
      <w:rFonts w:ascii="SimSun" w:hAnsi="SimSun" w:cs="Arial Unicode MS" w:hint="eastAsia"/>
      <w:b/>
      <w:bCs/>
      <w:sz w:val="18"/>
      <w:szCs w:val="18"/>
    </w:rPr>
  </w:style>
  <w:style w:type="paragraph" w:customStyle="1" w:styleId="xl72">
    <w:name w:val="xl72"/>
    <w:basedOn w:val="Normal"/>
    <w:pPr>
      <w:widowControl/>
      <w:pBdr>
        <w:top w:val="single" w:sz="8" w:space="0" w:color="auto"/>
        <w:left w:val="single" w:sz="4" w:space="0" w:color="auto"/>
        <w:bottom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3">
    <w:name w:val="xl73"/>
    <w:basedOn w:val="Normal"/>
    <w:pPr>
      <w:widowControl/>
      <w:pBdr>
        <w:top w:val="single" w:sz="8" w:space="0" w:color="auto"/>
        <w:bottom w:val="single" w:sz="4" w:space="0" w:color="auto"/>
        <w:right w:val="single" w:sz="8"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4">
    <w:name w:val="xl74"/>
    <w:basedOn w:val="Normal"/>
    <w:pPr>
      <w:widowControl/>
      <w:pBdr>
        <w:top w:val="single" w:sz="8" w:space="0" w:color="auto"/>
        <w:left w:val="single" w:sz="8"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5">
    <w:name w:val="xl75"/>
    <w:basedOn w:val="Normal"/>
    <w:pPr>
      <w:widowControl/>
      <w:pBdr>
        <w:left w:val="single" w:sz="8" w:space="0" w:color="auto"/>
        <w:bottom w:val="single" w:sz="8"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6">
    <w:name w:val="xl76"/>
    <w:basedOn w:val="Normal"/>
    <w:pPr>
      <w:widowControl/>
      <w:pBdr>
        <w:top w:val="single" w:sz="8"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7">
    <w:name w:val="xl77"/>
    <w:basedOn w:val="Normal"/>
    <w:pPr>
      <w:widowControl/>
      <w:shd w:val="clear" w:color="auto" w:fill="C0C0C0"/>
      <w:adjustRightInd/>
      <w:spacing w:before="100" w:beforeAutospacing="1" w:after="100" w:afterAutospacing="1" w:line="240" w:lineRule="auto"/>
      <w:jc w:val="left"/>
      <w:textAlignment w:val="center"/>
    </w:pPr>
    <w:rPr>
      <w:rFonts w:ascii="Arial Unicode MS" w:eastAsia="Arial Unicode MS" w:hAnsi="Arial Unicode MS" w:cs="Arial Unicode MS"/>
      <w:b/>
      <w:bCs/>
      <w:sz w:val="18"/>
      <w:szCs w:val="18"/>
    </w:rPr>
  </w:style>
  <w:style w:type="paragraph" w:customStyle="1" w:styleId="xl78">
    <w:name w:val="xl78"/>
    <w:basedOn w:val="Normal"/>
    <w:pPr>
      <w:widowControl/>
      <w:pBdr>
        <w:left w:val="single" w:sz="8"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18"/>
      <w:szCs w:val="18"/>
    </w:rPr>
  </w:style>
  <w:style w:type="paragraph" w:customStyle="1" w:styleId="xl79">
    <w:name w:val="xl79"/>
    <w:basedOn w:val="Normal"/>
    <w:pPr>
      <w:widowControl/>
      <w:shd w:val="clear" w:color="auto" w:fill="C0C0C0"/>
      <w:adjustRightInd/>
      <w:spacing w:before="100" w:beforeAutospacing="1" w:after="100" w:afterAutospacing="1" w:line="240" w:lineRule="auto"/>
      <w:jc w:val="left"/>
      <w:textAlignment w:val="center"/>
    </w:pPr>
    <w:rPr>
      <w:rFonts w:ascii="SimSun" w:hAnsi="SimSun" w:cs="Arial Unicode MS" w:hint="eastAsia"/>
      <w:b/>
      <w:bCs/>
      <w:sz w:val="18"/>
      <w:szCs w:val="18"/>
    </w:rPr>
  </w:style>
  <w:style w:type="paragraph" w:customStyle="1" w:styleId="xl87">
    <w:name w:val="xl87"/>
    <w:basedOn w:val="Normal"/>
    <w:pPr>
      <w:widowControl/>
      <w:adjustRightInd/>
      <w:spacing w:before="100" w:beforeAutospacing="1" w:after="100" w:afterAutospacing="1" w:line="240" w:lineRule="auto"/>
      <w:textAlignment w:val="center"/>
    </w:pPr>
    <w:rPr>
      <w:rFonts w:ascii="SimSun" w:hAnsi="SimSun" w:cs="Arial Unicode MS" w:hint="eastAsia"/>
      <w:sz w:val="18"/>
      <w:szCs w:val="18"/>
    </w:rPr>
  </w:style>
  <w:style w:type="paragraph" w:customStyle="1" w:styleId="font11">
    <w:name w:val="font11"/>
    <w:basedOn w:val="Normal"/>
    <w:pPr>
      <w:widowControl/>
      <w:adjustRightInd/>
      <w:spacing w:before="100" w:beforeAutospacing="1" w:after="100" w:afterAutospacing="1" w:line="240" w:lineRule="auto"/>
      <w:jc w:val="left"/>
      <w:textAlignment w:val="auto"/>
    </w:pPr>
    <w:rPr>
      <w:rFonts w:eastAsia="Arial Unicode MS"/>
      <w:sz w:val="18"/>
      <w:szCs w:val="18"/>
    </w:rPr>
  </w:style>
  <w:style w:type="paragraph" w:styleId="List3">
    <w:name w:val="List 3"/>
    <w:basedOn w:val="Normal"/>
    <w:semiHidden/>
    <w:pPr>
      <w:adjustRightInd/>
      <w:spacing w:line="240" w:lineRule="auto"/>
      <w:ind w:leftChars="400" w:left="100" w:hangingChars="200" w:hanging="200"/>
      <w:textAlignment w:val="auto"/>
    </w:pPr>
    <w:rPr>
      <w:kern w:val="2"/>
      <w:szCs w:val="24"/>
    </w:rPr>
  </w:style>
  <w:style w:type="paragraph" w:styleId="List2">
    <w:name w:val="List 2"/>
    <w:basedOn w:val="Normal"/>
    <w:semiHidden/>
    <w:pPr>
      <w:adjustRightInd/>
      <w:spacing w:line="240" w:lineRule="auto"/>
      <w:ind w:leftChars="200" w:left="100" w:hangingChars="200" w:hanging="200"/>
      <w:textAlignment w:val="auto"/>
    </w:pPr>
    <w:rPr>
      <w:kern w:val="2"/>
      <w:szCs w:val="24"/>
    </w:rPr>
  </w:style>
  <w:style w:type="paragraph" w:styleId="ListContinue2">
    <w:name w:val="List Continue 2"/>
    <w:basedOn w:val="Normal"/>
    <w:semiHidden/>
    <w:pPr>
      <w:adjustRightInd/>
      <w:spacing w:after="120" w:line="240" w:lineRule="auto"/>
      <w:ind w:leftChars="400" w:left="840"/>
      <w:textAlignment w:val="auto"/>
    </w:pPr>
    <w:rPr>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nscb.gov.ph/stats/statwatch.asp" TargetMode="External"/><Relationship Id="rId26" Type="http://schemas.openxmlformats.org/officeDocument/2006/relationships/hyperlink" Target="http://www.census.gov.ph" TargetMode="External"/><Relationship Id="rId3" Type="http://schemas.openxmlformats.org/officeDocument/2006/relationships/settings" Target="settings.xml"/><Relationship Id="rId21" Type="http://schemas.openxmlformats.org/officeDocument/2006/relationships/hyperlink" Target="http://www.census.gov.ph" TargetMode="External"/><Relationship Id="rId34" Type="http://schemas.openxmlformats.org/officeDocument/2006/relationships/header" Target="head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nscb.gov.ph" TargetMode="External"/><Relationship Id="rId25" Type="http://schemas.openxmlformats.org/officeDocument/2006/relationships/hyperlink" Target="http://www.census.gov.ph" TargetMode="External"/><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anila-online.net/bles" TargetMode="External"/><Relationship Id="rId20" Type="http://schemas.openxmlformats.org/officeDocument/2006/relationships/hyperlink" Target="http://www.census.gov.ph" TargetMode="External"/><Relationship Id="rId29" Type="http://schemas.openxmlformats.org/officeDocument/2006/relationships/hyperlink" Target="http://www.unescap.org/huset/women/reports.philippin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census.gov.ph" TargetMode="External"/><Relationship Id="rId32" Type="http://schemas.openxmlformats.org/officeDocument/2006/relationships/hyperlink" Target="http://www.devdata.worldbank.org/externa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siafoundation.org" TargetMode="External"/><Relationship Id="rId23" Type="http://schemas.openxmlformats.org/officeDocument/2006/relationships/hyperlink" Target="http://www.census.gov.ph" TargetMode="External"/><Relationship Id="rId28" Type="http://schemas.openxmlformats.org/officeDocument/2006/relationships/hyperlink" Target="http://www.bsp.gov.ph/statistics" TargetMode="External"/><Relationship Id="rId36"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www.nscb.gov.ph/stats/wmfact.asp" TargetMode="External"/><Relationship Id="rId31" Type="http://schemas.openxmlformats.org/officeDocument/2006/relationships/hyperlink" Target="http://www.visayanforum.org/misc/resource/archives/article16.html"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ing7.net" TargetMode="External"/><Relationship Id="rId22" Type="http://schemas.openxmlformats.org/officeDocument/2006/relationships/hyperlink" Target="http://www.census.gov.ph" TargetMode="External"/><Relationship Id="rId27" Type="http://schemas.openxmlformats.org/officeDocument/2006/relationships/hyperlink" Target="http://www.inq7.net" TargetMode="External"/><Relationship Id="rId30" Type="http://schemas.openxmlformats.org/officeDocument/2006/relationships/hyperlink" Target="http://www.inq7.net" TargetMode="External"/><Relationship Id="rId35"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7</TotalTime>
  <Pages>3</Pages>
  <Words>22526</Words>
  <Characters>128401</Characters>
  <Application>Microsoft Office Word</Application>
  <DocSecurity>4</DocSecurity>
  <Lines>1070</Lines>
  <Paragraphs>256</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157685</CharactersWithSpaces>
  <SharedDoc>false</SharedDoc>
  <HLinks>
    <vt:vector size="126" baseType="variant">
      <vt:variant>
        <vt:i4>5767172</vt:i4>
      </vt:variant>
      <vt:variant>
        <vt:i4>57</vt:i4>
      </vt:variant>
      <vt:variant>
        <vt:i4>0</vt:i4>
      </vt:variant>
      <vt:variant>
        <vt:i4>5</vt:i4>
      </vt:variant>
      <vt:variant>
        <vt:lpwstr>http://www.devdata.worldbank.org/external</vt:lpwstr>
      </vt:variant>
      <vt:variant>
        <vt:lpwstr/>
      </vt:variant>
      <vt:variant>
        <vt:i4>6094937</vt:i4>
      </vt:variant>
      <vt:variant>
        <vt:i4>54</vt:i4>
      </vt:variant>
      <vt:variant>
        <vt:i4>0</vt:i4>
      </vt:variant>
      <vt:variant>
        <vt:i4>5</vt:i4>
      </vt:variant>
      <vt:variant>
        <vt:lpwstr>http://www.visayanforum.org/misc/resource/archives/article16.html</vt:lpwstr>
      </vt:variant>
      <vt:variant>
        <vt:lpwstr/>
      </vt:variant>
      <vt:variant>
        <vt:i4>5701651</vt:i4>
      </vt:variant>
      <vt:variant>
        <vt:i4>51</vt:i4>
      </vt:variant>
      <vt:variant>
        <vt:i4>0</vt:i4>
      </vt:variant>
      <vt:variant>
        <vt:i4>5</vt:i4>
      </vt:variant>
      <vt:variant>
        <vt:lpwstr>http://www.inq7.net/</vt:lpwstr>
      </vt:variant>
      <vt:variant>
        <vt:lpwstr/>
      </vt:variant>
      <vt:variant>
        <vt:i4>3342375</vt:i4>
      </vt:variant>
      <vt:variant>
        <vt:i4>48</vt:i4>
      </vt:variant>
      <vt:variant>
        <vt:i4>0</vt:i4>
      </vt:variant>
      <vt:variant>
        <vt:i4>5</vt:i4>
      </vt:variant>
      <vt:variant>
        <vt:lpwstr>http://www.unescap.org/huset/women/reports.philippines.pdf</vt:lpwstr>
      </vt:variant>
      <vt:variant>
        <vt:lpwstr/>
      </vt:variant>
      <vt:variant>
        <vt:i4>1966152</vt:i4>
      </vt:variant>
      <vt:variant>
        <vt:i4>45</vt:i4>
      </vt:variant>
      <vt:variant>
        <vt:i4>0</vt:i4>
      </vt:variant>
      <vt:variant>
        <vt:i4>5</vt:i4>
      </vt:variant>
      <vt:variant>
        <vt:lpwstr>http://www.bsp.gov.ph/statistics</vt:lpwstr>
      </vt:variant>
      <vt:variant>
        <vt:lpwstr/>
      </vt:variant>
      <vt:variant>
        <vt:i4>5701651</vt:i4>
      </vt:variant>
      <vt:variant>
        <vt:i4>42</vt:i4>
      </vt:variant>
      <vt:variant>
        <vt:i4>0</vt:i4>
      </vt:variant>
      <vt:variant>
        <vt:i4>5</vt:i4>
      </vt:variant>
      <vt:variant>
        <vt:lpwstr>http://www.inq7.net/</vt:lpwstr>
      </vt:variant>
      <vt:variant>
        <vt:lpwstr/>
      </vt:variant>
      <vt:variant>
        <vt:i4>5505108</vt:i4>
      </vt:variant>
      <vt:variant>
        <vt:i4>39</vt:i4>
      </vt:variant>
      <vt:variant>
        <vt:i4>0</vt:i4>
      </vt:variant>
      <vt:variant>
        <vt:i4>5</vt:i4>
      </vt:variant>
      <vt:variant>
        <vt:lpwstr>http://www.census.gov.ph/</vt:lpwstr>
      </vt:variant>
      <vt:variant>
        <vt:lpwstr/>
      </vt:variant>
      <vt:variant>
        <vt:i4>5505108</vt:i4>
      </vt:variant>
      <vt:variant>
        <vt:i4>36</vt:i4>
      </vt:variant>
      <vt:variant>
        <vt:i4>0</vt:i4>
      </vt:variant>
      <vt:variant>
        <vt:i4>5</vt:i4>
      </vt:variant>
      <vt:variant>
        <vt:lpwstr>http://www.census.gov.ph/</vt:lpwstr>
      </vt:variant>
      <vt:variant>
        <vt:lpwstr/>
      </vt:variant>
      <vt:variant>
        <vt:i4>5505108</vt:i4>
      </vt:variant>
      <vt:variant>
        <vt:i4>33</vt:i4>
      </vt:variant>
      <vt:variant>
        <vt:i4>0</vt:i4>
      </vt:variant>
      <vt:variant>
        <vt:i4>5</vt:i4>
      </vt:variant>
      <vt:variant>
        <vt:lpwstr>http://www.census.gov.ph/</vt:lpwstr>
      </vt:variant>
      <vt:variant>
        <vt:lpwstr/>
      </vt:variant>
      <vt:variant>
        <vt:i4>5505108</vt:i4>
      </vt:variant>
      <vt:variant>
        <vt:i4>30</vt:i4>
      </vt:variant>
      <vt:variant>
        <vt:i4>0</vt:i4>
      </vt:variant>
      <vt:variant>
        <vt:i4>5</vt:i4>
      </vt:variant>
      <vt:variant>
        <vt:lpwstr>http://www.census.gov.ph/</vt:lpwstr>
      </vt:variant>
      <vt:variant>
        <vt:lpwstr/>
      </vt:variant>
      <vt:variant>
        <vt:i4>5505108</vt:i4>
      </vt:variant>
      <vt:variant>
        <vt:i4>27</vt:i4>
      </vt:variant>
      <vt:variant>
        <vt:i4>0</vt:i4>
      </vt:variant>
      <vt:variant>
        <vt:i4>5</vt:i4>
      </vt:variant>
      <vt:variant>
        <vt:lpwstr>http://www.census.gov.ph/</vt:lpwstr>
      </vt:variant>
      <vt:variant>
        <vt:lpwstr/>
      </vt:variant>
      <vt:variant>
        <vt:i4>5505108</vt:i4>
      </vt:variant>
      <vt:variant>
        <vt:i4>24</vt:i4>
      </vt:variant>
      <vt:variant>
        <vt:i4>0</vt:i4>
      </vt:variant>
      <vt:variant>
        <vt:i4>5</vt:i4>
      </vt:variant>
      <vt:variant>
        <vt:lpwstr>http://www.census.gov.ph/</vt:lpwstr>
      </vt:variant>
      <vt:variant>
        <vt:lpwstr/>
      </vt:variant>
      <vt:variant>
        <vt:i4>5505108</vt:i4>
      </vt:variant>
      <vt:variant>
        <vt:i4>21</vt:i4>
      </vt:variant>
      <vt:variant>
        <vt:i4>0</vt:i4>
      </vt:variant>
      <vt:variant>
        <vt:i4>5</vt:i4>
      </vt:variant>
      <vt:variant>
        <vt:lpwstr>http://www.census.gov.ph/</vt:lpwstr>
      </vt:variant>
      <vt:variant>
        <vt:lpwstr/>
      </vt:variant>
      <vt:variant>
        <vt:i4>5505108</vt:i4>
      </vt:variant>
      <vt:variant>
        <vt:i4>18</vt:i4>
      </vt:variant>
      <vt:variant>
        <vt:i4>0</vt:i4>
      </vt:variant>
      <vt:variant>
        <vt:i4>5</vt:i4>
      </vt:variant>
      <vt:variant>
        <vt:lpwstr>http://www.census.gov.ph/</vt:lpwstr>
      </vt:variant>
      <vt:variant>
        <vt:lpwstr/>
      </vt:variant>
      <vt:variant>
        <vt:i4>7274553</vt:i4>
      </vt:variant>
      <vt:variant>
        <vt:i4>15</vt:i4>
      </vt:variant>
      <vt:variant>
        <vt:i4>0</vt:i4>
      </vt:variant>
      <vt:variant>
        <vt:i4>5</vt:i4>
      </vt:variant>
      <vt:variant>
        <vt:lpwstr>http://www.nscb.gov.ph/stats/wmfact.asp</vt:lpwstr>
      </vt:variant>
      <vt:variant>
        <vt:lpwstr/>
      </vt:variant>
      <vt:variant>
        <vt:i4>2621567</vt:i4>
      </vt:variant>
      <vt:variant>
        <vt:i4>12</vt:i4>
      </vt:variant>
      <vt:variant>
        <vt:i4>0</vt:i4>
      </vt:variant>
      <vt:variant>
        <vt:i4>5</vt:i4>
      </vt:variant>
      <vt:variant>
        <vt:lpwstr>http://www.nscb.gov.ph/stats/statwatch.asp</vt:lpwstr>
      </vt:variant>
      <vt:variant>
        <vt:lpwstr/>
      </vt:variant>
      <vt:variant>
        <vt:i4>2162720</vt:i4>
      </vt:variant>
      <vt:variant>
        <vt:i4>9</vt:i4>
      </vt:variant>
      <vt:variant>
        <vt:i4>0</vt:i4>
      </vt:variant>
      <vt:variant>
        <vt:i4>5</vt:i4>
      </vt:variant>
      <vt:variant>
        <vt:lpwstr>http://www.nscb.gov.ph/</vt:lpwstr>
      </vt:variant>
      <vt:variant>
        <vt:lpwstr/>
      </vt:variant>
      <vt:variant>
        <vt:i4>1441884</vt:i4>
      </vt:variant>
      <vt:variant>
        <vt:i4>6</vt:i4>
      </vt:variant>
      <vt:variant>
        <vt:i4>0</vt:i4>
      </vt:variant>
      <vt:variant>
        <vt:i4>5</vt:i4>
      </vt:variant>
      <vt:variant>
        <vt:lpwstr>http://www.manila-online.net/bles</vt:lpwstr>
      </vt:variant>
      <vt:variant>
        <vt:lpwstr/>
      </vt:variant>
      <vt:variant>
        <vt:i4>3932205</vt:i4>
      </vt:variant>
      <vt:variant>
        <vt:i4>3</vt:i4>
      </vt:variant>
      <vt:variant>
        <vt:i4>0</vt:i4>
      </vt:variant>
      <vt:variant>
        <vt:i4>5</vt:i4>
      </vt:variant>
      <vt:variant>
        <vt:lpwstr>http://www.asiafoundation.org/</vt:lpwstr>
      </vt:variant>
      <vt:variant>
        <vt:lpwstr/>
      </vt:variant>
      <vt:variant>
        <vt:i4>4259859</vt:i4>
      </vt:variant>
      <vt:variant>
        <vt:i4>0</vt:i4>
      </vt:variant>
      <vt:variant>
        <vt:i4>0</vt:i4>
      </vt:variant>
      <vt:variant>
        <vt:i4>5</vt:i4>
      </vt:variant>
      <vt:variant>
        <vt:lpwstr>http://www.ing7.net/</vt:lpwstr>
      </vt:variant>
      <vt:variant>
        <vt:lpwstr/>
      </vt:variant>
      <vt:variant>
        <vt:i4>8257630</vt:i4>
      </vt:variant>
      <vt:variant>
        <vt:i4>316900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Xuejin Xu</cp:lastModifiedBy>
  <cp:revision>8</cp:revision>
  <cp:lastPrinted>2004-12-14T07:53:00Z</cp:lastPrinted>
  <dcterms:created xsi:type="dcterms:W3CDTF">2004-12-14T07:44:00Z</dcterms:created>
  <dcterms:modified xsi:type="dcterms:W3CDTF">2004-12-14T12:58:00Z</dcterms:modified>
</cp:coreProperties>
</file>