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420" w:lineRule="atLeast"/>
        <w:rPr>
          <w:rFonts w:ascii="SimHei" w:eastAsia="SimHei"/>
          <w:sz w:val="28"/>
        </w:rPr>
      </w:pPr>
      <w:r>
        <w:rPr>
          <w:rFonts w:ascii="SimHei" w:eastAsia="SimHei" w:hint="eastAsia"/>
          <w:sz w:val="24"/>
        </w:rPr>
        <w:t>消除对妇女歧视委员会</w:t>
      </w:r>
    </w:p>
    <w:p w:rsidR="00000000" w:rsidRDefault="00000000">
      <w:pPr>
        <w:spacing w:line="420" w:lineRule="atLeast"/>
        <w:rPr>
          <w:rFonts w:ascii="SimHei" w:eastAsia="SimHei"/>
        </w:rPr>
      </w:pPr>
    </w:p>
    <w:p w:rsidR="00000000" w:rsidRDefault="00000000">
      <w:pPr>
        <w:spacing w:line="420" w:lineRule="atLeast"/>
        <w:rPr>
          <w:rFonts w:ascii="SimHei" w:eastAsia="SimHei"/>
        </w:rPr>
      </w:pPr>
    </w:p>
    <w:p w:rsidR="00000000" w:rsidRDefault="00000000">
      <w:pPr>
        <w:spacing w:line="420" w:lineRule="atLeast"/>
        <w:rPr>
          <w:rFonts w:ascii="SimHei" w:eastAsia="SimHei"/>
        </w:rPr>
      </w:pPr>
    </w:p>
    <w:p w:rsidR="00000000" w:rsidRDefault="00000000">
      <w:pPr>
        <w:spacing w:line="420" w:lineRule="exact"/>
        <w:jc w:val="center"/>
        <w:rPr>
          <w:rFonts w:ascii="SimHei" w:eastAsia="SimHei"/>
          <w:sz w:val="28"/>
        </w:rPr>
      </w:pPr>
      <w:r>
        <w:rPr>
          <w:rFonts w:ascii="SimHei" w:eastAsia="SimHei" w:hint="eastAsia"/>
          <w:sz w:val="28"/>
        </w:rPr>
        <w:t>审议各缔约国根据《消除对妇女一切形式</w:t>
      </w:r>
      <w:r>
        <w:rPr>
          <w:rFonts w:ascii="SimHei" w:eastAsia="SimHei"/>
          <w:sz w:val="28"/>
        </w:rPr>
        <w:br/>
      </w:r>
      <w:r>
        <w:rPr>
          <w:rFonts w:ascii="SimHei" w:eastAsia="SimHei" w:hint="eastAsia"/>
          <w:sz w:val="28"/>
        </w:rPr>
        <w:t>歧视公约》第</w:t>
      </w:r>
      <w:r>
        <w:rPr>
          <w:rFonts w:ascii="SimHei" w:eastAsia="SimHei"/>
          <w:sz w:val="28"/>
        </w:rPr>
        <w:t>18</w:t>
      </w:r>
      <w:r>
        <w:rPr>
          <w:rFonts w:ascii="SimHei" w:eastAsia="SimHei" w:hint="eastAsia"/>
          <w:sz w:val="28"/>
        </w:rPr>
        <w:t>条提交的报告</w:t>
      </w:r>
    </w:p>
    <w:p w:rsidR="00000000" w:rsidRDefault="00000000">
      <w:pPr>
        <w:spacing w:line="320" w:lineRule="atLeast"/>
        <w:ind w:right="20"/>
        <w:jc w:val="center"/>
      </w:pPr>
    </w:p>
    <w:p w:rsidR="00000000" w:rsidRDefault="00000000">
      <w:pPr>
        <w:spacing w:line="320" w:lineRule="atLeast"/>
        <w:ind w:right="20"/>
        <w:jc w:val="center"/>
      </w:pPr>
    </w:p>
    <w:p w:rsidR="00000000" w:rsidRDefault="00000000">
      <w:pPr>
        <w:spacing w:line="320" w:lineRule="atLeast"/>
        <w:ind w:right="20"/>
        <w:jc w:val="center"/>
      </w:pPr>
    </w:p>
    <w:p w:rsidR="00000000" w:rsidRDefault="00000000">
      <w:pPr>
        <w:spacing w:line="320" w:lineRule="atLeast"/>
        <w:ind w:right="20"/>
        <w:jc w:val="center"/>
      </w:pPr>
    </w:p>
    <w:p w:rsidR="00000000" w:rsidRDefault="00000000">
      <w:pPr>
        <w:spacing w:line="320" w:lineRule="atLeast"/>
        <w:ind w:right="20"/>
        <w:jc w:val="center"/>
      </w:pPr>
      <w:r>
        <w:rPr>
          <w:rFonts w:eastAsia="SimHei" w:hint="eastAsia"/>
          <w:sz w:val="24"/>
        </w:rPr>
        <w:t>缔约国的第二次定期报告</w:t>
      </w:r>
      <w:r>
        <w:rPr>
          <w:rStyle w:val="FootnoteReference"/>
          <w:rFonts w:eastAsia="SimHei"/>
          <w:sz w:val="24"/>
        </w:rPr>
        <w:footnoteReference w:customMarkFollows="1" w:id="1"/>
        <w:t>*</w:t>
      </w:r>
      <w:r>
        <w:rPr>
          <w:rFonts w:eastAsia="SimHei"/>
          <w:sz w:val="24"/>
        </w:rPr>
        <w:t xml:space="preserve"> </w:t>
      </w:r>
    </w:p>
    <w:p w:rsidR="00000000" w:rsidRDefault="00000000">
      <w:pPr>
        <w:spacing w:line="320" w:lineRule="atLeast"/>
        <w:ind w:right="20"/>
      </w:pPr>
    </w:p>
    <w:p w:rsidR="00000000" w:rsidRDefault="00000000">
      <w:pPr>
        <w:spacing w:line="320" w:lineRule="atLeast"/>
        <w:ind w:right="20"/>
      </w:pPr>
    </w:p>
    <w:p w:rsidR="00000000" w:rsidRDefault="00000000">
      <w:pPr>
        <w:spacing w:line="320" w:lineRule="atLeast"/>
        <w:ind w:right="20"/>
        <w:jc w:val="center"/>
        <w:rPr>
          <w:rFonts w:ascii="SimHei" w:eastAsia="SimHei"/>
          <w:sz w:val="28"/>
        </w:rPr>
      </w:pPr>
      <w:r>
        <w:rPr>
          <w:rFonts w:ascii="SimHei" w:eastAsia="SimHei" w:hint="eastAsia"/>
          <w:sz w:val="28"/>
        </w:rPr>
        <w:t>荷</w:t>
      </w:r>
      <w:r>
        <w:rPr>
          <w:rFonts w:ascii="SimHei" w:eastAsia="SimHei"/>
          <w:sz w:val="28"/>
        </w:rPr>
        <w:t xml:space="preserve">  </w:t>
      </w:r>
      <w:r>
        <w:rPr>
          <w:rFonts w:ascii="SimHei" w:eastAsia="SimHei" w:hint="eastAsia"/>
          <w:sz w:val="28"/>
        </w:rPr>
        <w:t>兰</w:t>
      </w:r>
      <w:r>
        <w:rPr>
          <w:rStyle w:val="FootnoteReference"/>
          <w:rFonts w:ascii="SimHei" w:eastAsia="SimHei"/>
          <w:sz w:val="28"/>
        </w:rPr>
        <w:footnoteReference w:customMarkFollows="1" w:id="2"/>
        <w:t xml:space="preserve">** </w:t>
      </w:r>
    </w:p>
    <w:p w:rsidR="00000000" w:rsidRDefault="00000000">
      <w:pPr>
        <w:spacing w:line="320" w:lineRule="atLeast"/>
        <w:ind w:right="20"/>
        <w:jc w:val="center"/>
        <w:rPr>
          <w:rFonts w:ascii="SimHei" w:eastAsia="SimHei"/>
          <w:sz w:val="28"/>
        </w:rPr>
      </w:pPr>
    </w:p>
    <w:p w:rsidR="00000000" w:rsidRDefault="00000000">
      <w:pPr>
        <w:autoSpaceDE w:val="0"/>
        <w:autoSpaceDN w:val="0"/>
        <w:spacing w:after="240" w:line="360" w:lineRule="exact"/>
        <w:jc w:val="center"/>
        <w:textAlignment w:val="bottom"/>
        <w:rPr>
          <w:rFonts w:ascii="SimHei" w:eastAsia="SimHei"/>
          <w:sz w:val="24"/>
        </w:rPr>
      </w:pPr>
      <w:r>
        <w:br w:type="page"/>
      </w:r>
      <w:r>
        <w:rPr>
          <w:rFonts w:ascii="SimHei" w:eastAsia="SimHei" w:hint="eastAsia"/>
          <w:sz w:val="24"/>
        </w:rPr>
        <w:t>目</w:t>
      </w:r>
      <w:r>
        <w:rPr>
          <w:rFonts w:ascii="SimHei" w:eastAsia="SimHei"/>
          <w:sz w:val="24"/>
        </w:rPr>
        <w:t xml:space="preserve">   </w:t>
      </w:r>
      <w:r>
        <w:rPr>
          <w:rFonts w:ascii="SimHei" w:eastAsia="SimHei" w:hint="eastAsia"/>
          <w:sz w:val="24"/>
        </w:rPr>
        <w:t>录</w:t>
      </w:r>
    </w:p>
    <w:p w:rsidR="00000000" w:rsidRDefault="00000000">
      <w:pPr>
        <w:tabs>
          <w:tab w:val="right" w:pos="9600"/>
        </w:tabs>
        <w:autoSpaceDE w:val="0"/>
        <w:autoSpaceDN w:val="0"/>
        <w:spacing w:after="240" w:line="360" w:lineRule="exact"/>
        <w:textAlignment w:val="bottom"/>
      </w:pPr>
      <w:r>
        <w:rPr>
          <w:rFonts w:hint="eastAsia"/>
        </w:rPr>
        <w:t>章</w:t>
      </w:r>
      <w:r>
        <w:t xml:space="preserve">  </w:t>
      </w:r>
      <w:r>
        <w:rPr>
          <w:rFonts w:hint="eastAsia"/>
        </w:rPr>
        <w:t>次</w:t>
      </w:r>
      <w:r>
        <w:tab/>
      </w:r>
      <w:r>
        <w:rPr>
          <w:rFonts w:ascii="楷体" w:eastAsia="楷体" w:hint="eastAsia"/>
        </w:rPr>
        <w:t>页</w:t>
      </w:r>
      <w:r>
        <w:rPr>
          <w:rFonts w:ascii="楷体" w:eastAsia="楷体"/>
        </w:rPr>
        <w:t xml:space="preserve">  </w:t>
      </w:r>
      <w:r>
        <w:rPr>
          <w:rFonts w:ascii="楷体" w:eastAsia="楷体" w:hint="eastAsia"/>
        </w:rPr>
        <w:t>次</w:t>
      </w:r>
    </w:p>
    <w:p w:rsidR="00000000" w:rsidRDefault="00000000">
      <w:pPr>
        <w:tabs>
          <w:tab w:val="left" w:leader="dot" w:pos="8760"/>
          <w:tab w:val="center" w:pos="9360"/>
        </w:tabs>
        <w:autoSpaceDE w:val="0"/>
        <w:autoSpaceDN w:val="0"/>
        <w:spacing w:after="240" w:line="360" w:lineRule="exact"/>
        <w:textAlignment w:val="bottom"/>
      </w:pPr>
      <w:r>
        <w:t xml:space="preserve">1.  </w:t>
      </w:r>
      <w:r>
        <w:rPr>
          <w:rFonts w:hint="eastAsia"/>
        </w:rPr>
        <w:t>对报告的说明</w:t>
      </w:r>
      <w:r>
        <w:tab/>
      </w:r>
      <w:r>
        <w:tab/>
        <w:t>3</w:t>
      </w:r>
    </w:p>
    <w:p w:rsidR="00000000" w:rsidRDefault="00000000">
      <w:pPr>
        <w:tabs>
          <w:tab w:val="left" w:leader="dot" w:pos="8760"/>
          <w:tab w:val="center" w:pos="9360"/>
        </w:tabs>
        <w:autoSpaceDE w:val="0"/>
        <w:autoSpaceDN w:val="0"/>
        <w:spacing w:after="240" w:line="360" w:lineRule="exact"/>
        <w:textAlignment w:val="bottom"/>
      </w:pPr>
      <w:r>
        <w:t xml:space="preserve">2.  </w:t>
      </w:r>
      <w:r>
        <w:rPr>
          <w:rFonts w:hint="eastAsia"/>
        </w:rPr>
        <w:t>荷兰的解放政策概述</w:t>
      </w:r>
      <w:r>
        <w:tab/>
      </w:r>
      <w:r>
        <w:tab/>
        <w:t>7</w:t>
      </w:r>
    </w:p>
    <w:p w:rsidR="00000000" w:rsidRDefault="00000000">
      <w:pPr>
        <w:tabs>
          <w:tab w:val="left" w:leader="dot" w:pos="8760"/>
          <w:tab w:val="center" w:pos="9360"/>
        </w:tabs>
        <w:autoSpaceDE w:val="0"/>
        <w:autoSpaceDN w:val="0"/>
        <w:spacing w:after="240" w:line="360" w:lineRule="exact"/>
        <w:textAlignment w:val="bottom"/>
      </w:pPr>
      <w:r>
        <w:t xml:space="preserve">3.  </w:t>
      </w:r>
      <w:r>
        <w:rPr>
          <w:rFonts w:hint="eastAsia"/>
        </w:rPr>
        <w:t>第</w:t>
      </w:r>
      <w:r>
        <w:t>3</w:t>
      </w:r>
      <w:r>
        <w:rPr>
          <w:rFonts w:hint="eastAsia"/>
        </w:rPr>
        <w:t>条：人权和基本自由</w:t>
      </w:r>
      <w:r>
        <w:tab/>
      </w:r>
      <w:r>
        <w:tab/>
        <w:t>19</w:t>
      </w:r>
    </w:p>
    <w:p w:rsidR="00000000" w:rsidRDefault="00000000">
      <w:pPr>
        <w:tabs>
          <w:tab w:val="left" w:leader="dot" w:pos="8760"/>
          <w:tab w:val="center" w:pos="9360"/>
        </w:tabs>
        <w:autoSpaceDE w:val="0"/>
        <w:autoSpaceDN w:val="0"/>
        <w:spacing w:after="240" w:line="360" w:lineRule="exact"/>
        <w:textAlignment w:val="bottom"/>
      </w:pPr>
      <w:r>
        <w:t xml:space="preserve">4.  </w:t>
      </w:r>
      <w:r>
        <w:rPr>
          <w:rFonts w:hint="eastAsia"/>
        </w:rPr>
        <w:t>第</w:t>
      </w:r>
      <w:r>
        <w:t>6</w:t>
      </w:r>
      <w:r>
        <w:rPr>
          <w:rFonts w:hint="eastAsia"/>
        </w:rPr>
        <w:t>条：贩卖妇女</w:t>
      </w:r>
      <w:r>
        <w:tab/>
      </w:r>
      <w:r>
        <w:tab/>
        <w:t>27</w:t>
      </w:r>
    </w:p>
    <w:p w:rsidR="00000000" w:rsidRDefault="00000000">
      <w:pPr>
        <w:tabs>
          <w:tab w:val="left" w:leader="dot" w:pos="8760"/>
          <w:tab w:val="center" w:pos="9360"/>
        </w:tabs>
        <w:autoSpaceDE w:val="0"/>
        <w:autoSpaceDN w:val="0"/>
        <w:spacing w:after="240" w:line="360" w:lineRule="exact"/>
        <w:textAlignment w:val="bottom"/>
      </w:pPr>
      <w:r>
        <w:t xml:space="preserve">5.  </w:t>
      </w:r>
      <w:r>
        <w:rPr>
          <w:rFonts w:hint="eastAsia"/>
        </w:rPr>
        <w:t>第</w:t>
      </w:r>
      <w:r>
        <w:t>7</w:t>
      </w:r>
      <w:r>
        <w:rPr>
          <w:rFonts w:hint="eastAsia"/>
        </w:rPr>
        <w:t>条：政治和公共生活</w:t>
      </w:r>
      <w:r>
        <w:tab/>
      </w:r>
      <w:r>
        <w:tab/>
        <w:t>32</w:t>
      </w:r>
    </w:p>
    <w:p w:rsidR="00000000" w:rsidRDefault="00000000">
      <w:pPr>
        <w:tabs>
          <w:tab w:val="left" w:leader="dot" w:pos="8760"/>
          <w:tab w:val="center" w:pos="9360"/>
        </w:tabs>
        <w:autoSpaceDE w:val="0"/>
        <w:autoSpaceDN w:val="0"/>
        <w:spacing w:after="240" w:line="360" w:lineRule="exact"/>
        <w:ind w:firstLine="360"/>
        <w:textAlignment w:val="bottom"/>
      </w:pPr>
      <w:r>
        <w:rPr>
          <w:rFonts w:hint="eastAsia"/>
        </w:rPr>
        <w:t>第</w:t>
      </w:r>
      <w:r>
        <w:t>10(g)</w:t>
      </w:r>
      <w:r>
        <w:rPr>
          <w:rFonts w:hint="eastAsia"/>
        </w:rPr>
        <w:t>和第</w:t>
      </w:r>
      <w:r>
        <w:t>13(c)</w:t>
      </w:r>
      <w:r>
        <w:rPr>
          <w:rFonts w:hint="eastAsia"/>
        </w:rPr>
        <w:t>条：体育和社会生活</w:t>
      </w:r>
      <w:r>
        <w:tab/>
      </w:r>
      <w:r>
        <w:tab/>
        <w:t>32</w:t>
      </w:r>
    </w:p>
    <w:p w:rsidR="00000000" w:rsidRDefault="00000000">
      <w:pPr>
        <w:tabs>
          <w:tab w:val="left" w:leader="dot" w:pos="8760"/>
          <w:tab w:val="center" w:pos="9360"/>
        </w:tabs>
        <w:autoSpaceDE w:val="0"/>
        <w:autoSpaceDN w:val="0"/>
        <w:spacing w:after="240" w:line="360" w:lineRule="exact"/>
        <w:textAlignment w:val="bottom"/>
      </w:pPr>
      <w:r>
        <w:t xml:space="preserve">6.  </w:t>
      </w:r>
      <w:r>
        <w:rPr>
          <w:rFonts w:hint="eastAsia"/>
        </w:rPr>
        <w:t>第</w:t>
      </w:r>
      <w:r>
        <w:t>8</w:t>
      </w:r>
      <w:r>
        <w:rPr>
          <w:rFonts w:hint="eastAsia"/>
        </w:rPr>
        <w:t>条：国际一级的代表性</w:t>
      </w:r>
      <w:r>
        <w:tab/>
      </w:r>
      <w:r>
        <w:tab/>
        <w:t>38</w:t>
      </w:r>
    </w:p>
    <w:p w:rsidR="00000000" w:rsidRDefault="00000000">
      <w:pPr>
        <w:tabs>
          <w:tab w:val="left" w:leader="dot" w:pos="8760"/>
          <w:tab w:val="center" w:pos="9360"/>
        </w:tabs>
        <w:autoSpaceDE w:val="0"/>
        <w:autoSpaceDN w:val="0"/>
        <w:spacing w:after="240" w:line="360" w:lineRule="exact"/>
        <w:textAlignment w:val="bottom"/>
      </w:pPr>
      <w:r>
        <w:t xml:space="preserve">7.  </w:t>
      </w:r>
      <w:r>
        <w:rPr>
          <w:rFonts w:hint="eastAsia"/>
        </w:rPr>
        <w:t>第</w:t>
      </w:r>
      <w:r>
        <w:t>9</w:t>
      </w:r>
      <w:r>
        <w:rPr>
          <w:rFonts w:hint="eastAsia"/>
        </w:rPr>
        <w:t>条：国籍权和外国人法</w:t>
      </w:r>
      <w:r>
        <w:tab/>
      </w:r>
      <w:r>
        <w:tab/>
        <w:t>40</w:t>
      </w:r>
    </w:p>
    <w:p w:rsidR="00000000" w:rsidRDefault="00000000">
      <w:pPr>
        <w:tabs>
          <w:tab w:val="left" w:leader="dot" w:pos="8760"/>
          <w:tab w:val="center" w:pos="9360"/>
        </w:tabs>
        <w:autoSpaceDE w:val="0"/>
        <w:autoSpaceDN w:val="0"/>
        <w:spacing w:after="240" w:line="360" w:lineRule="exact"/>
        <w:textAlignment w:val="bottom"/>
      </w:pPr>
      <w:r>
        <w:t xml:space="preserve">8.  </w:t>
      </w:r>
      <w:r>
        <w:rPr>
          <w:rFonts w:hint="eastAsia"/>
        </w:rPr>
        <w:t>第</w:t>
      </w:r>
      <w:r>
        <w:t>10</w:t>
      </w:r>
      <w:r>
        <w:rPr>
          <w:rFonts w:hint="eastAsia"/>
        </w:rPr>
        <w:t>条：正规和非正规教育</w:t>
      </w:r>
      <w:r>
        <w:tab/>
      </w:r>
      <w:r>
        <w:tab/>
        <w:t>46</w:t>
      </w:r>
    </w:p>
    <w:p w:rsidR="00000000" w:rsidRDefault="00000000">
      <w:pPr>
        <w:tabs>
          <w:tab w:val="left" w:leader="dot" w:pos="8760"/>
          <w:tab w:val="center" w:pos="9360"/>
        </w:tabs>
        <w:autoSpaceDE w:val="0"/>
        <w:autoSpaceDN w:val="0"/>
        <w:spacing w:after="240" w:line="360" w:lineRule="exact"/>
        <w:textAlignment w:val="bottom"/>
      </w:pPr>
      <w:r>
        <w:t xml:space="preserve">9.  </w:t>
      </w:r>
      <w:r>
        <w:rPr>
          <w:rFonts w:hint="eastAsia"/>
        </w:rPr>
        <w:t>第</w:t>
      </w:r>
      <w:r>
        <w:t>11</w:t>
      </w:r>
      <w:r>
        <w:rPr>
          <w:rFonts w:hint="eastAsia"/>
        </w:rPr>
        <w:t>条：就业</w:t>
      </w:r>
      <w:r>
        <w:tab/>
      </w:r>
      <w:r>
        <w:tab/>
        <w:t>53</w:t>
      </w:r>
    </w:p>
    <w:p w:rsidR="00000000" w:rsidRDefault="00000000">
      <w:pPr>
        <w:tabs>
          <w:tab w:val="left" w:leader="dot" w:pos="8760"/>
          <w:tab w:val="center" w:pos="9360"/>
        </w:tabs>
        <w:autoSpaceDE w:val="0"/>
        <w:autoSpaceDN w:val="0"/>
        <w:spacing w:after="240" w:line="360" w:lineRule="exact"/>
        <w:ind w:firstLine="360"/>
        <w:textAlignment w:val="bottom"/>
      </w:pPr>
      <w:r>
        <w:rPr>
          <w:rFonts w:hint="eastAsia"/>
        </w:rPr>
        <w:t>第</w:t>
      </w:r>
      <w:r>
        <w:t>13(a)</w:t>
      </w:r>
      <w:r>
        <w:rPr>
          <w:rFonts w:hint="eastAsia"/>
        </w:rPr>
        <w:t>和</w:t>
      </w:r>
      <w:r>
        <w:t>(b)</w:t>
      </w:r>
      <w:r>
        <w:rPr>
          <w:rFonts w:hint="eastAsia"/>
        </w:rPr>
        <w:t>条：经济生活</w:t>
      </w:r>
      <w:r>
        <w:tab/>
      </w:r>
      <w:r>
        <w:tab/>
        <w:t>53</w:t>
      </w:r>
    </w:p>
    <w:p w:rsidR="00000000" w:rsidRDefault="00000000">
      <w:pPr>
        <w:tabs>
          <w:tab w:val="left" w:leader="dot" w:pos="8760"/>
          <w:tab w:val="center" w:pos="9360"/>
        </w:tabs>
        <w:autoSpaceDE w:val="0"/>
        <w:autoSpaceDN w:val="0"/>
        <w:spacing w:after="240" w:line="360" w:lineRule="exact"/>
        <w:textAlignment w:val="bottom"/>
      </w:pPr>
      <w:r>
        <w:t xml:space="preserve">10.  </w:t>
      </w:r>
      <w:r>
        <w:rPr>
          <w:rFonts w:hint="eastAsia"/>
        </w:rPr>
        <w:t>第</w:t>
      </w:r>
      <w:r>
        <w:t>12</w:t>
      </w:r>
      <w:r>
        <w:rPr>
          <w:rFonts w:hint="eastAsia"/>
        </w:rPr>
        <w:t>条：保健</w:t>
      </w:r>
      <w:r>
        <w:tab/>
      </w:r>
      <w:r>
        <w:tab/>
        <w:t>74</w:t>
      </w:r>
    </w:p>
    <w:p w:rsidR="00000000" w:rsidRDefault="00000000">
      <w:pPr>
        <w:tabs>
          <w:tab w:val="left" w:leader="dot" w:pos="8760"/>
          <w:tab w:val="center" w:pos="9360"/>
        </w:tabs>
        <w:autoSpaceDE w:val="0"/>
        <w:autoSpaceDN w:val="0"/>
        <w:spacing w:after="240" w:line="360" w:lineRule="exact"/>
        <w:textAlignment w:val="bottom"/>
      </w:pPr>
      <w:r>
        <w:t xml:space="preserve">11.  </w:t>
      </w:r>
      <w:r>
        <w:rPr>
          <w:rFonts w:hint="eastAsia"/>
        </w:rPr>
        <w:t>第</w:t>
      </w:r>
      <w:r>
        <w:t>14</w:t>
      </w:r>
      <w:r>
        <w:rPr>
          <w:rFonts w:hint="eastAsia"/>
        </w:rPr>
        <w:t>条：农村妇女</w:t>
      </w:r>
      <w:r>
        <w:tab/>
      </w:r>
      <w:r>
        <w:tab/>
        <w:t>77</w:t>
      </w:r>
    </w:p>
    <w:p w:rsidR="00000000" w:rsidRDefault="00000000">
      <w:pPr>
        <w:tabs>
          <w:tab w:val="left" w:leader="dot" w:pos="8760"/>
          <w:tab w:val="center" w:pos="9360"/>
        </w:tabs>
        <w:autoSpaceDE w:val="0"/>
        <w:autoSpaceDN w:val="0"/>
        <w:spacing w:after="240" w:line="360" w:lineRule="exact"/>
        <w:textAlignment w:val="bottom"/>
      </w:pPr>
      <w:r>
        <w:t xml:space="preserve">12.  </w:t>
      </w:r>
      <w:r>
        <w:rPr>
          <w:rFonts w:hint="eastAsia"/>
        </w:rPr>
        <w:t>第</w:t>
      </w:r>
      <w:r>
        <w:t>16</w:t>
      </w:r>
      <w:r>
        <w:rPr>
          <w:rFonts w:hint="eastAsia"/>
        </w:rPr>
        <w:t>条：个人和家庭权利</w:t>
      </w:r>
      <w:r>
        <w:tab/>
      </w:r>
      <w:r>
        <w:tab/>
        <w:t>79</w:t>
      </w:r>
    </w:p>
    <w:p w:rsidR="00000000" w:rsidRDefault="00000000">
      <w:pPr>
        <w:tabs>
          <w:tab w:val="left" w:leader="dot" w:pos="8760"/>
          <w:tab w:val="center" w:pos="9360"/>
        </w:tabs>
        <w:autoSpaceDE w:val="0"/>
        <w:autoSpaceDN w:val="0"/>
        <w:spacing w:after="240" w:line="360" w:lineRule="exact"/>
        <w:textAlignment w:val="bottom"/>
      </w:pPr>
      <w:r>
        <w:t xml:space="preserve">13.  </w:t>
      </w:r>
      <w:r>
        <w:rPr>
          <w:rFonts w:hint="eastAsia"/>
        </w:rPr>
        <w:t>结束语</w:t>
      </w:r>
      <w:r>
        <w:tab/>
      </w:r>
      <w:r>
        <w:tab/>
        <w:t>83</w:t>
      </w:r>
    </w:p>
    <w:p w:rsidR="00000000" w:rsidRDefault="00000000">
      <w:pPr>
        <w:tabs>
          <w:tab w:val="left" w:leader="dot" w:pos="8760"/>
          <w:tab w:val="center" w:pos="9360"/>
        </w:tabs>
        <w:autoSpaceDE w:val="0"/>
        <w:autoSpaceDN w:val="0"/>
        <w:spacing w:after="240" w:line="360" w:lineRule="exact"/>
        <w:textAlignment w:val="bottom"/>
      </w:pPr>
      <w:r>
        <w:rPr>
          <w:rFonts w:hint="eastAsia"/>
        </w:rPr>
        <w:t>附件</w:t>
      </w:r>
      <w:r>
        <w:tab/>
      </w:r>
      <w:r>
        <w:tab/>
        <w:t>85</w:t>
      </w:r>
    </w:p>
    <w:p w:rsidR="00000000" w:rsidRDefault="00000000">
      <w:pPr>
        <w:tabs>
          <w:tab w:val="left" w:leader="dot" w:pos="8760"/>
          <w:tab w:val="center" w:pos="9360"/>
        </w:tabs>
        <w:autoSpaceDE w:val="0"/>
        <w:autoSpaceDN w:val="0"/>
        <w:spacing w:after="240" w:line="360" w:lineRule="exact"/>
        <w:textAlignment w:val="bottom"/>
      </w:pPr>
      <w:r>
        <w:t xml:space="preserve">1.  </w:t>
      </w:r>
      <w:r>
        <w:rPr>
          <w:rFonts w:hint="eastAsia"/>
        </w:rPr>
        <w:t>第</w:t>
      </w:r>
      <w:r>
        <w:t>18</w:t>
      </w:r>
      <w:r>
        <w:rPr>
          <w:rFonts w:hint="eastAsia"/>
        </w:rPr>
        <w:t>号一般性建议：残疾妇女的状况</w:t>
      </w:r>
      <w:r>
        <w:tab/>
      </w:r>
      <w:r>
        <w:tab/>
        <w:t>85</w:t>
      </w:r>
    </w:p>
    <w:p w:rsidR="00000000" w:rsidRDefault="00000000">
      <w:pPr>
        <w:tabs>
          <w:tab w:val="left" w:leader="dot" w:pos="8760"/>
          <w:tab w:val="center" w:pos="9360"/>
        </w:tabs>
        <w:autoSpaceDE w:val="0"/>
        <w:autoSpaceDN w:val="0"/>
        <w:spacing w:line="360" w:lineRule="exact"/>
        <w:textAlignment w:val="bottom"/>
      </w:pPr>
      <w:r>
        <w:t xml:space="preserve">2.  </w:t>
      </w:r>
      <w:r>
        <w:rPr>
          <w:rFonts w:hint="eastAsia"/>
        </w:rPr>
        <w:t>支助解放体系</w:t>
      </w:r>
      <w:r>
        <w:tab/>
      </w:r>
      <w:r>
        <w:tab/>
        <w:t>87</w:t>
      </w:r>
    </w:p>
    <w:p w:rsidR="00000000" w:rsidRDefault="00000000">
      <w:pPr>
        <w:autoSpaceDE w:val="0"/>
        <w:autoSpaceDN w:val="0"/>
        <w:spacing w:after="240" w:line="400" w:lineRule="exact"/>
        <w:textAlignment w:val="bottom"/>
        <w:rPr>
          <w:rFonts w:ascii="SimHei" w:eastAsia="SimHei"/>
          <w:sz w:val="28"/>
        </w:rPr>
      </w:pPr>
      <w:r>
        <w:br w:type="page"/>
      </w:r>
      <w:r>
        <w:rPr>
          <w:rFonts w:ascii="SimHei" w:eastAsia="SimHei" w:hint="eastAsia"/>
          <w:sz w:val="28"/>
        </w:rPr>
        <w:t>第一章</w:t>
      </w:r>
      <w:r>
        <w:rPr>
          <w:rFonts w:ascii="SimHei" w:eastAsia="SimHei"/>
          <w:sz w:val="28"/>
        </w:rPr>
        <w:t xml:space="preserve">  </w:t>
      </w:r>
      <w:r>
        <w:rPr>
          <w:rFonts w:ascii="SimHei" w:eastAsia="SimHei" w:hint="eastAsia"/>
          <w:sz w:val="28"/>
        </w:rPr>
        <w:t>对报告的说明</w:t>
      </w:r>
    </w:p>
    <w:p w:rsidR="00000000" w:rsidRDefault="00000000">
      <w:pPr>
        <w:autoSpaceDE w:val="0"/>
        <w:autoSpaceDN w:val="0"/>
        <w:spacing w:after="240" w:line="400" w:lineRule="exact"/>
        <w:textAlignment w:val="bottom"/>
        <w:rPr>
          <w:rFonts w:ascii="SimHei" w:eastAsia="SimHei"/>
          <w:sz w:val="24"/>
        </w:rPr>
      </w:pPr>
      <w:r>
        <w:rPr>
          <w:rFonts w:ascii="SimHei" w:eastAsia="SimHei"/>
          <w:sz w:val="24"/>
        </w:rPr>
        <w:t xml:space="preserve">1.  </w:t>
      </w:r>
      <w:r>
        <w:rPr>
          <w:rFonts w:ascii="SimHei" w:eastAsia="SimHei" w:hint="eastAsia"/>
          <w:sz w:val="24"/>
        </w:rPr>
        <w:t>导言</w:t>
      </w:r>
    </w:p>
    <w:p w:rsidR="00000000" w:rsidRDefault="00000000">
      <w:pPr>
        <w:autoSpaceDE w:val="0"/>
        <w:autoSpaceDN w:val="0"/>
        <w:spacing w:after="240" w:line="400" w:lineRule="exact"/>
        <w:ind w:firstLine="425"/>
        <w:textAlignment w:val="bottom"/>
      </w:pPr>
      <w:r>
        <w:rPr>
          <w:rFonts w:hint="eastAsia"/>
        </w:rPr>
        <w:t>这是荷兰向消除对妇女歧视委员会第二次提交的报告，该委员会是按照联合国《消除对妇女一切形式歧视公约》设立的。</w:t>
      </w:r>
      <w:r>
        <w:rPr>
          <w:rStyle w:val="FootnoteReference"/>
        </w:rPr>
        <w:footnoteReference w:id="3"/>
      </w:r>
      <w:r>
        <w:rPr>
          <w:rFonts w:hint="eastAsia"/>
        </w:rPr>
        <w:t>本报告是在按该公约批准书第</w:t>
      </w:r>
      <w:r>
        <w:t>3</w:t>
      </w:r>
      <w:r>
        <w:rPr>
          <w:rFonts w:hint="eastAsia"/>
        </w:rPr>
        <w:t>节中一项条款向议会提交国家报告之后提交的。</w:t>
      </w:r>
      <w:r>
        <w:rPr>
          <w:rStyle w:val="FootnoteReference"/>
        </w:rPr>
        <w:footnoteReference w:id="4"/>
      </w:r>
      <w:r>
        <w:rPr>
          <w:rFonts w:hint="eastAsia"/>
        </w:rPr>
        <w:t>该条款由议员</w:t>
      </w:r>
      <w:r>
        <w:t>E. Kalsbeek-Jasperse</w:t>
      </w:r>
      <w:r>
        <w:rPr>
          <w:rFonts w:hint="eastAsia"/>
        </w:rPr>
        <w:t>提出，要求荷兰政府每四年在向消除对妇女歧视委员会提交报告之前，向议会报告对该公约规定的义务的履行情况。据信，荷兰是通过这种额外监测手段把对该公约履行情况这一主题列入国家政治议程的唯一国家。</w:t>
      </w:r>
    </w:p>
    <w:p w:rsidR="00000000" w:rsidRDefault="00000000">
      <w:pPr>
        <w:autoSpaceDE w:val="0"/>
        <w:autoSpaceDN w:val="0"/>
        <w:spacing w:after="240" w:line="400" w:lineRule="exact"/>
        <w:ind w:firstLine="425"/>
        <w:textAlignment w:val="bottom"/>
      </w:pPr>
      <w:r>
        <w:rPr>
          <w:rFonts w:hint="eastAsia"/>
        </w:rPr>
        <w:t>第一份国家报告</w:t>
      </w:r>
      <w:r>
        <w:rPr>
          <w:rStyle w:val="FootnoteReference"/>
        </w:rPr>
        <w:footnoteReference w:id="5"/>
      </w:r>
      <w:r>
        <w:rPr>
          <w:rFonts w:hint="eastAsia"/>
        </w:rPr>
        <w:t>于</w:t>
      </w:r>
      <w:r>
        <w:t>1997</w:t>
      </w:r>
      <w:r>
        <w:rPr>
          <w:rFonts w:hint="eastAsia"/>
        </w:rPr>
        <w:t>年</w:t>
      </w:r>
      <w:r>
        <w:t>3</w:t>
      </w:r>
      <w:r>
        <w:rPr>
          <w:rFonts w:hint="eastAsia"/>
        </w:rPr>
        <w:t>月公布，后来</w:t>
      </w:r>
      <w:r>
        <w:t>1997</w:t>
      </w:r>
      <w:r>
        <w:rPr>
          <w:rFonts w:hint="eastAsia"/>
        </w:rPr>
        <w:t>年</w:t>
      </w:r>
      <w:r>
        <w:t>10</w:t>
      </w:r>
      <w:r>
        <w:rPr>
          <w:rFonts w:hint="eastAsia"/>
        </w:rPr>
        <w:t>月又召开了一个参与这一进程的决策者、专家和其他人员的会议。目前政府已向议会提出对该国家报告的意见。尽管该国家报告无可置疑地使人们更多地集中注意《公约》的遵守情况，但是由于行动规模很大使得提交给该委员会的报告推迟了。目前国家报告已经完成，因此荷兰政府认为，它已从这份新文件中获得足够经验，可确保今后只需花费较少时间编写提交给消除对妇女歧视委员会的报告。</w:t>
      </w:r>
    </w:p>
    <w:p w:rsidR="00000000" w:rsidRDefault="00000000">
      <w:pPr>
        <w:autoSpaceDE w:val="0"/>
        <w:autoSpaceDN w:val="0"/>
        <w:spacing w:after="240" w:line="400" w:lineRule="exact"/>
        <w:ind w:firstLine="425"/>
        <w:textAlignment w:val="bottom"/>
      </w:pPr>
      <w:r>
        <w:rPr>
          <w:rFonts w:hint="eastAsia"/>
        </w:rPr>
        <w:t>第一章简要论述提交报告的程序。也叙述了报告的结构及编写方法。第二章概述荷兰的解放政策，不仅包括其基本原则，也包括政策如何安排及如何得到支助。以后各章分别介绍《公约》不同条款所载解放政策的具体方面。</w:t>
      </w:r>
    </w:p>
    <w:p w:rsidR="00000000" w:rsidRDefault="00000000">
      <w:pPr>
        <w:pStyle w:val="Date1"/>
        <w:autoSpaceDE w:val="0"/>
        <w:autoSpaceDN w:val="0"/>
        <w:spacing w:after="240" w:line="400" w:lineRule="exact"/>
        <w:textAlignment w:val="bottom"/>
        <w:rPr>
          <w:rFonts w:ascii="长城楷体" w:eastAsia="长城楷体"/>
        </w:rPr>
      </w:pPr>
      <w:r>
        <w:rPr>
          <w:rFonts w:ascii="长城楷体" w:eastAsia="长城楷体" w:hint="eastAsia"/>
        </w:rPr>
        <w:t>背景</w:t>
      </w:r>
    </w:p>
    <w:p w:rsidR="00000000" w:rsidRDefault="00000000">
      <w:pPr>
        <w:autoSpaceDE w:val="0"/>
        <w:autoSpaceDN w:val="0"/>
        <w:spacing w:after="240" w:line="400" w:lineRule="exact"/>
        <w:ind w:firstLine="425"/>
        <w:textAlignment w:val="bottom"/>
      </w:pPr>
      <w:r>
        <w:rPr>
          <w:rFonts w:hint="eastAsia"/>
        </w:rPr>
        <w:t>第一份国家报告是根据社会和就业大臣（兼解放政策协调大臣）的要求由前议员</w:t>
      </w:r>
      <w:r>
        <w:t>L.S.Groenman</w:t>
      </w:r>
      <w:r>
        <w:rPr>
          <w:rFonts w:hint="eastAsia"/>
        </w:rPr>
        <w:t>领导的一个独立专家委员会编写的。</w:t>
      </w:r>
      <w:r>
        <w:rPr>
          <w:rStyle w:val="FootnoteReference"/>
        </w:rPr>
        <w:footnoteReference w:id="6"/>
      </w:r>
      <w:r>
        <w:rPr>
          <w:rFonts w:hint="eastAsia"/>
        </w:rPr>
        <w:t>该委员会从</w:t>
      </w:r>
      <w:r>
        <w:t>1996</w:t>
      </w:r>
      <w:r>
        <w:rPr>
          <w:rFonts w:hint="eastAsia"/>
        </w:rPr>
        <w:t>年</w:t>
      </w:r>
      <w:r>
        <w:t>7</w:t>
      </w:r>
      <w:r>
        <w:rPr>
          <w:rFonts w:hint="eastAsia"/>
        </w:rPr>
        <w:t>月至</w:t>
      </w:r>
      <w:r>
        <w:t>1997</w:t>
      </w:r>
      <w:r>
        <w:rPr>
          <w:rFonts w:hint="eastAsia"/>
        </w:rPr>
        <w:t>年</w:t>
      </w:r>
      <w:r>
        <w:t>2</w:t>
      </w:r>
      <w:r>
        <w:rPr>
          <w:rFonts w:hint="eastAsia"/>
        </w:rPr>
        <w:t>月就荷兰执行《妇女公约》的进展情况编写了一个全面而详尽的报告。该报告得出大量结论并对今后的政策提出了大量的建议。应</w:t>
      </w:r>
      <w:r>
        <w:t>Nijmegen</w:t>
      </w:r>
      <w:r>
        <w:rPr>
          <w:rFonts w:hint="eastAsia"/>
        </w:rPr>
        <w:t>大学当局的要求于</w:t>
      </w:r>
      <w:r>
        <w:t>1997</w:t>
      </w:r>
      <w:r>
        <w:rPr>
          <w:rFonts w:hint="eastAsia"/>
        </w:rPr>
        <w:t>年</w:t>
      </w:r>
      <w:r>
        <w:t>10</w:t>
      </w:r>
      <w:r>
        <w:rPr>
          <w:rFonts w:hint="eastAsia"/>
        </w:rPr>
        <w:t>月召开了一个全国会议讨论</w:t>
      </w:r>
      <w:r>
        <w:t>Groenman</w:t>
      </w:r>
      <w:r>
        <w:rPr>
          <w:rFonts w:hint="eastAsia"/>
        </w:rPr>
        <w:t>报告。许多非政府组织参加了会议，它们的目的是促进妇女运动和其他社会组织的专家就该报告的结果和结论开展辩论。政府在</w:t>
      </w:r>
      <w:r>
        <w:t>1998</w:t>
      </w:r>
      <w:r>
        <w:rPr>
          <w:rFonts w:hint="eastAsia"/>
        </w:rPr>
        <w:t>年</w:t>
      </w:r>
      <w:r>
        <w:t>2</w:t>
      </w:r>
      <w:r>
        <w:rPr>
          <w:rFonts w:hint="eastAsia"/>
        </w:rPr>
        <w:t>月向议会提出对该报告的评论时也考虑到该会议的结果。本报告也载有这些结果。</w:t>
      </w:r>
    </w:p>
    <w:p w:rsidR="00000000" w:rsidRDefault="00000000">
      <w:pPr>
        <w:autoSpaceDE w:val="0"/>
        <w:autoSpaceDN w:val="0"/>
        <w:spacing w:after="240" w:line="400" w:lineRule="exact"/>
        <w:ind w:firstLine="425"/>
        <w:textAlignment w:val="bottom"/>
      </w:pPr>
      <w:r>
        <w:rPr>
          <w:rFonts w:hint="eastAsia"/>
        </w:rPr>
        <w:t>除了日常提交给消除对妇女歧视委员会的报告之外，荷兰政府还就《公约》的特殊方面进行了研究，以期获得这些领域的更多信息和专业知识。从</w:t>
      </w:r>
      <w:r>
        <w:t>1993</w:t>
      </w:r>
      <w:r>
        <w:rPr>
          <w:rFonts w:hint="eastAsia"/>
        </w:rPr>
        <w:t>年到</w:t>
      </w:r>
      <w:r>
        <w:t>1997</w:t>
      </w:r>
      <w:r>
        <w:rPr>
          <w:rFonts w:hint="eastAsia"/>
        </w:rPr>
        <w:t>年期间出版了两份这种研究报告，</w:t>
      </w:r>
      <w:r>
        <w:rPr>
          <w:rStyle w:val="FootnoteReference"/>
        </w:rPr>
        <w:footnoteReference w:id="7"/>
      </w:r>
      <w:r>
        <w:rPr>
          <w:rFonts w:hint="eastAsia"/>
        </w:rPr>
        <w:t>这些研究报告的结果已载入国家报告。关于《公约》对孕妇及年轻母亲法律地位的影响的第三个研究报告将在</w:t>
      </w:r>
      <w:r>
        <w:t>1998</w:t>
      </w:r>
      <w:r>
        <w:rPr>
          <w:rFonts w:hint="eastAsia"/>
        </w:rPr>
        <w:t>年完成</w:t>
      </w:r>
      <w:r>
        <w:t xml:space="preserve"> </w:t>
      </w:r>
      <w:r>
        <w:rPr>
          <w:rFonts w:hint="eastAsia"/>
        </w:rPr>
        <w:t>。</w:t>
      </w:r>
    </w:p>
    <w:p w:rsidR="00000000" w:rsidRDefault="00000000">
      <w:pPr>
        <w:autoSpaceDE w:val="0"/>
        <w:autoSpaceDN w:val="0"/>
        <w:spacing w:after="240" w:line="400" w:lineRule="exact"/>
        <w:textAlignment w:val="bottom"/>
        <w:rPr>
          <w:rFonts w:ascii="楷体" w:eastAsia="楷体"/>
        </w:rPr>
      </w:pPr>
      <w:r>
        <w:rPr>
          <w:rFonts w:ascii="楷体" w:eastAsia="楷体" w:hint="eastAsia"/>
        </w:rPr>
        <w:t>作为报告指导方针的三级政策</w:t>
      </w:r>
    </w:p>
    <w:p w:rsidR="00000000" w:rsidRDefault="00000000">
      <w:pPr>
        <w:autoSpaceDE w:val="0"/>
        <w:autoSpaceDN w:val="0"/>
        <w:spacing w:after="240" w:line="400" w:lineRule="exact"/>
        <w:ind w:firstLine="425"/>
        <w:textAlignment w:val="bottom"/>
      </w:pPr>
      <w:r>
        <w:rPr>
          <w:rFonts w:hint="eastAsia"/>
        </w:rPr>
        <w:t>提交给消除对妇女歧视委员会的这份第二次报告的结构与上一个报告有所不同，它是以</w:t>
      </w:r>
      <w:r>
        <w:t>Groenman</w:t>
      </w:r>
      <w:r>
        <w:rPr>
          <w:rFonts w:hint="eastAsia"/>
        </w:rPr>
        <w:t>委员会采用的办法为基础的。该委员会在其报告中把联合国《妇女公约》的主要目标（即消除对妇女一切形式歧视）又分为三个子目标：</w:t>
      </w:r>
    </w:p>
    <w:p w:rsidR="00000000" w:rsidRDefault="00000000">
      <w:pPr>
        <w:autoSpaceDE w:val="0"/>
        <w:autoSpaceDN w:val="0"/>
        <w:spacing w:after="240" w:line="400" w:lineRule="exact"/>
        <w:ind w:firstLine="425"/>
        <w:textAlignment w:val="bottom"/>
      </w:pPr>
      <w:r>
        <w:t xml:space="preserve">1.  </w:t>
      </w:r>
      <w:r>
        <w:rPr>
          <w:rFonts w:hint="eastAsia"/>
        </w:rPr>
        <w:t>实现妇女在法律面前和公共生活中的完全平等。委员会指的是《公约》规定的妇女应受到立法、行政部门和法院的平等对待的目标。</w:t>
      </w:r>
    </w:p>
    <w:p w:rsidR="00000000" w:rsidRDefault="00000000">
      <w:pPr>
        <w:autoSpaceDE w:val="0"/>
        <w:autoSpaceDN w:val="0"/>
        <w:spacing w:after="240" w:line="400" w:lineRule="exact"/>
        <w:ind w:firstLine="425"/>
        <w:textAlignment w:val="bottom"/>
      </w:pPr>
      <w:r>
        <w:t xml:space="preserve">2.  </w:t>
      </w:r>
      <w:r>
        <w:rPr>
          <w:rFonts w:hint="eastAsia"/>
        </w:rPr>
        <w:t>提高妇女地位。这项子目标强调，按照《公约》规定当局必须尽一切可能消除社会中的歧视并取消现存的不平等现象。</w:t>
      </w:r>
    </w:p>
    <w:p w:rsidR="00000000" w:rsidRDefault="00000000">
      <w:pPr>
        <w:autoSpaceDE w:val="0"/>
        <w:autoSpaceDN w:val="0"/>
        <w:spacing w:after="240" w:line="400" w:lineRule="exact"/>
        <w:ind w:firstLine="425"/>
        <w:textAlignment w:val="bottom"/>
      </w:pPr>
      <w:r>
        <w:t xml:space="preserve">3.  </w:t>
      </w:r>
      <w:r>
        <w:rPr>
          <w:rFonts w:hint="eastAsia"/>
        </w:rPr>
        <w:t>反对占主导地位的基于性别的思想意识。委员会强调，不仅人的个性，而且社会的结构和文化都是由那种认为事物特有的男性和女性特点的既定而且占主导的观点所决定。这种观点导致对男人和女人的不同分工，并使妇女时常沦为男人的附属物。</w:t>
      </w:r>
    </w:p>
    <w:p w:rsidR="00000000" w:rsidRDefault="00000000">
      <w:pPr>
        <w:autoSpaceDE w:val="0"/>
        <w:autoSpaceDN w:val="0"/>
        <w:spacing w:after="240" w:line="400" w:lineRule="exact"/>
        <w:ind w:firstLine="425"/>
        <w:textAlignment w:val="bottom"/>
      </w:pPr>
      <w:r>
        <w:rPr>
          <w:rFonts w:hint="eastAsia"/>
        </w:rPr>
        <w:t>荷兰政府的解放政策中也反映出了这三个子目标。根据对这三个子目标的类推，在三个不同但又相互有关的级别制定了政策，其最终的结果是实现社会的基本变革。第一级措施的目标是确保在法律面前和公共生活中男女平等。这是实现《公约》主要目标必须具备的前提条件，但这还不够。第二级措施是为了确保法律面前的正式平等能在实践中得到实现。这些政策措施旨在改善妇女地位，同时也促进作为加强社会质量的一种手段的多样性。</w:t>
      </w:r>
      <w:r>
        <w:rPr>
          <w:rStyle w:val="FootnoteReference"/>
        </w:rPr>
        <w:footnoteReference w:id="8"/>
      </w:r>
      <w:r>
        <w:rPr>
          <w:rFonts w:hint="eastAsia"/>
        </w:rPr>
        <w:t>这种形式的政策是必须具备的另一个前提条件，但是如果社会结构和文化仍然基于对男女作用过时的观念，这也是不够的。这些观点不会自动改变；必须促进它们的转变。这就是为什么需要第三级措施的原因。这些措施的意图是消除对性别的定型过时的观点。总之，它们涉及一种寻找促进和支持文化变革途径的战略。</w:t>
      </w:r>
      <w:r>
        <w:rPr>
          <w:rStyle w:val="FootnoteReference"/>
        </w:rPr>
        <w:footnoteReference w:id="9"/>
      </w:r>
    </w:p>
    <w:p w:rsidR="00000000" w:rsidRDefault="00000000">
      <w:pPr>
        <w:autoSpaceDE w:val="0"/>
        <w:autoSpaceDN w:val="0"/>
        <w:spacing w:after="240" w:line="400" w:lineRule="exact"/>
        <w:ind w:firstLine="425"/>
        <w:textAlignment w:val="bottom"/>
      </w:pPr>
      <w:r>
        <w:rPr>
          <w:rFonts w:hint="eastAsia"/>
        </w:rPr>
        <w:t>一个实例也许可以说明这三级政策措施在实践中相互之间存在的差别以及它们赋予当局的责任。为了消除教育管理职位上对妇女的歧视，必须首先禁止直接和间接歧视。此外，还需要促进妇女在教育管理职位上享有一定比例的代表权（暂时及非暂时）的措施。但是，如果不同时采取措施改变教育方面对妇女的陈腐观念，换言之，即妇女只适合当护士学校的教师但不适合当校长，要实现拟议中的变革将是困难的。</w:t>
      </w:r>
    </w:p>
    <w:p w:rsidR="00000000" w:rsidRDefault="00000000">
      <w:pPr>
        <w:autoSpaceDE w:val="0"/>
        <w:autoSpaceDN w:val="0"/>
        <w:spacing w:after="240" w:line="400" w:lineRule="exact"/>
        <w:ind w:firstLine="425"/>
        <w:textAlignment w:val="bottom"/>
      </w:pPr>
      <w:r>
        <w:rPr>
          <w:rFonts w:hint="eastAsia"/>
        </w:rPr>
        <w:t>本报告是从中央政府的角度来叙述三级政策的。毕竟是政府部门提交报告。在提高妇女地位的过程中这些部门本身是行为者。它们并不总是起先锋作用；有时社会发生的变化会迫使它们对政策措施的形式作出调整，甚至修改法律。在这种情况下，政府部门在社会上因支持解放进程而更加发挥反应作用。这是一个最终必然导致社会解放，届时无论性别、民族血统、宗教或信仰、政治观点、性倾向、年龄、国籍或婚姻状况如何，人人都能为社会作出贡献。</w:t>
      </w:r>
    </w:p>
    <w:p w:rsidR="00000000" w:rsidRDefault="00000000">
      <w:pPr>
        <w:autoSpaceDE w:val="0"/>
        <w:autoSpaceDN w:val="0"/>
        <w:spacing w:after="240" w:line="400" w:lineRule="exact"/>
        <w:ind w:firstLine="425"/>
        <w:textAlignment w:val="bottom"/>
      </w:pPr>
      <w:r>
        <w:rPr>
          <w:rFonts w:hint="eastAsia"/>
        </w:rPr>
        <w:t>报告论述了荷兰在上述三个级别中履行《妇女公约》规定义务方面所取得的进展。然后以同样方法对《公约》的条款进行了分析。因此一些章节会提及范围涉及该《公约》其他条款主题的条款。例如，第</w:t>
      </w:r>
      <w:r>
        <w:t>5</w:t>
      </w:r>
      <w:r>
        <w:rPr>
          <w:rFonts w:hint="eastAsia"/>
        </w:rPr>
        <w:t>条涉及改正社会和文化行为模式的措施，因此关系到当局拟订和实施的所有政策。所以报告不仅在论及某条本身，而且在第三级凡是讨论实质性政策事项时都提到该条。结果报告把文化变革主题作为旨在促进社会解放的一种战略加以研究。下表说明正在审议的条款在报告中出现的地点。</w:t>
      </w:r>
    </w:p>
    <w:p w:rsidR="00000000" w:rsidRDefault="00000000">
      <w:pPr>
        <w:autoSpaceDE w:val="0"/>
        <w:autoSpaceDN w:val="0"/>
        <w:spacing w:after="240" w:line="400" w:lineRule="exact"/>
        <w:textAlignment w:val="bottom"/>
        <w:rPr>
          <w:rFonts w:ascii="SimHei" w:eastAsia="SimHei"/>
          <w:sz w:val="24"/>
        </w:rPr>
      </w:pPr>
      <w:r>
        <w:rPr>
          <w:rFonts w:ascii="SimHei" w:eastAsia="SimHei"/>
          <w:sz w:val="24"/>
        </w:rPr>
        <w:t xml:space="preserve">2.  </w:t>
      </w:r>
      <w:r>
        <w:rPr>
          <w:rFonts w:ascii="SimHei" w:eastAsia="SimHei" w:hint="eastAsia"/>
          <w:sz w:val="24"/>
        </w:rPr>
        <w:t>如何在报告中查出条款</w:t>
      </w:r>
    </w:p>
    <w:p w:rsidR="00000000" w:rsidRDefault="00000000">
      <w:pPr>
        <w:autoSpaceDE w:val="0"/>
        <w:autoSpaceDN w:val="0"/>
        <w:spacing w:line="400" w:lineRule="exact"/>
        <w:ind w:firstLine="425"/>
        <w:textAlignment w:val="bottom"/>
      </w:pPr>
      <w:r>
        <w:rPr>
          <w:rFonts w:hint="eastAsia"/>
        </w:rPr>
        <w:t>第</w:t>
      </w:r>
      <w:r>
        <w:t>1</w:t>
      </w:r>
      <w:r>
        <w:rPr>
          <w:rFonts w:hint="eastAsia"/>
        </w:rPr>
        <w:t>条：“歧视妇女”一词的定义</w:t>
      </w:r>
    </w:p>
    <w:p w:rsidR="00000000" w:rsidRDefault="00000000">
      <w:pPr>
        <w:autoSpaceDE w:val="0"/>
        <w:autoSpaceDN w:val="0"/>
        <w:spacing w:after="240" w:line="400" w:lineRule="exact"/>
        <w:ind w:firstLine="425"/>
        <w:textAlignment w:val="bottom"/>
      </w:pPr>
      <w:r>
        <w:rPr>
          <w:rFonts w:hint="eastAsia"/>
        </w:rPr>
        <w:t>此定义是《公约》的基础，因此构成全报告的框架。</w:t>
      </w:r>
    </w:p>
    <w:p w:rsidR="00000000" w:rsidRDefault="00000000">
      <w:pPr>
        <w:autoSpaceDE w:val="0"/>
        <w:autoSpaceDN w:val="0"/>
        <w:spacing w:line="400" w:lineRule="exact"/>
        <w:ind w:firstLine="425"/>
        <w:textAlignment w:val="bottom"/>
      </w:pPr>
      <w:r>
        <w:rPr>
          <w:rFonts w:hint="eastAsia"/>
        </w:rPr>
        <w:t>第</w:t>
      </w:r>
      <w:r>
        <w:t>2</w:t>
      </w:r>
      <w:r>
        <w:rPr>
          <w:rFonts w:hint="eastAsia"/>
        </w:rPr>
        <w:t>条：消除歧视</w:t>
      </w:r>
    </w:p>
    <w:p w:rsidR="00000000" w:rsidRDefault="00000000">
      <w:pPr>
        <w:autoSpaceDE w:val="0"/>
        <w:autoSpaceDN w:val="0"/>
        <w:spacing w:after="240" w:line="400" w:lineRule="exact"/>
        <w:ind w:firstLine="425"/>
        <w:textAlignment w:val="bottom"/>
      </w:pPr>
      <w:r>
        <w:rPr>
          <w:rFonts w:hint="eastAsia"/>
        </w:rPr>
        <w:t>第一级中讨论了第</w:t>
      </w:r>
      <w:r>
        <w:t>2</w:t>
      </w:r>
      <w:r>
        <w:rPr>
          <w:rFonts w:hint="eastAsia"/>
        </w:rPr>
        <w:t>条</w:t>
      </w:r>
      <w:r>
        <w:t>(a)</w:t>
      </w:r>
      <w:r>
        <w:rPr>
          <w:rFonts w:hint="eastAsia"/>
        </w:rPr>
        <w:t>款；从</w:t>
      </w:r>
      <w:r>
        <w:t>(b)</w:t>
      </w:r>
      <w:r>
        <w:rPr>
          <w:rFonts w:hint="eastAsia"/>
        </w:rPr>
        <w:t>到</w:t>
      </w:r>
      <w:r>
        <w:t>(f)</w:t>
      </w:r>
      <w:r>
        <w:rPr>
          <w:rFonts w:hint="eastAsia"/>
        </w:rPr>
        <w:t>各款只要涉及立法措施，也在第一级论述。一旦</w:t>
      </w:r>
      <w:r>
        <w:t>(b)</w:t>
      </w:r>
      <w:r>
        <w:rPr>
          <w:rFonts w:hint="eastAsia"/>
        </w:rPr>
        <w:t>到</w:t>
      </w:r>
      <w:r>
        <w:t>(f)</w:t>
      </w:r>
      <w:r>
        <w:rPr>
          <w:rFonts w:hint="eastAsia"/>
        </w:rPr>
        <w:t>款论及政策措施，它们就属于第二级。</w:t>
      </w:r>
    </w:p>
    <w:p w:rsidR="00000000" w:rsidRDefault="00000000">
      <w:pPr>
        <w:autoSpaceDE w:val="0"/>
        <w:autoSpaceDN w:val="0"/>
        <w:spacing w:line="400" w:lineRule="exact"/>
        <w:ind w:firstLine="425"/>
        <w:textAlignment w:val="bottom"/>
      </w:pPr>
      <w:r>
        <w:rPr>
          <w:rFonts w:hint="eastAsia"/>
        </w:rPr>
        <w:t>第</w:t>
      </w:r>
      <w:r>
        <w:t>3</w:t>
      </w:r>
      <w:r>
        <w:rPr>
          <w:rFonts w:hint="eastAsia"/>
        </w:rPr>
        <w:t>条：人权和基本自由</w:t>
      </w:r>
    </w:p>
    <w:p w:rsidR="00000000" w:rsidRDefault="00000000">
      <w:pPr>
        <w:autoSpaceDE w:val="0"/>
        <w:autoSpaceDN w:val="0"/>
        <w:spacing w:after="240" w:line="400" w:lineRule="exact"/>
        <w:ind w:firstLine="425"/>
        <w:textAlignment w:val="bottom"/>
      </w:pPr>
      <w:r>
        <w:rPr>
          <w:rFonts w:hint="eastAsia"/>
        </w:rPr>
        <w:t>在涉及特定主题的条款中第一级论述了有关人权和基本自由的一般法定措施。第二级相关条款考虑具体政策措施。有关第</w:t>
      </w:r>
      <w:r>
        <w:t>3</w:t>
      </w:r>
      <w:r>
        <w:rPr>
          <w:rFonts w:hint="eastAsia"/>
        </w:rPr>
        <w:t>条的报道限于对妇女和女孩施暴以及关于性倾向的资料。</w:t>
      </w:r>
    </w:p>
    <w:p w:rsidR="00000000" w:rsidRDefault="00000000">
      <w:pPr>
        <w:autoSpaceDE w:val="0"/>
        <w:autoSpaceDN w:val="0"/>
        <w:spacing w:line="400" w:lineRule="exact"/>
        <w:ind w:firstLine="425"/>
        <w:textAlignment w:val="bottom"/>
      </w:pPr>
      <w:r>
        <w:rPr>
          <w:rFonts w:hint="eastAsia"/>
        </w:rPr>
        <w:t>第</w:t>
      </w:r>
      <w:r>
        <w:t>4</w:t>
      </w:r>
      <w:r>
        <w:rPr>
          <w:rFonts w:hint="eastAsia"/>
        </w:rPr>
        <w:t>条：临时措施</w:t>
      </w:r>
    </w:p>
    <w:p w:rsidR="00000000" w:rsidRDefault="00000000">
      <w:pPr>
        <w:autoSpaceDE w:val="0"/>
        <w:autoSpaceDN w:val="0"/>
        <w:spacing w:after="240" w:line="400" w:lineRule="exact"/>
        <w:ind w:firstLine="425"/>
        <w:textAlignment w:val="bottom"/>
      </w:pPr>
      <w:r>
        <w:rPr>
          <w:rFonts w:hint="eastAsia"/>
        </w:rPr>
        <w:t>本条涉及属于第二级的一个主题，因此在涉及所有正在审议的条款时讨论。</w:t>
      </w:r>
    </w:p>
    <w:p w:rsidR="00000000" w:rsidRDefault="00000000">
      <w:pPr>
        <w:autoSpaceDE w:val="0"/>
        <w:autoSpaceDN w:val="0"/>
        <w:spacing w:line="400" w:lineRule="exact"/>
        <w:ind w:firstLine="425"/>
        <w:textAlignment w:val="bottom"/>
      </w:pPr>
      <w:r>
        <w:rPr>
          <w:rFonts w:hint="eastAsia"/>
        </w:rPr>
        <w:t>第</w:t>
      </w:r>
      <w:r>
        <w:t>5</w:t>
      </w:r>
      <w:r>
        <w:rPr>
          <w:rFonts w:hint="eastAsia"/>
        </w:rPr>
        <w:t>条：行为典范</w:t>
      </w:r>
    </w:p>
    <w:p w:rsidR="00000000" w:rsidRDefault="00000000">
      <w:pPr>
        <w:autoSpaceDE w:val="0"/>
        <w:autoSpaceDN w:val="0"/>
        <w:spacing w:after="240" w:line="400" w:lineRule="exact"/>
        <w:ind w:firstLine="425"/>
        <w:textAlignment w:val="bottom"/>
      </w:pPr>
      <w:r>
        <w:rPr>
          <w:rFonts w:hint="eastAsia"/>
        </w:rPr>
        <w:t>本条在第三级叙述，因此在涉及所有正在审议的条款时讨论。</w:t>
      </w:r>
    </w:p>
    <w:p w:rsidR="00000000" w:rsidRDefault="00000000">
      <w:pPr>
        <w:autoSpaceDE w:val="0"/>
        <w:autoSpaceDN w:val="0"/>
        <w:spacing w:line="400" w:lineRule="exact"/>
        <w:ind w:firstLine="425"/>
        <w:textAlignment w:val="bottom"/>
      </w:pPr>
      <w:r>
        <w:rPr>
          <w:rFonts w:hint="eastAsia"/>
        </w:rPr>
        <w:t>第</w:t>
      </w:r>
      <w:r>
        <w:t>15</w:t>
      </w:r>
      <w:r>
        <w:rPr>
          <w:rFonts w:hint="eastAsia"/>
        </w:rPr>
        <w:t>条：法律面前的平等</w:t>
      </w:r>
    </w:p>
    <w:p w:rsidR="00000000" w:rsidRDefault="00000000">
      <w:pPr>
        <w:autoSpaceDE w:val="0"/>
        <w:autoSpaceDN w:val="0"/>
        <w:spacing w:after="240" w:line="400" w:lineRule="exact"/>
        <w:ind w:firstLine="425"/>
        <w:textAlignment w:val="bottom"/>
      </w:pPr>
      <w:r>
        <w:rPr>
          <w:rFonts w:hint="eastAsia"/>
        </w:rPr>
        <w:t>在第一级论述了法律面前的平等，因此原则上属于本报告审议的所有条款讨论的一个部分。</w:t>
      </w:r>
    </w:p>
    <w:p w:rsidR="00000000" w:rsidRDefault="00000000">
      <w:pPr>
        <w:autoSpaceDE w:val="0"/>
        <w:autoSpaceDN w:val="0"/>
        <w:spacing w:after="240" w:line="400" w:lineRule="exact"/>
        <w:ind w:firstLine="425"/>
        <w:textAlignment w:val="bottom"/>
      </w:pPr>
      <w:r>
        <w:rPr>
          <w:rFonts w:hint="eastAsia"/>
        </w:rPr>
        <w:t>这种新的报告方法使荷兰能更加充分地了解联合国《妇女公约》的范围。荷兰政府希望，由于采用这种办法，使消除对妇女歧视委员会对荷兰如何履行《公约》规定的义务有更好的了解。</w:t>
      </w:r>
    </w:p>
    <w:p w:rsidR="00000000" w:rsidRDefault="00000000">
      <w:pPr>
        <w:autoSpaceDE w:val="0"/>
        <w:autoSpaceDN w:val="0"/>
        <w:spacing w:after="240" w:line="400" w:lineRule="exact"/>
        <w:textAlignment w:val="bottom"/>
        <w:rPr>
          <w:rFonts w:ascii="SimHei" w:eastAsia="SimHei"/>
          <w:sz w:val="28"/>
        </w:rPr>
      </w:pPr>
      <w:r>
        <w:br w:type="page"/>
      </w:r>
      <w:r>
        <w:rPr>
          <w:rFonts w:ascii="SimHei" w:eastAsia="SimHei" w:hint="eastAsia"/>
          <w:sz w:val="28"/>
        </w:rPr>
        <w:t>第二章</w:t>
      </w:r>
      <w:r>
        <w:rPr>
          <w:rFonts w:ascii="SimHei" w:eastAsia="SimHei"/>
          <w:sz w:val="28"/>
        </w:rPr>
        <w:t xml:space="preserve">  </w:t>
      </w:r>
      <w:r>
        <w:rPr>
          <w:rFonts w:ascii="SimHei" w:eastAsia="SimHei" w:hint="eastAsia"/>
          <w:sz w:val="28"/>
        </w:rPr>
        <w:t>荷兰的解放政策概述</w:t>
      </w:r>
    </w:p>
    <w:p w:rsidR="00000000" w:rsidRDefault="00000000">
      <w:pPr>
        <w:autoSpaceDE w:val="0"/>
        <w:autoSpaceDN w:val="0"/>
        <w:spacing w:after="240" w:line="400" w:lineRule="exact"/>
        <w:ind w:firstLine="425"/>
        <w:textAlignment w:val="bottom"/>
      </w:pPr>
      <w:r>
        <w:rPr>
          <w:rFonts w:hint="eastAsia"/>
        </w:rPr>
        <w:t>第一章简要说明了提交给消除对妇女歧视委员会的报告的组成结构。其主要特点是把《妇女公约》分成政府政策可发挥作用的三个级别。第二章一般叙述荷兰的解放政策，包括其基本政策原则和政策的安排及如何得到支助。将通过三个级别对此政策的主要内容进行分析。在进行分析之前将对三个级别的意义及其相互之间的关系加以详细说明。最后，该报告将说明这一解放政策是如何安排和得到支助的。它将对目前的国家机构、补助和支助政策以及最近对政策的改动加以说明。</w:t>
      </w:r>
    </w:p>
    <w:p w:rsidR="00000000" w:rsidRDefault="00000000">
      <w:pPr>
        <w:autoSpaceDE w:val="0"/>
        <w:autoSpaceDN w:val="0"/>
        <w:spacing w:after="240" w:line="400" w:lineRule="exact"/>
        <w:textAlignment w:val="bottom"/>
        <w:rPr>
          <w:rFonts w:ascii="SimHei" w:eastAsia="SimHei"/>
          <w:sz w:val="24"/>
        </w:rPr>
      </w:pPr>
      <w:r>
        <w:rPr>
          <w:rFonts w:ascii="SimHei" w:eastAsia="SimHei"/>
          <w:sz w:val="24"/>
        </w:rPr>
        <w:t xml:space="preserve">1.  </w:t>
      </w:r>
      <w:r>
        <w:rPr>
          <w:rFonts w:ascii="SimHei" w:eastAsia="SimHei" w:hint="eastAsia"/>
          <w:sz w:val="24"/>
        </w:rPr>
        <w:t>三个级别</w:t>
      </w:r>
    </w:p>
    <w:p w:rsidR="00000000" w:rsidRDefault="00000000">
      <w:pPr>
        <w:autoSpaceDE w:val="0"/>
        <w:autoSpaceDN w:val="0"/>
        <w:spacing w:after="240" w:line="400" w:lineRule="exact"/>
        <w:textAlignment w:val="bottom"/>
        <w:rPr>
          <w:rFonts w:ascii="SimHei" w:eastAsia="SimHei"/>
          <w:sz w:val="24"/>
        </w:rPr>
      </w:pPr>
      <w:r>
        <w:rPr>
          <w:rFonts w:ascii="SimHei" w:eastAsia="SimHei" w:hint="eastAsia"/>
          <w:sz w:val="24"/>
        </w:rPr>
        <w:t>第一级：实现法律面前和社会生活中的完全平等</w:t>
      </w:r>
    </w:p>
    <w:p w:rsidR="00000000" w:rsidRDefault="00000000">
      <w:pPr>
        <w:autoSpaceDE w:val="0"/>
        <w:autoSpaceDN w:val="0"/>
        <w:spacing w:after="240" w:line="400" w:lineRule="exact"/>
        <w:ind w:firstLine="425"/>
        <w:textAlignment w:val="bottom"/>
      </w:pPr>
      <w:r>
        <w:rPr>
          <w:rFonts w:hint="eastAsia"/>
        </w:rPr>
        <w:t>《公约》规定缔约国有义务消除法律中和由法律造成的一切形式的歧视。法律可能并不直接或间接地歧视妇女和对待妇女比男人差。报告将简要叙述了《公约》各条有关的目前状况。凡有可能均使用统计材料来说明。属于第一级的规定有第</w:t>
      </w:r>
      <w:r>
        <w:t>2</w:t>
      </w:r>
      <w:r>
        <w:rPr>
          <w:rFonts w:hint="eastAsia"/>
        </w:rPr>
        <w:t>条</w:t>
      </w:r>
      <w:r>
        <w:t>(a)</w:t>
      </w:r>
      <w:r>
        <w:rPr>
          <w:rFonts w:hint="eastAsia"/>
        </w:rPr>
        <w:t>款、涉及立法措施的第</w:t>
      </w:r>
      <w:r>
        <w:t>2</w:t>
      </w:r>
      <w:r>
        <w:rPr>
          <w:rFonts w:hint="eastAsia"/>
        </w:rPr>
        <w:t>条</w:t>
      </w:r>
      <w:r>
        <w:t>(b)</w:t>
      </w:r>
      <w:r>
        <w:rPr>
          <w:rFonts w:hint="eastAsia"/>
        </w:rPr>
        <w:t>至</w:t>
      </w:r>
      <w:r>
        <w:t>(f)</w:t>
      </w:r>
      <w:r>
        <w:rPr>
          <w:rFonts w:hint="eastAsia"/>
        </w:rPr>
        <w:t>款的所有部分、第</w:t>
      </w:r>
      <w:r>
        <w:t>3</w:t>
      </w:r>
      <w:r>
        <w:rPr>
          <w:rFonts w:hint="eastAsia"/>
        </w:rPr>
        <w:t>条和消除对妇女歧视委员会的第</w:t>
      </w:r>
      <w:r>
        <w:t>9</w:t>
      </w:r>
      <w:r>
        <w:rPr>
          <w:rFonts w:hint="eastAsia"/>
        </w:rPr>
        <w:t>号一般性建议。</w:t>
      </w:r>
    </w:p>
    <w:p w:rsidR="00000000" w:rsidRDefault="00000000">
      <w:pPr>
        <w:autoSpaceDE w:val="0"/>
        <w:autoSpaceDN w:val="0"/>
        <w:spacing w:after="240" w:line="400" w:lineRule="exact"/>
        <w:textAlignment w:val="bottom"/>
        <w:rPr>
          <w:rFonts w:ascii="SimHei" w:eastAsia="SimHei"/>
          <w:sz w:val="24"/>
        </w:rPr>
      </w:pPr>
      <w:r>
        <w:rPr>
          <w:rFonts w:ascii="SimHei" w:eastAsia="SimHei" w:hint="eastAsia"/>
          <w:sz w:val="24"/>
        </w:rPr>
        <w:t>第二级：走向多样性</w:t>
      </w:r>
    </w:p>
    <w:p w:rsidR="00000000" w:rsidRDefault="00000000">
      <w:pPr>
        <w:autoSpaceDE w:val="0"/>
        <w:autoSpaceDN w:val="0"/>
        <w:spacing w:after="240" w:line="400" w:lineRule="exact"/>
        <w:ind w:firstLine="425"/>
        <w:textAlignment w:val="bottom"/>
      </w:pPr>
      <w:r>
        <w:rPr>
          <w:rFonts w:hint="eastAsia"/>
        </w:rPr>
        <w:t>如果打算事实上而不只是法律上实现平等，重要的是要制订、通过并执行政策。这些问题将在第二级解决。</w:t>
      </w:r>
    </w:p>
    <w:p w:rsidR="00000000" w:rsidRDefault="00000000">
      <w:pPr>
        <w:autoSpaceDE w:val="0"/>
        <w:autoSpaceDN w:val="0"/>
        <w:spacing w:after="240" w:line="400" w:lineRule="exact"/>
        <w:ind w:firstLine="425"/>
        <w:textAlignment w:val="bottom"/>
      </w:pPr>
      <w:r>
        <w:rPr>
          <w:rFonts w:hint="eastAsia"/>
        </w:rPr>
        <w:t>在北京联合国第四次妇女问题世界会议之后，荷兰政府草拟了一个国家执行政策文件，解释荷兰政府如何重视这次会议的结果。</w:t>
      </w:r>
      <w:r>
        <w:rPr>
          <w:rStyle w:val="FootnoteReference"/>
        </w:rPr>
        <w:footnoteReference w:id="10"/>
      </w:r>
      <w:r>
        <w:rPr>
          <w:rFonts w:hint="eastAsia"/>
        </w:rPr>
        <w:t>该文件指出，性别歧视是与其他形式的歧视紧密相关的，例如基于民族血统、年龄、工作适合性、性倾向、等级、文化和宗教的歧视。荷兰政府在制订政策和政策措施时越来越注意这一点。通过不断克服这种歧视可能经常造成的阻力，政府正在致力于建成一种不再把差别看成是问题的社会。相反，多样性应被看成会提高社会质量。对待差别的积极态度应该是同时拒绝基于这种差别的不合理的不平等现象。因此在北京经常用到的多样性概念在荷兰正在变得越来越重要。正是由于这些背景因素和特点使得不利地位和不平等待遇不仅对于个人是不公正的，而且对于社会和经济会起反作用。它们使社会在能力、才能和洞察力方面无法充分发挥其成员的潜力。因而不利地位和机会不均等势必助长社会不均衡现象。不能利用这种潜力将限制社会的发展而且代价高昂。例如，如果妇女离开了劳动力市场，政府和企业为她们教育和培训所投入的资本就白费了。</w:t>
      </w:r>
    </w:p>
    <w:p w:rsidR="00000000" w:rsidRDefault="00000000">
      <w:pPr>
        <w:autoSpaceDE w:val="0"/>
        <w:autoSpaceDN w:val="0"/>
        <w:spacing w:after="240" w:line="400" w:lineRule="exact"/>
        <w:ind w:firstLine="425"/>
        <w:textAlignment w:val="bottom"/>
      </w:pPr>
      <w:r>
        <w:rPr>
          <w:rFonts w:hint="eastAsia"/>
        </w:rPr>
        <w:t>荷兰的解放政策并不孤立看待妇女的地位问题。它从一种争取实现一个努力寻求最佳利用社会多样性的社会的角度来看待妇女的地位问题，认为这样就是使社会丰富多采。因此，妇女的不利地位再也不是其政策的中心内容。相反，正在寻找克服妨碍创建一种更加解放的社会的结构和文化阻力的途径。只有克服了这些阻力，男女地位才能平等。这种观点认为，解放再也不仅仅是妇女的事；它是男子和妇女、雇主和雇员、政府和公民的事情。在这方面，涉及政策和其他措施的第</w:t>
      </w:r>
      <w:r>
        <w:t>2</w:t>
      </w:r>
      <w:r>
        <w:rPr>
          <w:rFonts w:hint="eastAsia"/>
        </w:rPr>
        <w:t>条</w:t>
      </w:r>
      <w:r>
        <w:t>(b)</w:t>
      </w:r>
      <w:r>
        <w:rPr>
          <w:rFonts w:hint="eastAsia"/>
        </w:rPr>
        <w:t>至</w:t>
      </w:r>
      <w:r>
        <w:t>(f)</w:t>
      </w:r>
      <w:r>
        <w:rPr>
          <w:rFonts w:hint="eastAsia"/>
        </w:rPr>
        <w:t>款的内容也是重要的。第</w:t>
      </w:r>
      <w:r>
        <w:t>3</w:t>
      </w:r>
      <w:r>
        <w:rPr>
          <w:rFonts w:hint="eastAsia"/>
        </w:rPr>
        <w:t>和</w:t>
      </w:r>
      <w:r>
        <w:t>4</w:t>
      </w:r>
      <w:r>
        <w:rPr>
          <w:rFonts w:hint="eastAsia"/>
        </w:rPr>
        <w:t>条以及消除对妇女歧视委员会第</w:t>
      </w:r>
      <w:r>
        <w:t>5</w:t>
      </w:r>
      <w:r>
        <w:rPr>
          <w:rFonts w:hint="eastAsia"/>
        </w:rPr>
        <w:t>、</w:t>
      </w:r>
      <w:r>
        <w:t>6</w:t>
      </w:r>
      <w:r>
        <w:rPr>
          <w:rFonts w:hint="eastAsia"/>
        </w:rPr>
        <w:t>和</w:t>
      </w:r>
      <w:r>
        <w:t>9</w:t>
      </w:r>
      <w:r>
        <w:rPr>
          <w:rFonts w:hint="eastAsia"/>
        </w:rPr>
        <w:t>号一般性建议也是重要的。本文这一部分引用了关于联合国第四次妇女问题世界会议的报告中有关体制办法的段落。</w:t>
      </w:r>
    </w:p>
    <w:p w:rsidR="00000000" w:rsidRDefault="00000000">
      <w:pPr>
        <w:autoSpaceDE w:val="0"/>
        <w:autoSpaceDN w:val="0"/>
        <w:spacing w:after="240" w:line="400" w:lineRule="exact"/>
        <w:textAlignment w:val="bottom"/>
        <w:rPr>
          <w:rFonts w:ascii="SimHei" w:eastAsia="SimHei"/>
          <w:sz w:val="24"/>
        </w:rPr>
      </w:pPr>
      <w:r>
        <w:rPr>
          <w:rFonts w:ascii="SimHei" w:eastAsia="SimHei" w:hint="eastAsia"/>
          <w:sz w:val="24"/>
        </w:rPr>
        <w:t>第三级：文化变革战略</w:t>
      </w:r>
    </w:p>
    <w:p w:rsidR="00000000" w:rsidRDefault="00000000">
      <w:pPr>
        <w:autoSpaceDE w:val="0"/>
        <w:autoSpaceDN w:val="0"/>
        <w:spacing w:after="240" w:line="400" w:lineRule="exact"/>
        <w:ind w:firstLine="425"/>
        <w:textAlignment w:val="bottom"/>
      </w:pPr>
      <w:r>
        <w:rPr>
          <w:rFonts w:hint="eastAsia"/>
        </w:rPr>
        <w:t>第三级是建筑在前两级基础上的。以下每级都试图更深地渗透到社会结构中去。解放问题越深渗入社会结构，制订包括这个问题的政策就更加困难。从定义上看传统的思想和习俗被认为是不言而喻的，从未有人怀疑过。思想意识、观念和形象中都充满了这种不经怀疑的认可，总之整个社会文化都是如此。虽然《妇女公约》注意到这个问题，但是它并未表明如何进行变革。荷兰政府只是附带地施加有限的影响以实现文化变革。</w:t>
      </w:r>
    </w:p>
    <w:p w:rsidR="00000000" w:rsidRDefault="00000000">
      <w:pPr>
        <w:autoSpaceDE w:val="0"/>
        <w:autoSpaceDN w:val="0"/>
        <w:spacing w:after="240" w:line="400" w:lineRule="exact"/>
        <w:ind w:firstLine="425"/>
        <w:textAlignment w:val="bottom"/>
      </w:pPr>
      <w:r>
        <w:rPr>
          <w:rFonts w:hint="eastAsia"/>
        </w:rPr>
        <w:t>在过去五年中，荷兰对第三层给予了越来越大的关注；即确定并消除隐藏的性别歧视。荷兰决定通过制订文化变革战略来处理这个问题。这是由于认识到迄今已决定的政策理所当然地应参照白领中产阶级男性的标准。这种办法本身含有的伴随情况就是妇女也必须达到这种标准。近年来当局对这个问题进行了深入的分析。已产生了许多新想法。把这些新想法转变为具体政策措施并非易事。但是本报告将表明这并不是不可能的。</w:t>
      </w:r>
    </w:p>
    <w:p w:rsidR="00000000" w:rsidRDefault="00000000">
      <w:pPr>
        <w:autoSpaceDE w:val="0"/>
        <w:autoSpaceDN w:val="0"/>
        <w:spacing w:after="240" w:line="400" w:lineRule="exact"/>
        <w:ind w:firstLine="425"/>
        <w:textAlignment w:val="bottom"/>
      </w:pPr>
      <w:r>
        <w:rPr>
          <w:rFonts w:hint="eastAsia"/>
        </w:rPr>
        <w:t>第</w:t>
      </w:r>
      <w:r>
        <w:t>5</w:t>
      </w:r>
      <w:r>
        <w:rPr>
          <w:rFonts w:hint="eastAsia"/>
        </w:rPr>
        <w:t>条详细论述了这种“隐藏的”歧视和文化变革的必要性。第</w:t>
      </w:r>
      <w:r>
        <w:t>10(c)</w:t>
      </w:r>
      <w:r>
        <w:rPr>
          <w:rFonts w:hint="eastAsia"/>
        </w:rPr>
        <w:t>条也包含这个问题，尽管它专门论述教育问题。基于陈旧观念的性别歧视也是消除对妇女歧视委员会一般性建议</w:t>
      </w:r>
      <w:r>
        <w:t>3</w:t>
      </w:r>
      <w:r>
        <w:rPr>
          <w:rFonts w:hint="eastAsia"/>
        </w:rPr>
        <w:t>的主题。只要获得统计资料，将在第三级论述一般性建议</w:t>
      </w:r>
      <w:r>
        <w:t>9</w:t>
      </w:r>
      <w:r>
        <w:rPr>
          <w:rFonts w:hint="eastAsia"/>
        </w:rPr>
        <w:t>。由于隐藏的性别歧视这个主题不时在文章和一般政策建议中反复出现，显然这是一个难处理的重要问题，因为它在社会上太根深蒂固了。</w:t>
      </w:r>
    </w:p>
    <w:p w:rsidR="00000000" w:rsidRDefault="00000000">
      <w:pPr>
        <w:autoSpaceDE w:val="0"/>
        <w:autoSpaceDN w:val="0"/>
        <w:spacing w:after="240" w:line="400" w:lineRule="exact"/>
        <w:textAlignment w:val="bottom"/>
        <w:rPr>
          <w:rFonts w:ascii="楷体" w:eastAsia="楷体"/>
        </w:rPr>
      </w:pPr>
      <w:r>
        <w:rPr>
          <w:rFonts w:ascii="楷体" w:eastAsia="楷体" w:hint="eastAsia"/>
        </w:rPr>
        <w:t>交织级别</w:t>
      </w:r>
    </w:p>
    <w:p w:rsidR="00000000" w:rsidRDefault="00000000">
      <w:pPr>
        <w:autoSpaceDE w:val="0"/>
        <w:autoSpaceDN w:val="0"/>
        <w:spacing w:after="240" w:line="400" w:lineRule="exact"/>
        <w:ind w:firstLine="425"/>
        <w:textAlignment w:val="bottom"/>
      </w:pPr>
      <w:r>
        <w:rPr>
          <w:rFonts w:hint="eastAsia"/>
        </w:rPr>
        <w:t>荷兰政府部门采取了文化变革的战略，但是作为社会自身发展和主动行动的结果，文化自然会首先变革。政府部门反过来通过采用政策和（或）修改法律以支持发展来对发展作出反应。本报告中确定的政策的三个级别显然在实践中是相互密切交织和相互起作用的。对这三个级别加以区分的主要目的是便于对解放进程作出说明和分析。同样，对联合国《妇女公约》再分条叙述的目的主要是为了提供阐明某一特定阶层地位的分析性手段。在涉及消除对妇女歧视委员会建议</w:t>
      </w:r>
      <w:r>
        <w:t>18</w:t>
      </w:r>
      <w:r>
        <w:rPr>
          <w:rFonts w:hint="eastAsia"/>
        </w:rPr>
        <w:t>的附件一中将阐明荷兰解放政策三个级别之间和《公约》不同条款之间的联系。</w:t>
      </w:r>
    </w:p>
    <w:p w:rsidR="00000000" w:rsidRDefault="00000000">
      <w:pPr>
        <w:autoSpaceDE w:val="0"/>
        <w:autoSpaceDN w:val="0"/>
        <w:spacing w:after="240" w:line="400" w:lineRule="exact"/>
        <w:textAlignment w:val="bottom"/>
        <w:rPr>
          <w:rFonts w:ascii="SimHei" w:eastAsia="SimHei"/>
          <w:sz w:val="24"/>
        </w:rPr>
      </w:pPr>
      <w:r>
        <w:rPr>
          <w:rFonts w:ascii="SimHei" w:eastAsia="SimHei"/>
          <w:sz w:val="24"/>
        </w:rPr>
        <w:t>2.  1993-1997</w:t>
      </w:r>
      <w:r>
        <w:rPr>
          <w:rFonts w:ascii="SimHei" w:eastAsia="SimHei" w:hint="eastAsia"/>
          <w:sz w:val="24"/>
        </w:rPr>
        <w:t>年荷兰解放政策的基本原则</w:t>
      </w:r>
      <w:r>
        <w:rPr>
          <w:rStyle w:val="FootnoteReference"/>
          <w:sz w:val="24"/>
        </w:rPr>
        <w:footnoteReference w:id="11"/>
      </w:r>
    </w:p>
    <w:p w:rsidR="00000000" w:rsidRDefault="00000000">
      <w:pPr>
        <w:autoSpaceDE w:val="0"/>
        <w:autoSpaceDN w:val="0"/>
        <w:spacing w:after="240" w:line="400" w:lineRule="exact"/>
        <w:ind w:firstLine="425"/>
        <w:textAlignment w:val="bottom"/>
      </w:pPr>
      <w:r>
        <w:rPr>
          <w:rFonts w:hint="eastAsia"/>
        </w:rPr>
        <w:t>如提交给消除对妇女歧视委员会的第一次报告中所述，荷兰从</w:t>
      </w:r>
      <w:r>
        <w:t>1977</w:t>
      </w:r>
      <w:r>
        <w:rPr>
          <w:rFonts w:hint="eastAsia"/>
        </w:rPr>
        <w:t>年以来一直奉行一种双轨解放政策，其目标已构成总政策的跨部门部分的一个组成部分，也是具体的解放政策方案的一部分。妇女解放不仅对男女地位的思想，而且对社会结构本身产生重要的不可逆转的影响。越来越多的妇女外出工作，妇女的作用不再只限于提供无偿照管了。尽管在学校里男孩和女孩仍然作出不同的选择，但是男女孩教育程度方面的差异已经消失。值得注意的是有移民背景的女孩子在学校表现特别好。“男性”和“女性”之间死板的分界线已变得不为明显。相反，人们偏向于在有偿劳动和无偿照管、收入和权力之间实现一种平衡的分配。当然，解放进程决非已经完成。在各方面的实际情况并不与平衡分配的新标准相符合。</w:t>
      </w:r>
    </w:p>
    <w:p w:rsidR="00000000" w:rsidRDefault="00000000">
      <w:pPr>
        <w:autoSpaceDE w:val="0"/>
        <w:autoSpaceDN w:val="0"/>
        <w:spacing w:after="240" w:line="400" w:lineRule="exact"/>
        <w:ind w:firstLine="425"/>
        <w:textAlignment w:val="bottom"/>
      </w:pPr>
      <w:r>
        <w:t>1997</w:t>
      </w:r>
      <w:r>
        <w:rPr>
          <w:rFonts w:hint="eastAsia"/>
        </w:rPr>
        <w:t>年</w:t>
      </w:r>
      <w:r>
        <w:t>9</w:t>
      </w:r>
      <w:r>
        <w:rPr>
          <w:rFonts w:hint="eastAsia"/>
        </w:rPr>
        <w:t>月出版的向议会报告</w:t>
      </w:r>
      <w:r>
        <w:t>1997/1998</w:t>
      </w:r>
      <w:r>
        <w:rPr>
          <w:rFonts w:hint="eastAsia"/>
        </w:rPr>
        <w:t>年解放政策进展情况的信，继续主张北京联合国第四次妇女问题世界会议采取的方法，尤其对待解放政策的战略方法。除了继续作出努力消除男女之间的不利条件和不平等之外，这种方法非常强调必须扩大社会对解放和解放政策的支助基础。凡做决定都应充分考虑这个政策观点。例如，在制定新的邻里关系时，应考虑到把有偿劳动和无偿照管结合起来的可能性。在制订政策时，制订者应了解如果把男人理所当然地作为标准政策将不起作用</w:t>
      </w:r>
      <w:r>
        <w:t xml:space="preserve"> </w:t>
      </w:r>
      <w:r>
        <w:rPr>
          <w:rFonts w:hint="eastAsia"/>
        </w:rPr>
        <w:t>的危险。此外，政府部门支持并鼓励促进来自社会的解放政策方面的主动行动。</w:t>
      </w:r>
    </w:p>
    <w:p w:rsidR="00000000" w:rsidRDefault="00000000">
      <w:pPr>
        <w:autoSpaceDE w:val="0"/>
        <w:autoSpaceDN w:val="0"/>
        <w:spacing w:after="240" w:line="400" w:lineRule="exact"/>
        <w:ind w:firstLine="425"/>
        <w:textAlignment w:val="bottom"/>
      </w:pPr>
      <w:r>
        <w:rPr>
          <w:rFonts w:hint="eastAsia"/>
        </w:rPr>
        <w:t>荷兰的政策正在逐步把注意力由正规的调节平等转变为改变社会结构。荷兰事实上已基本实现了在法律面前和公共生活中的充分平等。现在的问题是确保既在事实上也在法律上实现平等。为此目的，政策文件不仅应包含一般性分析和评估，而且还应有具体的可核实政策建议，这些建议的执行情况可通过监测手段检查。</w:t>
      </w:r>
    </w:p>
    <w:p w:rsidR="00000000" w:rsidRDefault="00000000">
      <w:pPr>
        <w:autoSpaceDE w:val="0"/>
        <w:autoSpaceDN w:val="0"/>
        <w:spacing w:after="240" w:line="400" w:lineRule="exact"/>
        <w:textAlignment w:val="bottom"/>
        <w:rPr>
          <w:rFonts w:ascii="SimHei" w:eastAsia="SimHei"/>
          <w:sz w:val="24"/>
        </w:rPr>
      </w:pPr>
      <w:r>
        <w:rPr>
          <w:rFonts w:ascii="SimHei" w:eastAsia="SimHei"/>
          <w:sz w:val="24"/>
        </w:rPr>
        <w:t xml:space="preserve">3.  </w:t>
      </w:r>
      <w:r>
        <w:rPr>
          <w:rFonts w:ascii="SimHei" w:eastAsia="SimHei" w:hint="eastAsia"/>
          <w:sz w:val="24"/>
        </w:rPr>
        <w:t>通过三个级别对荷兰解放政策进行的分析</w:t>
      </w:r>
    </w:p>
    <w:p w:rsidR="00000000" w:rsidRDefault="00000000">
      <w:pPr>
        <w:autoSpaceDE w:val="0"/>
        <w:autoSpaceDN w:val="0"/>
        <w:spacing w:after="240" w:line="400" w:lineRule="exact"/>
        <w:textAlignment w:val="bottom"/>
        <w:rPr>
          <w:rFonts w:ascii="SimHei" w:eastAsia="SimHei"/>
          <w:sz w:val="24"/>
        </w:rPr>
      </w:pPr>
      <w:r>
        <w:rPr>
          <w:rFonts w:ascii="SimHei" w:eastAsia="SimHei" w:hint="eastAsia"/>
          <w:sz w:val="24"/>
        </w:rPr>
        <w:t>第一级：立法措施</w:t>
      </w:r>
    </w:p>
    <w:p w:rsidR="00000000" w:rsidRDefault="00000000">
      <w:pPr>
        <w:autoSpaceDE w:val="0"/>
        <w:autoSpaceDN w:val="0"/>
        <w:spacing w:after="240" w:line="400" w:lineRule="exact"/>
        <w:ind w:firstLine="425"/>
        <w:textAlignment w:val="bottom"/>
      </w:pPr>
      <w:r>
        <w:rPr>
          <w:rFonts w:hint="eastAsia"/>
        </w:rPr>
        <w:t>荷兰立法中在不同地方对男女平等待遇做出规定：</w:t>
      </w:r>
    </w:p>
    <w:p w:rsidR="00000000" w:rsidRDefault="00000000">
      <w:pPr>
        <w:autoSpaceDE w:val="0"/>
        <w:autoSpaceDN w:val="0"/>
        <w:spacing w:after="240" w:line="400" w:lineRule="exact"/>
        <w:ind w:firstLine="425"/>
        <w:textAlignment w:val="bottom"/>
      </w:pPr>
      <w:r>
        <w:t xml:space="preserve">*   </w:t>
      </w:r>
      <w:r>
        <w:rPr>
          <w:rFonts w:hint="eastAsia"/>
        </w:rPr>
        <w:t>荷兰宪法第</w:t>
      </w:r>
      <w:r>
        <w:t>1</w:t>
      </w:r>
      <w:r>
        <w:rPr>
          <w:rFonts w:hint="eastAsia"/>
        </w:rPr>
        <w:t>条载有普遍禁止歧视的规定；</w:t>
      </w:r>
    </w:p>
    <w:p w:rsidR="00000000" w:rsidRDefault="00000000">
      <w:pPr>
        <w:autoSpaceDE w:val="0"/>
        <w:autoSpaceDN w:val="0"/>
        <w:spacing w:after="240" w:line="400" w:lineRule="exact"/>
        <w:ind w:firstLine="425"/>
        <w:textAlignment w:val="bottom"/>
      </w:pPr>
      <w:r>
        <w:t xml:space="preserve">*  </w:t>
      </w:r>
      <w:r>
        <w:rPr>
          <w:rFonts w:hint="eastAsia"/>
        </w:rPr>
        <w:t>《荷兰民事法典》第</w:t>
      </w:r>
      <w:r>
        <w:t>7</w:t>
      </w:r>
      <w:r>
        <w:rPr>
          <w:rFonts w:hint="eastAsia"/>
        </w:rPr>
        <w:t>、</w:t>
      </w:r>
      <w:r>
        <w:t>10</w:t>
      </w:r>
      <w:r>
        <w:rPr>
          <w:rFonts w:hint="eastAsia"/>
        </w:rPr>
        <w:t>章第</w:t>
      </w:r>
      <w:r>
        <w:t>646</w:t>
      </w:r>
      <w:r>
        <w:rPr>
          <w:rFonts w:hint="eastAsia"/>
        </w:rPr>
        <w:t>条和《平等权利法》禁止就业中的性别歧视；这些条款已被应用于执行欧共体</w:t>
      </w:r>
      <w:r>
        <w:t>76/207</w:t>
      </w:r>
      <w:r>
        <w:rPr>
          <w:rFonts w:hint="eastAsia"/>
        </w:rPr>
        <w:t>号指令；</w:t>
      </w:r>
    </w:p>
    <w:p w:rsidR="00000000" w:rsidRDefault="00000000">
      <w:pPr>
        <w:autoSpaceDE w:val="0"/>
        <w:autoSpaceDN w:val="0"/>
        <w:spacing w:after="240" w:line="400" w:lineRule="exact"/>
        <w:ind w:firstLine="425"/>
        <w:textAlignment w:val="bottom"/>
      </w:pPr>
      <w:r>
        <w:t xml:space="preserve">*  </w:t>
      </w:r>
      <w:r>
        <w:rPr>
          <w:rFonts w:hint="eastAsia"/>
        </w:rPr>
        <w:t>《平等待遇法》包括了不仅以性别为理由而以其他方面（即宗教、信仰、政治见解、种族、国籍、性倾向（同性或异性）或婚姻状况）为理由的歧视；</w:t>
      </w:r>
    </w:p>
    <w:p w:rsidR="00000000" w:rsidRDefault="00000000">
      <w:pPr>
        <w:autoSpaceDE w:val="0"/>
        <w:autoSpaceDN w:val="0"/>
        <w:spacing w:after="240" w:line="400" w:lineRule="exact"/>
        <w:ind w:firstLine="425"/>
        <w:textAlignment w:val="bottom"/>
      </w:pPr>
      <w:r>
        <w:t xml:space="preserve">*  </w:t>
      </w:r>
      <w:r>
        <w:rPr>
          <w:rFonts w:hint="eastAsia"/>
        </w:rPr>
        <w:t>《平等待遇（劳动时间）法》规定兼职和正式员工应享受平等待遇；由于兼职工人主要为妇女，这项法律对于消除对妇女间接歧视的措施是重要的（见以上第</w:t>
      </w:r>
      <w:r>
        <w:t>11</w:t>
      </w:r>
      <w:r>
        <w:rPr>
          <w:rFonts w:hint="eastAsia"/>
        </w:rPr>
        <w:t>条）。下文将更详细地论述《平等待遇法》的内容及实施情况。</w:t>
      </w:r>
    </w:p>
    <w:p w:rsidR="00000000" w:rsidRDefault="00000000">
      <w:pPr>
        <w:autoSpaceDE w:val="0"/>
        <w:autoSpaceDN w:val="0"/>
        <w:spacing w:after="240" w:line="400" w:lineRule="exact"/>
        <w:textAlignment w:val="bottom"/>
        <w:rPr>
          <w:rFonts w:ascii="楷体" w:eastAsia="楷体"/>
        </w:rPr>
      </w:pPr>
      <w:r>
        <w:rPr>
          <w:rFonts w:ascii="楷体" w:eastAsia="楷体" w:hint="eastAsia"/>
        </w:rPr>
        <w:t>《平等待遇法》</w:t>
      </w:r>
    </w:p>
    <w:p w:rsidR="00000000" w:rsidRDefault="00000000">
      <w:pPr>
        <w:autoSpaceDE w:val="0"/>
        <w:autoSpaceDN w:val="0"/>
        <w:spacing w:after="240" w:line="400" w:lineRule="exact"/>
        <w:ind w:firstLine="425"/>
        <w:textAlignment w:val="bottom"/>
      </w:pPr>
      <w:r>
        <w:rPr>
          <w:rFonts w:hint="eastAsia"/>
        </w:rPr>
        <w:t>第一次报告中提到的《平等待遇法案》在</w:t>
      </w:r>
      <w:r>
        <w:t>1994</w:t>
      </w:r>
      <w:r>
        <w:rPr>
          <w:rFonts w:hint="eastAsia"/>
        </w:rPr>
        <w:t>年</w:t>
      </w:r>
      <w:r>
        <w:t>9</w:t>
      </w:r>
      <w:r>
        <w:rPr>
          <w:rFonts w:hint="eastAsia"/>
        </w:rPr>
        <w:t>月</w:t>
      </w:r>
      <w:r>
        <w:t>1</w:t>
      </w:r>
      <w:r>
        <w:rPr>
          <w:rFonts w:hint="eastAsia"/>
        </w:rPr>
        <w:t>日成为法律。该法禁止基于宗教、信仰、政治见解、种族、性别、国籍、性倾向（同性或异性）或婚姻状况原因的直接和间接歧视。禁止歧视并未扩大到禁止根据客观理由进行合理的间接区分。除非该法明确规定对该规则的例外，应禁止直接歧视。例如，该法规定，禁止基于性别的歧视不适用于为了保护妇女，特别是孕妇和产妇而进行区别对待。该法维护了集体行动的可能性。按计划将在</w:t>
      </w:r>
      <w:r>
        <w:t>1999</w:t>
      </w:r>
      <w:r>
        <w:rPr>
          <w:rFonts w:hint="eastAsia"/>
        </w:rPr>
        <w:t>年对该法进行首次评价。</w:t>
      </w:r>
    </w:p>
    <w:p w:rsidR="00000000" w:rsidRDefault="00000000">
      <w:pPr>
        <w:autoSpaceDE w:val="0"/>
        <w:autoSpaceDN w:val="0"/>
        <w:spacing w:after="240" w:line="400" w:lineRule="exact"/>
        <w:textAlignment w:val="bottom"/>
        <w:rPr>
          <w:rFonts w:ascii="楷体" w:eastAsia="楷体"/>
        </w:rPr>
      </w:pPr>
      <w:r>
        <w:rPr>
          <w:rFonts w:ascii="楷体" w:eastAsia="楷体" w:hint="eastAsia"/>
        </w:rPr>
        <w:t>平等待遇委员会</w:t>
      </w:r>
    </w:p>
    <w:p w:rsidR="00000000" w:rsidRDefault="00000000">
      <w:pPr>
        <w:autoSpaceDE w:val="0"/>
        <w:autoSpaceDN w:val="0"/>
        <w:spacing w:after="240" w:line="400" w:lineRule="exact"/>
        <w:ind w:firstLine="425"/>
        <w:textAlignment w:val="bottom"/>
      </w:pPr>
      <w:r>
        <w:rPr>
          <w:rFonts w:hint="eastAsia"/>
        </w:rPr>
        <w:t>当《平等待遇法》生效时，一个新的平等待遇委员会取代了平等待遇（工时）委员会。新的平等待遇委员会的职权范围更广，因而有更大的权力，有更多的员工和预算。该委员会可以应书面请求或根据自己的决定对是否存在被禁止的差别进行调查。任何一个认为他或她受到歧视的人都可以提出这种请求。可向委员会提出申请的其他人员是工人委员会、压力集团、法官和雇主。该委员会调查并判定一项行动是否违反上述的法律。该委员会的意见不具约束力。但是它的意见实际上经常被采纳。这个新委员会也获得在对歧视负责任的人员提出意见的同时提出建议的权力。在其</w:t>
      </w:r>
      <w:r>
        <w:t>1996</w:t>
      </w:r>
      <w:r>
        <w:rPr>
          <w:rFonts w:hint="eastAsia"/>
        </w:rPr>
        <w:t>年的年度报告中该委员会说，它经常行使这一权力。它行使这一权力的目的是表明，另一方也有机会按照法律行事从而可照顾到各方利益。该委员会还可以为各方安排调解。</w:t>
      </w:r>
    </w:p>
    <w:p w:rsidR="00000000" w:rsidRDefault="00000000">
      <w:pPr>
        <w:autoSpaceDE w:val="0"/>
        <w:autoSpaceDN w:val="0"/>
        <w:spacing w:after="240" w:line="400" w:lineRule="exact"/>
        <w:ind w:firstLine="425"/>
        <w:textAlignment w:val="bottom"/>
      </w:pPr>
      <w:r>
        <w:rPr>
          <w:rFonts w:hint="eastAsia"/>
        </w:rPr>
        <w:t>新的平等待遇委员会还有权向法院提出申请，就某一特定法律是否违反《平等待遇法》作出有约束力的裁决。例如，当委员会的意见未被采纳时，它就可以这样做。它可以申请宣布一个法律不合法或被禁止，或者请求发布命令消除该法的后果。</w:t>
      </w:r>
      <w:r>
        <w:t>1994-1996</w:t>
      </w:r>
      <w:r>
        <w:rPr>
          <w:rFonts w:hint="eastAsia"/>
        </w:rPr>
        <w:t>年的年度报告表明，该委员会尚未行使这一权力。</w:t>
      </w:r>
    </w:p>
    <w:p w:rsidR="00000000" w:rsidRDefault="00000000">
      <w:pPr>
        <w:autoSpaceDE w:val="0"/>
        <w:autoSpaceDN w:val="0"/>
        <w:spacing w:after="240" w:line="400" w:lineRule="exact"/>
        <w:ind w:firstLine="425"/>
        <w:textAlignment w:val="bottom"/>
      </w:pPr>
      <w:r>
        <w:rPr>
          <w:rFonts w:hint="eastAsia"/>
        </w:rPr>
        <w:t>提交平等待遇委员会的申请数量正在上升。</w:t>
      </w:r>
      <w:r>
        <w:t>1994</w:t>
      </w:r>
      <w:r>
        <w:rPr>
          <w:rFonts w:hint="eastAsia"/>
        </w:rPr>
        <w:t>年提交</w:t>
      </w:r>
      <w:r>
        <w:t>29</w:t>
      </w:r>
      <w:r>
        <w:rPr>
          <w:rFonts w:hint="eastAsia"/>
        </w:rPr>
        <w:t>份，</w:t>
      </w:r>
      <w:r>
        <w:t>1995</w:t>
      </w:r>
      <w:r>
        <w:rPr>
          <w:rFonts w:hint="eastAsia"/>
        </w:rPr>
        <w:t>年为</w:t>
      </w:r>
      <w:r>
        <w:t>246</w:t>
      </w:r>
      <w:r>
        <w:rPr>
          <w:rFonts w:hint="eastAsia"/>
        </w:rPr>
        <w:t>份，</w:t>
      </w:r>
      <w:r>
        <w:t>1996</w:t>
      </w:r>
      <w:r>
        <w:rPr>
          <w:rFonts w:hint="eastAsia"/>
        </w:rPr>
        <w:t>年为</w:t>
      </w:r>
      <w:r>
        <w:t>421</w:t>
      </w:r>
      <w:r>
        <w:rPr>
          <w:rFonts w:hint="eastAsia"/>
        </w:rPr>
        <w:t>份。因此意见的数量也增多了。在</w:t>
      </w:r>
      <w:r>
        <w:t>1995</w:t>
      </w:r>
      <w:r>
        <w:rPr>
          <w:rFonts w:hint="eastAsia"/>
        </w:rPr>
        <w:t>年该委员会提出</w:t>
      </w:r>
      <w:r>
        <w:t>70</w:t>
      </w:r>
      <w:r>
        <w:rPr>
          <w:rFonts w:hint="eastAsia"/>
        </w:rPr>
        <w:t>条意见，在</w:t>
      </w:r>
      <w:r>
        <w:t>1996</w:t>
      </w:r>
      <w:r>
        <w:rPr>
          <w:rFonts w:hint="eastAsia"/>
        </w:rPr>
        <w:t>年则提出</w:t>
      </w:r>
      <w:r>
        <w:t>119</w:t>
      </w:r>
      <w:r>
        <w:rPr>
          <w:rFonts w:hint="eastAsia"/>
        </w:rPr>
        <w:t>条（增加</w:t>
      </w:r>
      <w:r>
        <w:t>70</w:t>
      </w:r>
      <w:r>
        <w:rPr>
          <w:rFonts w:hint="eastAsia"/>
        </w:rPr>
        <w:t>％）。大部分意见涉及基于性别理由的歧视。其次是涉及以种族和国籍为由进行歧视的案例。</w:t>
      </w:r>
      <w:r>
        <w:t>1996</w:t>
      </w:r>
      <w:r>
        <w:rPr>
          <w:rFonts w:hint="eastAsia"/>
        </w:rPr>
        <w:t>年提出的意见有四分之一与后两项理由有关。值得注意的是在</w:t>
      </w:r>
      <w:r>
        <w:t>1996</w:t>
      </w:r>
      <w:r>
        <w:rPr>
          <w:rFonts w:hint="eastAsia"/>
        </w:rPr>
        <w:t>年有关基于宗教原因进行歧视的意见数量增多了。涉及同性恋和婚姻状况的意见数量仍然非常少。委员会</w:t>
      </w:r>
      <w:r>
        <w:t>1996</w:t>
      </w:r>
      <w:r>
        <w:rPr>
          <w:rFonts w:hint="eastAsia"/>
        </w:rPr>
        <w:t>年的年度报告表明，基于这些原因的投诉极少。</w:t>
      </w:r>
    </w:p>
    <w:p w:rsidR="00000000" w:rsidRDefault="00000000">
      <w:pPr>
        <w:autoSpaceDE w:val="0"/>
        <w:autoSpaceDN w:val="0"/>
        <w:spacing w:after="240" w:line="400" w:lineRule="exact"/>
        <w:textAlignment w:val="bottom"/>
        <w:rPr>
          <w:rFonts w:ascii="SimHei" w:eastAsia="SimHei"/>
          <w:sz w:val="24"/>
        </w:rPr>
      </w:pPr>
      <w:r>
        <w:rPr>
          <w:rFonts w:ascii="SimHei" w:eastAsia="SimHei" w:hint="eastAsia"/>
          <w:sz w:val="24"/>
        </w:rPr>
        <w:t>第二级：走向多样性</w:t>
      </w:r>
    </w:p>
    <w:p w:rsidR="00000000" w:rsidRDefault="00000000">
      <w:pPr>
        <w:autoSpaceDE w:val="0"/>
        <w:autoSpaceDN w:val="0"/>
        <w:spacing w:after="240" w:line="400" w:lineRule="exact"/>
        <w:ind w:firstLine="425"/>
        <w:textAlignment w:val="bottom"/>
      </w:pPr>
      <w:r>
        <w:rPr>
          <w:rFonts w:hint="eastAsia"/>
        </w:rPr>
        <w:t>从</w:t>
      </w:r>
      <w:r>
        <w:t>1985</w:t>
      </w:r>
      <w:r>
        <w:rPr>
          <w:rFonts w:hint="eastAsia"/>
        </w:rPr>
        <w:t>年以来解放政策的中心目标一直是“促使当今社会</w:t>
      </w:r>
      <w:r>
        <w:t>——</w:t>
      </w:r>
      <w:r>
        <w:rPr>
          <w:rFonts w:hint="eastAsia"/>
        </w:rPr>
        <w:t>性别差异在很大程度上仍处于体制化状态的社会</w:t>
      </w:r>
      <w:r>
        <w:t>——</w:t>
      </w:r>
      <w:r>
        <w:rPr>
          <w:rFonts w:hint="eastAsia"/>
        </w:rPr>
        <w:t>发展为多种形式的社会，每个人无论性别和婚姻状况如何都有机会获得独立生存权，而且男女都能够享有平等的权利、机会、自由和责任。”</w:t>
      </w:r>
      <w:r>
        <w:rPr>
          <w:rStyle w:val="FootnoteReference"/>
        </w:rPr>
        <w:footnoteReference w:id="12"/>
      </w:r>
    </w:p>
    <w:p w:rsidR="00000000" w:rsidRDefault="00000000">
      <w:pPr>
        <w:autoSpaceDE w:val="0"/>
        <w:autoSpaceDN w:val="0"/>
        <w:spacing w:after="240" w:line="400" w:lineRule="exact"/>
        <w:ind w:firstLine="425"/>
        <w:textAlignment w:val="bottom"/>
      </w:pPr>
      <w:r>
        <w:t>1992</w:t>
      </w:r>
      <w:r>
        <w:rPr>
          <w:rFonts w:hint="eastAsia"/>
        </w:rPr>
        <w:t>年</w:t>
      </w:r>
      <w:r>
        <w:t>11</w:t>
      </w:r>
      <w:r>
        <w:rPr>
          <w:rFonts w:hint="eastAsia"/>
        </w:rPr>
        <w:t>月出版了名为“展望</w:t>
      </w:r>
      <w:r>
        <w:t>1995</w:t>
      </w:r>
      <w:r>
        <w:rPr>
          <w:rFonts w:hint="eastAsia"/>
        </w:rPr>
        <w:t>年”的解放政策方案。该方案阐述了</w:t>
      </w:r>
      <w:r>
        <w:t>1985</w:t>
      </w:r>
      <w:r>
        <w:rPr>
          <w:rFonts w:hint="eastAsia"/>
        </w:rPr>
        <w:t>年采取的主要原则，但选择了三项一般性政策的先导工作：</w:t>
      </w:r>
    </w:p>
    <w:p w:rsidR="00000000" w:rsidRDefault="00000000">
      <w:pPr>
        <w:autoSpaceDE w:val="0"/>
        <w:autoSpaceDN w:val="0"/>
        <w:spacing w:after="240" w:line="400" w:lineRule="exact"/>
        <w:ind w:firstLine="425"/>
        <w:textAlignment w:val="bottom"/>
      </w:pPr>
      <w:r>
        <w:t xml:space="preserve">1.  </w:t>
      </w:r>
      <w:r>
        <w:rPr>
          <w:rFonts w:hint="eastAsia"/>
        </w:rPr>
        <w:t>增加妇女参与社会和政治决策的比例（第</w:t>
      </w:r>
      <w:r>
        <w:t>5</w:t>
      </w:r>
      <w:r>
        <w:rPr>
          <w:rFonts w:hint="eastAsia"/>
        </w:rPr>
        <w:t>章报告了结果）；</w:t>
      </w:r>
    </w:p>
    <w:p w:rsidR="00000000" w:rsidRDefault="00000000">
      <w:pPr>
        <w:autoSpaceDE w:val="0"/>
        <w:autoSpaceDN w:val="0"/>
        <w:spacing w:after="240" w:line="400" w:lineRule="exact"/>
        <w:ind w:firstLine="425"/>
        <w:textAlignment w:val="bottom"/>
      </w:pPr>
      <w:r>
        <w:t xml:space="preserve">2.  </w:t>
      </w:r>
      <w:r>
        <w:rPr>
          <w:rFonts w:hint="eastAsia"/>
        </w:rPr>
        <w:t>重新分配无偿工作，同时增加男子无偿照管的责任（第</w:t>
      </w:r>
      <w:r>
        <w:t>9</w:t>
      </w:r>
      <w:r>
        <w:rPr>
          <w:rFonts w:hint="eastAsia"/>
        </w:rPr>
        <w:t>章报告了结果）；</w:t>
      </w:r>
    </w:p>
    <w:p w:rsidR="00000000" w:rsidRDefault="00000000">
      <w:pPr>
        <w:autoSpaceDE w:val="0"/>
        <w:autoSpaceDN w:val="0"/>
        <w:spacing w:after="240" w:line="400" w:lineRule="exact"/>
        <w:ind w:firstLine="425"/>
        <w:textAlignment w:val="bottom"/>
      </w:pPr>
      <w:r>
        <w:t xml:space="preserve">3.  </w:t>
      </w:r>
      <w:r>
        <w:rPr>
          <w:rFonts w:hint="eastAsia"/>
        </w:rPr>
        <w:t>消除传统的男性和女性观念（在第三级逐条讨论《公约》时论述。</w:t>
      </w:r>
    </w:p>
    <w:p w:rsidR="00000000" w:rsidRDefault="00000000">
      <w:pPr>
        <w:autoSpaceDE w:val="0"/>
        <w:autoSpaceDN w:val="0"/>
        <w:spacing w:after="240" w:line="400" w:lineRule="exact"/>
        <w:ind w:firstLine="425"/>
        <w:textAlignment w:val="bottom"/>
      </w:pPr>
      <w:r>
        <w:rPr>
          <w:rFonts w:hint="eastAsia"/>
        </w:rPr>
        <w:t>为了更清楚地表明各个部本身承担的与解放政策有关的责任，荷兰政府还指出了每一个部应实现的与各部一般性目标和主要职责有关的具体目标。因此必须把解放政策目标纳入所有各部的日常政策。该政策方案的另一新内容是解放政策应明确阐明男子的状况。此外，它还应考虑到不同类别妇女的状况。该项政策方案的执行情况一直是两个临时报告和</w:t>
      </w:r>
      <w:r>
        <w:t>1996</w:t>
      </w:r>
      <w:r>
        <w:rPr>
          <w:rFonts w:hint="eastAsia"/>
        </w:rPr>
        <w:t>年解放政策部际协调委员会进行的一项评价的主题。该项评价的结果之一是选择一般性先导工作是成功的。实际上所有各部都表示，除了各自有关解放政策的行动纲领之外，它们开展了与一项或几项先导工作有关的活动。对政策文件《展望</w:t>
      </w:r>
      <w:r>
        <w:t>1995</w:t>
      </w:r>
      <w:r>
        <w:rPr>
          <w:rFonts w:hint="eastAsia"/>
        </w:rPr>
        <w:t>年》的评估得出的建议已尽可能多地纳入后来公布的政策文件。因此，政府对解放政策问题的分析仍然是适当的，尽管这并不排除经常进行再评估的必要性。所以政策越来越集中于执行阶段</w:t>
      </w:r>
      <w:r>
        <w:t>——</w:t>
      </w:r>
      <w:r>
        <w:rPr>
          <w:rFonts w:hint="eastAsia"/>
        </w:rPr>
        <w:t>这是联合国第四次妇女问题世界会议大力支持的一个重点转变。</w:t>
      </w:r>
    </w:p>
    <w:p w:rsidR="00000000" w:rsidRDefault="00000000">
      <w:pPr>
        <w:autoSpaceDE w:val="0"/>
        <w:autoSpaceDN w:val="0"/>
        <w:spacing w:after="240" w:line="400" w:lineRule="exact"/>
        <w:ind w:firstLine="425"/>
        <w:textAlignment w:val="bottom"/>
      </w:pPr>
      <w:r>
        <w:rPr>
          <w:rFonts w:hint="eastAsia"/>
        </w:rPr>
        <w:t>不同“类别”妇女意味着什么近年来也更加清楚了。性别与社会分类的其他原则有联系，如民族血统、阶级、教育和年龄。</w:t>
      </w:r>
      <w:r>
        <w:rPr>
          <w:rStyle w:val="FootnoteReference"/>
        </w:rPr>
        <w:footnoteReference w:id="13"/>
      </w:r>
      <w:r>
        <w:rPr>
          <w:rFonts w:hint="eastAsia"/>
        </w:rPr>
        <w:t>它再也不仅仅是消除对妇女的不利条件从而实现社会再分配的问题。相反，社会本身的组成和我们文化中根深蒂固的男性第一的价值观必须改变。</w:t>
      </w:r>
      <w:r>
        <w:t>1997</w:t>
      </w:r>
      <w:r>
        <w:rPr>
          <w:rFonts w:hint="eastAsia"/>
        </w:rPr>
        <w:t>年解放政策的实质是必须以下列方式消除社会结构中的障碍，即不仅在性别方面，而且在年龄、民族血统、性倾向和宗教方面实现多样性，并把多样性看成是提高社会质量的一种手段。就“种族地位”因素而言，已作出努力来评价这一原则的影响。政府部门为此成立了一个包括在这个领域有专门知识的黑人、移民和难民妇女以及社会和就业部、保健、福利和体育部以及内务部代表在内的智囊团。该智囊团已审议了四个不同主题：难民妇女及进入劳力市场的途径；儿童保育设施的多样性（在学校和其他地方）；黑人、移民和难民妇女成立自己公司的机会；黑人、移民和难民女孩学习技术课程的机会。智囊团的组成随主题不同而不同，取决于相关的知识。</w:t>
      </w:r>
    </w:p>
    <w:p w:rsidR="00000000" w:rsidRDefault="00000000">
      <w:pPr>
        <w:autoSpaceDE w:val="0"/>
        <w:autoSpaceDN w:val="0"/>
        <w:spacing w:after="240" w:line="400" w:lineRule="exact"/>
        <w:ind w:firstLine="425"/>
        <w:textAlignment w:val="bottom"/>
      </w:pPr>
      <w:r>
        <w:rPr>
          <w:rFonts w:hint="eastAsia"/>
        </w:rPr>
        <w:t>作为确保把多样性看成是使社会丰富多采的一种战略，当局努力与公共部门外的伙伴共同创造了一种双赢的局面。例如，它们与工业双方结成了新的联盟。名为“商业中的机会”的运动就是一个实例。这些联盟的目的是拓宽支持社会解放的基础。重要的是整个社会，包括个人、商业界、雇员、社会和政治组织以及其他媒介都应参与妇女解放进程。单靠政府本身是无法实施必要的变革的。重要的是其他各方也应在这方面发挥积极作用。</w:t>
      </w:r>
    </w:p>
    <w:p w:rsidR="00000000" w:rsidRDefault="00000000">
      <w:pPr>
        <w:autoSpaceDE w:val="0"/>
        <w:autoSpaceDN w:val="0"/>
        <w:spacing w:after="240" w:line="400" w:lineRule="exact"/>
        <w:ind w:firstLine="425"/>
        <w:textAlignment w:val="bottom"/>
      </w:pPr>
      <w:r>
        <w:rPr>
          <w:rFonts w:hint="eastAsia"/>
        </w:rPr>
        <w:t>不同各方的参与对于实现解放政策的重要目标是必不可少的，也就是说应有可能让男女同时或相继参与生活的不同（和相等）的领域。有关当局确定的解放政策的三个领域为：</w:t>
      </w:r>
    </w:p>
    <w:p w:rsidR="00000000" w:rsidRDefault="00000000">
      <w:pPr>
        <w:autoSpaceDE w:val="0"/>
        <w:autoSpaceDN w:val="0"/>
        <w:spacing w:after="240" w:line="400" w:lineRule="exact"/>
        <w:ind w:firstLine="425"/>
        <w:textAlignment w:val="bottom"/>
      </w:pPr>
      <w:r>
        <w:t xml:space="preserve">*  </w:t>
      </w:r>
      <w:r>
        <w:rPr>
          <w:rFonts w:hint="eastAsia"/>
        </w:rPr>
        <w:t>私人生活</w:t>
      </w:r>
    </w:p>
    <w:p w:rsidR="00000000" w:rsidRDefault="00000000">
      <w:pPr>
        <w:autoSpaceDE w:val="0"/>
        <w:autoSpaceDN w:val="0"/>
        <w:spacing w:after="240" w:line="400" w:lineRule="exact"/>
        <w:ind w:firstLine="425"/>
        <w:textAlignment w:val="bottom"/>
      </w:pPr>
      <w:r>
        <w:t xml:space="preserve">*  </w:t>
      </w:r>
      <w:r>
        <w:rPr>
          <w:rFonts w:hint="eastAsia"/>
        </w:rPr>
        <w:t>工作和收入</w:t>
      </w:r>
    </w:p>
    <w:p w:rsidR="00000000" w:rsidRDefault="00000000">
      <w:pPr>
        <w:autoSpaceDE w:val="0"/>
        <w:autoSpaceDN w:val="0"/>
        <w:spacing w:after="240" w:line="400" w:lineRule="exact"/>
        <w:ind w:firstLine="425"/>
        <w:textAlignment w:val="bottom"/>
      </w:pPr>
      <w:r>
        <w:t xml:space="preserve">*  </w:t>
      </w:r>
      <w:r>
        <w:rPr>
          <w:rFonts w:hint="eastAsia"/>
        </w:rPr>
        <w:t>政治和社会生活</w:t>
      </w:r>
    </w:p>
    <w:p w:rsidR="00000000" w:rsidRDefault="00000000">
      <w:pPr>
        <w:autoSpaceDE w:val="0"/>
        <w:autoSpaceDN w:val="0"/>
        <w:spacing w:after="240" w:line="400" w:lineRule="exact"/>
        <w:ind w:firstLine="425"/>
        <w:textAlignment w:val="bottom"/>
      </w:pPr>
      <w:r>
        <w:rPr>
          <w:rFonts w:hint="eastAsia"/>
        </w:rPr>
        <w:t>在妇女必须兼顾这三个领域的活动的地方，她们不应为此而变得负担过重或过于有组织。在实践中，目前的工作和照管安排很难兼顾。随着越来越多的男子和妇女希望兼顾不同的义务和责任，由此而造成的困难是当局应予认真关注的问题。如果要使兼顾各种色角成为可能，将需要进行大量社会变革。在这方面工业双方和社会组织的贡献是至关重要的。当局的作用主要是通过创造适当的条件来鼓励并支持必要的变革。当局采取这类行动的实例是制定法律，以便延长商店营业时间、增加父母亲的假期以及提供更多校外照管设施。</w:t>
      </w:r>
    </w:p>
    <w:p w:rsidR="00000000" w:rsidRDefault="00000000">
      <w:pPr>
        <w:autoSpaceDE w:val="0"/>
        <w:autoSpaceDN w:val="0"/>
        <w:spacing w:after="240" w:line="400" w:lineRule="exact"/>
        <w:ind w:firstLine="425"/>
        <w:textAlignment w:val="bottom"/>
      </w:pPr>
      <w:r>
        <w:rPr>
          <w:rFonts w:hint="eastAsia"/>
        </w:rPr>
        <w:t>由于一个叫作未来方案委员会的现有委员会的专家的努力，在政策方面已取得重大进展。该委员会研究了如何对无偿照管进行再分配，并提出了四个方案。一个集中力量于重新分配有偿工作和无偿照管的组合方案构成了政策的基础。第</w:t>
      </w:r>
      <w:r>
        <w:t>9</w:t>
      </w:r>
      <w:r>
        <w:rPr>
          <w:rFonts w:hint="eastAsia"/>
        </w:rPr>
        <w:t>章将对此详加说明。</w:t>
      </w:r>
    </w:p>
    <w:p w:rsidR="00000000" w:rsidRDefault="00000000">
      <w:pPr>
        <w:autoSpaceDE w:val="0"/>
        <w:autoSpaceDN w:val="0"/>
        <w:spacing w:after="240" w:line="400" w:lineRule="exact"/>
        <w:ind w:firstLine="425"/>
        <w:textAlignment w:val="bottom"/>
      </w:pPr>
      <w:r>
        <w:rPr>
          <w:rFonts w:hint="eastAsia"/>
        </w:rPr>
        <w:t>北京联合国第四次妇女问题世界会议的重要信息之一是有必要“在做出决定前将性别观点纳入主流”。这条信息在荷兰的作用是为这一主题的现行政策注入了新的生命。正在设法把解放政策的目标融入主流政策。</w:t>
      </w:r>
      <w:r>
        <w:t>1997</w:t>
      </w:r>
      <w:r>
        <w:rPr>
          <w:rFonts w:hint="eastAsia"/>
        </w:rPr>
        <w:t>年</w:t>
      </w:r>
      <w:r>
        <w:t>2</w:t>
      </w:r>
      <w:r>
        <w:rPr>
          <w:rFonts w:hint="eastAsia"/>
        </w:rPr>
        <w:t>月在荷兰召开了一个由负责解放政策的主任和高级公务员参加的讨论主流化的欧共体会议。目前正在进行一项研究，供当局确定如何在实践中达到这一目标，因为决策者们需要有使他们能评估政策对男女状况的可能影响的手段。当局已制订的可用来评估政策的消极副作用可能性的手段是‘性别影响评价’。这个手段首先被用来评价一项特定政策建议将如何影响相关政策领域的现有状况和自主发展。然后它将被用来确定政策可能会对解放进程产生何种（预期的和其他的）影响。将参照‘平等’和‘自主’标准来评估这些影响。自主标准涉及个人的独立和他或她的选择，反映社会多元化的程度。</w:t>
      </w:r>
    </w:p>
    <w:p w:rsidR="00000000" w:rsidRDefault="00000000">
      <w:pPr>
        <w:autoSpaceDE w:val="0"/>
        <w:autoSpaceDN w:val="0"/>
        <w:spacing w:after="240" w:line="400" w:lineRule="exact"/>
        <w:ind w:firstLine="425"/>
        <w:textAlignment w:val="bottom"/>
      </w:pPr>
      <w:r>
        <w:rPr>
          <w:rFonts w:hint="eastAsia"/>
        </w:rPr>
        <w:t>政府各部本身负责这一手段的应用。已进行了试验，目前正在进行评估。在所有案例中性别影响评价显示了非预期的消极作用。由于具有启发作用，这种手段正在证明它的价值，在政府各级决策者的工作会议期间尤为明显。实践中人们认识到今后改进这种手段的办法。首先它应更易于获取以便广泛应用。</w:t>
      </w:r>
    </w:p>
    <w:p w:rsidR="00000000" w:rsidRDefault="00000000">
      <w:pPr>
        <w:autoSpaceDE w:val="0"/>
        <w:autoSpaceDN w:val="0"/>
        <w:spacing w:after="240" w:line="400" w:lineRule="exact"/>
        <w:ind w:firstLine="425"/>
        <w:textAlignment w:val="bottom"/>
      </w:pPr>
      <w:r>
        <w:rPr>
          <w:rFonts w:hint="eastAsia"/>
        </w:rPr>
        <w:t>政府各级都使用性别影响评价，尽管范围仍然有限。中央政府通过与下层当局合作试图使这种手段更适合它们使用，同时又确保使全国都知道这个概念。因此中央政府正在帮助编制一种适合于市政当局使用的性别影响评价不同版本。</w:t>
      </w:r>
    </w:p>
    <w:p w:rsidR="00000000" w:rsidRDefault="00000000">
      <w:pPr>
        <w:autoSpaceDE w:val="0"/>
        <w:autoSpaceDN w:val="0"/>
        <w:spacing w:after="240" w:line="400" w:lineRule="exact"/>
        <w:textAlignment w:val="bottom"/>
        <w:rPr>
          <w:rFonts w:ascii="SimHei" w:eastAsia="SimHei"/>
          <w:sz w:val="24"/>
        </w:rPr>
      </w:pPr>
      <w:r>
        <w:rPr>
          <w:rFonts w:ascii="SimHei" w:eastAsia="SimHei" w:hint="eastAsia"/>
          <w:sz w:val="24"/>
        </w:rPr>
        <w:t>第三级：文化变革战略</w:t>
      </w:r>
    </w:p>
    <w:p w:rsidR="00000000" w:rsidRDefault="00000000">
      <w:pPr>
        <w:autoSpaceDE w:val="0"/>
        <w:autoSpaceDN w:val="0"/>
        <w:spacing w:after="240" w:line="400" w:lineRule="exact"/>
        <w:ind w:firstLine="425"/>
        <w:textAlignment w:val="bottom"/>
      </w:pPr>
      <w:r>
        <w:rPr>
          <w:rFonts w:hint="eastAsia"/>
        </w:rPr>
        <w:t>从</w:t>
      </w:r>
      <w:r>
        <w:t>1985</w:t>
      </w:r>
      <w:r>
        <w:rPr>
          <w:rFonts w:hint="eastAsia"/>
        </w:rPr>
        <w:t>年以来当局一直奉行一种识别社会上维护陈旧定型的男女观念发展过程的政策。历来是‘男性’为主‘女性’为辅，因而形成一种固定不变的不平等现象。荷兰政府认为，如果能够识别这一过程，从而有可能得以改变，将是在广义上实现文化变革的一个重要途径。为处理这个主题而成立的一个跨部项目小组在</w:t>
      </w:r>
      <w:r>
        <w:t>1993</w:t>
      </w:r>
      <w:r>
        <w:rPr>
          <w:rFonts w:hint="eastAsia"/>
        </w:rPr>
        <w:t>至</w:t>
      </w:r>
      <w:r>
        <w:t>1996</w:t>
      </w:r>
      <w:r>
        <w:rPr>
          <w:rFonts w:hint="eastAsia"/>
        </w:rPr>
        <w:t>年期间从事了非常有价值的工作。</w:t>
      </w:r>
      <w:r>
        <w:rPr>
          <w:rStyle w:val="FootnoteReference"/>
        </w:rPr>
        <w:footnoteReference w:id="14"/>
      </w:r>
      <w:r>
        <w:rPr>
          <w:rFonts w:hint="eastAsia"/>
        </w:rPr>
        <w:t>在这里应当提到四个有关的项目和活动：</w:t>
      </w:r>
    </w:p>
    <w:p w:rsidR="00000000" w:rsidRDefault="00000000">
      <w:pPr>
        <w:autoSpaceDE w:val="0"/>
        <w:autoSpaceDN w:val="0"/>
        <w:spacing w:after="240" w:line="400" w:lineRule="exact"/>
        <w:textAlignment w:val="bottom"/>
        <w:rPr>
          <w:rFonts w:ascii="楷体" w:eastAsia="楷体"/>
        </w:rPr>
      </w:pPr>
      <w:r>
        <w:rPr>
          <w:rFonts w:ascii="楷体" w:eastAsia="楷体" w:hint="eastAsia"/>
        </w:rPr>
        <w:t>性别观念部门</w:t>
      </w:r>
    </w:p>
    <w:p w:rsidR="00000000" w:rsidRDefault="00000000">
      <w:pPr>
        <w:autoSpaceDE w:val="0"/>
        <w:autoSpaceDN w:val="0"/>
        <w:spacing w:after="240" w:line="400" w:lineRule="exact"/>
        <w:ind w:firstLine="425"/>
        <w:textAlignment w:val="bottom"/>
      </w:pPr>
      <w:r>
        <w:rPr>
          <w:rFonts w:hint="eastAsia"/>
        </w:rPr>
        <w:t>在全国公共广播系统进行了一个五年的实验，以发现在实践中节目是如何能传播更加不同的男女即男性和女性的形象。这个项目在荷兰广播机构内和在海外都有很大的影响。由于与包括斯堪的纳维亚各国在内的其他国家的合作，该项目目前仍在别处进行。在荷兰已建立了一个后续项目，以确保性别观念这个主题成为公共广播机构编制节目中的一个组成部分。</w:t>
      </w:r>
    </w:p>
    <w:p w:rsidR="00000000" w:rsidRDefault="00000000">
      <w:pPr>
        <w:autoSpaceDE w:val="0"/>
        <w:autoSpaceDN w:val="0"/>
        <w:spacing w:after="240" w:line="400" w:lineRule="exact"/>
        <w:textAlignment w:val="bottom"/>
        <w:rPr>
          <w:rFonts w:ascii="楷体" w:eastAsia="楷体"/>
        </w:rPr>
      </w:pPr>
      <w:r>
        <w:rPr>
          <w:rFonts w:ascii="楷体" w:eastAsia="楷体" w:hint="eastAsia"/>
        </w:rPr>
        <w:t>有效树立形象手册</w:t>
      </w:r>
    </w:p>
    <w:p w:rsidR="00000000" w:rsidRDefault="00000000">
      <w:pPr>
        <w:autoSpaceDE w:val="0"/>
        <w:autoSpaceDN w:val="0"/>
        <w:spacing w:after="240" w:line="400" w:lineRule="exact"/>
        <w:ind w:firstLine="425"/>
        <w:textAlignment w:val="bottom"/>
      </w:pPr>
      <w:r>
        <w:rPr>
          <w:rFonts w:hint="eastAsia"/>
        </w:rPr>
        <w:t>在政府补贴帮助下正在编一本载有教授专业‘形象树立者’如何认识并打破性别陈旧定型模式内容的手册。所指的形象树立者是政府发言人、广告和媒体管理人、教师、甚至官方起草人和作家。该手册提供文字和形象如何创造了男性和女性观念的实例。</w:t>
      </w:r>
    </w:p>
    <w:p w:rsidR="00000000" w:rsidRDefault="00000000">
      <w:pPr>
        <w:autoSpaceDE w:val="0"/>
        <w:autoSpaceDN w:val="0"/>
        <w:spacing w:after="240" w:line="400" w:lineRule="exact"/>
        <w:textAlignment w:val="bottom"/>
        <w:rPr>
          <w:rFonts w:ascii="楷体" w:eastAsia="楷体"/>
        </w:rPr>
      </w:pPr>
      <w:r>
        <w:rPr>
          <w:rFonts w:ascii="楷体" w:eastAsia="楷体" w:hint="eastAsia"/>
        </w:rPr>
        <w:t>隐藏的性别歧视：变化中的形象</w:t>
      </w:r>
    </w:p>
    <w:p w:rsidR="00000000" w:rsidRDefault="00000000">
      <w:pPr>
        <w:autoSpaceDE w:val="0"/>
        <w:autoSpaceDN w:val="0"/>
        <w:spacing w:after="240" w:line="400" w:lineRule="exact"/>
        <w:ind w:firstLine="425"/>
        <w:textAlignment w:val="bottom"/>
      </w:pPr>
      <w:r>
        <w:rPr>
          <w:rFonts w:hint="eastAsia"/>
        </w:rPr>
        <w:t>当局正试图以各种方式让更多公众了解有关性别陈旧定型看法的重要调查结果。其方式之一就是编写一本用实例说明陈旧定型看法问题的简易小册子。已在大范围内散发了这本小册子。</w:t>
      </w:r>
    </w:p>
    <w:p w:rsidR="00000000" w:rsidRDefault="00000000">
      <w:pPr>
        <w:autoSpaceDE w:val="0"/>
        <w:autoSpaceDN w:val="0"/>
        <w:spacing w:after="240" w:line="400" w:lineRule="exact"/>
        <w:textAlignment w:val="bottom"/>
        <w:rPr>
          <w:rFonts w:ascii="楷体" w:eastAsia="楷体"/>
        </w:rPr>
      </w:pPr>
      <w:r>
        <w:rPr>
          <w:rFonts w:ascii="楷体" w:eastAsia="楷体" w:hint="eastAsia"/>
        </w:rPr>
        <w:t>研究</w:t>
      </w:r>
    </w:p>
    <w:p w:rsidR="00000000" w:rsidRDefault="00000000">
      <w:pPr>
        <w:autoSpaceDE w:val="0"/>
        <w:autoSpaceDN w:val="0"/>
        <w:spacing w:after="240" w:line="400" w:lineRule="exact"/>
        <w:ind w:firstLine="480"/>
        <w:textAlignment w:val="bottom"/>
      </w:pPr>
      <w:r>
        <w:rPr>
          <w:rFonts w:hint="eastAsia"/>
        </w:rPr>
        <w:t>各种调查的结果大大有助于增加人们对‘隐藏的’性别歧视的存在以及这种歧视如何得以存在的了</w:t>
      </w:r>
      <w:r>
        <w:t xml:space="preserve">   </w:t>
      </w:r>
      <w:r>
        <w:rPr>
          <w:rFonts w:hint="eastAsia"/>
        </w:rPr>
        <w:t>解。</w:t>
      </w:r>
      <w:r>
        <w:rPr>
          <w:rStyle w:val="FootnoteReference"/>
        </w:rPr>
        <w:footnoteReference w:customMarkFollows="1" w:id="15"/>
        <w:t>13</w:t>
      </w:r>
      <w:r>
        <w:rPr>
          <w:rFonts w:hint="eastAsia"/>
        </w:rPr>
        <w:t>这些调查结果对于广大公众是重要的。为了确保公众真正了解情况，目前正在根据调查结果为决策者编写一个回顾文件。这份题为‘谬论和语言的误导应用’的回顾文件试图提醒读者注意‘性别中性’政策可能没有的陷阱。</w:t>
      </w:r>
    </w:p>
    <w:p w:rsidR="00000000" w:rsidRDefault="00000000">
      <w:pPr>
        <w:tabs>
          <w:tab w:val="left" w:pos="390"/>
        </w:tabs>
        <w:autoSpaceDE w:val="0"/>
        <w:autoSpaceDN w:val="0"/>
        <w:spacing w:after="240" w:line="400" w:lineRule="exact"/>
        <w:ind w:left="390" w:hanging="390"/>
        <w:textAlignment w:val="bottom"/>
        <w:rPr>
          <w:rFonts w:ascii="SimHei" w:eastAsia="SimHei"/>
          <w:sz w:val="24"/>
        </w:rPr>
      </w:pPr>
      <w:r>
        <w:rPr>
          <w:rFonts w:ascii="SimHei" w:eastAsia="SimHei"/>
          <w:sz w:val="24"/>
        </w:rPr>
        <w:t xml:space="preserve">4.  </w:t>
      </w:r>
      <w:r>
        <w:rPr>
          <w:rFonts w:ascii="SimHei" w:eastAsia="SimHei" w:hint="eastAsia"/>
          <w:sz w:val="24"/>
        </w:rPr>
        <w:t>荷兰解放政策是如何安排并得到支助的</w:t>
      </w:r>
    </w:p>
    <w:p w:rsidR="00000000" w:rsidRDefault="00000000">
      <w:pPr>
        <w:autoSpaceDE w:val="0"/>
        <w:autoSpaceDN w:val="0"/>
        <w:spacing w:after="240" w:line="400" w:lineRule="exact"/>
        <w:textAlignment w:val="bottom"/>
        <w:rPr>
          <w:rFonts w:ascii="楷体" w:eastAsia="楷体"/>
        </w:rPr>
      </w:pPr>
      <w:r>
        <w:rPr>
          <w:rFonts w:ascii="楷体" w:eastAsia="楷体" w:hint="eastAsia"/>
        </w:rPr>
        <w:t>全国性机构</w:t>
      </w:r>
    </w:p>
    <w:p w:rsidR="00000000" w:rsidRDefault="00000000">
      <w:pPr>
        <w:autoSpaceDE w:val="0"/>
        <w:autoSpaceDN w:val="0"/>
        <w:spacing w:after="240" w:line="400" w:lineRule="exact"/>
        <w:ind w:firstLine="425"/>
        <w:textAlignment w:val="bottom"/>
      </w:pPr>
      <w:r>
        <w:rPr>
          <w:rFonts w:hint="eastAsia"/>
        </w:rPr>
        <w:t>当局在制订政策和措施的工作中得到被称之为‘全国性机构’的帮助。当一个不断变化社会强化政策时，它自然会对这个全国性机构的运转产生影响。因此近年来在荷兰出现了各种重要的变化。</w:t>
      </w:r>
    </w:p>
    <w:p w:rsidR="00000000" w:rsidRDefault="00000000">
      <w:pPr>
        <w:autoSpaceDE w:val="0"/>
        <w:autoSpaceDN w:val="0"/>
        <w:spacing w:after="240" w:line="400" w:lineRule="exact"/>
        <w:ind w:firstLine="425"/>
        <w:textAlignment w:val="bottom"/>
      </w:pPr>
      <w:r>
        <w:rPr>
          <w:rFonts w:hint="eastAsia"/>
        </w:rPr>
        <w:t>解放政策的首要政治责任仍由社会和就业大臣承担，他（她）也是解放政策协调大臣。</w:t>
      </w:r>
      <w:r>
        <w:rPr>
          <w:rStyle w:val="FootnoteReference"/>
        </w:rPr>
        <w:footnoteReference w:customMarkFollows="1" w:id="16"/>
        <w:t>14</w:t>
      </w:r>
      <w:r>
        <w:rPr>
          <w:rFonts w:hint="eastAsia"/>
        </w:rPr>
        <w:t>这项责任来自整个政府对其全面政策所负共同责任，按照这项政策支出经费的各司的司长应对其本身的对解放政策有影响的政策各个方面承担责任。这个全国性机构的核心包括解放政策协调司、从</w:t>
      </w:r>
      <w:r>
        <w:t>1981</w:t>
      </w:r>
      <w:r>
        <w:rPr>
          <w:rFonts w:hint="eastAsia"/>
        </w:rPr>
        <w:t>年起该司已并入社会和就业部。这个单位的职能是为一致的解放政策拟订框架。它的作用是倡议、创新和协调。顾名思义，部际解放政策协调委员会负责协调政策，由解放政策和平等机会政策协调司司长领导。所有各部大臣均在该委员会有其代表，而且几乎都有一个内部协调机构，负责就与解放政策有关事项向有关大臣提供咨询，只要这些事项涉及该部的政策。这些机构的权力和实际影响在各部之间有所不同。这个全国性机构还包括平等待遇委员会，在前一节中已谈到这个委员会。</w:t>
      </w:r>
      <w:r>
        <w:t>1994</w:t>
      </w:r>
      <w:r>
        <w:rPr>
          <w:rFonts w:hint="eastAsia"/>
        </w:rPr>
        <w:t>年以来的一个变化是把议会常设解放政策委员会的职责转交给了议会常设社会和就业委员会。这一变化是下院目前对社会和经济政策中的解放政策问题更加重视的一个原因。</w:t>
      </w:r>
    </w:p>
    <w:p w:rsidR="00000000" w:rsidRDefault="00000000">
      <w:pPr>
        <w:autoSpaceDE w:val="0"/>
        <w:autoSpaceDN w:val="0"/>
        <w:spacing w:after="240" w:line="400" w:lineRule="exact"/>
        <w:ind w:firstLine="425"/>
        <w:textAlignment w:val="bottom"/>
      </w:pPr>
      <w:r>
        <w:rPr>
          <w:rFonts w:hint="eastAsia"/>
        </w:rPr>
        <w:t>解放委员会是在</w:t>
      </w:r>
      <w:r>
        <w:t>1997</w:t>
      </w:r>
      <w:r>
        <w:rPr>
          <w:rFonts w:hint="eastAsia"/>
        </w:rPr>
        <w:t>年其第四个四年任期结束时被取消的。上一届政府已决定作为其全面改组咨询机构系统的一部分取消这个委员会。取消该委员会的理由是</w:t>
      </w:r>
      <w:r>
        <w:t>90</w:t>
      </w:r>
      <w:r>
        <w:rPr>
          <w:rFonts w:hint="eastAsia"/>
        </w:rPr>
        <w:t>年代后期更适合的做法是把有关解放政策的咨询并入</w:t>
      </w:r>
      <w:r>
        <w:t>1997</w:t>
      </w:r>
      <w:r>
        <w:rPr>
          <w:rFonts w:hint="eastAsia"/>
        </w:rPr>
        <w:t>年</w:t>
      </w:r>
      <w:r>
        <w:t>1</w:t>
      </w:r>
      <w:r>
        <w:rPr>
          <w:rFonts w:hint="eastAsia"/>
        </w:rPr>
        <w:t>月生效的新咨询机构系统。应政府的要求解放委员会在</w:t>
      </w:r>
      <w:r>
        <w:t>1994</w:t>
      </w:r>
      <w:r>
        <w:rPr>
          <w:rFonts w:hint="eastAsia"/>
        </w:rPr>
        <w:t>年</w:t>
      </w:r>
      <w:r>
        <w:t>3</w:t>
      </w:r>
      <w:r>
        <w:rPr>
          <w:rFonts w:hint="eastAsia"/>
        </w:rPr>
        <w:t>月就其停止存在之后如何确保就解放问题提供咨询提出了建议。政府依据这些建议采取了下述三项基本政策：把有关解放问题的咨询并入新咨询系统：</w:t>
      </w:r>
    </w:p>
    <w:p w:rsidR="00000000" w:rsidRDefault="00000000">
      <w:pPr>
        <w:tabs>
          <w:tab w:val="left" w:pos="465"/>
        </w:tabs>
        <w:autoSpaceDE w:val="0"/>
        <w:autoSpaceDN w:val="0"/>
        <w:spacing w:after="240" w:line="400" w:lineRule="exact"/>
        <w:ind w:firstLine="425"/>
        <w:textAlignment w:val="bottom"/>
      </w:pPr>
      <w:r>
        <w:t>(a)</w:t>
      </w:r>
      <w:r>
        <w:tab/>
      </w:r>
      <w:r>
        <w:rPr>
          <w:rFonts w:hint="eastAsia"/>
        </w:rPr>
        <w:t>提供关于解放问题的咨询是每个咨询机构的日常职责；</w:t>
      </w:r>
    </w:p>
    <w:p w:rsidR="00000000" w:rsidRDefault="00000000">
      <w:pPr>
        <w:tabs>
          <w:tab w:val="left" w:pos="465"/>
        </w:tabs>
        <w:autoSpaceDE w:val="0"/>
        <w:autoSpaceDN w:val="0"/>
        <w:spacing w:after="240" w:line="400" w:lineRule="exact"/>
        <w:ind w:firstLine="425"/>
        <w:textAlignment w:val="bottom"/>
      </w:pPr>
      <w:r>
        <w:t>(b)</w:t>
      </w:r>
      <w:r>
        <w:tab/>
      </w:r>
      <w:r>
        <w:rPr>
          <w:rFonts w:hint="eastAsia"/>
        </w:rPr>
        <w:t>政府将保证有足够多的妇女参与对外咨询机构；</w:t>
      </w:r>
    </w:p>
    <w:p w:rsidR="00000000" w:rsidRDefault="00000000">
      <w:pPr>
        <w:tabs>
          <w:tab w:val="left" w:pos="465"/>
        </w:tabs>
        <w:autoSpaceDE w:val="0"/>
        <w:autoSpaceDN w:val="0"/>
        <w:spacing w:after="240" w:line="400" w:lineRule="exact"/>
        <w:ind w:firstLine="425"/>
        <w:textAlignment w:val="bottom"/>
      </w:pPr>
      <w:r>
        <w:t>(c)</w:t>
      </w:r>
      <w:r>
        <w:tab/>
      </w:r>
      <w:r>
        <w:rPr>
          <w:rFonts w:hint="eastAsia"/>
        </w:rPr>
        <w:t>将在有指导和有支助的情况下把关于解放问题的咨询并入新咨询系统。</w:t>
      </w:r>
    </w:p>
    <w:p w:rsidR="00000000" w:rsidRDefault="00000000">
      <w:pPr>
        <w:autoSpaceDE w:val="0"/>
        <w:autoSpaceDN w:val="0"/>
        <w:spacing w:after="240" w:line="400" w:lineRule="exact"/>
        <w:ind w:firstLine="425"/>
        <w:textAlignment w:val="bottom"/>
      </w:pPr>
      <w:r>
        <w:rPr>
          <w:rFonts w:hint="eastAsia"/>
        </w:rPr>
        <w:t>在</w:t>
      </w:r>
      <w:r>
        <w:t>1997</w:t>
      </w:r>
      <w:r>
        <w:rPr>
          <w:rFonts w:hint="eastAsia"/>
        </w:rPr>
        <w:t>年</w:t>
      </w:r>
      <w:r>
        <w:t>1</w:t>
      </w:r>
      <w:r>
        <w:rPr>
          <w:rFonts w:hint="eastAsia"/>
        </w:rPr>
        <w:t>月</w:t>
      </w:r>
      <w:r>
        <w:t>1</w:t>
      </w:r>
      <w:r>
        <w:rPr>
          <w:rFonts w:hint="eastAsia"/>
        </w:rPr>
        <w:t>日以前更多地强调了其中的第</w:t>
      </w:r>
      <w:r>
        <w:t>2</w:t>
      </w:r>
      <w:r>
        <w:rPr>
          <w:rFonts w:hint="eastAsia"/>
        </w:rPr>
        <w:t>项政策</w:t>
      </w:r>
      <w:r>
        <w:fldChar w:fldCharType="begin"/>
      </w:r>
      <w:r>
        <w:instrText>symbol 151 \f "Times New Roman"</w:instrText>
      </w:r>
      <w:r>
        <w:fldChar w:fldCharType="end"/>
      </w:r>
      <w:r>
        <w:rPr>
          <w:rFonts w:hint="eastAsia"/>
        </w:rPr>
        <w:t>保证有足够多妇女参与。其目的是在提供合格妇女侯选人的基础上实现比例代表制。在</w:t>
      </w:r>
      <w:r>
        <w:t>1993</w:t>
      </w:r>
      <w:r>
        <w:rPr>
          <w:rFonts w:hint="eastAsia"/>
        </w:rPr>
        <w:t>年即在审查咨询系统前不久，咨询机构的成员大约</w:t>
      </w:r>
      <w:r>
        <w:t>13%</w:t>
      </w:r>
      <w:r>
        <w:rPr>
          <w:rFonts w:hint="eastAsia"/>
        </w:rPr>
        <w:t>为妇女，但是在采用新系统后这个数字上升到了大约</w:t>
      </w:r>
      <w:r>
        <w:t>27%</w:t>
      </w:r>
      <w:r>
        <w:rPr>
          <w:rFonts w:hint="eastAsia"/>
        </w:rPr>
        <w:t>。如果将最近成立的咨询机构算在内，这个数字为</w:t>
      </w:r>
      <w:r>
        <w:t>45%</w:t>
      </w:r>
      <w:r>
        <w:rPr>
          <w:rFonts w:hint="eastAsia"/>
        </w:rPr>
        <w:t>。为了鼓励各个部都达到相同的高数字，内务大臣和解放政策协调大臣于</w:t>
      </w:r>
      <w:r>
        <w:t>1996</w:t>
      </w:r>
      <w:r>
        <w:rPr>
          <w:rFonts w:hint="eastAsia"/>
        </w:rPr>
        <w:t>年成立了一个一年期的咨询机构妇女服务组。</w:t>
      </w:r>
    </w:p>
    <w:p w:rsidR="00000000" w:rsidRDefault="00000000">
      <w:pPr>
        <w:autoSpaceDE w:val="0"/>
        <w:autoSpaceDN w:val="0"/>
        <w:spacing w:after="240" w:line="400" w:lineRule="exact"/>
        <w:ind w:firstLine="425"/>
        <w:textAlignment w:val="bottom"/>
      </w:pPr>
      <w:r>
        <w:rPr>
          <w:rFonts w:hint="eastAsia"/>
        </w:rPr>
        <w:t>政策（</w:t>
      </w:r>
      <w:r>
        <w:t>c</w:t>
      </w:r>
      <w:r>
        <w:rPr>
          <w:rFonts w:hint="eastAsia"/>
        </w:rPr>
        <w:t>）是通过成立一个监督把性别观点纳入新咨询系统的临时专家委员会来实施的。该委员会称为</w:t>
      </w:r>
      <w:r>
        <w:t>TECENA</w:t>
      </w:r>
      <w:r>
        <w:rPr>
          <w:rFonts w:hint="eastAsia"/>
        </w:rPr>
        <w:t>，它成立的最长期限是</w:t>
      </w:r>
      <w:r>
        <w:t>3</w:t>
      </w:r>
      <w:r>
        <w:rPr>
          <w:rFonts w:hint="eastAsia"/>
        </w:rPr>
        <w:t>年。它的职权范围是“协助确保新咨询系统中的咨询机构本身在提出建议时适当考虑到建议的政策中有关解放的问题”。为此它的职责包括：</w:t>
      </w:r>
    </w:p>
    <w:p w:rsidR="00000000" w:rsidRDefault="00000000">
      <w:pPr>
        <w:tabs>
          <w:tab w:val="left" w:pos="360"/>
        </w:tabs>
        <w:autoSpaceDE w:val="0"/>
        <w:autoSpaceDN w:val="0"/>
        <w:spacing w:after="240" w:line="400" w:lineRule="exact"/>
        <w:ind w:left="57" w:firstLine="425"/>
        <w:textAlignment w:val="bottom"/>
      </w:pPr>
      <w:r>
        <w:rPr>
          <w:rFonts w:hAnsi="Symbol"/>
        </w:rPr>
        <w:sym w:font="Wingdings" w:char="F09F"/>
      </w:r>
      <w:r>
        <w:rPr>
          <w:rFonts w:hAnsi="Symbol"/>
        </w:rPr>
        <w:tab/>
      </w:r>
      <w:r>
        <w:rPr>
          <w:rFonts w:hint="eastAsia"/>
        </w:rPr>
        <w:t>协助确保在征求意见时说明解放问题；</w:t>
      </w:r>
    </w:p>
    <w:p w:rsidR="00000000" w:rsidRDefault="00000000">
      <w:pPr>
        <w:tabs>
          <w:tab w:val="left" w:pos="360"/>
        </w:tabs>
        <w:autoSpaceDE w:val="0"/>
        <w:autoSpaceDN w:val="0"/>
        <w:spacing w:after="240" w:line="400" w:lineRule="exact"/>
        <w:ind w:left="57" w:firstLine="425"/>
        <w:textAlignment w:val="bottom"/>
      </w:pPr>
      <w:r>
        <w:rPr>
          <w:rFonts w:hAnsi="Symbol"/>
        </w:rPr>
        <w:sym w:font="Wingdings" w:char="F09F"/>
      </w:r>
      <w:r>
        <w:rPr>
          <w:rFonts w:hAnsi="Symbol"/>
        </w:rPr>
        <w:tab/>
      </w:r>
      <w:r>
        <w:rPr>
          <w:rFonts w:hint="eastAsia"/>
        </w:rPr>
        <w:t>就如何帮助其成员和工作人员获得有关解放问题的更多知识向有关机构提供咨询；</w:t>
      </w:r>
    </w:p>
    <w:p w:rsidR="00000000" w:rsidRDefault="00000000">
      <w:pPr>
        <w:tabs>
          <w:tab w:val="left" w:pos="360"/>
        </w:tabs>
        <w:autoSpaceDE w:val="0"/>
        <w:autoSpaceDN w:val="0"/>
        <w:spacing w:after="240" w:line="400" w:lineRule="exact"/>
        <w:ind w:left="57" w:firstLine="425"/>
        <w:textAlignment w:val="bottom"/>
      </w:pPr>
      <w:r>
        <w:rPr>
          <w:rFonts w:hAnsi="Symbol"/>
        </w:rPr>
        <w:sym w:font="Wingdings" w:char="F09F"/>
      </w:r>
      <w:r>
        <w:rPr>
          <w:rFonts w:hAnsi="Symbol"/>
        </w:rPr>
        <w:tab/>
      </w:r>
      <w:r>
        <w:rPr>
          <w:rFonts w:hint="eastAsia"/>
        </w:rPr>
        <w:t>协助确保对咨询机构任命时采取有效行动寻找适合的妇女人选，特别是那些妇女成员人数大大低于可获得的合格妇女人数的机构。</w:t>
      </w:r>
    </w:p>
    <w:p w:rsidR="00000000" w:rsidRDefault="00000000">
      <w:pPr>
        <w:autoSpaceDE w:val="0"/>
        <w:autoSpaceDN w:val="0"/>
        <w:spacing w:after="240" w:line="400" w:lineRule="exact"/>
        <w:ind w:firstLine="425"/>
        <w:textAlignment w:val="bottom"/>
      </w:pPr>
      <w:r>
        <w:rPr>
          <w:rFonts w:hint="eastAsia"/>
        </w:rPr>
        <w:t>鉴于解放委员会的咨询职责已转交给了每个单独的咨询机构，从</w:t>
      </w:r>
      <w:r>
        <w:t>1</w:t>
      </w:r>
      <w:r>
        <w:rPr>
          <w:rFonts w:hint="eastAsia"/>
        </w:rPr>
        <w:t>月</w:t>
      </w:r>
      <w:r>
        <w:t>1</w:t>
      </w:r>
      <w:r>
        <w:rPr>
          <w:rFonts w:hint="eastAsia"/>
        </w:rPr>
        <w:t>日起其作为专门评价中心的作用也大部交给了性别种族问题研究所（</w:t>
      </w:r>
      <w:r>
        <w:t>E-quality</w:t>
      </w:r>
      <w:r>
        <w:rPr>
          <w:rFonts w:hint="eastAsia"/>
        </w:rPr>
        <w:t>）。该研究所是四个政府资助解放问题专门评价中心合并后成立的。它所得到的补助比原来四个中心所得到的补助总数要多。论述解放支助政策的附件</w:t>
      </w:r>
      <w:r>
        <w:t>2</w:t>
      </w:r>
      <w:r>
        <w:rPr>
          <w:rFonts w:hint="eastAsia"/>
        </w:rPr>
        <w:t>更详细地说明了该所成立的原因。</w:t>
      </w:r>
    </w:p>
    <w:p w:rsidR="00000000" w:rsidRDefault="00000000">
      <w:pPr>
        <w:autoSpaceDE w:val="0"/>
        <w:autoSpaceDN w:val="0"/>
        <w:spacing w:after="240" w:line="400" w:lineRule="exact"/>
        <w:ind w:firstLine="425"/>
        <w:textAlignment w:val="bottom"/>
      </w:pPr>
      <w:r>
        <w:rPr>
          <w:rFonts w:hint="eastAsia"/>
        </w:rPr>
        <w:t>全国机构成立的一个非正式网络是少数民族妇女协商论坛，它是</w:t>
      </w:r>
      <w:r>
        <w:t>90</w:t>
      </w:r>
      <w:r>
        <w:rPr>
          <w:rFonts w:hint="eastAsia"/>
        </w:rPr>
        <w:t>年代初期成立的。由黑人、移民和难民妇女组织和机构的代表和四个政府相关的部的代表组成。这些定期协商会的目的本来是定期讨论提出的政策。在</w:t>
      </w:r>
      <w:r>
        <w:t>1997</w:t>
      </w:r>
      <w:r>
        <w:rPr>
          <w:rFonts w:hint="eastAsia"/>
        </w:rPr>
        <w:t>年一次内部评价之后，该协商论坛决定把力量更多地集中于尽力在早期阶段影响政府的政策，以确保政策更贴切地反映黑人、移民和难民妇女有关解放进程的愿望和需要。</w:t>
      </w:r>
    </w:p>
    <w:p w:rsidR="00000000" w:rsidRDefault="00000000">
      <w:pPr>
        <w:autoSpaceDE w:val="0"/>
        <w:autoSpaceDN w:val="0"/>
        <w:spacing w:after="240" w:line="400" w:lineRule="exact"/>
        <w:textAlignment w:val="bottom"/>
        <w:rPr>
          <w:rFonts w:ascii="楷体" w:eastAsia="楷体"/>
        </w:rPr>
      </w:pPr>
      <w:r>
        <w:rPr>
          <w:rFonts w:ascii="楷体" w:eastAsia="楷体" w:hint="eastAsia"/>
        </w:rPr>
        <w:t>支助解放政策</w:t>
      </w:r>
    </w:p>
    <w:p w:rsidR="00000000" w:rsidRDefault="00000000">
      <w:pPr>
        <w:autoSpaceDE w:val="0"/>
        <w:autoSpaceDN w:val="0"/>
        <w:spacing w:after="240" w:line="400" w:lineRule="exact"/>
        <w:ind w:firstLine="425"/>
        <w:textAlignment w:val="bottom"/>
      </w:pPr>
      <w:r>
        <w:rPr>
          <w:rFonts w:hint="eastAsia"/>
        </w:rPr>
        <w:t>政府认识到，为支助解放政策建立有效的组织结构是重要而必须的。在其有关这个主题的近期政策文件中，政府表明它继续为此提供财政支持的办法。</w:t>
      </w:r>
      <w:r>
        <w:rPr>
          <w:rStyle w:val="FootnoteReference"/>
        </w:rPr>
        <w:footnoteReference w:customMarkFollows="1" w:id="17"/>
        <w:t>15</w:t>
      </w:r>
      <w:r>
        <w:rPr>
          <w:rFonts w:hint="eastAsia"/>
        </w:rPr>
        <w:t>解放政策协调大臣已为此目的在</w:t>
      </w:r>
      <w:r>
        <w:t>1998</w:t>
      </w:r>
      <w:r>
        <w:rPr>
          <w:rFonts w:hint="eastAsia"/>
        </w:rPr>
        <w:t>年拨出</w:t>
      </w:r>
      <w:r>
        <w:t>1220</w:t>
      </w:r>
      <w:r>
        <w:rPr>
          <w:rFonts w:hint="eastAsia"/>
        </w:rPr>
        <w:t>万荷兰盾，在</w:t>
      </w:r>
      <w:r>
        <w:t>1999</w:t>
      </w:r>
      <w:r>
        <w:rPr>
          <w:rFonts w:hint="eastAsia"/>
        </w:rPr>
        <w:t>年拨出了</w:t>
      </w:r>
      <w:r>
        <w:t>1300</w:t>
      </w:r>
      <w:r>
        <w:rPr>
          <w:rFonts w:hint="eastAsia"/>
        </w:rPr>
        <w:t>万荷兰盾。除了对多年期的项目、活动和机构给予补贴之外这些数额还包括提供一次性短期补贴。解放政策协调司的一个新补贴计划也在</w:t>
      </w:r>
      <w:r>
        <w:t>1998</w:t>
      </w:r>
      <w:r>
        <w:rPr>
          <w:rFonts w:hint="eastAsia"/>
        </w:rPr>
        <w:t>年</w:t>
      </w:r>
      <w:r>
        <w:t>1</w:t>
      </w:r>
      <w:r>
        <w:rPr>
          <w:rFonts w:hint="eastAsia"/>
        </w:rPr>
        <w:t>月</w:t>
      </w:r>
      <w:r>
        <w:t>1</w:t>
      </w:r>
      <w:r>
        <w:rPr>
          <w:rFonts w:hint="eastAsia"/>
        </w:rPr>
        <w:t>日生效。这个计划将取代根据</w:t>
      </w:r>
      <w:r>
        <w:t>1989</w:t>
      </w:r>
      <w:r>
        <w:rPr>
          <w:rFonts w:hint="eastAsia"/>
        </w:rPr>
        <w:t>年支助政策的政策文件采用的提供补贴的方法。直接引起这一变化的因素是实行了新的一般行政法以及发现提供补助的现行制度不符合社会和就业部实行的一般补贴计划。但是既然发生上述的社会变革也就有必要审查补贴计划。象以往的计划一样，新补贴计划为向小规模和新的主动行动提供财政捐款创造了机会。该计划为提供仍然必要的额外鼓励打下基础，尽管事实上在一些领域性别观念正在逐渐纳入经常决策过程。按照该计划，仍然有可能向为解放进程做出积极贡献的私人主动行动提供补助。</w:t>
      </w:r>
    </w:p>
    <w:p w:rsidR="00000000" w:rsidRDefault="00000000">
      <w:pPr>
        <w:autoSpaceDE w:val="0"/>
        <w:autoSpaceDN w:val="0"/>
        <w:spacing w:after="240" w:line="400" w:lineRule="exact"/>
        <w:ind w:firstLine="425"/>
        <w:textAlignment w:val="bottom"/>
      </w:pPr>
      <w:r>
        <w:rPr>
          <w:rFonts w:hint="eastAsia"/>
        </w:rPr>
        <w:t>提供补助的标准是提议的活动应有全国性影响，是创新性的或预期在社会上对解放进程和政策增加支持的。给予补贴的其他标准是这些活动在多大程度上：</w:t>
      </w:r>
    </w:p>
    <w:p w:rsidR="00000000" w:rsidRDefault="00000000">
      <w:pPr>
        <w:tabs>
          <w:tab w:val="left" w:pos="465"/>
        </w:tabs>
        <w:autoSpaceDE w:val="0"/>
        <w:autoSpaceDN w:val="0"/>
        <w:spacing w:after="240" w:line="400" w:lineRule="exact"/>
        <w:ind w:firstLine="425"/>
        <w:textAlignment w:val="bottom"/>
      </w:pPr>
      <w:r>
        <w:t>(a)</w:t>
      </w:r>
      <w:r>
        <w:tab/>
      </w:r>
      <w:r>
        <w:rPr>
          <w:rFonts w:hint="eastAsia"/>
        </w:rPr>
        <w:t>与社会和就业部预算中每年规定的解放政策当前主题相一致；</w:t>
      </w:r>
    </w:p>
    <w:p w:rsidR="00000000" w:rsidRDefault="00000000">
      <w:pPr>
        <w:tabs>
          <w:tab w:val="left" w:pos="465"/>
        </w:tabs>
        <w:autoSpaceDE w:val="0"/>
        <w:autoSpaceDN w:val="0"/>
        <w:spacing w:after="240" w:line="400" w:lineRule="exact"/>
        <w:ind w:firstLine="425"/>
        <w:textAlignment w:val="bottom"/>
      </w:pPr>
      <w:r>
        <w:t>(b)</w:t>
      </w:r>
      <w:r>
        <w:tab/>
      </w:r>
      <w:r>
        <w:rPr>
          <w:rFonts w:hint="eastAsia"/>
        </w:rPr>
        <w:t>对多样性会增强社会质量的政策做出贡献；为此目的应使男女有可能参与生活不同领域（工作、照管、社会和政治决策）；</w:t>
      </w:r>
    </w:p>
    <w:p w:rsidR="00000000" w:rsidRDefault="00000000">
      <w:pPr>
        <w:tabs>
          <w:tab w:val="left" w:pos="465"/>
        </w:tabs>
        <w:autoSpaceDE w:val="0"/>
        <w:autoSpaceDN w:val="0"/>
        <w:spacing w:after="240" w:line="400" w:lineRule="exact"/>
        <w:ind w:firstLine="425"/>
        <w:textAlignment w:val="bottom"/>
      </w:pPr>
      <w:r>
        <w:t>(c)</w:t>
      </w:r>
      <w:r>
        <w:tab/>
      </w:r>
      <w:r>
        <w:rPr>
          <w:rFonts w:hint="eastAsia"/>
        </w:rPr>
        <w:t>有助于在社会上产生对解放的支持。</w:t>
      </w:r>
    </w:p>
    <w:p w:rsidR="00000000" w:rsidRDefault="00000000">
      <w:pPr>
        <w:autoSpaceDE w:val="0"/>
        <w:autoSpaceDN w:val="0"/>
        <w:spacing w:after="240" w:line="400" w:lineRule="exact"/>
        <w:ind w:firstLine="425"/>
        <w:textAlignment w:val="bottom"/>
      </w:pPr>
      <w:r>
        <w:rPr>
          <w:rFonts w:hint="eastAsia"/>
        </w:rPr>
        <w:t>由于权力下放的进展，各省和市将在确定和落实解放政策目标方面发挥更大的作用。它们履行自己职责的一种方法就是为解放办事处提供经费。解放政策协调大臣在今后几年里将采取措施，促进协调中央政府和省政府协会及荷兰地方政府联盟之间的解放政策。近年来还为协调本国和国际解放政策做了大量工作。在欧洲一级欧洲联盟发挥了重要作用（另见第四章）。此外，将更集中注意遵守诸如联合国《妇女公约》之类的国际条约以及实施诸如第四次妇女问题世界会议期间缔结的《北京行动纲要》之类的国际协定。</w:t>
      </w:r>
    </w:p>
    <w:p w:rsidR="00000000" w:rsidRDefault="00000000">
      <w:pPr>
        <w:autoSpaceDE w:val="0"/>
        <w:autoSpaceDN w:val="0"/>
        <w:spacing w:after="240" w:line="400" w:lineRule="exact"/>
        <w:textAlignment w:val="bottom"/>
        <w:rPr>
          <w:rFonts w:ascii="楷体" w:eastAsia="楷体"/>
        </w:rPr>
      </w:pPr>
      <w:r>
        <w:rPr>
          <w:rFonts w:ascii="楷体" w:eastAsia="楷体" w:hint="eastAsia"/>
        </w:rPr>
        <w:t>受补助的全国性机构</w:t>
      </w:r>
    </w:p>
    <w:p w:rsidR="00000000" w:rsidRDefault="00000000">
      <w:pPr>
        <w:autoSpaceDE w:val="0"/>
        <w:autoSpaceDN w:val="0"/>
        <w:spacing w:after="240" w:line="400" w:lineRule="exact"/>
        <w:ind w:firstLine="425"/>
        <w:textAlignment w:val="bottom"/>
      </w:pPr>
      <w:r>
        <w:t>1995</w:t>
      </w:r>
      <w:r>
        <w:rPr>
          <w:rFonts w:hint="eastAsia"/>
        </w:rPr>
        <w:t>年出版了受解放政策协调大臣委托编写的‘从妇女运动主动行动到解放知识中心’的研究报告。该报告的结论是，对妇女运动产生的主动行动的支助最初关心的是提高人们的认识，后来在很大程度上着重游说活动，它已导致创建专门知识中心。这些中心主要起四种作用：</w:t>
      </w:r>
      <w:r>
        <w:rPr>
          <w:rStyle w:val="FootnoteReference"/>
        </w:rPr>
        <w:footnoteReference w:customMarkFollows="1" w:id="18"/>
        <w:t>16</w:t>
      </w:r>
    </w:p>
    <w:p w:rsidR="00000000" w:rsidRDefault="00000000">
      <w:pPr>
        <w:tabs>
          <w:tab w:val="left" w:pos="390"/>
        </w:tabs>
        <w:autoSpaceDE w:val="0"/>
        <w:autoSpaceDN w:val="0"/>
        <w:spacing w:after="240" w:line="400" w:lineRule="exact"/>
        <w:ind w:firstLine="425"/>
        <w:textAlignment w:val="bottom"/>
      </w:pPr>
      <w:r>
        <w:t>1.</w:t>
      </w:r>
      <w:r>
        <w:tab/>
      </w:r>
      <w:r>
        <w:rPr>
          <w:rFonts w:hint="eastAsia"/>
        </w:rPr>
        <w:t>开发（或协助开发）新产品。</w:t>
      </w:r>
    </w:p>
    <w:p w:rsidR="00000000" w:rsidRDefault="00000000">
      <w:pPr>
        <w:tabs>
          <w:tab w:val="left" w:pos="390"/>
        </w:tabs>
        <w:autoSpaceDE w:val="0"/>
        <w:autoSpaceDN w:val="0"/>
        <w:spacing w:after="240" w:line="400" w:lineRule="exact"/>
        <w:ind w:firstLine="425"/>
        <w:textAlignment w:val="bottom"/>
      </w:pPr>
      <w:r>
        <w:t>2.</w:t>
      </w:r>
      <w:r>
        <w:tab/>
      </w:r>
      <w:r>
        <w:rPr>
          <w:rFonts w:hint="eastAsia"/>
        </w:rPr>
        <w:t>提供现有信息和从受益对象中找到信号；</w:t>
      </w:r>
    </w:p>
    <w:p w:rsidR="00000000" w:rsidRDefault="00000000">
      <w:pPr>
        <w:tabs>
          <w:tab w:val="left" w:pos="390"/>
        </w:tabs>
        <w:autoSpaceDE w:val="0"/>
        <w:autoSpaceDN w:val="0"/>
        <w:spacing w:after="240" w:line="400" w:lineRule="exact"/>
        <w:ind w:firstLine="425"/>
        <w:textAlignment w:val="bottom"/>
      </w:pPr>
      <w:r>
        <w:t>3.</w:t>
      </w:r>
      <w:r>
        <w:tab/>
      </w:r>
      <w:r>
        <w:rPr>
          <w:rFonts w:hint="eastAsia"/>
        </w:rPr>
        <w:t>寻找社会和政治支助；</w:t>
      </w:r>
    </w:p>
    <w:p w:rsidR="00000000" w:rsidRDefault="00000000">
      <w:pPr>
        <w:tabs>
          <w:tab w:val="left" w:pos="390"/>
        </w:tabs>
        <w:autoSpaceDE w:val="0"/>
        <w:autoSpaceDN w:val="0"/>
        <w:spacing w:after="240" w:line="400" w:lineRule="exact"/>
        <w:ind w:firstLine="425"/>
        <w:textAlignment w:val="bottom"/>
      </w:pPr>
      <w:r>
        <w:t>4.</w:t>
      </w:r>
      <w:r>
        <w:tab/>
      </w:r>
      <w:r>
        <w:rPr>
          <w:rFonts w:hint="eastAsia"/>
        </w:rPr>
        <w:t>对政策施加影响（直接或间接）。</w:t>
      </w:r>
    </w:p>
    <w:p w:rsidR="00000000" w:rsidRDefault="00000000">
      <w:pPr>
        <w:autoSpaceDE w:val="0"/>
        <w:autoSpaceDN w:val="0"/>
        <w:spacing w:after="240" w:line="400" w:lineRule="exact"/>
        <w:ind w:firstLine="425"/>
        <w:textAlignment w:val="bottom"/>
      </w:pPr>
      <w:r>
        <w:rPr>
          <w:rFonts w:hint="eastAsia"/>
        </w:rPr>
        <w:t>所有中心都发挥了第</w:t>
      </w:r>
      <w:r>
        <w:t>3</w:t>
      </w:r>
      <w:r>
        <w:rPr>
          <w:rFonts w:hint="eastAsia"/>
        </w:rPr>
        <w:t>和第</w:t>
      </w:r>
      <w:r>
        <w:t>4</w:t>
      </w:r>
      <w:r>
        <w:rPr>
          <w:rFonts w:hint="eastAsia"/>
        </w:rPr>
        <w:t>种作用。开发新产品的中心（第</w:t>
      </w:r>
      <w:r>
        <w:t>1</w:t>
      </w:r>
      <w:r>
        <w:rPr>
          <w:rFonts w:hint="eastAsia"/>
        </w:rPr>
        <w:t>种作用）分为两类：</w:t>
      </w:r>
    </w:p>
    <w:p w:rsidR="00000000" w:rsidRDefault="00000000">
      <w:pPr>
        <w:tabs>
          <w:tab w:val="left" w:pos="495"/>
        </w:tabs>
        <w:autoSpaceDE w:val="0"/>
        <w:autoSpaceDN w:val="0"/>
        <w:spacing w:after="240" w:line="400" w:lineRule="exact"/>
        <w:ind w:firstLine="425"/>
        <w:textAlignment w:val="bottom"/>
      </w:pPr>
      <w:r>
        <w:t>(a)</w:t>
      </w:r>
      <w:r>
        <w:tab/>
      </w:r>
      <w:r>
        <w:rPr>
          <w:rFonts w:hint="eastAsia"/>
        </w:rPr>
        <w:t>一般专门知识中心如性别种族问题研究所，就性别和种族问题提供咨询；</w:t>
      </w:r>
      <w:r>
        <w:t>Clara Wichmann</w:t>
      </w:r>
      <w:r>
        <w:rPr>
          <w:rFonts w:hint="eastAsia"/>
        </w:rPr>
        <w:t>研究所，专攻法律问题以及全国性各省和大城市解放办事处网络；</w:t>
      </w:r>
    </w:p>
    <w:p w:rsidR="00000000" w:rsidRDefault="00000000">
      <w:pPr>
        <w:tabs>
          <w:tab w:val="left" w:pos="495"/>
        </w:tabs>
        <w:autoSpaceDE w:val="0"/>
        <w:autoSpaceDN w:val="0"/>
        <w:spacing w:after="240" w:line="400" w:lineRule="exact"/>
        <w:ind w:firstLine="425"/>
        <w:textAlignment w:val="bottom"/>
      </w:pPr>
      <w:r>
        <w:t>(b)</w:t>
      </w:r>
      <w:r>
        <w:tab/>
      </w:r>
      <w:r>
        <w:rPr>
          <w:rFonts w:hint="eastAsia"/>
        </w:rPr>
        <w:t>注重某一特殊主题的中心或一个特定部门如</w:t>
      </w:r>
      <w:r>
        <w:t>Transat</w:t>
      </w:r>
      <w:r>
        <w:rPr>
          <w:rFonts w:hint="eastAsia"/>
        </w:rPr>
        <w:t>，它专门提供与性别问题有关的帮助；商业机会，它在商业各级支持公司任用更多妇女以及</w:t>
      </w:r>
      <w:r>
        <w:t>Toplink</w:t>
      </w:r>
      <w:r>
        <w:rPr>
          <w:rFonts w:hint="eastAsia"/>
        </w:rPr>
        <w:t>，它是担任高层管理职务的妇女的数据库。</w:t>
      </w:r>
    </w:p>
    <w:p w:rsidR="00000000" w:rsidRDefault="00000000">
      <w:pPr>
        <w:autoSpaceDE w:val="0"/>
        <w:autoSpaceDN w:val="0"/>
        <w:spacing w:after="240" w:line="400" w:lineRule="exact"/>
        <w:ind w:firstLine="425"/>
        <w:textAlignment w:val="bottom"/>
      </w:pPr>
      <w:r>
        <w:rPr>
          <w:rFonts w:hint="eastAsia"/>
        </w:rPr>
        <w:t>致力于提供信息和发现问题（第</w:t>
      </w:r>
      <w:r>
        <w:t>2</w:t>
      </w:r>
      <w:r>
        <w:rPr>
          <w:rFonts w:hint="eastAsia"/>
        </w:rPr>
        <w:t>种作用）的组织和机构也可分成两类：</w:t>
      </w:r>
    </w:p>
    <w:p w:rsidR="00000000" w:rsidRDefault="00000000">
      <w:pPr>
        <w:tabs>
          <w:tab w:val="left" w:pos="465"/>
        </w:tabs>
        <w:autoSpaceDE w:val="0"/>
        <w:autoSpaceDN w:val="0"/>
        <w:spacing w:after="240" w:line="400" w:lineRule="exact"/>
        <w:ind w:firstLine="425"/>
        <w:textAlignment w:val="bottom"/>
      </w:pPr>
      <w:r>
        <w:t>(a)</w:t>
      </w:r>
      <w:r>
        <w:tab/>
      </w:r>
      <w:r>
        <w:rPr>
          <w:rFonts w:hint="eastAsia"/>
        </w:rPr>
        <w:t>一般组织，如国际信息中心和妇女运动档案馆；</w:t>
      </w:r>
    </w:p>
    <w:p w:rsidR="00000000" w:rsidRDefault="00000000">
      <w:pPr>
        <w:tabs>
          <w:tab w:val="left" w:pos="465"/>
        </w:tabs>
        <w:autoSpaceDE w:val="0"/>
        <w:autoSpaceDN w:val="0"/>
        <w:spacing w:after="240" w:line="400" w:lineRule="exact"/>
        <w:ind w:firstLine="425"/>
        <w:textAlignment w:val="bottom"/>
      </w:pPr>
      <w:r>
        <w:t>(b)</w:t>
      </w:r>
      <w:r>
        <w:tab/>
      </w:r>
      <w:r>
        <w:rPr>
          <w:rFonts w:hint="eastAsia"/>
        </w:rPr>
        <w:t>某些专题或部门的总括组织，例如妇女联盟、全国妇女委员会、</w:t>
      </w:r>
      <w:r>
        <w:t>TIYE</w:t>
      </w:r>
      <w:r>
        <w:rPr>
          <w:rFonts w:hint="eastAsia"/>
        </w:rPr>
        <w:t>国际、农村妇女组织、难民组织和荷兰发展机构妇女委员会。</w:t>
      </w:r>
    </w:p>
    <w:p w:rsidR="00000000" w:rsidRDefault="00000000">
      <w:pPr>
        <w:autoSpaceDE w:val="0"/>
        <w:autoSpaceDN w:val="0"/>
        <w:spacing w:after="240" w:line="400" w:lineRule="exact"/>
        <w:ind w:firstLine="425"/>
        <w:textAlignment w:val="bottom"/>
      </w:pPr>
      <w:r>
        <w:rPr>
          <w:rFonts w:hint="eastAsia"/>
        </w:rPr>
        <w:t>附件</w:t>
      </w:r>
      <w:r>
        <w:t>2</w:t>
      </w:r>
      <w:r>
        <w:rPr>
          <w:rFonts w:hint="eastAsia"/>
        </w:rPr>
        <w:t>提供关于每个中心更详细的信息。</w:t>
      </w:r>
    </w:p>
    <w:p w:rsidR="00000000" w:rsidRDefault="00000000">
      <w:pPr>
        <w:autoSpaceDE w:val="0"/>
        <w:autoSpaceDN w:val="0"/>
        <w:spacing w:after="240" w:line="400" w:lineRule="exact"/>
        <w:ind w:firstLine="425"/>
        <w:textAlignment w:val="bottom"/>
      </w:pPr>
      <w:r>
        <w:rPr>
          <w:rFonts w:hint="eastAsia"/>
        </w:rPr>
        <w:t>通过审查部分国家机构，确定新的支助解放政策并确保解放问题的咨询已纳入新的主流政策咨询系统，政府为实施北京第四次妇女问题世界会议期间在北京清楚阐明的政策</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即应当更加强调执行政策和为政策提供支助</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创造了条件。</w:t>
      </w:r>
    </w:p>
    <w:p w:rsidR="00000000" w:rsidRDefault="00000000">
      <w:pPr>
        <w:tabs>
          <w:tab w:val="left" w:pos="840"/>
        </w:tabs>
        <w:autoSpaceDE w:val="0"/>
        <w:autoSpaceDN w:val="0"/>
        <w:spacing w:after="240" w:line="400" w:lineRule="exact"/>
        <w:ind w:left="840" w:hanging="840"/>
        <w:textAlignment w:val="bottom"/>
        <w:rPr>
          <w:rFonts w:ascii="SimHei" w:eastAsia="SimHei"/>
          <w:sz w:val="28"/>
        </w:rPr>
      </w:pPr>
      <w:r>
        <w:br w:type="page"/>
      </w:r>
      <w:r>
        <w:rPr>
          <w:rFonts w:ascii="SimHei" w:eastAsia="SimHei" w:hint="eastAsia"/>
          <w:sz w:val="28"/>
        </w:rPr>
        <w:t>第三章</w:t>
      </w:r>
      <w:r>
        <w:rPr>
          <w:rFonts w:ascii="SimHei" w:eastAsia="SimHei"/>
          <w:sz w:val="28"/>
        </w:rPr>
        <w:tab/>
        <w:t xml:space="preserve">  </w:t>
      </w:r>
      <w:r>
        <w:rPr>
          <w:rFonts w:ascii="SimHei" w:eastAsia="SimHei" w:hint="eastAsia"/>
          <w:sz w:val="28"/>
        </w:rPr>
        <w:t>第</w:t>
      </w:r>
      <w:r>
        <w:rPr>
          <w:rFonts w:ascii="SimHei" w:eastAsia="SimHei"/>
          <w:sz w:val="28"/>
        </w:rPr>
        <w:t>3</w:t>
      </w:r>
      <w:r>
        <w:rPr>
          <w:rFonts w:ascii="SimHei" w:eastAsia="SimHei" w:hint="eastAsia"/>
          <w:sz w:val="28"/>
        </w:rPr>
        <w:t>条：人权和基本自由</w:t>
      </w:r>
    </w:p>
    <w:p w:rsidR="00000000" w:rsidRDefault="00000000">
      <w:pPr>
        <w:autoSpaceDE w:val="0"/>
        <w:autoSpaceDN w:val="0"/>
        <w:spacing w:after="240" w:line="400" w:lineRule="exact"/>
        <w:ind w:firstLine="425"/>
        <w:textAlignment w:val="bottom"/>
      </w:pPr>
      <w:r>
        <w:rPr>
          <w:rFonts w:hint="eastAsia"/>
        </w:rPr>
        <w:t>为了专门获得有关防止和打击对妇女施暴和由于个人性倾向引起的暴力的信息，本报告中使用了论述人权和基本自由的《妇女公约》第</w:t>
      </w:r>
      <w:r>
        <w:t>3</w:t>
      </w:r>
      <w:r>
        <w:rPr>
          <w:rFonts w:hint="eastAsia"/>
        </w:rPr>
        <w:t>条。例如，一个由联合国特别报告员编写的有关对妇女施暴的研究报告表明，针对妇女的身体、性和心理暴力在全世界是一种普遍而严重的现象。它包括了所有可能的暴力形式，如强奸和其他性虐待和性骚扰、贩卖妇女（见第</w:t>
      </w:r>
      <w:r>
        <w:t>4</w:t>
      </w:r>
      <w:r>
        <w:rPr>
          <w:rFonts w:hint="eastAsia"/>
        </w:rPr>
        <w:t>章）和强迫卖淫、身体虐待、家庭暴力、违反性和生殖权以及武装冲突中对妇女的暴力。建议</w:t>
      </w:r>
      <w:r>
        <w:t>19</w:t>
      </w:r>
      <w:r>
        <w:rPr>
          <w:rFonts w:hint="eastAsia"/>
        </w:rPr>
        <w:t>和《北京行动纲要》也使用这条有关暴力的广泛使用的定义，荷兰已批准该行动纲要。因此本报告关于这个主题的部分比上一个报告的相应部分更为详尽，上一个报告仅述及对妇女和女孩的性暴力（在第</w:t>
      </w:r>
      <w:r>
        <w:t>2</w:t>
      </w:r>
      <w:r>
        <w:rPr>
          <w:rFonts w:hint="eastAsia"/>
        </w:rPr>
        <w:t>条补编中）。</w:t>
      </w:r>
    </w:p>
    <w:p w:rsidR="00000000" w:rsidRDefault="00000000">
      <w:pPr>
        <w:autoSpaceDE w:val="0"/>
        <w:autoSpaceDN w:val="0"/>
        <w:spacing w:after="240" w:line="400" w:lineRule="exact"/>
        <w:textAlignment w:val="bottom"/>
        <w:rPr>
          <w:rFonts w:ascii="SimHei" w:eastAsia="SimHei"/>
          <w:sz w:val="24"/>
        </w:rPr>
      </w:pPr>
      <w:r>
        <w:rPr>
          <w:rFonts w:ascii="SimHei" w:eastAsia="SimHei" w:hint="eastAsia"/>
          <w:sz w:val="24"/>
        </w:rPr>
        <w:t>第一级：目前状况和立法措施</w:t>
      </w:r>
    </w:p>
    <w:p w:rsidR="00000000" w:rsidRDefault="00000000">
      <w:pPr>
        <w:autoSpaceDE w:val="0"/>
        <w:autoSpaceDN w:val="0"/>
        <w:spacing w:after="240" w:line="400" w:lineRule="exact"/>
        <w:textAlignment w:val="bottom"/>
        <w:rPr>
          <w:rFonts w:ascii="SimHei" w:eastAsia="SimHei"/>
        </w:rPr>
      </w:pPr>
      <w:r>
        <w:rPr>
          <w:rFonts w:ascii="SimHei" w:eastAsia="SimHei"/>
        </w:rPr>
        <w:t>1</w:t>
      </w:r>
      <w:r>
        <w:rPr>
          <w:rFonts w:ascii="SimHei" w:eastAsia="SimHei" w:hint="eastAsia"/>
        </w:rPr>
        <w:t>（</w:t>
      </w:r>
      <w:r>
        <w:rPr>
          <w:rFonts w:ascii="SimHei" w:eastAsia="SimHei"/>
        </w:rPr>
        <w:t>a</w:t>
      </w:r>
      <w:r>
        <w:rPr>
          <w:rFonts w:ascii="SimHei" w:eastAsia="SimHei" w:hint="eastAsia"/>
        </w:rPr>
        <w:t>）</w:t>
      </w:r>
      <w:r>
        <w:rPr>
          <w:rFonts w:ascii="SimHei" w:eastAsia="SimHei"/>
        </w:rPr>
        <w:t xml:space="preserve">  </w:t>
      </w:r>
      <w:r>
        <w:rPr>
          <w:rFonts w:ascii="SimHei" w:eastAsia="SimHei" w:hint="eastAsia"/>
        </w:rPr>
        <w:t>目前状况</w:t>
      </w:r>
    </w:p>
    <w:p w:rsidR="00000000" w:rsidRDefault="00000000">
      <w:pPr>
        <w:autoSpaceDE w:val="0"/>
        <w:autoSpaceDN w:val="0"/>
        <w:spacing w:after="240" w:line="400" w:lineRule="exact"/>
        <w:ind w:firstLine="425"/>
        <w:textAlignment w:val="bottom"/>
      </w:pPr>
      <w:r>
        <w:rPr>
          <w:rFonts w:hint="eastAsia"/>
        </w:rPr>
        <w:t>在荷兰象在其他地方一样对妇女施暴事件大量发生。到受虐待妇女之家寻求避难的绝大多数妇女都是遭受性暴力。这些妇女几乎有一半来自移民家庭。在</w:t>
      </w:r>
      <w:r>
        <w:t>1995</w:t>
      </w:r>
      <w:r>
        <w:rPr>
          <w:rFonts w:hint="eastAsia"/>
        </w:rPr>
        <w:t>年大约</w:t>
      </w:r>
      <w:r>
        <w:t>47000</w:t>
      </w:r>
      <w:r>
        <w:rPr>
          <w:rFonts w:hint="eastAsia"/>
        </w:rPr>
        <w:t>名妇女寻求了不同类型受虐待妇女机构的帮助。</w:t>
      </w:r>
    </w:p>
    <w:p w:rsidR="00000000" w:rsidRDefault="00000000">
      <w:pPr>
        <w:autoSpaceDE w:val="0"/>
        <w:autoSpaceDN w:val="0"/>
        <w:spacing w:after="240" w:line="400" w:lineRule="exact"/>
        <w:ind w:firstLine="425"/>
        <w:textAlignment w:val="bottom"/>
      </w:pPr>
      <w:r>
        <w:rPr>
          <w:rFonts w:hint="eastAsia"/>
        </w:rPr>
        <w:t>荷兰政府希望确保把打击暴力的措施更坚定地纳入旨在保卫妇女人权的法律和政策。因此它赞成采用联合国《妇女公约》任择议定书中的个人控拆权。荷兰政府正在国际一级积极工作以确保执行该议定书。在国家一级它已在预防和打击对妇女施暴方面获得大量知识和经验。由于下一个举动将涉及首先加强政策提案的实施，荷兰政府目前正在拟订一个部际行动计划以预防和打击对妇女施暴。这个行动计划将涉及社会和就业部、卫生、福利和体育部、教育、文化和科学部、内务部、外交部和司法部。这个办法将特别集中致力于预防、提供信息、对暴力案件的调查和起诉、向受害者提供支持和援助以及最后进行政策协调和交流。各个开支经费的大臣也向议会提出了自己的政策建议。它们包括关于卫生、教育、援助、体育、警察和刑事司法部门的提案和法案。以下各节将逐一进行论述。</w:t>
      </w:r>
    </w:p>
    <w:p w:rsidR="00000000" w:rsidRDefault="00000000">
      <w:pPr>
        <w:autoSpaceDE w:val="0"/>
        <w:autoSpaceDN w:val="0"/>
        <w:spacing w:after="240" w:line="400" w:lineRule="exact"/>
        <w:ind w:firstLine="425"/>
        <w:textAlignment w:val="bottom"/>
      </w:pPr>
      <w:r>
        <w:rPr>
          <w:rFonts w:hint="eastAsia"/>
        </w:rPr>
        <w:t>荷兰继续在国际上竭力要求承认从妇女和女孩的角度看待的性和生殖权。在荷兰本国这意着正在努力实现一种人人都可在平等的基础上参与社会所有各种领域，无论他们的性倾向如何。同性恋女子的特殊需求是同性解放政策的一个特定方面，正在由卫生、福利和体育大臣对此加以协调。</w:t>
      </w:r>
    </w:p>
    <w:p w:rsidR="00000000" w:rsidRDefault="00000000">
      <w:pPr>
        <w:autoSpaceDE w:val="0"/>
        <w:autoSpaceDN w:val="0"/>
        <w:spacing w:after="240" w:line="400" w:lineRule="exact"/>
        <w:textAlignment w:val="bottom"/>
        <w:rPr>
          <w:rFonts w:ascii="SimHei" w:eastAsia="SimHei"/>
        </w:rPr>
      </w:pPr>
      <w:r>
        <w:rPr>
          <w:rFonts w:ascii="SimHei" w:eastAsia="SimHei"/>
        </w:rPr>
        <w:br w:type="page"/>
        <w:t xml:space="preserve">1(b)  </w:t>
      </w:r>
      <w:r>
        <w:rPr>
          <w:rFonts w:ascii="SimHei" w:eastAsia="SimHei" w:hint="eastAsia"/>
        </w:rPr>
        <w:t>立法措施</w:t>
      </w:r>
    </w:p>
    <w:p w:rsidR="00000000" w:rsidRDefault="00000000">
      <w:pPr>
        <w:autoSpaceDE w:val="0"/>
        <w:autoSpaceDN w:val="0"/>
        <w:spacing w:after="240" w:line="400" w:lineRule="exact"/>
        <w:textAlignment w:val="bottom"/>
        <w:rPr>
          <w:rFonts w:ascii="楷体" w:eastAsia="楷体"/>
        </w:rPr>
      </w:pPr>
      <w:r>
        <w:rPr>
          <w:rFonts w:ascii="楷体" w:eastAsia="楷体" w:hint="eastAsia"/>
        </w:rPr>
        <w:t>婚内强奸</w:t>
      </w:r>
    </w:p>
    <w:p w:rsidR="00000000" w:rsidRDefault="00000000">
      <w:pPr>
        <w:autoSpaceDE w:val="0"/>
        <w:autoSpaceDN w:val="0"/>
        <w:spacing w:after="240" w:line="400" w:lineRule="exact"/>
        <w:ind w:firstLine="425"/>
        <w:textAlignment w:val="bottom"/>
      </w:pPr>
      <w:r>
        <w:rPr>
          <w:rFonts w:hint="eastAsia"/>
        </w:rPr>
        <w:t>当</w:t>
      </w:r>
      <w:r>
        <w:t>1991</w:t>
      </w:r>
      <w:r>
        <w:rPr>
          <w:rFonts w:hint="eastAsia"/>
        </w:rPr>
        <w:t>年经修改的有关性攻击的立法生效时，荷兰刑法典采用了“性深入”这个概念。荷兰最高法院决定对强奸采用广泛的解释：即有关性的任何形式的强迫进入。</w:t>
      </w:r>
      <w:r>
        <w:t>1991</w:t>
      </w:r>
      <w:r>
        <w:rPr>
          <w:rFonts w:hint="eastAsia"/>
        </w:rPr>
        <w:t>年婚内强奸成了犯罪，有关强奸的条款中删去了“通奸”这个词。</w:t>
      </w:r>
    </w:p>
    <w:p w:rsidR="00000000" w:rsidRDefault="00000000">
      <w:pPr>
        <w:autoSpaceDE w:val="0"/>
        <w:autoSpaceDN w:val="0"/>
        <w:spacing w:after="240" w:line="400" w:lineRule="exact"/>
        <w:textAlignment w:val="bottom"/>
        <w:rPr>
          <w:rFonts w:ascii="楷体" w:eastAsia="楷体"/>
        </w:rPr>
      </w:pPr>
      <w:r>
        <w:rPr>
          <w:rFonts w:ascii="楷体" w:eastAsia="楷体" w:hint="eastAsia"/>
        </w:rPr>
        <w:t>儿童色情读物</w:t>
      </w:r>
    </w:p>
    <w:p w:rsidR="00000000" w:rsidRDefault="00000000">
      <w:pPr>
        <w:autoSpaceDE w:val="0"/>
        <w:autoSpaceDN w:val="0"/>
        <w:spacing w:after="240" w:line="400" w:lineRule="exact"/>
        <w:ind w:firstLine="425"/>
        <w:textAlignment w:val="bottom"/>
      </w:pPr>
      <w:r>
        <w:rPr>
          <w:rFonts w:hint="eastAsia"/>
        </w:rPr>
        <w:t>儿童色情读物法在</w:t>
      </w:r>
      <w:r>
        <w:t>1996</w:t>
      </w:r>
      <w:r>
        <w:rPr>
          <w:rFonts w:hint="eastAsia"/>
        </w:rPr>
        <w:t>年</w:t>
      </w:r>
      <w:r>
        <w:t>2</w:t>
      </w:r>
      <w:r>
        <w:rPr>
          <w:rFonts w:hint="eastAsia"/>
        </w:rPr>
        <w:t>月</w:t>
      </w:r>
      <w:r>
        <w:t>1</w:t>
      </w:r>
      <w:r>
        <w:rPr>
          <w:rFonts w:hint="eastAsia"/>
        </w:rPr>
        <w:t>日生效，后来公共检察部门颁布了一个指导方针。该立法的中心特点是保护未成年人不受性虐待。为此目的修订了刑法典第</w:t>
      </w:r>
      <w:r>
        <w:t>240b</w:t>
      </w:r>
      <w:r>
        <w:rPr>
          <w:rFonts w:hint="eastAsia"/>
        </w:rPr>
        <w:t>条。传播和（或）公开展示不满</w:t>
      </w:r>
      <w:r>
        <w:t>16</w:t>
      </w:r>
      <w:r>
        <w:rPr>
          <w:rFonts w:hint="eastAsia"/>
        </w:rPr>
        <w:t>岁人员的性形象的课刑增加到初犯四年，重犯六年。或者课以最高</w:t>
      </w:r>
      <w:r>
        <w:t>10</w:t>
      </w:r>
      <w:r>
        <w:rPr>
          <w:rFonts w:hint="eastAsia"/>
        </w:rPr>
        <w:t>万荷兰盾罚款。</w:t>
      </w:r>
    </w:p>
    <w:p w:rsidR="00000000" w:rsidRDefault="00000000">
      <w:pPr>
        <w:autoSpaceDE w:val="0"/>
        <w:autoSpaceDN w:val="0"/>
        <w:spacing w:after="240" w:line="400" w:lineRule="exact"/>
        <w:textAlignment w:val="bottom"/>
        <w:rPr>
          <w:rFonts w:ascii="楷体" w:eastAsia="楷体"/>
        </w:rPr>
      </w:pPr>
      <w:r>
        <w:rPr>
          <w:rFonts w:ascii="楷体" w:eastAsia="楷体"/>
        </w:rPr>
        <w:t>Terwee</w:t>
      </w:r>
      <w:r>
        <w:rPr>
          <w:rFonts w:ascii="楷体" w:eastAsia="楷体" w:hint="eastAsia"/>
        </w:rPr>
        <w:t>法</w:t>
      </w:r>
    </w:p>
    <w:p w:rsidR="00000000" w:rsidRDefault="00000000">
      <w:pPr>
        <w:autoSpaceDE w:val="0"/>
        <w:autoSpaceDN w:val="0"/>
        <w:spacing w:after="240" w:line="400" w:lineRule="exact"/>
        <w:ind w:firstLine="425"/>
        <w:textAlignment w:val="bottom"/>
      </w:pPr>
      <w:r>
        <w:t>1995</w:t>
      </w:r>
      <w:r>
        <w:rPr>
          <w:rFonts w:hint="eastAsia"/>
        </w:rPr>
        <w:t>年</w:t>
      </w:r>
      <w:r>
        <w:t>4</w:t>
      </w:r>
      <w:r>
        <w:rPr>
          <w:rFonts w:hint="eastAsia"/>
        </w:rPr>
        <w:t>月</w:t>
      </w:r>
      <w:r>
        <w:t>1</w:t>
      </w:r>
      <w:r>
        <w:rPr>
          <w:rFonts w:hint="eastAsia"/>
        </w:rPr>
        <w:t>日开始实施</w:t>
      </w:r>
      <w:r>
        <w:t>Terwee</w:t>
      </w:r>
      <w:r>
        <w:rPr>
          <w:rFonts w:hint="eastAsia"/>
        </w:rPr>
        <w:t>法，从而大大改变了受害者在刑事诉讼中的地位。</w:t>
      </w:r>
      <w:r>
        <w:rPr>
          <w:rStyle w:val="FootnoteReference"/>
        </w:rPr>
        <w:footnoteReference w:customMarkFollows="1" w:id="19"/>
        <w:t>17</w:t>
      </w:r>
      <w:r>
        <w:rPr>
          <w:rFonts w:hint="eastAsia"/>
        </w:rPr>
        <w:t>作为刑事诉讼程序一部分的对金钱和非金钱损失和伤害获得补偿的范围大大扩大了。为实施</w:t>
      </w:r>
      <w:r>
        <w:t>Terwee</w:t>
      </w:r>
      <w:r>
        <w:rPr>
          <w:rFonts w:hint="eastAsia"/>
        </w:rPr>
        <w:t>法而采用的《受害者护理指南》的基本标准是警察和公共检察部门应始终合理考虑到受害者在获得受害者支助方面的利益。</w:t>
      </w:r>
    </w:p>
    <w:p w:rsidR="00000000" w:rsidRDefault="00000000">
      <w:pPr>
        <w:autoSpaceDE w:val="0"/>
        <w:autoSpaceDN w:val="0"/>
        <w:spacing w:after="240" w:line="400" w:lineRule="exact"/>
        <w:textAlignment w:val="bottom"/>
        <w:rPr>
          <w:rFonts w:ascii="楷体" w:eastAsia="楷体"/>
        </w:rPr>
      </w:pPr>
      <w:r>
        <w:rPr>
          <w:rFonts w:ascii="楷体" w:eastAsia="楷体" w:hint="eastAsia"/>
        </w:rPr>
        <w:t>劳动条件法和性骚扰</w:t>
      </w:r>
    </w:p>
    <w:p w:rsidR="00000000" w:rsidRDefault="00000000">
      <w:pPr>
        <w:autoSpaceDE w:val="0"/>
        <w:autoSpaceDN w:val="0"/>
        <w:spacing w:after="240" w:line="400" w:lineRule="exact"/>
        <w:ind w:firstLine="425"/>
        <w:textAlignment w:val="bottom"/>
      </w:pPr>
      <w:r>
        <w:t>1994</w:t>
      </w:r>
      <w:r>
        <w:rPr>
          <w:rFonts w:hint="eastAsia"/>
        </w:rPr>
        <w:t>年</w:t>
      </w:r>
      <w:r>
        <w:t>10</w:t>
      </w:r>
      <w:r>
        <w:rPr>
          <w:rFonts w:hint="eastAsia"/>
        </w:rPr>
        <w:t>月在《劳动条件法》中增加了一条款，责成雇主尽可能保护雇员在劳动场所免受性骚扰并不受这种骚扰的不利后果影响。该条款的措辞使雇主不得不遵循一种有关性骚扰的政策。立法者明确决定不规定这一政策的形式和内容。但是性骚扰必须纳入雇主按照这部新法有义务进行的风险分析和评价之中。这就要求雇主列出无法避免的风险和特殊类别员工可能遇到的任何特别风险。每位雇员都应能够核查这个风险分析和评价。该法含有一条款，规定必须在其生效后五年内把“该法的实际效力和作用”告知议会。</w:t>
      </w:r>
    </w:p>
    <w:p w:rsidR="00000000" w:rsidRDefault="00000000">
      <w:pPr>
        <w:autoSpaceDE w:val="0"/>
        <w:autoSpaceDN w:val="0"/>
        <w:spacing w:after="240" w:line="400" w:lineRule="exact"/>
        <w:ind w:firstLine="425"/>
        <w:textAlignment w:val="bottom"/>
      </w:pPr>
      <w:r>
        <w:rPr>
          <w:rFonts w:hint="eastAsia"/>
        </w:rPr>
        <w:t>就有关性倾向自由的立法而言，可以提到上述第</w:t>
      </w:r>
      <w:r>
        <w:t>2</w:t>
      </w:r>
      <w:r>
        <w:rPr>
          <w:rFonts w:hint="eastAsia"/>
        </w:rPr>
        <w:t>章中对《平等待遇法》的论述和论述登记伙伴关系、儿童监护及收养的第</w:t>
      </w:r>
      <w:r>
        <w:t>12</w:t>
      </w:r>
      <w:r>
        <w:rPr>
          <w:rFonts w:hint="eastAsia"/>
        </w:rPr>
        <w:t>章。</w:t>
      </w:r>
    </w:p>
    <w:p w:rsidR="00000000" w:rsidRDefault="00000000">
      <w:pPr>
        <w:autoSpaceDE w:val="0"/>
        <w:autoSpaceDN w:val="0"/>
        <w:spacing w:after="240" w:line="400" w:lineRule="exact"/>
        <w:textAlignment w:val="bottom"/>
        <w:rPr>
          <w:rFonts w:ascii="SimHei" w:eastAsia="SimHei"/>
          <w:sz w:val="24"/>
        </w:rPr>
      </w:pPr>
      <w:r>
        <w:rPr>
          <w:rFonts w:ascii="SimHei" w:eastAsia="SimHei"/>
          <w:sz w:val="24"/>
        </w:rPr>
        <w:br w:type="page"/>
      </w:r>
      <w:r>
        <w:rPr>
          <w:rFonts w:ascii="SimHei" w:eastAsia="SimHei" w:hint="eastAsia"/>
          <w:sz w:val="24"/>
        </w:rPr>
        <w:t>第二级：走向多样性</w:t>
      </w:r>
    </w:p>
    <w:p w:rsidR="00000000" w:rsidRDefault="00000000">
      <w:pPr>
        <w:autoSpaceDE w:val="0"/>
        <w:autoSpaceDN w:val="0"/>
        <w:spacing w:after="240" w:line="400" w:lineRule="exact"/>
        <w:ind w:firstLine="425"/>
        <w:textAlignment w:val="bottom"/>
      </w:pPr>
      <w:r>
        <w:rPr>
          <w:rFonts w:hint="eastAsia"/>
        </w:rPr>
        <w:t>近年来开展了各种评价。</w:t>
      </w:r>
      <w:r>
        <w:t>1995</w:t>
      </w:r>
      <w:r>
        <w:rPr>
          <w:rFonts w:hint="eastAsia"/>
        </w:rPr>
        <w:t>年对荷兰在</w:t>
      </w:r>
      <w:r>
        <w:t>1991-1995</w:t>
      </w:r>
      <w:r>
        <w:rPr>
          <w:rFonts w:hint="eastAsia"/>
        </w:rPr>
        <w:t>年期间的打击性暴力政策进行评价。这次评价的主要结论如下：</w:t>
      </w:r>
    </w:p>
    <w:p w:rsidR="00000000" w:rsidRDefault="00000000">
      <w:pPr>
        <w:autoSpaceDE w:val="0"/>
        <w:autoSpaceDN w:val="0"/>
        <w:spacing w:after="240" w:line="400" w:lineRule="exact"/>
        <w:ind w:firstLine="425"/>
        <w:textAlignment w:val="bottom"/>
      </w:pPr>
      <w:r>
        <w:t xml:space="preserve">*  </w:t>
      </w:r>
      <w:r>
        <w:rPr>
          <w:rFonts w:hint="eastAsia"/>
        </w:rPr>
        <w:t>在全国范围内对帮助的潜在需求的估计数与实际提供帮助的数量（包括对受害妇女的支持）之间有很大差距。</w:t>
      </w:r>
    </w:p>
    <w:p w:rsidR="00000000" w:rsidRDefault="00000000">
      <w:pPr>
        <w:autoSpaceDE w:val="0"/>
        <w:autoSpaceDN w:val="0"/>
        <w:spacing w:after="240" w:line="400" w:lineRule="exact"/>
        <w:ind w:firstLine="425"/>
        <w:textAlignment w:val="bottom"/>
      </w:pPr>
      <w:r>
        <w:t xml:space="preserve">*  </w:t>
      </w:r>
      <w:r>
        <w:rPr>
          <w:rFonts w:hint="eastAsia"/>
        </w:rPr>
        <w:t>某些类别的受害者得不到足够的帮助。移民、身体残疾者和妇女吸毒者尤其如此。</w:t>
      </w:r>
    </w:p>
    <w:p w:rsidR="00000000" w:rsidRDefault="00000000">
      <w:pPr>
        <w:autoSpaceDE w:val="0"/>
        <w:autoSpaceDN w:val="0"/>
        <w:spacing w:after="240" w:line="400" w:lineRule="exact"/>
        <w:ind w:firstLine="425"/>
        <w:textAlignment w:val="bottom"/>
      </w:pPr>
      <w:r>
        <w:t xml:space="preserve">*  </w:t>
      </w:r>
      <w:r>
        <w:rPr>
          <w:rFonts w:hint="eastAsia"/>
        </w:rPr>
        <w:t>有关现场工作的职业培训课程在结构上仍然不够注意性暴力。</w:t>
      </w:r>
    </w:p>
    <w:p w:rsidR="00000000" w:rsidRDefault="00000000">
      <w:pPr>
        <w:autoSpaceDE w:val="0"/>
        <w:autoSpaceDN w:val="0"/>
        <w:spacing w:after="240" w:line="400" w:lineRule="exact"/>
        <w:ind w:firstLine="425"/>
        <w:textAlignment w:val="bottom"/>
      </w:pPr>
      <w:r>
        <w:t xml:space="preserve">*  </w:t>
      </w:r>
      <w:r>
        <w:rPr>
          <w:rFonts w:hint="eastAsia"/>
        </w:rPr>
        <w:t>尽管已采取了预防措施，但仍需要有关这一主题的更加协调一致的政策。</w:t>
      </w:r>
    </w:p>
    <w:p w:rsidR="00000000" w:rsidRDefault="00000000">
      <w:pPr>
        <w:autoSpaceDE w:val="0"/>
        <w:autoSpaceDN w:val="0"/>
        <w:spacing w:after="240" w:line="400" w:lineRule="exact"/>
        <w:ind w:firstLine="425"/>
        <w:textAlignment w:val="bottom"/>
      </w:pPr>
      <w:r>
        <w:t>1996</w:t>
      </w:r>
      <w:r>
        <w:rPr>
          <w:rFonts w:hint="eastAsia"/>
        </w:rPr>
        <w:t>年</w:t>
      </w:r>
      <w:r>
        <w:t>11</w:t>
      </w:r>
      <w:r>
        <w:rPr>
          <w:rFonts w:hint="eastAsia"/>
        </w:rPr>
        <w:t>月卫生、福利和体育大臣向议会下院提交了她对这次评价结果的看法和建议。下一步的政策是集中力量促进对在这个领域所提倡议的结构性实施。这项工作包括拟订文件以防止性暴力并促进向受害者提供足够的帮助。预防的一个方面应是更多注意性暴力罪犯。其他重要方面是集累实地经验、向全国性的社会工作组织提供补助以及进行更多的研究。</w:t>
      </w:r>
    </w:p>
    <w:p w:rsidR="00000000" w:rsidRDefault="00000000">
      <w:pPr>
        <w:autoSpaceDE w:val="0"/>
        <w:autoSpaceDN w:val="0"/>
        <w:spacing w:after="240" w:line="400" w:lineRule="exact"/>
        <w:ind w:firstLine="425"/>
        <w:textAlignment w:val="bottom"/>
      </w:pPr>
      <w:r>
        <w:rPr>
          <w:rFonts w:hint="eastAsia"/>
        </w:rPr>
        <w:t>为了向性暴力受害者提供更多帮助，从</w:t>
      </w:r>
      <w:r>
        <w:t>1997</w:t>
      </w:r>
      <w:r>
        <w:rPr>
          <w:rFonts w:hint="eastAsia"/>
        </w:rPr>
        <w:t>年至今已向区域门诊精神病保健机构拨出了</w:t>
      </w:r>
      <w:r>
        <w:t>200</w:t>
      </w:r>
      <w:r>
        <w:rPr>
          <w:rFonts w:hint="eastAsia"/>
        </w:rPr>
        <w:t>万荷兰盾的额外款项。这些机构如果提交一份表明它们能够满足提供帮助的要求（就质量和数量而言）的行动计划，它们可以得到部分资金。</w:t>
      </w:r>
    </w:p>
    <w:p w:rsidR="00000000" w:rsidRDefault="00000000">
      <w:pPr>
        <w:autoSpaceDE w:val="0"/>
        <w:autoSpaceDN w:val="0"/>
        <w:spacing w:after="240" w:line="400" w:lineRule="exact"/>
        <w:ind w:firstLine="425"/>
        <w:textAlignment w:val="bottom"/>
      </w:pPr>
      <w:r>
        <w:rPr>
          <w:rFonts w:hint="eastAsia"/>
        </w:rPr>
        <w:t>为了给执行过程提供更多鼓励，</w:t>
      </w:r>
      <w:r>
        <w:t>TransAct</w:t>
      </w:r>
      <w:r>
        <w:rPr>
          <w:rFonts w:hint="eastAsia"/>
        </w:rPr>
        <w:t>（荷兰性别保健创新和打击性暴力中心）将在四年内起“催化剂”作用。它有四项主要任务：促进区域合作、努力确保在职业培训课程中在结构上重视性暴力问题、提交政策质量以及加强受害者的作用。为此也为这它保留了额外资金来源。还为另一个称为</w:t>
      </w:r>
      <w:r>
        <w:t>Zorg Onderzoek Nederland</w:t>
      </w:r>
      <w:r>
        <w:rPr>
          <w:rFonts w:hint="eastAsia"/>
        </w:rPr>
        <w:t>的机构拨出三年期资金设立一个协调一致的研究与发展方案。</w:t>
      </w:r>
    </w:p>
    <w:p w:rsidR="00000000" w:rsidRDefault="00000000">
      <w:pPr>
        <w:autoSpaceDE w:val="0"/>
        <w:autoSpaceDN w:val="0"/>
        <w:spacing w:after="240" w:line="400" w:lineRule="exact"/>
        <w:ind w:firstLine="425"/>
        <w:textAlignment w:val="bottom"/>
      </w:pPr>
      <w:r>
        <w:rPr>
          <w:rFonts w:hint="eastAsia"/>
        </w:rPr>
        <w:t>中央政府支助包括妇女在内的受难者的政策是为了帮助那些自愿或被迫离家出走，在社会上无法自卫（暂时或非暂时）的人们。为了满足需求应当加强这些机构的能力。最近已决定为此提供额外经费。</w:t>
      </w:r>
    </w:p>
    <w:p w:rsidR="00000000" w:rsidRDefault="00000000">
      <w:pPr>
        <w:autoSpaceDE w:val="0"/>
        <w:autoSpaceDN w:val="0"/>
        <w:spacing w:after="240" w:line="400" w:lineRule="exact"/>
        <w:ind w:firstLine="425"/>
        <w:textAlignment w:val="bottom"/>
      </w:pPr>
      <w:r>
        <w:rPr>
          <w:rFonts w:hint="eastAsia"/>
        </w:rPr>
        <w:t>教育、文化和科学大臣已在学校采取了防止性暴力的政策措施。在其一份名为“安全学校”的政策文件中该部强调儿童只有在安全的环境中才能表现良好。学校本身必须努力创造一种安全氛围，因此应采取措施防止对男孩和女孩的性骚扰。教育国务秘书最近向议会下院提出了一个在学校防止性骚扰的措施：它要求怀疑有性骚扰的每个教育机构都把性骚扰作为“刑事犯罪嫌疑”向警察局报告。这是对现有防止性骚扰措施的补充。例如，在《劳动条件法》中已增加了一项这类措施，按照这项规定主管当局（即市立学校的市政当局和私立学校的校董会）和校长有责任采取措施保护学生和员工不受性骚扰及其后果的影响。</w:t>
      </w:r>
      <w:r>
        <w:t>1992</w:t>
      </w:r>
      <w:r>
        <w:rPr>
          <w:rFonts w:hint="eastAsia"/>
        </w:rPr>
        <w:t>年以来要求每个主管当局有一个防止和打击对教师性骚扰的方案。教育督察员在</w:t>
      </w:r>
      <w:r>
        <w:t>1996</w:t>
      </w:r>
      <w:r>
        <w:rPr>
          <w:rFonts w:hint="eastAsia"/>
        </w:rPr>
        <w:t>年进行的一次调查揭示这种控告方案在教育系统尚未广泛使用。</w:t>
      </w:r>
    </w:p>
    <w:p w:rsidR="00000000" w:rsidRDefault="00000000">
      <w:pPr>
        <w:autoSpaceDE w:val="0"/>
        <w:autoSpaceDN w:val="0"/>
        <w:spacing w:after="240" w:line="400" w:lineRule="exact"/>
        <w:ind w:firstLine="425"/>
        <w:textAlignment w:val="bottom"/>
      </w:pPr>
      <w:r>
        <w:t>1997</w:t>
      </w:r>
      <w:r>
        <w:rPr>
          <w:rFonts w:hint="eastAsia"/>
        </w:rPr>
        <w:t>年</w:t>
      </w:r>
      <w:r>
        <w:t>10</w:t>
      </w:r>
      <w:r>
        <w:rPr>
          <w:rFonts w:hint="eastAsia"/>
        </w:rPr>
        <w:t>月公布了一个题为《家庭暴力》的报告。</w:t>
      </w:r>
      <w:r>
        <w:rPr>
          <w:rStyle w:val="FootnoteReference"/>
        </w:rPr>
        <w:footnoteReference w:customMarkFollows="1" w:id="20"/>
        <w:t>18</w:t>
      </w:r>
      <w:r>
        <w:rPr>
          <w:rFonts w:hint="eastAsia"/>
        </w:rPr>
        <w:t>该报告载有受司法部委托进行的一次调查的结果。它可看成是对现有调查的补充，对从</w:t>
      </w:r>
      <w:r>
        <w:t>18</w:t>
      </w:r>
      <w:r>
        <w:rPr>
          <w:rFonts w:hint="eastAsia"/>
        </w:rPr>
        <w:t>岁到</w:t>
      </w:r>
      <w:r>
        <w:t>70</w:t>
      </w:r>
      <w:r>
        <w:rPr>
          <w:rFonts w:hint="eastAsia"/>
        </w:rPr>
        <w:t>岁的男子进行了访问。由于对家庭暴力有更广的定义，受益群体扩大了，百分比也比过去调查有所增加。在调查中暴力定义为侵犯个人完整性，为此目的对精神和身体暴力进行了区别（后者包括性暴力）。大多数受害者都在青轻时（</w:t>
      </w:r>
      <w:r>
        <w:t>10-25</w:t>
      </w:r>
      <w:r>
        <w:rPr>
          <w:rFonts w:hint="eastAsia"/>
        </w:rPr>
        <w:t>岁）受到过身体、精神和性家庭暴力的迫害。性暴力受害者的</w:t>
      </w:r>
      <w:r>
        <w:t>45%</w:t>
      </w:r>
      <w:r>
        <w:rPr>
          <w:rFonts w:hint="eastAsia"/>
        </w:rPr>
        <w:t>第一次受害是在</w:t>
      </w:r>
      <w:r>
        <w:t>18</w:t>
      </w:r>
      <w:r>
        <w:rPr>
          <w:rFonts w:hint="eastAsia"/>
        </w:rPr>
        <w:t>岁以前。男子（特别是</w:t>
      </w:r>
      <w:r>
        <w:t>10-20</w:t>
      </w:r>
      <w:r>
        <w:rPr>
          <w:rFonts w:hint="eastAsia"/>
        </w:rPr>
        <w:t>岁年龄组男孩）比同龄组女孩更有可能成为家庭暴力身体形式的受害者。妇女特别容易成为家庭暴力性行为的受害者。男女遭受精神暴力的百分比差别不大。妇女比男子更易成为多次暴力的受害者（即长时间内经常的暴力造成身体伤害及其他后果）。</w:t>
      </w:r>
      <w:r>
        <w:t>80%</w:t>
      </w:r>
      <w:r>
        <w:rPr>
          <w:rFonts w:hint="eastAsia"/>
        </w:rPr>
        <w:t>的案例中家庭暴力的施暴者为男子。一般来说，犯罪者与受害人的关系越近，家庭暴力的次数就越多。</w:t>
      </w:r>
      <w:r>
        <w:t>20%</w:t>
      </w:r>
      <w:r>
        <w:rPr>
          <w:rFonts w:hint="eastAsia"/>
        </w:rPr>
        <w:t>的受害者说他不敢谈这种暴力。其主要原因是感到耻辱和罪恶。三分之二寻求医生或组织帮助的人认为他们得到理解。他们的一半报告说他们已从这种帮助中获益。受害者对暴力的抵抗似乎也有帮助。试图采取行动反抗施暴者</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劝说，寻求当局帮助，回击或其他行动</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的受害者一半以上报告说，暴力被制止了。所有这些形式的家庭暴力事件中有</w:t>
      </w:r>
      <w:r>
        <w:t>12%</w:t>
      </w:r>
      <w:r>
        <w:rPr>
          <w:rFonts w:hint="eastAsia"/>
        </w:rPr>
        <w:t>报告了警察局。有</w:t>
      </w:r>
      <w:r>
        <w:t>6%</w:t>
      </w:r>
      <w:r>
        <w:rPr>
          <w:rFonts w:hint="eastAsia"/>
        </w:rPr>
        <w:t>的案例编入了警察局的官方报告。这次调查的结果将在未来政策中加以考虑。</w:t>
      </w:r>
    </w:p>
    <w:p w:rsidR="00000000" w:rsidRDefault="00000000">
      <w:pPr>
        <w:autoSpaceDE w:val="0"/>
        <w:autoSpaceDN w:val="0"/>
        <w:spacing w:after="240" w:line="400" w:lineRule="exact"/>
        <w:textAlignment w:val="bottom"/>
        <w:rPr>
          <w:rFonts w:ascii="楷体" w:eastAsia="楷体"/>
        </w:rPr>
      </w:pPr>
      <w:r>
        <w:rPr>
          <w:rFonts w:ascii="楷体" w:eastAsia="楷体" w:hint="eastAsia"/>
        </w:rPr>
        <w:t>妇女人权</w:t>
      </w:r>
      <w:r>
        <w:rPr>
          <w:rFonts w:ascii="楷体" w:eastAsia="楷体"/>
        </w:rPr>
        <w:t>50</w:t>
      </w:r>
      <w:r>
        <w:rPr>
          <w:rFonts w:ascii="楷体" w:eastAsia="楷体" w:hint="eastAsia"/>
        </w:rPr>
        <w:t>年</w:t>
      </w:r>
    </w:p>
    <w:p w:rsidR="00000000" w:rsidRDefault="00000000">
      <w:pPr>
        <w:autoSpaceDE w:val="0"/>
        <w:autoSpaceDN w:val="0"/>
        <w:spacing w:after="240" w:line="400" w:lineRule="exact"/>
        <w:ind w:firstLine="425"/>
        <w:textAlignment w:val="bottom"/>
      </w:pPr>
      <w:r>
        <w:t>1997</w:t>
      </w:r>
      <w:r>
        <w:rPr>
          <w:rFonts w:hint="eastAsia"/>
        </w:rPr>
        <w:t>年</w:t>
      </w:r>
      <w:r>
        <w:t>12</w:t>
      </w:r>
      <w:r>
        <w:rPr>
          <w:rFonts w:hint="eastAsia"/>
        </w:rPr>
        <w:t>月</w:t>
      </w:r>
      <w:r>
        <w:t>10</w:t>
      </w:r>
      <w:r>
        <w:rPr>
          <w:rFonts w:hint="eastAsia"/>
        </w:rPr>
        <w:t>日（人权日）在海牙举行了一个讨论预防和制止对妇女施暴的方法和园桌会议。</w:t>
      </w:r>
      <w:r>
        <w:t>50</w:t>
      </w:r>
      <w:r>
        <w:rPr>
          <w:rFonts w:hint="eastAsia"/>
        </w:rPr>
        <w:t>位来自预防领域、警察和司法、援助和支助机构以及地方政府的决策者、专家和专业人员在一起讨论了今后的政策。会议向司法大臣和平等机会协调大臣提出了关于拟订一个行动计划的建议。这些建议不仅基于对以往政策的研究和经验，而且也基于各地的“好做法”。研究表明，妨碍制订和执行政策的主要障碍是需要所有各层的协调与合作。</w:t>
      </w:r>
    </w:p>
    <w:p w:rsidR="00000000" w:rsidRDefault="00000000">
      <w:pPr>
        <w:autoSpaceDE w:val="0"/>
        <w:autoSpaceDN w:val="0"/>
        <w:spacing w:after="240" w:line="400" w:lineRule="exact"/>
        <w:ind w:firstLine="425"/>
        <w:textAlignment w:val="bottom"/>
      </w:pPr>
      <w:r>
        <w:rPr>
          <w:rFonts w:hint="eastAsia"/>
        </w:rPr>
        <w:t>按照解放政策协调大臣和外交大臣的提议，已把该园桌会议的结果提交给了</w:t>
      </w:r>
      <w:r>
        <w:t>1998</w:t>
      </w:r>
      <w:r>
        <w:rPr>
          <w:rFonts w:hint="eastAsia"/>
        </w:rPr>
        <w:t>年</w:t>
      </w:r>
      <w:r>
        <w:t>2</w:t>
      </w:r>
      <w:r>
        <w:rPr>
          <w:rFonts w:hint="eastAsia"/>
        </w:rPr>
        <w:t>月在海牙召开的一个国际专家会议，把它作为庆祝《世界人权宣言》通过</w:t>
      </w:r>
      <w:r>
        <w:t>50</w:t>
      </w:r>
      <w:r>
        <w:rPr>
          <w:rFonts w:hint="eastAsia"/>
        </w:rPr>
        <w:t>周年活动的一部分。来自</w:t>
      </w:r>
      <w:r>
        <w:t>50</w:t>
      </w:r>
      <w:r>
        <w:rPr>
          <w:rFonts w:hint="eastAsia"/>
        </w:rPr>
        <w:t>个国家的专家参加了这次会议，荷兰政府的意图是帮助各国在地方、国家和国际各级加强政策，交流预防和打击对妇女施暴方面的知识、经验和好做法。会议的建议包括各种不同主题：影响妇女和女孩健康的传统习俗；为卖淫贩卖妇女；性权利和人权；对性少数的暴力；武装冲突中对妇女施暴；联合国《妇女公约》任择议定书以及家庭暴力。这些建议准备提交给联合国各会员国政府，并提交用于</w:t>
      </w:r>
      <w:r>
        <w:t>1998</w:t>
      </w:r>
      <w:r>
        <w:rPr>
          <w:rFonts w:hint="eastAsia"/>
        </w:rPr>
        <w:t>年处理对妇女施暴这一主题的联合国两个委员会（妇女地位委员会和人权委员会）</w:t>
      </w:r>
      <w:r>
        <w:t>1998</w:t>
      </w:r>
      <w:r>
        <w:rPr>
          <w:rFonts w:hint="eastAsia"/>
        </w:rPr>
        <w:t>年届会的筹备工作。</w:t>
      </w:r>
    </w:p>
    <w:p w:rsidR="00000000" w:rsidRDefault="00000000">
      <w:pPr>
        <w:autoSpaceDE w:val="0"/>
        <w:autoSpaceDN w:val="0"/>
        <w:spacing w:after="240" w:line="400" w:lineRule="exact"/>
        <w:textAlignment w:val="bottom"/>
        <w:rPr>
          <w:rFonts w:ascii="楷体" w:eastAsia="楷体"/>
        </w:rPr>
      </w:pPr>
      <w:r>
        <w:rPr>
          <w:rFonts w:ascii="楷体" w:eastAsia="楷体" w:hint="eastAsia"/>
        </w:rPr>
        <w:t>性倾向自由</w:t>
      </w:r>
    </w:p>
    <w:p w:rsidR="00000000" w:rsidRDefault="00000000">
      <w:pPr>
        <w:autoSpaceDE w:val="0"/>
        <w:autoSpaceDN w:val="0"/>
        <w:spacing w:after="240" w:line="400" w:lineRule="exact"/>
        <w:ind w:firstLine="425"/>
        <w:textAlignment w:val="bottom"/>
      </w:pPr>
      <w:r>
        <w:rPr>
          <w:rFonts w:hint="eastAsia"/>
        </w:rPr>
        <w:t>荷兰人口中越来越多的人赞成性倾向自由。因此随之而来的是目前政策可以更多注重特定的群体如移民和老年人。正因此政府委托对荷兰的老年同性恋者和同性恋女子的状况进行了调查。</w:t>
      </w:r>
      <w:r>
        <w:rPr>
          <w:rStyle w:val="FootnoteReference"/>
        </w:rPr>
        <w:footnoteReference w:customMarkFollows="1" w:id="21"/>
        <w:t>19</w:t>
      </w:r>
      <w:r>
        <w:rPr>
          <w:rFonts w:hint="eastAsia"/>
        </w:rPr>
        <w:t>这个调查显示在荷兰老年同性恋女子的状况比老年人总体状况差。她们的收入和精神福利尤其如此。政府还在考虑应从调查中得出何种结论。</w:t>
      </w:r>
    </w:p>
    <w:p w:rsidR="00000000" w:rsidRDefault="00000000">
      <w:pPr>
        <w:autoSpaceDE w:val="0"/>
        <w:autoSpaceDN w:val="0"/>
        <w:spacing w:after="240" w:line="400" w:lineRule="exact"/>
        <w:textAlignment w:val="bottom"/>
        <w:rPr>
          <w:rFonts w:ascii="楷体" w:eastAsia="楷体"/>
        </w:rPr>
      </w:pPr>
      <w:r>
        <w:rPr>
          <w:rFonts w:ascii="楷体" w:eastAsia="楷体" w:hint="eastAsia"/>
        </w:rPr>
        <w:t>废止取缔妓院</w:t>
      </w:r>
    </w:p>
    <w:p w:rsidR="00000000" w:rsidRDefault="00000000">
      <w:pPr>
        <w:autoSpaceDE w:val="0"/>
        <w:autoSpaceDN w:val="0"/>
        <w:spacing w:after="240" w:line="400" w:lineRule="exact"/>
        <w:ind w:firstLine="425"/>
        <w:textAlignment w:val="bottom"/>
      </w:pPr>
      <w:r>
        <w:rPr>
          <w:rFonts w:hint="eastAsia"/>
        </w:rPr>
        <w:t>计划从</w:t>
      </w:r>
      <w:r>
        <w:t>1999</w:t>
      </w:r>
      <w:r>
        <w:rPr>
          <w:rFonts w:hint="eastAsia"/>
        </w:rPr>
        <w:t>年</w:t>
      </w:r>
      <w:r>
        <w:t>1</w:t>
      </w:r>
      <w:r>
        <w:rPr>
          <w:rFonts w:hint="eastAsia"/>
        </w:rPr>
        <w:t>月</w:t>
      </w:r>
      <w:r>
        <w:t>1</w:t>
      </w:r>
      <w:r>
        <w:rPr>
          <w:rFonts w:hint="eastAsia"/>
        </w:rPr>
        <w:t>日起废止取缔妓院令。这一措施将使市政当局有可能奉行一种对卖淫的有效政策。市政当局的政策有三个内容。首先市政府可以就在它们地区内设立妓院确定政策。这样它们可影响妓院的性质和规模。其次当局将采用管理其营业的某些方面的规定，如卫生，性传播疾病预防和防火安全。最后它们将制订有关妓女状态和地位的规章、如保护她们精神和身体完整性，禁止雇用未成年妓女或在荷兰非法的妓女。为了对付取消妓院禁令后会出现的情况，市政当局和荷兰地方政府联盟正在与社会和就业部、司法部和全国卖淫业咨询委员会的代表进行深入磋商。他们已拟定了一个执法计划，对地方当局和警察的监督和行动加以协调。警察监督本身也应加以适当协调，因为它涉及许多不同警察单位（警察缉捕队、普通警察部队、外事警察、刑事情报部队、调查普通和有组织犯罪的</w:t>
      </w:r>
      <w:r>
        <w:t>CID</w:t>
      </w:r>
      <w:r>
        <w:rPr>
          <w:rFonts w:hint="eastAsia"/>
        </w:rPr>
        <w:t>组织、金融调查机构）。已提出建议监督工作以检查妓院的形式进行，即定期走访妓院，专门监督本地区的卖淫业并早期确定卖淫业。这些检查最好应由包括有关不同部门的官员组成的一个常设班子来进行。</w:t>
      </w:r>
    </w:p>
    <w:p w:rsidR="00000000" w:rsidRDefault="00000000">
      <w:pPr>
        <w:autoSpaceDE w:val="0"/>
        <w:autoSpaceDN w:val="0"/>
        <w:spacing w:after="240" w:line="400" w:lineRule="exact"/>
        <w:textAlignment w:val="bottom"/>
        <w:rPr>
          <w:rFonts w:ascii="楷体" w:eastAsia="楷体"/>
        </w:rPr>
      </w:pPr>
      <w:r>
        <w:rPr>
          <w:rFonts w:ascii="楷体" w:eastAsia="楷体" w:hint="eastAsia"/>
        </w:rPr>
        <w:t>集中信息系统</w:t>
      </w:r>
    </w:p>
    <w:p w:rsidR="00000000" w:rsidRDefault="00000000">
      <w:pPr>
        <w:autoSpaceDE w:val="0"/>
        <w:autoSpaceDN w:val="0"/>
        <w:spacing w:after="240" w:line="400" w:lineRule="exact"/>
        <w:ind w:firstLine="425"/>
        <w:textAlignment w:val="bottom"/>
      </w:pPr>
      <w:r>
        <w:rPr>
          <w:rFonts w:hint="eastAsia"/>
        </w:rPr>
        <w:t>当局正努力工作以建立一个能确定犯罪，包括性犯罪之间联系的新刑事情报系统。这个系统将把国家一级所有案件进行登记并加以分析。通过把从各区域收集到的数据组合起来该系统将提供更全面的情况并帮助确定某些特定犯罪和罪犯的方法。其目的是促进并加快识别罪犯。在可疑的贩卖妇女案中，警察将把信息记录在罪犯数据库系统中。然后这种信息将传送给刑事情报部队记录在案。对于外国人，警察将把有关外国妓女的信息记录在含有所有外国人信息的数据库中。欧洲对建立犯罪信息和情报系统的工作给予最优先地位。</w:t>
      </w:r>
    </w:p>
    <w:p w:rsidR="00000000" w:rsidRDefault="00000000">
      <w:pPr>
        <w:autoSpaceDE w:val="0"/>
        <w:autoSpaceDN w:val="0"/>
        <w:spacing w:after="240" w:line="400" w:lineRule="exact"/>
        <w:textAlignment w:val="bottom"/>
        <w:rPr>
          <w:rFonts w:ascii="SimHei" w:eastAsia="SimHei"/>
          <w:sz w:val="24"/>
        </w:rPr>
      </w:pPr>
      <w:r>
        <w:rPr>
          <w:rFonts w:ascii="SimHei" w:eastAsia="SimHei" w:hint="eastAsia"/>
          <w:sz w:val="24"/>
        </w:rPr>
        <w:t>第三级：文化变革战略</w:t>
      </w:r>
    </w:p>
    <w:p w:rsidR="00000000" w:rsidRDefault="00000000">
      <w:pPr>
        <w:autoSpaceDE w:val="0"/>
        <w:autoSpaceDN w:val="0"/>
        <w:spacing w:after="240" w:line="400" w:lineRule="exact"/>
        <w:ind w:firstLine="425"/>
        <w:textAlignment w:val="bottom"/>
      </w:pPr>
      <w:r>
        <w:rPr>
          <w:rFonts w:hint="eastAsia"/>
        </w:rPr>
        <w:t>在荷兰人们是以某种不偏不依的态度看待卖淫的。如果有人自愿选择当妓女，她正在行使个人自由。另一方面，人们有权受到当局的保护不受性暴力和性虐待之苦。这一权利扩大到妓女。</w:t>
      </w:r>
    </w:p>
    <w:p w:rsidR="00000000" w:rsidRDefault="00000000">
      <w:pPr>
        <w:autoSpaceDE w:val="0"/>
        <w:autoSpaceDN w:val="0"/>
        <w:spacing w:after="240" w:line="400" w:lineRule="exact"/>
        <w:ind w:firstLine="425"/>
        <w:textAlignment w:val="bottom"/>
      </w:pPr>
      <w:r>
        <w:rPr>
          <w:rFonts w:hint="eastAsia"/>
        </w:rPr>
        <w:t>卖淫或与</w:t>
      </w:r>
      <w:r>
        <w:t>16</w:t>
      </w:r>
      <w:r>
        <w:rPr>
          <w:rFonts w:hint="eastAsia"/>
        </w:rPr>
        <w:t>岁以上妓女发生性勾当一般不是犯罪，除非使用暴力或强制形式。在荷兰一个称为</w:t>
      </w:r>
      <w:r>
        <w:t>De Rode Draad</w:t>
      </w:r>
      <w:r>
        <w:rPr>
          <w:rFonts w:hint="eastAsia"/>
        </w:rPr>
        <w:t>的基金会代表妓女和过去妓女的利益，该基金会是</w:t>
      </w:r>
      <w:r>
        <w:t>1984</w:t>
      </w:r>
      <w:r>
        <w:rPr>
          <w:rFonts w:hint="eastAsia"/>
        </w:rPr>
        <w:t>年建立的，并得到当局的补助。这个组织的存在以及当局对它的承认表明近年来荷兰人对待自愿卖淫的态度已经改变。正因此当局在</w:t>
      </w:r>
      <w:r>
        <w:t>1998</w:t>
      </w:r>
      <w:r>
        <w:rPr>
          <w:rFonts w:hint="eastAsia"/>
        </w:rPr>
        <w:t>年取消了对妓院的一般禁令，而用对非自愿卖淫和低龄卖淫的禁令取而代之。因此法律与改变了的社会态度保持一致。所以在这件事中当局是按公众意见办事。</w:t>
      </w:r>
    </w:p>
    <w:p w:rsidR="00000000" w:rsidRDefault="00000000">
      <w:pPr>
        <w:autoSpaceDE w:val="0"/>
        <w:autoSpaceDN w:val="0"/>
        <w:spacing w:after="240" w:line="400" w:lineRule="exact"/>
        <w:textAlignment w:val="bottom"/>
        <w:rPr>
          <w:rFonts w:ascii="楷体" w:eastAsia="楷体"/>
        </w:rPr>
      </w:pPr>
      <w:r>
        <w:rPr>
          <w:rFonts w:ascii="楷体" w:eastAsia="楷体" w:hint="eastAsia"/>
        </w:rPr>
        <w:t>专门知识的发展</w:t>
      </w:r>
    </w:p>
    <w:p w:rsidR="00000000" w:rsidRDefault="00000000">
      <w:pPr>
        <w:autoSpaceDE w:val="0"/>
        <w:autoSpaceDN w:val="0"/>
        <w:spacing w:after="240" w:line="400" w:lineRule="exact"/>
        <w:ind w:firstLine="425"/>
        <w:textAlignment w:val="bottom"/>
      </w:pPr>
      <w:r>
        <w:rPr>
          <w:rFonts w:hint="eastAsia"/>
        </w:rPr>
        <w:t>刑事司法部门的行动是克服性暴力和性虐待应采取的一系列措施的最后要素。预防是非常重要的，因为预防可制造一个认识和惩罚对妇女施暴的社会。预防可包括合适的教育（包含性教育）、对年青性暴力受害者援助的良好设施、公众宣传运动、发展专门知识、性罪犯和潜在性罪犯的待遇以及明确的政策。</w:t>
      </w:r>
    </w:p>
    <w:p w:rsidR="00000000" w:rsidRDefault="00000000">
      <w:pPr>
        <w:autoSpaceDE w:val="0"/>
        <w:autoSpaceDN w:val="0"/>
        <w:spacing w:after="240" w:line="400" w:lineRule="exact"/>
        <w:ind w:firstLine="425"/>
        <w:textAlignment w:val="bottom"/>
      </w:pPr>
      <w:r>
        <w:rPr>
          <w:rFonts w:hint="eastAsia"/>
        </w:rPr>
        <w:t>为了确保警察和其他有关人员学习必要的专门知识，司法部安排汇编了一本性犯罪指南。</w:t>
      </w:r>
      <w:r>
        <w:rPr>
          <w:rStyle w:val="FootnoteReference"/>
        </w:rPr>
        <w:footnoteReference w:customMarkFollows="1" w:id="22"/>
        <w:t>20</w:t>
      </w:r>
      <w:r>
        <w:rPr>
          <w:rFonts w:hint="eastAsia"/>
        </w:rPr>
        <w:t>其目的是阐明关于性犯罪的新法律并说明有关当局的各种责任。例如，警察可学做社会工作者，而社会工作者也可学做警察。</w:t>
      </w:r>
    </w:p>
    <w:p w:rsidR="00000000" w:rsidRDefault="00000000">
      <w:pPr>
        <w:autoSpaceDE w:val="0"/>
        <w:autoSpaceDN w:val="0"/>
        <w:spacing w:after="240" w:line="400" w:lineRule="exact"/>
        <w:textAlignment w:val="bottom"/>
        <w:rPr>
          <w:rFonts w:ascii="楷体" w:eastAsia="楷体"/>
        </w:rPr>
      </w:pPr>
      <w:r>
        <w:rPr>
          <w:rFonts w:ascii="楷体" w:eastAsia="楷体" w:hint="eastAsia"/>
        </w:rPr>
        <w:t>对预防性暴力运动的评价</w:t>
      </w:r>
    </w:p>
    <w:p w:rsidR="00000000" w:rsidRDefault="00000000">
      <w:pPr>
        <w:autoSpaceDE w:val="0"/>
        <w:autoSpaceDN w:val="0"/>
        <w:spacing w:after="240" w:line="400" w:lineRule="exact"/>
        <w:ind w:firstLine="425"/>
        <w:textAlignment w:val="bottom"/>
      </w:pPr>
      <w:r>
        <w:rPr>
          <w:rFonts w:hint="eastAsia"/>
        </w:rPr>
        <w:t>上一次报告曾提到预防性暴力的政府信息运动。该运动是从</w:t>
      </w:r>
      <w:r>
        <w:t>1991</w:t>
      </w:r>
      <w:r>
        <w:rPr>
          <w:rFonts w:hint="eastAsia"/>
        </w:rPr>
        <w:t>年到</w:t>
      </w:r>
      <w:r>
        <w:t>1995</w:t>
      </w:r>
      <w:r>
        <w:rPr>
          <w:rFonts w:hint="eastAsia"/>
        </w:rPr>
        <w:t>年开展的，最后进行了一次评价调查。</w:t>
      </w:r>
      <w:r>
        <w:rPr>
          <w:rStyle w:val="FootnoteReference"/>
        </w:rPr>
        <w:footnoteReference w:customMarkFollows="1" w:id="23"/>
        <w:t>21</w:t>
      </w:r>
      <w:r>
        <w:rPr>
          <w:rFonts w:hint="eastAsia"/>
        </w:rPr>
        <w:t>这次运动的目标是：</w:t>
      </w:r>
    </w:p>
    <w:p w:rsidR="00000000" w:rsidRDefault="00000000">
      <w:pPr>
        <w:autoSpaceDE w:val="0"/>
        <w:autoSpaceDN w:val="0"/>
        <w:spacing w:after="240" w:line="400" w:lineRule="exact"/>
        <w:ind w:firstLine="425"/>
        <w:textAlignment w:val="bottom"/>
      </w:pPr>
      <w:r>
        <w:t xml:space="preserve">*  </w:t>
      </w:r>
      <w:r>
        <w:rPr>
          <w:rFonts w:hint="eastAsia"/>
        </w:rPr>
        <w:t>创造一种可以讨论性暴力问题的气氛；</w:t>
      </w:r>
    </w:p>
    <w:p w:rsidR="00000000" w:rsidRDefault="00000000">
      <w:pPr>
        <w:autoSpaceDE w:val="0"/>
        <w:autoSpaceDN w:val="0"/>
        <w:spacing w:after="240" w:line="400" w:lineRule="exact"/>
        <w:ind w:firstLine="425"/>
        <w:textAlignment w:val="bottom"/>
      </w:pPr>
      <w:r>
        <w:t xml:space="preserve">*  </w:t>
      </w:r>
      <w:r>
        <w:rPr>
          <w:rFonts w:hint="eastAsia"/>
        </w:rPr>
        <w:t>让男子和男孩知道男性和女性的形象常常是陈旧过时的；</w:t>
      </w:r>
    </w:p>
    <w:p w:rsidR="00000000" w:rsidRDefault="00000000">
      <w:pPr>
        <w:autoSpaceDE w:val="0"/>
        <w:autoSpaceDN w:val="0"/>
        <w:spacing w:after="240" w:line="400" w:lineRule="exact"/>
        <w:ind w:firstLine="425"/>
        <w:textAlignment w:val="bottom"/>
      </w:pPr>
      <w:r>
        <w:t xml:space="preserve">*  </w:t>
      </w:r>
      <w:r>
        <w:rPr>
          <w:rFonts w:hint="eastAsia"/>
        </w:rPr>
        <w:t>让男子和男孩知道这些陈旧过时的男女形象如何影响了他们与妇女和女孩关系中的期望与行为；</w:t>
      </w:r>
    </w:p>
    <w:p w:rsidR="00000000" w:rsidRDefault="00000000">
      <w:pPr>
        <w:autoSpaceDE w:val="0"/>
        <w:autoSpaceDN w:val="0"/>
        <w:spacing w:after="240" w:line="400" w:lineRule="exact"/>
        <w:ind w:firstLine="425"/>
        <w:textAlignment w:val="bottom"/>
      </w:pPr>
      <w:r>
        <w:t xml:space="preserve">*  </w:t>
      </w:r>
      <w:r>
        <w:rPr>
          <w:rFonts w:hint="eastAsia"/>
        </w:rPr>
        <w:t>让男子和男孩知道这些陈旧过时的形象会造成一种导致各种性暴力的氛围；</w:t>
      </w:r>
    </w:p>
    <w:p w:rsidR="00000000" w:rsidRDefault="00000000">
      <w:pPr>
        <w:autoSpaceDE w:val="0"/>
        <w:autoSpaceDN w:val="0"/>
        <w:spacing w:after="240" w:line="400" w:lineRule="exact"/>
        <w:ind w:firstLine="425"/>
        <w:textAlignment w:val="bottom"/>
      </w:pPr>
      <w:r>
        <w:t xml:space="preserve">*  </w:t>
      </w:r>
      <w:r>
        <w:rPr>
          <w:rFonts w:hint="eastAsia"/>
        </w:rPr>
        <w:t>影响他们造成的陈旧过时形象和行为。</w:t>
      </w:r>
    </w:p>
    <w:p w:rsidR="00000000" w:rsidRDefault="00000000">
      <w:pPr>
        <w:autoSpaceDE w:val="0"/>
        <w:autoSpaceDN w:val="0"/>
        <w:spacing w:after="240" w:line="400" w:lineRule="exact"/>
        <w:ind w:firstLine="425"/>
        <w:textAlignment w:val="bottom"/>
      </w:pPr>
      <w:r>
        <w:rPr>
          <w:rFonts w:hint="eastAsia"/>
        </w:rPr>
        <w:t>开展运动采取双管齐下的办法，一方面通过大众传媒（分为四个分项运动），一方面通过中间机构。在其开展的五年中运动使用了广泛的手段，如一本针对年轻人的杂志、小册子、电视和报纸广告以及宣传画。调查显示，媒体对这次运动表现了很大的兴趣，可能因为主题事项新鲜。按照调查结果，三分之二的荷兰人以一种方式或另一种方式看过分项运动，在主要受益群体中高达</w:t>
      </w:r>
      <w:r>
        <w:t>70%</w:t>
      </w:r>
      <w:r>
        <w:rPr>
          <w:rFonts w:hint="eastAsia"/>
        </w:rPr>
        <w:t>表示认可。看过运动一些资料的人很可能讨论过这个主题，感到更加与运动有关，更加了解了性暴力这个问题，从而也有了比没看过资料的人更加符合运动目标的态度。</w:t>
      </w:r>
    </w:p>
    <w:p w:rsidR="00000000" w:rsidRDefault="00000000">
      <w:pPr>
        <w:autoSpaceDE w:val="0"/>
        <w:autoSpaceDN w:val="0"/>
        <w:spacing w:after="240" w:line="400" w:lineRule="exact"/>
        <w:textAlignment w:val="bottom"/>
        <w:rPr>
          <w:rFonts w:ascii="楷体" w:eastAsia="楷体"/>
        </w:rPr>
      </w:pPr>
      <w:r>
        <w:rPr>
          <w:rFonts w:ascii="楷体" w:eastAsia="楷体" w:hint="eastAsia"/>
        </w:rPr>
        <w:t>增强雇主对性骚扰的了解</w:t>
      </w:r>
    </w:p>
    <w:p w:rsidR="00000000" w:rsidRDefault="00000000">
      <w:pPr>
        <w:autoSpaceDE w:val="0"/>
        <w:autoSpaceDN w:val="0"/>
        <w:spacing w:after="240" w:line="400" w:lineRule="exact"/>
        <w:ind w:firstLine="425"/>
        <w:textAlignment w:val="bottom"/>
      </w:pPr>
      <w:r>
        <w:rPr>
          <w:rFonts w:hint="eastAsia"/>
        </w:rPr>
        <w:t>在《劳动条件法》中性骚扰条款成为法律后于</w:t>
      </w:r>
      <w:r>
        <w:t>1994</w:t>
      </w:r>
      <w:r>
        <w:rPr>
          <w:rFonts w:hint="eastAsia"/>
        </w:rPr>
        <w:t>年春季开展了一个政府宣传运动。研究表明这场运动波及面广泛；参加工作的</w:t>
      </w:r>
      <w:r>
        <w:t>94%</w:t>
      </w:r>
      <w:r>
        <w:rPr>
          <w:rFonts w:hint="eastAsia"/>
        </w:rPr>
        <w:t>的男子和</w:t>
      </w:r>
      <w:r>
        <w:t>88%</w:t>
      </w:r>
      <w:r>
        <w:rPr>
          <w:rFonts w:hint="eastAsia"/>
        </w:rPr>
        <w:t>的妇女看过或听过有关运动的资料。因此该部收到大量来自受害者和雇主索取小册子的信件。除了提供更多有关性骚扰的信息之外，当局还加强了执法和监督。工厂督察员已把性骚扰这个主题纳入一系列检查项目中。</w:t>
      </w:r>
    </w:p>
    <w:p w:rsidR="00000000" w:rsidRDefault="00000000">
      <w:pPr>
        <w:autoSpaceDE w:val="0"/>
        <w:autoSpaceDN w:val="0"/>
        <w:spacing w:after="240" w:line="400" w:lineRule="exact"/>
        <w:ind w:firstLine="425"/>
        <w:textAlignment w:val="bottom"/>
      </w:pPr>
      <w:r>
        <w:rPr>
          <w:rFonts w:hint="eastAsia"/>
        </w:rPr>
        <w:t>在该项规定成为法律之后为评价其效果，社会和就业部对雇主采取的处理性骚扰的措施进行了一次有代表性的调查。从应答者的答复看，几乎三分之一公司和机构中发生过或可能发生性骚扰。大约有一半雇主采取了某种行动，如指派一名秘密顾问；对秘密报告的性骚扰案件进行处理；采取控告程序；在劳动协商中提出这个主题以及分发有关劳动中性骚扰的小册子和资料。该调查还显示大的组织比小组织采取了更积极的办法，约有四分之一的公司从行业协会得到支助。</w:t>
      </w:r>
    </w:p>
    <w:p w:rsidR="00000000" w:rsidRDefault="00000000">
      <w:pPr>
        <w:autoSpaceDE w:val="0"/>
        <w:autoSpaceDN w:val="0"/>
        <w:spacing w:after="240" w:line="400" w:lineRule="exact"/>
        <w:ind w:firstLine="425"/>
        <w:textAlignment w:val="bottom"/>
      </w:pPr>
      <w:r>
        <w:rPr>
          <w:rFonts w:hint="eastAsia"/>
        </w:rPr>
        <w:t>修订《劳动条件法》的最重要的作用看来是雇主们更加清楚了劳动场所性骚扰问题，从而感到有责任采取一种政策来处理这个问题。</w:t>
      </w:r>
    </w:p>
    <w:p w:rsidR="00000000" w:rsidRDefault="00000000">
      <w:pPr>
        <w:autoSpaceDE w:val="0"/>
        <w:autoSpaceDN w:val="0"/>
        <w:spacing w:after="240" w:line="400" w:lineRule="exact"/>
        <w:textAlignment w:val="bottom"/>
        <w:rPr>
          <w:rFonts w:ascii="楷体" w:eastAsia="楷体"/>
        </w:rPr>
      </w:pPr>
      <w:r>
        <w:rPr>
          <w:rFonts w:ascii="楷体" w:eastAsia="楷体" w:hint="eastAsia"/>
        </w:rPr>
        <w:t>体育运动中的性骚扰</w:t>
      </w:r>
    </w:p>
    <w:p w:rsidR="00000000" w:rsidRDefault="00000000">
      <w:pPr>
        <w:autoSpaceDE w:val="0"/>
        <w:autoSpaceDN w:val="0"/>
        <w:spacing w:after="240" w:line="400" w:lineRule="exact"/>
        <w:ind w:firstLine="425"/>
        <w:textAlignment w:val="bottom"/>
      </w:pPr>
      <w:r>
        <w:rPr>
          <w:rFonts w:hint="eastAsia"/>
        </w:rPr>
        <w:t>卫生、福利和体育大臣支持全国体育联合会</w:t>
      </w:r>
      <w:r>
        <w:fldChar w:fldCharType="begin"/>
      </w:r>
      <w:r>
        <w:instrText>symbol 151 \f "Times New Roman"</w:instrText>
      </w:r>
      <w:r>
        <w:fldChar w:fldCharType="end"/>
      </w:r>
      <w:r>
        <w:rPr>
          <w:rFonts w:hint="eastAsia"/>
        </w:rPr>
        <w:t>荷兰奥林匹克委员会</w:t>
      </w:r>
      <w:r>
        <w:t>/</w:t>
      </w:r>
      <w:r>
        <w:rPr>
          <w:rFonts w:hint="eastAsia"/>
        </w:rPr>
        <w:t>荷兰体育联合会为处理和预防体育中性骚扰在</w:t>
      </w:r>
      <w:r>
        <w:t>1996</w:t>
      </w:r>
      <w:r>
        <w:rPr>
          <w:rFonts w:hint="eastAsia"/>
        </w:rPr>
        <w:t>至</w:t>
      </w:r>
      <w:r>
        <w:t>1999</w:t>
      </w:r>
      <w:r>
        <w:rPr>
          <w:rFonts w:hint="eastAsia"/>
        </w:rPr>
        <w:t>年期间采用的政策计划。附属于该奥林匹克委员会的全国体育协会</w:t>
      </w:r>
      <w:r>
        <w:t>1997</w:t>
      </w:r>
      <w:r>
        <w:rPr>
          <w:rFonts w:hint="eastAsia"/>
        </w:rPr>
        <w:t>年</w:t>
      </w:r>
      <w:r>
        <w:t>5</w:t>
      </w:r>
      <w:r>
        <w:rPr>
          <w:rFonts w:hint="eastAsia"/>
        </w:rPr>
        <w:t>月通过了一个适用于体育专业和志愿人员的行为准则。</w:t>
      </w:r>
      <w:r>
        <w:t>1998</w:t>
      </w:r>
      <w:r>
        <w:rPr>
          <w:rFonts w:hint="eastAsia"/>
        </w:rPr>
        <w:t>年</w:t>
      </w:r>
      <w:r>
        <w:t>1</w:t>
      </w:r>
      <w:r>
        <w:rPr>
          <w:rFonts w:hint="eastAsia"/>
        </w:rPr>
        <w:t>月</w:t>
      </w:r>
      <w:r>
        <w:t>1</w:t>
      </w:r>
      <w:r>
        <w:rPr>
          <w:rFonts w:hint="eastAsia"/>
        </w:rPr>
        <w:t>日为希望举报体育中性骚扰者开通了一条电话辅助线路。</w:t>
      </w:r>
    </w:p>
    <w:p w:rsidR="00000000" w:rsidRDefault="00000000">
      <w:pPr>
        <w:tabs>
          <w:tab w:val="left" w:pos="-240"/>
        </w:tabs>
        <w:autoSpaceDE w:val="0"/>
        <w:autoSpaceDN w:val="0"/>
        <w:spacing w:after="240" w:line="400" w:lineRule="exact"/>
        <w:textAlignment w:val="bottom"/>
        <w:rPr>
          <w:rFonts w:ascii="SimHei" w:eastAsia="SimHei"/>
          <w:sz w:val="28"/>
        </w:rPr>
      </w:pPr>
      <w:r>
        <w:br w:type="page"/>
      </w:r>
      <w:r>
        <w:rPr>
          <w:rFonts w:ascii="SimHei" w:eastAsia="SimHei" w:hint="eastAsia"/>
          <w:sz w:val="28"/>
        </w:rPr>
        <w:t>第四章</w:t>
      </w:r>
      <w:r>
        <w:rPr>
          <w:rFonts w:ascii="SimHei" w:eastAsia="SimHei"/>
          <w:sz w:val="28"/>
        </w:rPr>
        <w:tab/>
        <w:t xml:space="preserve">  </w:t>
      </w:r>
      <w:r>
        <w:rPr>
          <w:rFonts w:ascii="SimHei" w:eastAsia="SimHei" w:hint="eastAsia"/>
          <w:sz w:val="28"/>
        </w:rPr>
        <w:t>第</w:t>
      </w:r>
      <w:r>
        <w:rPr>
          <w:rFonts w:ascii="SimHei" w:eastAsia="SimHei"/>
          <w:sz w:val="28"/>
        </w:rPr>
        <w:t>6</w:t>
      </w:r>
      <w:r>
        <w:rPr>
          <w:rFonts w:ascii="SimHei" w:eastAsia="SimHei" w:hint="eastAsia"/>
          <w:sz w:val="28"/>
        </w:rPr>
        <w:t>条：贩卖妇女</w:t>
      </w:r>
    </w:p>
    <w:p w:rsidR="00000000" w:rsidRDefault="00000000">
      <w:pPr>
        <w:tabs>
          <w:tab w:val="left" w:pos="-240"/>
        </w:tabs>
        <w:autoSpaceDE w:val="0"/>
        <w:autoSpaceDN w:val="0"/>
        <w:spacing w:after="240" w:line="400" w:lineRule="exact"/>
        <w:textAlignment w:val="bottom"/>
        <w:rPr>
          <w:rFonts w:ascii="SimHei" w:eastAsia="SimHei"/>
          <w:sz w:val="24"/>
        </w:rPr>
      </w:pPr>
      <w:r>
        <w:rPr>
          <w:rFonts w:ascii="SimHei" w:eastAsia="SimHei" w:hint="eastAsia"/>
          <w:sz w:val="24"/>
        </w:rPr>
        <w:t>第一级：目前状况和立法措施</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1(a)  </w:t>
      </w:r>
      <w:r>
        <w:rPr>
          <w:rFonts w:ascii="SimHei" w:eastAsia="SimHei" w:hint="eastAsia"/>
        </w:rPr>
        <w:t>目前状况</w:t>
      </w:r>
    </w:p>
    <w:p w:rsidR="00000000" w:rsidRDefault="00000000">
      <w:pPr>
        <w:autoSpaceDE w:val="0"/>
        <w:autoSpaceDN w:val="0"/>
        <w:spacing w:after="240" w:line="400" w:lineRule="exact"/>
        <w:ind w:firstLine="425"/>
        <w:textAlignment w:val="bottom"/>
      </w:pPr>
      <w:r>
        <w:rPr>
          <w:rFonts w:hint="eastAsia"/>
        </w:rPr>
        <w:t>统计数字表明，至少有</w:t>
      </w:r>
      <w:r>
        <w:t>2500-3000</w:t>
      </w:r>
      <w:r>
        <w:rPr>
          <w:rFonts w:hint="eastAsia"/>
        </w:rPr>
        <w:t>名在荷兰当妓女的妇女被迫卖淫。社会机构了解的妇女</w:t>
      </w:r>
      <w:r>
        <w:t>75%</w:t>
      </w:r>
      <w:r>
        <w:rPr>
          <w:rFonts w:hint="eastAsia"/>
        </w:rPr>
        <w:t>来自东欧。这只是事情的一小部分，因为这些数字只是向反对贩卖妇女基金会要求帮助的妇女。近年来向该基金会报告的案件数量急剧上升：</w:t>
      </w:r>
      <w:r>
        <w:t>1993</w:t>
      </w:r>
      <w:r>
        <w:rPr>
          <w:rFonts w:hint="eastAsia"/>
        </w:rPr>
        <w:t>年为</w:t>
      </w:r>
      <w:r>
        <w:t>88</w:t>
      </w:r>
      <w:r>
        <w:rPr>
          <w:rFonts w:hint="eastAsia"/>
        </w:rPr>
        <w:t>例，</w:t>
      </w:r>
      <w:r>
        <w:t>1994</w:t>
      </w:r>
      <w:r>
        <w:rPr>
          <w:rFonts w:hint="eastAsia"/>
        </w:rPr>
        <w:t>年为</w:t>
      </w:r>
      <w:r>
        <w:t>168</w:t>
      </w:r>
      <w:r>
        <w:rPr>
          <w:rFonts w:hint="eastAsia"/>
        </w:rPr>
        <w:t>例，而</w:t>
      </w:r>
      <w:r>
        <w:t>1997</w:t>
      </w:r>
      <w:r>
        <w:rPr>
          <w:rFonts w:hint="eastAsia"/>
        </w:rPr>
        <w:t>年为</w:t>
      </w:r>
      <w:r>
        <w:t>180</w:t>
      </w:r>
      <w:r>
        <w:rPr>
          <w:rFonts w:hint="eastAsia"/>
        </w:rPr>
        <w:t>例（</w:t>
      </w:r>
      <w:r>
        <w:t>1</w:t>
      </w:r>
      <w:r>
        <w:rPr>
          <w:rFonts w:hint="eastAsia"/>
        </w:rPr>
        <w:t>月到</w:t>
      </w:r>
      <w:r>
        <w:t>11</w:t>
      </w:r>
      <w:r>
        <w:rPr>
          <w:rFonts w:hint="eastAsia"/>
        </w:rPr>
        <w:t>月）。</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1(b)  </w:t>
      </w:r>
      <w:r>
        <w:rPr>
          <w:rFonts w:ascii="SimHei" w:eastAsia="SimHei" w:hint="eastAsia"/>
        </w:rPr>
        <w:t>立法措施</w:t>
      </w:r>
    </w:p>
    <w:p w:rsidR="00000000" w:rsidRDefault="00000000">
      <w:pPr>
        <w:autoSpaceDE w:val="0"/>
        <w:autoSpaceDN w:val="0"/>
        <w:spacing w:after="240" w:line="400" w:lineRule="exact"/>
        <w:ind w:firstLine="425"/>
        <w:textAlignment w:val="bottom"/>
      </w:pPr>
      <w:r>
        <w:rPr>
          <w:rFonts w:hint="eastAsia"/>
        </w:rPr>
        <w:t>荷兰政府在</w:t>
      </w:r>
      <w:r>
        <w:t>1997</w:t>
      </w:r>
      <w:r>
        <w:rPr>
          <w:rFonts w:hint="eastAsia"/>
        </w:rPr>
        <w:t>年拟定了一系列旨在制止贩卖妇女的立法修正案。第一个是修正《刑法典》的法案，以便对涉嫌利用暴力卖淫、滥用职权、道德贩坏和对未成年人犯罪的人课以更重判决。第二是取消对妓院的一般禁令，允许各市自由奉行对卖淫的综合政策的法案。上一章对这两个法案都作了详细论述。</w:t>
      </w:r>
    </w:p>
    <w:p w:rsidR="00000000" w:rsidRDefault="00000000">
      <w:pPr>
        <w:autoSpaceDE w:val="0"/>
        <w:autoSpaceDN w:val="0"/>
        <w:spacing w:after="240" w:line="400" w:lineRule="exact"/>
        <w:ind w:firstLine="425"/>
        <w:textAlignment w:val="bottom"/>
      </w:pPr>
      <w:r>
        <w:rPr>
          <w:rFonts w:hint="eastAsia"/>
        </w:rPr>
        <w:t>在这方面关于权宜婚姻（也称假婚姻）的政策和立法也是重要的。公共检察部门可以向法院申请命令，宣布违反荷兰国家政策的婚姻无效。权宜婚姻是一种由一个外国人和一个荷兰国民（或在荷兰居住并有独立居住权的人）之间为了使这个外国人获得居住权而不是履行结婚誓言而订立的婚约。</w:t>
      </w:r>
    </w:p>
    <w:p w:rsidR="00000000" w:rsidRDefault="00000000">
      <w:pPr>
        <w:autoSpaceDE w:val="0"/>
        <w:autoSpaceDN w:val="0"/>
        <w:spacing w:after="240" w:line="400" w:lineRule="exact"/>
        <w:ind w:firstLine="425"/>
        <w:textAlignment w:val="bottom"/>
      </w:pPr>
      <w:r>
        <w:rPr>
          <w:rFonts w:hint="eastAsia"/>
        </w:rPr>
        <w:t>如果外国人想在荷兰结婚，他们应填写一个表明姓名和居住权的表格。这个表将送交外事警察，他将核对内容，而且例如，可能调查申请人的婚姻史。如果这个外事警察认为有必要，他可要求这对未来夫妻来面谈。面谈的目的是填写一个调查表，使警察可对其夫妻关系的真伪作出评价。然后外事警察的证词传送给出生、死亡和婚姻登记处。不提交这种证词注册官不给婚礼举行宗教仪式。是否让两人结婚的最后决定由注册官做出。</w:t>
      </w:r>
    </w:p>
    <w:p w:rsidR="00000000" w:rsidRDefault="00000000">
      <w:pPr>
        <w:autoSpaceDE w:val="0"/>
        <w:autoSpaceDN w:val="0"/>
        <w:spacing w:after="240" w:line="400" w:lineRule="exact"/>
        <w:ind w:firstLine="425"/>
        <w:textAlignment w:val="bottom"/>
      </w:pPr>
      <w:r>
        <w:rPr>
          <w:rFonts w:hint="eastAsia"/>
        </w:rPr>
        <w:t>即使在国外订立的婚约也要进行类似的核查，双方要在荷兰登记薄上登记。对该法的评价过程已经开始，将在</w:t>
      </w:r>
      <w:r>
        <w:t>1998</w:t>
      </w:r>
      <w:r>
        <w:rPr>
          <w:rFonts w:hint="eastAsia"/>
        </w:rPr>
        <w:t>年中期完成。要研究的问题之一是许多人是否会作出另外的安排，到周边国家去结婚。目前尚难估计在荷兰订立了多少权宜婚约。</w:t>
      </w:r>
    </w:p>
    <w:p w:rsidR="00000000" w:rsidRDefault="00000000">
      <w:pPr>
        <w:autoSpaceDE w:val="0"/>
        <w:autoSpaceDN w:val="0"/>
        <w:spacing w:after="240" w:line="400" w:lineRule="exact"/>
        <w:textAlignment w:val="bottom"/>
        <w:rPr>
          <w:rFonts w:ascii="SimHei" w:eastAsia="SimHei"/>
          <w:sz w:val="24"/>
        </w:rPr>
      </w:pPr>
      <w:r>
        <w:rPr>
          <w:rFonts w:ascii="SimHei" w:eastAsia="SimHei" w:hint="eastAsia"/>
          <w:sz w:val="24"/>
        </w:rPr>
        <w:t>第二级：走向多样化</w:t>
      </w:r>
    </w:p>
    <w:p w:rsidR="00000000" w:rsidRDefault="00000000">
      <w:pPr>
        <w:autoSpaceDE w:val="0"/>
        <w:autoSpaceDN w:val="0"/>
        <w:spacing w:after="240" w:line="400" w:lineRule="exact"/>
        <w:ind w:firstLine="425"/>
        <w:textAlignment w:val="bottom"/>
      </w:pPr>
      <w:r>
        <w:rPr>
          <w:rFonts w:hint="eastAsia"/>
        </w:rPr>
        <w:t>为了预防和打击贩卖妇女需要在各种不同领域采取措施：例如预防和鉴定，调查和检察、支助和援助以及管理和通讯。在国家和国际各级都需要一种为此目的采取共同办法。当荷兰出任欧盟主席时，它安排了在</w:t>
      </w:r>
      <w:r>
        <w:t>1997</w:t>
      </w:r>
      <w:r>
        <w:rPr>
          <w:rFonts w:hint="eastAsia"/>
        </w:rPr>
        <w:t>年上半年在海牙举行的欧盟部长级会议上详细说明了这种办法。通过对会议的安排荷兰政府具体执行了联合国第四次妇女问题世界会议《北京行动纲要》的条款，特别是有关预防和制止贩卖妇女行动的条款。荷兰以这种方式实施了作为</w:t>
      </w:r>
      <w:r>
        <w:t>1996</w:t>
      </w:r>
      <w:r>
        <w:rPr>
          <w:rFonts w:hint="eastAsia"/>
        </w:rPr>
        <w:t>年</w:t>
      </w:r>
      <w:r>
        <w:t>6</w:t>
      </w:r>
      <w:r>
        <w:rPr>
          <w:rFonts w:hint="eastAsia"/>
        </w:rPr>
        <w:t>月维也纳会议的结果通过的建议所规定的路线。</w:t>
      </w:r>
    </w:p>
    <w:p w:rsidR="00000000" w:rsidRDefault="00000000">
      <w:pPr>
        <w:autoSpaceDE w:val="0"/>
        <w:autoSpaceDN w:val="0"/>
        <w:spacing w:after="240" w:line="400" w:lineRule="exact"/>
        <w:ind w:firstLine="425"/>
        <w:textAlignment w:val="bottom"/>
      </w:pPr>
      <w:r>
        <w:rPr>
          <w:rFonts w:hint="eastAsia"/>
        </w:rPr>
        <w:t>在海牙举行的欧盟部长级会议的基本设想是预防和制止贩卖妇女的唯一办法是一种多学科协调的办法，它涉及所有有关方面，非政府组织、社会、医疗、司法、执法和移民部门。在</w:t>
      </w:r>
      <w:r>
        <w:t>1997</w:t>
      </w:r>
      <w:r>
        <w:rPr>
          <w:rFonts w:hint="eastAsia"/>
        </w:rPr>
        <w:t>年</w:t>
      </w:r>
      <w:r>
        <w:t>4</w:t>
      </w:r>
      <w:r>
        <w:rPr>
          <w:rFonts w:hint="eastAsia"/>
        </w:rPr>
        <w:t>月</w:t>
      </w:r>
      <w:r>
        <w:t>24</w:t>
      </w:r>
      <w:r>
        <w:rPr>
          <w:rFonts w:hint="eastAsia"/>
        </w:rPr>
        <w:t>日至</w:t>
      </w:r>
      <w:r>
        <w:t>26</w:t>
      </w:r>
      <w:r>
        <w:rPr>
          <w:rFonts w:hint="eastAsia"/>
        </w:rPr>
        <w:t>日于海牙召开的会议上欧盟成员国一致通过了“关于欧洲预防和打击为性剥削目的贩卖妇女行为的指导方针的海牙部长宣言”，简称《海牙宣言》。受到与欧洲委员会合作组织该会议的荷兰大臣们的邀请，欧盟各成员国的司法部长和解放政策部长参加了会议。与欧盟有联系的中欧和东欧国家的代表作为观察员参加了会议。该宣言的目的是鼓励在国家、欧洲和世界各级进一步采取行动。《海牙宣言》包括一个具体行动计划，国际和欧洲机构以及在国家一级应详尽拟定计划的细节。它基于下列设想，即信息畅通无论在国内或不同国家之间都是重要的。因此至关重要的是可能与贩卖妇女者或受害者接触的官员都应接受适当的培训。</w:t>
      </w:r>
    </w:p>
    <w:p w:rsidR="00000000" w:rsidRDefault="00000000">
      <w:pPr>
        <w:spacing w:after="240" w:line="400" w:lineRule="exact"/>
        <w:ind w:firstLine="425"/>
      </w:pPr>
      <w:r>
        <w:rPr>
          <w:rFonts w:hint="eastAsia"/>
        </w:rPr>
        <w:t>为了弄清《宣言》所载的建议是否真正有助于预防贩卖妇女、建议每个国家建立一个监督系统。这一系统的目的应是监测预防、调查、检察和受害人支助等领域的进展情况以及它们之间的关系。《宣言》建议任命国家报告员。需强调的是一种多学科协调的办法，其中的所有有关各方即非政府组织、社会部门、刑事司法部门、警察和移民机构都发挥作用。需要在国家、欧洲和国际各级采取行动。但是主要责任应由欧盟成员国自己承担。</w:t>
      </w:r>
    </w:p>
    <w:p w:rsidR="00000000" w:rsidRDefault="00000000">
      <w:pPr>
        <w:spacing w:after="240" w:line="400" w:lineRule="exact"/>
        <w:ind w:firstLine="425"/>
      </w:pPr>
      <w:r>
        <w:rPr>
          <w:rFonts w:hint="eastAsia"/>
        </w:rPr>
        <w:t>在实施海牙通过的行动计划的要点时，荷兰政府将集中力量为受害者提供更多的支助并加强执法政策。现行的政策在很大程度上就是如此。但《宣言》也促进了一些与受害人有关的补充措施。它们是为了使受害者更愿意报告罪行。这些措施将结合建议的取消对妓院的一般禁令来协调正在拟订的行动计划。在国际一级强调的重点是提供信息。解放政策协调大臣和司法大臣已代表卫生、福利和体育大臣、外交大臣、发展合作大臣和内务大臣向荷兰议会发出了一封说明后续政策的信函。</w:t>
      </w:r>
    </w:p>
    <w:p w:rsidR="00000000" w:rsidRDefault="00000000">
      <w:pPr>
        <w:spacing w:after="240" w:line="400" w:lineRule="exact"/>
        <w:ind w:firstLine="425"/>
      </w:pPr>
      <w:r>
        <w:rPr>
          <w:rFonts w:hint="eastAsia"/>
        </w:rPr>
        <w:t>欧盟关于贩卖妇女问题部长级会议不仅导致通过了国家级跨学科跨部门办法，而且实现了欧盟成员国之间司法和内务领域解放政策和主流政策方面的独特合作。它是将性观点纳入主流政策的一个极好的实例。</w:t>
      </w:r>
    </w:p>
    <w:p w:rsidR="00000000" w:rsidRDefault="00000000">
      <w:pPr>
        <w:spacing w:after="240" w:line="400" w:lineRule="exact"/>
        <w:ind w:firstLine="425"/>
      </w:pPr>
      <w:r>
        <w:rPr>
          <w:rFonts w:hint="eastAsia"/>
        </w:rPr>
        <w:t>将通过定期调查的方法对《海牙宣言》建议的实施情况以及实施的后果进行监测。筹备欧盟部长级会议的贩卖妇女问题跨部门工作组将继续它的工作，直至它研究了在任命贩卖妇女问题国家报告员方面究竟有无可能。</w:t>
      </w:r>
    </w:p>
    <w:p w:rsidR="00000000" w:rsidRDefault="00000000">
      <w:pPr>
        <w:spacing w:after="240" w:line="400" w:lineRule="exact"/>
        <w:ind w:firstLine="425"/>
      </w:pPr>
      <w:r>
        <w:rPr>
          <w:rFonts w:hint="eastAsia"/>
        </w:rPr>
        <w:t>上述四个政策领域一旦有可能都将成为就近年来所奉行的政策提出报告的构架。</w:t>
      </w:r>
    </w:p>
    <w:p w:rsidR="00000000" w:rsidRDefault="00000000">
      <w:pPr>
        <w:spacing w:after="240" w:line="400" w:lineRule="exact"/>
        <w:rPr>
          <w:rFonts w:ascii="楷体" w:eastAsia="楷体"/>
        </w:rPr>
      </w:pPr>
      <w:r>
        <w:rPr>
          <w:rFonts w:ascii="楷体" w:eastAsia="楷体" w:hint="eastAsia"/>
        </w:rPr>
        <w:t>预防和鉴别</w:t>
      </w:r>
    </w:p>
    <w:p w:rsidR="00000000" w:rsidRDefault="00000000">
      <w:pPr>
        <w:spacing w:after="240" w:line="400" w:lineRule="exact"/>
        <w:ind w:firstLine="425"/>
      </w:pPr>
      <w:r>
        <w:rPr>
          <w:rFonts w:hint="eastAsia"/>
        </w:rPr>
        <w:t>政府在原籍国的宣传运动的目的是使妇女能作出明智的决定。作为负责发放签证机构的大使馆和尤其是诸如反对贩卖妇女基金会这样的非政府组织将起关键作用。这种运动的一个良好范例是政府补助的由基金会于</w:t>
      </w:r>
      <w:r>
        <w:t>1995</w:t>
      </w:r>
      <w:r>
        <w:rPr>
          <w:rFonts w:hint="eastAsia"/>
        </w:rPr>
        <w:t>年在波兰和捷克共和国设立的</w:t>
      </w:r>
      <w:r>
        <w:t>La Strada</w:t>
      </w:r>
      <w:r>
        <w:rPr>
          <w:rFonts w:hint="eastAsia"/>
        </w:rPr>
        <w:t>项目。这个范围广泛的方案的一些目标是让贩卖妇女这个主题引起公众注意、为可能受害者提供信息，鼓励政府当局和其他机构采取措施反对贩运和帮助将受害者返回原籍国。该项目在</w:t>
      </w:r>
      <w:r>
        <w:t>1997</w:t>
      </w:r>
      <w:r>
        <w:rPr>
          <w:rFonts w:hint="eastAsia"/>
        </w:rPr>
        <w:t>年扩大到了乌克兰。</w:t>
      </w:r>
    </w:p>
    <w:p w:rsidR="00000000" w:rsidRDefault="00000000">
      <w:pPr>
        <w:spacing w:after="240" w:line="400" w:lineRule="exact"/>
        <w:rPr>
          <w:rFonts w:ascii="楷体" w:eastAsia="楷体"/>
        </w:rPr>
      </w:pPr>
      <w:r>
        <w:rPr>
          <w:rFonts w:ascii="楷体" w:eastAsia="楷体" w:hint="eastAsia"/>
        </w:rPr>
        <w:t>调查、起诉和受害者支助</w:t>
      </w:r>
    </w:p>
    <w:p w:rsidR="00000000" w:rsidRDefault="00000000">
      <w:pPr>
        <w:spacing w:after="240" w:line="400" w:lineRule="exact"/>
        <w:ind w:firstLine="425"/>
      </w:pPr>
      <w:r>
        <w:rPr>
          <w:rFonts w:hint="eastAsia"/>
        </w:rPr>
        <w:t>多年来荷兰一直在试图改进对涉及贩卖妇女案件的调查和起诉。为了增加受害者告发罪行的自愿性，在</w:t>
      </w:r>
      <w:r>
        <w:t>1994</w:t>
      </w:r>
      <w:r>
        <w:rPr>
          <w:rFonts w:hint="eastAsia"/>
        </w:rPr>
        <w:t>年《外国人通告》中纳入一条规定，其大意是在当局提出驱逐一名非法居住在荷兰的妇女时，即使有一点点证据表明她是贩运的受害者，这个驱逐令可能会中止三个月。然后她有大量时间做出决定是否愿告发罪行。在这三个月期间她可要求获得社会保障福利和医疗援助。她还可以得到关于刑事诉讼和按民事法赔偿诉讼的秘密咨询和建议。如果受害人决定告发罪行，她将得到调查、起诉和审讯（法院听证事实以前）期间的居住许可证。这类罪行的证人也可得到这种居住许可，如果调查需要他们的证词的话。</w:t>
      </w:r>
    </w:p>
    <w:p w:rsidR="00000000" w:rsidRDefault="00000000">
      <w:pPr>
        <w:spacing w:after="240" w:line="400" w:lineRule="exact"/>
        <w:ind w:firstLine="425"/>
      </w:pPr>
      <w:r>
        <w:rPr>
          <w:rFonts w:hint="eastAsia"/>
        </w:rPr>
        <w:t>在</w:t>
      </w:r>
      <w:r>
        <w:t>1989</w:t>
      </w:r>
      <w:r>
        <w:rPr>
          <w:rFonts w:hint="eastAsia"/>
        </w:rPr>
        <w:t>年总检察长颁布了调查和起诉贩卖妇女案件的五条指导方针。这些指导方针包括对贩卖妇女罪行的新定义，它们规定了警察调查卖淫的方法，刑事情报部门处理这种罪行方面的职能以及向受害者提供支助和咨询。在</w:t>
      </w:r>
      <w:r>
        <w:t>1994</w:t>
      </w:r>
      <w:r>
        <w:rPr>
          <w:rFonts w:hint="eastAsia"/>
        </w:rPr>
        <w:t>年经过评价之后对这些方针作了更新和改进。第三章已论述过提供信息所起的重要作用。</w:t>
      </w:r>
    </w:p>
    <w:p w:rsidR="00000000" w:rsidRDefault="00000000">
      <w:pPr>
        <w:spacing w:after="240" w:line="400" w:lineRule="exact"/>
        <w:ind w:firstLine="425"/>
      </w:pPr>
      <w:r>
        <w:t>1995</w:t>
      </w:r>
      <w:r>
        <w:rPr>
          <w:rFonts w:hint="eastAsia"/>
        </w:rPr>
        <w:t>年总检察长委员会出版了一本题为《处理贩卖人口的措施》的小册子。该书说明当局应如何判定是否存在剥削或强迫，并对贩卖人口定义范围内的形势作了明确概述。受害人或证人的报告往往是当局如何首先注意到一种罪行的途径。但是也可从警察缉捕队、管理部门、外事警察、反对贩卖妇女基金会、市政卫生部门的实地工作人员或秘密咨询人员进行检查妓女或视察过程中发现案例。甚至可以从妓女的客户收到报告。该手册还载有按照刑法或行政法对罪犯起诉的指示。依据市府命令或禁止某些行动的许可证中的规定按行政法起诉是可能的。如果卖淫不是自愿的，可按刑法进行起诉。外国人法在处理贩卖问题时也是重要的，因为许多受害者都是在荷兰的非法居民。该手册还阐明了司法部门向受害者提供的援助。这包括指导受害者向社会部门求助，提供有关程序的信息以及采取主动行动提供支助与咨询。一旦发现罪行。应立即通知公共检察部门负责这类案件的联络官员。最后，通常追查责任者的小组应当是多学科的人组成的，因为这可以确保所得到的全部专门知识在实际上得到应用。</w:t>
      </w:r>
    </w:p>
    <w:p w:rsidR="00000000" w:rsidRDefault="00000000">
      <w:pPr>
        <w:spacing w:after="240" w:line="400" w:lineRule="exact"/>
        <w:ind w:firstLine="425"/>
      </w:pPr>
      <w:r>
        <w:rPr>
          <w:rFonts w:hint="eastAsia"/>
        </w:rPr>
        <w:t>除了这本手册之外，还在</w:t>
      </w:r>
      <w:r>
        <w:t>1996</w:t>
      </w:r>
      <w:r>
        <w:rPr>
          <w:rFonts w:hint="eastAsia"/>
        </w:rPr>
        <w:t>年</w:t>
      </w:r>
      <w:r>
        <w:t>10</w:t>
      </w:r>
      <w:r>
        <w:rPr>
          <w:rFonts w:hint="eastAsia"/>
        </w:rPr>
        <w:t>月出版了一个关于贩卖人口的备忘录。该备忘录是由两位警官撰写的，它阐明了警察应遵守的所有书面和非书面规则以及从调查和合作中得到的经验。该备忘录的目的是提供预防、减少和打击贩卖妇女方面的指导。人们也希望这个备忘录会在警察内部引起对如何处理这个复杂而且急剧增加的问题的争论。</w:t>
      </w:r>
    </w:p>
    <w:p w:rsidR="00000000" w:rsidRDefault="00000000">
      <w:pPr>
        <w:spacing w:after="240" w:line="400" w:lineRule="exact"/>
        <w:rPr>
          <w:rFonts w:ascii="楷体" w:eastAsia="楷体"/>
        </w:rPr>
      </w:pPr>
      <w:r>
        <w:rPr>
          <w:rFonts w:ascii="楷体" w:eastAsia="楷体" w:hint="eastAsia"/>
        </w:rPr>
        <w:t>前后一致的办法</w:t>
      </w:r>
    </w:p>
    <w:p w:rsidR="00000000" w:rsidRDefault="00000000">
      <w:pPr>
        <w:spacing w:after="240" w:line="400" w:lineRule="exact"/>
        <w:ind w:firstLine="425"/>
      </w:pPr>
      <w:r>
        <w:rPr>
          <w:rFonts w:hint="eastAsia"/>
        </w:rPr>
        <w:t>多年来卫生、福利和体育大臣一直对以某种方式参与咨询或提供有关贩卖人口受害妇女信息的一些志愿机构（反对贩卖妇女基金会、</w:t>
      </w:r>
      <w:r>
        <w:t>A. de Graaf</w:t>
      </w:r>
      <w:r>
        <w:rPr>
          <w:rFonts w:hint="eastAsia"/>
        </w:rPr>
        <w:t>先生基金会——卖淫问题知识中心以及</w:t>
      </w:r>
      <w:r>
        <w:t>Rode Draad</w:t>
      </w:r>
      <w:r>
        <w:rPr>
          <w:rFonts w:hint="eastAsia"/>
        </w:rPr>
        <w:t>基金会）提供补贴。援助贩卖人口受害者的其他机构是市卫生机构（通过性病诊所）和受害者支助机构。它们也在考虑采取一种前后一致的办法。法律援助是在诉讼过程中向受害者提供的，例如，如果受害者希望，要求罪犯赔偿可通过民事诉讼程序或作为刑事诉讼一方来完成。正在考虑在告发罪行前向受害者提供支助的问题。（《外国人通告》，第</w:t>
      </w:r>
      <w:r>
        <w:t>17</w:t>
      </w:r>
      <w:r>
        <w:rPr>
          <w:rFonts w:hint="eastAsia"/>
        </w:rPr>
        <w:t>章）。在受害人作出决定是否告发罪行的期间，他们最需要的是法律援助。将考虑法律援助中心在这面是否可以发挥作用。</w:t>
      </w:r>
    </w:p>
    <w:p w:rsidR="00000000" w:rsidRDefault="00000000">
      <w:pPr>
        <w:spacing w:after="240" w:line="400" w:lineRule="exact"/>
        <w:rPr>
          <w:rFonts w:ascii="楷体" w:eastAsia="楷体"/>
        </w:rPr>
      </w:pPr>
      <w:r>
        <w:rPr>
          <w:rFonts w:ascii="楷体" w:eastAsia="楷体" w:hint="eastAsia"/>
        </w:rPr>
        <w:t>把荷兰的政策纳入国际（解放）政策</w:t>
      </w:r>
    </w:p>
    <w:p w:rsidR="00000000" w:rsidRDefault="00000000">
      <w:pPr>
        <w:spacing w:after="240" w:line="400" w:lineRule="exact"/>
        <w:ind w:firstLine="425"/>
      </w:pPr>
      <w:r>
        <w:t>1997</w:t>
      </w:r>
      <w:r>
        <w:rPr>
          <w:rFonts w:hint="eastAsia"/>
        </w:rPr>
        <w:t>年联合国对妇女施暴问题特别报告员给联合国人权委员会的报告载有贩卖妇女一节。在该报告编写过程中反对贩卖妇女基金会和反对贩卖妇女全球联盟代表联合国特别报告员进行了研究。该项研究得到荷兰政府的资助。</w:t>
      </w:r>
    </w:p>
    <w:p w:rsidR="00000000" w:rsidRDefault="00000000">
      <w:pPr>
        <w:spacing w:after="240" w:line="400" w:lineRule="exact"/>
        <w:ind w:firstLine="425"/>
      </w:pPr>
      <w:r>
        <w:rPr>
          <w:rFonts w:hint="eastAsia"/>
        </w:rPr>
        <w:t>在</w:t>
      </w:r>
      <w:r>
        <w:t>1998</w:t>
      </w:r>
      <w:r>
        <w:rPr>
          <w:rFonts w:hint="eastAsia"/>
        </w:rPr>
        <w:t>年上半年在联合王国的领导和与美国合作下，欧盟将在作为许多妇女的祖国的两个东欧国家开展一场宣传运动。这场宣传运动的目的是预防和打击贩卖妇女。</w:t>
      </w:r>
    </w:p>
    <w:p w:rsidR="00000000" w:rsidRDefault="00000000">
      <w:pPr>
        <w:spacing w:after="240" w:line="400" w:lineRule="exact"/>
        <w:ind w:firstLine="425"/>
      </w:pPr>
      <w:r>
        <w:rPr>
          <w:rFonts w:hint="eastAsia"/>
        </w:rPr>
        <w:t>在荷兰任主席的欧盟关于贩卖妇女问题的部长级会议（</w:t>
      </w:r>
      <w:r>
        <w:t>1997</w:t>
      </w:r>
      <w:r>
        <w:rPr>
          <w:rFonts w:hint="eastAsia"/>
        </w:rPr>
        <w:t>年</w:t>
      </w:r>
      <w:r>
        <w:t>4</w:t>
      </w:r>
      <w:r>
        <w:rPr>
          <w:rFonts w:hint="eastAsia"/>
        </w:rPr>
        <w:t>月</w:t>
      </w:r>
      <w:r>
        <w:t>6</w:t>
      </w:r>
      <w:r>
        <w:rPr>
          <w:rFonts w:hint="eastAsia"/>
        </w:rPr>
        <w:t>日）前召开的非政府组织会议上，非政府组织决定建立一个预防和打击贩卖妇女的非政府组织欧洲网络。荷兰将在一个欧盟方案（</w:t>
      </w:r>
      <w:r>
        <w:t>STOP or DAPHNE)</w:t>
      </w:r>
      <w:r>
        <w:rPr>
          <w:rFonts w:hint="eastAsia"/>
        </w:rPr>
        <w:t>范围内为这项活动提供更多支助。与欧盟未来的成员国在预防和打击贩卖人口方面的合作将作为国内和司法政策的一部分得到加强。</w:t>
      </w:r>
    </w:p>
    <w:p w:rsidR="00000000" w:rsidRDefault="00000000">
      <w:pPr>
        <w:spacing w:after="240" w:line="400" w:lineRule="exact"/>
        <w:ind w:firstLine="425"/>
      </w:pPr>
      <w:r>
        <w:rPr>
          <w:rFonts w:hint="eastAsia"/>
        </w:rPr>
        <w:t>欧洲委员会部长委员会已成立了一多部门的工作组，以鼓励西欧国家与东欧和中欧国家之间在预防贩卖人口方面的合作。该工作组将集中力量于由欧洲委员会本身和由该委员会与其他国际组织及非政府组织合作采取的后续行动，以预防和打击这种贩运，特别是对妇女和女孩的贩运。荷兰正在这个工作组中发挥着积极作用。</w:t>
      </w:r>
    </w:p>
    <w:p w:rsidR="00000000" w:rsidRDefault="00000000">
      <w:pPr>
        <w:spacing w:after="240" w:line="400" w:lineRule="exact"/>
        <w:ind w:firstLine="425"/>
      </w:pPr>
      <w:r>
        <w:rPr>
          <w:rFonts w:hint="eastAsia"/>
        </w:rPr>
        <w:t>荷兰政府希望确保打击各种形式暴力，包括贩卖妇女的政策能在保障尊重妇女人权的范围内得到更坚定地执行。这就是为什么荷兰在制定联合国《消除对妇女一切形式歧视公约》任择议定书的谈判中正在起积极作用的原因。</w:t>
      </w:r>
    </w:p>
    <w:p w:rsidR="00000000" w:rsidRDefault="00000000">
      <w:pPr>
        <w:spacing w:after="240" w:line="400" w:lineRule="exact"/>
        <w:ind w:firstLine="425"/>
      </w:pPr>
      <w:r>
        <w:rPr>
          <w:rFonts w:hint="eastAsia"/>
        </w:rPr>
        <w:t>在</w:t>
      </w:r>
      <w:r>
        <w:t>1999</w:t>
      </w:r>
      <w:r>
        <w:rPr>
          <w:rFonts w:hint="eastAsia"/>
        </w:rPr>
        <w:t>年下半年将对因《海牙宣言》而采取的政策进行一次评估，同时将在欧盟打击贩卖人口和对儿童性剥削的联合行动期间进行强制性评估。</w:t>
      </w:r>
    </w:p>
    <w:p w:rsidR="00000000" w:rsidRDefault="00000000">
      <w:pPr>
        <w:spacing w:after="240" w:line="400" w:lineRule="exact"/>
        <w:rPr>
          <w:rFonts w:ascii="SimHei" w:eastAsia="SimHei"/>
          <w:sz w:val="28"/>
        </w:rPr>
      </w:pPr>
      <w:r>
        <w:br w:type="page"/>
      </w:r>
      <w:r>
        <w:rPr>
          <w:rFonts w:ascii="SimHei" w:eastAsia="SimHei" w:hint="eastAsia"/>
          <w:sz w:val="28"/>
        </w:rPr>
        <w:t>第五章</w:t>
      </w:r>
      <w:r>
        <w:rPr>
          <w:rFonts w:ascii="SimHei" w:eastAsia="SimHei"/>
          <w:sz w:val="28"/>
        </w:rPr>
        <w:t xml:space="preserve">  </w:t>
      </w:r>
      <w:r>
        <w:rPr>
          <w:rFonts w:ascii="SimHei" w:eastAsia="SimHei" w:hint="eastAsia"/>
          <w:sz w:val="28"/>
        </w:rPr>
        <w:t>第</w:t>
      </w:r>
      <w:r>
        <w:rPr>
          <w:rFonts w:ascii="SimHei" w:eastAsia="SimHei"/>
          <w:sz w:val="28"/>
        </w:rPr>
        <w:t>7</w:t>
      </w:r>
      <w:r>
        <w:rPr>
          <w:rFonts w:ascii="SimHei" w:eastAsia="SimHei" w:hint="eastAsia"/>
          <w:sz w:val="28"/>
        </w:rPr>
        <w:t>条：政治和公共生活</w:t>
      </w:r>
    </w:p>
    <w:p w:rsidR="00000000" w:rsidRDefault="00000000">
      <w:pPr>
        <w:spacing w:after="240" w:line="400" w:lineRule="exact"/>
        <w:ind w:firstLine="1080"/>
        <w:rPr>
          <w:rFonts w:ascii="SimHei" w:eastAsia="SimHei"/>
          <w:sz w:val="28"/>
        </w:rPr>
      </w:pPr>
      <w:r>
        <w:rPr>
          <w:rFonts w:ascii="SimHei" w:eastAsia="SimHei" w:hint="eastAsia"/>
          <w:sz w:val="28"/>
        </w:rPr>
        <w:t>第</w:t>
      </w:r>
      <w:r>
        <w:rPr>
          <w:rFonts w:ascii="SimHei" w:eastAsia="SimHei"/>
          <w:sz w:val="28"/>
        </w:rPr>
        <w:t>10(g)</w:t>
      </w:r>
      <w:r>
        <w:rPr>
          <w:rFonts w:ascii="SimHei" w:eastAsia="SimHei" w:hint="eastAsia"/>
          <w:sz w:val="28"/>
        </w:rPr>
        <w:t>和第</w:t>
      </w:r>
      <w:r>
        <w:rPr>
          <w:rFonts w:ascii="SimHei" w:eastAsia="SimHei"/>
          <w:sz w:val="28"/>
        </w:rPr>
        <w:t>13(c)</w:t>
      </w:r>
      <w:r>
        <w:rPr>
          <w:rFonts w:ascii="SimHei" w:eastAsia="SimHei" w:hint="eastAsia"/>
          <w:sz w:val="28"/>
        </w:rPr>
        <w:t>条：体育和社会生活</w:t>
      </w:r>
    </w:p>
    <w:p w:rsidR="00000000" w:rsidRDefault="00000000">
      <w:pPr>
        <w:spacing w:after="240" w:line="400" w:lineRule="exact"/>
        <w:rPr>
          <w:rFonts w:ascii="SimHei" w:eastAsia="SimHei"/>
          <w:sz w:val="24"/>
        </w:rPr>
      </w:pPr>
      <w:r>
        <w:rPr>
          <w:rFonts w:ascii="SimHei" w:eastAsia="SimHei"/>
          <w:sz w:val="24"/>
        </w:rPr>
        <w:t xml:space="preserve">1.  </w:t>
      </w:r>
      <w:r>
        <w:rPr>
          <w:rFonts w:ascii="SimHei" w:eastAsia="SimHei" w:hint="eastAsia"/>
          <w:sz w:val="24"/>
        </w:rPr>
        <w:t>政治生活</w:t>
      </w:r>
    </w:p>
    <w:p w:rsidR="00000000" w:rsidRDefault="00000000">
      <w:pPr>
        <w:spacing w:after="240" w:line="400" w:lineRule="exact"/>
        <w:rPr>
          <w:rFonts w:ascii="SimHei" w:eastAsia="SimHei"/>
          <w:sz w:val="24"/>
        </w:rPr>
      </w:pPr>
      <w:r>
        <w:rPr>
          <w:rFonts w:ascii="SimHei" w:eastAsia="SimHei" w:hint="eastAsia"/>
          <w:sz w:val="24"/>
        </w:rPr>
        <w:t>第一级：目前状况与立法措施</w:t>
      </w:r>
    </w:p>
    <w:p w:rsidR="00000000" w:rsidRDefault="00000000">
      <w:pPr>
        <w:spacing w:after="240" w:line="400" w:lineRule="exact"/>
        <w:rPr>
          <w:rFonts w:ascii="SimHei" w:eastAsia="SimHei"/>
        </w:rPr>
      </w:pPr>
      <w:r>
        <w:rPr>
          <w:rFonts w:ascii="SimHei" w:eastAsia="SimHei"/>
        </w:rPr>
        <w:t xml:space="preserve">1(a)  </w:t>
      </w:r>
      <w:r>
        <w:rPr>
          <w:rFonts w:ascii="SimHei" w:eastAsia="SimHei" w:hint="eastAsia"/>
        </w:rPr>
        <w:t>目前状况</w:t>
      </w:r>
    </w:p>
    <w:p w:rsidR="00000000" w:rsidRDefault="00000000">
      <w:pPr>
        <w:spacing w:after="240" w:line="400" w:lineRule="exact"/>
        <w:ind w:firstLine="425"/>
      </w:pPr>
      <w:r>
        <w:rPr>
          <w:rFonts w:hint="eastAsia"/>
        </w:rPr>
        <w:t>在荷兰参加大选的男女百分比没有什么差别。近年来女选民的百分比略高于男选民。</w:t>
      </w:r>
    </w:p>
    <w:p w:rsidR="00000000" w:rsidRDefault="00000000">
      <w:pPr>
        <w:spacing w:after="240" w:line="400" w:lineRule="exact"/>
        <w:ind w:firstLine="425"/>
        <w:rPr>
          <w:rFonts w:ascii="楷体" w:eastAsia="楷体"/>
        </w:rPr>
      </w:pPr>
      <w:r>
        <w:rPr>
          <w:rFonts w:ascii="楷体" w:eastAsia="楷体" w:hint="eastAsia"/>
        </w:rPr>
        <w:t>表</w:t>
      </w:r>
      <w:r>
        <w:rPr>
          <w:rFonts w:ascii="楷体" w:eastAsia="楷体"/>
        </w:rPr>
        <w:t xml:space="preserve">5.1  </w:t>
      </w:r>
      <w:r>
        <w:rPr>
          <w:rFonts w:ascii="楷体" w:eastAsia="楷体" w:hint="eastAsia"/>
        </w:rPr>
        <w:t>按性别划分的历次大选中选票百分比</w:t>
      </w:r>
    </w:p>
    <w:tbl>
      <w:tblPr>
        <w:tblW w:w="0" w:type="auto"/>
        <w:tblLayout w:type="fixed"/>
        <w:tblCellMar>
          <w:left w:w="28" w:type="dxa"/>
          <w:right w:w="28" w:type="dxa"/>
        </w:tblCellMar>
        <w:tblLook w:val="0000" w:firstRow="0" w:lastRow="0" w:firstColumn="0" w:lastColumn="0" w:noHBand="0" w:noVBand="0"/>
      </w:tblPr>
      <w:tblGrid>
        <w:gridCol w:w="2068"/>
        <w:gridCol w:w="1357"/>
        <w:gridCol w:w="6491"/>
      </w:tblGrid>
      <w:tr w:rsidR="00000000">
        <w:tblPrEx>
          <w:tblCellMar>
            <w:top w:w="0" w:type="dxa"/>
            <w:bottom w:w="0" w:type="dxa"/>
          </w:tblCellMar>
        </w:tblPrEx>
        <w:tc>
          <w:tcPr>
            <w:tcW w:w="2068" w:type="dxa"/>
          </w:tcPr>
          <w:p w:rsidR="00000000" w:rsidRDefault="00000000">
            <w:pPr>
              <w:spacing w:line="400" w:lineRule="exact"/>
              <w:ind w:firstLine="425"/>
            </w:pPr>
            <w:r>
              <w:rPr>
                <w:rFonts w:hint="eastAsia"/>
              </w:rPr>
              <w:t>年</w:t>
            </w:r>
          </w:p>
        </w:tc>
        <w:tc>
          <w:tcPr>
            <w:tcW w:w="1357" w:type="dxa"/>
          </w:tcPr>
          <w:p w:rsidR="00000000" w:rsidRDefault="00000000">
            <w:pPr>
              <w:spacing w:line="400" w:lineRule="exact"/>
            </w:pPr>
            <w:r>
              <w:rPr>
                <w:rFonts w:hint="eastAsia"/>
              </w:rPr>
              <w:t>妇女</w:t>
            </w:r>
          </w:p>
        </w:tc>
        <w:tc>
          <w:tcPr>
            <w:tcW w:w="6491" w:type="dxa"/>
          </w:tcPr>
          <w:p w:rsidR="00000000" w:rsidRDefault="00000000">
            <w:pPr>
              <w:spacing w:line="400" w:lineRule="exact"/>
            </w:pPr>
            <w:r>
              <w:rPr>
                <w:rFonts w:hint="eastAsia"/>
              </w:rPr>
              <w:t>男子</w:t>
            </w:r>
          </w:p>
        </w:tc>
      </w:tr>
      <w:tr w:rsidR="00000000">
        <w:tblPrEx>
          <w:tblCellMar>
            <w:top w:w="0" w:type="dxa"/>
            <w:bottom w:w="0" w:type="dxa"/>
          </w:tblCellMar>
        </w:tblPrEx>
        <w:tc>
          <w:tcPr>
            <w:tcW w:w="2068" w:type="dxa"/>
          </w:tcPr>
          <w:p w:rsidR="00000000" w:rsidRDefault="00000000">
            <w:pPr>
              <w:spacing w:line="400" w:lineRule="exact"/>
              <w:ind w:firstLine="425"/>
            </w:pPr>
            <w:r>
              <w:t>1982</w:t>
            </w:r>
          </w:p>
        </w:tc>
        <w:tc>
          <w:tcPr>
            <w:tcW w:w="1357" w:type="dxa"/>
          </w:tcPr>
          <w:p w:rsidR="00000000" w:rsidRDefault="00000000">
            <w:pPr>
              <w:spacing w:line="400" w:lineRule="exact"/>
            </w:pPr>
            <w:r>
              <w:t>89</w:t>
            </w:r>
          </w:p>
        </w:tc>
        <w:tc>
          <w:tcPr>
            <w:tcW w:w="6491" w:type="dxa"/>
          </w:tcPr>
          <w:p w:rsidR="00000000" w:rsidRDefault="00000000">
            <w:pPr>
              <w:spacing w:line="400" w:lineRule="exact"/>
            </w:pPr>
            <w:r>
              <w:t>89</w:t>
            </w:r>
          </w:p>
        </w:tc>
      </w:tr>
      <w:tr w:rsidR="00000000">
        <w:tblPrEx>
          <w:tblCellMar>
            <w:top w:w="0" w:type="dxa"/>
            <w:bottom w:w="0" w:type="dxa"/>
          </w:tblCellMar>
        </w:tblPrEx>
        <w:tc>
          <w:tcPr>
            <w:tcW w:w="2068" w:type="dxa"/>
          </w:tcPr>
          <w:p w:rsidR="00000000" w:rsidRDefault="00000000">
            <w:pPr>
              <w:spacing w:line="400" w:lineRule="exact"/>
              <w:ind w:firstLine="425"/>
            </w:pPr>
            <w:r>
              <w:t>1987</w:t>
            </w:r>
          </w:p>
        </w:tc>
        <w:tc>
          <w:tcPr>
            <w:tcW w:w="1357" w:type="dxa"/>
          </w:tcPr>
          <w:p w:rsidR="00000000" w:rsidRDefault="00000000">
            <w:pPr>
              <w:spacing w:line="400" w:lineRule="exact"/>
            </w:pPr>
            <w:r>
              <w:t>93</w:t>
            </w:r>
          </w:p>
        </w:tc>
        <w:tc>
          <w:tcPr>
            <w:tcW w:w="6491" w:type="dxa"/>
          </w:tcPr>
          <w:p w:rsidR="00000000" w:rsidRDefault="00000000">
            <w:pPr>
              <w:spacing w:line="400" w:lineRule="exact"/>
            </w:pPr>
            <w:r>
              <w:t>93</w:t>
            </w:r>
          </w:p>
        </w:tc>
      </w:tr>
      <w:tr w:rsidR="00000000">
        <w:tblPrEx>
          <w:tblCellMar>
            <w:top w:w="0" w:type="dxa"/>
            <w:bottom w:w="0" w:type="dxa"/>
          </w:tblCellMar>
        </w:tblPrEx>
        <w:tc>
          <w:tcPr>
            <w:tcW w:w="2068" w:type="dxa"/>
          </w:tcPr>
          <w:p w:rsidR="00000000" w:rsidRDefault="00000000">
            <w:pPr>
              <w:spacing w:line="400" w:lineRule="exact"/>
              <w:ind w:firstLine="425"/>
            </w:pPr>
            <w:r>
              <w:t>1989</w:t>
            </w:r>
          </w:p>
        </w:tc>
        <w:tc>
          <w:tcPr>
            <w:tcW w:w="1357" w:type="dxa"/>
          </w:tcPr>
          <w:p w:rsidR="00000000" w:rsidRDefault="00000000">
            <w:pPr>
              <w:spacing w:line="400" w:lineRule="exact"/>
            </w:pPr>
            <w:r>
              <w:t>94</w:t>
            </w:r>
          </w:p>
        </w:tc>
        <w:tc>
          <w:tcPr>
            <w:tcW w:w="6491" w:type="dxa"/>
          </w:tcPr>
          <w:p w:rsidR="00000000" w:rsidRDefault="00000000">
            <w:pPr>
              <w:spacing w:line="400" w:lineRule="exact"/>
            </w:pPr>
            <w:r>
              <w:t>91</w:t>
            </w:r>
          </w:p>
        </w:tc>
      </w:tr>
      <w:tr w:rsidR="00000000">
        <w:tblPrEx>
          <w:tblCellMar>
            <w:top w:w="0" w:type="dxa"/>
            <w:bottom w:w="0" w:type="dxa"/>
          </w:tblCellMar>
        </w:tblPrEx>
        <w:tc>
          <w:tcPr>
            <w:tcW w:w="2068" w:type="dxa"/>
          </w:tcPr>
          <w:p w:rsidR="00000000" w:rsidRDefault="00000000">
            <w:pPr>
              <w:spacing w:after="240" w:line="400" w:lineRule="exact"/>
              <w:ind w:firstLine="425"/>
            </w:pPr>
            <w:r>
              <w:t>1994</w:t>
            </w:r>
          </w:p>
        </w:tc>
        <w:tc>
          <w:tcPr>
            <w:tcW w:w="1357" w:type="dxa"/>
          </w:tcPr>
          <w:p w:rsidR="00000000" w:rsidRDefault="00000000">
            <w:pPr>
              <w:spacing w:after="240" w:line="400" w:lineRule="exact"/>
            </w:pPr>
            <w:r>
              <w:t>81</w:t>
            </w:r>
          </w:p>
        </w:tc>
        <w:tc>
          <w:tcPr>
            <w:tcW w:w="6491" w:type="dxa"/>
          </w:tcPr>
          <w:p w:rsidR="00000000" w:rsidRDefault="00000000">
            <w:pPr>
              <w:spacing w:after="240" w:line="400" w:lineRule="exact"/>
            </w:pPr>
            <w:r>
              <w:t>76</w:t>
            </w:r>
          </w:p>
        </w:tc>
      </w:tr>
    </w:tbl>
    <w:p w:rsidR="00000000" w:rsidRDefault="00000000">
      <w:pPr>
        <w:spacing w:after="240" w:line="400" w:lineRule="exact"/>
        <w:ind w:firstLine="425"/>
      </w:pPr>
      <w:r>
        <w:rPr>
          <w:rFonts w:hint="eastAsia"/>
        </w:rPr>
        <w:t>荷兰政府确定了妇女参与政治和公共生活的指标。将在有关第二级的一节中加以阐述。目前政府的妇女大臣和女国务秘书的比例是空前高的。历届选举中议会妇女成员的百分比也在不断上升。然而在地方一级妇女参与政治生活的比例已停止上升。从</w:t>
      </w:r>
      <w:r>
        <w:t>1990</w:t>
      </w:r>
      <w:r>
        <w:rPr>
          <w:rFonts w:hint="eastAsia"/>
        </w:rPr>
        <w:t>年以来这个数字从未超过</w:t>
      </w:r>
      <w:r>
        <w:t>22%</w:t>
      </w:r>
      <w:r>
        <w:rPr>
          <w:rFonts w:hint="eastAsia"/>
        </w:rPr>
        <w:t>。</w:t>
      </w:r>
    </w:p>
    <w:p w:rsidR="00000000" w:rsidRDefault="00000000">
      <w:pPr>
        <w:spacing w:after="240" w:line="400" w:lineRule="exact"/>
        <w:ind w:firstLine="425"/>
        <w:rPr>
          <w:rFonts w:ascii="楷体" w:eastAsia="楷体"/>
        </w:rPr>
      </w:pPr>
      <w:r>
        <w:rPr>
          <w:rFonts w:ascii="楷体" w:eastAsia="楷体" w:hint="eastAsia"/>
        </w:rPr>
        <w:t>表</w:t>
      </w:r>
      <w:r>
        <w:rPr>
          <w:rFonts w:ascii="楷体" w:eastAsia="楷体"/>
        </w:rPr>
        <w:t>5.2     1992</w:t>
      </w:r>
      <w:r>
        <w:rPr>
          <w:rFonts w:ascii="楷体" w:eastAsia="楷体"/>
        </w:rPr>
        <w:t>—</w:t>
      </w:r>
      <w:r>
        <w:rPr>
          <w:rFonts w:ascii="楷体" w:eastAsia="楷体"/>
        </w:rPr>
        <w:t>1996</w:t>
      </w:r>
      <w:r>
        <w:rPr>
          <w:rFonts w:ascii="楷体" w:eastAsia="楷体" w:hint="eastAsia"/>
        </w:rPr>
        <w:t>年妇女参与政治和公共生活的百分比</w:t>
      </w:r>
    </w:p>
    <w:tbl>
      <w:tblPr>
        <w:tblW w:w="0" w:type="auto"/>
        <w:tblLayout w:type="fixed"/>
        <w:tblCellMar>
          <w:left w:w="28" w:type="dxa"/>
          <w:right w:w="28" w:type="dxa"/>
        </w:tblCellMar>
        <w:tblLook w:val="0000" w:firstRow="0" w:lastRow="0" w:firstColumn="0" w:lastColumn="0" w:noHBand="0" w:noVBand="0"/>
      </w:tblPr>
      <w:tblGrid>
        <w:gridCol w:w="3148"/>
        <w:gridCol w:w="1353"/>
        <w:gridCol w:w="1353"/>
        <w:gridCol w:w="1353"/>
        <w:gridCol w:w="1353"/>
        <w:gridCol w:w="1353"/>
      </w:tblGrid>
      <w:tr w:rsidR="00000000">
        <w:tblPrEx>
          <w:tblCellMar>
            <w:top w:w="0" w:type="dxa"/>
            <w:bottom w:w="0" w:type="dxa"/>
          </w:tblCellMar>
        </w:tblPrEx>
        <w:tc>
          <w:tcPr>
            <w:tcW w:w="3148" w:type="dxa"/>
          </w:tcPr>
          <w:p w:rsidR="00000000" w:rsidRDefault="00000000">
            <w:pPr>
              <w:spacing w:line="400" w:lineRule="exact"/>
              <w:ind w:firstLine="425"/>
            </w:pPr>
          </w:p>
        </w:tc>
        <w:tc>
          <w:tcPr>
            <w:tcW w:w="1353" w:type="dxa"/>
          </w:tcPr>
          <w:p w:rsidR="00000000" w:rsidRDefault="00000000">
            <w:pPr>
              <w:spacing w:line="400" w:lineRule="exact"/>
            </w:pPr>
            <w:r>
              <w:t>1992</w:t>
            </w:r>
            <w:r>
              <w:rPr>
                <w:rFonts w:hint="eastAsia"/>
              </w:rPr>
              <w:t>年</w:t>
            </w:r>
          </w:p>
        </w:tc>
        <w:tc>
          <w:tcPr>
            <w:tcW w:w="1353" w:type="dxa"/>
          </w:tcPr>
          <w:p w:rsidR="00000000" w:rsidRDefault="00000000">
            <w:pPr>
              <w:spacing w:line="400" w:lineRule="exact"/>
            </w:pPr>
            <w:r>
              <w:t>1993</w:t>
            </w:r>
            <w:r>
              <w:rPr>
                <w:rFonts w:hint="eastAsia"/>
              </w:rPr>
              <w:t>年</w:t>
            </w:r>
          </w:p>
        </w:tc>
        <w:tc>
          <w:tcPr>
            <w:tcW w:w="1353" w:type="dxa"/>
          </w:tcPr>
          <w:p w:rsidR="00000000" w:rsidRDefault="00000000">
            <w:pPr>
              <w:spacing w:line="400" w:lineRule="exact"/>
            </w:pPr>
            <w:r>
              <w:t>1994</w:t>
            </w:r>
            <w:r>
              <w:rPr>
                <w:rFonts w:hint="eastAsia"/>
              </w:rPr>
              <w:t>年</w:t>
            </w:r>
          </w:p>
        </w:tc>
        <w:tc>
          <w:tcPr>
            <w:tcW w:w="1353" w:type="dxa"/>
          </w:tcPr>
          <w:p w:rsidR="00000000" w:rsidRDefault="00000000">
            <w:pPr>
              <w:spacing w:line="400" w:lineRule="exact"/>
            </w:pPr>
            <w:r>
              <w:t>1995</w:t>
            </w:r>
            <w:r>
              <w:rPr>
                <w:rFonts w:hint="eastAsia"/>
              </w:rPr>
              <w:t>年</w:t>
            </w:r>
          </w:p>
        </w:tc>
        <w:tc>
          <w:tcPr>
            <w:tcW w:w="1353" w:type="dxa"/>
          </w:tcPr>
          <w:p w:rsidR="00000000" w:rsidRDefault="00000000">
            <w:pPr>
              <w:spacing w:line="400" w:lineRule="exact"/>
            </w:pPr>
            <w:r>
              <w:t>1996</w:t>
            </w:r>
            <w:r>
              <w:rPr>
                <w:rFonts w:hint="eastAsia"/>
              </w:rPr>
              <w:t>年</w:t>
            </w:r>
          </w:p>
        </w:tc>
      </w:tr>
      <w:tr w:rsidR="00000000">
        <w:tblPrEx>
          <w:tblCellMar>
            <w:top w:w="0" w:type="dxa"/>
            <w:bottom w:w="0" w:type="dxa"/>
          </w:tblCellMar>
        </w:tblPrEx>
        <w:tc>
          <w:tcPr>
            <w:tcW w:w="3148" w:type="dxa"/>
          </w:tcPr>
          <w:p w:rsidR="00000000" w:rsidRDefault="00000000">
            <w:pPr>
              <w:spacing w:line="400" w:lineRule="exact"/>
              <w:ind w:firstLine="425"/>
            </w:pPr>
            <w:r>
              <w:rPr>
                <w:rFonts w:hint="eastAsia"/>
              </w:rPr>
              <w:t>大臣</w:t>
            </w:r>
          </w:p>
        </w:tc>
        <w:tc>
          <w:tcPr>
            <w:tcW w:w="1353" w:type="dxa"/>
          </w:tcPr>
          <w:p w:rsidR="00000000" w:rsidRDefault="00000000">
            <w:pPr>
              <w:spacing w:line="400" w:lineRule="exact"/>
            </w:pPr>
            <w:r>
              <w:t>21</w:t>
            </w:r>
          </w:p>
        </w:tc>
        <w:tc>
          <w:tcPr>
            <w:tcW w:w="1353" w:type="dxa"/>
          </w:tcPr>
          <w:p w:rsidR="00000000" w:rsidRDefault="00000000">
            <w:pPr>
              <w:spacing w:line="400" w:lineRule="exact"/>
            </w:pPr>
            <w:r>
              <w:t>21</w:t>
            </w:r>
          </w:p>
        </w:tc>
        <w:tc>
          <w:tcPr>
            <w:tcW w:w="1353" w:type="dxa"/>
          </w:tcPr>
          <w:p w:rsidR="00000000" w:rsidRDefault="00000000">
            <w:pPr>
              <w:spacing w:line="400" w:lineRule="exact"/>
            </w:pPr>
            <w:r>
              <w:t>29</w:t>
            </w:r>
          </w:p>
        </w:tc>
        <w:tc>
          <w:tcPr>
            <w:tcW w:w="1353" w:type="dxa"/>
          </w:tcPr>
          <w:p w:rsidR="00000000" w:rsidRDefault="00000000">
            <w:pPr>
              <w:spacing w:line="400" w:lineRule="exact"/>
            </w:pPr>
            <w:r>
              <w:t>29</w:t>
            </w:r>
          </w:p>
        </w:tc>
        <w:tc>
          <w:tcPr>
            <w:tcW w:w="1353" w:type="dxa"/>
          </w:tcPr>
          <w:p w:rsidR="00000000" w:rsidRDefault="00000000">
            <w:pPr>
              <w:spacing w:line="400" w:lineRule="exact"/>
            </w:pPr>
            <w:r>
              <w:t>29</w:t>
            </w:r>
          </w:p>
        </w:tc>
      </w:tr>
      <w:tr w:rsidR="00000000">
        <w:tblPrEx>
          <w:tblCellMar>
            <w:top w:w="0" w:type="dxa"/>
            <w:bottom w:w="0" w:type="dxa"/>
          </w:tblCellMar>
        </w:tblPrEx>
        <w:tc>
          <w:tcPr>
            <w:tcW w:w="3148" w:type="dxa"/>
          </w:tcPr>
          <w:p w:rsidR="00000000" w:rsidRDefault="00000000">
            <w:pPr>
              <w:spacing w:line="400" w:lineRule="exact"/>
              <w:ind w:firstLine="425"/>
            </w:pPr>
            <w:r>
              <w:rPr>
                <w:rFonts w:hint="eastAsia"/>
              </w:rPr>
              <w:t>国务秘书</w:t>
            </w:r>
          </w:p>
        </w:tc>
        <w:tc>
          <w:tcPr>
            <w:tcW w:w="1353" w:type="dxa"/>
          </w:tcPr>
          <w:p w:rsidR="00000000" w:rsidRDefault="00000000">
            <w:pPr>
              <w:spacing w:line="400" w:lineRule="exact"/>
            </w:pPr>
            <w:r>
              <w:t>27</w:t>
            </w:r>
          </w:p>
        </w:tc>
        <w:tc>
          <w:tcPr>
            <w:tcW w:w="1353" w:type="dxa"/>
          </w:tcPr>
          <w:p w:rsidR="00000000" w:rsidRDefault="00000000">
            <w:pPr>
              <w:spacing w:line="400" w:lineRule="exact"/>
            </w:pPr>
            <w:r>
              <w:t>18</w:t>
            </w:r>
          </w:p>
        </w:tc>
        <w:tc>
          <w:tcPr>
            <w:tcW w:w="1353" w:type="dxa"/>
          </w:tcPr>
          <w:p w:rsidR="00000000" w:rsidRDefault="00000000">
            <w:pPr>
              <w:spacing w:line="400" w:lineRule="exact"/>
            </w:pPr>
            <w:r>
              <w:t>42</w:t>
            </w:r>
          </w:p>
        </w:tc>
        <w:tc>
          <w:tcPr>
            <w:tcW w:w="1353" w:type="dxa"/>
          </w:tcPr>
          <w:p w:rsidR="00000000" w:rsidRDefault="00000000">
            <w:pPr>
              <w:spacing w:line="400" w:lineRule="exact"/>
            </w:pPr>
            <w:r>
              <w:t>42</w:t>
            </w:r>
          </w:p>
        </w:tc>
        <w:tc>
          <w:tcPr>
            <w:tcW w:w="1353" w:type="dxa"/>
          </w:tcPr>
          <w:p w:rsidR="00000000" w:rsidRDefault="00000000">
            <w:pPr>
              <w:spacing w:line="400" w:lineRule="exact"/>
            </w:pPr>
            <w:r>
              <w:t>42</w:t>
            </w:r>
          </w:p>
        </w:tc>
      </w:tr>
      <w:tr w:rsidR="00000000">
        <w:tblPrEx>
          <w:tblCellMar>
            <w:top w:w="0" w:type="dxa"/>
            <w:bottom w:w="0" w:type="dxa"/>
          </w:tblCellMar>
        </w:tblPrEx>
        <w:tc>
          <w:tcPr>
            <w:tcW w:w="3148" w:type="dxa"/>
          </w:tcPr>
          <w:p w:rsidR="00000000" w:rsidRDefault="00000000">
            <w:pPr>
              <w:spacing w:line="400" w:lineRule="exact"/>
              <w:ind w:firstLine="425"/>
            </w:pPr>
            <w:r>
              <w:rPr>
                <w:rFonts w:hint="eastAsia"/>
              </w:rPr>
              <w:t>下院议员</w:t>
            </w:r>
          </w:p>
        </w:tc>
        <w:tc>
          <w:tcPr>
            <w:tcW w:w="1353" w:type="dxa"/>
          </w:tcPr>
          <w:p w:rsidR="00000000" w:rsidRDefault="00000000">
            <w:pPr>
              <w:spacing w:line="400" w:lineRule="exact"/>
            </w:pPr>
            <w:r>
              <w:t>29</w:t>
            </w:r>
          </w:p>
        </w:tc>
        <w:tc>
          <w:tcPr>
            <w:tcW w:w="1353" w:type="dxa"/>
          </w:tcPr>
          <w:p w:rsidR="00000000" w:rsidRDefault="00000000">
            <w:pPr>
              <w:spacing w:line="400" w:lineRule="exact"/>
            </w:pPr>
            <w:r>
              <w:t>29</w:t>
            </w:r>
          </w:p>
        </w:tc>
        <w:tc>
          <w:tcPr>
            <w:tcW w:w="1353" w:type="dxa"/>
          </w:tcPr>
          <w:p w:rsidR="00000000" w:rsidRDefault="00000000">
            <w:pPr>
              <w:spacing w:line="400" w:lineRule="exact"/>
            </w:pPr>
            <w:r>
              <w:t>33</w:t>
            </w:r>
          </w:p>
        </w:tc>
        <w:tc>
          <w:tcPr>
            <w:tcW w:w="1353" w:type="dxa"/>
          </w:tcPr>
          <w:p w:rsidR="00000000" w:rsidRDefault="00000000">
            <w:pPr>
              <w:spacing w:line="400" w:lineRule="exact"/>
            </w:pPr>
            <w:r>
              <w:t>33</w:t>
            </w:r>
          </w:p>
        </w:tc>
        <w:tc>
          <w:tcPr>
            <w:tcW w:w="1353" w:type="dxa"/>
          </w:tcPr>
          <w:p w:rsidR="00000000" w:rsidRDefault="00000000">
            <w:pPr>
              <w:spacing w:line="400" w:lineRule="exact"/>
            </w:pPr>
            <w:r>
              <w:t>33</w:t>
            </w:r>
          </w:p>
        </w:tc>
      </w:tr>
      <w:tr w:rsidR="00000000">
        <w:tblPrEx>
          <w:tblCellMar>
            <w:top w:w="0" w:type="dxa"/>
            <w:bottom w:w="0" w:type="dxa"/>
          </w:tblCellMar>
        </w:tblPrEx>
        <w:tc>
          <w:tcPr>
            <w:tcW w:w="3148" w:type="dxa"/>
          </w:tcPr>
          <w:p w:rsidR="00000000" w:rsidRDefault="00000000">
            <w:pPr>
              <w:spacing w:line="400" w:lineRule="exact"/>
              <w:ind w:firstLine="425"/>
            </w:pPr>
            <w:r>
              <w:rPr>
                <w:rFonts w:hint="eastAsia"/>
              </w:rPr>
              <w:t>上院议员</w:t>
            </w:r>
          </w:p>
        </w:tc>
        <w:tc>
          <w:tcPr>
            <w:tcW w:w="1353" w:type="dxa"/>
          </w:tcPr>
          <w:p w:rsidR="00000000" w:rsidRDefault="00000000">
            <w:pPr>
              <w:spacing w:line="400" w:lineRule="exact"/>
            </w:pPr>
            <w:r>
              <w:t>25</w:t>
            </w:r>
          </w:p>
        </w:tc>
        <w:tc>
          <w:tcPr>
            <w:tcW w:w="1353" w:type="dxa"/>
          </w:tcPr>
          <w:p w:rsidR="00000000" w:rsidRDefault="00000000">
            <w:pPr>
              <w:spacing w:line="400" w:lineRule="exact"/>
            </w:pPr>
            <w:r>
              <w:t>27</w:t>
            </w:r>
          </w:p>
        </w:tc>
        <w:tc>
          <w:tcPr>
            <w:tcW w:w="1353" w:type="dxa"/>
          </w:tcPr>
          <w:p w:rsidR="00000000" w:rsidRDefault="00000000">
            <w:pPr>
              <w:spacing w:line="400" w:lineRule="exact"/>
            </w:pPr>
            <w:r>
              <w:t>25</w:t>
            </w:r>
          </w:p>
        </w:tc>
        <w:tc>
          <w:tcPr>
            <w:tcW w:w="1353" w:type="dxa"/>
          </w:tcPr>
          <w:p w:rsidR="00000000" w:rsidRDefault="00000000">
            <w:pPr>
              <w:spacing w:line="400" w:lineRule="exact"/>
            </w:pPr>
            <w:r>
              <w:t>23</w:t>
            </w:r>
          </w:p>
        </w:tc>
        <w:tc>
          <w:tcPr>
            <w:tcW w:w="1353" w:type="dxa"/>
          </w:tcPr>
          <w:p w:rsidR="00000000" w:rsidRDefault="00000000">
            <w:pPr>
              <w:spacing w:line="400" w:lineRule="exact"/>
            </w:pPr>
            <w:r>
              <w:t>23</w:t>
            </w:r>
          </w:p>
        </w:tc>
      </w:tr>
      <w:tr w:rsidR="00000000">
        <w:tblPrEx>
          <w:tblCellMar>
            <w:top w:w="0" w:type="dxa"/>
            <w:bottom w:w="0" w:type="dxa"/>
          </w:tblCellMar>
        </w:tblPrEx>
        <w:tc>
          <w:tcPr>
            <w:tcW w:w="3148" w:type="dxa"/>
          </w:tcPr>
          <w:p w:rsidR="00000000" w:rsidRDefault="00000000">
            <w:pPr>
              <w:spacing w:line="400" w:lineRule="exact"/>
              <w:ind w:firstLine="425"/>
            </w:pPr>
            <w:r>
              <w:rPr>
                <w:rFonts w:hint="eastAsia"/>
              </w:rPr>
              <w:t>欧洲议会议员</w:t>
            </w:r>
          </w:p>
        </w:tc>
        <w:tc>
          <w:tcPr>
            <w:tcW w:w="1353" w:type="dxa"/>
          </w:tcPr>
          <w:p w:rsidR="00000000" w:rsidRDefault="00000000">
            <w:pPr>
              <w:spacing w:line="400" w:lineRule="exact"/>
            </w:pPr>
            <w:r>
              <w:t>28</w:t>
            </w:r>
          </w:p>
        </w:tc>
        <w:tc>
          <w:tcPr>
            <w:tcW w:w="1353" w:type="dxa"/>
          </w:tcPr>
          <w:p w:rsidR="00000000" w:rsidRDefault="00000000">
            <w:pPr>
              <w:spacing w:line="400" w:lineRule="exact"/>
            </w:pPr>
            <w:r>
              <w:t>28</w:t>
            </w:r>
          </w:p>
        </w:tc>
        <w:tc>
          <w:tcPr>
            <w:tcW w:w="1353" w:type="dxa"/>
          </w:tcPr>
          <w:p w:rsidR="00000000" w:rsidRDefault="00000000">
            <w:pPr>
              <w:spacing w:line="400" w:lineRule="exact"/>
            </w:pPr>
            <w:r>
              <w:t>32</w:t>
            </w:r>
          </w:p>
        </w:tc>
        <w:tc>
          <w:tcPr>
            <w:tcW w:w="1353" w:type="dxa"/>
          </w:tcPr>
          <w:p w:rsidR="00000000" w:rsidRDefault="00000000">
            <w:pPr>
              <w:spacing w:line="400" w:lineRule="exact"/>
            </w:pPr>
            <w:r>
              <w:t>32</w:t>
            </w:r>
          </w:p>
        </w:tc>
        <w:tc>
          <w:tcPr>
            <w:tcW w:w="1353" w:type="dxa"/>
          </w:tcPr>
          <w:p w:rsidR="00000000" w:rsidRDefault="00000000">
            <w:pPr>
              <w:spacing w:line="400" w:lineRule="exact"/>
            </w:pPr>
            <w:r>
              <w:t>31</w:t>
            </w:r>
          </w:p>
        </w:tc>
      </w:tr>
      <w:tr w:rsidR="00000000">
        <w:tblPrEx>
          <w:tblCellMar>
            <w:top w:w="0" w:type="dxa"/>
            <w:bottom w:w="0" w:type="dxa"/>
          </w:tblCellMar>
        </w:tblPrEx>
        <w:tc>
          <w:tcPr>
            <w:tcW w:w="3148" w:type="dxa"/>
          </w:tcPr>
          <w:p w:rsidR="00000000" w:rsidRDefault="00000000">
            <w:pPr>
              <w:spacing w:line="400" w:lineRule="exact"/>
              <w:ind w:firstLine="425"/>
            </w:pPr>
            <w:r>
              <w:rPr>
                <w:rFonts w:hint="eastAsia"/>
              </w:rPr>
              <w:t>地方议会议员</w:t>
            </w:r>
          </w:p>
        </w:tc>
        <w:tc>
          <w:tcPr>
            <w:tcW w:w="1353" w:type="dxa"/>
          </w:tcPr>
          <w:p w:rsidR="00000000" w:rsidRDefault="00000000">
            <w:pPr>
              <w:spacing w:line="400" w:lineRule="exact"/>
            </w:pPr>
            <w:r>
              <w:t>22</w:t>
            </w:r>
          </w:p>
        </w:tc>
        <w:tc>
          <w:tcPr>
            <w:tcW w:w="1353" w:type="dxa"/>
          </w:tcPr>
          <w:p w:rsidR="00000000" w:rsidRDefault="00000000">
            <w:pPr>
              <w:spacing w:line="400" w:lineRule="exact"/>
            </w:pPr>
            <w:r>
              <w:t>22</w:t>
            </w:r>
          </w:p>
        </w:tc>
        <w:tc>
          <w:tcPr>
            <w:tcW w:w="1353" w:type="dxa"/>
          </w:tcPr>
          <w:p w:rsidR="00000000" w:rsidRDefault="00000000">
            <w:pPr>
              <w:spacing w:line="400" w:lineRule="exact"/>
            </w:pPr>
            <w:r>
              <w:t>22</w:t>
            </w:r>
          </w:p>
        </w:tc>
        <w:tc>
          <w:tcPr>
            <w:tcW w:w="1353" w:type="dxa"/>
          </w:tcPr>
          <w:p w:rsidR="00000000" w:rsidRDefault="00000000">
            <w:pPr>
              <w:spacing w:line="400" w:lineRule="exact"/>
            </w:pPr>
            <w:r>
              <w:t>22</w:t>
            </w:r>
          </w:p>
        </w:tc>
        <w:tc>
          <w:tcPr>
            <w:tcW w:w="1353" w:type="dxa"/>
          </w:tcPr>
          <w:p w:rsidR="00000000" w:rsidRDefault="00000000">
            <w:pPr>
              <w:spacing w:line="400" w:lineRule="exact"/>
            </w:pPr>
            <w:r>
              <w:t>22</w:t>
            </w:r>
          </w:p>
        </w:tc>
      </w:tr>
      <w:tr w:rsidR="00000000">
        <w:tblPrEx>
          <w:tblCellMar>
            <w:top w:w="0" w:type="dxa"/>
            <w:bottom w:w="0" w:type="dxa"/>
          </w:tblCellMar>
        </w:tblPrEx>
        <w:tc>
          <w:tcPr>
            <w:tcW w:w="3148" w:type="dxa"/>
          </w:tcPr>
          <w:p w:rsidR="00000000" w:rsidRDefault="00000000">
            <w:pPr>
              <w:spacing w:line="400" w:lineRule="exact"/>
              <w:ind w:firstLine="425"/>
            </w:pPr>
            <w:r>
              <w:rPr>
                <w:rFonts w:hint="eastAsia"/>
              </w:rPr>
              <w:t>省议会议员</w:t>
            </w:r>
          </w:p>
        </w:tc>
        <w:tc>
          <w:tcPr>
            <w:tcW w:w="1353" w:type="dxa"/>
          </w:tcPr>
          <w:p w:rsidR="00000000" w:rsidRDefault="00000000">
            <w:pPr>
              <w:spacing w:line="400" w:lineRule="exact"/>
            </w:pPr>
            <w:r>
              <w:t>30</w:t>
            </w:r>
          </w:p>
        </w:tc>
        <w:tc>
          <w:tcPr>
            <w:tcW w:w="1353" w:type="dxa"/>
          </w:tcPr>
          <w:p w:rsidR="00000000" w:rsidRDefault="00000000">
            <w:pPr>
              <w:spacing w:line="400" w:lineRule="exact"/>
            </w:pPr>
            <w:r>
              <w:t>30</w:t>
            </w:r>
          </w:p>
        </w:tc>
        <w:tc>
          <w:tcPr>
            <w:tcW w:w="1353" w:type="dxa"/>
          </w:tcPr>
          <w:p w:rsidR="00000000" w:rsidRDefault="00000000">
            <w:pPr>
              <w:spacing w:line="400" w:lineRule="exact"/>
            </w:pPr>
            <w:r>
              <w:t>29</w:t>
            </w:r>
          </w:p>
        </w:tc>
        <w:tc>
          <w:tcPr>
            <w:tcW w:w="1353" w:type="dxa"/>
          </w:tcPr>
          <w:p w:rsidR="00000000" w:rsidRDefault="00000000">
            <w:pPr>
              <w:spacing w:line="400" w:lineRule="exact"/>
            </w:pPr>
            <w:r>
              <w:t>31</w:t>
            </w:r>
          </w:p>
        </w:tc>
        <w:tc>
          <w:tcPr>
            <w:tcW w:w="1353" w:type="dxa"/>
          </w:tcPr>
          <w:p w:rsidR="00000000" w:rsidRDefault="00000000">
            <w:pPr>
              <w:spacing w:line="400" w:lineRule="exact"/>
            </w:pPr>
            <w:r>
              <w:t>31</w:t>
            </w:r>
          </w:p>
        </w:tc>
      </w:tr>
      <w:tr w:rsidR="00000000">
        <w:tblPrEx>
          <w:tblCellMar>
            <w:top w:w="0" w:type="dxa"/>
            <w:bottom w:w="0" w:type="dxa"/>
          </w:tblCellMar>
        </w:tblPrEx>
        <w:tc>
          <w:tcPr>
            <w:tcW w:w="3148" w:type="dxa"/>
          </w:tcPr>
          <w:p w:rsidR="00000000" w:rsidRDefault="00000000">
            <w:pPr>
              <w:spacing w:line="400" w:lineRule="exact"/>
              <w:ind w:firstLine="425"/>
            </w:pPr>
            <w:r>
              <w:rPr>
                <w:rFonts w:hint="eastAsia"/>
              </w:rPr>
              <w:t>省执委会成员</w:t>
            </w:r>
          </w:p>
        </w:tc>
        <w:tc>
          <w:tcPr>
            <w:tcW w:w="1353" w:type="dxa"/>
          </w:tcPr>
          <w:p w:rsidR="00000000" w:rsidRDefault="00000000">
            <w:pPr>
              <w:spacing w:line="400" w:lineRule="exact"/>
            </w:pPr>
            <w:r>
              <w:t>25</w:t>
            </w:r>
          </w:p>
        </w:tc>
        <w:tc>
          <w:tcPr>
            <w:tcW w:w="1353" w:type="dxa"/>
          </w:tcPr>
          <w:p w:rsidR="00000000" w:rsidRDefault="00000000">
            <w:pPr>
              <w:spacing w:line="400" w:lineRule="exact"/>
            </w:pPr>
            <w:r>
              <w:t>24</w:t>
            </w:r>
          </w:p>
        </w:tc>
        <w:tc>
          <w:tcPr>
            <w:tcW w:w="1353" w:type="dxa"/>
          </w:tcPr>
          <w:p w:rsidR="00000000" w:rsidRDefault="00000000">
            <w:pPr>
              <w:spacing w:line="400" w:lineRule="exact"/>
            </w:pPr>
            <w:r>
              <w:t>25</w:t>
            </w:r>
          </w:p>
        </w:tc>
        <w:tc>
          <w:tcPr>
            <w:tcW w:w="1353" w:type="dxa"/>
          </w:tcPr>
          <w:p w:rsidR="00000000" w:rsidRDefault="00000000">
            <w:pPr>
              <w:spacing w:line="400" w:lineRule="exact"/>
            </w:pPr>
            <w:r>
              <w:t>19</w:t>
            </w:r>
          </w:p>
        </w:tc>
        <w:tc>
          <w:tcPr>
            <w:tcW w:w="1353" w:type="dxa"/>
          </w:tcPr>
          <w:p w:rsidR="00000000" w:rsidRDefault="00000000">
            <w:pPr>
              <w:spacing w:line="400" w:lineRule="exact"/>
            </w:pPr>
            <w:r>
              <w:t>19</w:t>
            </w:r>
          </w:p>
        </w:tc>
      </w:tr>
      <w:tr w:rsidR="00000000">
        <w:tblPrEx>
          <w:tblCellMar>
            <w:top w:w="0" w:type="dxa"/>
            <w:bottom w:w="0" w:type="dxa"/>
          </w:tblCellMar>
        </w:tblPrEx>
        <w:tc>
          <w:tcPr>
            <w:tcW w:w="3148" w:type="dxa"/>
          </w:tcPr>
          <w:p w:rsidR="00000000" w:rsidRDefault="00000000">
            <w:pPr>
              <w:spacing w:line="400" w:lineRule="exact"/>
              <w:ind w:firstLine="425"/>
            </w:pPr>
            <w:r>
              <w:rPr>
                <w:rFonts w:hint="eastAsia"/>
              </w:rPr>
              <w:t>王后特派员</w:t>
            </w:r>
          </w:p>
        </w:tc>
        <w:tc>
          <w:tcPr>
            <w:tcW w:w="1353" w:type="dxa"/>
          </w:tcPr>
          <w:p w:rsidR="00000000" w:rsidRDefault="00000000">
            <w:pPr>
              <w:spacing w:line="400" w:lineRule="exact"/>
            </w:pPr>
            <w:r>
              <w:t>8</w:t>
            </w:r>
          </w:p>
        </w:tc>
        <w:tc>
          <w:tcPr>
            <w:tcW w:w="1353" w:type="dxa"/>
          </w:tcPr>
          <w:p w:rsidR="00000000" w:rsidRDefault="00000000">
            <w:pPr>
              <w:spacing w:line="400" w:lineRule="exact"/>
            </w:pPr>
            <w:r>
              <w:t>8</w:t>
            </w:r>
          </w:p>
        </w:tc>
        <w:tc>
          <w:tcPr>
            <w:tcW w:w="1353" w:type="dxa"/>
          </w:tcPr>
          <w:p w:rsidR="00000000" w:rsidRDefault="00000000">
            <w:pPr>
              <w:spacing w:line="400" w:lineRule="exact"/>
            </w:pPr>
            <w:r>
              <w:t>8</w:t>
            </w:r>
          </w:p>
        </w:tc>
        <w:tc>
          <w:tcPr>
            <w:tcW w:w="1353" w:type="dxa"/>
          </w:tcPr>
          <w:p w:rsidR="00000000" w:rsidRDefault="00000000">
            <w:pPr>
              <w:spacing w:line="400" w:lineRule="exact"/>
            </w:pPr>
            <w:r>
              <w:t>8</w:t>
            </w:r>
          </w:p>
        </w:tc>
        <w:tc>
          <w:tcPr>
            <w:tcW w:w="1353" w:type="dxa"/>
          </w:tcPr>
          <w:p w:rsidR="00000000" w:rsidRDefault="00000000">
            <w:pPr>
              <w:spacing w:line="400" w:lineRule="exact"/>
            </w:pPr>
            <w:r>
              <w:t>8</w:t>
            </w:r>
          </w:p>
        </w:tc>
      </w:tr>
      <w:tr w:rsidR="00000000">
        <w:tblPrEx>
          <w:tblCellMar>
            <w:top w:w="0" w:type="dxa"/>
            <w:bottom w:w="0" w:type="dxa"/>
          </w:tblCellMar>
        </w:tblPrEx>
        <w:tc>
          <w:tcPr>
            <w:tcW w:w="3148" w:type="dxa"/>
          </w:tcPr>
          <w:p w:rsidR="00000000" w:rsidRDefault="00000000">
            <w:pPr>
              <w:spacing w:line="400" w:lineRule="exact"/>
              <w:ind w:firstLine="425"/>
            </w:pPr>
            <w:r>
              <w:rPr>
                <w:rFonts w:hint="eastAsia"/>
              </w:rPr>
              <w:t>市长</w:t>
            </w:r>
          </w:p>
        </w:tc>
        <w:tc>
          <w:tcPr>
            <w:tcW w:w="1353" w:type="dxa"/>
          </w:tcPr>
          <w:p w:rsidR="00000000" w:rsidRDefault="00000000">
            <w:pPr>
              <w:spacing w:line="400" w:lineRule="exact"/>
            </w:pPr>
            <w:r>
              <w:t>9</w:t>
            </w:r>
          </w:p>
        </w:tc>
        <w:tc>
          <w:tcPr>
            <w:tcW w:w="1353" w:type="dxa"/>
          </w:tcPr>
          <w:p w:rsidR="00000000" w:rsidRDefault="00000000">
            <w:pPr>
              <w:spacing w:line="400" w:lineRule="exact"/>
            </w:pPr>
            <w:r>
              <w:t>12</w:t>
            </w:r>
          </w:p>
        </w:tc>
        <w:tc>
          <w:tcPr>
            <w:tcW w:w="1353" w:type="dxa"/>
          </w:tcPr>
          <w:p w:rsidR="00000000" w:rsidRDefault="00000000">
            <w:pPr>
              <w:spacing w:line="400" w:lineRule="exact"/>
            </w:pPr>
            <w:r>
              <w:t>13</w:t>
            </w:r>
          </w:p>
        </w:tc>
        <w:tc>
          <w:tcPr>
            <w:tcW w:w="1353" w:type="dxa"/>
          </w:tcPr>
          <w:p w:rsidR="00000000" w:rsidRDefault="00000000">
            <w:pPr>
              <w:spacing w:line="400" w:lineRule="exact"/>
            </w:pPr>
            <w:r>
              <w:t>14</w:t>
            </w:r>
          </w:p>
        </w:tc>
        <w:tc>
          <w:tcPr>
            <w:tcW w:w="1353" w:type="dxa"/>
          </w:tcPr>
          <w:p w:rsidR="00000000" w:rsidRDefault="00000000">
            <w:pPr>
              <w:spacing w:line="400" w:lineRule="exact"/>
            </w:pPr>
            <w:r>
              <w:t>15</w:t>
            </w:r>
          </w:p>
        </w:tc>
      </w:tr>
      <w:tr w:rsidR="00000000">
        <w:tblPrEx>
          <w:tblCellMar>
            <w:top w:w="0" w:type="dxa"/>
            <w:bottom w:w="0" w:type="dxa"/>
          </w:tblCellMar>
        </w:tblPrEx>
        <w:tc>
          <w:tcPr>
            <w:tcW w:w="3148" w:type="dxa"/>
          </w:tcPr>
          <w:p w:rsidR="00000000" w:rsidRDefault="00000000">
            <w:pPr>
              <w:spacing w:line="400" w:lineRule="exact"/>
              <w:ind w:firstLine="425"/>
            </w:pPr>
          </w:p>
        </w:tc>
        <w:tc>
          <w:tcPr>
            <w:tcW w:w="1353" w:type="dxa"/>
          </w:tcPr>
          <w:p w:rsidR="00000000" w:rsidRDefault="00000000">
            <w:pPr>
              <w:spacing w:line="400" w:lineRule="exact"/>
            </w:pPr>
          </w:p>
        </w:tc>
        <w:tc>
          <w:tcPr>
            <w:tcW w:w="1353" w:type="dxa"/>
          </w:tcPr>
          <w:p w:rsidR="00000000" w:rsidRDefault="00000000">
            <w:pPr>
              <w:spacing w:line="400" w:lineRule="exact"/>
            </w:pPr>
          </w:p>
        </w:tc>
        <w:tc>
          <w:tcPr>
            <w:tcW w:w="1353" w:type="dxa"/>
          </w:tcPr>
          <w:p w:rsidR="00000000" w:rsidRDefault="00000000">
            <w:pPr>
              <w:spacing w:line="400" w:lineRule="exact"/>
            </w:pPr>
          </w:p>
        </w:tc>
        <w:tc>
          <w:tcPr>
            <w:tcW w:w="1353" w:type="dxa"/>
          </w:tcPr>
          <w:p w:rsidR="00000000" w:rsidRDefault="00000000">
            <w:pPr>
              <w:spacing w:line="400" w:lineRule="exact"/>
            </w:pPr>
          </w:p>
        </w:tc>
        <w:tc>
          <w:tcPr>
            <w:tcW w:w="1353" w:type="dxa"/>
          </w:tcPr>
          <w:p w:rsidR="00000000" w:rsidRDefault="00000000">
            <w:pPr>
              <w:spacing w:line="400" w:lineRule="exact"/>
            </w:pPr>
          </w:p>
        </w:tc>
      </w:tr>
    </w:tbl>
    <w:p w:rsidR="00000000" w:rsidRDefault="00000000">
      <w:pPr>
        <w:spacing w:after="240" w:line="400" w:lineRule="exact"/>
        <w:ind w:firstLine="425"/>
        <w:rPr>
          <w:rFonts w:ascii="楷体" w:eastAsia="楷体"/>
        </w:rPr>
      </w:pPr>
      <w:r>
        <w:rPr>
          <w:rFonts w:ascii="楷体" w:eastAsia="楷体" w:hint="eastAsia"/>
        </w:rPr>
        <w:t>资料来源：</w:t>
      </w:r>
      <w:r>
        <w:rPr>
          <w:rFonts w:ascii="楷体" w:eastAsia="楷体"/>
        </w:rPr>
        <w:t>1997</w:t>
      </w:r>
      <w:r>
        <w:rPr>
          <w:rFonts w:ascii="楷体" w:eastAsia="楷体" w:hint="eastAsia"/>
        </w:rPr>
        <w:t>年政治和公共生活进展报告</w:t>
      </w:r>
      <w:r>
        <w:rPr>
          <w:rStyle w:val="FootnoteReference"/>
          <w:rFonts w:ascii="楷体" w:eastAsia="楷体"/>
        </w:rPr>
        <w:footnoteReference w:customMarkFollows="1" w:id="24"/>
        <w:t>22</w:t>
      </w:r>
    </w:p>
    <w:p w:rsidR="00000000" w:rsidRDefault="00000000">
      <w:pPr>
        <w:spacing w:after="240" w:line="400" w:lineRule="exact"/>
        <w:ind w:firstLine="425"/>
      </w:pPr>
      <w:r>
        <w:rPr>
          <w:rFonts w:hint="eastAsia"/>
        </w:rPr>
        <w:t>上院妇女议员的比例在减少。如果想在</w:t>
      </w:r>
      <w:r>
        <w:t>1999</w:t>
      </w:r>
      <w:r>
        <w:rPr>
          <w:rFonts w:hint="eastAsia"/>
        </w:rPr>
        <w:t>年选举中达到</w:t>
      </w:r>
      <w:r>
        <w:t>30%</w:t>
      </w:r>
      <w:r>
        <w:rPr>
          <w:rFonts w:hint="eastAsia"/>
        </w:rPr>
        <w:t>的目标。需要作出重大努力。省执委会女成员的数量在</w:t>
      </w:r>
      <w:r>
        <w:t>1995</w:t>
      </w:r>
      <w:r>
        <w:rPr>
          <w:rFonts w:hint="eastAsia"/>
        </w:rPr>
        <w:t>年急剧减少。目前这一状况仍无变化。省与省之间妇女成员数量的比例有很大不同（在</w:t>
      </w:r>
      <w:r>
        <w:t>0%</w:t>
      </w:r>
      <w:r>
        <w:rPr>
          <w:rFonts w:hint="eastAsia"/>
        </w:rPr>
        <w:t>到</w:t>
      </w:r>
      <w:r>
        <w:t>40%</w:t>
      </w:r>
      <w:r>
        <w:rPr>
          <w:rFonts w:hint="eastAsia"/>
        </w:rPr>
        <w:t>之间）。</w:t>
      </w:r>
    </w:p>
    <w:p w:rsidR="00000000" w:rsidRDefault="00000000">
      <w:pPr>
        <w:spacing w:after="240" w:line="400" w:lineRule="exact"/>
        <w:ind w:firstLine="425"/>
      </w:pPr>
      <w:r>
        <w:t>12</w:t>
      </w:r>
      <w:r>
        <w:rPr>
          <w:rFonts w:hint="eastAsia"/>
        </w:rPr>
        <w:t>名王后特派员中有一名妇女。在</w:t>
      </w:r>
      <w:r>
        <w:t>1998</w:t>
      </w:r>
      <w:r>
        <w:rPr>
          <w:rFonts w:hint="eastAsia"/>
        </w:rPr>
        <w:t>年</w:t>
      </w:r>
      <w:r>
        <w:t>1</w:t>
      </w:r>
      <w:r>
        <w:rPr>
          <w:rFonts w:hint="eastAsia"/>
        </w:rPr>
        <w:t>月</w:t>
      </w:r>
      <w:r>
        <w:t>16</w:t>
      </w:r>
      <w:r>
        <w:rPr>
          <w:rFonts w:hint="eastAsia"/>
        </w:rPr>
        <w:t>日</w:t>
      </w:r>
      <w:r>
        <w:t>548</w:t>
      </w:r>
      <w:r>
        <w:rPr>
          <w:rFonts w:hint="eastAsia"/>
        </w:rPr>
        <w:t>个市中有</w:t>
      </w:r>
      <w:r>
        <w:t>513</w:t>
      </w:r>
      <w:r>
        <w:rPr>
          <w:rFonts w:hint="eastAsia"/>
        </w:rPr>
        <w:t>个有国王任命的市长。这些市长中有</w:t>
      </w:r>
      <w:r>
        <w:t>86</w:t>
      </w:r>
      <w:r>
        <w:rPr>
          <w:rFonts w:hint="eastAsia"/>
        </w:rPr>
        <w:t>位是妇女。</w:t>
      </w:r>
    </w:p>
    <w:p w:rsidR="00000000" w:rsidRDefault="00000000">
      <w:pPr>
        <w:spacing w:after="240" w:line="400" w:lineRule="exact"/>
        <w:ind w:firstLine="425"/>
      </w:pPr>
      <w:r>
        <w:rPr>
          <w:rFonts w:hint="eastAsia"/>
        </w:rPr>
        <w:t>下表所列为</w:t>
      </w:r>
      <w:r>
        <w:t>1991</w:t>
      </w:r>
      <w:r>
        <w:rPr>
          <w:rFonts w:hint="eastAsia"/>
        </w:rPr>
        <w:t>年和</w:t>
      </w:r>
      <w:r>
        <w:t>1996</w:t>
      </w:r>
      <w:r>
        <w:rPr>
          <w:rFonts w:hint="eastAsia"/>
        </w:rPr>
        <w:t>年中央政府中任文官职位的妇女比例的资料：</w:t>
      </w:r>
    </w:p>
    <w:p w:rsidR="00000000" w:rsidRDefault="00000000">
      <w:pPr>
        <w:spacing w:after="240" w:line="400" w:lineRule="exact"/>
        <w:ind w:firstLine="425"/>
        <w:rPr>
          <w:rFonts w:ascii="楷体" w:eastAsia="楷体"/>
        </w:rPr>
      </w:pPr>
      <w:r>
        <w:rPr>
          <w:rFonts w:ascii="楷体" w:eastAsia="楷体" w:hint="eastAsia"/>
        </w:rPr>
        <w:t>表</w:t>
      </w:r>
      <w:r>
        <w:rPr>
          <w:rFonts w:ascii="楷体" w:eastAsia="楷体"/>
        </w:rPr>
        <w:t xml:space="preserve">5.3     </w:t>
      </w:r>
      <w:r>
        <w:rPr>
          <w:rFonts w:ascii="楷体" w:eastAsia="楷体" w:hint="eastAsia"/>
        </w:rPr>
        <w:t>任文官职位的妇女比例</w:t>
      </w:r>
    </w:p>
    <w:tbl>
      <w:tblPr>
        <w:tblW w:w="0" w:type="auto"/>
        <w:tblLayout w:type="fixed"/>
        <w:tblCellMar>
          <w:left w:w="28" w:type="dxa"/>
          <w:right w:w="28" w:type="dxa"/>
        </w:tblCellMar>
        <w:tblLook w:val="0000" w:firstRow="0" w:lastRow="0" w:firstColumn="0" w:lastColumn="0" w:noHBand="0" w:noVBand="0"/>
      </w:tblPr>
      <w:tblGrid>
        <w:gridCol w:w="2428"/>
        <w:gridCol w:w="1440"/>
        <w:gridCol w:w="6048"/>
      </w:tblGrid>
      <w:tr w:rsidR="00000000">
        <w:tblPrEx>
          <w:tblCellMar>
            <w:top w:w="0" w:type="dxa"/>
            <w:bottom w:w="0" w:type="dxa"/>
          </w:tblCellMar>
        </w:tblPrEx>
        <w:tc>
          <w:tcPr>
            <w:tcW w:w="2428" w:type="dxa"/>
          </w:tcPr>
          <w:p w:rsidR="00000000" w:rsidRDefault="00000000">
            <w:pPr>
              <w:spacing w:line="400" w:lineRule="exact"/>
              <w:ind w:firstLine="425"/>
            </w:pPr>
          </w:p>
        </w:tc>
        <w:tc>
          <w:tcPr>
            <w:tcW w:w="1440" w:type="dxa"/>
          </w:tcPr>
          <w:p w:rsidR="00000000" w:rsidRDefault="00000000">
            <w:pPr>
              <w:spacing w:line="400" w:lineRule="exact"/>
            </w:pPr>
            <w:r>
              <w:t>1991</w:t>
            </w:r>
            <w:r>
              <w:rPr>
                <w:rFonts w:hint="eastAsia"/>
              </w:rPr>
              <w:t>年</w:t>
            </w:r>
          </w:p>
        </w:tc>
        <w:tc>
          <w:tcPr>
            <w:tcW w:w="6048" w:type="dxa"/>
          </w:tcPr>
          <w:p w:rsidR="00000000" w:rsidRDefault="00000000">
            <w:pPr>
              <w:spacing w:line="400" w:lineRule="exact"/>
            </w:pPr>
            <w:r>
              <w:t>1996</w:t>
            </w:r>
            <w:r>
              <w:rPr>
                <w:rFonts w:hint="eastAsia"/>
              </w:rPr>
              <w:t>年</w:t>
            </w:r>
          </w:p>
        </w:tc>
      </w:tr>
      <w:tr w:rsidR="00000000">
        <w:tblPrEx>
          <w:tblCellMar>
            <w:top w:w="0" w:type="dxa"/>
            <w:bottom w:w="0" w:type="dxa"/>
          </w:tblCellMar>
        </w:tblPrEx>
        <w:tc>
          <w:tcPr>
            <w:tcW w:w="2428" w:type="dxa"/>
          </w:tcPr>
          <w:p w:rsidR="00000000" w:rsidRDefault="00000000">
            <w:pPr>
              <w:spacing w:line="400" w:lineRule="exact"/>
              <w:ind w:firstLine="425"/>
            </w:pPr>
            <w:r>
              <w:rPr>
                <w:rFonts w:hint="eastAsia"/>
              </w:rPr>
              <w:t>中央政府</w:t>
            </w:r>
          </w:p>
        </w:tc>
        <w:tc>
          <w:tcPr>
            <w:tcW w:w="1440" w:type="dxa"/>
          </w:tcPr>
          <w:p w:rsidR="00000000" w:rsidRDefault="00000000">
            <w:pPr>
              <w:spacing w:line="400" w:lineRule="exact"/>
            </w:pPr>
            <w:r>
              <w:t>28</w:t>
            </w:r>
          </w:p>
        </w:tc>
        <w:tc>
          <w:tcPr>
            <w:tcW w:w="6048" w:type="dxa"/>
          </w:tcPr>
          <w:p w:rsidR="00000000" w:rsidRDefault="00000000">
            <w:pPr>
              <w:spacing w:line="400" w:lineRule="exact"/>
            </w:pPr>
            <w:r>
              <w:t>31</w:t>
            </w:r>
          </w:p>
        </w:tc>
      </w:tr>
      <w:tr w:rsidR="00000000">
        <w:tblPrEx>
          <w:tblCellMar>
            <w:top w:w="0" w:type="dxa"/>
            <w:bottom w:w="0" w:type="dxa"/>
          </w:tblCellMar>
        </w:tblPrEx>
        <w:tc>
          <w:tcPr>
            <w:tcW w:w="2428" w:type="dxa"/>
          </w:tcPr>
          <w:p w:rsidR="00000000" w:rsidRDefault="00000000">
            <w:pPr>
              <w:spacing w:line="400" w:lineRule="exact"/>
              <w:ind w:firstLine="425"/>
            </w:pPr>
            <w:r>
              <w:rPr>
                <w:rFonts w:hint="eastAsia"/>
              </w:rPr>
              <w:t>任职</w:t>
            </w:r>
          </w:p>
        </w:tc>
        <w:tc>
          <w:tcPr>
            <w:tcW w:w="1440" w:type="dxa"/>
          </w:tcPr>
          <w:p w:rsidR="00000000" w:rsidRDefault="00000000">
            <w:pPr>
              <w:spacing w:line="400" w:lineRule="exact"/>
            </w:pPr>
            <w:r>
              <w:t>52</w:t>
            </w:r>
          </w:p>
        </w:tc>
        <w:tc>
          <w:tcPr>
            <w:tcW w:w="6048" w:type="dxa"/>
          </w:tcPr>
          <w:p w:rsidR="00000000" w:rsidRDefault="00000000">
            <w:pPr>
              <w:spacing w:line="400" w:lineRule="exact"/>
            </w:pPr>
            <w:r>
              <w:t>47</w:t>
            </w:r>
          </w:p>
        </w:tc>
      </w:tr>
      <w:tr w:rsidR="00000000">
        <w:tblPrEx>
          <w:tblCellMar>
            <w:top w:w="0" w:type="dxa"/>
            <w:bottom w:w="0" w:type="dxa"/>
          </w:tblCellMar>
        </w:tblPrEx>
        <w:tc>
          <w:tcPr>
            <w:tcW w:w="2428" w:type="dxa"/>
          </w:tcPr>
          <w:p w:rsidR="00000000" w:rsidRDefault="00000000">
            <w:pPr>
              <w:spacing w:line="400" w:lineRule="exact"/>
              <w:ind w:firstLine="425"/>
            </w:pPr>
            <w:r>
              <w:rPr>
                <w:rFonts w:hint="eastAsia"/>
              </w:rPr>
              <w:t>离职</w:t>
            </w:r>
          </w:p>
        </w:tc>
        <w:tc>
          <w:tcPr>
            <w:tcW w:w="1440" w:type="dxa"/>
          </w:tcPr>
          <w:p w:rsidR="00000000" w:rsidRDefault="00000000">
            <w:pPr>
              <w:spacing w:line="400" w:lineRule="exact"/>
            </w:pPr>
            <w:r>
              <w:t>42</w:t>
            </w:r>
          </w:p>
        </w:tc>
        <w:tc>
          <w:tcPr>
            <w:tcW w:w="6048" w:type="dxa"/>
          </w:tcPr>
          <w:p w:rsidR="00000000" w:rsidRDefault="00000000">
            <w:pPr>
              <w:spacing w:line="400" w:lineRule="exact"/>
            </w:pPr>
            <w:r>
              <w:t>41</w:t>
            </w:r>
          </w:p>
        </w:tc>
      </w:tr>
      <w:tr w:rsidR="00000000">
        <w:tblPrEx>
          <w:tblCellMar>
            <w:top w:w="0" w:type="dxa"/>
            <w:bottom w:w="0" w:type="dxa"/>
          </w:tblCellMar>
        </w:tblPrEx>
        <w:tc>
          <w:tcPr>
            <w:tcW w:w="2428" w:type="dxa"/>
          </w:tcPr>
          <w:p w:rsidR="00000000" w:rsidRDefault="00000000">
            <w:pPr>
              <w:spacing w:line="400" w:lineRule="exact"/>
              <w:ind w:firstLine="425"/>
            </w:pPr>
            <w:r>
              <w:rPr>
                <w:rFonts w:hint="eastAsia"/>
              </w:rPr>
              <w:t>任高级职位</w:t>
            </w:r>
          </w:p>
        </w:tc>
        <w:tc>
          <w:tcPr>
            <w:tcW w:w="1440" w:type="dxa"/>
          </w:tcPr>
          <w:p w:rsidR="00000000" w:rsidRDefault="00000000">
            <w:pPr>
              <w:spacing w:line="400" w:lineRule="exact"/>
            </w:pPr>
            <w:r>
              <w:t>15</w:t>
            </w:r>
          </w:p>
        </w:tc>
        <w:tc>
          <w:tcPr>
            <w:tcW w:w="6048" w:type="dxa"/>
          </w:tcPr>
          <w:p w:rsidR="00000000" w:rsidRDefault="00000000">
            <w:pPr>
              <w:spacing w:line="400" w:lineRule="exact"/>
            </w:pPr>
            <w:r>
              <w:t>20</w:t>
            </w:r>
          </w:p>
        </w:tc>
      </w:tr>
      <w:tr w:rsidR="00000000">
        <w:tblPrEx>
          <w:tblCellMar>
            <w:top w:w="0" w:type="dxa"/>
            <w:bottom w:w="0" w:type="dxa"/>
          </w:tblCellMar>
        </w:tblPrEx>
        <w:tc>
          <w:tcPr>
            <w:tcW w:w="2428" w:type="dxa"/>
          </w:tcPr>
          <w:p w:rsidR="00000000" w:rsidRDefault="00000000">
            <w:pPr>
              <w:spacing w:line="400" w:lineRule="exact"/>
              <w:ind w:firstLine="425"/>
            </w:pPr>
            <w:r>
              <w:rPr>
                <w:rFonts w:hint="eastAsia"/>
              </w:rPr>
              <w:t>非全日工作</w:t>
            </w:r>
            <w:r>
              <w:rPr>
                <w:rStyle w:val="FootnoteReference"/>
              </w:rPr>
              <w:footnoteReference w:customMarkFollows="1" w:id="25"/>
              <w:t>23</w:t>
            </w:r>
          </w:p>
        </w:tc>
        <w:tc>
          <w:tcPr>
            <w:tcW w:w="1440" w:type="dxa"/>
          </w:tcPr>
          <w:p w:rsidR="00000000" w:rsidRDefault="00000000">
            <w:pPr>
              <w:spacing w:line="400" w:lineRule="exact"/>
            </w:pPr>
            <w:r>
              <w:t>42</w:t>
            </w:r>
          </w:p>
        </w:tc>
        <w:tc>
          <w:tcPr>
            <w:tcW w:w="6048" w:type="dxa"/>
          </w:tcPr>
          <w:p w:rsidR="00000000" w:rsidRDefault="00000000">
            <w:pPr>
              <w:spacing w:line="400" w:lineRule="exact"/>
            </w:pPr>
            <w:r>
              <w:t>49</w:t>
            </w:r>
          </w:p>
        </w:tc>
      </w:tr>
      <w:tr w:rsidR="00000000">
        <w:tblPrEx>
          <w:tblCellMar>
            <w:top w:w="0" w:type="dxa"/>
            <w:bottom w:w="0" w:type="dxa"/>
          </w:tblCellMar>
        </w:tblPrEx>
        <w:tc>
          <w:tcPr>
            <w:tcW w:w="2428" w:type="dxa"/>
          </w:tcPr>
          <w:p w:rsidR="00000000" w:rsidRDefault="00000000">
            <w:pPr>
              <w:spacing w:line="400" w:lineRule="exact"/>
              <w:ind w:firstLine="425"/>
            </w:pPr>
          </w:p>
        </w:tc>
        <w:tc>
          <w:tcPr>
            <w:tcW w:w="1440" w:type="dxa"/>
          </w:tcPr>
          <w:p w:rsidR="00000000" w:rsidRDefault="00000000">
            <w:pPr>
              <w:spacing w:line="400" w:lineRule="exact"/>
            </w:pPr>
          </w:p>
        </w:tc>
        <w:tc>
          <w:tcPr>
            <w:tcW w:w="6048" w:type="dxa"/>
          </w:tcPr>
          <w:p w:rsidR="00000000" w:rsidRDefault="00000000">
            <w:pPr>
              <w:spacing w:line="400" w:lineRule="exact"/>
            </w:pPr>
          </w:p>
        </w:tc>
      </w:tr>
    </w:tbl>
    <w:p w:rsidR="00000000" w:rsidRDefault="00000000">
      <w:pPr>
        <w:spacing w:after="240" w:line="400" w:lineRule="exact"/>
        <w:ind w:firstLine="425"/>
      </w:pPr>
      <w:r>
        <w:rPr>
          <w:rFonts w:hint="eastAsia"/>
        </w:rPr>
        <w:t>数字表明任高级职位的妇女比例明显上升。</w:t>
      </w:r>
    </w:p>
    <w:p w:rsidR="00000000" w:rsidRDefault="00000000">
      <w:pPr>
        <w:spacing w:after="240" w:line="400" w:lineRule="exact"/>
        <w:rPr>
          <w:rFonts w:ascii="SimHei" w:eastAsia="SimHei"/>
        </w:rPr>
      </w:pPr>
      <w:r>
        <w:rPr>
          <w:rFonts w:ascii="SimHei" w:eastAsia="SimHei"/>
        </w:rPr>
        <w:t xml:space="preserve">1(b)  </w:t>
      </w:r>
      <w:r>
        <w:rPr>
          <w:rFonts w:ascii="SimHei" w:eastAsia="SimHei" w:hint="eastAsia"/>
        </w:rPr>
        <w:t>立法措施</w:t>
      </w:r>
    </w:p>
    <w:p w:rsidR="00000000" w:rsidRDefault="00000000">
      <w:pPr>
        <w:spacing w:after="240" w:line="400" w:lineRule="exact"/>
        <w:rPr>
          <w:rFonts w:ascii="楷体" w:eastAsia="楷体"/>
        </w:rPr>
      </w:pPr>
      <w:r>
        <w:rPr>
          <w:rFonts w:ascii="楷体" w:eastAsia="楷体" w:hint="eastAsia"/>
        </w:rPr>
        <w:t>咨询机构框架法</w:t>
      </w:r>
    </w:p>
    <w:p w:rsidR="00000000" w:rsidRDefault="00000000">
      <w:pPr>
        <w:spacing w:after="240" w:line="400" w:lineRule="exact"/>
        <w:ind w:firstLine="425"/>
      </w:pPr>
      <w:r>
        <w:rPr>
          <w:rFonts w:hint="eastAsia"/>
        </w:rPr>
        <w:t>《咨询机构框架法》于</w:t>
      </w:r>
      <w:r>
        <w:t>1997</w:t>
      </w:r>
      <w:r>
        <w:rPr>
          <w:rFonts w:hint="eastAsia"/>
        </w:rPr>
        <w:t>年</w:t>
      </w:r>
      <w:r>
        <w:t>1</w:t>
      </w:r>
      <w:r>
        <w:rPr>
          <w:rFonts w:hint="eastAsia"/>
        </w:rPr>
        <w:t>月</w:t>
      </w:r>
      <w:r>
        <w:t>1</w:t>
      </w:r>
      <w:r>
        <w:rPr>
          <w:rFonts w:hint="eastAsia"/>
        </w:rPr>
        <w:t>日生效。按照该法咨询机构有法规义务努力确保妇女（种族或文化少数）按比例参与。事实证明这是促进妇女参与咨询机构的重要的一步。因此妇女成员的比例大大增加，尤其是在新近组成的咨询机构中。</w:t>
      </w:r>
    </w:p>
    <w:p w:rsidR="00000000" w:rsidRDefault="00000000">
      <w:pPr>
        <w:spacing w:after="240" w:line="400" w:lineRule="exact"/>
        <w:rPr>
          <w:rFonts w:ascii="楷体" w:eastAsia="楷体"/>
        </w:rPr>
      </w:pPr>
      <w:r>
        <w:rPr>
          <w:rFonts w:ascii="楷体" w:eastAsia="楷体" w:hint="eastAsia"/>
        </w:rPr>
        <w:t>父母休假法</w:t>
      </w:r>
    </w:p>
    <w:p w:rsidR="00000000" w:rsidRDefault="00000000">
      <w:pPr>
        <w:spacing w:after="240" w:line="400" w:lineRule="exact"/>
        <w:ind w:firstLine="425"/>
      </w:pPr>
      <w:r>
        <w:rPr>
          <w:rFonts w:hint="eastAsia"/>
        </w:rPr>
        <w:t>对于希望在政治和公共生活中发挥积极作用的妇女来说良好的儿童保育设施是必不可少的。近年来这些设施大大增多了。越来越多的政府部本身为自己员工建立了儿童保育设施。上一份报告中提到的父母休假法在</w:t>
      </w:r>
      <w:r>
        <w:t>1997</w:t>
      </w:r>
      <w:r>
        <w:rPr>
          <w:rFonts w:hint="eastAsia"/>
        </w:rPr>
        <w:t>年延长了。第九章将讨论这个问题。</w:t>
      </w:r>
    </w:p>
    <w:p w:rsidR="00000000" w:rsidRDefault="00000000">
      <w:pPr>
        <w:spacing w:after="240" w:line="400" w:lineRule="exact"/>
        <w:rPr>
          <w:rFonts w:ascii="SimHei" w:eastAsia="SimHei"/>
          <w:sz w:val="24"/>
        </w:rPr>
      </w:pPr>
      <w:r>
        <w:rPr>
          <w:rFonts w:ascii="SimHei" w:eastAsia="SimHei" w:hint="eastAsia"/>
          <w:sz w:val="24"/>
        </w:rPr>
        <w:t>第二级：走向多样化</w:t>
      </w:r>
    </w:p>
    <w:p w:rsidR="00000000" w:rsidRDefault="00000000">
      <w:pPr>
        <w:spacing w:after="240" w:line="400" w:lineRule="exact"/>
        <w:ind w:firstLine="425"/>
      </w:pPr>
      <w:r>
        <w:t>1992</w:t>
      </w:r>
      <w:r>
        <w:rPr>
          <w:rFonts w:hint="eastAsia"/>
        </w:rPr>
        <w:t>年</w:t>
      </w:r>
      <w:r>
        <w:t>8</w:t>
      </w:r>
      <w:r>
        <w:rPr>
          <w:rFonts w:hint="eastAsia"/>
        </w:rPr>
        <w:t>月当时的政府制订了大量可以用来促进妇女参与政治和公共生活的措施。这些措施包括要在</w:t>
      </w:r>
      <w:r>
        <w:t>1995</w:t>
      </w:r>
      <w:r>
        <w:rPr>
          <w:rFonts w:hint="eastAsia"/>
        </w:rPr>
        <w:t>年底实现的各种数量指标。到那段时间末九项指标中仅实现了五项。不仅</w:t>
      </w:r>
      <w:r>
        <w:t>1994</w:t>
      </w:r>
      <w:r>
        <w:rPr>
          <w:rFonts w:hint="eastAsia"/>
        </w:rPr>
        <w:t>年市议会选举的结果令人失望，而且很快得知相当大的比例新当选的妇女和移民，不久就离开了政治生活。有时这被描述成“旋转门”现象。因此政府决定在</w:t>
      </w:r>
      <w:r>
        <w:t>1996</w:t>
      </w:r>
      <w:r>
        <w:rPr>
          <w:rFonts w:hint="eastAsia"/>
        </w:rPr>
        <w:t>年来取后续措施。</w:t>
      </w:r>
    </w:p>
    <w:p w:rsidR="00000000" w:rsidRDefault="00000000">
      <w:pPr>
        <w:spacing w:after="240" w:line="400" w:lineRule="exact"/>
        <w:ind w:firstLine="425"/>
      </w:pPr>
      <w:r>
        <w:rPr>
          <w:rFonts w:hint="eastAsia"/>
        </w:rPr>
        <w:t>当局试图改善妇女状况的一个方法是汇集指标数字和监测业绩（通过年度报告）。当</w:t>
      </w:r>
      <w:r>
        <w:t>1996</w:t>
      </w:r>
      <w:r>
        <w:rPr>
          <w:rFonts w:hint="eastAsia"/>
        </w:rPr>
        <w:t>年政府采用了后续政策时一些</w:t>
      </w:r>
      <w:r>
        <w:t>1992</w:t>
      </w:r>
      <w:r>
        <w:rPr>
          <w:rFonts w:hint="eastAsia"/>
        </w:rPr>
        <w:t>年的指标数字增加了。在</w:t>
      </w:r>
      <w:r>
        <w:t>1997</w:t>
      </w:r>
      <w:r>
        <w:rPr>
          <w:rFonts w:hint="eastAsia"/>
        </w:rPr>
        <w:t>年</w:t>
      </w:r>
      <w:r>
        <w:t>4</w:t>
      </w:r>
      <w:r>
        <w:rPr>
          <w:rFonts w:hint="eastAsia"/>
        </w:rPr>
        <w:t>月</w:t>
      </w:r>
      <w:r>
        <w:t>15</w:t>
      </w:r>
      <w:r>
        <w:rPr>
          <w:rFonts w:hint="eastAsia"/>
        </w:rPr>
        <w:t>日内务大臣与议会常设内务委员会之间的一般协商期间，绝大多数委员会成员主张进一步提高指标。政府已同意这个愿望。它现在建议各议会和部门的指标数字如下：</w:t>
      </w:r>
    </w:p>
    <w:p w:rsidR="00000000" w:rsidRDefault="00000000">
      <w:pPr>
        <w:tabs>
          <w:tab w:val="left" w:pos="1800"/>
        </w:tabs>
        <w:spacing w:after="240" w:line="400" w:lineRule="exact"/>
        <w:ind w:firstLine="425"/>
      </w:pPr>
      <w:r>
        <w:rPr>
          <w:rFonts w:hint="eastAsia"/>
        </w:rPr>
        <w:t>下院：</w:t>
      </w:r>
      <w:r>
        <w:tab/>
      </w:r>
      <w:r>
        <w:rPr>
          <w:rFonts w:hint="eastAsia"/>
        </w:rPr>
        <w:t>下届选举达到</w:t>
      </w:r>
      <w:r>
        <w:t>35%</w:t>
      </w:r>
      <w:r>
        <w:rPr>
          <w:rFonts w:hint="eastAsia"/>
        </w:rPr>
        <w:t>以上（上一个指标为</w:t>
      </w:r>
      <w:r>
        <w:t>35%</w:t>
      </w:r>
      <w:r>
        <w:rPr>
          <w:rFonts w:hint="eastAsia"/>
        </w:rPr>
        <w:t>）（以后每届选举增加</w:t>
      </w:r>
      <w:r>
        <w:t>5%</w:t>
      </w:r>
      <w:r>
        <w:rPr>
          <w:rFonts w:hint="eastAsia"/>
        </w:rPr>
        <w:t>直到达到均衡比例）。</w:t>
      </w:r>
    </w:p>
    <w:p w:rsidR="00000000" w:rsidRDefault="00000000">
      <w:pPr>
        <w:tabs>
          <w:tab w:val="left" w:pos="1800"/>
        </w:tabs>
        <w:spacing w:after="240" w:line="400" w:lineRule="exact"/>
        <w:ind w:firstLine="425"/>
      </w:pPr>
      <w:r>
        <w:rPr>
          <w:rFonts w:hint="eastAsia"/>
        </w:rPr>
        <w:t>省议会：</w:t>
      </w:r>
      <w:r>
        <w:tab/>
      </w:r>
      <w:r>
        <w:rPr>
          <w:rFonts w:hint="eastAsia"/>
        </w:rPr>
        <w:t>下届选举达到</w:t>
      </w:r>
      <w:r>
        <w:t>35%</w:t>
      </w:r>
      <w:r>
        <w:rPr>
          <w:rFonts w:hint="eastAsia"/>
        </w:rPr>
        <w:t>（未变）（以后每届选举增加</w:t>
      </w:r>
      <w:r>
        <w:t>5%</w:t>
      </w:r>
      <w:r>
        <w:rPr>
          <w:rFonts w:hint="eastAsia"/>
        </w:rPr>
        <w:t>直到达到均衡比例）。</w:t>
      </w:r>
    </w:p>
    <w:p w:rsidR="00000000" w:rsidRDefault="00000000">
      <w:pPr>
        <w:tabs>
          <w:tab w:val="left" w:pos="1800"/>
        </w:tabs>
        <w:spacing w:after="240" w:line="400" w:lineRule="exact"/>
        <w:ind w:firstLine="425"/>
      </w:pPr>
      <w:r>
        <w:rPr>
          <w:rFonts w:hint="eastAsia"/>
        </w:rPr>
        <w:t>欧洲议会：</w:t>
      </w:r>
      <w:r>
        <w:tab/>
      </w:r>
      <w:r>
        <w:rPr>
          <w:rFonts w:hint="eastAsia"/>
        </w:rPr>
        <w:t>同前</w:t>
      </w:r>
    </w:p>
    <w:p w:rsidR="00000000" w:rsidRDefault="00000000">
      <w:pPr>
        <w:tabs>
          <w:tab w:val="left" w:pos="1800"/>
        </w:tabs>
        <w:spacing w:after="240" w:line="400" w:lineRule="exact"/>
        <w:ind w:firstLine="425"/>
      </w:pPr>
      <w:r>
        <w:rPr>
          <w:rFonts w:hint="eastAsia"/>
        </w:rPr>
        <w:t>上院：</w:t>
      </w:r>
      <w:r>
        <w:tab/>
      </w:r>
      <w:r>
        <w:rPr>
          <w:rFonts w:hint="eastAsia"/>
        </w:rPr>
        <w:t>下届选举达到</w:t>
      </w:r>
      <w:r>
        <w:t>35%</w:t>
      </w:r>
      <w:r>
        <w:rPr>
          <w:rFonts w:hint="eastAsia"/>
        </w:rPr>
        <w:t>（上一个指标为</w:t>
      </w:r>
      <w:r>
        <w:t>30%</w:t>
      </w:r>
      <w:r>
        <w:rPr>
          <w:rFonts w:hint="eastAsia"/>
        </w:rPr>
        <w:t>）（以后每届选举增加</w:t>
      </w:r>
      <w:r>
        <w:t>5%</w:t>
      </w:r>
      <w:r>
        <w:rPr>
          <w:rFonts w:hint="eastAsia"/>
        </w:rPr>
        <w:t>，直至达到均衡比例）。</w:t>
      </w:r>
    </w:p>
    <w:p w:rsidR="00000000" w:rsidRDefault="00000000">
      <w:pPr>
        <w:tabs>
          <w:tab w:val="left" w:pos="1800"/>
        </w:tabs>
        <w:spacing w:after="240" w:line="400" w:lineRule="exact"/>
        <w:ind w:left="1800" w:hanging="1375"/>
      </w:pPr>
      <w:r>
        <w:rPr>
          <w:rFonts w:hint="eastAsia"/>
        </w:rPr>
        <w:t>市议会：</w:t>
      </w:r>
      <w:r>
        <w:tab/>
      </w:r>
      <w:r>
        <w:rPr>
          <w:rFonts w:hint="eastAsia"/>
        </w:rPr>
        <w:t>下届选举达到</w:t>
      </w:r>
      <w:r>
        <w:t>30%</w:t>
      </w:r>
      <w:r>
        <w:rPr>
          <w:rFonts w:hint="eastAsia"/>
        </w:rPr>
        <w:t>（未变）（以后每届选举增加</w:t>
      </w:r>
      <w:r>
        <w:t>5%</w:t>
      </w:r>
      <w:r>
        <w:rPr>
          <w:rFonts w:hint="eastAsia"/>
        </w:rPr>
        <w:t>，直至达到均衡比例）。如果</w:t>
      </w:r>
      <w:r>
        <w:t>1998</w:t>
      </w:r>
      <w:r>
        <w:rPr>
          <w:rFonts w:hint="eastAsia"/>
        </w:rPr>
        <w:t>年市选举的指标被超过，下届选举的指标将增加一倍，即</w:t>
      </w:r>
      <w:r>
        <w:t>10%</w:t>
      </w:r>
      <w:r>
        <w:rPr>
          <w:rFonts w:hint="eastAsia"/>
        </w:rPr>
        <w:t>。</w:t>
      </w:r>
    </w:p>
    <w:p w:rsidR="00000000" w:rsidRDefault="00000000">
      <w:pPr>
        <w:tabs>
          <w:tab w:val="left" w:pos="1800"/>
        </w:tabs>
        <w:spacing w:after="240" w:line="400" w:lineRule="exact"/>
        <w:ind w:firstLine="425"/>
      </w:pPr>
      <w:r>
        <w:rPr>
          <w:rFonts w:hint="eastAsia"/>
        </w:rPr>
        <w:t>市长：</w:t>
      </w:r>
      <w:r>
        <w:tab/>
      </w:r>
      <w:r>
        <w:rPr>
          <w:rFonts w:hint="eastAsia"/>
        </w:rPr>
        <w:t>到</w:t>
      </w:r>
      <w:r>
        <w:t>2002</w:t>
      </w:r>
      <w:r>
        <w:rPr>
          <w:rFonts w:hint="eastAsia"/>
        </w:rPr>
        <w:t>年底时达到</w:t>
      </w:r>
      <w:r>
        <w:t>25%</w:t>
      </w:r>
      <w:r>
        <w:rPr>
          <w:rFonts w:hint="eastAsia"/>
        </w:rPr>
        <w:t>（前指标为</w:t>
      </w:r>
      <w:r>
        <w:t>20%</w:t>
      </w:r>
      <w:r>
        <w:rPr>
          <w:rFonts w:hint="eastAsia"/>
        </w:rPr>
        <w:t>）。</w:t>
      </w:r>
    </w:p>
    <w:p w:rsidR="00000000" w:rsidRDefault="00000000">
      <w:pPr>
        <w:tabs>
          <w:tab w:val="left" w:pos="1800"/>
        </w:tabs>
        <w:spacing w:after="240" w:line="400" w:lineRule="exact"/>
        <w:ind w:firstLine="425"/>
      </w:pPr>
      <w:r>
        <w:rPr>
          <w:rFonts w:hint="eastAsia"/>
        </w:rPr>
        <w:t>王后特派员：</w:t>
      </w:r>
      <w:r>
        <w:tab/>
      </w:r>
      <w:r>
        <w:rPr>
          <w:rFonts w:hint="eastAsia"/>
        </w:rPr>
        <w:t>到</w:t>
      </w:r>
      <w:r>
        <w:t>2002</w:t>
      </w:r>
      <w:r>
        <w:rPr>
          <w:rFonts w:hint="eastAsia"/>
        </w:rPr>
        <w:t>年底时达到</w:t>
      </w:r>
      <w:r>
        <w:t>25%</w:t>
      </w:r>
      <w:r>
        <w:rPr>
          <w:rFonts w:hint="eastAsia"/>
        </w:rPr>
        <w:t>（未变）。</w:t>
      </w:r>
    </w:p>
    <w:p w:rsidR="00000000" w:rsidRDefault="00000000">
      <w:pPr>
        <w:spacing w:after="240" w:line="400" w:lineRule="exact"/>
        <w:ind w:firstLine="425"/>
      </w:pPr>
      <w:r>
        <w:rPr>
          <w:rFonts w:hint="eastAsia"/>
        </w:rPr>
        <w:t>政府除了采用</w:t>
      </w:r>
      <w:r>
        <w:t>1996</w:t>
      </w:r>
      <w:r>
        <w:rPr>
          <w:rFonts w:hint="eastAsia"/>
        </w:rPr>
        <w:t>年的指标之外还提出了一系列增加移民妇女参与当地政治的措施。例如，在</w:t>
      </w:r>
      <w:r>
        <w:t>1997</w:t>
      </w:r>
      <w:r>
        <w:rPr>
          <w:rFonts w:hint="eastAsia"/>
        </w:rPr>
        <w:t>年</w:t>
      </w:r>
      <w:r>
        <w:t>3</w:t>
      </w:r>
      <w:r>
        <w:rPr>
          <w:rFonts w:hint="eastAsia"/>
        </w:rPr>
        <w:t>月</w:t>
      </w:r>
      <w:r>
        <w:t>8</w:t>
      </w:r>
      <w:r>
        <w:rPr>
          <w:rFonts w:hint="eastAsia"/>
        </w:rPr>
        <w:t>日召开了一个会议，以促进</w:t>
      </w:r>
      <w:r>
        <w:t>1998</w:t>
      </w:r>
      <w:r>
        <w:rPr>
          <w:rFonts w:hint="eastAsia"/>
        </w:rPr>
        <w:t>年市政选举侯选人名单中更大的多样性，并表明这样做既有利于当地政治也有利于政党本身。这些活动主要致力于市一级各政党为</w:t>
      </w:r>
      <w:r>
        <w:t>1998</w:t>
      </w:r>
      <w:r>
        <w:rPr>
          <w:rFonts w:hint="eastAsia"/>
        </w:rPr>
        <w:t>年</w:t>
      </w:r>
      <w:r>
        <w:t>3</w:t>
      </w:r>
      <w:r>
        <w:rPr>
          <w:rFonts w:hint="eastAsia"/>
        </w:rPr>
        <w:t>月市政选举补充和挑选候选人的进程。该会议提出了一系列能帮助确保侯选人名单有更多不同组成的建议。已在各政党中散发了这些建议。在市政选举的竞选时期政府还支助了一系列旨在实现地方政治中更具多样性的活动。它们包括为对政治有兴趣的黑人、移民和难民妇女开设的培训课程、为当地政治团体服务的措施以及（开始选举前不久的）针对广大公众的宣传运动。</w:t>
      </w:r>
    </w:p>
    <w:p w:rsidR="00000000" w:rsidRDefault="00000000">
      <w:pPr>
        <w:spacing w:after="240" w:line="400" w:lineRule="exact"/>
        <w:ind w:firstLine="425"/>
      </w:pPr>
      <w:r>
        <w:rPr>
          <w:rFonts w:hint="eastAsia"/>
        </w:rPr>
        <w:t>鉴于补充和挑选阶段的巨大重要性以及缺少有关地方一级这一进程的信息，政府委托公众和政治生活研究所密切监测一些城市侯选人的确定。要特别注意那些采取具体措施补充和挑选侯选人以便确保政治更新和更具多样性（包括更多妇女和移民）的当地党派组织。监测进程的目的是：</w:t>
      </w:r>
    </w:p>
    <w:p w:rsidR="00000000" w:rsidRDefault="00000000">
      <w:pPr>
        <w:spacing w:after="240" w:line="400" w:lineRule="exact"/>
        <w:ind w:firstLine="425"/>
      </w:pPr>
      <w:r>
        <w:t xml:space="preserve">*  </w:t>
      </w:r>
      <w:r>
        <w:rPr>
          <w:rFonts w:hint="eastAsia"/>
        </w:rPr>
        <w:t>提供关于政治更新，特别是当地政党组织内补充和挑选妇女和移民过程的结果的信息；</w:t>
      </w:r>
    </w:p>
    <w:p w:rsidR="00000000" w:rsidRDefault="00000000">
      <w:pPr>
        <w:spacing w:after="240" w:line="400" w:lineRule="exact"/>
        <w:ind w:firstLine="425"/>
      </w:pPr>
      <w:r>
        <w:t xml:space="preserve">*  </w:t>
      </w:r>
      <w:r>
        <w:rPr>
          <w:rFonts w:hint="eastAsia"/>
        </w:rPr>
        <w:t>提供关于在当地侯选人名单中形成更大多样性的补充和挑选办法的信息；</w:t>
      </w:r>
    </w:p>
    <w:p w:rsidR="00000000" w:rsidRDefault="00000000">
      <w:pPr>
        <w:spacing w:after="240" w:line="400" w:lineRule="exact"/>
        <w:ind w:firstLine="425"/>
      </w:pPr>
      <w:r>
        <w:t xml:space="preserve">*  </w:t>
      </w:r>
      <w:r>
        <w:rPr>
          <w:rFonts w:hint="eastAsia"/>
        </w:rPr>
        <w:t>向各政党提出在他们的议会团体中如何增加多样性的建议；</w:t>
      </w:r>
    </w:p>
    <w:p w:rsidR="00000000" w:rsidRDefault="00000000">
      <w:pPr>
        <w:spacing w:after="240" w:line="400" w:lineRule="exact"/>
        <w:ind w:firstLine="425"/>
      </w:pPr>
      <w:r>
        <w:t xml:space="preserve">*  </w:t>
      </w:r>
      <w:r>
        <w:rPr>
          <w:rFonts w:hint="eastAsia"/>
        </w:rPr>
        <w:t>确保在各政党的议事日程上经常进行争取实现更大多样性的工作。</w:t>
      </w:r>
    </w:p>
    <w:p w:rsidR="00000000" w:rsidRDefault="00000000">
      <w:pPr>
        <w:spacing w:after="240" w:line="400" w:lineRule="exact"/>
        <w:ind w:firstLine="425"/>
      </w:pPr>
      <w:r>
        <w:rPr>
          <w:rFonts w:hint="eastAsia"/>
        </w:rPr>
        <w:t>其研究成果将在</w:t>
      </w:r>
      <w:r>
        <w:t>1998</w:t>
      </w:r>
      <w:r>
        <w:rPr>
          <w:rFonts w:hint="eastAsia"/>
        </w:rPr>
        <w:t>年公布。然后它的报告和建议将通过内务部的媒体传达给各政党。</w:t>
      </w:r>
    </w:p>
    <w:p w:rsidR="00000000" w:rsidRDefault="00000000">
      <w:pPr>
        <w:spacing w:after="240" w:line="400" w:lineRule="exact"/>
        <w:ind w:firstLine="425"/>
      </w:pPr>
      <w:r>
        <w:t>1998</w:t>
      </w:r>
      <w:r>
        <w:rPr>
          <w:rFonts w:hint="eastAsia"/>
        </w:rPr>
        <w:t>年内务大臣还为该项政策拨出了额外款项。这些经费将用于维护选举后政治部门内的多样性。</w:t>
      </w:r>
      <w:r>
        <w:t>1997</w:t>
      </w:r>
      <w:r>
        <w:rPr>
          <w:rFonts w:hint="eastAsia"/>
        </w:rPr>
        <w:t>年的重点是确保从政人员更具多样性。同样重要的是选举之后应保持多样性而且各政党和其他有关方面应继续集中力量于使它们的工作程序有更加专业化的基础以及更新它们的补充和挑选办法和机构文化，以便实现更大的多样性。这是因为人们发现当选公职的妇女和移民往往比男子和荷兰公民更快地离开政治生活（不是辞职就是只担任一期公职），以及因为各政党在更新、多样性和整个补充与挑选问题所表现的兴趣在选举之后往往很快就会消失。</w:t>
      </w:r>
    </w:p>
    <w:p w:rsidR="00000000" w:rsidRDefault="00000000">
      <w:pPr>
        <w:spacing w:after="240" w:line="400" w:lineRule="exact"/>
        <w:ind w:firstLine="425"/>
      </w:pPr>
      <w:r>
        <w:rPr>
          <w:rFonts w:hint="eastAsia"/>
        </w:rPr>
        <w:t>内务部和社会和就业部解放政策协调司与专家和实地工作者举行了三次献计献策会，以制订出更加深思熟虑和前后一致的管理对后者支助的政策。作为三次会议的结果，确定了两个优先项目：</w:t>
      </w:r>
    </w:p>
    <w:p w:rsidR="00000000" w:rsidRDefault="00000000">
      <w:pPr>
        <w:spacing w:after="240" w:line="400" w:lineRule="exact"/>
        <w:ind w:firstLine="425"/>
      </w:pPr>
      <w:r>
        <w:br w:type="page"/>
        <w:t xml:space="preserve">1.  </w:t>
      </w:r>
      <w:r>
        <w:rPr>
          <w:rFonts w:hint="eastAsia"/>
        </w:rPr>
        <w:t>旨在实现</w:t>
      </w:r>
      <w:r>
        <w:rPr>
          <w:rFonts w:ascii="楷体" w:eastAsia="楷体" w:hint="eastAsia"/>
        </w:rPr>
        <w:t>深入</w:t>
      </w:r>
      <w:r>
        <w:rPr>
          <w:rFonts w:hint="eastAsia"/>
        </w:rPr>
        <w:t>变革的行动（文化变革，对议会中新的更加不同的政治团体的指导方针，防止‘旋转门’现象的措施以及地方政党中‘人事政策’的制订；</w:t>
      </w:r>
    </w:p>
    <w:p w:rsidR="00000000" w:rsidRDefault="00000000">
      <w:pPr>
        <w:spacing w:after="240" w:line="400" w:lineRule="exact"/>
        <w:ind w:firstLine="425"/>
      </w:pPr>
      <w:r>
        <w:t xml:space="preserve">2.  </w:t>
      </w:r>
      <w:r>
        <w:rPr>
          <w:rFonts w:hint="eastAsia"/>
        </w:rPr>
        <w:t>旨在</w:t>
      </w:r>
      <w:r>
        <w:rPr>
          <w:rFonts w:ascii="楷体" w:eastAsia="楷体" w:hint="eastAsia"/>
        </w:rPr>
        <w:t>鼓励</w:t>
      </w:r>
      <w:r>
        <w:rPr>
          <w:rFonts w:ascii="楷体" w:eastAsia="楷体"/>
        </w:rPr>
        <w:t>/</w:t>
      </w:r>
      <w:r>
        <w:rPr>
          <w:rFonts w:ascii="楷体" w:eastAsia="楷体" w:hint="eastAsia"/>
        </w:rPr>
        <w:t>支助</w:t>
      </w:r>
      <w:r>
        <w:rPr>
          <w:rFonts w:hint="eastAsia"/>
        </w:rPr>
        <w:t>黑人、移民和难民妇女参政的行动。将通过具体的项目来支持这些优先项目。</w:t>
      </w:r>
    </w:p>
    <w:p w:rsidR="00000000" w:rsidRDefault="00000000">
      <w:pPr>
        <w:spacing w:after="240" w:line="400" w:lineRule="exact"/>
        <w:rPr>
          <w:rFonts w:ascii="楷体" w:eastAsia="楷体"/>
        </w:rPr>
      </w:pPr>
      <w:r>
        <w:rPr>
          <w:rFonts w:ascii="楷体" w:eastAsia="楷体" w:hint="eastAsia"/>
        </w:rPr>
        <w:t>公众决策</w:t>
      </w:r>
    </w:p>
    <w:p w:rsidR="00000000" w:rsidRDefault="00000000">
      <w:pPr>
        <w:spacing w:after="240" w:line="400" w:lineRule="exact"/>
        <w:ind w:firstLine="425"/>
      </w:pPr>
      <w:r>
        <w:rPr>
          <w:rFonts w:hint="eastAsia"/>
        </w:rPr>
        <w:t>有关志愿组织决策层妇女参与方面在中央一级尚无可作为政策依据的数字和专家分析。但是在‘决策中的妇女’项目方面进行了一些初步的研究，并已在</w:t>
      </w:r>
      <w:r>
        <w:t>1996</w:t>
      </w:r>
      <w:r>
        <w:rPr>
          <w:rFonts w:hint="eastAsia"/>
        </w:rPr>
        <w:t>年完成。为了能够继续制订这一领域的政策，当局必须首先确定志愿组织中决策的确切范围。然后在这个基础上当局再进行一些政策前导工作（如，选择部门、组织和机构，确定造成妇女代表不足的因素以及制定指标）。</w:t>
      </w:r>
    </w:p>
    <w:p w:rsidR="00000000" w:rsidRDefault="00000000">
      <w:pPr>
        <w:spacing w:after="240" w:line="400" w:lineRule="exact"/>
        <w:rPr>
          <w:rFonts w:ascii="楷体" w:eastAsia="楷体"/>
        </w:rPr>
      </w:pPr>
      <w:r>
        <w:rPr>
          <w:rFonts w:ascii="楷体" w:eastAsia="楷体" w:hint="eastAsia"/>
        </w:rPr>
        <w:t>雇主协会中的决策</w:t>
      </w:r>
    </w:p>
    <w:p w:rsidR="00000000" w:rsidRDefault="00000000">
      <w:pPr>
        <w:spacing w:after="240" w:line="400" w:lineRule="exact"/>
        <w:ind w:firstLine="425"/>
      </w:pPr>
      <w:r>
        <w:rPr>
          <w:rFonts w:hint="eastAsia"/>
        </w:rPr>
        <w:t>经济事务大臣所奉行的解放政策的目标之一就是增加雇主协会决策机构中妇女担任行政管理职务的数量。妇女在这个部门的参与程度低于其他部门；例如在全国志愿组织中妇女占有</w:t>
      </w:r>
      <w:r>
        <w:t>20%</w:t>
      </w:r>
      <w:r>
        <w:rPr>
          <w:rFonts w:hint="eastAsia"/>
        </w:rPr>
        <w:t>的职位，但是在私人企业中仅占董事职位</w:t>
      </w:r>
      <w:r>
        <w:t>4%</w:t>
      </w:r>
      <w:r>
        <w:rPr>
          <w:rFonts w:hint="eastAsia"/>
        </w:rPr>
        <w:t>。为了改善这种状况，</w:t>
      </w:r>
      <w:r>
        <w:t>VNO</w:t>
      </w:r>
      <w:r>
        <w:rPr>
          <w:rFonts w:hint="eastAsia"/>
        </w:rPr>
        <w:t>—</w:t>
      </w:r>
      <w:r>
        <w:t>NCW</w:t>
      </w:r>
      <w:r>
        <w:rPr>
          <w:rFonts w:hint="eastAsia"/>
        </w:rPr>
        <w:t>雇主协会和女企业家协会共同设立了一个项目以增加妇女担任雇主协会中行政管理职位的人数。这个项目得到经济事务部和社会和就业部的共同资助。在项目实施过程中进行了一次调查，以弄清妇女参加雇主协会并成为董事会成员有多少。调查结论之一是董事会一级妇女代表有限是与协会的妇女成员数量较少有关系。在这方面女企业家较为不活跃的状态也起了作用</w:t>
      </w:r>
      <w:r>
        <w:t xml:space="preserve"> </w:t>
      </w:r>
      <w:r>
        <w:rPr>
          <w:rFonts w:hint="eastAsia"/>
        </w:rPr>
        <w:t>。此外，大多数组织并无吸收妇女作为成员或行政管理人员的具体政策。通过这次调查，</w:t>
      </w:r>
      <w:r>
        <w:t>VNO</w:t>
      </w:r>
      <w:r>
        <w:rPr>
          <w:rFonts w:hint="eastAsia"/>
        </w:rPr>
        <w:t>—</w:t>
      </w:r>
      <w:r>
        <w:t>NCW</w:t>
      </w:r>
      <w:r>
        <w:rPr>
          <w:rFonts w:hint="eastAsia"/>
        </w:rPr>
        <w:t>已使这个问题受到雇主协会的关注并列入其议事日程。</w:t>
      </w:r>
    </w:p>
    <w:p w:rsidR="00000000" w:rsidRDefault="00000000">
      <w:pPr>
        <w:spacing w:after="240" w:line="400" w:lineRule="exact"/>
        <w:rPr>
          <w:rFonts w:ascii="SimHei" w:eastAsia="SimHei"/>
          <w:sz w:val="24"/>
        </w:rPr>
      </w:pPr>
      <w:r>
        <w:rPr>
          <w:rFonts w:ascii="SimHei" w:eastAsia="SimHei" w:hint="eastAsia"/>
          <w:sz w:val="24"/>
        </w:rPr>
        <w:t>第三级：文化变革战略</w:t>
      </w:r>
    </w:p>
    <w:p w:rsidR="00000000" w:rsidRDefault="00000000">
      <w:pPr>
        <w:spacing w:after="240" w:line="400" w:lineRule="exact"/>
        <w:ind w:firstLine="425"/>
      </w:pPr>
      <w:r>
        <w:rPr>
          <w:rFonts w:hint="eastAsia"/>
        </w:rPr>
        <w:t>未来政策的优先项目之一是实现政治中的文化变革，这样才能把多样性看作提高社会质量。这是内务部和社会和就业部解放政策协调司所召开的几次献计献策会的结果之一。毕竟不同类别公民的政治代表性会影响到决定的合理性和质量，因为它反映了社会本身的多样性。目前，政治生活文化（不成文的规则、程序、氛围和礼仪）是制约妇女参与的诸多因素之一。这种文化——或者不管怎样这种文化给她们造成的形象——阻碍了妇女成为侯选人，甚至造成她们过早地离开政治生活。作为一种要求具有男性特点背景的政治舞台的形象也会不自觉和无意识地影响到对妇女侯选人和已在位的女政治家的评价。</w:t>
      </w:r>
    </w:p>
    <w:p w:rsidR="00000000" w:rsidRDefault="00000000">
      <w:pPr>
        <w:spacing w:after="240" w:line="400" w:lineRule="exact"/>
        <w:rPr>
          <w:rFonts w:ascii="SimHei" w:eastAsia="SimHei"/>
          <w:sz w:val="24"/>
        </w:rPr>
      </w:pPr>
      <w:r>
        <w:rPr>
          <w:rFonts w:ascii="SimHei" w:eastAsia="SimHei"/>
          <w:sz w:val="24"/>
        </w:rPr>
        <w:br w:type="page"/>
        <w:t xml:space="preserve">2.  </w:t>
      </w:r>
      <w:r>
        <w:rPr>
          <w:rFonts w:ascii="SimHei" w:eastAsia="SimHei" w:hint="eastAsia"/>
          <w:sz w:val="24"/>
        </w:rPr>
        <w:t>体育和社会生活</w:t>
      </w:r>
    </w:p>
    <w:p w:rsidR="00000000" w:rsidRDefault="00000000">
      <w:pPr>
        <w:spacing w:after="240" w:line="400" w:lineRule="exact"/>
        <w:rPr>
          <w:rFonts w:ascii="SimHei" w:eastAsia="SimHei"/>
          <w:sz w:val="24"/>
        </w:rPr>
      </w:pPr>
      <w:r>
        <w:rPr>
          <w:rFonts w:ascii="SimHei" w:eastAsia="SimHei" w:hint="eastAsia"/>
          <w:sz w:val="24"/>
        </w:rPr>
        <w:t>第一级：目前状况和立法措施</w:t>
      </w:r>
    </w:p>
    <w:p w:rsidR="00000000" w:rsidRDefault="00000000">
      <w:pPr>
        <w:spacing w:after="240" w:line="400" w:lineRule="exact"/>
        <w:ind w:firstLine="425"/>
      </w:pPr>
      <w:r>
        <w:rPr>
          <w:rFonts w:hint="eastAsia"/>
        </w:rPr>
        <w:t>妇女和男子享有参加休闲活动、体育和所有各方面的文化生活的平等权利。因此除体育之外，本报告未对这些主题作进一步考虑。体育方面需要一些特别措施，以便在实际上实现妇女平等参与所有体育项目。</w:t>
      </w:r>
    </w:p>
    <w:p w:rsidR="00000000" w:rsidRDefault="00000000">
      <w:pPr>
        <w:spacing w:after="240" w:line="400" w:lineRule="exact"/>
        <w:rPr>
          <w:rFonts w:ascii="SimHei" w:eastAsia="SimHei"/>
          <w:sz w:val="24"/>
        </w:rPr>
      </w:pPr>
      <w:r>
        <w:rPr>
          <w:rFonts w:ascii="SimHei" w:eastAsia="SimHei" w:hint="eastAsia"/>
          <w:sz w:val="24"/>
        </w:rPr>
        <w:t>第二级：走向多样性</w:t>
      </w:r>
    </w:p>
    <w:p w:rsidR="00000000" w:rsidRDefault="00000000">
      <w:pPr>
        <w:spacing w:after="240" w:line="400" w:lineRule="exact"/>
        <w:ind w:firstLine="425"/>
      </w:pPr>
      <w:r>
        <w:rPr>
          <w:rFonts w:hint="eastAsia"/>
        </w:rPr>
        <w:t>由于形势仍然是总体上参加体育活动的妇女比男子人数少，荷兰当局从</w:t>
      </w:r>
      <w:r>
        <w:t>1988</w:t>
      </w:r>
      <w:r>
        <w:rPr>
          <w:rFonts w:hint="eastAsia"/>
        </w:rPr>
        <w:t>年以来一直奉行一种促进妇女积极参加体育活动的政策。</w:t>
      </w:r>
      <w:r>
        <w:t>1990</w:t>
      </w:r>
      <w:r>
        <w:rPr>
          <w:rFonts w:hint="eastAsia"/>
        </w:rPr>
        <w:t>年以后这个政策更多地集中于促进妇女参加一般认为是男性阵地的体育项目，即台球、棋类、足球、力量型运动、橄榄球、射击、乒乓球和拔河。这些运动的全国联合会参与了这一政策。此外，当局还支助了一些组织，如荷兰体育联合会（现在为</w:t>
      </w:r>
      <w:r>
        <w:t>NOC*NSF</w:t>
      </w:r>
      <w:r>
        <w:rPr>
          <w:rFonts w:hint="eastAsia"/>
        </w:rPr>
        <w:t>）、</w:t>
      </w:r>
      <w:r>
        <w:t>Bres</w:t>
      </w:r>
      <w:r>
        <w:rPr>
          <w:rFonts w:hint="eastAsia"/>
        </w:rPr>
        <w:t>、</w:t>
      </w:r>
      <w:r>
        <w:t>Stichting Spelen Sport</w:t>
      </w:r>
      <w:r>
        <w:rPr>
          <w:rFonts w:hint="eastAsia"/>
        </w:rPr>
        <w:t>、省体育协会联合会以及鹿特丹市政当局。鼓励妇女积极参与的政策现在仅仅继续用于移民背景的妇女。这些措施考虑到妇女对例如体操、健美、爵士舞、竞走和自行车等的偏爱。评估显示，参与的组织在开展项目的期限内确实鼓励了更多妇女参与，但是妇女与体育这个主题并未成为确保后来继续得到重视的政策的不可缺少的一部分。后来变得明显的是大批妇女的参与并没有自动形成在体育管理职位上任用更多妇女。因此通过对一些体育组织任命解放工作人员和通过鼓励妇女申请行政管理职位——例如通过参加特定培训——使这个主题得到更多的优先考虑。</w:t>
      </w:r>
    </w:p>
    <w:p w:rsidR="00000000" w:rsidRDefault="00000000">
      <w:pPr>
        <w:spacing w:after="240" w:line="400" w:lineRule="exact"/>
        <w:rPr>
          <w:rFonts w:ascii="SimHei" w:eastAsia="SimHei"/>
          <w:sz w:val="24"/>
        </w:rPr>
      </w:pPr>
      <w:r>
        <w:rPr>
          <w:rFonts w:ascii="SimHei" w:eastAsia="SimHei" w:hint="eastAsia"/>
          <w:sz w:val="24"/>
        </w:rPr>
        <w:t>第三级：文化变革战略</w:t>
      </w:r>
    </w:p>
    <w:p w:rsidR="00000000" w:rsidRDefault="00000000">
      <w:pPr>
        <w:spacing w:after="240" w:line="400" w:lineRule="exact"/>
        <w:ind w:firstLine="425"/>
      </w:pPr>
      <w:r>
        <w:rPr>
          <w:rFonts w:hint="eastAsia"/>
        </w:rPr>
        <w:t>体育管理职位上妇女人数少是与许多体育组织中流行文化密不可分的。体育中经常有一种男性占主导的文化，它不可能有助于试图申请这类职位的妇女。这是</w:t>
      </w:r>
      <w:r>
        <w:t>Utrecht</w:t>
      </w:r>
      <w:r>
        <w:rPr>
          <w:rFonts w:hint="eastAsia"/>
        </w:rPr>
        <w:t>大学进行的名为“指导</w:t>
      </w:r>
      <w:r>
        <w:t>/</w:t>
      </w:r>
      <w:r>
        <w:rPr>
          <w:rFonts w:hint="eastAsia"/>
        </w:rPr>
        <w:t>教练的就业文化”的一项调查的结论之一。该项调查的报告作为‘体育中的价值与标准’的研究方案的一部分在</w:t>
      </w:r>
      <w:r>
        <w:t>1996</w:t>
      </w:r>
      <w:r>
        <w:rPr>
          <w:rFonts w:hint="eastAsia"/>
        </w:rPr>
        <w:t>年出版。</w:t>
      </w:r>
    </w:p>
    <w:p w:rsidR="00000000" w:rsidRDefault="00000000">
      <w:pPr>
        <w:spacing w:after="240" w:line="400" w:lineRule="exact"/>
        <w:ind w:firstLine="425"/>
      </w:pPr>
      <w:r>
        <w:rPr>
          <w:rFonts w:hint="eastAsia"/>
        </w:rPr>
        <w:t>荷兰当局正在设法影响体育界的这种文化，以便不再妨碍妇女申请管理职位。目前的政策是更多地集中力量于改善妇女在体育中作用的看法。这一政策的指导方针之一是</w:t>
      </w:r>
      <w:r>
        <w:t>1997</w:t>
      </w:r>
      <w:r>
        <w:rPr>
          <w:rFonts w:hint="eastAsia"/>
        </w:rPr>
        <w:t>年解放委员会出版的一个题为“体育与性别：妇女的状况”的咨询报告。在与荷兰有关部门（广播公司）的合作</w:t>
      </w:r>
      <w:r>
        <w:t>FUtrecht</w:t>
      </w:r>
      <w:r>
        <w:rPr>
          <w:rFonts w:hint="eastAsia"/>
        </w:rPr>
        <w:t>大学目前正在研究决定体育中妇女形象的各种因素。实例之一是在媒体中如何描写妇女。</w:t>
      </w:r>
    </w:p>
    <w:p w:rsidR="00000000" w:rsidRDefault="00000000">
      <w:pPr>
        <w:spacing w:after="240" w:line="400" w:lineRule="exact"/>
        <w:ind w:firstLine="425"/>
      </w:pPr>
      <w:r>
        <w:rPr>
          <w:rFonts w:hint="eastAsia"/>
        </w:rPr>
        <w:t>事实还证明，旨在实现文化变革的政策在防止体育中性骚扰方面十分重要。前文第三章论述了这一点。</w:t>
      </w:r>
    </w:p>
    <w:p w:rsidR="00000000" w:rsidRDefault="00000000">
      <w:pPr>
        <w:spacing w:after="240" w:line="400" w:lineRule="exact"/>
        <w:rPr>
          <w:rFonts w:ascii="SimHei" w:eastAsia="SimHei"/>
          <w:sz w:val="28"/>
        </w:rPr>
      </w:pPr>
      <w:r>
        <w:br w:type="page"/>
      </w:r>
      <w:r>
        <w:rPr>
          <w:rFonts w:ascii="SimHei" w:eastAsia="SimHei" w:hint="eastAsia"/>
          <w:sz w:val="28"/>
        </w:rPr>
        <w:t>第六章</w:t>
      </w:r>
      <w:r>
        <w:rPr>
          <w:rFonts w:ascii="SimHei" w:eastAsia="SimHei"/>
          <w:sz w:val="28"/>
        </w:rPr>
        <w:t xml:space="preserve">  </w:t>
      </w:r>
      <w:r>
        <w:rPr>
          <w:rFonts w:ascii="SimHei" w:eastAsia="SimHei" w:hint="eastAsia"/>
          <w:sz w:val="28"/>
        </w:rPr>
        <w:t>第</w:t>
      </w:r>
      <w:r>
        <w:rPr>
          <w:rFonts w:ascii="SimHei" w:eastAsia="SimHei"/>
          <w:sz w:val="28"/>
        </w:rPr>
        <w:t>8</w:t>
      </w:r>
      <w:r>
        <w:rPr>
          <w:rFonts w:ascii="SimHei" w:eastAsia="SimHei" w:hint="eastAsia"/>
          <w:sz w:val="28"/>
        </w:rPr>
        <w:t>条：国际一级的代表性</w:t>
      </w:r>
    </w:p>
    <w:p w:rsidR="00000000" w:rsidRDefault="00000000">
      <w:pPr>
        <w:spacing w:after="240" w:line="400" w:lineRule="exact"/>
        <w:rPr>
          <w:rFonts w:ascii="SimHei" w:eastAsia="SimHei"/>
          <w:sz w:val="24"/>
        </w:rPr>
      </w:pPr>
      <w:r>
        <w:rPr>
          <w:rFonts w:ascii="SimHei" w:eastAsia="SimHei" w:hint="eastAsia"/>
          <w:sz w:val="24"/>
        </w:rPr>
        <w:t>第一级：状况和立法措施</w:t>
      </w:r>
    </w:p>
    <w:p w:rsidR="00000000" w:rsidRDefault="00000000">
      <w:pPr>
        <w:spacing w:after="240" w:line="400" w:lineRule="exact"/>
        <w:ind w:firstLine="425"/>
      </w:pPr>
      <w:r>
        <w:rPr>
          <w:rFonts w:hint="eastAsia"/>
        </w:rPr>
        <w:t>荷兰有一个由可调动官员即可在荷兰驻外使团和海牙的外交部之间调动的官员组成的涉外和外交机构。所有人员都可以调动。因此在这个涉外和外交机构中工作的每一个男人和妇女有在国外代表荷兰的平等机会。他们是在早期即当他们还是年轻雇员时被招聘和挑选的。近十年来该机构招聘的妇女人数急剧上升，尽管妇女在高层仍代表不足。在</w:t>
      </w:r>
      <w:r>
        <w:t>1997</w:t>
      </w:r>
      <w:r>
        <w:rPr>
          <w:rFonts w:hint="eastAsia"/>
        </w:rPr>
        <w:t>年</w:t>
      </w:r>
      <w:r>
        <w:t>167</w:t>
      </w:r>
      <w:r>
        <w:rPr>
          <w:rFonts w:hint="eastAsia"/>
        </w:rPr>
        <w:t>位代表荷兰的大使中</w:t>
      </w:r>
      <w:r>
        <w:t>11</w:t>
      </w:r>
      <w:r>
        <w:rPr>
          <w:rFonts w:hint="eastAsia"/>
        </w:rPr>
        <w:t>位是妇女，而</w:t>
      </w:r>
      <w:r>
        <w:t>1993</w:t>
      </w:r>
      <w:r>
        <w:rPr>
          <w:rFonts w:hint="eastAsia"/>
        </w:rPr>
        <w:t>年的</w:t>
      </w:r>
      <w:r>
        <w:t>89</w:t>
      </w:r>
      <w:r>
        <w:rPr>
          <w:rFonts w:hint="eastAsia"/>
        </w:rPr>
        <w:t>位中仅有一位妇女。</w:t>
      </w:r>
    </w:p>
    <w:p w:rsidR="00000000" w:rsidRDefault="00000000">
      <w:pPr>
        <w:spacing w:after="240" w:line="400" w:lineRule="exact"/>
        <w:ind w:firstLine="425"/>
      </w:pPr>
      <w:r>
        <w:rPr>
          <w:rFonts w:hint="eastAsia"/>
        </w:rPr>
        <w:t>下列两个表格显示</w:t>
      </w:r>
      <w:r>
        <w:t>1993</w:t>
      </w:r>
      <w:r>
        <w:rPr>
          <w:rFonts w:hint="eastAsia"/>
        </w:rPr>
        <w:t>年到</w:t>
      </w:r>
      <w:r>
        <w:t>1996</w:t>
      </w:r>
      <w:r>
        <w:rPr>
          <w:rFonts w:hint="eastAsia"/>
        </w:rPr>
        <w:t>年按职务等级分列的该机构中妇女的比例：</w:t>
      </w:r>
    </w:p>
    <w:p w:rsidR="00000000" w:rsidRDefault="00000000">
      <w:pPr>
        <w:spacing w:after="240" w:line="400" w:lineRule="exact"/>
        <w:ind w:firstLine="425"/>
        <w:rPr>
          <w:rFonts w:ascii="楷体" w:eastAsia="楷体"/>
        </w:rPr>
      </w:pPr>
      <w:r>
        <w:rPr>
          <w:rFonts w:ascii="楷体" w:eastAsia="楷体" w:hint="eastAsia"/>
        </w:rPr>
        <w:t>表</w:t>
      </w:r>
      <w:r>
        <w:rPr>
          <w:rFonts w:ascii="楷体" w:eastAsia="楷体"/>
        </w:rPr>
        <w:t xml:space="preserve">6.1  </w:t>
      </w:r>
      <w:r>
        <w:rPr>
          <w:rFonts w:ascii="楷体" w:eastAsia="楷体" w:hint="eastAsia"/>
        </w:rPr>
        <w:t>按职务等级分列的参加该机构的妇女</w:t>
      </w:r>
    </w:p>
    <w:tbl>
      <w:tblPr>
        <w:tblW w:w="0" w:type="auto"/>
        <w:tblLayout w:type="fixed"/>
        <w:tblCellMar>
          <w:left w:w="28" w:type="dxa"/>
          <w:right w:w="28" w:type="dxa"/>
        </w:tblCellMar>
        <w:tblLook w:val="0000" w:firstRow="0" w:lastRow="0" w:firstColumn="0" w:lastColumn="0" w:noHBand="0" w:noVBand="0"/>
      </w:tblPr>
      <w:tblGrid>
        <w:gridCol w:w="1983"/>
        <w:gridCol w:w="1165"/>
        <w:gridCol w:w="1200"/>
        <w:gridCol w:w="1200"/>
        <w:gridCol w:w="4368"/>
      </w:tblGrid>
      <w:tr w:rsidR="00000000">
        <w:tblPrEx>
          <w:tblCellMar>
            <w:top w:w="0" w:type="dxa"/>
            <w:bottom w:w="0" w:type="dxa"/>
          </w:tblCellMar>
        </w:tblPrEx>
        <w:tc>
          <w:tcPr>
            <w:tcW w:w="1983" w:type="dxa"/>
          </w:tcPr>
          <w:p w:rsidR="00000000" w:rsidRDefault="00000000">
            <w:pPr>
              <w:spacing w:line="400" w:lineRule="exact"/>
              <w:ind w:firstLine="425"/>
            </w:pPr>
          </w:p>
        </w:tc>
        <w:tc>
          <w:tcPr>
            <w:tcW w:w="1165" w:type="dxa"/>
          </w:tcPr>
          <w:p w:rsidR="00000000" w:rsidRDefault="00000000">
            <w:pPr>
              <w:spacing w:line="400" w:lineRule="exact"/>
            </w:pPr>
            <w:r>
              <w:t>1993</w:t>
            </w:r>
            <w:r>
              <w:rPr>
                <w:rFonts w:hint="eastAsia"/>
              </w:rPr>
              <w:t>年</w:t>
            </w:r>
          </w:p>
        </w:tc>
        <w:tc>
          <w:tcPr>
            <w:tcW w:w="1200" w:type="dxa"/>
          </w:tcPr>
          <w:p w:rsidR="00000000" w:rsidRDefault="00000000">
            <w:pPr>
              <w:spacing w:line="400" w:lineRule="exact"/>
            </w:pPr>
            <w:r>
              <w:t>1994</w:t>
            </w:r>
            <w:r>
              <w:rPr>
                <w:rFonts w:hint="eastAsia"/>
              </w:rPr>
              <w:t>年</w:t>
            </w:r>
          </w:p>
        </w:tc>
        <w:tc>
          <w:tcPr>
            <w:tcW w:w="1200" w:type="dxa"/>
          </w:tcPr>
          <w:p w:rsidR="00000000" w:rsidRDefault="00000000">
            <w:pPr>
              <w:spacing w:line="400" w:lineRule="exact"/>
            </w:pPr>
            <w:r>
              <w:t>1995</w:t>
            </w:r>
            <w:r>
              <w:rPr>
                <w:rFonts w:hint="eastAsia"/>
              </w:rPr>
              <w:t>年</w:t>
            </w:r>
          </w:p>
        </w:tc>
        <w:tc>
          <w:tcPr>
            <w:tcW w:w="4368" w:type="dxa"/>
          </w:tcPr>
          <w:p w:rsidR="00000000" w:rsidRDefault="00000000">
            <w:pPr>
              <w:spacing w:line="400" w:lineRule="exact"/>
            </w:pPr>
            <w:r>
              <w:t>1996</w:t>
            </w:r>
            <w:r>
              <w:rPr>
                <w:rFonts w:hint="eastAsia"/>
              </w:rPr>
              <w:t>年</w:t>
            </w:r>
          </w:p>
        </w:tc>
      </w:tr>
      <w:tr w:rsidR="00000000">
        <w:tblPrEx>
          <w:tblCellMar>
            <w:top w:w="0" w:type="dxa"/>
            <w:bottom w:w="0" w:type="dxa"/>
          </w:tblCellMar>
        </w:tblPrEx>
        <w:tc>
          <w:tcPr>
            <w:tcW w:w="1983" w:type="dxa"/>
          </w:tcPr>
          <w:p w:rsidR="00000000" w:rsidRDefault="00000000">
            <w:pPr>
              <w:spacing w:line="400" w:lineRule="exact"/>
              <w:ind w:firstLine="425"/>
            </w:pPr>
            <w:r>
              <w:rPr>
                <w:rFonts w:hint="eastAsia"/>
              </w:rPr>
              <w:t>级别</w:t>
            </w:r>
          </w:p>
        </w:tc>
        <w:tc>
          <w:tcPr>
            <w:tcW w:w="1165" w:type="dxa"/>
          </w:tcPr>
          <w:p w:rsidR="00000000" w:rsidRDefault="00000000">
            <w:pPr>
              <w:spacing w:line="400" w:lineRule="exact"/>
            </w:pPr>
          </w:p>
        </w:tc>
        <w:tc>
          <w:tcPr>
            <w:tcW w:w="1200" w:type="dxa"/>
          </w:tcPr>
          <w:p w:rsidR="00000000" w:rsidRDefault="00000000">
            <w:pPr>
              <w:spacing w:line="400" w:lineRule="exact"/>
            </w:pPr>
          </w:p>
        </w:tc>
        <w:tc>
          <w:tcPr>
            <w:tcW w:w="1200" w:type="dxa"/>
          </w:tcPr>
          <w:p w:rsidR="00000000" w:rsidRDefault="00000000">
            <w:pPr>
              <w:spacing w:line="400" w:lineRule="exact"/>
            </w:pPr>
          </w:p>
        </w:tc>
        <w:tc>
          <w:tcPr>
            <w:tcW w:w="4368" w:type="dxa"/>
          </w:tcPr>
          <w:p w:rsidR="00000000" w:rsidRDefault="00000000">
            <w:pPr>
              <w:spacing w:line="400" w:lineRule="exact"/>
            </w:pPr>
          </w:p>
        </w:tc>
      </w:tr>
      <w:tr w:rsidR="00000000">
        <w:tblPrEx>
          <w:tblCellMar>
            <w:top w:w="0" w:type="dxa"/>
            <w:bottom w:w="0" w:type="dxa"/>
          </w:tblCellMar>
        </w:tblPrEx>
        <w:tc>
          <w:tcPr>
            <w:tcW w:w="1983" w:type="dxa"/>
          </w:tcPr>
          <w:p w:rsidR="00000000" w:rsidRDefault="00000000">
            <w:pPr>
              <w:spacing w:line="400" w:lineRule="exact"/>
              <w:ind w:firstLine="425"/>
            </w:pPr>
            <w:r>
              <w:t>1</w:t>
            </w:r>
            <w:r>
              <w:rPr>
                <w:rFonts w:hint="eastAsia"/>
              </w:rPr>
              <w:t>—</w:t>
            </w:r>
            <w:r>
              <w:t>5</w:t>
            </w:r>
          </w:p>
        </w:tc>
        <w:tc>
          <w:tcPr>
            <w:tcW w:w="1165" w:type="dxa"/>
          </w:tcPr>
          <w:p w:rsidR="00000000" w:rsidRDefault="00000000">
            <w:pPr>
              <w:spacing w:line="400" w:lineRule="exact"/>
            </w:pPr>
            <w:r>
              <w:t>84%</w:t>
            </w:r>
          </w:p>
        </w:tc>
        <w:tc>
          <w:tcPr>
            <w:tcW w:w="1200" w:type="dxa"/>
          </w:tcPr>
          <w:p w:rsidR="00000000" w:rsidRDefault="00000000">
            <w:pPr>
              <w:spacing w:line="400" w:lineRule="exact"/>
            </w:pPr>
            <w:r>
              <w:t>84%</w:t>
            </w:r>
          </w:p>
        </w:tc>
        <w:tc>
          <w:tcPr>
            <w:tcW w:w="1200" w:type="dxa"/>
          </w:tcPr>
          <w:p w:rsidR="00000000" w:rsidRDefault="00000000">
            <w:pPr>
              <w:spacing w:line="400" w:lineRule="exact"/>
            </w:pPr>
            <w:r>
              <w:t>63%</w:t>
            </w:r>
          </w:p>
        </w:tc>
        <w:tc>
          <w:tcPr>
            <w:tcW w:w="4368" w:type="dxa"/>
          </w:tcPr>
          <w:p w:rsidR="00000000" w:rsidRDefault="00000000">
            <w:pPr>
              <w:spacing w:line="400" w:lineRule="exact"/>
            </w:pPr>
            <w:r>
              <w:t>100%</w:t>
            </w:r>
          </w:p>
        </w:tc>
      </w:tr>
      <w:tr w:rsidR="00000000">
        <w:tblPrEx>
          <w:tblCellMar>
            <w:top w:w="0" w:type="dxa"/>
            <w:bottom w:w="0" w:type="dxa"/>
          </w:tblCellMar>
        </w:tblPrEx>
        <w:tc>
          <w:tcPr>
            <w:tcW w:w="1983" w:type="dxa"/>
          </w:tcPr>
          <w:p w:rsidR="00000000" w:rsidRDefault="00000000">
            <w:pPr>
              <w:spacing w:line="400" w:lineRule="exact"/>
              <w:ind w:firstLine="425"/>
            </w:pPr>
            <w:r>
              <w:t>6</w:t>
            </w:r>
            <w:r>
              <w:rPr>
                <w:rFonts w:hint="eastAsia"/>
              </w:rPr>
              <w:t>—</w:t>
            </w:r>
            <w:r>
              <w:t>9</w:t>
            </w:r>
          </w:p>
        </w:tc>
        <w:tc>
          <w:tcPr>
            <w:tcW w:w="1165" w:type="dxa"/>
          </w:tcPr>
          <w:p w:rsidR="00000000" w:rsidRDefault="00000000">
            <w:pPr>
              <w:spacing w:line="400" w:lineRule="exact"/>
            </w:pPr>
            <w:r>
              <w:t>40%</w:t>
            </w:r>
          </w:p>
        </w:tc>
        <w:tc>
          <w:tcPr>
            <w:tcW w:w="1200" w:type="dxa"/>
          </w:tcPr>
          <w:p w:rsidR="00000000" w:rsidRDefault="00000000">
            <w:pPr>
              <w:spacing w:line="400" w:lineRule="exact"/>
            </w:pPr>
            <w:r>
              <w:t>44%</w:t>
            </w:r>
          </w:p>
        </w:tc>
        <w:tc>
          <w:tcPr>
            <w:tcW w:w="1200" w:type="dxa"/>
          </w:tcPr>
          <w:p w:rsidR="00000000" w:rsidRDefault="00000000">
            <w:pPr>
              <w:spacing w:line="400" w:lineRule="exact"/>
            </w:pPr>
            <w:r>
              <w:t>75%</w:t>
            </w:r>
          </w:p>
        </w:tc>
        <w:tc>
          <w:tcPr>
            <w:tcW w:w="4368" w:type="dxa"/>
          </w:tcPr>
          <w:p w:rsidR="00000000" w:rsidRDefault="00000000">
            <w:pPr>
              <w:spacing w:line="400" w:lineRule="exact"/>
            </w:pPr>
            <w:r>
              <w:t>64%</w:t>
            </w:r>
          </w:p>
        </w:tc>
      </w:tr>
      <w:tr w:rsidR="00000000">
        <w:tblPrEx>
          <w:tblCellMar>
            <w:top w:w="0" w:type="dxa"/>
            <w:bottom w:w="0" w:type="dxa"/>
          </w:tblCellMar>
        </w:tblPrEx>
        <w:tc>
          <w:tcPr>
            <w:tcW w:w="1983" w:type="dxa"/>
          </w:tcPr>
          <w:p w:rsidR="00000000" w:rsidRDefault="00000000">
            <w:pPr>
              <w:spacing w:line="400" w:lineRule="exact"/>
              <w:ind w:firstLine="425"/>
            </w:pPr>
            <w:r>
              <w:t>10</w:t>
            </w:r>
            <w:r>
              <w:rPr>
                <w:rFonts w:hint="eastAsia"/>
              </w:rPr>
              <w:t>—</w:t>
            </w:r>
            <w:r>
              <w:t>11</w:t>
            </w:r>
          </w:p>
        </w:tc>
        <w:tc>
          <w:tcPr>
            <w:tcW w:w="1165" w:type="dxa"/>
          </w:tcPr>
          <w:p w:rsidR="00000000" w:rsidRDefault="00000000">
            <w:pPr>
              <w:spacing w:line="400" w:lineRule="exact"/>
            </w:pPr>
            <w:r>
              <w:t>36%</w:t>
            </w:r>
          </w:p>
        </w:tc>
        <w:tc>
          <w:tcPr>
            <w:tcW w:w="1200" w:type="dxa"/>
          </w:tcPr>
          <w:p w:rsidR="00000000" w:rsidRDefault="00000000">
            <w:pPr>
              <w:spacing w:line="400" w:lineRule="exact"/>
            </w:pPr>
            <w:r>
              <w:t>55%</w:t>
            </w:r>
          </w:p>
        </w:tc>
        <w:tc>
          <w:tcPr>
            <w:tcW w:w="1200" w:type="dxa"/>
          </w:tcPr>
          <w:p w:rsidR="00000000" w:rsidRDefault="00000000">
            <w:pPr>
              <w:spacing w:line="400" w:lineRule="exact"/>
            </w:pPr>
            <w:r>
              <w:t>48%</w:t>
            </w:r>
          </w:p>
        </w:tc>
        <w:tc>
          <w:tcPr>
            <w:tcW w:w="4368" w:type="dxa"/>
          </w:tcPr>
          <w:p w:rsidR="00000000" w:rsidRDefault="00000000">
            <w:pPr>
              <w:spacing w:line="400" w:lineRule="exact"/>
            </w:pPr>
            <w:r>
              <w:t>51%</w:t>
            </w:r>
          </w:p>
        </w:tc>
      </w:tr>
      <w:tr w:rsidR="00000000">
        <w:tblPrEx>
          <w:tblCellMar>
            <w:top w:w="0" w:type="dxa"/>
            <w:bottom w:w="0" w:type="dxa"/>
          </w:tblCellMar>
        </w:tblPrEx>
        <w:tc>
          <w:tcPr>
            <w:tcW w:w="1983" w:type="dxa"/>
          </w:tcPr>
          <w:p w:rsidR="00000000" w:rsidRDefault="00000000">
            <w:pPr>
              <w:spacing w:line="400" w:lineRule="exact"/>
              <w:ind w:firstLine="425"/>
            </w:pPr>
            <w:r>
              <w:t>12</w:t>
            </w:r>
            <w:r>
              <w:rPr>
                <w:rFonts w:hint="eastAsia"/>
              </w:rPr>
              <w:t>＞</w:t>
            </w:r>
          </w:p>
        </w:tc>
        <w:tc>
          <w:tcPr>
            <w:tcW w:w="1165" w:type="dxa"/>
          </w:tcPr>
          <w:p w:rsidR="00000000" w:rsidRDefault="00000000">
            <w:pPr>
              <w:spacing w:line="400" w:lineRule="exact"/>
            </w:pPr>
            <w:r>
              <w:t>20%</w:t>
            </w:r>
          </w:p>
        </w:tc>
        <w:tc>
          <w:tcPr>
            <w:tcW w:w="1200" w:type="dxa"/>
          </w:tcPr>
          <w:p w:rsidR="00000000" w:rsidRDefault="00000000">
            <w:pPr>
              <w:spacing w:line="400" w:lineRule="exact"/>
            </w:pPr>
            <w:r>
              <w:t>25%</w:t>
            </w:r>
          </w:p>
        </w:tc>
        <w:tc>
          <w:tcPr>
            <w:tcW w:w="1200" w:type="dxa"/>
          </w:tcPr>
          <w:p w:rsidR="00000000" w:rsidRDefault="00000000">
            <w:pPr>
              <w:spacing w:line="400" w:lineRule="exact"/>
            </w:pPr>
            <w:r>
              <w:t>4%</w:t>
            </w:r>
          </w:p>
        </w:tc>
        <w:tc>
          <w:tcPr>
            <w:tcW w:w="4368" w:type="dxa"/>
          </w:tcPr>
          <w:p w:rsidR="00000000" w:rsidRDefault="00000000">
            <w:pPr>
              <w:spacing w:line="400" w:lineRule="exact"/>
            </w:pPr>
            <w:r>
              <w:t>26%</w:t>
            </w:r>
          </w:p>
        </w:tc>
      </w:tr>
      <w:tr w:rsidR="00000000">
        <w:tblPrEx>
          <w:tblCellMar>
            <w:top w:w="0" w:type="dxa"/>
            <w:bottom w:w="0" w:type="dxa"/>
          </w:tblCellMar>
        </w:tblPrEx>
        <w:tc>
          <w:tcPr>
            <w:tcW w:w="1983" w:type="dxa"/>
          </w:tcPr>
          <w:p w:rsidR="00000000" w:rsidRDefault="00000000">
            <w:pPr>
              <w:spacing w:line="400" w:lineRule="exact"/>
              <w:ind w:firstLine="425"/>
            </w:pPr>
          </w:p>
        </w:tc>
        <w:tc>
          <w:tcPr>
            <w:tcW w:w="1165" w:type="dxa"/>
          </w:tcPr>
          <w:p w:rsidR="00000000" w:rsidRDefault="00000000">
            <w:pPr>
              <w:spacing w:line="400" w:lineRule="exact"/>
            </w:pPr>
          </w:p>
        </w:tc>
        <w:tc>
          <w:tcPr>
            <w:tcW w:w="1200" w:type="dxa"/>
          </w:tcPr>
          <w:p w:rsidR="00000000" w:rsidRDefault="00000000">
            <w:pPr>
              <w:spacing w:line="400" w:lineRule="exact"/>
            </w:pPr>
          </w:p>
        </w:tc>
        <w:tc>
          <w:tcPr>
            <w:tcW w:w="1200" w:type="dxa"/>
          </w:tcPr>
          <w:p w:rsidR="00000000" w:rsidRDefault="00000000">
            <w:pPr>
              <w:spacing w:line="400" w:lineRule="exact"/>
            </w:pPr>
          </w:p>
        </w:tc>
        <w:tc>
          <w:tcPr>
            <w:tcW w:w="4368" w:type="dxa"/>
          </w:tcPr>
          <w:p w:rsidR="00000000" w:rsidRDefault="00000000">
            <w:pPr>
              <w:spacing w:line="400" w:lineRule="exact"/>
            </w:pPr>
          </w:p>
        </w:tc>
      </w:tr>
    </w:tbl>
    <w:p w:rsidR="00000000" w:rsidRDefault="00000000">
      <w:pPr>
        <w:spacing w:after="240" w:line="400" w:lineRule="exact"/>
        <w:ind w:firstLine="425"/>
        <w:rPr>
          <w:rFonts w:ascii="楷体" w:eastAsia="楷体"/>
        </w:rPr>
      </w:pPr>
      <w:r>
        <w:rPr>
          <w:rFonts w:ascii="楷体" w:eastAsia="楷体" w:hint="eastAsia"/>
        </w:rPr>
        <w:t>表</w:t>
      </w:r>
      <w:r>
        <w:rPr>
          <w:rFonts w:ascii="楷体" w:eastAsia="楷体"/>
        </w:rPr>
        <w:t xml:space="preserve">6.2  </w:t>
      </w:r>
      <w:r>
        <w:rPr>
          <w:rFonts w:ascii="楷体" w:eastAsia="楷体" w:hint="eastAsia"/>
        </w:rPr>
        <w:t>每一职位等级中的妇女比例</w:t>
      </w:r>
    </w:p>
    <w:tbl>
      <w:tblPr>
        <w:tblW w:w="0" w:type="auto"/>
        <w:tblLayout w:type="fixed"/>
        <w:tblCellMar>
          <w:left w:w="28" w:type="dxa"/>
          <w:right w:w="28" w:type="dxa"/>
        </w:tblCellMar>
        <w:tblLook w:val="0000" w:firstRow="0" w:lastRow="0" w:firstColumn="0" w:lastColumn="0" w:noHBand="0" w:noVBand="0"/>
      </w:tblPr>
      <w:tblGrid>
        <w:gridCol w:w="1828"/>
        <w:gridCol w:w="1010"/>
        <w:gridCol w:w="1010"/>
        <w:gridCol w:w="1010"/>
        <w:gridCol w:w="1010"/>
        <w:gridCol w:w="1010"/>
        <w:gridCol w:w="1010"/>
        <w:gridCol w:w="1010"/>
        <w:gridCol w:w="1010"/>
      </w:tblGrid>
      <w:tr w:rsidR="00000000">
        <w:tblPrEx>
          <w:tblCellMar>
            <w:top w:w="0" w:type="dxa"/>
            <w:bottom w:w="0" w:type="dxa"/>
          </w:tblCellMar>
        </w:tblPrEx>
        <w:tc>
          <w:tcPr>
            <w:tcW w:w="1828" w:type="dxa"/>
          </w:tcPr>
          <w:p w:rsidR="00000000" w:rsidRDefault="00000000">
            <w:pPr>
              <w:spacing w:line="400" w:lineRule="exact"/>
              <w:ind w:firstLine="425"/>
            </w:pPr>
          </w:p>
        </w:tc>
        <w:tc>
          <w:tcPr>
            <w:tcW w:w="2020" w:type="dxa"/>
            <w:gridSpan w:val="2"/>
          </w:tcPr>
          <w:p w:rsidR="00000000" w:rsidRDefault="00000000">
            <w:pPr>
              <w:spacing w:line="400" w:lineRule="exact"/>
              <w:jc w:val="center"/>
            </w:pPr>
            <w:r>
              <w:t>1993</w:t>
            </w:r>
            <w:r>
              <w:rPr>
                <w:rFonts w:hint="eastAsia"/>
              </w:rPr>
              <w:t>年</w:t>
            </w:r>
          </w:p>
        </w:tc>
        <w:tc>
          <w:tcPr>
            <w:tcW w:w="2020" w:type="dxa"/>
            <w:gridSpan w:val="2"/>
          </w:tcPr>
          <w:p w:rsidR="00000000" w:rsidRDefault="00000000">
            <w:pPr>
              <w:spacing w:line="400" w:lineRule="exact"/>
              <w:jc w:val="center"/>
            </w:pPr>
            <w:r>
              <w:t>1994</w:t>
            </w:r>
            <w:r>
              <w:rPr>
                <w:rFonts w:hint="eastAsia"/>
              </w:rPr>
              <w:t>年</w:t>
            </w:r>
          </w:p>
        </w:tc>
        <w:tc>
          <w:tcPr>
            <w:tcW w:w="2020" w:type="dxa"/>
            <w:gridSpan w:val="2"/>
          </w:tcPr>
          <w:p w:rsidR="00000000" w:rsidRDefault="00000000">
            <w:pPr>
              <w:spacing w:line="400" w:lineRule="exact"/>
              <w:jc w:val="center"/>
            </w:pPr>
            <w:r>
              <w:t>1995</w:t>
            </w:r>
            <w:r>
              <w:rPr>
                <w:rFonts w:hint="eastAsia"/>
              </w:rPr>
              <w:t>年</w:t>
            </w:r>
          </w:p>
        </w:tc>
        <w:tc>
          <w:tcPr>
            <w:tcW w:w="2020" w:type="dxa"/>
            <w:gridSpan w:val="2"/>
          </w:tcPr>
          <w:p w:rsidR="00000000" w:rsidRDefault="00000000">
            <w:pPr>
              <w:spacing w:line="400" w:lineRule="exact"/>
              <w:jc w:val="center"/>
            </w:pPr>
            <w:r>
              <w:t>1996</w:t>
            </w:r>
            <w:r>
              <w:rPr>
                <w:rFonts w:hint="eastAsia"/>
              </w:rPr>
              <w:t>年</w:t>
            </w:r>
          </w:p>
        </w:tc>
      </w:tr>
      <w:tr w:rsidR="00000000">
        <w:tblPrEx>
          <w:tblCellMar>
            <w:top w:w="0" w:type="dxa"/>
            <w:bottom w:w="0" w:type="dxa"/>
          </w:tblCellMar>
        </w:tblPrEx>
        <w:tc>
          <w:tcPr>
            <w:tcW w:w="1828" w:type="dxa"/>
          </w:tcPr>
          <w:p w:rsidR="00000000" w:rsidRDefault="00000000">
            <w:pPr>
              <w:spacing w:line="400" w:lineRule="exact"/>
              <w:ind w:firstLine="425"/>
            </w:pPr>
            <w:r>
              <w:rPr>
                <w:rFonts w:hint="eastAsia"/>
              </w:rPr>
              <w:t>级别</w:t>
            </w:r>
          </w:p>
        </w:tc>
        <w:tc>
          <w:tcPr>
            <w:tcW w:w="1010" w:type="dxa"/>
          </w:tcPr>
          <w:p w:rsidR="00000000" w:rsidRDefault="00000000">
            <w:pPr>
              <w:spacing w:line="400" w:lineRule="exact"/>
            </w:pPr>
            <w:r>
              <w:t>#</w:t>
            </w:r>
          </w:p>
        </w:tc>
        <w:tc>
          <w:tcPr>
            <w:tcW w:w="1010" w:type="dxa"/>
          </w:tcPr>
          <w:p w:rsidR="00000000" w:rsidRDefault="00000000">
            <w:pPr>
              <w:spacing w:line="400" w:lineRule="exact"/>
            </w:pPr>
            <w:r>
              <w:t>%</w:t>
            </w:r>
          </w:p>
        </w:tc>
        <w:tc>
          <w:tcPr>
            <w:tcW w:w="1010" w:type="dxa"/>
          </w:tcPr>
          <w:p w:rsidR="00000000" w:rsidRDefault="00000000">
            <w:pPr>
              <w:spacing w:line="400" w:lineRule="exact"/>
            </w:pPr>
            <w:r>
              <w:t>#</w:t>
            </w:r>
          </w:p>
        </w:tc>
        <w:tc>
          <w:tcPr>
            <w:tcW w:w="1010" w:type="dxa"/>
          </w:tcPr>
          <w:p w:rsidR="00000000" w:rsidRDefault="00000000">
            <w:pPr>
              <w:spacing w:line="400" w:lineRule="exact"/>
            </w:pPr>
            <w:r>
              <w:t>%</w:t>
            </w:r>
          </w:p>
        </w:tc>
        <w:tc>
          <w:tcPr>
            <w:tcW w:w="1010" w:type="dxa"/>
          </w:tcPr>
          <w:p w:rsidR="00000000" w:rsidRDefault="00000000">
            <w:pPr>
              <w:spacing w:line="400" w:lineRule="exact"/>
            </w:pPr>
            <w:r>
              <w:t>#</w:t>
            </w:r>
          </w:p>
        </w:tc>
        <w:tc>
          <w:tcPr>
            <w:tcW w:w="1010" w:type="dxa"/>
          </w:tcPr>
          <w:p w:rsidR="00000000" w:rsidRDefault="00000000">
            <w:pPr>
              <w:spacing w:line="400" w:lineRule="exact"/>
            </w:pPr>
            <w:r>
              <w:t>%</w:t>
            </w:r>
          </w:p>
        </w:tc>
        <w:tc>
          <w:tcPr>
            <w:tcW w:w="1010" w:type="dxa"/>
          </w:tcPr>
          <w:p w:rsidR="00000000" w:rsidRDefault="00000000">
            <w:pPr>
              <w:spacing w:line="400" w:lineRule="exact"/>
            </w:pPr>
            <w:r>
              <w:t>#</w:t>
            </w:r>
          </w:p>
        </w:tc>
        <w:tc>
          <w:tcPr>
            <w:tcW w:w="1010" w:type="dxa"/>
          </w:tcPr>
          <w:p w:rsidR="00000000" w:rsidRDefault="00000000">
            <w:pPr>
              <w:spacing w:line="400" w:lineRule="exact"/>
            </w:pPr>
            <w:r>
              <w:t>%</w:t>
            </w:r>
          </w:p>
        </w:tc>
      </w:tr>
      <w:tr w:rsidR="00000000">
        <w:tblPrEx>
          <w:tblCellMar>
            <w:top w:w="0" w:type="dxa"/>
            <w:bottom w:w="0" w:type="dxa"/>
          </w:tblCellMar>
        </w:tblPrEx>
        <w:tc>
          <w:tcPr>
            <w:tcW w:w="1828" w:type="dxa"/>
          </w:tcPr>
          <w:p w:rsidR="00000000" w:rsidRDefault="00000000">
            <w:pPr>
              <w:spacing w:line="400" w:lineRule="exact"/>
              <w:ind w:firstLine="425"/>
            </w:pPr>
            <w:r>
              <w:t>1</w:t>
            </w:r>
            <w:r>
              <w:rPr>
                <w:rFonts w:hint="eastAsia"/>
              </w:rPr>
              <w:t>—</w:t>
            </w:r>
            <w:r>
              <w:t>5</w:t>
            </w:r>
          </w:p>
        </w:tc>
        <w:tc>
          <w:tcPr>
            <w:tcW w:w="1010" w:type="dxa"/>
          </w:tcPr>
          <w:p w:rsidR="00000000" w:rsidRDefault="00000000">
            <w:pPr>
              <w:spacing w:line="400" w:lineRule="exact"/>
            </w:pPr>
            <w:r>
              <w:t>44773</w:t>
            </w:r>
          </w:p>
        </w:tc>
        <w:tc>
          <w:tcPr>
            <w:tcW w:w="1010" w:type="dxa"/>
          </w:tcPr>
          <w:p w:rsidR="00000000" w:rsidRDefault="00000000">
            <w:pPr>
              <w:spacing w:line="400" w:lineRule="exact"/>
            </w:pPr>
            <w:r>
              <w:t>419</w:t>
            </w:r>
          </w:p>
        </w:tc>
        <w:tc>
          <w:tcPr>
            <w:tcW w:w="1010" w:type="dxa"/>
          </w:tcPr>
          <w:p w:rsidR="00000000" w:rsidRDefault="00000000">
            <w:pPr>
              <w:spacing w:line="400" w:lineRule="exact"/>
            </w:pPr>
            <w:r>
              <w:t>76</w:t>
            </w:r>
          </w:p>
        </w:tc>
        <w:tc>
          <w:tcPr>
            <w:tcW w:w="1010" w:type="dxa"/>
          </w:tcPr>
          <w:p w:rsidR="00000000" w:rsidRDefault="00000000">
            <w:pPr>
              <w:spacing w:line="400" w:lineRule="exact"/>
            </w:pPr>
            <w:r>
              <w:t>363</w:t>
            </w:r>
          </w:p>
        </w:tc>
        <w:tc>
          <w:tcPr>
            <w:tcW w:w="1010" w:type="dxa"/>
          </w:tcPr>
          <w:p w:rsidR="00000000" w:rsidRDefault="00000000">
            <w:pPr>
              <w:spacing w:line="400" w:lineRule="exact"/>
            </w:pPr>
            <w:r>
              <w:t>76</w:t>
            </w:r>
          </w:p>
        </w:tc>
        <w:tc>
          <w:tcPr>
            <w:tcW w:w="1010" w:type="dxa"/>
          </w:tcPr>
          <w:p w:rsidR="00000000" w:rsidRDefault="00000000">
            <w:pPr>
              <w:spacing w:line="400" w:lineRule="exact"/>
            </w:pPr>
            <w:r>
              <w:t>339</w:t>
            </w:r>
          </w:p>
        </w:tc>
        <w:tc>
          <w:tcPr>
            <w:tcW w:w="1010" w:type="dxa"/>
          </w:tcPr>
          <w:p w:rsidR="00000000" w:rsidRDefault="00000000">
            <w:pPr>
              <w:spacing w:line="400" w:lineRule="exact"/>
            </w:pPr>
            <w:r>
              <w:t>76</w:t>
            </w:r>
          </w:p>
        </w:tc>
        <w:tc>
          <w:tcPr>
            <w:tcW w:w="1010" w:type="dxa"/>
          </w:tcPr>
          <w:p w:rsidR="00000000" w:rsidRDefault="00000000">
            <w:pPr>
              <w:spacing w:line="400" w:lineRule="exact"/>
            </w:pPr>
          </w:p>
        </w:tc>
      </w:tr>
      <w:tr w:rsidR="00000000">
        <w:tblPrEx>
          <w:tblCellMar>
            <w:top w:w="0" w:type="dxa"/>
            <w:bottom w:w="0" w:type="dxa"/>
          </w:tblCellMar>
        </w:tblPrEx>
        <w:tc>
          <w:tcPr>
            <w:tcW w:w="1828" w:type="dxa"/>
          </w:tcPr>
          <w:p w:rsidR="00000000" w:rsidRDefault="00000000">
            <w:pPr>
              <w:spacing w:line="400" w:lineRule="exact"/>
              <w:ind w:firstLine="425"/>
            </w:pPr>
            <w:r>
              <w:t>6</w:t>
            </w:r>
            <w:r>
              <w:rPr>
                <w:rFonts w:hint="eastAsia"/>
              </w:rPr>
              <w:t>—</w:t>
            </w:r>
            <w:r>
              <w:t>9</w:t>
            </w:r>
          </w:p>
        </w:tc>
        <w:tc>
          <w:tcPr>
            <w:tcW w:w="1010" w:type="dxa"/>
          </w:tcPr>
          <w:p w:rsidR="00000000" w:rsidRDefault="00000000">
            <w:pPr>
              <w:spacing w:line="400" w:lineRule="exact"/>
            </w:pPr>
            <w:r>
              <w:t>39444</w:t>
            </w:r>
          </w:p>
        </w:tc>
        <w:tc>
          <w:tcPr>
            <w:tcW w:w="1010" w:type="dxa"/>
          </w:tcPr>
          <w:p w:rsidR="00000000" w:rsidRDefault="00000000">
            <w:pPr>
              <w:spacing w:line="400" w:lineRule="exact"/>
            </w:pPr>
            <w:r>
              <w:t>424</w:t>
            </w:r>
          </w:p>
        </w:tc>
        <w:tc>
          <w:tcPr>
            <w:tcW w:w="1010" w:type="dxa"/>
          </w:tcPr>
          <w:p w:rsidR="00000000" w:rsidRDefault="00000000">
            <w:pPr>
              <w:spacing w:line="400" w:lineRule="exact"/>
            </w:pPr>
            <w:r>
              <w:t>47</w:t>
            </w:r>
          </w:p>
        </w:tc>
        <w:tc>
          <w:tcPr>
            <w:tcW w:w="1010" w:type="dxa"/>
          </w:tcPr>
          <w:p w:rsidR="00000000" w:rsidRDefault="00000000">
            <w:pPr>
              <w:spacing w:line="400" w:lineRule="exact"/>
            </w:pPr>
            <w:r>
              <w:t>443</w:t>
            </w:r>
          </w:p>
        </w:tc>
        <w:tc>
          <w:tcPr>
            <w:tcW w:w="1010" w:type="dxa"/>
          </w:tcPr>
          <w:p w:rsidR="00000000" w:rsidRDefault="00000000">
            <w:pPr>
              <w:spacing w:line="400" w:lineRule="exact"/>
            </w:pPr>
            <w:r>
              <w:t>52</w:t>
            </w:r>
          </w:p>
        </w:tc>
        <w:tc>
          <w:tcPr>
            <w:tcW w:w="1010" w:type="dxa"/>
          </w:tcPr>
          <w:p w:rsidR="00000000" w:rsidRDefault="00000000">
            <w:pPr>
              <w:spacing w:line="400" w:lineRule="exact"/>
            </w:pPr>
            <w:r>
              <w:t>456</w:t>
            </w:r>
          </w:p>
        </w:tc>
        <w:tc>
          <w:tcPr>
            <w:tcW w:w="1010" w:type="dxa"/>
          </w:tcPr>
          <w:p w:rsidR="00000000" w:rsidRDefault="00000000">
            <w:pPr>
              <w:spacing w:line="400" w:lineRule="exact"/>
            </w:pPr>
            <w:r>
              <w:t>49</w:t>
            </w:r>
          </w:p>
        </w:tc>
        <w:tc>
          <w:tcPr>
            <w:tcW w:w="1010" w:type="dxa"/>
          </w:tcPr>
          <w:p w:rsidR="00000000" w:rsidRDefault="00000000">
            <w:pPr>
              <w:spacing w:line="400" w:lineRule="exact"/>
            </w:pPr>
          </w:p>
        </w:tc>
      </w:tr>
      <w:tr w:rsidR="00000000">
        <w:tblPrEx>
          <w:tblCellMar>
            <w:top w:w="0" w:type="dxa"/>
            <w:bottom w:w="0" w:type="dxa"/>
          </w:tblCellMar>
        </w:tblPrEx>
        <w:tc>
          <w:tcPr>
            <w:tcW w:w="1828" w:type="dxa"/>
          </w:tcPr>
          <w:p w:rsidR="00000000" w:rsidRDefault="00000000">
            <w:pPr>
              <w:spacing w:line="400" w:lineRule="exact"/>
              <w:ind w:firstLine="425"/>
            </w:pPr>
            <w:r>
              <w:t>10</w:t>
            </w:r>
            <w:r>
              <w:rPr>
                <w:rFonts w:hint="eastAsia"/>
              </w:rPr>
              <w:t>—</w:t>
            </w:r>
            <w:r>
              <w:t>11</w:t>
            </w:r>
          </w:p>
        </w:tc>
        <w:tc>
          <w:tcPr>
            <w:tcW w:w="1010" w:type="dxa"/>
          </w:tcPr>
          <w:p w:rsidR="00000000" w:rsidRDefault="00000000">
            <w:pPr>
              <w:spacing w:line="400" w:lineRule="exact"/>
            </w:pPr>
            <w:r>
              <w:t>17329</w:t>
            </w:r>
          </w:p>
        </w:tc>
        <w:tc>
          <w:tcPr>
            <w:tcW w:w="1010" w:type="dxa"/>
          </w:tcPr>
          <w:p w:rsidR="00000000" w:rsidRDefault="00000000">
            <w:pPr>
              <w:spacing w:line="400" w:lineRule="exact"/>
            </w:pPr>
            <w:r>
              <w:t>190</w:t>
            </w:r>
          </w:p>
        </w:tc>
        <w:tc>
          <w:tcPr>
            <w:tcW w:w="1010" w:type="dxa"/>
          </w:tcPr>
          <w:p w:rsidR="00000000" w:rsidRDefault="00000000">
            <w:pPr>
              <w:spacing w:line="400" w:lineRule="exact"/>
            </w:pPr>
            <w:r>
              <w:t>30</w:t>
            </w:r>
          </w:p>
        </w:tc>
        <w:tc>
          <w:tcPr>
            <w:tcW w:w="1010" w:type="dxa"/>
          </w:tcPr>
          <w:p w:rsidR="00000000" w:rsidRDefault="00000000">
            <w:pPr>
              <w:spacing w:line="400" w:lineRule="exact"/>
            </w:pPr>
            <w:r>
              <w:t>198</w:t>
            </w:r>
          </w:p>
        </w:tc>
        <w:tc>
          <w:tcPr>
            <w:tcW w:w="1010" w:type="dxa"/>
          </w:tcPr>
          <w:p w:rsidR="00000000" w:rsidRDefault="00000000">
            <w:pPr>
              <w:spacing w:line="400" w:lineRule="exact"/>
            </w:pPr>
            <w:r>
              <w:t>33</w:t>
            </w:r>
          </w:p>
        </w:tc>
        <w:tc>
          <w:tcPr>
            <w:tcW w:w="1010" w:type="dxa"/>
          </w:tcPr>
          <w:p w:rsidR="00000000" w:rsidRDefault="00000000">
            <w:pPr>
              <w:spacing w:line="400" w:lineRule="exact"/>
            </w:pPr>
            <w:r>
              <w:t>214</w:t>
            </w:r>
          </w:p>
        </w:tc>
        <w:tc>
          <w:tcPr>
            <w:tcW w:w="1010" w:type="dxa"/>
          </w:tcPr>
          <w:p w:rsidR="00000000" w:rsidRDefault="00000000">
            <w:pPr>
              <w:spacing w:line="400" w:lineRule="exact"/>
            </w:pPr>
            <w:r>
              <w:t>34</w:t>
            </w:r>
          </w:p>
        </w:tc>
        <w:tc>
          <w:tcPr>
            <w:tcW w:w="1010" w:type="dxa"/>
          </w:tcPr>
          <w:p w:rsidR="00000000" w:rsidRDefault="00000000">
            <w:pPr>
              <w:spacing w:line="400" w:lineRule="exact"/>
            </w:pPr>
          </w:p>
        </w:tc>
      </w:tr>
      <w:tr w:rsidR="00000000">
        <w:tblPrEx>
          <w:tblCellMar>
            <w:top w:w="0" w:type="dxa"/>
            <w:bottom w:w="0" w:type="dxa"/>
          </w:tblCellMar>
        </w:tblPrEx>
        <w:tc>
          <w:tcPr>
            <w:tcW w:w="1828" w:type="dxa"/>
          </w:tcPr>
          <w:p w:rsidR="00000000" w:rsidRDefault="00000000">
            <w:pPr>
              <w:spacing w:line="400" w:lineRule="exact"/>
              <w:ind w:firstLine="425"/>
            </w:pPr>
            <w:r>
              <w:t>12</w:t>
            </w:r>
            <w:r>
              <w:rPr>
                <w:rFonts w:hint="eastAsia"/>
              </w:rPr>
              <w:t>—</w:t>
            </w:r>
            <w:r>
              <w:t>14</w:t>
            </w:r>
          </w:p>
        </w:tc>
        <w:tc>
          <w:tcPr>
            <w:tcW w:w="1010" w:type="dxa"/>
          </w:tcPr>
          <w:p w:rsidR="00000000" w:rsidRDefault="00000000">
            <w:pPr>
              <w:spacing w:line="400" w:lineRule="exact"/>
            </w:pPr>
            <w:r>
              <w:t>66</w:t>
            </w:r>
          </w:p>
        </w:tc>
        <w:tc>
          <w:tcPr>
            <w:tcW w:w="1010" w:type="dxa"/>
          </w:tcPr>
          <w:p w:rsidR="00000000" w:rsidRDefault="00000000">
            <w:pPr>
              <w:spacing w:line="400" w:lineRule="exact"/>
            </w:pPr>
            <w:r>
              <w:t>13</w:t>
            </w:r>
          </w:p>
        </w:tc>
        <w:tc>
          <w:tcPr>
            <w:tcW w:w="1010" w:type="dxa"/>
          </w:tcPr>
          <w:p w:rsidR="00000000" w:rsidRDefault="00000000">
            <w:pPr>
              <w:spacing w:line="400" w:lineRule="exact"/>
            </w:pPr>
            <w:r>
              <w:t>87</w:t>
            </w:r>
          </w:p>
        </w:tc>
        <w:tc>
          <w:tcPr>
            <w:tcW w:w="1010" w:type="dxa"/>
          </w:tcPr>
          <w:p w:rsidR="00000000" w:rsidRDefault="00000000">
            <w:pPr>
              <w:spacing w:line="400" w:lineRule="exact"/>
            </w:pPr>
            <w:r>
              <w:t>16</w:t>
            </w:r>
          </w:p>
        </w:tc>
        <w:tc>
          <w:tcPr>
            <w:tcW w:w="1010" w:type="dxa"/>
          </w:tcPr>
          <w:p w:rsidR="00000000" w:rsidRDefault="00000000">
            <w:pPr>
              <w:spacing w:line="400" w:lineRule="exact"/>
            </w:pPr>
            <w:r>
              <w:t>89</w:t>
            </w:r>
          </w:p>
        </w:tc>
        <w:tc>
          <w:tcPr>
            <w:tcW w:w="1010" w:type="dxa"/>
          </w:tcPr>
          <w:p w:rsidR="00000000" w:rsidRDefault="00000000">
            <w:pPr>
              <w:spacing w:line="400" w:lineRule="exact"/>
            </w:pPr>
            <w:r>
              <w:t>16</w:t>
            </w:r>
          </w:p>
        </w:tc>
        <w:tc>
          <w:tcPr>
            <w:tcW w:w="1010" w:type="dxa"/>
          </w:tcPr>
          <w:p w:rsidR="00000000" w:rsidRDefault="00000000">
            <w:pPr>
              <w:spacing w:line="400" w:lineRule="exact"/>
            </w:pPr>
            <w:r>
              <w:t>120</w:t>
            </w:r>
          </w:p>
        </w:tc>
        <w:tc>
          <w:tcPr>
            <w:tcW w:w="1010" w:type="dxa"/>
          </w:tcPr>
          <w:p w:rsidR="00000000" w:rsidRDefault="00000000">
            <w:pPr>
              <w:spacing w:line="400" w:lineRule="exact"/>
            </w:pPr>
            <w:r>
              <w:t>19</w:t>
            </w:r>
          </w:p>
        </w:tc>
      </w:tr>
      <w:tr w:rsidR="00000000">
        <w:tblPrEx>
          <w:tblCellMar>
            <w:top w:w="0" w:type="dxa"/>
            <w:bottom w:w="0" w:type="dxa"/>
          </w:tblCellMar>
        </w:tblPrEx>
        <w:tc>
          <w:tcPr>
            <w:tcW w:w="1828" w:type="dxa"/>
          </w:tcPr>
          <w:p w:rsidR="00000000" w:rsidRDefault="00000000">
            <w:pPr>
              <w:spacing w:line="400" w:lineRule="exact"/>
              <w:ind w:firstLine="425"/>
            </w:pPr>
            <w:r>
              <w:t>15</w:t>
            </w:r>
            <w:r>
              <w:rPr>
                <w:rFonts w:hint="eastAsia"/>
              </w:rPr>
              <w:t>＞</w:t>
            </w:r>
          </w:p>
        </w:tc>
        <w:tc>
          <w:tcPr>
            <w:tcW w:w="1010" w:type="dxa"/>
          </w:tcPr>
          <w:p w:rsidR="00000000" w:rsidRDefault="00000000">
            <w:pPr>
              <w:spacing w:line="400" w:lineRule="exact"/>
            </w:pPr>
            <w:r>
              <w:t>6</w:t>
            </w:r>
          </w:p>
        </w:tc>
        <w:tc>
          <w:tcPr>
            <w:tcW w:w="1010" w:type="dxa"/>
          </w:tcPr>
          <w:p w:rsidR="00000000" w:rsidRDefault="00000000">
            <w:pPr>
              <w:spacing w:line="400" w:lineRule="exact"/>
            </w:pPr>
            <w:r>
              <w:t>3</w:t>
            </w:r>
          </w:p>
        </w:tc>
        <w:tc>
          <w:tcPr>
            <w:tcW w:w="1010" w:type="dxa"/>
          </w:tcPr>
          <w:p w:rsidR="00000000" w:rsidRDefault="00000000">
            <w:pPr>
              <w:spacing w:line="400" w:lineRule="exact"/>
            </w:pPr>
            <w:r>
              <w:t>8</w:t>
            </w:r>
          </w:p>
        </w:tc>
        <w:tc>
          <w:tcPr>
            <w:tcW w:w="1010" w:type="dxa"/>
          </w:tcPr>
          <w:p w:rsidR="00000000" w:rsidRDefault="00000000">
            <w:pPr>
              <w:spacing w:line="400" w:lineRule="exact"/>
            </w:pPr>
            <w:r>
              <w:t>3</w:t>
            </w:r>
          </w:p>
        </w:tc>
        <w:tc>
          <w:tcPr>
            <w:tcW w:w="1010" w:type="dxa"/>
          </w:tcPr>
          <w:p w:rsidR="00000000" w:rsidRDefault="00000000">
            <w:pPr>
              <w:spacing w:line="400" w:lineRule="exact"/>
            </w:pPr>
            <w:r>
              <w:t>8</w:t>
            </w:r>
          </w:p>
        </w:tc>
        <w:tc>
          <w:tcPr>
            <w:tcW w:w="1010" w:type="dxa"/>
          </w:tcPr>
          <w:p w:rsidR="00000000" w:rsidRDefault="00000000">
            <w:pPr>
              <w:spacing w:line="400" w:lineRule="exact"/>
            </w:pPr>
            <w:r>
              <w:t>4</w:t>
            </w:r>
          </w:p>
        </w:tc>
        <w:tc>
          <w:tcPr>
            <w:tcW w:w="1010" w:type="dxa"/>
          </w:tcPr>
          <w:p w:rsidR="00000000" w:rsidRDefault="00000000">
            <w:pPr>
              <w:spacing w:line="400" w:lineRule="exact"/>
            </w:pPr>
            <w:r>
              <w:t>9</w:t>
            </w:r>
          </w:p>
        </w:tc>
        <w:tc>
          <w:tcPr>
            <w:tcW w:w="1010" w:type="dxa"/>
          </w:tcPr>
          <w:p w:rsidR="00000000" w:rsidRDefault="00000000">
            <w:pPr>
              <w:spacing w:line="400" w:lineRule="exact"/>
            </w:pPr>
            <w:r>
              <w:t>4</w:t>
            </w:r>
          </w:p>
        </w:tc>
      </w:tr>
      <w:tr w:rsidR="00000000">
        <w:tblPrEx>
          <w:tblCellMar>
            <w:top w:w="0" w:type="dxa"/>
            <w:bottom w:w="0" w:type="dxa"/>
          </w:tblCellMar>
        </w:tblPrEx>
        <w:tc>
          <w:tcPr>
            <w:tcW w:w="1828" w:type="dxa"/>
          </w:tcPr>
          <w:p w:rsidR="00000000" w:rsidRDefault="00000000">
            <w:pPr>
              <w:spacing w:line="400" w:lineRule="exact"/>
              <w:ind w:firstLine="425"/>
            </w:pPr>
            <w:r>
              <w:rPr>
                <w:rFonts w:hint="eastAsia"/>
              </w:rPr>
              <w:t>总计</w:t>
            </w:r>
          </w:p>
        </w:tc>
        <w:tc>
          <w:tcPr>
            <w:tcW w:w="1010" w:type="dxa"/>
          </w:tcPr>
          <w:p w:rsidR="00000000" w:rsidRDefault="00000000">
            <w:pPr>
              <w:spacing w:line="400" w:lineRule="exact"/>
            </w:pPr>
            <w:r>
              <w:t>1086</w:t>
            </w:r>
          </w:p>
        </w:tc>
        <w:tc>
          <w:tcPr>
            <w:tcW w:w="1010" w:type="dxa"/>
          </w:tcPr>
          <w:p w:rsidR="00000000" w:rsidRDefault="00000000">
            <w:pPr>
              <w:spacing w:line="400" w:lineRule="exact"/>
            </w:pPr>
            <w:r>
              <w:t>39</w:t>
            </w:r>
          </w:p>
        </w:tc>
        <w:tc>
          <w:tcPr>
            <w:tcW w:w="1010" w:type="dxa"/>
          </w:tcPr>
          <w:p w:rsidR="00000000" w:rsidRDefault="00000000">
            <w:pPr>
              <w:spacing w:line="400" w:lineRule="exact"/>
            </w:pPr>
            <w:r>
              <w:t>1128</w:t>
            </w:r>
          </w:p>
        </w:tc>
        <w:tc>
          <w:tcPr>
            <w:tcW w:w="1010" w:type="dxa"/>
          </w:tcPr>
          <w:p w:rsidR="00000000" w:rsidRDefault="00000000">
            <w:pPr>
              <w:spacing w:line="400" w:lineRule="exact"/>
            </w:pPr>
            <w:r>
              <w:t>40</w:t>
            </w:r>
          </w:p>
        </w:tc>
        <w:tc>
          <w:tcPr>
            <w:tcW w:w="1010" w:type="dxa"/>
          </w:tcPr>
          <w:p w:rsidR="00000000" w:rsidRDefault="00000000">
            <w:pPr>
              <w:spacing w:line="400" w:lineRule="exact"/>
            </w:pPr>
            <w:r>
              <w:t>1101</w:t>
            </w:r>
          </w:p>
        </w:tc>
        <w:tc>
          <w:tcPr>
            <w:tcW w:w="1010" w:type="dxa"/>
          </w:tcPr>
          <w:p w:rsidR="00000000" w:rsidRDefault="00000000">
            <w:pPr>
              <w:spacing w:line="400" w:lineRule="exact"/>
            </w:pPr>
            <w:r>
              <w:t>40</w:t>
            </w:r>
          </w:p>
        </w:tc>
        <w:tc>
          <w:tcPr>
            <w:tcW w:w="1010" w:type="dxa"/>
          </w:tcPr>
          <w:p w:rsidR="00000000" w:rsidRDefault="00000000">
            <w:pPr>
              <w:spacing w:line="400" w:lineRule="exact"/>
            </w:pPr>
            <w:r>
              <w:t>1138</w:t>
            </w:r>
          </w:p>
        </w:tc>
        <w:tc>
          <w:tcPr>
            <w:tcW w:w="1010" w:type="dxa"/>
          </w:tcPr>
          <w:p w:rsidR="00000000" w:rsidRDefault="00000000">
            <w:pPr>
              <w:spacing w:line="400" w:lineRule="exact"/>
            </w:pPr>
            <w:r>
              <w:t>40</w:t>
            </w:r>
          </w:p>
        </w:tc>
      </w:tr>
      <w:tr w:rsidR="00000000">
        <w:tblPrEx>
          <w:tblCellMar>
            <w:top w:w="0" w:type="dxa"/>
            <w:bottom w:w="0" w:type="dxa"/>
          </w:tblCellMar>
        </w:tblPrEx>
        <w:tc>
          <w:tcPr>
            <w:tcW w:w="1828" w:type="dxa"/>
          </w:tcPr>
          <w:p w:rsidR="00000000" w:rsidRDefault="00000000">
            <w:pPr>
              <w:spacing w:line="400" w:lineRule="exact"/>
              <w:ind w:firstLine="425"/>
            </w:pPr>
          </w:p>
        </w:tc>
        <w:tc>
          <w:tcPr>
            <w:tcW w:w="1010" w:type="dxa"/>
          </w:tcPr>
          <w:p w:rsidR="00000000" w:rsidRDefault="00000000">
            <w:pPr>
              <w:spacing w:line="400" w:lineRule="exact"/>
            </w:pPr>
          </w:p>
        </w:tc>
        <w:tc>
          <w:tcPr>
            <w:tcW w:w="1010" w:type="dxa"/>
          </w:tcPr>
          <w:p w:rsidR="00000000" w:rsidRDefault="00000000">
            <w:pPr>
              <w:spacing w:line="400" w:lineRule="exact"/>
            </w:pPr>
          </w:p>
        </w:tc>
        <w:tc>
          <w:tcPr>
            <w:tcW w:w="1010" w:type="dxa"/>
          </w:tcPr>
          <w:p w:rsidR="00000000" w:rsidRDefault="00000000">
            <w:pPr>
              <w:spacing w:line="400" w:lineRule="exact"/>
            </w:pPr>
          </w:p>
        </w:tc>
        <w:tc>
          <w:tcPr>
            <w:tcW w:w="1010" w:type="dxa"/>
          </w:tcPr>
          <w:p w:rsidR="00000000" w:rsidRDefault="00000000">
            <w:pPr>
              <w:spacing w:line="400" w:lineRule="exact"/>
            </w:pPr>
          </w:p>
        </w:tc>
        <w:tc>
          <w:tcPr>
            <w:tcW w:w="1010" w:type="dxa"/>
          </w:tcPr>
          <w:p w:rsidR="00000000" w:rsidRDefault="00000000">
            <w:pPr>
              <w:spacing w:line="400" w:lineRule="exact"/>
            </w:pPr>
          </w:p>
        </w:tc>
        <w:tc>
          <w:tcPr>
            <w:tcW w:w="1010" w:type="dxa"/>
          </w:tcPr>
          <w:p w:rsidR="00000000" w:rsidRDefault="00000000">
            <w:pPr>
              <w:spacing w:line="400" w:lineRule="exact"/>
            </w:pPr>
          </w:p>
        </w:tc>
        <w:tc>
          <w:tcPr>
            <w:tcW w:w="1010" w:type="dxa"/>
          </w:tcPr>
          <w:p w:rsidR="00000000" w:rsidRDefault="00000000">
            <w:pPr>
              <w:spacing w:line="400" w:lineRule="exact"/>
            </w:pPr>
          </w:p>
        </w:tc>
        <w:tc>
          <w:tcPr>
            <w:tcW w:w="1010" w:type="dxa"/>
          </w:tcPr>
          <w:p w:rsidR="00000000" w:rsidRDefault="00000000">
            <w:pPr>
              <w:spacing w:line="400" w:lineRule="exact"/>
            </w:pPr>
          </w:p>
        </w:tc>
      </w:tr>
    </w:tbl>
    <w:p w:rsidR="00000000" w:rsidRDefault="00000000">
      <w:pPr>
        <w:spacing w:after="240" w:line="400" w:lineRule="exact"/>
        <w:ind w:firstLine="425"/>
      </w:pPr>
      <w:r>
        <w:rPr>
          <w:rFonts w:hint="eastAsia"/>
        </w:rPr>
        <w:t>荷兰正在努力增加多边联合专家方案中妇女专家的人数。事实上妇女专家的比例已大大增加：从</w:t>
      </w:r>
      <w:r>
        <w:t>1993</w:t>
      </w:r>
      <w:r>
        <w:rPr>
          <w:rFonts w:hint="eastAsia"/>
        </w:rPr>
        <w:t>年的</w:t>
      </w:r>
      <w:r>
        <w:t>40%</w:t>
      </w:r>
      <w:r>
        <w:rPr>
          <w:rFonts w:hint="eastAsia"/>
        </w:rPr>
        <w:t>到</w:t>
      </w:r>
      <w:r>
        <w:t>1997</w:t>
      </w:r>
      <w:r>
        <w:rPr>
          <w:rFonts w:hint="eastAsia"/>
        </w:rPr>
        <w:t>年的</w:t>
      </w:r>
      <w:r>
        <w:t>51%</w:t>
      </w:r>
      <w:r>
        <w:rPr>
          <w:rFonts w:hint="eastAsia"/>
        </w:rPr>
        <w:t>。</w:t>
      </w:r>
    </w:p>
    <w:p w:rsidR="00000000" w:rsidRDefault="00000000">
      <w:pPr>
        <w:spacing w:after="240" w:line="400" w:lineRule="exact"/>
        <w:rPr>
          <w:rFonts w:ascii="SimHei" w:eastAsia="SimHei"/>
          <w:sz w:val="24"/>
        </w:rPr>
      </w:pPr>
      <w:r>
        <w:rPr>
          <w:rFonts w:ascii="SimHei" w:eastAsia="SimHei" w:hint="eastAsia"/>
          <w:sz w:val="24"/>
        </w:rPr>
        <w:t>第二级：走向多样性</w:t>
      </w:r>
    </w:p>
    <w:p w:rsidR="00000000" w:rsidRDefault="00000000">
      <w:pPr>
        <w:spacing w:after="240" w:line="400" w:lineRule="exact"/>
        <w:ind w:firstLine="425"/>
      </w:pPr>
      <w:r>
        <w:rPr>
          <w:rFonts w:hint="eastAsia"/>
        </w:rPr>
        <w:t>从</w:t>
      </w:r>
      <w:r>
        <w:t>1988</w:t>
      </w:r>
      <w:r>
        <w:rPr>
          <w:rFonts w:hint="eastAsia"/>
        </w:rPr>
        <w:t>年以来，荷兰政府一直对可调动的涉外和外交机构执行一个积极行动方案。这个方案包含吸引和留住妇女官员的指标数字和措施。然而由于即使在没有特殊措施的情况下妇女的进入人数一直稳定在</w:t>
      </w:r>
      <w:r>
        <w:t>50%</w:t>
      </w:r>
      <w:r>
        <w:rPr>
          <w:rFonts w:hint="eastAsia"/>
        </w:rPr>
        <w:t>左右，这个方案逐渐缩小。但是仍采取了措施鼓励妇女担任更高层职务。</w:t>
      </w:r>
    </w:p>
    <w:p w:rsidR="00000000" w:rsidRDefault="00000000">
      <w:pPr>
        <w:spacing w:after="240" w:line="400" w:lineRule="exact"/>
        <w:ind w:firstLine="425"/>
      </w:pPr>
      <w:r>
        <w:rPr>
          <w:rFonts w:hint="eastAsia"/>
        </w:rPr>
        <w:t>荷兰还主张在国际组织中增加妇女比例。妇女候选人在任命程序方面正在获得积极支助。尽管鼓励妇女申请更高层职位，但是仍然难于发现合适的女性侯选人。原则上适合这种职位任命的人选中妇女还不足</w:t>
      </w:r>
      <w:r>
        <w:t>10%</w:t>
      </w:r>
      <w:r>
        <w:rPr>
          <w:rFonts w:hint="eastAsia"/>
        </w:rPr>
        <w:t>。</w:t>
      </w:r>
    </w:p>
    <w:p w:rsidR="00000000" w:rsidRDefault="00000000">
      <w:pPr>
        <w:spacing w:after="240" w:line="400" w:lineRule="exact"/>
        <w:ind w:firstLine="425"/>
      </w:pPr>
      <w:r>
        <w:rPr>
          <w:rFonts w:hint="eastAsia"/>
        </w:rPr>
        <w:t>非政府组织为实现《公约》的目标做出了积极的贡献。它们对解决全部问题的具体知识和经验证明是宝贵的有时甚至是必不可少的。在编写国际政策文件时也是如此。这类非政府组织的例子是国际妇女联盟，在经社理事会有咨询地位的妇女组织和各政党的妇女组织。</w:t>
      </w:r>
    </w:p>
    <w:p w:rsidR="00000000" w:rsidRDefault="00000000">
      <w:pPr>
        <w:spacing w:after="240" w:line="400" w:lineRule="exact"/>
        <w:rPr>
          <w:rFonts w:ascii="SimHei" w:eastAsia="SimHei"/>
          <w:sz w:val="28"/>
        </w:rPr>
      </w:pPr>
      <w:r>
        <w:br w:type="page"/>
      </w:r>
      <w:r>
        <w:rPr>
          <w:rFonts w:ascii="SimHei" w:eastAsia="SimHei" w:hint="eastAsia"/>
          <w:sz w:val="28"/>
        </w:rPr>
        <w:t>第七章</w:t>
      </w:r>
      <w:r>
        <w:rPr>
          <w:rFonts w:ascii="SimHei" w:eastAsia="SimHei"/>
          <w:sz w:val="28"/>
        </w:rPr>
        <w:t xml:space="preserve">  </w:t>
      </w:r>
      <w:r>
        <w:rPr>
          <w:rFonts w:ascii="SimHei" w:eastAsia="SimHei" w:hint="eastAsia"/>
          <w:sz w:val="28"/>
        </w:rPr>
        <w:t>第</w:t>
      </w:r>
      <w:r>
        <w:rPr>
          <w:rFonts w:ascii="SimHei" w:eastAsia="SimHei"/>
          <w:sz w:val="28"/>
        </w:rPr>
        <w:t>9</w:t>
      </w:r>
      <w:r>
        <w:rPr>
          <w:rFonts w:ascii="SimHei" w:eastAsia="SimHei" w:hint="eastAsia"/>
          <w:sz w:val="28"/>
        </w:rPr>
        <w:t>条：国籍权和外国人法</w:t>
      </w:r>
    </w:p>
    <w:p w:rsidR="00000000" w:rsidRDefault="00000000">
      <w:pPr>
        <w:spacing w:after="240" w:line="400" w:lineRule="exact"/>
        <w:rPr>
          <w:rFonts w:ascii="SimHei" w:eastAsia="SimHei"/>
          <w:sz w:val="24"/>
        </w:rPr>
      </w:pPr>
      <w:r>
        <w:rPr>
          <w:rFonts w:ascii="SimHei" w:eastAsia="SimHei" w:hint="eastAsia"/>
          <w:sz w:val="24"/>
        </w:rPr>
        <w:t>第一级：状况和立法措施</w:t>
      </w:r>
    </w:p>
    <w:p w:rsidR="00000000" w:rsidRDefault="00000000">
      <w:pPr>
        <w:spacing w:after="240" w:line="400" w:lineRule="exact"/>
        <w:rPr>
          <w:rFonts w:ascii="SimHei" w:eastAsia="SimHei"/>
        </w:rPr>
      </w:pPr>
      <w:r>
        <w:rPr>
          <w:rFonts w:ascii="SimHei" w:eastAsia="SimHei"/>
        </w:rPr>
        <w:t xml:space="preserve">1(a)  </w:t>
      </w:r>
      <w:r>
        <w:rPr>
          <w:rFonts w:ascii="SimHei" w:eastAsia="SimHei" w:hint="eastAsia"/>
        </w:rPr>
        <w:t>状况</w:t>
      </w:r>
    </w:p>
    <w:p w:rsidR="00000000" w:rsidRDefault="00000000">
      <w:pPr>
        <w:spacing w:after="240" w:line="400" w:lineRule="exact"/>
        <w:ind w:firstLine="425"/>
      </w:pPr>
      <w:r>
        <w:rPr>
          <w:rFonts w:hint="eastAsia"/>
        </w:rPr>
        <w:t>自上一次报告以来未对国籍权作任何变动。但是正在起草一系列法案。</w:t>
      </w:r>
    </w:p>
    <w:p w:rsidR="00000000" w:rsidRDefault="00000000">
      <w:pPr>
        <w:spacing w:after="240" w:line="400" w:lineRule="exact"/>
        <w:rPr>
          <w:rFonts w:ascii="SimHei" w:eastAsia="SimHei"/>
        </w:rPr>
      </w:pPr>
      <w:r>
        <w:rPr>
          <w:rFonts w:ascii="SimHei" w:eastAsia="SimHei"/>
        </w:rPr>
        <w:t xml:space="preserve">1(b)  </w:t>
      </w:r>
      <w:r>
        <w:rPr>
          <w:rFonts w:ascii="SimHei" w:eastAsia="SimHei" w:hint="eastAsia"/>
        </w:rPr>
        <w:t>立法措施</w:t>
      </w:r>
    </w:p>
    <w:p w:rsidR="00000000" w:rsidRDefault="00000000">
      <w:pPr>
        <w:spacing w:after="240" w:line="400" w:lineRule="exact"/>
        <w:rPr>
          <w:rFonts w:ascii="楷体" w:eastAsia="楷体"/>
        </w:rPr>
      </w:pPr>
      <w:r>
        <w:rPr>
          <w:rFonts w:ascii="楷体" w:eastAsia="楷体" w:hint="eastAsia"/>
        </w:rPr>
        <w:t>新移民同化法</w:t>
      </w:r>
    </w:p>
    <w:p w:rsidR="00000000" w:rsidRDefault="00000000">
      <w:pPr>
        <w:spacing w:after="240" w:line="400" w:lineRule="exact"/>
        <w:ind w:firstLine="425"/>
      </w:pPr>
      <w:r>
        <w:rPr>
          <w:rFonts w:hint="eastAsia"/>
        </w:rPr>
        <w:t>从</w:t>
      </w:r>
      <w:r>
        <w:t>1996</w:t>
      </w:r>
      <w:r>
        <w:rPr>
          <w:rFonts w:hint="eastAsia"/>
        </w:rPr>
        <w:t>年</w:t>
      </w:r>
      <w:r>
        <w:t>1</w:t>
      </w:r>
      <w:r>
        <w:rPr>
          <w:rFonts w:hint="eastAsia"/>
        </w:rPr>
        <w:t>月</w:t>
      </w:r>
      <w:r>
        <w:t>1</w:t>
      </w:r>
      <w:r>
        <w:rPr>
          <w:rFonts w:hint="eastAsia"/>
        </w:rPr>
        <w:t>日起，凡申请在荷兰居住的人必须签订一个同化合同。该合同的目的是普遍促进新移民的同化，特别是改善他们在劳动力市场的状况。按照合同规定他们必须学习一定小时的荷兰语并经过其他专业培训。同化合同通常是自愿签订的。只有对有权领取社会保障金的新移民来说这种合同是强制性的。</w:t>
      </w:r>
    </w:p>
    <w:p w:rsidR="00000000" w:rsidRDefault="00000000">
      <w:pPr>
        <w:spacing w:after="240" w:line="400" w:lineRule="exact"/>
        <w:ind w:firstLine="425"/>
      </w:pPr>
      <w:r>
        <w:rPr>
          <w:rFonts w:hint="eastAsia"/>
        </w:rPr>
        <w:t>实际上人们发现目前对有些新移民未实行同化政策，尤其是为建立家庭或与家人团聚而进入荷兰的妇女。她们常常无权独立获得救济金，因而无义务签订合同。议会正在审议，一个确保该项政策能对更多这类妇女实行的法案，预期将在</w:t>
      </w:r>
      <w:r>
        <w:t>1998</w:t>
      </w:r>
      <w:r>
        <w:rPr>
          <w:rFonts w:hint="eastAsia"/>
        </w:rPr>
        <w:t>年</w:t>
      </w:r>
      <w:r>
        <w:t>7</w:t>
      </w:r>
      <w:r>
        <w:rPr>
          <w:rFonts w:hint="eastAsia"/>
        </w:rPr>
        <w:t>月成为法律。按照修改《新移民同化法》的该法案的规定，新移民的定义为：</w:t>
      </w:r>
    </w:p>
    <w:p w:rsidR="00000000" w:rsidRDefault="00000000">
      <w:pPr>
        <w:spacing w:after="240" w:line="400" w:lineRule="exact"/>
        <w:ind w:firstLine="425"/>
      </w:pPr>
      <w:r>
        <w:t xml:space="preserve">1.  </w:t>
      </w:r>
      <w:r>
        <w:rPr>
          <w:rFonts w:hint="eastAsia"/>
        </w:rPr>
        <w:t>被允许按照居住许可证（《外国人法》第</w:t>
      </w:r>
      <w:r>
        <w:t>9</w:t>
      </w:r>
      <w:r>
        <w:rPr>
          <w:rFonts w:hint="eastAsia"/>
        </w:rPr>
        <w:t>款）或作为难民（《外国人》法第</w:t>
      </w:r>
      <w:r>
        <w:t>10</w:t>
      </w:r>
      <w:r>
        <w:rPr>
          <w:rFonts w:hint="eastAsia"/>
        </w:rPr>
        <w:t>（</w:t>
      </w:r>
      <w:r>
        <w:t>1</w:t>
      </w:r>
      <w:r>
        <w:rPr>
          <w:rFonts w:hint="eastAsia"/>
        </w:rPr>
        <w:t>）（</w:t>
      </w:r>
      <w:r>
        <w:t>b</w:t>
      </w:r>
      <w:r>
        <w:rPr>
          <w:rFonts w:hint="eastAsia"/>
        </w:rPr>
        <w:t>）款）在荷兰居住，年满十六岁，以及获准首次进入荷兰的外国人，短期居住者除外；</w:t>
      </w:r>
    </w:p>
    <w:p w:rsidR="00000000" w:rsidRDefault="00000000">
      <w:pPr>
        <w:spacing w:after="240" w:line="400" w:lineRule="exact"/>
        <w:ind w:firstLine="425"/>
      </w:pPr>
      <w:r>
        <w:t xml:space="preserve">2.  </w:t>
      </w:r>
      <w:r>
        <w:rPr>
          <w:rFonts w:hint="eastAsia"/>
        </w:rPr>
        <w:t>在荷兰以外地方出生，年满十六岁，首次居住在荷兰的荷兰国民。《外国人法》第</w:t>
      </w:r>
      <w:r>
        <w:t>1</w:t>
      </w:r>
      <w:r>
        <w:rPr>
          <w:rFonts w:hint="eastAsia"/>
        </w:rPr>
        <w:t>款第</w:t>
      </w:r>
      <w:r>
        <w:t>1</w:t>
      </w:r>
      <w:r>
        <w:rPr>
          <w:rFonts w:hint="eastAsia"/>
        </w:rPr>
        <w:t>（</w:t>
      </w:r>
      <w:r>
        <w:t>a</w:t>
      </w:r>
      <w:r>
        <w:rPr>
          <w:rFonts w:hint="eastAsia"/>
        </w:rPr>
        <w:t>）和</w:t>
      </w:r>
      <w:r>
        <w:t>4</w:t>
      </w:r>
      <w:r>
        <w:rPr>
          <w:rFonts w:hint="eastAsia"/>
        </w:rPr>
        <w:t>项对此有规定。</w:t>
      </w:r>
    </w:p>
    <w:p w:rsidR="00000000" w:rsidRDefault="00000000">
      <w:pPr>
        <w:spacing w:after="240" w:line="400" w:lineRule="exact"/>
        <w:ind w:firstLine="425"/>
      </w:pPr>
      <w:r>
        <w:rPr>
          <w:rFonts w:hint="eastAsia"/>
        </w:rPr>
        <w:t>已作出决定，同化政策应有法规基础，以强调新移民与政府关系的双边性。新移民应尽最大努力与社会同化，而地方当局应给他们机会这样做。今后的目标是采取一种带有实际同化义务的办法。</w:t>
      </w:r>
    </w:p>
    <w:p w:rsidR="00000000" w:rsidRDefault="00000000">
      <w:pPr>
        <w:spacing w:after="240" w:line="400" w:lineRule="exact"/>
        <w:rPr>
          <w:rFonts w:ascii="楷体" w:eastAsia="楷体"/>
        </w:rPr>
      </w:pPr>
      <w:r>
        <w:rPr>
          <w:rFonts w:ascii="楷体" w:eastAsia="楷体" w:hint="eastAsia"/>
        </w:rPr>
        <w:t>关联法要求对外国人法的修正</w:t>
      </w:r>
    </w:p>
    <w:p w:rsidR="00000000" w:rsidRDefault="00000000">
      <w:pPr>
        <w:spacing w:after="240" w:line="400" w:lineRule="exact"/>
        <w:ind w:firstLine="425"/>
      </w:pPr>
      <w:r>
        <w:rPr>
          <w:rFonts w:hint="eastAsia"/>
        </w:rPr>
        <w:t>荷兰政府的目标之一是奉行一种不受社会机构政策影响的一贯的移民政策。这就是为什么它草拟了把这两种政策连系起来的法律的原因。在草拟这种法律时它明显考虑到妇女和儿童的状况。《关联法》禁止非法移民获得福利补助。它也基于以下原则，即在给予福利补助权时应考虑到居住权的性质。为顾及《关联法》而修正《外国人法》的法案规定了三种类别的外国人：</w:t>
      </w:r>
    </w:p>
    <w:p w:rsidR="00000000" w:rsidRDefault="00000000">
      <w:pPr>
        <w:spacing w:after="240" w:line="400" w:lineRule="exact"/>
        <w:ind w:firstLine="425"/>
      </w:pPr>
      <w:r>
        <w:t xml:space="preserve">1.  </w:t>
      </w:r>
      <w:r>
        <w:rPr>
          <w:rFonts w:hint="eastAsia"/>
        </w:rPr>
        <w:t>合法外国人：原则上有权得到所有社会服务；</w:t>
      </w:r>
    </w:p>
    <w:p w:rsidR="00000000" w:rsidRDefault="00000000">
      <w:pPr>
        <w:spacing w:after="240" w:line="400" w:lineRule="exact"/>
        <w:ind w:firstLine="425"/>
      </w:pPr>
      <w:r>
        <w:t xml:space="preserve">2.  </w:t>
      </w:r>
      <w:r>
        <w:rPr>
          <w:rFonts w:hint="eastAsia"/>
        </w:rPr>
        <w:t>非法外国人：按《关联法》仅有权让其年幼子女受教育并在紧急时得到医疗救援；</w:t>
      </w:r>
    </w:p>
    <w:p w:rsidR="00000000" w:rsidRDefault="00000000">
      <w:pPr>
        <w:spacing w:after="240" w:line="400" w:lineRule="exact"/>
        <w:ind w:firstLine="425"/>
      </w:pPr>
      <w:r>
        <w:t xml:space="preserve">3.  </w:t>
      </w:r>
      <w:r>
        <w:rPr>
          <w:rFonts w:hint="eastAsia"/>
        </w:rPr>
        <w:t>合法居住的外国人：其居住申请仍在进行中的人。按照新《关联法》首次申请居住的人在申请过程中无权得到福利补助。而过去曾在荷兰合法居住的人在申请过程中则有权得到补助。</w:t>
      </w:r>
    </w:p>
    <w:p w:rsidR="00000000" w:rsidRDefault="00000000">
      <w:pPr>
        <w:spacing w:after="240" w:line="400" w:lineRule="exact"/>
        <w:ind w:firstLine="425"/>
      </w:pPr>
      <w:r>
        <w:rPr>
          <w:rFonts w:hint="eastAsia"/>
        </w:rPr>
        <w:t>对于关联原则有三种情况例外，其部分目的是为了与国际义务相一致，如《联合国儿童权利公约》。这些例外涉及教育、医疗保健和法律援助，具体内容如下：</w:t>
      </w:r>
    </w:p>
    <w:p w:rsidR="00000000" w:rsidRDefault="00000000">
      <w:pPr>
        <w:spacing w:after="240" w:line="400" w:lineRule="exact"/>
        <w:ind w:firstLine="425"/>
      </w:pPr>
      <w:r>
        <w:t xml:space="preserve">*  </w:t>
      </w:r>
      <w:r>
        <w:rPr>
          <w:rFonts w:hint="eastAsia"/>
        </w:rPr>
        <w:t>不应以不是合法居民为理由拒绝学龄儿童进入学校接受义务教育。</w:t>
      </w:r>
    </w:p>
    <w:p w:rsidR="00000000" w:rsidRDefault="00000000">
      <w:pPr>
        <w:spacing w:after="240" w:line="400" w:lineRule="exact"/>
        <w:ind w:firstLine="425"/>
      </w:pPr>
      <w:r>
        <w:t xml:space="preserve">*  </w:t>
      </w:r>
      <w:r>
        <w:rPr>
          <w:rFonts w:hint="eastAsia"/>
        </w:rPr>
        <w:t>医疗保障：非法移民的子女完全有权获得国家接种方案提供的接种，儿童和成人都有权得到预防传染病的医疗帮助。按照人权公约，如果接受医疗者本身无法支付费用荷兰当局有义务提供最佳医疗并不收取费用。</w:t>
      </w:r>
    </w:p>
    <w:p w:rsidR="00000000" w:rsidRDefault="00000000">
      <w:pPr>
        <w:spacing w:after="240" w:line="400" w:lineRule="exact"/>
        <w:ind w:firstLine="425"/>
      </w:pPr>
      <w:r>
        <w:t xml:space="preserve">*  </w:t>
      </w:r>
      <w:r>
        <w:rPr>
          <w:rFonts w:hint="eastAsia"/>
        </w:rPr>
        <w:t>按《法律援助法》提供法律援助：按照《法律援助法》一个人是否是合法居民的问题不会影响提供免费法律援助。换言之，一个移民不仅在避难申请方面或不服驱逐而上诉方面，而且在其他民事、刑事和行政诉讼方面有权得到免费法律援助。</w:t>
      </w:r>
    </w:p>
    <w:p w:rsidR="00000000" w:rsidRDefault="00000000">
      <w:pPr>
        <w:spacing w:after="240" w:line="400" w:lineRule="exact"/>
        <w:rPr>
          <w:rFonts w:ascii="SimHei" w:eastAsia="SimHei"/>
          <w:sz w:val="24"/>
        </w:rPr>
      </w:pPr>
      <w:r>
        <w:rPr>
          <w:rFonts w:ascii="SimHei" w:eastAsia="SimHei" w:hint="eastAsia"/>
          <w:sz w:val="24"/>
        </w:rPr>
        <w:t>第二级：走向多样性</w:t>
      </w:r>
    </w:p>
    <w:p w:rsidR="00000000" w:rsidRDefault="00000000">
      <w:pPr>
        <w:autoSpaceDE w:val="0"/>
        <w:autoSpaceDN w:val="0"/>
        <w:spacing w:after="240" w:line="400" w:lineRule="exact"/>
        <w:ind w:firstLine="425"/>
        <w:textAlignment w:val="bottom"/>
      </w:pPr>
      <w:r>
        <w:rPr>
          <w:rFonts w:hint="eastAsia"/>
        </w:rPr>
        <w:t>经常对移民政策对妇女的影响进行评估。还定期地与专家和有关人员讨论妇女在移民政策中的状况，如通过会议和园桌会谈。例子是纪念《世界人权宣言》</w:t>
      </w:r>
      <w:r>
        <w:t>50</w:t>
      </w:r>
      <w:r>
        <w:rPr>
          <w:rFonts w:hint="eastAsia"/>
        </w:rPr>
        <w:t>周年国际会议（见第三章）和</w:t>
      </w:r>
      <w:r>
        <w:t>1998</w:t>
      </w:r>
      <w:r>
        <w:rPr>
          <w:rFonts w:hint="eastAsia"/>
        </w:rPr>
        <w:t>年春季由司法部召开的关于移民政策的园桌会议。议程上有待讨论的项目之一是有关男女同化时受抚养者居住权利的效力。</w:t>
      </w:r>
    </w:p>
    <w:p w:rsidR="00000000" w:rsidRDefault="00000000">
      <w:pPr>
        <w:autoSpaceDE w:val="0"/>
        <w:autoSpaceDN w:val="0"/>
        <w:spacing w:after="240" w:line="400" w:lineRule="exact"/>
        <w:ind w:firstLine="425"/>
        <w:textAlignment w:val="bottom"/>
      </w:pPr>
      <w:r>
        <w:rPr>
          <w:rFonts w:hint="eastAsia"/>
        </w:rPr>
        <w:t>将联系《妇女公约》对荷兰移民政策中不同类别妇女的状况进行考虑。这些类别是：</w:t>
      </w:r>
    </w:p>
    <w:p w:rsidR="00000000" w:rsidRDefault="00000000">
      <w:pPr>
        <w:autoSpaceDE w:val="0"/>
        <w:autoSpaceDN w:val="0"/>
        <w:spacing w:after="240" w:line="400" w:lineRule="exact"/>
        <w:ind w:firstLine="425"/>
        <w:textAlignment w:val="bottom"/>
      </w:pPr>
      <w:r>
        <w:t xml:space="preserve">1.  </w:t>
      </w:r>
      <w:r>
        <w:rPr>
          <w:rFonts w:hint="eastAsia"/>
        </w:rPr>
        <w:t>有外国伙伴或丈夫的妇女</w:t>
      </w:r>
    </w:p>
    <w:p w:rsidR="00000000" w:rsidRDefault="00000000">
      <w:pPr>
        <w:autoSpaceDE w:val="0"/>
        <w:autoSpaceDN w:val="0"/>
        <w:spacing w:after="240" w:line="400" w:lineRule="exact"/>
        <w:ind w:firstLine="425"/>
        <w:textAlignment w:val="bottom"/>
      </w:pPr>
      <w:r>
        <w:t xml:space="preserve">2.  </w:t>
      </w:r>
      <w:r>
        <w:rPr>
          <w:rFonts w:hint="eastAsia"/>
        </w:rPr>
        <w:t>有受抚养人居住权的妇女</w:t>
      </w:r>
    </w:p>
    <w:p w:rsidR="00000000" w:rsidRDefault="00000000">
      <w:pPr>
        <w:autoSpaceDE w:val="0"/>
        <w:autoSpaceDN w:val="0"/>
        <w:spacing w:after="240" w:line="400" w:lineRule="exact"/>
        <w:ind w:firstLine="425"/>
        <w:textAlignment w:val="bottom"/>
      </w:pPr>
      <w:r>
        <w:t xml:space="preserve">3.  </w:t>
      </w:r>
      <w:r>
        <w:rPr>
          <w:rFonts w:hint="eastAsia"/>
        </w:rPr>
        <w:t>寻求避难的妇女</w:t>
      </w:r>
    </w:p>
    <w:p w:rsidR="00000000" w:rsidRDefault="00000000">
      <w:pPr>
        <w:autoSpaceDE w:val="0"/>
        <w:autoSpaceDN w:val="0"/>
        <w:spacing w:after="240" w:line="400" w:lineRule="exact"/>
        <w:ind w:firstLine="425"/>
        <w:textAlignment w:val="bottom"/>
      </w:pPr>
      <w:r>
        <w:t xml:space="preserve">4.  </w:t>
      </w:r>
      <w:r>
        <w:rPr>
          <w:rFonts w:hint="eastAsia"/>
        </w:rPr>
        <w:t>没有居住权的妇女</w:t>
      </w:r>
    </w:p>
    <w:p w:rsidR="00000000" w:rsidRDefault="00000000">
      <w:pPr>
        <w:autoSpaceDE w:val="0"/>
        <w:autoSpaceDN w:val="0"/>
        <w:spacing w:after="240" w:line="400" w:lineRule="exact"/>
        <w:textAlignment w:val="bottom"/>
        <w:rPr>
          <w:rFonts w:ascii="SimHei" w:eastAsia="SimHei"/>
          <w:sz w:val="24"/>
        </w:rPr>
      </w:pPr>
      <w:r>
        <w:rPr>
          <w:rFonts w:ascii="SimHei" w:eastAsia="SimHei"/>
          <w:sz w:val="24"/>
        </w:rPr>
        <w:t xml:space="preserve">1.  </w:t>
      </w:r>
      <w:r>
        <w:rPr>
          <w:rFonts w:ascii="SimHei" w:eastAsia="SimHei" w:hint="eastAsia"/>
          <w:sz w:val="24"/>
        </w:rPr>
        <w:t>有外国伙伴或丈夫的妇女</w:t>
      </w:r>
    </w:p>
    <w:p w:rsidR="00000000" w:rsidRDefault="00000000">
      <w:pPr>
        <w:autoSpaceDE w:val="0"/>
        <w:autoSpaceDN w:val="0"/>
        <w:spacing w:after="240" w:line="400" w:lineRule="exact"/>
        <w:ind w:firstLine="425"/>
        <w:textAlignment w:val="bottom"/>
      </w:pPr>
      <w:r>
        <w:rPr>
          <w:rFonts w:hint="eastAsia"/>
        </w:rPr>
        <w:t>按照荷兰移民政策，合法居住在荷兰的人可为他或她</w:t>
      </w:r>
    </w:p>
    <w:p w:rsidR="00000000" w:rsidRDefault="00000000">
      <w:pPr>
        <w:autoSpaceDE w:val="0"/>
        <w:autoSpaceDN w:val="0"/>
        <w:spacing w:after="240" w:line="400" w:lineRule="exact"/>
        <w:ind w:firstLine="425"/>
        <w:textAlignment w:val="bottom"/>
      </w:pPr>
      <w:r>
        <w:rPr>
          <w:rFonts w:hint="eastAsia"/>
        </w:rPr>
        <w:t>居住在国外的配偶（外国人通告、第</w:t>
      </w:r>
      <w:r>
        <w:t>B1/1.2</w:t>
      </w:r>
      <w:r>
        <w:rPr>
          <w:rFonts w:hint="eastAsia"/>
        </w:rPr>
        <w:t>章）或伙伴（外国人通告、第</w:t>
      </w:r>
      <w:r>
        <w:t>B1/3.2</w:t>
      </w:r>
      <w:r>
        <w:rPr>
          <w:rFonts w:hint="eastAsia"/>
        </w:rPr>
        <w:t>章）安排进入荷兰。已在荷兰居住的人应负责维持其伙伴的生活。为此规定了月收入的最低标准。如果有关人员有在荷兰居住许可证或正申请与伙伴团聚（即在荷兰有亲属关系），他或她必须达到全部收入标准，即每月约</w:t>
      </w:r>
      <w:r>
        <w:t>2000</w:t>
      </w:r>
      <w:r>
        <w:rPr>
          <w:rFonts w:hint="eastAsia"/>
        </w:rPr>
        <w:t>荷兰盾收入。处于这种状况的一个人可能不会要求社会保障补助。如果申请人是难民、有长期居住许可证的人或荷兰国民而且申请的目的是把配偶接来（即为婚姻关系），他或她必须达到</w:t>
      </w:r>
      <w:r>
        <w:t>70%</w:t>
      </w:r>
      <w:r>
        <w:rPr>
          <w:rFonts w:hint="eastAsia"/>
        </w:rPr>
        <w:t>收入标准。在这种情况下，申请人可申请社会保障补助以支付差额。</w:t>
      </w:r>
    </w:p>
    <w:p w:rsidR="00000000" w:rsidRDefault="00000000">
      <w:pPr>
        <w:autoSpaceDE w:val="0"/>
        <w:autoSpaceDN w:val="0"/>
        <w:spacing w:after="240" w:line="400" w:lineRule="exact"/>
        <w:ind w:firstLine="425"/>
        <w:textAlignment w:val="bottom"/>
      </w:pPr>
      <w:r>
        <w:rPr>
          <w:rFonts w:hint="eastAsia"/>
        </w:rPr>
        <w:t>统计数字表明，</w:t>
      </w:r>
      <w:r>
        <w:t>20-40</w:t>
      </w:r>
      <w:r>
        <w:rPr>
          <w:rFonts w:hint="eastAsia"/>
        </w:rPr>
        <w:t>年龄组中单身有工作的荷兰、苏里兰、土耳其和摩洛哥妇女大多数的收入超过所要求的</w:t>
      </w:r>
      <w:r>
        <w:t>70%</w:t>
      </w:r>
      <w:r>
        <w:rPr>
          <w:rFonts w:hint="eastAsia"/>
        </w:rPr>
        <w:t>水平。他们常常得到中等收入的职业。同一类别的男子更大程度上从事更高和更低收入的职业。</w:t>
      </w:r>
      <w:r>
        <w:rPr>
          <w:rStyle w:val="FootnoteReference"/>
        </w:rPr>
        <w:footnoteReference w:customMarkFollows="1" w:id="26"/>
        <w:t>24</w:t>
      </w:r>
      <w:r>
        <w:rPr>
          <w:rFonts w:hint="eastAsia"/>
        </w:rPr>
        <w:t>在荷兰有一个普遍规则即负责照管</w:t>
      </w:r>
      <w:r>
        <w:t>5</w:t>
      </w:r>
      <w:r>
        <w:rPr>
          <w:rFonts w:hint="eastAsia"/>
        </w:rPr>
        <w:t>岁以下儿童的人无义务接受就业。这也适用于希望把伙伴或配偶接到荷兰来的人。所以这类申请人可能要求全额社会保障补助（外国人通告、第</w:t>
      </w:r>
      <w:r>
        <w:t>1/12.4</w:t>
      </w:r>
      <w:r>
        <w:rPr>
          <w:rFonts w:hint="eastAsia"/>
        </w:rPr>
        <w:t>章）。</w:t>
      </w:r>
    </w:p>
    <w:p w:rsidR="00000000" w:rsidRDefault="00000000">
      <w:pPr>
        <w:autoSpaceDE w:val="0"/>
        <w:autoSpaceDN w:val="0"/>
        <w:spacing w:after="240" w:line="400" w:lineRule="exact"/>
        <w:textAlignment w:val="bottom"/>
        <w:rPr>
          <w:rFonts w:ascii="SimHei" w:eastAsia="SimHei"/>
          <w:sz w:val="24"/>
        </w:rPr>
      </w:pPr>
      <w:r>
        <w:rPr>
          <w:rFonts w:ascii="SimHei" w:eastAsia="SimHei"/>
          <w:sz w:val="24"/>
        </w:rPr>
        <w:t xml:space="preserve">2.  </w:t>
      </w:r>
      <w:r>
        <w:rPr>
          <w:rFonts w:ascii="SimHei" w:eastAsia="SimHei" w:hint="eastAsia"/>
          <w:sz w:val="24"/>
        </w:rPr>
        <w:t>有受抚养人居住权的妇女</w:t>
      </w:r>
    </w:p>
    <w:p w:rsidR="00000000" w:rsidRDefault="00000000">
      <w:pPr>
        <w:autoSpaceDE w:val="0"/>
        <w:autoSpaceDN w:val="0"/>
        <w:spacing w:after="240" w:line="400" w:lineRule="exact"/>
        <w:ind w:firstLine="425"/>
        <w:textAlignment w:val="bottom"/>
      </w:pPr>
      <w:r>
        <w:rPr>
          <w:rFonts w:hint="eastAsia"/>
        </w:rPr>
        <w:t>为家庭团聚到荷兰来的妇女可获得一个受抚养人居住许可证，换言之她们在这个国家留下的权利取决于他们与到荷兰来团聚的男子有关系这个事实。因此这是一种派生权利。这也适用于到荷兰来会见其女友或妻子的男子。只有在某些条件下因终止家庭关系而失去受抚养者居住权的外国人才有资格获得独立居住权。关于配偶和伙伴的外国人通告（第</w:t>
      </w:r>
      <w:r>
        <w:t>B1</w:t>
      </w:r>
      <w:r>
        <w:rPr>
          <w:rFonts w:hint="eastAsia"/>
        </w:rPr>
        <w:t>章）将阐明这些条件。</w:t>
      </w:r>
    </w:p>
    <w:p w:rsidR="00000000" w:rsidRDefault="00000000">
      <w:pPr>
        <w:autoSpaceDE w:val="0"/>
        <w:autoSpaceDN w:val="0"/>
        <w:spacing w:after="240" w:line="400" w:lineRule="exact"/>
        <w:ind w:firstLine="425"/>
        <w:textAlignment w:val="bottom"/>
      </w:pPr>
      <w:r>
        <w:rPr>
          <w:rFonts w:hint="eastAsia"/>
        </w:rPr>
        <w:t>如果一个外国人失去受抚养者权后申请独立居住许可证，第一个要考虑的因素是这种婚姻或关系维持了多久。如果在三年内终止的，这将影响有受抚养者居住权配偶或伙伴的地位（第</w:t>
      </w:r>
      <w:r>
        <w:t>B1/2.1</w:t>
      </w:r>
      <w:r>
        <w:rPr>
          <w:rFonts w:hint="eastAsia"/>
        </w:rPr>
        <w:t>章）。原则上在荷兰居住的理由不存在，居住权也就终止了。其结果并不是可草率地将这类人驱逐出境。但是最重要的是在六个月内把关系破裂的事通知外事警察。然后他们对是否可以继续居住进行评估。有受抚养者居住权但受到伙伴或配偶虐待或伤害（性方面或其他）的妇女处在极易受伤害的地位。那些作为虐待受害者的人当然不会被草率驱逐出境。他们当然会得到住宿、照料和保护。还会允许他们住进受虐待妇女之家。当有关妇女住进受虐待妇女之家时仍然有效的居住许可证在保护期内不会因其关系已终止而被吊销。如果居住许可证到期或该妇女离开避难所，她必须申请独立的许可证。由于这种申请被认为是申请继续居住，所以通常的社会保障办法继续适用于她。</w:t>
      </w:r>
    </w:p>
    <w:p w:rsidR="00000000" w:rsidRDefault="00000000">
      <w:pPr>
        <w:autoSpaceDE w:val="0"/>
        <w:autoSpaceDN w:val="0"/>
        <w:spacing w:after="240" w:line="400" w:lineRule="exact"/>
        <w:ind w:firstLine="425"/>
        <w:textAlignment w:val="bottom"/>
      </w:pPr>
      <w:r>
        <w:rPr>
          <w:rFonts w:hint="eastAsia"/>
        </w:rPr>
        <w:t>根据外国人通告第</w:t>
      </w:r>
      <w:r>
        <w:t>B1/2.3</w:t>
      </w:r>
      <w:r>
        <w:rPr>
          <w:rFonts w:hint="eastAsia"/>
        </w:rPr>
        <w:t>章（婚姻）和第</w:t>
      </w:r>
      <w:r>
        <w:t>B1/4.3</w:t>
      </w:r>
      <w:r>
        <w:rPr>
          <w:rFonts w:hint="eastAsia"/>
        </w:rPr>
        <w:t>章（伙伴），由于人道主义性质的紧急原因一个有被抚养人居住许可的人的居住期可以延长，即使申请是在三年内提出的。例如可能的情况是申请人与荷兰或与荷兰居住的人有很密切的关系或者在个别情况下申请人无法返回原籍国。在</w:t>
      </w:r>
      <w:r>
        <w:t>1997</w:t>
      </w:r>
      <w:r>
        <w:rPr>
          <w:rFonts w:hint="eastAsia"/>
        </w:rPr>
        <w:t>年</w:t>
      </w:r>
      <w:r>
        <w:t>12</w:t>
      </w:r>
      <w:r>
        <w:rPr>
          <w:rFonts w:hint="eastAsia"/>
        </w:rPr>
        <w:t>月的外国人通告中明确地澄清了这一特殊问题：如果有导致婚姻或关系破裂的虐待和暴力（性方面或其他）的明显证据，这就可能构成颁发许可证的人道主义理由。如果案件不涉及永久居住许可、紧急人道主义性质原因的居住许可或另外原因的居住许可，有被抚养人居住许可的申请人有资格申请独立居住许可，只要他或她有独立收入。这样的申请人会得到一年找工作的时间。如果婚姻或关系是三年后破裂的（外国人通告第</w:t>
      </w:r>
      <w:r>
        <w:t>B1/2.2</w:t>
      </w:r>
      <w:r>
        <w:rPr>
          <w:rFonts w:hint="eastAsia"/>
        </w:rPr>
        <w:t>和</w:t>
      </w:r>
      <w:r>
        <w:t>B1/4/2</w:t>
      </w:r>
      <w:r>
        <w:rPr>
          <w:rFonts w:hint="eastAsia"/>
        </w:rPr>
        <w:t>章），有受抚养者居住许可的一方可能有资格得到独立居住许可，因为他或她由于其他原因符合居住条件或出于人道主义原因。在后一种情况下，不要求具备独立收入的条件。</w:t>
      </w:r>
    </w:p>
    <w:p w:rsidR="00000000" w:rsidRDefault="00000000">
      <w:pPr>
        <w:autoSpaceDE w:val="0"/>
        <w:autoSpaceDN w:val="0"/>
        <w:spacing w:after="240" w:line="400" w:lineRule="exact"/>
        <w:ind w:firstLine="425"/>
        <w:textAlignment w:val="bottom"/>
      </w:pPr>
      <w:r>
        <w:rPr>
          <w:rFonts w:hint="eastAsia"/>
        </w:rPr>
        <w:t>五年之后无论婚姻或关系是否仍然存在，有受抚养人居住权的人都可以申请独立居住权，即长期居住许可。那时的收入条件将参考家庭收入进行评估。</w:t>
      </w:r>
    </w:p>
    <w:p w:rsidR="00000000" w:rsidRDefault="00000000">
      <w:pPr>
        <w:autoSpaceDE w:val="0"/>
        <w:autoSpaceDN w:val="0"/>
        <w:spacing w:after="240" w:line="400" w:lineRule="exact"/>
        <w:ind w:firstLine="425"/>
        <w:textAlignment w:val="bottom"/>
      </w:pPr>
      <w:r>
        <w:rPr>
          <w:rFonts w:hint="eastAsia"/>
        </w:rPr>
        <w:t>已委托</w:t>
      </w:r>
      <w:r>
        <w:t>Clara Wichmawn</w:t>
      </w:r>
      <w:r>
        <w:rPr>
          <w:rFonts w:hint="eastAsia"/>
        </w:rPr>
        <w:t>研究所对在关系终止时有受抚养人居住权的妇女面临的问题进行研究。它的职权范围就是对在多大程度上这类妇女实际可得到福利补助和服务作出评估。</w:t>
      </w:r>
    </w:p>
    <w:p w:rsidR="00000000" w:rsidRDefault="00000000">
      <w:pPr>
        <w:autoSpaceDE w:val="0"/>
        <w:autoSpaceDN w:val="0"/>
        <w:spacing w:after="240" w:line="400" w:lineRule="exact"/>
        <w:ind w:firstLine="425"/>
        <w:textAlignment w:val="bottom"/>
      </w:pPr>
      <w:r>
        <w:rPr>
          <w:rFonts w:hint="eastAsia"/>
        </w:rPr>
        <w:t>荷兰政府认为对为家庭团聚到荷兰来的男子或妇女一入境立即颁发独立居住许可证是不合适的。这将使作为家庭团聚基础的这一制度失去作用，该制度规定已居住在荷兰的一方对新移民的生活费用和住宿负责。事实上对新移民立即颁发独立居住权将不利于有关人员。在胁迫下为了获得独立居住权而结婚的危险将增加。不用说，如果通过迁回办法增加了滥用权力的可能，那么为打击对妇女施暴和防止权宜婚姻及强迫卖淫而采取的行动就没有作用了。</w:t>
      </w:r>
    </w:p>
    <w:p w:rsidR="00000000" w:rsidRDefault="00000000">
      <w:pPr>
        <w:autoSpaceDE w:val="0"/>
        <w:autoSpaceDN w:val="0"/>
        <w:spacing w:after="240" w:line="400" w:lineRule="exact"/>
        <w:textAlignment w:val="bottom"/>
        <w:rPr>
          <w:rFonts w:ascii="SimHei" w:eastAsia="SimHei"/>
          <w:sz w:val="24"/>
        </w:rPr>
      </w:pPr>
      <w:r>
        <w:rPr>
          <w:rFonts w:ascii="SimHei" w:eastAsia="SimHei"/>
          <w:sz w:val="24"/>
        </w:rPr>
        <w:t xml:space="preserve">3.  </w:t>
      </w:r>
      <w:r>
        <w:rPr>
          <w:rFonts w:ascii="SimHei" w:eastAsia="SimHei" w:hint="eastAsia"/>
          <w:sz w:val="24"/>
        </w:rPr>
        <w:t>寻求避难的妇女</w:t>
      </w:r>
    </w:p>
    <w:p w:rsidR="00000000" w:rsidRDefault="00000000">
      <w:pPr>
        <w:autoSpaceDE w:val="0"/>
        <w:autoSpaceDN w:val="0"/>
        <w:spacing w:after="240" w:line="400" w:lineRule="exact"/>
        <w:ind w:firstLine="425"/>
        <w:textAlignment w:val="bottom"/>
      </w:pPr>
      <w:r>
        <w:rPr>
          <w:rFonts w:hint="eastAsia"/>
        </w:rPr>
        <w:t>如果一个外国人要求享有难民地位，他或她就是申请避难（外国人通告第</w:t>
      </w:r>
      <w:r>
        <w:t>B7</w:t>
      </w:r>
      <w:r>
        <w:rPr>
          <w:rFonts w:hint="eastAsia"/>
        </w:rPr>
        <w:t>章）。避难申请提交给司法部，由移民和入籍机构处理。难民被认为是符合联合国有关难民地位公约第</w:t>
      </w:r>
      <w:r>
        <w:t>1(A)</w:t>
      </w:r>
      <w:r>
        <w:rPr>
          <w:rFonts w:hint="eastAsia"/>
        </w:rPr>
        <w:t>条定义的外国人。《外国人法》第</w:t>
      </w:r>
      <w:r>
        <w:t>15</w:t>
      </w:r>
      <w:r>
        <w:rPr>
          <w:rFonts w:hint="eastAsia"/>
        </w:rPr>
        <w:t>款第</w:t>
      </w:r>
      <w:r>
        <w:t>1</w:t>
      </w:r>
      <w:r>
        <w:rPr>
          <w:rFonts w:hint="eastAsia"/>
        </w:rPr>
        <w:t>项中也载有这个定义。</w:t>
      </w:r>
    </w:p>
    <w:p w:rsidR="00000000" w:rsidRDefault="00000000">
      <w:pPr>
        <w:autoSpaceDE w:val="0"/>
        <w:autoSpaceDN w:val="0"/>
        <w:spacing w:after="240" w:line="400" w:lineRule="exact"/>
        <w:ind w:firstLine="425"/>
        <w:textAlignment w:val="bottom"/>
      </w:pPr>
      <w:r>
        <w:rPr>
          <w:rFonts w:hint="eastAsia"/>
        </w:rPr>
        <w:t>为了获得承认是《日内瓦公约》含义内的外国人，寻求避难者必须表明：</w:t>
      </w:r>
    </w:p>
    <w:p w:rsidR="00000000" w:rsidRDefault="00000000">
      <w:pPr>
        <w:autoSpaceDE w:val="0"/>
        <w:autoSpaceDN w:val="0"/>
        <w:spacing w:after="240" w:line="400" w:lineRule="exact"/>
        <w:ind w:firstLine="425"/>
        <w:textAlignment w:val="bottom"/>
      </w:pPr>
      <w:r>
        <w:t xml:space="preserve">*  </w:t>
      </w:r>
      <w:r>
        <w:rPr>
          <w:rFonts w:hint="eastAsia"/>
        </w:rPr>
        <w:t>有充分理由担心因种族、宗教、国籍、或某一特别社会团体的成员或政治见解而遭受迫害；</w:t>
      </w:r>
    </w:p>
    <w:p w:rsidR="00000000" w:rsidRDefault="00000000">
      <w:pPr>
        <w:autoSpaceDE w:val="0"/>
        <w:autoSpaceDN w:val="0"/>
        <w:spacing w:after="240" w:line="400" w:lineRule="exact"/>
        <w:ind w:firstLine="425"/>
        <w:textAlignment w:val="bottom"/>
      </w:pPr>
      <w:r>
        <w:t xml:space="preserve">*  </w:t>
      </w:r>
      <w:r>
        <w:rPr>
          <w:rFonts w:hint="eastAsia"/>
        </w:rPr>
        <w:t>原籍国政府部门对这种迫害负有责任或应受谴责地未能提供保护防止迫害。</w:t>
      </w:r>
    </w:p>
    <w:p w:rsidR="00000000" w:rsidRDefault="00000000">
      <w:pPr>
        <w:autoSpaceDE w:val="0"/>
        <w:autoSpaceDN w:val="0"/>
        <w:spacing w:after="240" w:line="400" w:lineRule="exact"/>
        <w:ind w:firstLine="425"/>
        <w:textAlignment w:val="bottom"/>
      </w:pPr>
      <w:r>
        <w:rPr>
          <w:rFonts w:hint="eastAsia"/>
        </w:rPr>
        <w:t>荷兰的避难政策是基于对个案的评价。要评价的东西是每个寻求避难者的个人经历。避难政策在性别上是中性的。男女都要办理同样的手续。</w:t>
      </w:r>
    </w:p>
    <w:p w:rsidR="00000000" w:rsidRDefault="00000000">
      <w:pPr>
        <w:autoSpaceDE w:val="0"/>
        <w:autoSpaceDN w:val="0"/>
        <w:spacing w:after="240" w:line="400" w:lineRule="exact"/>
        <w:ind w:firstLine="425"/>
        <w:textAlignment w:val="bottom"/>
      </w:pPr>
      <w:r>
        <w:rPr>
          <w:rFonts w:hint="eastAsia"/>
        </w:rPr>
        <w:t>当寻求避难者进入荷兰时，他或她应向三个登记处之一提出申请（外国人通告，第</w:t>
      </w:r>
      <w:r>
        <w:t>B7/3/2.2</w:t>
      </w:r>
      <w:r>
        <w:rPr>
          <w:rFonts w:hint="eastAsia"/>
        </w:rPr>
        <w:t>章），然后可以得到有关避难手续的信息。第一次面审就在登记处进行，当场作出申请是否有充分理由和可以入境的决定。对文件进行审查并取指纹以便核查该人是否第一次申请。最多</w:t>
      </w:r>
      <w:r>
        <w:t>24</w:t>
      </w:r>
      <w:r>
        <w:rPr>
          <w:rFonts w:hint="eastAsia"/>
        </w:rPr>
        <w:t>小时之后，其申请可以受理的避难者将被转送到接收中心，在那里再进行面审（外国人通告，第</w:t>
      </w:r>
      <w:r>
        <w:t>B1/7.4</w:t>
      </w:r>
      <w:r>
        <w:rPr>
          <w:rFonts w:hint="eastAsia"/>
        </w:rPr>
        <w:t>章）。一位法律顾问帮助寻求避难者为面审作准备，如果寻求避难者为妇女，告诉她她有权要求由女审查官和（或）女译员来面审。法律顾问还向她解释详细说明她逃脱经过，包括她所遭受的任何性暴力的重要性。</w:t>
      </w:r>
    </w:p>
    <w:p w:rsidR="00000000" w:rsidRDefault="00000000">
      <w:pPr>
        <w:autoSpaceDE w:val="0"/>
        <w:autoSpaceDN w:val="0"/>
        <w:spacing w:after="240" w:line="400" w:lineRule="exact"/>
        <w:ind w:firstLine="425"/>
        <w:textAlignment w:val="bottom"/>
      </w:pPr>
      <w:r>
        <w:rPr>
          <w:rFonts w:hint="eastAsia"/>
        </w:rPr>
        <w:t>面审开始时只是重复已向寻求避难者说过的事情。法律顾问面审时可以在场。面审情况写成纪录，其副本将出示寻求避难者，寻求避难者可提出补充和修改。法律顾问也可以提出意见。然后该文件将送交对申请做出决定的官员。</w:t>
      </w:r>
    </w:p>
    <w:p w:rsidR="00000000" w:rsidRDefault="00000000">
      <w:pPr>
        <w:autoSpaceDE w:val="0"/>
        <w:autoSpaceDN w:val="0"/>
        <w:spacing w:after="240" w:line="400" w:lineRule="exact"/>
        <w:ind w:firstLine="425"/>
        <w:textAlignment w:val="bottom"/>
      </w:pPr>
      <w:r>
        <w:rPr>
          <w:rFonts w:hint="eastAsia"/>
        </w:rPr>
        <w:t>在评价逃脱的原因时将考虑各种不同因素：</w:t>
      </w:r>
    </w:p>
    <w:p w:rsidR="00000000" w:rsidRDefault="00000000">
      <w:pPr>
        <w:autoSpaceDE w:val="0"/>
        <w:autoSpaceDN w:val="0"/>
        <w:spacing w:after="240" w:line="400" w:lineRule="exact"/>
        <w:ind w:firstLine="425"/>
        <w:textAlignment w:val="bottom"/>
      </w:pPr>
      <w:r>
        <w:t xml:space="preserve">*  </w:t>
      </w:r>
      <w:r>
        <w:rPr>
          <w:rFonts w:hint="eastAsia"/>
        </w:rPr>
        <w:t>所讨论的活动是否有一些政治意义，它们是否会遇到有关当局的消极反应（有充分理由担心要迫害）？</w:t>
      </w:r>
    </w:p>
    <w:p w:rsidR="00000000" w:rsidRDefault="00000000">
      <w:pPr>
        <w:autoSpaceDE w:val="0"/>
        <w:autoSpaceDN w:val="0"/>
        <w:spacing w:after="240" w:line="400" w:lineRule="exact"/>
        <w:ind w:firstLine="425"/>
        <w:textAlignment w:val="bottom"/>
      </w:pPr>
      <w:r>
        <w:t xml:space="preserve">*  </w:t>
      </w:r>
      <w:r>
        <w:rPr>
          <w:rFonts w:hint="eastAsia"/>
        </w:rPr>
        <w:t>此人所述情况是否合逻辑并前后一致？</w:t>
      </w:r>
    </w:p>
    <w:p w:rsidR="00000000" w:rsidRDefault="00000000">
      <w:pPr>
        <w:autoSpaceDE w:val="0"/>
        <w:autoSpaceDN w:val="0"/>
        <w:spacing w:after="240" w:line="400" w:lineRule="exact"/>
        <w:ind w:firstLine="425"/>
        <w:textAlignment w:val="bottom"/>
      </w:pPr>
      <w:r>
        <w:t xml:space="preserve">*  </w:t>
      </w:r>
      <w:r>
        <w:rPr>
          <w:rFonts w:hint="eastAsia"/>
        </w:rPr>
        <w:t>叙述的有关国家情况是否与移民和入籍部门的资料相一致？</w:t>
      </w:r>
    </w:p>
    <w:p w:rsidR="00000000" w:rsidRDefault="00000000">
      <w:pPr>
        <w:autoSpaceDE w:val="0"/>
        <w:autoSpaceDN w:val="0"/>
        <w:spacing w:after="240" w:line="400" w:lineRule="exact"/>
        <w:ind w:firstLine="425"/>
        <w:textAlignment w:val="bottom"/>
      </w:pPr>
      <w:r>
        <w:t xml:space="preserve">*  </w:t>
      </w:r>
      <w:r>
        <w:rPr>
          <w:rFonts w:hint="eastAsia"/>
        </w:rPr>
        <w:t>叙述的情况一般是否表面上讲得通？</w:t>
      </w:r>
    </w:p>
    <w:p w:rsidR="00000000" w:rsidRDefault="00000000">
      <w:pPr>
        <w:autoSpaceDE w:val="0"/>
        <w:autoSpaceDN w:val="0"/>
        <w:spacing w:after="240" w:line="400" w:lineRule="exact"/>
        <w:ind w:firstLine="425"/>
        <w:textAlignment w:val="bottom"/>
      </w:pPr>
      <w:r>
        <w:rPr>
          <w:rFonts w:hint="eastAsia"/>
        </w:rPr>
        <w:t>官员依据逃脱的原因决定给予该人难民地位，如果不给予，是否以人道主义理由可让居住。如果申请人不符合任何一条标准，他或她必须离开荷兰。如果申请被拒绝，寻求避难者可以提出反对。反对通知书可以说明新的事实（外国人通告，第</w:t>
      </w:r>
      <w:r>
        <w:t>B7/11.3</w:t>
      </w:r>
      <w:r>
        <w:rPr>
          <w:rFonts w:hint="eastAsia"/>
        </w:rPr>
        <w:t>章）。法律顾问可以发挥作用帮助寻求避难者草拟反对意见。如果对反对意见的裁决仍然是否定的，可以提出上诉质疑裁决的合法性。</w:t>
      </w:r>
    </w:p>
    <w:p w:rsidR="00000000" w:rsidRDefault="00000000">
      <w:pPr>
        <w:autoSpaceDE w:val="0"/>
        <w:autoSpaceDN w:val="0"/>
        <w:spacing w:after="240" w:line="400" w:lineRule="exact"/>
        <w:ind w:firstLine="425"/>
        <w:textAlignment w:val="bottom"/>
      </w:pPr>
      <w:r>
        <w:rPr>
          <w:rFonts w:hint="eastAsia"/>
        </w:rPr>
        <w:t>所有寻求避难者，包括已婚妇女，都应独立提交申请。其目的是为了单独面审每一个人。如果一个妇女引用她丈夫逃脱的理由，当她丈夫得到居住许可时她自己将得到独立居住权。即使妻子比丈夫晚到达荷兰半年，她可因她丈夫上次引用的同样理由获得独立居住许可证（外国人通告，第</w:t>
      </w:r>
      <w:r>
        <w:t>B7/17.1.1</w:t>
      </w:r>
      <w:r>
        <w:rPr>
          <w:rFonts w:hint="eastAsia"/>
        </w:rPr>
        <w:t>章）。</w:t>
      </w:r>
    </w:p>
    <w:p w:rsidR="00000000" w:rsidRDefault="00000000">
      <w:pPr>
        <w:autoSpaceDE w:val="0"/>
        <w:autoSpaceDN w:val="0"/>
        <w:spacing w:after="240" w:line="400" w:lineRule="exact"/>
        <w:ind w:firstLine="425"/>
        <w:textAlignment w:val="bottom"/>
      </w:pPr>
      <w:r>
        <w:rPr>
          <w:rFonts w:hint="eastAsia"/>
        </w:rPr>
        <w:t>移民和入籍机构的工作人员根据某些官方指示履行职责。现存指示中有三个专门涉及女性难民。按照</w:t>
      </w:r>
      <w:r>
        <w:t>1997</w:t>
      </w:r>
      <w:r>
        <w:rPr>
          <w:rFonts w:hint="eastAsia"/>
        </w:rPr>
        <w:t>年</w:t>
      </w:r>
      <w:r>
        <w:t>9</w:t>
      </w:r>
      <w:r>
        <w:rPr>
          <w:rFonts w:hint="eastAsia"/>
        </w:rPr>
        <w:t>月公布的一个指示要求记录女性寻求避难者逃脱原因的官员特别注意叙述中与性别有关的问题，这可能对决定她们是否是难民是重要的，或者可以得到出于人道主义原因的居住许可。要求官员们特别要考虑到在把什么当成私人和公共行为方面各国之间有差别。例如尽管在大多数国家烹饪可能是一种私人行为，但在其他国家有可能被当成公共行为。譬如在妇女为抵抗战士烧饭的地方就可能如此；当局会把它作为抵抗行为对待。在这种情况下，‘烹饪’可能会导致迫害。另一个标识是原籍国官员犯下的性暴力或者是当局不愿意或无法为之提供保护的性暴力。</w:t>
      </w:r>
    </w:p>
    <w:p w:rsidR="00000000" w:rsidRDefault="00000000">
      <w:pPr>
        <w:autoSpaceDE w:val="0"/>
        <w:autoSpaceDN w:val="0"/>
        <w:spacing w:after="240" w:line="400" w:lineRule="exact"/>
        <w:ind w:firstLine="425"/>
        <w:textAlignment w:val="bottom"/>
      </w:pPr>
      <w:r>
        <w:rPr>
          <w:rFonts w:hint="eastAsia"/>
        </w:rPr>
        <w:t>还有一个用于面审寻求避难者的官员的行为守则。其中有一条规定，当法律顾问认为该女性寻求避难者可能遭受过性暴力时，如寻求避难者提出要求，面审人员应为妇女。移民和入籍部门培训面审人员适当考虑到对待其他文化中的性别的不同态度。移民和入籍部门的人事政策是应提供足够女面审人员和女译员，以确保在妇女要求时能得到女性工作人员的帮助。上一个报告说司法部正试图确保至少</w:t>
      </w:r>
      <w:r>
        <w:t>25%</w:t>
      </w:r>
      <w:r>
        <w:rPr>
          <w:rFonts w:hint="eastAsia"/>
        </w:rPr>
        <w:t>的移民和入籍部门工作人员为妇女。可是女性面审人员的比例在</w:t>
      </w:r>
      <w:r>
        <w:t>1997</w:t>
      </w:r>
      <w:r>
        <w:rPr>
          <w:rFonts w:hint="eastAsia"/>
        </w:rPr>
        <w:t>年第三季度已达到</w:t>
      </w:r>
      <w:r>
        <w:t>39%</w:t>
      </w:r>
      <w:r>
        <w:rPr>
          <w:rFonts w:hint="eastAsia"/>
        </w:rPr>
        <w:t>。</w:t>
      </w:r>
    </w:p>
    <w:p w:rsidR="00000000" w:rsidRDefault="00000000">
      <w:pPr>
        <w:autoSpaceDE w:val="0"/>
        <w:autoSpaceDN w:val="0"/>
        <w:spacing w:after="240" w:line="400" w:lineRule="exact"/>
        <w:ind w:firstLine="425"/>
        <w:textAlignment w:val="bottom"/>
      </w:pPr>
      <w:r>
        <w:rPr>
          <w:rFonts w:hint="eastAsia"/>
        </w:rPr>
        <w:t>司法部研究和文献中心正通过对</w:t>
      </w:r>
      <w:r>
        <w:t>1000</w:t>
      </w:r>
      <w:r>
        <w:rPr>
          <w:rFonts w:hint="eastAsia"/>
        </w:rPr>
        <w:t>个实例档案的分析对女性寻求避难者的状况进行研究。此外还在对面审人员的经验进行了分析。研究报告将在</w:t>
      </w:r>
      <w:r>
        <w:t>1998</w:t>
      </w:r>
      <w:r>
        <w:rPr>
          <w:rFonts w:hint="eastAsia"/>
        </w:rPr>
        <w:t>年公布。</w:t>
      </w:r>
    </w:p>
    <w:p w:rsidR="00000000" w:rsidRDefault="00000000">
      <w:pPr>
        <w:autoSpaceDE w:val="0"/>
        <w:autoSpaceDN w:val="0"/>
        <w:spacing w:after="240" w:line="400" w:lineRule="exact"/>
        <w:textAlignment w:val="bottom"/>
        <w:rPr>
          <w:rFonts w:ascii="SimHei" w:eastAsia="SimHei"/>
          <w:sz w:val="24"/>
        </w:rPr>
      </w:pPr>
      <w:r>
        <w:rPr>
          <w:rFonts w:ascii="SimHei" w:eastAsia="SimHei"/>
          <w:sz w:val="24"/>
        </w:rPr>
        <w:t xml:space="preserve">4.  </w:t>
      </w:r>
      <w:r>
        <w:rPr>
          <w:rFonts w:ascii="SimHei" w:eastAsia="SimHei" w:hint="eastAsia"/>
          <w:sz w:val="24"/>
        </w:rPr>
        <w:t>没有居住权的妇女</w:t>
      </w:r>
    </w:p>
    <w:p w:rsidR="00000000" w:rsidRDefault="00000000">
      <w:pPr>
        <w:autoSpaceDE w:val="0"/>
        <w:autoSpaceDN w:val="0"/>
        <w:spacing w:after="240" w:line="400" w:lineRule="exact"/>
        <w:ind w:firstLine="425"/>
        <w:textAlignment w:val="bottom"/>
      </w:pPr>
      <w:r>
        <w:rPr>
          <w:rFonts w:hint="eastAsia"/>
        </w:rPr>
        <w:t>没有居住权的妇女的法律状况与同样情况的男子的法律状况一样。但是实际上非法进入荷兰的妇女更加有可能沦为虐待或折磨的受害者。他们尤其可能作为（住在雇主家）家庭仆人或免费食宿帮忙家务的女佣或被迫卖淫（特别是被贩卖的妇女）受剥削。外国人通告载有关于贩卖妇女的一章。它有两个目的：第一，促进对贩卖妇女案例的调查和诉讼；第二在他们考虑是否向警察告发罪行的过程中以及如果决定告发，在后来的调查、诉讼和在法庭审判听证事实时，向受害者提供援助。关于贩卖妇女，见前文第四章。</w:t>
      </w:r>
    </w:p>
    <w:p w:rsidR="00000000" w:rsidRDefault="00000000">
      <w:pPr>
        <w:autoSpaceDE w:val="0"/>
        <w:autoSpaceDN w:val="0"/>
        <w:spacing w:after="240" w:line="400" w:lineRule="exact"/>
        <w:textAlignment w:val="bottom"/>
        <w:rPr>
          <w:rFonts w:ascii="SimHei" w:eastAsia="SimHei"/>
          <w:sz w:val="28"/>
        </w:rPr>
      </w:pPr>
      <w:r>
        <w:br w:type="page"/>
      </w:r>
      <w:r>
        <w:rPr>
          <w:rFonts w:ascii="SimHei" w:eastAsia="SimHei" w:hint="eastAsia"/>
          <w:sz w:val="28"/>
        </w:rPr>
        <w:t>第八章</w:t>
      </w:r>
      <w:r>
        <w:rPr>
          <w:rFonts w:ascii="SimHei" w:eastAsia="SimHei"/>
          <w:sz w:val="28"/>
        </w:rPr>
        <w:t xml:space="preserve">  </w:t>
      </w:r>
      <w:r>
        <w:rPr>
          <w:rFonts w:ascii="SimHei" w:eastAsia="SimHei" w:hint="eastAsia"/>
          <w:sz w:val="28"/>
        </w:rPr>
        <w:t>第</w:t>
      </w:r>
      <w:r>
        <w:rPr>
          <w:rFonts w:ascii="SimHei" w:eastAsia="SimHei"/>
          <w:sz w:val="28"/>
        </w:rPr>
        <w:t>10</w:t>
      </w:r>
      <w:r>
        <w:rPr>
          <w:rFonts w:ascii="SimHei" w:eastAsia="SimHei" w:hint="eastAsia"/>
          <w:sz w:val="28"/>
        </w:rPr>
        <w:t>条：正规和非正规教育</w:t>
      </w:r>
    </w:p>
    <w:p w:rsidR="00000000" w:rsidRDefault="00000000">
      <w:pPr>
        <w:autoSpaceDE w:val="0"/>
        <w:autoSpaceDN w:val="0"/>
        <w:spacing w:after="240" w:line="400" w:lineRule="exact"/>
        <w:textAlignment w:val="bottom"/>
        <w:rPr>
          <w:rFonts w:ascii="SimHei" w:eastAsia="SimHei"/>
          <w:sz w:val="24"/>
        </w:rPr>
      </w:pPr>
      <w:r>
        <w:rPr>
          <w:rFonts w:ascii="SimHei" w:eastAsia="SimHei" w:hint="eastAsia"/>
          <w:sz w:val="24"/>
        </w:rPr>
        <w:t>第一级：状况和立法措施</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1(a)  </w:t>
      </w:r>
      <w:r>
        <w:rPr>
          <w:rFonts w:ascii="SimHei" w:eastAsia="SimHei" w:hint="eastAsia"/>
        </w:rPr>
        <w:t>状况</w:t>
      </w:r>
    </w:p>
    <w:p w:rsidR="00000000" w:rsidRDefault="00000000">
      <w:pPr>
        <w:autoSpaceDE w:val="0"/>
        <w:autoSpaceDN w:val="0"/>
        <w:spacing w:after="240" w:line="400" w:lineRule="exact"/>
        <w:ind w:firstLine="425"/>
        <w:textAlignment w:val="bottom"/>
      </w:pPr>
      <w:r>
        <w:rPr>
          <w:rFonts w:hint="eastAsia"/>
        </w:rPr>
        <w:t>在荷兰法律要求儿童在</w:t>
      </w:r>
      <w:r>
        <w:t>5</w:t>
      </w:r>
      <w:r>
        <w:rPr>
          <w:rFonts w:hint="eastAsia"/>
        </w:rPr>
        <w:t>至</w:t>
      </w:r>
      <w:r>
        <w:t>16</w:t>
      </w:r>
      <w:r>
        <w:rPr>
          <w:rFonts w:hint="eastAsia"/>
        </w:rPr>
        <w:t>岁之间上学。在某些情况下</w:t>
      </w:r>
      <w:r>
        <w:t>18</w:t>
      </w:r>
      <w:r>
        <w:rPr>
          <w:rFonts w:hint="eastAsia"/>
        </w:rPr>
        <w:t>至</w:t>
      </w:r>
      <w:r>
        <w:t>27</w:t>
      </w:r>
      <w:r>
        <w:rPr>
          <w:rFonts w:hint="eastAsia"/>
        </w:rPr>
        <w:t>岁之间的学生有资格领取学生助学金，这可以是基本的或是补充性的。如在</w:t>
      </w:r>
      <w:r>
        <w:t>1992</w:t>
      </w:r>
      <w:r>
        <w:rPr>
          <w:rFonts w:hint="eastAsia"/>
        </w:rPr>
        <w:t>年已提到的，管理不同教育部门的立法并不包含妨碍妇女和女孩接受教育并在当局资助的教育机构获得证书的任何形式的障碍。在荷兰并没有单独的旨在减少放弃学习的妇女和女孩数量的法律。却有大量旨在防止男孩女孩逃学和辍学的措施。由于辍学问题在荷兰往往对男孩比对女孩影响大，所以没有专门处理女孩辍学问题的政策。</w:t>
      </w:r>
    </w:p>
    <w:p w:rsidR="00000000" w:rsidRDefault="00000000">
      <w:pPr>
        <w:autoSpaceDE w:val="0"/>
        <w:autoSpaceDN w:val="0"/>
        <w:spacing w:after="240" w:line="400" w:lineRule="exact"/>
        <w:ind w:firstLine="425"/>
        <w:textAlignment w:val="bottom"/>
      </w:pPr>
      <w:r>
        <w:rPr>
          <w:rFonts w:hint="eastAsia"/>
        </w:rPr>
        <w:t>在荷兰女孩受教育的比例很高。尽管妇女的受教育水平仍比男子低，但是在年轻几代人中性别之间受教育水平的差别已经消失。人口的受教育水平总体上稳步提高了，但就妇女而言提高得更为明显。在</w:t>
      </w:r>
      <w:r>
        <w:t>1996</w:t>
      </w:r>
      <w:r>
        <w:rPr>
          <w:rFonts w:hint="eastAsia"/>
        </w:rPr>
        <w:t>年</w:t>
      </w:r>
      <w:r>
        <w:t>25-34</w:t>
      </w:r>
      <w:r>
        <w:rPr>
          <w:rFonts w:hint="eastAsia"/>
        </w:rPr>
        <w:t>年龄组的妇女四分之一有大学学位或高等职业学历。这个比例实际上与男子相同。下表清楚表明受教育程度是如何随年龄下降而上升的，妇女尤其如此。由于</w:t>
      </w:r>
      <w:r>
        <w:t>15-24</w:t>
      </w:r>
      <w:r>
        <w:rPr>
          <w:rFonts w:hint="eastAsia"/>
        </w:rPr>
        <w:t>年龄组三分之二仍在受教育，这个年龄组的百分比分类仅是暂时数字。受教育的平均水平无疑将进一步提高。</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表</w:t>
      </w:r>
      <w:r>
        <w:rPr>
          <w:rFonts w:ascii="楷体" w:eastAsia="楷体"/>
        </w:rPr>
        <w:t>8.1  1996</w:t>
      </w:r>
      <w:r>
        <w:rPr>
          <w:rFonts w:ascii="楷体" w:eastAsia="楷体" w:hint="eastAsia"/>
        </w:rPr>
        <w:t>年按年龄列出的教育程度</w:t>
      </w:r>
    </w:p>
    <w:tbl>
      <w:tblPr>
        <w:tblW w:w="0" w:type="auto"/>
        <w:tblLayout w:type="fixed"/>
        <w:tblCellMar>
          <w:left w:w="28" w:type="dxa"/>
          <w:right w:w="28" w:type="dxa"/>
        </w:tblCellMar>
        <w:tblLook w:val="0000" w:firstRow="0" w:lastRow="0" w:firstColumn="0" w:lastColumn="0" w:noHBand="0" w:noVBand="0"/>
      </w:tblPr>
      <w:tblGrid>
        <w:gridCol w:w="2548"/>
        <w:gridCol w:w="1227"/>
        <w:gridCol w:w="1227"/>
        <w:gridCol w:w="1227"/>
        <w:gridCol w:w="1227"/>
        <w:gridCol w:w="1227"/>
        <w:gridCol w:w="1227"/>
      </w:tblGrid>
      <w:tr w:rsidR="00000000">
        <w:tblPrEx>
          <w:tblCellMar>
            <w:top w:w="0" w:type="dxa"/>
            <w:bottom w:w="0" w:type="dxa"/>
          </w:tblCellMar>
        </w:tblPrEx>
        <w:tc>
          <w:tcPr>
            <w:tcW w:w="2548" w:type="dxa"/>
          </w:tcPr>
          <w:p w:rsidR="00000000" w:rsidRDefault="00000000">
            <w:pPr>
              <w:autoSpaceDE w:val="0"/>
              <w:autoSpaceDN w:val="0"/>
              <w:spacing w:line="360" w:lineRule="exact"/>
              <w:ind w:firstLine="425"/>
              <w:textAlignment w:val="bottom"/>
            </w:pPr>
          </w:p>
        </w:tc>
        <w:tc>
          <w:tcPr>
            <w:tcW w:w="1227" w:type="dxa"/>
          </w:tcPr>
          <w:p w:rsidR="00000000" w:rsidRDefault="00000000">
            <w:pPr>
              <w:autoSpaceDE w:val="0"/>
              <w:autoSpaceDN w:val="0"/>
              <w:spacing w:line="360" w:lineRule="exact"/>
              <w:textAlignment w:val="bottom"/>
            </w:pPr>
          </w:p>
        </w:tc>
        <w:tc>
          <w:tcPr>
            <w:tcW w:w="1227" w:type="dxa"/>
          </w:tcPr>
          <w:p w:rsidR="00000000" w:rsidRDefault="00000000">
            <w:pPr>
              <w:autoSpaceDE w:val="0"/>
              <w:autoSpaceDN w:val="0"/>
              <w:spacing w:line="360" w:lineRule="exact"/>
              <w:textAlignment w:val="bottom"/>
            </w:pPr>
            <w:r>
              <w:t>%</w:t>
            </w:r>
          </w:p>
        </w:tc>
        <w:tc>
          <w:tcPr>
            <w:tcW w:w="1227" w:type="dxa"/>
          </w:tcPr>
          <w:p w:rsidR="00000000" w:rsidRDefault="00000000">
            <w:pPr>
              <w:autoSpaceDE w:val="0"/>
              <w:autoSpaceDN w:val="0"/>
              <w:spacing w:line="360" w:lineRule="exact"/>
              <w:textAlignment w:val="bottom"/>
            </w:pPr>
            <w:r>
              <w:t>%</w:t>
            </w:r>
          </w:p>
        </w:tc>
        <w:tc>
          <w:tcPr>
            <w:tcW w:w="1227" w:type="dxa"/>
          </w:tcPr>
          <w:p w:rsidR="00000000" w:rsidRDefault="00000000">
            <w:pPr>
              <w:autoSpaceDE w:val="0"/>
              <w:autoSpaceDN w:val="0"/>
              <w:spacing w:line="360" w:lineRule="exact"/>
              <w:textAlignment w:val="bottom"/>
            </w:pPr>
            <w:r>
              <w:t>%</w:t>
            </w:r>
          </w:p>
        </w:tc>
        <w:tc>
          <w:tcPr>
            <w:tcW w:w="1227" w:type="dxa"/>
          </w:tcPr>
          <w:p w:rsidR="00000000" w:rsidRDefault="00000000">
            <w:pPr>
              <w:autoSpaceDE w:val="0"/>
              <w:autoSpaceDN w:val="0"/>
              <w:spacing w:line="360" w:lineRule="exact"/>
              <w:textAlignment w:val="bottom"/>
            </w:pPr>
            <w:r>
              <w:t>%</w:t>
            </w:r>
          </w:p>
        </w:tc>
        <w:tc>
          <w:tcPr>
            <w:tcW w:w="1227" w:type="dxa"/>
          </w:tcPr>
          <w:p w:rsidR="00000000" w:rsidRDefault="00000000">
            <w:pPr>
              <w:autoSpaceDE w:val="0"/>
              <w:autoSpaceDN w:val="0"/>
              <w:spacing w:line="360" w:lineRule="exact"/>
              <w:textAlignment w:val="bottom"/>
            </w:pPr>
            <w:r>
              <w:t>%</w:t>
            </w:r>
          </w:p>
        </w:tc>
      </w:tr>
      <w:tr w:rsidR="00000000">
        <w:tblPrEx>
          <w:tblCellMar>
            <w:top w:w="0" w:type="dxa"/>
            <w:bottom w:w="0" w:type="dxa"/>
          </w:tblCellMar>
        </w:tblPrEx>
        <w:tc>
          <w:tcPr>
            <w:tcW w:w="2548" w:type="dxa"/>
          </w:tcPr>
          <w:p w:rsidR="00000000" w:rsidRDefault="00000000">
            <w:pPr>
              <w:autoSpaceDE w:val="0"/>
              <w:autoSpaceDN w:val="0"/>
              <w:spacing w:line="360" w:lineRule="exact"/>
              <w:ind w:firstLine="425"/>
              <w:textAlignment w:val="bottom"/>
            </w:pPr>
            <w:r>
              <w:rPr>
                <w:rFonts w:hint="eastAsia"/>
              </w:rPr>
              <w:t>年龄</w:t>
            </w:r>
          </w:p>
        </w:tc>
        <w:tc>
          <w:tcPr>
            <w:tcW w:w="1227" w:type="dxa"/>
          </w:tcPr>
          <w:p w:rsidR="00000000" w:rsidRDefault="00000000">
            <w:pPr>
              <w:autoSpaceDE w:val="0"/>
              <w:autoSpaceDN w:val="0"/>
              <w:spacing w:line="360" w:lineRule="exact"/>
              <w:textAlignment w:val="bottom"/>
            </w:pPr>
            <w:r>
              <w:rPr>
                <w:rFonts w:hint="eastAsia"/>
              </w:rPr>
              <w:t>性别</w:t>
            </w:r>
          </w:p>
        </w:tc>
        <w:tc>
          <w:tcPr>
            <w:tcW w:w="1227" w:type="dxa"/>
          </w:tcPr>
          <w:p w:rsidR="00000000" w:rsidRDefault="00000000">
            <w:pPr>
              <w:autoSpaceDE w:val="0"/>
              <w:autoSpaceDN w:val="0"/>
              <w:spacing w:line="360" w:lineRule="exact"/>
              <w:textAlignment w:val="bottom"/>
            </w:pPr>
            <w:r>
              <w:t>Bo</w:t>
            </w:r>
          </w:p>
        </w:tc>
        <w:tc>
          <w:tcPr>
            <w:tcW w:w="1227" w:type="dxa"/>
          </w:tcPr>
          <w:p w:rsidR="00000000" w:rsidRDefault="00000000">
            <w:pPr>
              <w:autoSpaceDE w:val="0"/>
              <w:autoSpaceDN w:val="0"/>
              <w:spacing w:line="360" w:lineRule="exact"/>
              <w:textAlignment w:val="bottom"/>
            </w:pPr>
            <w:r>
              <w:t>Lbo/Mavo</w:t>
            </w:r>
          </w:p>
        </w:tc>
        <w:tc>
          <w:tcPr>
            <w:tcW w:w="1227" w:type="dxa"/>
          </w:tcPr>
          <w:p w:rsidR="00000000" w:rsidRDefault="00000000">
            <w:pPr>
              <w:autoSpaceDE w:val="0"/>
              <w:autoSpaceDN w:val="0"/>
              <w:spacing w:line="360" w:lineRule="exact"/>
              <w:textAlignment w:val="bottom"/>
            </w:pPr>
            <w:r>
              <w:t>Havo/Vwo</w:t>
            </w:r>
          </w:p>
        </w:tc>
        <w:tc>
          <w:tcPr>
            <w:tcW w:w="1227" w:type="dxa"/>
          </w:tcPr>
          <w:p w:rsidR="00000000" w:rsidRDefault="00000000">
            <w:pPr>
              <w:autoSpaceDE w:val="0"/>
              <w:autoSpaceDN w:val="0"/>
              <w:spacing w:line="360" w:lineRule="exact"/>
              <w:textAlignment w:val="bottom"/>
            </w:pPr>
            <w:r>
              <w:t>Hbo</w:t>
            </w:r>
          </w:p>
        </w:tc>
        <w:tc>
          <w:tcPr>
            <w:tcW w:w="1227" w:type="dxa"/>
          </w:tcPr>
          <w:p w:rsidR="00000000" w:rsidRDefault="00000000">
            <w:pPr>
              <w:autoSpaceDE w:val="0"/>
              <w:autoSpaceDN w:val="0"/>
              <w:spacing w:line="360" w:lineRule="exact"/>
              <w:textAlignment w:val="bottom"/>
            </w:pPr>
            <w:r>
              <w:t>Wo</w:t>
            </w:r>
          </w:p>
        </w:tc>
      </w:tr>
      <w:tr w:rsidR="00000000">
        <w:tblPrEx>
          <w:tblCellMar>
            <w:top w:w="0" w:type="dxa"/>
            <w:bottom w:w="0" w:type="dxa"/>
          </w:tblCellMar>
        </w:tblPrEx>
        <w:tc>
          <w:tcPr>
            <w:tcW w:w="2548" w:type="dxa"/>
          </w:tcPr>
          <w:p w:rsidR="00000000" w:rsidRDefault="00000000">
            <w:pPr>
              <w:autoSpaceDE w:val="0"/>
              <w:autoSpaceDN w:val="0"/>
              <w:spacing w:line="360" w:lineRule="exact"/>
              <w:ind w:firstLine="425"/>
              <w:textAlignment w:val="bottom"/>
            </w:pPr>
            <w:r>
              <w:t>15-24</w:t>
            </w:r>
            <w:r>
              <w:rPr>
                <w:rFonts w:hint="eastAsia"/>
              </w:rPr>
              <w:t>岁</w:t>
            </w:r>
          </w:p>
        </w:tc>
        <w:tc>
          <w:tcPr>
            <w:tcW w:w="1227" w:type="dxa"/>
          </w:tcPr>
          <w:p w:rsidR="00000000" w:rsidRDefault="00000000">
            <w:pPr>
              <w:autoSpaceDE w:val="0"/>
              <w:autoSpaceDN w:val="0"/>
              <w:spacing w:line="360" w:lineRule="exact"/>
              <w:textAlignment w:val="bottom"/>
            </w:pPr>
            <w:r>
              <w:rPr>
                <w:rFonts w:hint="eastAsia"/>
              </w:rPr>
              <w:t>女</w:t>
            </w:r>
          </w:p>
        </w:tc>
        <w:tc>
          <w:tcPr>
            <w:tcW w:w="1227" w:type="dxa"/>
          </w:tcPr>
          <w:p w:rsidR="00000000" w:rsidRDefault="00000000">
            <w:pPr>
              <w:autoSpaceDE w:val="0"/>
              <w:autoSpaceDN w:val="0"/>
              <w:spacing w:line="360" w:lineRule="exact"/>
              <w:textAlignment w:val="bottom"/>
            </w:pPr>
            <w:r>
              <w:t>16</w:t>
            </w:r>
          </w:p>
        </w:tc>
        <w:tc>
          <w:tcPr>
            <w:tcW w:w="1227" w:type="dxa"/>
          </w:tcPr>
          <w:p w:rsidR="00000000" w:rsidRDefault="00000000">
            <w:pPr>
              <w:autoSpaceDE w:val="0"/>
              <w:autoSpaceDN w:val="0"/>
              <w:spacing w:line="360" w:lineRule="exact"/>
              <w:textAlignment w:val="bottom"/>
            </w:pPr>
            <w:r>
              <w:t>35</w:t>
            </w:r>
          </w:p>
        </w:tc>
        <w:tc>
          <w:tcPr>
            <w:tcW w:w="1227" w:type="dxa"/>
          </w:tcPr>
          <w:p w:rsidR="00000000" w:rsidRDefault="00000000">
            <w:pPr>
              <w:autoSpaceDE w:val="0"/>
              <w:autoSpaceDN w:val="0"/>
              <w:spacing w:line="360" w:lineRule="exact"/>
              <w:textAlignment w:val="bottom"/>
            </w:pPr>
            <w:r>
              <w:t>40</w:t>
            </w:r>
          </w:p>
        </w:tc>
        <w:tc>
          <w:tcPr>
            <w:tcW w:w="1227" w:type="dxa"/>
          </w:tcPr>
          <w:p w:rsidR="00000000" w:rsidRDefault="00000000">
            <w:pPr>
              <w:autoSpaceDE w:val="0"/>
              <w:autoSpaceDN w:val="0"/>
              <w:spacing w:line="360" w:lineRule="exact"/>
              <w:textAlignment w:val="bottom"/>
            </w:pPr>
            <w:r>
              <w:t>8</w:t>
            </w:r>
          </w:p>
        </w:tc>
        <w:tc>
          <w:tcPr>
            <w:tcW w:w="1227" w:type="dxa"/>
          </w:tcPr>
          <w:p w:rsidR="00000000" w:rsidRDefault="00000000">
            <w:pPr>
              <w:autoSpaceDE w:val="0"/>
              <w:autoSpaceDN w:val="0"/>
              <w:spacing w:line="360" w:lineRule="exact"/>
              <w:textAlignment w:val="bottom"/>
            </w:pPr>
            <w:r>
              <w:t>1</w:t>
            </w:r>
          </w:p>
        </w:tc>
      </w:tr>
      <w:tr w:rsidR="00000000">
        <w:tblPrEx>
          <w:tblCellMar>
            <w:top w:w="0" w:type="dxa"/>
            <w:bottom w:w="0" w:type="dxa"/>
          </w:tblCellMar>
        </w:tblPrEx>
        <w:tc>
          <w:tcPr>
            <w:tcW w:w="2548" w:type="dxa"/>
          </w:tcPr>
          <w:p w:rsidR="00000000" w:rsidRDefault="00000000">
            <w:pPr>
              <w:autoSpaceDE w:val="0"/>
              <w:autoSpaceDN w:val="0"/>
              <w:spacing w:line="360" w:lineRule="exact"/>
              <w:ind w:firstLine="425"/>
              <w:textAlignment w:val="bottom"/>
            </w:pPr>
          </w:p>
        </w:tc>
        <w:tc>
          <w:tcPr>
            <w:tcW w:w="1227" w:type="dxa"/>
          </w:tcPr>
          <w:p w:rsidR="00000000" w:rsidRDefault="00000000">
            <w:pPr>
              <w:autoSpaceDE w:val="0"/>
              <w:autoSpaceDN w:val="0"/>
              <w:spacing w:line="360" w:lineRule="exact"/>
              <w:textAlignment w:val="bottom"/>
            </w:pPr>
            <w:r>
              <w:rPr>
                <w:rFonts w:hint="eastAsia"/>
              </w:rPr>
              <w:t>男</w:t>
            </w:r>
          </w:p>
        </w:tc>
        <w:tc>
          <w:tcPr>
            <w:tcW w:w="1227" w:type="dxa"/>
          </w:tcPr>
          <w:p w:rsidR="00000000" w:rsidRDefault="00000000">
            <w:pPr>
              <w:autoSpaceDE w:val="0"/>
              <w:autoSpaceDN w:val="0"/>
              <w:spacing w:line="360" w:lineRule="exact"/>
              <w:textAlignment w:val="bottom"/>
            </w:pPr>
            <w:r>
              <w:t>20</w:t>
            </w:r>
          </w:p>
        </w:tc>
        <w:tc>
          <w:tcPr>
            <w:tcW w:w="1227" w:type="dxa"/>
          </w:tcPr>
          <w:p w:rsidR="00000000" w:rsidRDefault="00000000">
            <w:pPr>
              <w:autoSpaceDE w:val="0"/>
              <w:autoSpaceDN w:val="0"/>
              <w:spacing w:line="360" w:lineRule="exact"/>
              <w:textAlignment w:val="bottom"/>
            </w:pPr>
            <w:r>
              <w:t>39</w:t>
            </w:r>
          </w:p>
        </w:tc>
        <w:tc>
          <w:tcPr>
            <w:tcW w:w="1227" w:type="dxa"/>
          </w:tcPr>
          <w:p w:rsidR="00000000" w:rsidRDefault="00000000">
            <w:pPr>
              <w:autoSpaceDE w:val="0"/>
              <w:autoSpaceDN w:val="0"/>
              <w:spacing w:line="360" w:lineRule="exact"/>
              <w:textAlignment w:val="bottom"/>
            </w:pPr>
            <w:r>
              <w:t>34</w:t>
            </w:r>
          </w:p>
        </w:tc>
        <w:tc>
          <w:tcPr>
            <w:tcW w:w="1227" w:type="dxa"/>
          </w:tcPr>
          <w:p w:rsidR="00000000" w:rsidRDefault="00000000">
            <w:pPr>
              <w:autoSpaceDE w:val="0"/>
              <w:autoSpaceDN w:val="0"/>
              <w:spacing w:line="360" w:lineRule="exact"/>
              <w:textAlignment w:val="bottom"/>
            </w:pPr>
            <w:r>
              <w:t>6</w:t>
            </w:r>
          </w:p>
        </w:tc>
        <w:tc>
          <w:tcPr>
            <w:tcW w:w="1227" w:type="dxa"/>
          </w:tcPr>
          <w:p w:rsidR="00000000" w:rsidRDefault="00000000">
            <w:pPr>
              <w:autoSpaceDE w:val="0"/>
              <w:autoSpaceDN w:val="0"/>
              <w:spacing w:line="360" w:lineRule="exact"/>
              <w:textAlignment w:val="bottom"/>
            </w:pPr>
            <w:r>
              <w:t>1</w:t>
            </w:r>
          </w:p>
        </w:tc>
      </w:tr>
      <w:tr w:rsidR="00000000">
        <w:tblPrEx>
          <w:tblCellMar>
            <w:top w:w="0" w:type="dxa"/>
            <w:bottom w:w="0" w:type="dxa"/>
          </w:tblCellMar>
        </w:tblPrEx>
        <w:tc>
          <w:tcPr>
            <w:tcW w:w="2548" w:type="dxa"/>
          </w:tcPr>
          <w:p w:rsidR="00000000" w:rsidRDefault="00000000">
            <w:pPr>
              <w:autoSpaceDE w:val="0"/>
              <w:autoSpaceDN w:val="0"/>
              <w:spacing w:line="360" w:lineRule="exact"/>
              <w:ind w:firstLine="425"/>
              <w:textAlignment w:val="bottom"/>
            </w:pPr>
            <w:r>
              <w:t>25-34</w:t>
            </w:r>
            <w:r>
              <w:rPr>
                <w:rFonts w:hint="eastAsia"/>
              </w:rPr>
              <w:t>岁</w:t>
            </w:r>
          </w:p>
        </w:tc>
        <w:tc>
          <w:tcPr>
            <w:tcW w:w="1227" w:type="dxa"/>
          </w:tcPr>
          <w:p w:rsidR="00000000" w:rsidRDefault="00000000">
            <w:pPr>
              <w:autoSpaceDE w:val="0"/>
              <w:autoSpaceDN w:val="0"/>
              <w:spacing w:line="360" w:lineRule="exact"/>
              <w:textAlignment w:val="bottom"/>
            </w:pPr>
            <w:r>
              <w:rPr>
                <w:rFonts w:hint="eastAsia"/>
              </w:rPr>
              <w:t>女</w:t>
            </w:r>
          </w:p>
        </w:tc>
        <w:tc>
          <w:tcPr>
            <w:tcW w:w="1227" w:type="dxa"/>
          </w:tcPr>
          <w:p w:rsidR="00000000" w:rsidRDefault="00000000">
            <w:pPr>
              <w:autoSpaceDE w:val="0"/>
              <w:autoSpaceDN w:val="0"/>
              <w:spacing w:line="360" w:lineRule="exact"/>
              <w:textAlignment w:val="bottom"/>
            </w:pPr>
            <w:r>
              <w:t>8</w:t>
            </w:r>
          </w:p>
        </w:tc>
        <w:tc>
          <w:tcPr>
            <w:tcW w:w="1227" w:type="dxa"/>
          </w:tcPr>
          <w:p w:rsidR="00000000" w:rsidRDefault="00000000">
            <w:pPr>
              <w:autoSpaceDE w:val="0"/>
              <w:autoSpaceDN w:val="0"/>
              <w:spacing w:line="360" w:lineRule="exact"/>
              <w:textAlignment w:val="bottom"/>
            </w:pPr>
            <w:r>
              <w:t>20</w:t>
            </w:r>
          </w:p>
        </w:tc>
        <w:tc>
          <w:tcPr>
            <w:tcW w:w="1227" w:type="dxa"/>
          </w:tcPr>
          <w:p w:rsidR="00000000" w:rsidRDefault="00000000">
            <w:pPr>
              <w:autoSpaceDE w:val="0"/>
              <w:autoSpaceDN w:val="0"/>
              <w:spacing w:line="360" w:lineRule="exact"/>
              <w:textAlignment w:val="bottom"/>
            </w:pPr>
            <w:r>
              <w:t>48</w:t>
            </w:r>
          </w:p>
        </w:tc>
        <w:tc>
          <w:tcPr>
            <w:tcW w:w="1227" w:type="dxa"/>
          </w:tcPr>
          <w:p w:rsidR="00000000" w:rsidRDefault="00000000">
            <w:pPr>
              <w:autoSpaceDE w:val="0"/>
              <w:autoSpaceDN w:val="0"/>
              <w:spacing w:line="360" w:lineRule="exact"/>
              <w:textAlignment w:val="bottom"/>
            </w:pPr>
            <w:r>
              <w:t>17</w:t>
            </w:r>
          </w:p>
        </w:tc>
        <w:tc>
          <w:tcPr>
            <w:tcW w:w="1227" w:type="dxa"/>
          </w:tcPr>
          <w:p w:rsidR="00000000" w:rsidRDefault="00000000">
            <w:pPr>
              <w:autoSpaceDE w:val="0"/>
              <w:autoSpaceDN w:val="0"/>
              <w:spacing w:line="360" w:lineRule="exact"/>
              <w:textAlignment w:val="bottom"/>
            </w:pPr>
            <w:r>
              <w:t>7</w:t>
            </w:r>
          </w:p>
        </w:tc>
      </w:tr>
      <w:tr w:rsidR="00000000">
        <w:tblPrEx>
          <w:tblCellMar>
            <w:top w:w="0" w:type="dxa"/>
            <w:bottom w:w="0" w:type="dxa"/>
          </w:tblCellMar>
        </w:tblPrEx>
        <w:tc>
          <w:tcPr>
            <w:tcW w:w="2548" w:type="dxa"/>
          </w:tcPr>
          <w:p w:rsidR="00000000" w:rsidRDefault="00000000">
            <w:pPr>
              <w:autoSpaceDE w:val="0"/>
              <w:autoSpaceDN w:val="0"/>
              <w:spacing w:line="360" w:lineRule="exact"/>
              <w:ind w:firstLine="425"/>
              <w:textAlignment w:val="bottom"/>
            </w:pPr>
          </w:p>
        </w:tc>
        <w:tc>
          <w:tcPr>
            <w:tcW w:w="1227" w:type="dxa"/>
          </w:tcPr>
          <w:p w:rsidR="00000000" w:rsidRDefault="00000000">
            <w:pPr>
              <w:autoSpaceDE w:val="0"/>
              <w:autoSpaceDN w:val="0"/>
              <w:spacing w:line="360" w:lineRule="exact"/>
              <w:textAlignment w:val="bottom"/>
            </w:pPr>
            <w:r>
              <w:rPr>
                <w:rFonts w:hint="eastAsia"/>
              </w:rPr>
              <w:t>男</w:t>
            </w:r>
          </w:p>
        </w:tc>
        <w:tc>
          <w:tcPr>
            <w:tcW w:w="1227" w:type="dxa"/>
          </w:tcPr>
          <w:p w:rsidR="00000000" w:rsidRDefault="00000000">
            <w:pPr>
              <w:autoSpaceDE w:val="0"/>
              <w:autoSpaceDN w:val="0"/>
              <w:spacing w:line="360" w:lineRule="exact"/>
              <w:textAlignment w:val="bottom"/>
            </w:pPr>
            <w:r>
              <w:t>8</w:t>
            </w:r>
          </w:p>
        </w:tc>
        <w:tc>
          <w:tcPr>
            <w:tcW w:w="1227" w:type="dxa"/>
          </w:tcPr>
          <w:p w:rsidR="00000000" w:rsidRDefault="00000000">
            <w:pPr>
              <w:autoSpaceDE w:val="0"/>
              <w:autoSpaceDN w:val="0"/>
              <w:spacing w:line="360" w:lineRule="exact"/>
              <w:textAlignment w:val="bottom"/>
            </w:pPr>
            <w:r>
              <w:t>20</w:t>
            </w:r>
          </w:p>
        </w:tc>
        <w:tc>
          <w:tcPr>
            <w:tcW w:w="1227" w:type="dxa"/>
          </w:tcPr>
          <w:p w:rsidR="00000000" w:rsidRDefault="00000000">
            <w:pPr>
              <w:autoSpaceDE w:val="0"/>
              <w:autoSpaceDN w:val="0"/>
              <w:spacing w:line="360" w:lineRule="exact"/>
              <w:textAlignment w:val="bottom"/>
            </w:pPr>
            <w:r>
              <w:t>46</w:t>
            </w:r>
          </w:p>
        </w:tc>
        <w:tc>
          <w:tcPr>
            <w:tcW w:w="1227" w:type="dxa"/>
          </w:tcPr>
          <w:p w:rsidR="00000000" w:rsidRDefault="00000000">
            <w:pPr>
              <w:autoSpaceDE w:val="0"/>
              <w:autoSpaceDN w:val="0"/>
              <w:spacing w:line="360" w:lineRule="exact"/>
              <w:textAlignment w:val="bottom"/>
            </w:pPr>
            <w:r>
              <w:t>17</w:t>
            </w:r>
          </w:p>
        </w:tc>
        <w:tc>
          <w:tcPr>
            <w:tcW w:w="1227" w:type="dxa"/>
          </w:tcPr>
          <w:p w:rsidR="00000000" w:rsidRDefault="00000000">
            <w:pPr>
              <w:autoSpaceDE w:val="0"/>
              <w:autoSpaceDN w:val="0"/>
              <w:spacing w:line="360" w:lineRule="exact"/>
              <w:textAlignment w:val="bottom"/>
            </w:pPr>
            <w:r>
              <w:t>9</w:t>
            </w:r>
          </w:p>
        </w:tc>
      </w:tr>
      <w:tr w:rsidR="00000000">
        <w:tblPrEx>
          <w:tblCellMar>
            <w:top w:w="0" w:type="dxa"/>
            <w:bottom w:w="0" w:type="dxa"/>
          </w:tblCellMar>
        </w:tblPrEx>
        <w:tc>
          <w:tcPr>
            <w:tcW w:w="2548" w:type="dxa"/>
          </w:tcPr>
          <w:p w:rsidR="00000000" w:rsidRDefault="00000000">
            <w:pPr>
              <w:autoSpaceDE w:val="0"/>
              <w:autoSpaceDN w:val="0"/>
              <w:spacing w:line="360" w:lineRule="exact"/>
              <w:ind w:firstLine="425"/>
              <w:textAlignment w:val="bottom"/>
            </w:pPr>
            <w:r>
              <w:t>35-44</w:t>
            </w:r>
            <w:r>
              <w:rPr>
                <w:rFonts w:hint="eastAsia"/>
              </w:rPr>
              <w:t>岁</w:t>
            </w:r>
          </w:p>
        </w:tc>
        <w:tc>
          <w:tcPr>
            <w:tcW w:w="1227" w:type="dxa"/>
          </w:tcPr>
          <w:p w:rsidR="00000000" w:rsidRDefault="00000000">
            <w:pPr>
              <w:autoSpaceDE w:val="0"/>
              <w:autoSpaceDN w:val="0"/>
              <w:spacing w:line="360" w:lineRule="exact"/>
              <w:textAlignment w:val="bottom"/>
            </w:pPr>
            <w:r>
              <w:rPr>
                <w:rFonts w:hint="eastAsia"/>
              </w:rPr>
              <w:t>女</w:t>
            </w:r>
          </w:p>
        </w:tc>
        <w:tc>
          <w:tcPr>
            <w:tcW w:w="1227" w:type="dxa"/>
          </w:tcPr>
          <w:p w:rsidR="00000000" w:rsidRDefault="00000000">
            <w:pPr>
              <w:autoSpaceDE w:val="0"/>
              <w:autoSpaceDN w:val="0"/>
              <w:spacing w:line="360" w:lineRule="exact"/>
              <w:textAlignment w:val="bottom"/>
            </w:pPr>
            <w:r>
              <w:t>13</w:t>
            </w:r>
          </w:p>
        </w:tc>
        <w:tc>
          <w:tcPr>
            <w:tcW w:w="1227" w:type="dxa"/>
          </w:tcPr>
          <w:p w:rsidR="00000000" w:rsidRDefault="00000000">
            <w:pPr>
              <w:autoSpaceDE w:val="0"/>
              <w:autoSpaceDN w:val="0"/>
              <w:spacing w:line="360" w:lineRule="exact"/>
              <w:textAlignment w:val="bottom"/>
            </w:pPr>
            <w:r>
              <w:t>24</w:t>
            </w:r>
          </w:p>
        </w:tc>
        <w:tc>
          <w:tcPr>
            <w:tcW w:w="1227" w:type="dxa"/>
          </w:tcPr>
          <w:p w:rsidR="00000000" w:rsidRDefault="00000000">
            <w:pPr>
              <w:autoSpaceDE w:val="0"/>
              <w:autoSpaceDN w:val="0"/>
              <w:spacing w:line="360" w:lineRule="exact"/>
              <w:textAlignment w:val="bottom"/>
            </w:pPr>
            <w:r>
              <w:t>41</w:t>
            </w:r>
          </w:p>
        </w:tc>
        <w:tc>
          <w:tcPr>
            <w:tcW w:w="1227" w:type="dxa"/>
          </w:tcPr>
          <w:p w:rsidR="00000000" w:rsidRDefault="00000000">
            <w:pPr>
              <w:autoSpaceDE w:val="0"/>
              <w:autoSpaceDN w:val="0"/>
              <w:spacing w:line="360" w:lineRule="exact"/>
              <w:textAlignment w:val="bottom"/>
            </w:pPr>
            <w:r>
              <w:t>17</w:t>
            </w:r>
          </w:p>
        </w:tc>
        <w:tc>
          <w:tcPr>
            <w:tcW w:w="1227" w:type="dxa"/>
          </w:tcPr>
          <w:p w:rsidR="00000000" w:rsidRDefault="00000000">
            <w:pPr>
              <w:autoSpaceDE w:val="0"/>
              <w:autoSpaceDN w:val="0"/>
              <w:spacing w:line="360" w:lineRule="exact"/>
              <w:textAlignment w:val="bottom"/>
            </w:pPr>
            <w:r>
              <w:t>5</w:t>
            </w:r>
          </w:p>
        </w:tc>
      </w:tr>
      <w:tr w:rsidR="00000000">
        <w:tblPrEx>
          <w:tblCellMar>
            <w:top w:w="0" w:type="dxa"/>
            <w:bottom w:w="0" w:type="dxa"/>
          </w:tblCellMar>
        </w:tblPrEx>
        <w:tc>
          <w:tcPr>
            <w:tcW w:w="2548" w:type="dxa"/>
          </w:tcPr>
          <w:p w:rsidR="00000000" w:rsidRDefault="00000000">
            <w:pPr>
              <w:autoSpaceDE w:val="0"/>
              <w:autoSpaceDN w:val="0"/>
              <w:spacing w:line="360" w:lineRule="exact"/>
              <w:ind w:firstLine="425"/>
              <w:textAlignment w:val="bottom"/>
            </w:pPr>
          </w:p>
        </w:tc>
        <w:tc>
          <w:tcPr>
            <w:tcW w:w="1227" w:type="dxa"/>
          </w:tcPr>
          <w:p w:rsidR="00000000" w:rsidRDefault="00000000">
            <w:pPr>
              <w:autoSpaceDE w:val="0"/>
              <w:autoSpaceDN w:val="0"/>
              <w:spacing w:line="360" w:lineRule="exact"/>
              <w:textAlignment w:val="bottom"/>
            </w:pPr>
            <w:r>
              <w:rPr>
                <w:rFonts w:hint="eastAsia"/>
              </w:rPr>
              <w:t>男</w:t>
            </w:r>
          </w:p>
        </w:tc>
        <w:tc>
          <w:tcPr>
            <w:tcW w:w="1227" w:type="dxa"/>
          </w:tcPr>
          <w:p w:rsidR="00000000" w:rsidRDefault="00000000">
            <w:pPr>
              <w:autoSpaceDE w:val="0"/>
              <w:autoSpaceDN w:val="0"/>
              <w:spacing w:line="360" w:lineRule="exact"/>
              <w:textAlignment w:val="bottom"/>
            </w:pPr>
            <w:r>
              <w:t>10</w:t>
            </w:r>
          </w:p>
        </w:tc>
        <w:tc>
          <w:tcPr>
            <w:tcW w:w="1227" w:type="dxa"/>
          </w:tcPr>
          <w:p w:rsidR="00000000" w:rsidRDefault="00000000">
            <w:pPr>
              <w:autoSpaceDE w:val="0"/>
              <w:autoSpaceDN w:val="0"/>
              <w:spacing w:line="360" w:lineRule="exact"/>
              <w:textAlignment w:val="bottom"/>
            </w:pPr>
            <w:r>
              <w:t>20</w:t>
            </w:r>
          </w:p>
        </w:tc>
        <w:tc>
          <w:tcPr>
            <w:tcW w:w="1227" w:type="dxa"/>
          </w:tcPr>
          <w:p w:rsidR="00000000" w:rsidRDefault="00000000">
            <w:pPr>
              <w:autoSpaceDE w:val="0"/>
              <w:autoSpaceDN w:val="0"/>
              <w:spacing w:line="360" w:lineRule="exact"/>
              <w:textAlignment w:val="bottom"/>
            </w:pPr>
            <w:r>
              <w:t>42</w:t>
            </w:r>
          </w:p>
        </w:tc>
        <w:tc>
          <w:tcPr>
            <w:tcW w:w="1227" w:type="dxa"/>
          </w:tcPr>
          <w:p w:rsidR="00000000" w:rsidRDefault="00000000">
            <w:pPr>
              <w:autoSpaceDE w:val="0"/>
              <w:autoSpaceDN w:val="0"/>
              <w:spacing w:line="360" w:lineRule="exact"/>
              <w:textAlignment w:val="bottom"/>
            </w:pPr>
            <w:r>
              <w:t>18</w:t>
            </w:r>
          </w:p>
        </w:tc>
        <w:tc>
          <w:tcPr>
            <w:tcW w:w="1227" w:type="dxa"/>
          </w:tcPr>
          <w:p w:rsidR="00000000" w:rsidRDefault="00000000">
            <w:pPr>
              <w:autoSpaceDE w:val="0"/>
              <w:autoSpaceDN w:val="0"/>
              <w:spacing w:line="360" w:lineRule="exact"/>
              <w:textAlignment w:val="bottom"/>
            </w:pPr>
            <w:r>
              <w:t>10</w:t>
            </w:r>
          </w:p>
        </w:tc>
      </w:tr>
      <w:tr w:rsidR="00000000">
        <w:tblPrEx>
          <w:tblCellMar>
            <w:top w:w="0" w:type="dxa"/>
            <w:bottom w:w="0" w:type="dxa"/>
          </w:tblCellMar>
        </w:tblPrEx>
        <w:tc>
          <w:tcPr>
            <w:tcW w:w="2548" w:type="dxa"/>
          </w:tcPr>
          <w:p w:rsidR="00000000" w:rsidRDefault="00000000">
            <w:pPr>
              <w:autoSpaceDE w:val="0"/>
              <w:autoSpaceDN w:val="0"/>
              <w:spacing w:line="360" w:lineRule="exact"/>
              <w:ind w:firstLine="425"/>
              <w:textAlignment w:val="bottom"/>
            </w:pPr>
            <w:r>
              <w:t>45-54</w:t>
            </w:r>
            <w:r>
              <w:rPr>
                <w:rFonts w:hint="eastAsia"/>
              </w:rPr>
              <w:t>岁</w:t>
            </w:r>
          </w:p>
        </w:tc>
        <w:tc>
          <w:tcPr>
            <w:tcW w:w="1227" w:type="dxa"/>
          </w:tcPr>
          <w:p w:rsidR="00000000" w:rsidRDefault="00000000">
            <w:pPr>
              <w:autoSpaceDE w:val="0"/>
              <w:autoSpaceDN w:val="0"/>
              <w:spacing w:line="360" w:lineRule="exact"/>
              <w:textAlignment w:val="bottom"/>
            </w:pPr>
            <w:r>
              <w:rPr>
                <w:rFonts w:hint="eastAsia"/>
              </w:rPr>
              <w:t>女</w:t>
            </w:r>
          </w:p>
        </w:tc>
        <w:tc>
          <w:tcPr>
            <w:tcW w:w="1227" w:type="dxa"/>
          </w:tcPr>
          <w:p w:rsidR="00000000" w:rsidRDefault="00000000">
            <w:pPr>
              <w:autoSpaceDE w:val="0"/>
              <w:autoSpaceDN w:val="0"/>
              <w:spacing w:line="360" w:lineRule="exact"/>
              <w:textAlignment w:val="bottom"/>
            </w:pPr>
            <w:r>
              <w:t>19</w:t>
            </w:r>
          </w:p>
        </w:tc>
        <w:tc>
          <w:tcPr>
            <w:tcW w:w="1227" w:type="dxa"/>
          </w:tcPr>
          <w:p w:rsidR="00000000" w:rsidRDefault="00000000">
            <w:pPr>
              <w:autoSpaceDE w:val="0"/>
              <w:autoSpaceDN w:val="0"/>
              <w:spacing w:line="360" w:lineRule="exact"/>
              <w:textAlignment w:val="bottom"/>
            </w:pPr>
            <w:r>
              <w:t>33</w:t>
            </w:r>
          </w:p>
        </w:tc>
        <w:tc>
          <w:tcPr>
            <w:tcW w:w="1227" w:type="dxa"/>
          </w:tcPr>
          <w:p w:rsidR="00000000" w:rsidRDefault="00000000">
            <w:pPr>
              <w:autoSpaceDE w:val="0"/>
              <w:autoSpaceDN w:val="0"/>
              <w:spacing w:line="360" w:lineRule="exact"/>
              <w:textAlignment w:val="bottom"/>
            </w:pPr>
            <w:r>
              <w:t>32</w:t>
            </w:r>
          </w:p>
        </w:tc>
        <w:tc>
          <w:tcPr>
            <w:tcW w:w="1227" w:type="dxa"/>
          </w:tcPr>
          <w:p w:rsidR="00000000" w:rsidRDefault="00000000">
            <w:pPr>
              <w:autoSpaceDE w:val="0"/>
              <w:autoSpaceDN w:val="0"/>
              <w:spacing w:line="360" w:lineRule="exact"/>
              <w:textAlignment w:val="bottom"/>
            </w:pPr>
            <w:r>
              <w:t>13</w:t>
            </w:r>
          </w:p>
        </w:tc>
        <w:tc>
          <w:tcPr>
            <w:tcW w:w="1227" w:type="dxa"/>
          </w:tcPr>
          <w:p w:rsidR="00000000" w:rsidRDefault="00000000">
            <w:pPr>
              <w:autoSpaceDE w:val="0"/>
              <w:autoSpaceDN w:val="0"/>
              <w:spacing w:line="360" w:lineRule="exact"/>
              <w:textAlignment w:val="bottom"/>
            </w:pPr>
            <w:r>
              <w:t>3</w:t>
            </w:r>
          </w:p>
        </w:tc>
      </w:tr>
      <w:tr w:rsidR="00000000">
        <w:tblPrEx>
          <w:tblCellMar>
            <w:top w:w="0" w:type="dxa"/>
            <w:bottom w:w="0" w:type="dxa"/>
          </w:tblCellMar>
        </w:tblPrEx>
        <w:tc>
          <w:tcPr>
            <w:tcW w:w="2548" w:type="dxa"/>
          </w:tcPr>
          <w:p w:rsidR="00000000" w:rsidRDefault="00000000">
            <w:pPr>
              <w:autoSpaceDE w:val="0"/>
              <w:autoSpaceDN w:val="0"/>
              <w:spacing w:line="360" w:lineRule="exact"/>
              <w:ind w:firstLine="425"/>
              <w:textAlignment w:val="bottom"/>
            </w:pPr>
          </w:p>
        </w:tc>
        <w:tc>
          <w:tcPr>
            <w:tcW w:w="1227" w:type="dxa"/>
          </w:tcPr>
          <w:p w:rsidR="00000000" w:rsidRDefault="00000000">
            <w:pPr>
              <w:autoSpaceDE w:val="0"/>
              <w:autoSpaceDN w:val="0"/>
              <w:spacing w:line="360" w:lineRule="exact"/>
              <w:textAlignment w:val="bottom"/>
            </w:pPr>
            <w:r>
              <w:rPr>
                <w:rFonts w:hint="eastAsia"/>
              </w:rPr>
              <w:t>男</w:t>
            </w:r>
          </w:p>
        </w:tc>
        <w:tc>
          <w:tcPr>
            <w:tcW w:w="1227" w:type="dxa"/>
          </w:tcPr>
          <w:p w:rsidR="00000000" w:rsidRDefault="00000000">
            <w:pPr>
              <w:autoSpaceDE w:val="0"/>
              <w:autoSpaceDN w:val="0"/>
              <w:spacing w:line="360" w:lineRule="exact"/>
              <w:textAlignment w:val="bottom"/>
            </w:pPr>
            <w:r>
              <w:t>14</w:t>
            </w:r>
          </w:p>
        </w:tc>
        <w:tc>
          <w:tcPr>
            <w:tcW w:w="1227" w:type="dxa"/>
          </w:tcPr>
          <w:p w:rsidR="00000000" w:rsidRDefault="00000000">
            <w:pPr>
              <w:autoSpaceDE w:val="0"/>
              <w:autoSpaceDN w:val="0"/>
              <w:spacing w:line="360" w:lineRule="exact"/>
              <w:textAlignment w:val="bottom"/>
            </w:pPr>
            <w:r>
              <w:t>20</w:t>
            </w:r>
          </w:p>
        </w:tc>
        <w:tc>
          <w:tcPr>
            <w:tcW w:w="1227" w:type="dxa"/>
          </w:tcPr>
          <w:p w:rsidR="00000000" w:rsidRDefault="00000000">
            <w:pPr>
              <w:autoSpaceDE w:val="0"/>
              <w:autoSpaceDN w:val="0"/>
              <w:spacing w:line="360" w:lineRule="exact"/>
              <w:textAlignment w:val="bottom"/>
            </w:pPr>
            <w:r>
              <w:t>39</w:t>
            </w:r>
          </w:p>
        </w:tc>
        <w:tc>
          <w:tcPr>
            <w:tcW w:w="1227" w:type="dxa"/>
          </w:tcPr>
          <w:p w:rsidR="00000000" w:rsidRDefault="00000000">
            <w:pPr>
              <w:autoSpaceDE w:val="0"/>
              <w:autoSpaceDN w:val="0"/>
              <w:spacing w:line="360" w:lineRule="exact"/>
              <w:textAlignment w:val="bottom"/>
            </w:pPr>
            <w:r>
              <w:t>17</w:t>
            </w:r>
          </w:p>
        </w:tc>
        <w:tc>
          <w:tcPr>
            <w:tcW w:w="1227" w:type="dxa"/>
          </w:tcPr>
          <w:p w:rsidR="00000000" w:rsidRDefault="00000000">
            <w:pPr>
              <w:autoSpaceDE w:val="0"/>
              <w:autoSpaceDN w:val="0"/>
              <w:spacing w:line="360" w:lineRule="exact"/>
              <w:textAlignment w:val="bottom"/>
            </w:pPr>
            <w:r>
              <w:t>10</w:t>
            </w:r>
          </w:p>
        </w:tc>
      </w:tr>
      <w:tr w:rsidR="00000000">
        <w:tblPrEx>
          <w:tblCellMar>
            <w:top w:w="0" w:type="dxa"/>
            <w:bottom w:w="0" w:type="dxa"/>
          </w:tblCellMar>
        </w:tblPrEx>
        <w:tc>
          <w:tcPr>
            <w:tcW w:w="2548" w:type="dxa"/>
          </w:tcPr>
          <w:p w:rsidR="00000000" w:rsidRDefault="00000000">
            <w:pPr>
              <w:autoSpaceDE w:val="0"/>
              <w:autoSpaceDN w:val="0"/>
              <w:spacing w:line="360" w:lineRule="exact"/>
              <w:ind w:firstLine="425"/>
              <w:textAlignment w:val="bottom"/>
            </w:pPr>
            <w:r>
              <w:t>55-64</w:t>
            </w:r>
            <w:r>
              <w:rPr>
                <w:rFonts w:hint="eastAsia"/>
              </w:rPr>
              <w:t>岁</w:t>
            </w:r>
          </w:p>
        </w:tc>
        <w:tc>
          <w:tcPr>
            <w:tcW w:w="1227" w:type="dxa"/>
          </w:tcPr>
          <w:p w:rsidR="00000000" w:rsidRDefault="00000000">
            <w:pPr>
              <w:autoSpaceDE w:val="0"/>
              <w:autoSpaceDN w:val="0"/>
              <w:spacing w:line="360" w:lineRule="exact"/>
              <w:textAlignment w:val="bottom"/>
            </w:pPr>
            <w:r>
              <w:rPr>
                <w:rFonts w:hint="eastAsia"/>
              </w:rPr>
              <w:t>女</w:t>
            </w:r>
          </w:p>
        </w:tc>
        <w:tc>
          <w:tcPr>
            <w:tcW w:w="1227" w:type="dxa"/>
          </w:tcPr>
          <w:p w:rsidR="00000000" w:rsidRDefault="00000000">
            <w:pPr>
              <w:autoSpaceDE w:val="0"/>
              <w:autoSpaceDN w:val="0"/>
              <w:spacing w:line="360" w:lineRule="exact"/>
              <w:textAlignment w:val="bottom"/>
            </w:pPr>
            <w:r>
              <w:t>28</w:t>
            </w:r>
          </w:p>
        </w:tc>
        <w:tc>
          <w:tcPr>
            <w:tcW w:w="1227" w:type="dxa"/>
          </w:tcPr>
          <w:p w:rsidR="00000000" w:rsidRDefault="00000000">
            <w:pPr>
              <w:autoSpaceDE w:val="0"/>
              <w:autoSpaceDN w:val="0"/>
              <w:spacing w:line="360" w:lineRule="exact"/>
              <w:textAlignment w:val="bottom"/>
            </w:pPr>
            <w:r>
              <w:t>37</w:t>
            </w:r>
          </w:p>
        </w:tc>
        <w:tc>
          <w:tcPr>
            <w:tcW w:w="1227" w:type="dxa"/>
          </w:tcPr>
          <w:p w:rsidR="00000000" w:rsidRDefault="00000000">
            <w:pPr>
              <w:autoSpaceDE w:val="0"/>
              <w:autoSpaceDN w:val="0"/>
              <w:spacing w:line="360" w:lineRule="exact"/>
              <w:textAlignment w:val="bottom"/>
            </w:pPr>
            <w:r>
              <w:t>24</w:t>
            </w:r>
          </w:p>
        </w:tc>
        <w:tc>
          <w:tcPr>
            <w:tcW w:w="1227" w:type="dxa"/>
          </w:tcPr>
          <w:p w:rsidR="00000000" w:rsidRDefault="00000000">
            <w:pPr>
              <w:autoSpaceDE w:val="0"/>
              <w:autoSpaceDN w:val="0"/>
              <w:spacing w:line="360" w:lineRule="exact"/>
              <w:textAlignment w:val="bottom"/>
            </w:pPr>
            <w:r>
              <w:t>10</w:t>
            </w:r>
          </w:p>
        </w:tc>
        <w:tc>
          <w:tcPr>
            <w:tcW w:w="1227" w:type="dxa"/>
          </w:tcPr>
          <w:p w:rsidR="00000000" w:rsidRDefault="00000000">
            <w:pPr>
              <w:autoSpaceDE w:val="0"/>
              <w:autoSpaceDN w:val="0"/>
              <w:spacing w:line="360" w:lineRule="exact"/>
              <w:textAlignment w:val="bottom"/>
            </w:pPr>
            <w:r>
              <w:t>2</w:t>
            </w:r>
          </w:p>
        </w:tc>
      </w:tr>
      <w:tr w:rsidR="00000000">
        <w:tblPrEx>
          <w:tblCellMar>
            <w:top w:w="0" w:type="dxa"/>
            <w:bottom w:w="0" w:type="dxa"/>
          </w:tblCellMar>
        </w:tblPrEx>
        <w:tc>
          <w:tcPr>
            <w:tcW w:w="2548" w:type="dxa"/>
          </w:tcPr>
          <w:p w:rsidR="00000000" w:rsidRDefault="00000000">
            <w:pPr>
              <w:autoSpaceDE w:val="0"/>
              <w:autoSpaceDN w:val="0"/>
              <w:spacing w:line="360" w:lineRule="exact"/>
              <w:ind w:firstLine="425"/>
              <w:textAlignment w:val="bottom"/>
            </w:pPr>
          </w:p>
        </w:tc>
        <w:tc>
          <w:tcPr>
            <w:tcW w:w="1227" w:type="dxa"/>
          </w:tcPr>
          <w:p w:rsidR="00000000" w:rsidRDefault="00000000">
            <w:pPr>
              <w:autoSpaceDE w:val="0"/>
              <w:autoSpaceDN w:val="0"/>
              <w:spacing w:line="360" w:lineRule="exact"/>
              <w:textAlignment w:val="bottom"/>
            </w:pPr>
            <w:r>
              <w:rPr>
                <w:rFonts w:hint="eastAsia"/>
              </w:rPr>
              <w:t>男</w:t>
            </w:r>
          </w:p>
        </w:tc>
        <w:tc>
          <w:tcPr>
            <w:tcW w:w="1227" w:type="dxa"/>
          </w:tcPr>
          <w:p w:rsidR="00000000" w:rsidRDefault="00000000">
            <w:pPr>
              <w:autoSpaceDE w:val="0"/>
              <w:autoSpaceDN w:val="0"/>
              <w:spacing w:line="360" w:lineRule="exact"/>
              <w:textAlignment w:val="bottom"/>
            </w:pPr>
            <w:r>
              <w:t>19</w:t>
            </w:r>
          </w:p>
        </w:tc>
        <w:tc>
          <w:tcPr>
            <w:tcW w:w="1227" w:type="dxa"/>
          </w:tcPr>
          <w:p w:rsidR="00000000" w:rsidRDefault="00000000">
            <w:pPr>
              <w:autoSpaceDE w:val="0"/>
              <w:autoSpaceDN w:val="0"/>
              <w:spacing w:line="360" w:lineRule="exact"/>
              <w:textAlignment w:val="bottom"/>
            </w:pPr>
            <w:r>
              <w:t>21</w:t>
            </w:r>
          </w:p>
        </w:tc>
        <w:tc>
          <w:tcPr>
            <w:tcW w:w="1227" w:type="dxa"/>
          </w:tcPr>
          <w:p w:rsidR="00000000" w:rsidRDefault="00000000">
            <w:pPr>
              <w:autoSpaceDE w:val="0"/>
              <w:autoSpaceDN w:val="0"/>
              <w:spacing w:line="360" w:lineRule="exact"/>
              <w:textAlignment w:val="bottom"/>
            </w:pPr>
            <w:r>
              <w:t>39</w:t>
            </w:r>
          </w:p>
        </w:tc>
        <w:tc>
          <w:tcPr>
            <w:tcW w:w="1227" w:type="dxa"/>
          </w:tcPr>
          <w:p w:rsidR="00000000" w:rsidRDefault="00000000">
            <w:pPr>
              <w:autoSpaceDE w:val="0"/>
              <w:autoSpaceDN w:val="0"/>
              <w:spacing w:line="360" w:lineRule="exact"/>
              <w:textAlignment w:val="bottom"/>
            </w:pPr>
            <w:r>
              <w:t>14</w:t>
            </w:r>
          </w:p>
        </w:tc>
        <w:tc>
          <w:tcPr>
            <w:tcW w:w="1227" w:type="dxa"/>
          </w:tcPr>
          <w:p w:rsidR="00000000" w:rsidRDefault="00000000">
            <w:pPr>
              <w:autoSpaceDE w:val="0"/>
              <w:autoSpaceDN w:val="0"/>
              <w:spacing w:line="360" w:lineRule="exact"/>
              <w:textAlignment w:val="bottom"/>
            </w:pPr>
            <w:r>
              <w:t>6</w:t>
            </w:r>
          </w:p>
        </w:tc>
      </w:tr>
      <w:tr w:rsidR="00000000">
        <w:tblPrEx>
          <w:tblCellMar>
            <w:top w:w="0" w:type="dxa"/>
            <w:bottom w:w="0" w:type="dxa"/>
          </w:tblCellMar>
        </w:tblPrEx>
        <w:tc>
          <w:tcPr>
            <w:tcW w:w="2548" w:type="dxa"/>
          </w:tcPr>
          <w:p w:rsidR="00000000" w:rsidRDefault="00000000">
            <w:pPr>
              <w:autoSpaceDE w:val="0"/>
              <w:autoSpaceDN w:val="0"/>
              <w:spacing w:line="360" w:lineRule="exact"/>
              <w:ind w:firstLine="425"/>
              <w:textAlignment w:val="bottom"/>
            </w:pPr>
            <w:r>
              <w:t>65</w:t>
            </w:r>
            <w:r>
              <w:rPr>
                <w:rFonts w:hint="eastAsia"/>
              </w:rPr>
              <w:t>岁＞</w:t>
            </w:r>
          </w:p>
        </w:tc>
        <w:tc>
          <w:tcPr>
            <w:tcW w:w="1227" w:type="dxa"/>
          </w:tcPr>
          <w:p w:rsidR="00000000" w:rsidRDefault="00000000">
            <w:pPr>
              <w:autoSpaceDE w:val="0"/>
              <w:autoSpaceDN w:val="0"/>
              <w:spacing w:line="360" w:lineRule="exact"/>
              <w:textAlignment w:val="bottom"/>
            </w:pPr>
            <w:r>
              <w:rPr>
                <w:rFonts w:hint="eastAsia"/>
              </w:rPr>
              <w:t>女</w:t>
            </w:r>
          </w:p>
        </w:tc>
        <w:tc>
          <w:tcPr>
            <w:tcW w:w="1227" w:type="dxa"/>
          </w:tcPr>
          <w:p w:rsidR="00000000" w:rsidRDefault="00000000">
            <w:pPr>
              <w:autoSpaceDE w:val="0"/>
              <w:autoSpaceDN w:val="0"/>
              <w:spacing w:line="360" w:lineRule="exact"/>
              <w:textAlignment w:val="bottom"/>
            </w:pPr>
            <w:r>
              <w:t>49</w:t>
            </w:r>
          </w:p>
        </w:tc>
        <w:tc>
          <w:tcPr>
            <w:tcW w:w="1227" w:type="dxa"/>
          </w:tcPr>
          <w:p w:rsidR="00000000" w:rsidRDefault="00000000">
            <w:pPr>
              <w:autoSpaceDE w:val="0"/>
              <w:autoSpaceDN w:val="0"/>
              <w:spacing w:line="360" w:lineRule="exact"/>
              <w:textAlignment w:val="bottom"/>
            </w:pPr>
            <w:r>
              <w:t>28</w:t>
            </w:r>
          </w:p>
        </w:tc>
        <w:tc>
          <w:tcPr>
            <w:tcW w:w="1227" w:type="dxa"/>
          </w:tcPr>
          <w:p w:rsidR="00000000" w:rsidRDefault="00000000">
            <w:pPr>
              <w:autoSpaceDE w:val="0"/>
              <w:autoSpaceDN w:val="0"/>
              <w:spacing w:line="360" w:lineRule="exact"/>
              <w:textAlignment w:val="bottom"/>
            </w:pPr>
            <w:r>
              <w:t>17</w:t>
            </w:r>
          </w:p>
        </w:tc>
        <w:tc>
          <w:tcPr>
            <w:tcW w:w="1227" w:type="dxa"/>
          </w:tcPr>
          <w:p w:rsidR="00000000" w:rsidRDefault="00000000">
            <w:pPr>
              <w:autoSpaceDE w:val="0"/>
              <w:autoSpaceDN w:val="0"/>
              <w:spacing w:line="360" w:lineRule="exact"/>
              <w:textAlignment w:val="bottom"/>
            </w:pPr>
            <w:r>
              <w:t>6</w:t>
            </w:r>
          </w:p>
        </w:tc>
        <w:tc>
          <w:tcPr>
            <w:tcW w:w="1227" w:type="dxa"/>
          </w:tcPr>
          <w:p w:rsidR="00000000" w:rsidRDefault="00000000">
            <w:pPr>
              <w:autoSpaceDE w:val="0"/>
              <w:autoSpaceDN w:val="0"/>
              <w:spacing w:line="360" w:lineRule="exact"/>
              <w:textAlignment w:val="bottom"/>
            </w:pPr>
            <w:r>
              <w:t>1</w:t>
            </w:r>
          </w:p>
        </w:tc>
      </w:tr>
      <w:tr w:rsidR="00000000">
        <w:tblPrEx>
          <w:tblCellMar>
            <w:top w:w="0" w:type="dxa"/>
            <w:bottom w:w="0" w:type="dxa"/>
          </w:tblCellMar>
        </w:tblPrEx>
        <w:tc>
          <w:tcPr>
            <w:tcW w:w="2548" w:type="dxa"/>
          </w:tcPr>
          <w:p w:rsidR="00000000" w:rsidRDefault="00000000">
            <w:pPr>
              <w:autoSpaceDE w:val="0"/>
              <w:autoSpaceDN w:val="0"/>
              <w:spacing w:line="360" w:lineRule="exact"/>
              <w:ind w:firstLine="425"/>
              <w:textAlignment w:val="bottom"/>
            </w:pPr>
          </w:p>
        </w:tc>
        <w:tc>
          <w:tcPr>
            <w:tcW w:w="1227" w:type="dxa"/>
          </w:tcPr>
          <w:p w:rsidR="00000000" w:rsidRDefault="00000000">
            <w:pPr>
              <w:autoSpaceDE w:val="0"/>
              <w:autoSpaceDN w:val="0"/>
              <w:spacing w:line="360" w:lineRule="exact"/>
              <w:textAlignment w:val="bottom"/>
            </w:pPr>
            <w:r>
              <w:rPr>
                <w:rFonts w:hint="eastAsia"/>
              </w:rPr>
              <w:t>男</w:t>
            </w:r>
          </w:p>
        </w:tc>
        <w:tc>
          <w:tcPr>
            <w:tcW w:w="1227" w:type="dxa"/>
          </w:tcPr>
          <w:p w:rsidR="00000000" w:rsidRDefault="00000000">
            <w:pPr>
              <w:autoSpaceDE w:val="0"/>
              <w:autoSpaceDN w:val="0"/>
              <w:spacing w:line="360" w:lineRule="exact"/>
              <w:textAlignment w:val="bottom"/>
            </w:pPr>
            <w:r>
              <w:t>27</w:t>
            </w:r>
          </w:p>
        </w:tc>
        <w:tc>
          <w:tcPr>
            <w:tcW w:w="1227" w:type="dxa"/>
          </w:tcPr>
          <w:p w:rsidR="00000000" w:rsidRDefault="00000000">
            <w:pPr>
              <w:autoSpaceDE w:val="0"/>
              <w:autoSpaceDN w:val="0"/>
              <w:spacing w:line="360" w:lineRule="exact"/>
              <w:textAlignment w:val="bottom"/>
            </w:pPr>
            <w:r>
              <w:t>21</w:t>
            </w:r>
          </w:p>
        </w:tc>
        <w:tc>
          <w:tcPr>
            <w:tcW w:w="1227" w:type="dxa"/>
          </w:tcPr>
          <w:p w:rsidR="00000000" w:rsidRDefault="00000000">
            <w:pPr>
              <w:autoSpaceDE w:val="0"/>
              <w:autoSpaceDN w:val="0"/>
              <w:spacing w:line="360" w:lineRule="exact"/>
              <w:textAlignment w:val="bottom"/>
            </w:pPr>
            <w:r>
              <w:t>37</w:t>
            </w:r>
          </w:p>
        </w:tc>
        <w:tc>
          <w:tcPr>
            <w:tcW w:w="1227" w:type="dxa"/>
          </w:tcPr>
          <w:p w:rsidR="00000000" w:rsidRDefault="00000000">
            <w:pPr>
              <w:autoSpaceDE w:val="0"/>
              <w:autoSpaceDN w:val="0"/>
              <w:spacing w:line="360" w:lineRule="exact"/>
              <w:textAlignment w:val="bottom"/>
            </w:pPr>
            <w:r>
              <w:t>10</w:t>
            </w:r>
          </w:p>
        </w:tc>
        <w:tc>
          <w:tcPr>
            <w:tcW w:w="1227" w:type="dxa"/>
          </w:tcPr>
          <w:p w:rsidR="00000000" w:rsidRDefault="00000000">
            <w:pPr>
              <w:autoSpaceDE w:val="0"/>
              <w:autoSpaceDN w:val="0"/>
              <w:spacing w:line="360" w:lineRule="exact"/>
              <w:textAlignment w:val="bottom"/>
            </w:pPr>
            <w:r>
              <w:t>5</w:t>
            </w:r>
          </w:p>
        </w:tc>
      </w:tr>
    </w:tbl>
    <w:p w:rsidR="00000000" w:rsidRDefault="00000000">
      <w:pPr>
        <w:autoSpaceDE w:val="0"/>
        <w:autoSpaceDN w:val="0"/>
        <w:spacing w:line="400" w:lineRule="exact"/>
        <w:ind w:firstLine="425"/>
        <w:textAlignment w:val="bottom"/>
      </w:pPr>
      <w:r>
        <w:t>Bo=</w:t>
      </w:r>
      <w:r>
        <w:rPr>
          <w:rFonts w:hint="eastAsia"/>
        </w:rPr>
        <w:t>初等教育</w:t>
      </w:r>
    </w:p>
    <w:p w:rsidR="00000000" w:rsidRDefault="00000000">
      <w:pPr>
        <w:autoSpaceDE w:val="0"/>
        <w:autoSpaceDN w:val="0"/>
        <w:spacing w:line="400" w:lineRule="exact"/>
        <w:ind w:firstLine="425"/>
        <w:textAlignment w:val="bottom"/>
      </w:pPr>
      <w:r>
        <w:t>Lbo/Mavo=</w:t>
      </w:r>
      <w:r>
        <w:rPr>
          <w:rFonts w:hint="eastAsia"/>
        </w:rPr>
        <w:t>初等职业教育</w:t>
      </w:r>
      <w:r>
        <w:t>/</w:t>
      </w:r>
      <w:r>
        <w:rPr>
          <w:rFonts w:hint="eastAsia"/>
        </w:rPr>
        <w:t>一般初等教育</w:t>
      </w:r>
    </w:p>
    <w:p w:rsidR="00000000" w:rsidRDefault="00000000">
      <w:pPr>
        <w:autoSpaceDE w:val="0"/>
        <w:autoSpaceDN w:val="0"/>
        <w:spacing w:line="400" w:lineRule="exact"/>
        <w:ind w:firstLine="425"/>
        <w:textAlignment w:val="bottom"/>
      </w:pPr>
      <w:r>
        <w:t>Havo/Vwo=</w:t>
      </w:r>
      <w:r>
        <w:rPr>
          <w:rFonts w:hint="eastAsia"/>
        </w:rPr>
        <w:t>一般高级中学教育</w:t>
      </w:r>
      <w:r>
        <w:t>/</w:t>
      </w:r>
      <w:r>
        <w:rPr>
          <w:rFonts w:hint="eastAsia"/>
        </w:rPr>
        <w:t>大学预备教育</w:t>
      </w:r>
    </w:p>
    <w:p w:rsidR="00000000" w:rsidRDefault="00000000">
      <w:pPr>
        <w:autoSpaceDE w:val="0"/>
        <w:autoSpaceDN w:val="0"/>
        <w:spacing w:line="400" w:lineRule="exact"/>
        <w:ind w:firstLine="425"/>
        <w:textAlignment w:val="bottom"/>
      </w:pPr>
      <w:r>
        <w:t>Hbo=</w:t>
      </w:r>
      <w:r>
        <w:rPr>
          <w:rFonts w:hint="eastAsia"/>
        </w:rPr>
        <w:t>高等职业教育</w:t>
      </w:r>
    </w:p>
    <w:p w:rsidR="00000000" w:rsidRDefault="00000000">
      <w:pPr>
        <w:autoSpaceDE w:val="0"/>
        <w:autoSpaceDN w:val="0"/>
        <w:spacing w:after="240" w:line="400" w:lineRule="exact"/>
        <w:ind w:firstLine="425"/>
        <w:textAlignment w:val="bottom"/>
      </w:pPr>
      <w:r>
        <w:t>Wo=</w:t>
      </w:r>
      <w:r>
        <w:rPr>
          <w:rFonts w:hint="eastAsia"/>
        </w:rPr>
        <w:t>大学教育</w:t>
      </w:r>
    </w:p>
    <w:p w:rsidR="00000000" w:rsidRDefault="00000000">
      <w:pPr>
        <w:autoSpaceDE w:val="0"/>
        <w:autoSpaceDN w:val="0"/>
        <w:spacing w:after="240" w:line="400" w:lineRule="exact"/>
        <w:ind w:firstLine="425"/>
        <w:textAlignment w:val="bottom"/>
      </w:pPr>
      <w:r>
        <w:rPr>
          <w:rFonts w:hint="eastAsia"/>
        </w:rPr>
        <w:t>资料来源：</w:t>
      </w:r>
      <w:r>
        <w:t>CBS</w:t>
      </w:r>
      <w:r>
        <w:rPr>
          <w:rFonts w:hint="eastAsia"/>
        </w:rPr>
        <w:t>，《劳动人民调查》，</w:t>
      </w:r>
      <w:r>
        <w:t>1996</w:t>
      </w:r>
      <w:r>
        <w:rPr>
          <w:rFonts w:hint="eastAsia"/>
        </w:rPr>
        <w:t>年。</w:t>
      </w:r>
    </w:p>
    <w:p w:rsidR="00000000" w:rsidRDefault="00000000">
      <w:pPr>
        <w:autoSpaceDE w:val="0"/>
        <w:autoSpaceDN w:val="0"/>
        <w:spacing w:after="240" w:line="400" w:lineRule="exact"/>
        <w:ind w:firstLine="425"/>
        <w:textAlignment w:val="bottom"/>
      </w:pPr>
      <w:r>
        <w:rPr>
          <w:rFonts w:hint="eastAsia"/>
        </w:rPr>
        <w:t>少数民族的女孩通常受教育水平仍比较低。她们中</w:t>
      </w:r>
      <w:r>
        <w:t>36%</w:t>
      </w:r>
      <w:r>
        <w:rPr>
          <w:rFonts w:hint="eastAsia"/>
        </w:rPr>
        <w:t>仅得到一张综合性可离校就业证明，而有荷兰背景的小学生仅为</w:t>
      </w:r>
      <w:r>
        <w:t>13%</w:t>
      </w:r>
      <w:r>
        <w:rPr>
          <w:rFonts w:hint="eastAsia"/>
        </w:rPr>
        <w:t>。但是少数民族女孩在学校的表现总体上比男孩要好。她们在劳动力市场的前景也会比少数民族的男孩要好些。</w:t>
      </w:r>
      <w:r>
        <w:rPr>
          <w:rStyle w:val="FootnoteReference"/>
        </w:rPr>
        <w:footnoteReference w:customMarkFollows="1" w:id="27"/>
        <w:t>25</w:t>
      </w:r>
    </w:p>
    <w:p w:rsidR="00000000" w:rsidRDefault="00000000">
      <w:pPr>
        <w:autoSpaceDE w:val="0"/>
        <w:autoSpaceDN w:val="0"/>
        <w:spacing w:after="240" w:line="400" w:lineRule="exact"/>
        <w:ind w:firstLine="425"/>
        <w:textAlignment w:val="bottom"/>
      </w:pPr>
      <w:r>
        <w:rPr>
          <w:rFonts w:hint="eastAsia"/>
        </w:rPr>
        <w:t>少数民族青年受高等教育的很少。当他们停止受教育时大约</w:t>
      </w:r>
      <w:r>
        <w:t>6%</w:t>
      </w:r>
      <w:r>
        <w:rPr>
          <w:rFonts w:hint="eastAsia"/>
        </w:rPr>
        <w:t>受过高等职业教育，而所有其他人离开教育系统时为</w:t>
      </w:r>
      <w:r>
        <w:t>13%</w:t>
      </w:r>
      <w:r>
        <w:rPr>
          <w:rFonts w:hint="eastAsia"/>
        </w:rPr>
        <w:t>。获得大学学位的移民百分比更低。然而应当指出的是不同种族之间存在明显差别。很大比例的摩洛哥和土耳其妇女仅设法读完小学，可是安的列斯和阿鲁巴妇女的教育程度实际上与荷兰妇女相同。苏里南妇女的状况大体上居两者之间。</w:t>
      </w:r>
      <w:r>
        <w:rPr>
          <w:rStyle w:val="FootnoteReference"/>
        </w:rPr>
        <w:footnoteReference w:customMarkFollows="1" w:id="28"/>
        <w:t>26</w:t>
      </w:r>
    </w:p>
    <w:p w:rsidR="00000000" w:rsidRDefault="00000000">
      <w:pPr>
        <w:autoSpaceDE w:val="0"/>
        <w:autoSpaceDN w:val="0"/>
        <w:spacing w:after="240" w:line="400" w:lineRule="exact"/>
        <w:ind w:firstLine="425"/>
        <w:textAlignment w:val="bottom"/>
      </w:pPr>
      <w:r>
        <w:rPr>
          <w:rFonts w:hint="eastAsia"/>
        </w:rPr>
        <w:t>尽管在受教育水平方面性别不再起什么作用，但它仍然与教育的选择有关。</w:t>
      </w:r>
      <w:r>
        <w:rPr>
          <w:rStyle w:val="FootnoteReference"/>
        </w:rPr>
        <w:footnoteReference w:customMarkFollows="1" w:id="29"/>
        <w:t>27</w:t>
      </w:r>
      <w:r>
        <w:rPr>
          <w:rFonts w:hint="eastAsia"/>
        </w:rPr>
        <w:t>例如，有些课程主要是妇女感兴趣，而另一些则主要是男子感兴趣。虽然越来越多的妇女选择技术课程，但数量仍较少。学习高级技术课程的妇女比例从</w:t>
      </w:r>
      <w:r>
        <w:t>1990/91</w:t>
      </w:r>
      <w:r>
        <w:rPr>
          <w:rFonts w:hint="eastAsia"/>
        </w:rPr>
        <w:t>年的</w:t>
      </w:r>
      <w:r>
        <w:t>12%</w:t>
      </w:r>
      <w:r>
        <w:rPr>
          <w:rFonts w:hint="eastAsia"/>
        </w:rPr>
        <w:t>上升到</w:t>
      </w:r>
      <w:r>
        <w:t>1995/96</w:t>
      </w:r>
      <w:r>
        <w:rPr>
          <w:rFonts w:hint="eastAsia"/>
        </w:rPr>
        <w:t>年的</w:t>
      </w:r>
      <w:r>
        <w:t>15%</w:t>
      </w:r>
      <w:r>
        <w:rPr>
          <w:rFonts w:hint="eastAsia"/>
        </w:rPr>
        <w:t>。绝对数字实际上上升了</w:t>
      </w:r>
      <w:r>
        <w:t>20%</w:t>
      </w:r>
      <w:r>
        <w:rPr>
          <w:rFonts w:hint="eastAsia"/>
        </w:rPr>
        <w:t>。</w:t>
      </w:r>
      <w:r>
        <w:t>1995</w:t>
      </w:r>
      <w:r>
        <w:rPr>
          <w:rFonts w:hint="eastAsia"/>
        </w:rPr>
        <w:t>年在受</w:t>
      </w:r>
      <w:r>
        <w:t>/</w:t>
      </w:r>
      <w:r>
        <w:rPr>
          <w:rFonts w:hint="eastAsia"/>
        </w:rPr>
        <w:t>高等技术教育的学生中几乎</w:t>
      </w:r>
      <w:r>
        <w:t>17%</w:t>
      </w:r>
      <w:r>
        <w:rPr>
          <w:rFonts w:hint="eastAsia"/>
        </w:rPr>
        <w:t>是女生。实际上女学生选择的课程类型正在发生变化。如果把它细分为三类</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女生的课程、男生的课程和性别中性的课程，可以看出一些过去属于男生阵营的课程现在已变为第三类</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中性课程。由于没有向相反方向变化的任何迹象，似乎可以说教育选择方面的解放主要是妇女的事。</w:t>
      </w:r>
      <w:r>
        <w:rPr>
          <w:rStyle w:val="FootnoteReference"/>
        </w:rPr>
        <w:footnoteReference w:customMarkFollows="1" w:id="30"/>
        <w:t>28</w:t>
      </w:r>
      <w:r>
        <w:rPr>
          <w:rFonts w:hint="eastAsia"/>
        </w:rPr>
        <w:t>从政策的观点来看，重要的是要指出，某些教育部门中的男女不均衡不仅仅是陈旧的职业选择观而且也是其他一些因素，如对未来工作地点文化的期望，从事兼职的机会以及对儿童保育设施的期望所造成的。将在讨论第</w:t>
      </w:r>
      <w:r>
        <w:t>11</w:t>
      </w:r>
      <w:r>
        <w:rPr>
          <w:rFonts w:hint="eastAsia"/>
        </w:rPr>
        <w:t>条时论述政府在这些方面的措施。</w:t>
      </w:r>
    </w:p>
    <w:p w:rsidR="00000000" w:rsidRDefault="00000000">
      <w:pPr>
        <w:autoSpaceDE w:val="0"/>
        <w:autoSpaceDN w:val="0"/>
        <w:spacing w:after="240" w:line="400" w:lineRule="exact"/>
        <w:ind w:firstLine="425"/>
        <w:textAlignment w:val="bottom"/>
      </w:pPr>
      <w:r>
        <w:rPr>
          <w:rFonts w:hint="eastAsia"/>
        </w:rPr>
        <w:t>再教育或成人教育是使成人弥补在校教育水平不足的一种重要手段。妇女职业学校是帮助妇女，包括黑人和移民妇女达到具体受教育要求的一种特别有效的途径。以下表格表明妇女比男子更多地参加成人基础教育，移民背景的男子和妇女的参加人数比荷兰人的参加人数增长得更快。</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表</w:t>
      </w:r>
      <w:r>
        <w:rPr>
          <w:rFonts w:ascii="楷体" w:eastAsia="楷体"/>
        </w:rPr>
        <w:t xml:space="preserve">8.2  </w:t>
      </w:r>
      <w:r>
        <w:rPr>
          <w:rFonts w:ascii="楷体" w:eastAsia="楷体" w:hint="eastAsia"/>
        </w:rPr>
        <w:t>按性别和种族列出的参加成人基础教育的情况</w:t>
      </w:r>
    </w:p>
    <w:tbl>
      <w:tblPr>
        <w:tblW w:w="0" w:type="auto"/>
        <w:tblLayout w:type="fixed"/>
        <w:tblCellMar>
          <w:left w:w="28" w:type="dxa"/>
          <w:right w:w="28" w:type="dxa"/>
        </w:tblCellMar>
        <w:tblLook w:val="0000" w:firstRow="0" w:lastRow="0" w:firstColumn="0" w:lastColumn="0" w:noHBand="0" w:noVBand="0"/>
      </w:tblPr>
      <w:tblGrid>
        <w:gridCol w:w="2788"/>
        <w:gridCol w:w="1018"/>
        <w:gridCol w:w="1018"/>
        <w:gridCol w:w="1018"/>
        <w:gridCol w:w="1018"/>
        <w:gridCol w:w="1018"/>
        <w:gridCol w:w="1018"/>
        <w:gridCol w:w="1018"/>
      </w:tblGrid>
      <w:tr w:rsidR="00000000">
        <w:tblPrEx>
          <w:tblCellMar>
            <w:top w:w="0" w:type="dxa"/>
            <w:bottom w:w="0" w:type="dxa"/>
          </w:tblCellMar>
        </w:tblPrEx>
        <w:tc>
          <w:tcPr>
            <w:tcW w:w="2788" w:type="dxa"/>
          </w:tcPr>
          <w:p w:rsidR="00000000" w:rsidRDefault="00000000">
            <w:pPr>
              <w:autoSpaceDE w:val="0"/>
              <w:autoSpaceDN w:val="0"/>
              <w:spacing w:line="400" w:lineRule="exact"/>
              <w:ind w:firstLine="425"/>
              <w:textAlignment w:val="bottom"/>
            </w:pPr>
          </w:p>
        </w:tc>
        <w:tc>
          <w:tcPr>
            <w:tcW w:w="1018" w:type="dxa"/>
          </w:tcPr>
          <w:p w:rsidR="00000000" w:rsidRDefault="00000000">
            <w:pPr>
              <w:autoSpaceDE w:val="0"/>
              <w:autoSpaceDN w:val="0"/>
              <w:spacing w:line="400" w:lineRule="exact"/>
              <w:textAlignment w:val="bottom"/>
            </w:pPr>
            <w:r>
              <w:t>1985</w:t>
            </w:r>
            <w:r>
              <w:rPr>
                <w:rFonts w:hint="eastAsia"/>
              </w:rPr>
              <w:t>年</w:t>
            </w:r>
          </w:p>
        </w:tc>
        <w:tc>
          <w:tcPr>
            <w:tcW w:w="1018" w:type="dxa"/>
          </w:tcPr>
          <w:p w:rsidR="00000000" w:rsidRDefault="00000000">
            <w:pPr>
              <w:autoSpaceDE w:val="0"/>
              <w:autoSpaceDN w:val="0"/>
              <w:spacing w:line="400" w:lineRule="exact"/>
              <w:textAlignment w:val="bottom"/>
            </w:pPr>
            <w:r>
              <w:t>1990</w:t>
            </w:r>
            <w:r>
              <w:rPr>
                <w:rFonts w:hint="eastAsia"/>
              </w:rPr>
              <w:t>年</w:t>
            </w:r>
          </w:p>
        </w:tc>
        <w:tc>
          <w:tcPr>
            <w:tcW w:w="1018" w:type="dxa"/>
          </w:tcPr>
          <w:p w:rsidR="00000000" w:rsidRDefault="00000000">
            <w:pPr>
              <w:autoSpaceDE w:val="0"/>
              <w:autoSpaceDN w:val="0"/>
              <w:spacing w:line="400" w:lineRule="exact"/>
              <w:textAlignment w:val="bottom"/>
            </w:pPr>
            <w:r>
              <w:t>1994</w:t>
            </w:r>
            <w:r>
              <w:rPr>
                <w:rFonts w:hint="eastAsia"/>
              </w:rPr>
              <w:t>年</w:t>
            </w:r>
          </w:p>
        </w:tc>
        <w:tc>
          <w:tcPr>
            <w:tcW w:w="1018" w:type="dxa"/>
          </w:tcPr>
          <w:p w:rsidR="00000000" w:rsidRDefault="00000000">
            <w:pPr>
              <w:autoSpaceDE w:val="0"/>
              <w:autoSpaceDN w:val="0"/>
              <w:spacing w:line="400" w:lineRule="exact"/>
              <w:textAlignment w:val="bottom"/>
            </w:pPr>
          </w:p>
        </w:tc>
        <w:tc>
          <w:tcPr>
            <w:tcW w:w="1018" w:type="dxa"/>
          </w:tcPr>
          <w:p w:rsidR="00000000" w:rsidRDefault="00000000">
            <w:pPr>
              <w:autoSpaceDE w:val="0"/>
              <w:autoSpaceDN w:val="0"/>
              <w:spacing w:line="400" w:lineRule="exact"/>
              <w:textAlignment w:val="bottom"/>
            </w:pPr>
          </w:p>
        </w:tc>
        <w:tc>
          <w:tcPr>
            <w:tcW w:w="1018" w:type="dxa"/>
          </w:tcPr>
          <w:p w:rsidR="00000000" w:rsidRDefault="00000000">
            <w:pPr>
              <w:autoSpaceDE w:val="0"/>
              <w:autoSpaceDN w:val="0"/>
              <w:spacing w:line="400" w:lineRule="exact"/>
              <w:textAlignment w:val="bottom"/>
            </w:pPr>
          </w:p>
        </w:tc>
        <w:tc>
          <w:tcPr>
            <w:tcW w:w="1018" w:type="dxa"/>
          </w:tcPr>
          <w:p w:rsidR="00000000" w:rsidRDefault="00000000">
            <w:pPr>
              <w:autoSpaceDE w:val="0"/>
              <w:autoSpaceDN w:val="0"/>
              <w:spacing w:line="400" w:lineRule="exact"/>
              <w:textAlignment w:val="bottom"/>
            </w:pPr>
          </w:p>
        </w:tc>
      </w:tr>
      <w:tr w:rsidR="00000000">
        <w:tblPrEx>
          <w:tblCellMar>
            <w:top w:w="0" w:type="dxa"/>
            <w:bottom w:w="0" w:type="dxa"/>
          </w:tblCellMar>
        </w:tblPrEx>
        <w:tc>
          <w:tcPr>
            <w:tcW w:w="2788" w:type="dxa"/>
          </w:tcPr>
          <w:p w:rsidR="00000000" w:rsidRDefault="00000000">
            <w:pPr>
              <w:autoSpaceDE w:val="0"/>
              <w:autoSpaceDN w:val="0"/>
              <w:spacing w:line="400" w:lineRule="exact"/>
              <w:ind w:firstLine="425"/>
              <w:textAlignment w:val="bottom"/>
            </w:pPr>
            <w:r>
              <w:rPr>
                <w:rFonts w:hint="eastAsia"/>
              </w:rPr>
              <w:t>（每千人）</w:t>
            </w:r>
          </w:p>
        </w:tc>
        <w:tc>
          <w:tcPr>
            <w:tcW w:w="1018" w:type="dxa"/>
          </w:tcPr>
          <w:p w:rsidR="00000000" w:rsidRDefault="00000000">
            <w:pPr>
              <w:autoSpaceDE w:val="0"/>
              <w:autoSpaceDN w:val="0"/>
              <w:spacing w:line="400" w:lineRule="exact"/>
              <w:textAlignment w:val="bottom"/>
            </w:pPr>
            <w:r>
              <w:rPr>
                <w:rFonts w:hint="eastAsia"/>
              </w:rPr>
              <w:t>女</w:t>
            </w:r>
          </w:p>
        </w:tc>
        <w:tc>
          <w:tcPr>
            <w:tcW w:w="1018" w:type="dxa"/>
          </w:tcPr>
          <w:p w:rsidR="00000000" w:rsidRDefault="00000000">
            <w:pPr>
              <w:autoSpaceDE w:val="0"/>
              <w:autoSpaceDN w:val="0"/>
              <w:spacing w:line="400" w:lineRule="exact"/>
              <w:textAlignment w:val="bottom"/>
            </w:pPr>
            <w:r>
              <w:rPr>
                <w:rFonts w:hint="eastAsia"/>
              </w:rPr>
              <w:t>男</w:t>
            </w:r>
          </w:p>
        </w:tc>
        <w:tc>
          <w:tcPr>
            <w:tcW w:w="1018" w:type="dxa"/>
          </w:tcPr>
          <w:p w:rsidR="00000000" w:rsidRDefault="00000000">
            <w:pPr>
              <w:autoSpaceDE w:val="0"/>
              <w:autoSpaceDN w:val="0"/>
              <w:spacing w:line="400" w:lineRule="exact"/>
              <w:textAlignment w:val="bottom"/>
            </w:pPr>
            <w:r>
              <w:rPr>
                <w:rFonts w:hint="eastAsia"/>
              </w:rPr>
              <w:t>女</w:t>
            </w:r>
          </w:p>
        </w:tc>
        <w:tc>
          <w:tcPr>
            <w:tcW w:w="1018" w:type="dxa"/>
          </w:tcPr>
          <w:p w:rsidR="00000000" w:rsidRDefault="00000000">
            <w:pPr>
              <w:autoSpaceDE w:val="0"/>
              <w:autoSpaceDN w:val="0"/>
              <w:spacing w:line="400" w:lineRule="exact"/>
              <w:textAlignment w:val="bottom"/>
            </w:pPr>
            <w:r>
              <w:rPr>
                <w:rFonts w:hint="eastAsia"/>
              </w:rPr>
              <w:t>男</w:t>
            </w:r>
          </w:p>
        </w:tc>
        <w:tc>
          <w:tcPr>
            <w:tcW w:w="1018" w:type="dxa"/>
          </w:tcPr>
          <w:p w:rsidR="00000000" w:rsidRDefault="00000000">
            <w:pPr>
              <w:autoSpaceDE w:val="0"/>
              <w:autoSpaceDN w:val="0"/>
              <w:spacing w:line="400" w:lineRule="exact"/>
              <w:textAlignment w:val="bottom"/>
            </w:pPr>
            <w:r>
              <w:rPr>
                <w:rFonts w:hint="eastAsia"/>
              </w:rPr>
              <w:t>女</w:t>
            </w:r>
          </w:p>
        </w:tc>
        <w:tc>
          <w:tcPr>
            <w:tcW w:w="1018" w:type="dxa"/>
          </w:tcPr>
          <w:p w:rsidR="00000000" w:rsidRDefault="00000000">
            <w:pPr>
              <w:autoSpaceDE w:val="0"/>
              <w:autoSpaceDN w:val="0"/>
              <w:spacing w:line="400" w:lineRule="exact"/>
              <w:textAlignment w:val="bottom"/>
            </w:pPr>
            <w:r>
              <w:rPr>
                <w:rFonts w:hint="eastAsia"/>
              </w:rPr>
              <w:t>男</w:t>
            </w:r>
          </w:p>
        </w:tc>
        <w:tc>
          <w:tcPr>
            <w:tcW w:w="1018" w:type="dxa"/>
          </w:tcPr>
          <w:p w:rsidR="00000000" w:rsidRDefault="00000000">
            <w:pPr>
              <w:autoSpaceDE w:val="0"/>
              <w:autoSpaceDN w:val="0"/>
              <w:spacing w:line="400" w:lineRule="exact"/>
              <w:textAlignment w:val="bottom"/>
            </w:pPr>
          </w:p>
        </w:tc>
      </w:tr>
      <w:tr w:rsidR="00000000">
        <w:tblPrEx>
          <w:tblCellMar>
            <w:top w:w="0" w:type="dxa"/>
            <w:bottom w:w="0" w:type="dxa"/>
          </w:tblCellMar>
        </w:tblPrEx>
        <w:tc>
          <w:tcPr>
            <w:tcW w:w="2788" w:type="dxa"/>
          </w:tcPr>
          <w:p w:rsidR="00000000" w:rsidRDefault="00000000">
            <w:pPr>
              <w:autoSpaceDE w:val="0"/>
              <w:autoSpaceDN w:val="0"/>
              <w:spacing w:line="400" w:lineRule="exact"/>
              <w:ind w:firstLine="425"/>
              <w:textAlignment w:val="bottom"/>
            </w:pPr>
            <w:r>
              <w:rPr>
                <w:rFonts w:hint="eastAsia"/>
              </w:rPr>
              <w:t>参加基础教育</w:t>
            </w:r>
          </w:p>
        </w:tc>
        <w:tc>
          <w:tcPr>
            <w:tcW w:w="1018" w:type="dxa"/>
          </w:tcPr>
          <w:p w:rsidR="00000000" w:rsidRDefault="00000000">
            <w:pPr>
              <w:autoSpaceDE w:val="0"/>
              <w:autoSpaceDN w:val="0"/>
              <w:spacing w:line="400" w:lineRule="exact"/>
              <w:textAlignment w:val="bottom"/>
            </w:pPr>
            <w:r>
              <w:t>56</w:t>
            </w:r>
          </w:p>
        </w:tc>
        <w:tc>
          <w:tcPr>
            <w:tcW w:w="1018" w:type="dxa"/>
          </w:tcPr>
          <w:p w:rsidR="00000000" w:rsidRDefault="00000000">
            <w:pPr>
              <w:autoSpaceDE w:val="0"/>
              <w:autoSpaceDN w:val="0"/>
              <w:spacing w:line="400" w:lineRule="exact"/>
              <w:textAlignment w:val="bottom"/>
            </w:pPr>
            <w:r>
              <w:t>32</w:t>
            </w:r>
          </w:p>
        </w:tc>
        <w:tc>
          <w:tcPr>
            <w:tcW w:w="1018" w:type="dxa"/>
          </w:tcPr>
          <w:p w:rsidR="00000000" w:rsidRDefault="00000000">
            <w:pPr>
              <w:autoSpaceDE w:val="0"/>
              <w:autoSpaceDN w:val="0"/>
              <w:spacing w:line="400" w:lineRule="exact"/>
              <w:textAlignment w:val="bottom"/>
            </w:pPr>
            <w:r>
              <w:t>74</w:t>
            </w:r>
          </w:p>
        </w:tc>
        <w:tc>
          <w:tcPr>
            <w:tcW w:w="1018" w:type="dxa"/>
          </w:tcPr>
          <w:p w:rsidR="00000000" w:rsidRDefault="00000000">
            <w:pPr>
              <w:autoSpaceDE w:val="0"/>
              <w:autoSpaceDN w:val="0"/>
              <w:spacing w:line="400" w:lineRule="exact"/>
              <w:textAlignment w:val="bottom"/>
            </w:pPr>
            <w:r>
              <w:t>41</w:t>
            </w:r>
          </w:p>
        </w:tc>
        <w:tc>
          <w:tcPr>
            <w:tcW w:w="1018" w:type="dxa"/>
          </w:tcPr>
          <w:p w:rsidR="00000000" w:rsidRDefault="00000000">
            <w:pPr>
              <w:autoSpaceDE w:val="0"/>
              <w:autoSpaceDN w:val="0"/>
              <w:spacing w:line="400" w:lineRule="exact"/>
              <w:textAlignment w:val="bottom"/>
            </w:pPr>
            <w:r>
              <w:t>86</w:t>
            </w:r>
          </w:p>
        </w:tc>
        <w:tc>
          <w:tcPr>
            <w:tcW w:w="1018" w:type="dxa"/>
          </w:tcPr>
          <w:p w:rsidR="00000000" w:rsidRDefault="00000000">
            <w:pPr>
              <w:autoSpaceDE w:val="0"/>
              <w:autoSpaceDN w:val="0"/>
              <w:spacing w:line="400" w:lineRule="exact"/>
              <w:textAlignment w:val="bottom"/>
            </w:pPr>
            <w:r>
              <w:t>53</w:t>
            </w:r>
          </w:p>
        </w:tc>
        <w:tc>
          <w:tcPr>
            <w:tcW w:w="1018" w:type="dxa"/>
          </w:tcPr>
          <w:p w:rsidR="00000000" w:rsidRDefault="00000000">
            <w:pPr>
              <w:autoSpaceDE w:val="0"/>
              <w:autoSpaceDN w:val="0"/>
              <w:spacing w:line="400" w:lineRule="exact"/>
              <w:textAlignment w:val="bottom"/>
            </w:pPr>
          </w:p>
        </w:tc>
      </w:tr>
      <w:tr w:rsidR="00000000">
        <w:tblPrEx>
          <w:tblCellMar>
            <w:top w:w="0" w:type="dxa"/>
            <w:bottom w:w="0" w:type="dxa"/>
          </w:tblCellMar>
        </w:tblPrEx>
        <w:tc>
          <w:tcPr>
            <w:tcW w:w="2788" w:type="dxa"/>
          </w:tcPr>
          <w:p w:rsidR="00000000" w:rsidRDefault="00000000">
            <w:pPr>
              <w:autoSpaceDE w:val="0"/>
              <w:autoSpaceDN w:val="0"/>
              <w:spacing w:line="400" w:lineRule="exact"/>
              <w:ind w:firstLine="425"/>
              <w:textAlignment w:val="bottom"/>
            </w:pPr>
            <w:r>
              <w:rPr>
                <w:rFonts w:hint="eastAsia"/>
              </w:rPr>
              <w:t>其中</w:t>
            </w:r>
          </w:p>
        </w:tc>
        <w:tc>
          <w:tcPr>
            <w:tcW w:w="1018" w:type="dxa"/>
          </w:tcPr>
          <w:p w:rsidR="00000000" w:rsidRDefault="00000000">
            <w:pPr>
              <w:autoSpaceDE w:val="0"/>
              <w:autoSpaceDN w:val="0"/>
              <w:spacing w:line="400" w:lineRule="exact"/>
              <w:textAlignment w:val="bottom"/>
            </w:pPr>
          </w:p>
        </w:tc>
        <w:tc>
          <w:tcPr>
            <w:tcW w:w="1018" w:type="dxa"/>
          </w:tcPr>
          <w:p w:rsidR="00000000" w:rsidRDefault="00000000">
            <w:pPr>
              <w:autoSpaceDE w:val="0"/>
              <w:autoSpaceDN w:val="0"/>
              <w:spacing w:line="400" w:lineRule="exact"/>
              <w:textAlignment w:val="bottom"/>
            </w:pPr>
          </w:p>
        </w:tc>
        <w:tc>
          <w:tcPr>
            <w:tcW w:w="1018" w:type="dxa"/>
          </w:tcPr>
          <w:p w:rsidR="00000000" w:rsidRDefault="00000000">
            <w:pPr>
              <w:autoSpaceDE w:val="0"/>
              <w:autoSpaceDN w:val="0"/>
              <w:spacing w:line="400" w:lineRule="exact"/>
              <w:textAlignment w:val="bottom"/>
            </w:pPr>
          </w:p>
        </w:tc>
        <w:tc>
          <w:tcPr>
            <w:tcW w:w="1018" w:type="dxa"/>
          </w:tcPr>
          <w:p w:rsidR="00000000" w:rsidRDefault="00000000">
            <w:pPr>
              <w:autoSpaceDE w:val="0"/>
              <w:autoSpaceDN w:val="0"/>
              <w:spacing w:line="400" w:lineRule="exact"/>
              <w:textAlignment w:val="bottom"/>
            </w:pPr>
          </w:p>
        </w:tc>
        <w:tc>
          <w:tcPr>
            <w:tcW w:w="1018" w:type="dxa"/>
          </w:tcPr>
          <w:p w:rsidR="00000000" w:rsidRDefault="00000000">
            <w:pPr>
              <w:autoSpaceDE w:val="0"/>
              <w:autoSpaceDN w:val="0"/>
              <w:spacing w:line="400" w:lineRule="exact"/>
              <w:textAlignment w:val="bottom"/>
            </w:pPr>
          </w:p>
        </w:tc>
        <w:tc>
          <w:tcPr>
            <w:tcW w:w="1018" w:type="dxa"/>
          </w:tcPr>
          <w:p w:rsidR="00000000" w:rsidRDefault="00000000">
            <w:pPr>
              <w:autoSpaceDE w:val="0"/>
              <w:autoSpaceDN w:val="0"/>
              <w:spacing w:line="400" w:lineRule="exact"/>
              <w:textAlignment w:val="bottom"/>
            </w:pPr>
          </w:p>
        </w:tc>
        <w:tc>
          <w:tcPr>
            <w:tcW w:w="1018" w:type="dxa"/>
          </w:tcPr>
          <w:p w:rsidR="00000000" w:rsidRDefault="00000000">
            <w:pPr>
              <w:autoSpaceDE w:val="0"/>
              <w:autoSpaceDN w:val="0"/>
              <w:spacing w:line="400" w:lineRule="exact"/>
              <w:textAlignment w:val="bottom"/>
            </w:pPr>
          </w:p>
        </w:tc>
      </w:tr>
      <w:tr w:rsidR="00000000">
        <w:tblPrEx>
          <w:tblCellMar>
            <w:top w:w="0" w:type="dxa"/>
            <w:bottom w:w="0" w:type="dxa"/>
          </w:tblCellMar>
        </w:tblPrEx>
        <w:tc>
          <w:tcPr>
            <w:tcW w:w="2788" w:type="dxa"/>
          </w:tcPr>
          <w:p w:rsidR="00000000" w:rsidRDefault="00000000">
            <w:pPr>
              <w:autoSpaceDE w:val="0"/>
              <w:autoSpaceDN w:val="0"/>
              <w:spacing w:line="400" w:lineRule="exact"/>
              <w:ind w:firstLine="425"/>
              <w:textAlignment w:val="bottom"/>
            </w:pPr>
            <w:r>
              <w:rPr>
                <w:rFonts w:hint="eastAsia"/>
              </w:rPr>
              <w:t>非移民</w:t>
            </w:r>
          </w:p>
        </w:tc>
        <w:tc>
          <w:tcPr>
            <w:tcW w:w="1018" w:type="dxa"/>
          </w:tcPr>
          <w:p w:rsidR="00000000" w:rsidRDefault="00000000">
            <w:pPr>
              <w:autoSpaceDE w:val="0"/>
              <w:autoSpaceDN w:val="0"/>
              <w:spacing w:line="400" w:lineRule="exact"/>
              <w:textAlignment w:val="bottom"/>
            </w:pPr>
            <w:r>
              <w:t>.</w:t>
            </w:r>
          </w:p>
        </w:tc>
        <w:tc>
          <w:tcPr>
            <w:tcW w:w="1018" w:type="dxa"/>
          </w:tcPr>
          <w:p w:rsidR="00000000" w:rsidRDefault="00000000">
            <w:pPr>
              <w:autoSpaceDE w:val="0"/>
              <w:autoSpaceDN w:val="0"/>
              <w:spacing w:line="400" w:lineRule="exact"/>
              <w:textAlignment w:val="bottom"/>
            </w:pPr>
            <w:r>
              <w:t>.</w:t>
            </w:r>
          </w:p>
        </w:tc>
        <w:tc>
          <w:tcPr>
            <w:tcW w:w="1018" w:type="dxa"/>
          </w:tcPr>
          <w:p w:rsidR="00000000" w:rsidRDefault="00000000">
            <w:pPr>
              <w:autoSpaceDE w:val="0"/>
              <w:autoSpaceDN w:val="0"/>
              <w:spacing w:line="400" w:lineRule="exact"/>
              <w:textAlignment w:val="bottom"/>
            </w:pPr>
            <w:r>
              <w:t>42</w:t>
            </w:r>
          </w:p>
        </w:tc>
        <w:tc>
          <w:tcPr>
            <w:tcW w:w="1018" w:type="dxa"/>
          </w:tcPr>
          <w:p w:rsidR="00000000" w:rsidRDefault="00000000">
            <w:pPr>
              <w:autoSpaceDE w:val="0"/>
              <w:autoSpaceDN w:val="0"/>
              <w:spacing w:line="400" w:lineRule="exact"/>
              <w:textAlignment w:val="bottom"/>
            </w:pPr>
            <w:r>
              <w:t>16</w:t>
            </w:r>
          </w:p>
        </w:tc>
        <w:tc>
          <w:tcPr>
            <w:tcW w:w="1018" w:type="dxa"/>
          </w:tcPr>
          <w:p w:rsidR="00000000" w:rsidRDefault="00000000">
            <w:pPr>
              <w:autoSpaceDE w:val="0"/>
              <w:autoSpaceDN w:val="0"/>
              <w:spacing w:line="400" w:lineRule="exact"/>
              <w:textAlignment w:val="bottom"/>
            </w:pPr>
            <w:r>
              <w:t>39</w:t>
            </w:r>
          </w:p>
        </w:tc>
        <w:tc>
          <w:tcPr>
            <w:tcW w:w="1018" w:type="dxa"/>
          </w:tcPr>
          <w:p w:rsidR="00000000" w:rsidRDefault="00000000">
            <w:pPr>
              <w:autoSpaceDE w:val="0"/>
              <w:autoSpaceDN w:val="0"/>
              <w:spacing w:line="400" w:lineRule="exact"/>
              <w:textAlignment w:val="bottom"/>
            </w:pPr>
            <w:r>
              <w:t>17</w:t>
            </w:r>
          </w:p>
        </w:tc>
        <w:tc>
          <w:tcPr>
            <w:tcW w:w="1018" w:type="dxa"/>
          </w:tcPr>
          <w:p w:rsidR="00000000" w:rsidRDefault="00000000">
            <w:pPr>
              <w:autoSpaceDE w:val="0"/>
              <w:autoSpaceDN w:val="0"/>
              <w:spacing w:line="400" w:lineRule="exact"/>
              <w:textAlignment w:val="bottom"/>
            </w:pPr>
          </w:p>
        </w:tc>
      </w:tr>
      <w:tr w:rsidR="00000000">
        <w:tblPrEx>
          <w:tblCellMar>
            <w:top w:w="0" w:type="dxa"/>
            <w:bottom w:w="0" w:type="dxa"/>
          </w:tblCellMar>
        </w:tblPrEx>
        <w:tc>
          <w:tcPr>
            <w:tcW w:w="2788" w:type="dxa"/>
          </w:tcPr>
          <w:p w:rsidR="00000000" w:rsidRDefault="00000000">
            <w:pPr>
              <w:autoSpaceDE w:val="0"/>
              <w:autoSpaceDN w:val="0"/>
              <w:spacing w:line="400" w:lineRule="exact"/>
              <w:ind w:firstLine="425"/>
              <w:textAlignment w:val="bottom"/>
            </w:pPr>
            <w:r>
              <w:rPr>
                <w:rFonts w:hint="eastAsia"/>
              </w:rPr>
              <w:t>移民</w:t>
            </w:r>
          </w:p>
        </w:tc>
        <w:tc>
          <w:tcPr>
            <w:tcW w:w="1018" w:type="dxa"/>
          </w:tcPr>
          <w:p w:rsidR="00000000" w:rsidRDefault="00000000">
            <w:pPr>
              <w:autoSpaceDE w:val="0"/>
              <w:autoSpaceDN w:val="0"/>
              <w:spacing w:line="400" w:lineRule="exact"/>
              <w:textAlignment w:val="bottom"/>
            </w:pPr>
            <w:r>
              <w:t>.</w:t>
            </w:r>
          </w:p>
        </w:tc>
        <w:tc>
          <w:tcPr>
            <w:tcW w:w="1018" w:type="dxa"/>
          </w:tcPr>
          <w:p w:rsidR="00000000" w:rsidRDefault="00000000">
            <w:pPr>
              <w:autoSpaceDE w:val="0"/>
              <w:autoSpaceDN w:val="0"/>
              <w:spacing w:line="400" w:lineRule="exact"/>
              <w:textAlignment w:val="bottom"/>
            </w:pPr>
            <w:r>
              <w:t>.</w:t>
            </w:r>
          </w:p>
        </w:tc>
        <w:tc>
          <w:tcPr>
            <w:tcW w:w="1018" w:type="dxa"/>
          </w:tcPr>
          <w:p w:rsidR="00000000" w:rsidRDefault="00000000">
            <w:pPr>
              <w:autoSpaceDE w:val="0"/>
              <w:autoSpaceDN w:val="0"/>
              <w:spacing w:line="400" w:lineRule="exact"/>
              <w:textAlignment w:val="bottom"/>
            </w:pPr>
            <w:r>
              <w:t>32</w:t>
            </w:r>
          </w:p>
        </w:tc>
        <w:tc>
          <w:tcPr>
            <w:tcW w:w="1018" w:type="dxa"/>
          </w:tcPr>
          <w:p w:rsidR="00000000" w:rsidRDefault="00000000">
            <w:pPr>
              <w:autoSpaceDE w:val="0"/>
              <w:autoSpaceDN w:val="0"/>
              <w:spacing w:line="400" w:lineRule="exact"/>
              <w:textAlignment w:val="bottom"/>
            </w:pPr>
            <w:r>
              <w:t>25</w:t>
            </w:r>
          </w:p>
        </w:tc>
        <w:tc>
          <w:tcPr>
            <w:tcW w:w="1018" w:type="dxa"/>
          </w:tcPr>
          <w:p w:rsidR="00000000" w:rsidRDefault="00000000">
            <w:pPr>
              <w:autoSpaceDE w:val="0"/>
              <w:autoSpaceDN w:val="0"/>
              <w:spacing w:line="400" w:lineRule="exact"/>
              <w:textAlignment w:val="bottom"/>
            </w:pPr>
            <w:r>
              <w:t>47</w:t>
            </w:r>
          </w:p>
        </w:tc>
        <w:tc>
          <w:tcPr>
            <w:tcW w:w="1018" w:type="dxa"/>
          </w:tcPr>
          <w:p w:rsidR="00000000" w:rsidRDefault="00000000">
            <w:pPr>
              <w:autoSpaceDE w:val="0"/>
              <w:autoSpaceDN w:val="0"/>
              <w:spacing w:line="400" w:lineRule="exact"/>
              <w:textAlignment w:val="bottom"/>
            </w:pPr>
            <w:r>
              <w:t>36</w:t>
            </w:r>
          </w:p>
        </w:tc>
        <w:tc>
          <w:tcPr>
            <w:tcW w:w="1018" w:type="dxa"/>
          </w:tcPr>
          <w:p w:rsidR="00000000" w:rsidRDefault="00000000">
            <w:pPr>
              <w:autoSpaceDE w:val="0"/>
              <w:autoSpaceDN w:val="0"/>
              <w:spacing w:line="400" w:lineRule="exact"/>
              <w:textAlignment w:val="bottom"/>
            </w:pPr>
          </w:p>
        </w:tc>
      </w:tr>
      <w:tr w:rsidR="00000000">
        <w:tblPrEx>
          <w:tblCellMar>
            <w:top w:w="0" w:type="dxa"/>
            <w:bottom w:w="0" w:type="dxa"/>
          </w:tblCellMar>
        </w:tblPrEx>
        <w:tc>
          <w:tcPr>
            <w:tcW w:w="2788" w:type="dxa"/>
          </w:tcPr>
          <w:p w:rsidR="00000000" w:rsidRDefault="00000000">
            <w:pPr>
              <w:autoSpaceDE w:val="0"/>
              <w:autoSpaceDN w:val="0"/>
              <w:spacing w:line="400" w:lineRule="exact"/>
              <w:ind w:firstLine="425"/>
              <w:textAlignment w:val="bottom"/>
            </w:pPr>
          </w:p>
        </w:tc>
        <w:tc>
          <w:tcPr>
            <w:tcW w:w="1018" w:type="dxa"/>
          </w:tcPr>
          <w:p w:rsidR="00000000" w:rsidRDefault="00000000">
            <w:pPr>
              <w:autoSpaceDE w:val="0"/>
              <w:autoSpaceDN w:val="0"/>
              <w:spacing w:line="400" w:lineRule="exact"/>
              <w:textAlignment w:val="bottom"/>
            </w:pPr>
          </w:p>
        </w:tc>
        <w:tc>
          <w:tcPr>
            <w:tcW w:w="1018" w:type="dxa"/>
          </w:tcPr>
          <w:p w:rsidR="00000000" w:rsidRDefault="00000000">
            <w:pPr>
              <w:autoSpaceDE w:val="0"/>
              <w:autoSpaceDN w:val="0"/>
              <w:spacing w:line="400" w:lineRule="exact"/>
              <w:textAlignment w:val="bottom"/>
            </w:pPr>
          </w:p>
        </w:tc>
        <w:tc>
          <w:tcPr>
            <w:tcW w:w="1018" w:type="dxa"/>
          </w:tcPr>
          <w:p w:rsidR="00000000" w:rsidRDefault="00000000">
            <w:pPr>
              <w:autoSpaceDE w:val="0"/>
              <w:autoSpaceDN w:val="0"/>
              <w:spacing w:line="400" w:lineRule="exact"/>
              <w:textAlignment w:val="bottom"/>
            </w:pPr>
          </w:p>
        </w:tc>
        <w:tc>
          <w:tcPr>
            <w:tcW w:w="1018" w:type="dxa"/>
          </w:tcPr>
          <w:p w:rsidR="00000000" w:rsidRDefault="00000000">
            <w:pPr>
              <w:autoSpaceDE w:val="0"/>
              <w:autoSpaceDN w:val="0"/>
              <w:spacing w:line="400" w:lineRule="exact"/>
              <w:textAlignment w:val="bottom"/>
            </w:pPr>
          </w:p>
        </w:tc>
        <w:tc>
          <w:tcPr>
            <w:tcW w:w="1018" w:type="dxa"/>
          </w:tcPr>
          <w:p w:rsidR="00000000" w:rsidRDefault="00000000">
            <w:pPr>
              <w:autoSpaceDE w:val="0"/>
              <w:autoSpaceDN w:val="0"/>
              <w:spacing w:line="400" w:lineRule="exact"/>
              <w:textAlignment w:val="bottom"/>
            </w:pPr>
          </w:p>
        </w:tc>
        <w:tc>
          <w:tcPr>
            <w:tcW w:w="1018" w:type="dxa"/>
          </w:tcPr>
          <w:p w:rsidR="00000000" w:rsidRDefault="00000000">
            <w:pPr>
              <w:autoSpaceDE w:val="0"/>
              <w:autoSpaceDN w:val="0"/>
              <w:spacing w:line="400" w:lineRule="exact"/>
              <w:textAlignment w:val="bottom"/>
            </w:pPr>
          </w:p>
        </w:tc>
        <w:tc>
          <w:tcPr>
            <w:tcW w:w="1018" w:type="dxa"/>
          </w:tcPr>
          <w:p w:rsidR="00000000" w:rsidRDefault="00000000">
            <w:pPr>
              <w:autoSpaceDE w:val="0"/>
              <w:autoSpaceDN w:val="0"/>
              <w:spacing w:line="400" w:lineRule="exact"/>
              <w:textAlignment w:val="bottom"/>
            </w:pPr>
          </w:p>
        </w:tc>
      </w:tr>
    </w:tbl>
    <w:p w:rsidR="00000000" w:rsidRDefault="00000000">
      <w:pPr>
        <w:autoSpaceDE w:val="0"/>
        <w:autoSpaceDN w:val="0"/>
        <w:spacing w:after="240" w:line="400" w:lineRule="exact"/>
        <w:ind w:firstLine="425"/>
        <w:textAlignment w:val="bottom"/>
      </w:pPr>
      <w:r>
        <w:rPr>
          <w:rFonts w:hint="eastAsia"/>
        </w:rPr>
        <w:t>资料来源：《</w:t>
      </w:r>
      <w:r>
        <w:t>1997</w:t>
      </w:r>
      <w:r>
        <w:rPr>
          <w:rFonts w:hint="eastAsia"/>
        </w:rPr>
        <w:t>年解放年鉴》</w:t>
      </w:r>
    </w:p>
    <w:p w:rsidR="00000000" w:rsidRDefault="00000000">
      <w:pPr>
        <w:autoSpaceDE w:val="0"/>
        <w:autoSpaceDN w:val="0"/>
        <w:spacing w:after="240" w:line="400" w:lineRule="exact"/>
        <w:ind w:firstLine="425"/>
        <w:textAlignment w:val="bottom"/>
      </w:pPr>
      <w:r>
        <w:rPr>
          <w:rFonts w:hint="eastAsia"/>
        </w:rPr>
        <w:t>然而，妇女（尤其是</w:t>
      </w:r>
      <w:r>
        <w:t>20-35</w:t>
      </w:r>
      <w:r>
        <w:rPr>
          <w:rFonts w:hint="eastAsia"/>
        </w:rPr>
        <w:t>年龄组）参与另一种形式再教育</w:t>
      </w:r>
      <w:r>
        <w:fldChar w:fldCharType="begin"/>
      </w:r>
      <w:r>
        <w:instrText>symbol 151 \f "Times New Roman"</w:instrText>
      </w:r>
      <w:r>
        <w:fldChar w:fldCharType="end"/>
      </w:r>
      <w:r>
        <w:rPr>
          <w:rFonts w:hint="eastAsia"/>
        </w:rPr>
        <w:t>公司培训</w:t>
      </w:r>
      <w:r>
        <w:fldChar w:fldCharType="begin"/>
      </w:r>
      <w:r>
        <w:instrText>symbol 151 \f "Times New Roman"</w:instrText>
      </w:r>
      <w:r>
        <w:fldChar w:fldCharType="end"/>
      </w:r>
      <w:r>
        <w:rPr>
          <w:rFonts w:hint="eastAsia"/>
        </w:rPr>
        <w:t>的人数明显低于男子。这就减少了妇女在其工作的机构里晋升的机会。妇女对公司培训较少参与主要由于两个因素，它们往往相互影响。首先是</w:t>
      </w:r>
      <w:r>
        <w:t>20-35</w:t>
      </w:r>
      <w:r>
        <w:rPr>
          <w:rFonts w:hint="eastAsia"/>
        </w:rPr>
        <w:t>年龄组劳动妇女常常要把工作和照管幼儿结合起来。这就意味着她们可能采用弹性工时和（或）签订兼职合同。其次雇主主要为劳动力核心，也就是专职雇员投资。这是令人担忧的，因为再教育目前被认为是保持人员就业的最重要手段之一。第十一章将详细论述当局为使劳动和照管更易于结合起来而采取的措施。</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1(b)  </w:t>
      </w:r>
      <w:r>
        <w:rPr>
          <w:rFonts w:ascii="SimHei" w:eastAsia="SimHei" w:hint="eastAsia"/>
        </w:rPr>
        <w:t>立法措施</w:t>
      </w:r>
    </w:p>
    <w:p w:rsidR="00000000" w:rsidRDefault="00000000">
      <w:pPr>
        <w:autoSpaceDE w:val="0"/>
        <w:autoSpaceDN w:val="0"/>
        <w:spacing w:after="240" w:line="400" w:lineRule="exact"/>
        <w:textAlignment w:val="bottom"/>
        <w:rPr>
          <w:rFonts w:ascii="楷体" w:eastAsia="楷体"/>
        </w:rPr>
      </w:pPr>
      <w:r>
        <w:rPr>
          <w:rFonts w:ascii="楷体" w:eastAsia="楷体" w:hint="eastAsia"/>
        </w:rPr>
        <w:t>教育部门管理职位妇女比例代表制法</w:t>
      </w:r>
    </w:p>
    <w:p w:rsidR="00000000" w:rsidRDefault="00000000">
      <w:pPr>
        <w:autoSpaceDE w:val="0"/>
        <w:autoSpaceDN w:val="0"/>
        <w:spacing w:after="240" w:line="400" w:lineRule="exact"/>
        <w:ind w:firstLine="425"/>
        <w:textAlignment w:val="bottom"/>
      </w:pPr>
      <w:r>
        <w:t>1997</w:t>
      </w:r>
      <w:r>
        <w:rPr>
          <w:rFonts w:hint="eastAsia"/>
        </w:rPr>
        <w:t>年</w:t>
      </w:r>
      <w:r>
        <w:t>3</w:t>
      </w:r>
      <w:r>
        <w:rPr>
          <w:rFonts w:hint="eastAsia"/>
        </w:rPr>
        <w:t>月该法在所有教育部门生效。它试图鼓励教育机构对比例代表制实施审慎的政策，与此同时又不减少校董会的任免责任。长期以来教育方面解放政策的一项重要目标就是纠正管理职位上妇女代表严重不足的情况。从</w:t>
      </w:r>
      <w:r>
        <w:t>1993</w:t>
      </w:r>
      <w:r>
        <w:rPr>
          <w:rFonts w:hint="eastAsia"/>
        </w:rPr>
        <w:t>年以来每年进行一次调查，以弄清所有教育部门女性领导人所占比例。下列表格就是以这些调查所获数据为依据的。</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br w:type="page"/>
      </w:r>
      <w:r>
        <w:rPr>
          <w:rFonts w:ascii="楷体" w:eastAsia="楷体" w:hint="eastAsia"/>
        </w:rPr>
        <w:t>表</w:t>
      </w:r>
      <w:r>
        <w:rPr>
          <w:rFonts w:ascii="楷体" w:eastAsia="楷体"/>
        </w:rPr>
        <w:t>8.3  1993-1997</w:t>
      </w:r>
      <w:r>
        <w:rPr>
          <w:rFonts w:ascii="楷体" w:eastAsia="楷体" w:hint="eastAsia"/>
        </w:rPr>
        <w:t>年女校长的百分比</w:t>
      </w:r>
    </w:p>
    <w:tbl>
      <w:tblPr>
        <w:tblW w:w="0" w:type="auto"/>
        <w:tblLayout w:type="fixed"/>
        <w:tblCellMar>
          <w:left w:w="28" w:type="dxa"/>
          <w:right w:w="28" w:type="dxa"/>
        </w:tblCellMar>
        <w:tblLook w:val="0000" w:firstRow="0" w:lastRow="0" w:firstColumn="0" w:lastColumn="0" w:noHBand="0" w:noVBand="0"/>
      </w:tblPr>
      <w:tblGrid>
        <w:gridCol w:w="3508"/>
        <w:gridCol w:w="1602"/>
        <w:gridCol w:w="1602"/>
        <w:gridCol w:w="1602"/>
        <w:gridCol w:w="1602"/>
      </w:tblGrid>
      <w:tr w:rsidR="00000000">
        <w:tblPrEx>
          <w:tblCellMar>
            <w:top w:w="0" w:type="dxa"/>
            <w:bottom w:w="0" w:type="dxa"/>
          </w:tblCellMar>
        </w:tblPrEx>
        <w:tc>
          <w:tcPr>
            <w:tcW w:w="3508" w:type="dxa"/>
          </w:tcPr>
          <w:p w:rsidR="00000000" w:rsidRDefault="00000000">
            <w:pPr>
              <w:autoSpaceDE w:val="0"/>
              <w:autoSpaceDN w:val="0"/>
              <w:spacing w:line="400" w:lineRule="exact"/>
              <w:ind w:firstLine="425"/>
              <w:textAlignment w:val="bottom"/>
            </w:pPr>
          </w:p>
        </w:tc>
        <w:tc>
          <w:tcPr>
            <w:tcW w:w="1602" w:type="dxa"/>
          </w:tcPr>
          <w:p w:rsidR="00000000" w:rsidRDefault="00000000">
            <w:pPr>
              <w:autoSpaceDE w:val="0"/>
              <w:autoSpaceDN w:val="0"/>
              <w:spacing w:line="400" w:lineRule="exact"/>
              <w:textAlignment w:val="bottom"/>
            </w:pPr>
            <w:r>
              <w:t>%</w:t>
            </w:r>
          </w:p>
        </w:tc>
        <w:tc>
          <w:tcPr>
            <w:tcW w:w="1602" w:type="dxa"/>
          </w:tcPr>
          <w:p w:rsidR="00000000" w:rsidRDefault="00000000">
            <w:pPr>
              <w:autoSpaceDE w:val="0"/>
              <w:autoSpaceDN w:val="0"/>
              <w:spacing w:line="400" w:lineRule="exact"/>
              <w:textAlignment w:val="bottom"/>
            </w:pPr>
            <w:r>
              <w:t>%</w:t>
            </w:r>
          </w:p>
        </w:tc>
        <w:tc>
          <w:tcPr>
            <w:tcW w:w="1602" w:type="dxa"/>
          </w:tcPr>
          <w:p w:rsidR="00000000" w:rsidRDefault="00000000">
            <w:pPr>
              <w:autoSpaceDE w:val="0"/>
              <w:autoSpaceDN w:val="0"/>
              <w:spacing w:line="400" w:lineRule="exact"/>
              <w:textAlignment w:val="bottom"/>
            </w:pPr>
            <w:r>
              <w:t>%</w:t>
            </w:r>
          </w:p>
        </w:tc>
        <w:tc>
          <w:tcPr>
            <w:tcW w:w="1602" w:type="dxa"/>
          </w:tcPr>
          <w:p w:rsidR="00000000" w:rsidRDefault="00000000">
            <w:pPr>
              <w:autoSpaceDE w:val="0"/>
              <w:autoSpaceDN w:val="0"/>
              <w:spacing w:line="400" w:lineRule="exact"/>
              <w:textAlignment w:val="bottom"/>
            </w:pPr>
            <w:r>
              <w:t>%</w:t>
            </w:r>
          </w:p>
        </w:tc>
      </w:tr>
      <w:tr w:rsidR="00000000">
        <w:tblPrEx>
          <w:tblCellMar>
            <w:top w:w="0" w:type="dxa"/>
            <w:bottom w:w="0" w:type="dxa"/>
          </w:tblCellMar>
        </w:tblPrEx>
        <w:tc>
          <w:tcPr>
            <w:tcW w:w="3508" w:type="dxa"/>
          </w:tcPr>
          <w:p w:rsidR="00000000" w:rsidRDefault="00000000">
            <w:pPr>
              <w:autoSpaceDE w:val="0"/>
              <w:autoSpaceDN w:val="0"/>
              <w:spacing w:line="400" w:lineRule="exact"/>
              <w:ind w:firstLine="425"/>
              <w:textAlignment w:val="bottom"/>
            </w:pPr>
          </w:p>
        </w:tc>
        <w:tc>
          <w:tcPr>
            <w:tcW w:w="1602" w:type="dxa"/>
          </w:tcPr>
          <w:p w:rsidR="00000000" w:rsidRDefault="00000000">
            <w:pPr>
              <w:autoSpaceDE w:val="0"/>
              <w:autoSpaceDN w:val="0"/>
              <w:spacing w:line="400" w:lineRule="exact"/>
              <w:textAlignment w:val="bottom"/>
            </w:pPr>
            <w:r>
              <w:t>1993</w:t>
            </w:r>
            <w:r>
              <w:rPr>
                <w:rFonts w:hint="eastAsia"/>
              </w:rPr>
              <w:t>年</w:t>
            </w:r>
          </w:p>
        </w:tc>
        <w:tc>
          <w:tcPr>
            <w:tcW w:w="1602" w:type="dxa"/>
          </w:tcPr>
          <w:p w:rsidR="00000000" w:rsidRDefault="00000000">
            <w:pPr>
              <w:autoSpaceDE w:val="0"/>
              <w:autoSpaceDN w:val="0"/>
              <w:spacing w:line="400" w:lineRule="exact"/>
              <w:textAlignment w:val="bottom"/>
            </w:pPr>
            <w:r>
              <w:t>1995</w:t>
            </w:r>
            <w:r>
              <w:rPr>
                <w:rFonts w:hint="eastAsia"/>
              </w:rPr>
              <w:t>年</w:t>
            </w:r>
          </w:p>
        </w:tc>
        <w:tc>
          <w:tcPr>
            <w:tcW w:w="1602" w:type="dxa"/>
          </w:tcPr>
          <w:p w:rsidR="00000000" w:rsidRDefault="00000000">
            <w:pPr>
              <w:autoSpaceDE w:val="0"/>
              <w:autoSpaceDN w:val="0"/>
              <w:spacing w:line="400" w:lineRule="exact"/>
              <w:textAlignment w:val="bottom"/>
            </w:pPr>
            <w:r>
              <w:t>1996</w:t>
            </w:r>
            <w:r>
              <w:rPr>
                <w:rFonts w:hint="eastAsia"/>
              </w:rPr>
              <w:t>年</w:t>
            </w:r>
          </w:p>
        </w:tc>
        <w:tc>
          <w:tcPr>
            <w:tcW w:w="1602" w:type="dxa"/>
          </w:tcPr>
          <w:p w:rsidR="00000000" w:rsidRDefault="00000000">
            <w:pPr>
              <w:autoSpaceDE w:val="0"/>
              <w:autoSpaceDN w:val="0"/>
              <w:spacing w:line="400" w:lineRule="exact"/>
              <w:textAlignment w:val="bottom"/>
            </w:pPr>
            <w:r>
              <w:t>1997</w:t>
            </w:r>
            <w:r>
              <w:rPr>
                <w:rFonts w:hint="eastAsia"/>
              </w:rPr>
              <w:t>年</w:t>
            </w:r>
          </w:p>
        </w:tc>
      </w:tr>
      <w:tr w:rsidR="00000000">
        <w:tblPrEx>
          <w:tblCellMar>
            <w:top w:w="0" w:type="dxa"/>
            <w:bottom w:w="0" w:type="dxa"/>
          </w:tblCellMar>
        </w:tblPrEx>
        <w:tc>
          <w:tcPr>
            <w:tcW w:w="3508" w:type="dxa"/>
          </w:tcPr>
          <w:p w:rsidR="00000000" w:rsidRDefault="00000000">
            <w:pPr>
              <w:autoSpaceDE w:val="0"/>
              <w:autoSpaceDN w:val="0"/>
              <w:spacing w:line="400" w:lineRule="exact"/>
              <w:ind w:firstLine="425"/>
              <w:textAlignment w:val="bottom"/>
            </w:pPr>
            <w:r>
              <w:rPr>
                <w:rFonts w:hint="eastAsia"/>
              </w:rPr>
              <w:t>初等教育</w:t>
            </w:r>
          </w:p>
        </w:tc>
        <w:tc>
          <w:tcPr>
            <w:tcW w:w="1602" w:type="dxa"/>
          </w:tcPr>
          <w:p w:rsidR="00000000" w:rsidRDefault="00000000">
            <w:pPr>
              <w:autoSpaceDE w:val="0"/>
              <w:autoSpaceDN w:val="0"/>
              <w:spacing w:line="400" w:lineRule="exact"/>
              <w:textAlignment w:val="bottom"/>
            </w:pPr>
            <w:r>
              <w:t>14</w:t>
            </w:r>
          </w:p>
        </w:tc>
        <w:tc>
          <w:tcPr>
            <w:tcW w:w="1602" w:type="dxa"/>
          </w:tcPr>
          <w:p w:rsidR="00000000" w:rsidRDefault="00000000">
            <w:pPr>
              <w:autoSpaceDE w:val="0"/>
              <w:autoSpaceDN w:val="0"/>
              <w:spacing w:line="400" w:lineRule="exact"/>
              <w:textAlignment w:val="bottom"/>
            </w:pPr>
            <w:r>
              <w:t>13</w:t>
            </w:r>
          </w:p>
        </w:tc>
        <w:tc>
          <w:tcPr>
            <w:tcW w:w="1602" w:type="dxa"/>
          </w:tcPr>
          <w:p w:rsidR="00000000" w:rsidRDefault="00000000">
            <w:pPr>
              <w:autoSpaceDE w:val="0"/>
              <w:autoSpaceDN w:val="0"/>
              <w:spacing w:line="400" w:lineRule="exact"/>
              <w:textAlignment w:val="bottom"/>
            </w:pPr>
            <w:r>
              <w:t>13</w:t>
            </w:r>
          </w:p>
        </w:tc>
        <w:tc>
          <w:tcPr>
            <w:tcW w:w="1602" w:type="dxa"/>
          </w:tcPr>
          <w:p w:rsidR="00000000" w:rsidRDefault="00000000">
            <w:pPr>
              <w:autoSpaceDE w:val="0"/>
              <w:autoSpaceDN w:val="0"/>
              <w:spacing w:line="400" w:lineRule="exact"/>
              <w:textAlignment w:val="bottom"/>
            </w:pPr>
            <w:r>
              <w:t>13</w:t>
            </w:r>
          </w:p>
        </w:tc>
      </w:tr>
      <w:tr w:rsidR="00000000">
        <w:tblPrEx>
          <w:tblCellMar>
            <w:top w:w="0" w:type="dxa"/>
            <w:bottom w:w="0" w:type="dxa"/>
          </w:tblCellMar>
        </w:tblPrEx>
        <w:tc>
          <w:tcPr>
            <w:tcW w:w="3508" w:type="dxa"/>
          </w:tcPr>
          <w:p w:rsidR="00000000" w:rsidRDefault="00000000">
            <w:pPr>
              <w:autoSpaceDE w:val="0"/>
              <w:autoSpaceDN w:val="0"/>
              <w:spacing w:line="400" w:lineRule="exact"/>
              <w:ind w:firstLine="425"/>
              <w:textAlignment w:val="bottom"/>
            </w:pPr>
            <w:r>
              <w:rPr>
                <w:rFonts w:hint="eastAsia"/>
              </w:rPr>
              <w:t>特殊教育</w:t>
            </w:r>
          </w:p>
        </w:tc>
        <w:tc>
          <w:tcPr>
            <w:tcW w:w="1602" w:type="dxa"/>
          </w:tcPr>
          <w:p w:rsidR="00000000" w:rsidRDefault="00000000">
            <w:pPr>
              <w:autoSpaceDE w:val="0"/>
              <w:autoSpaceDN w:val="0"/>
              <w:spacing w:line="400" w:lineRule="exact"/>
              <w:textAlignment w:val="bottom"/>
            </w:pPr>
            <w:r>
              <w:t>8</w:t>
            </w:r>
          </w:p>
        </w:tc>
        <w:tc>
          <w:tcPr>
            <w:tcW w:w="1602" w:type="dxa"/>
          </w:tcPr>
          <w:p w:rsidR="00000000" w:rsidRDefault="00000000">
            <w:pPr>
              <w:autoSpaceDE w:val="0"/>
              <w:autoSpaceDN w:val="0"/>
              <w:spacing w:line="400" w:lineRule="exact"/>
              <w:textAlignment w:val="bottom"/>
            </w:pPr>
            <w:r>
              <w:t>8</w:t>
            </w:r>
          </w:p>
        </w:tc>
        <w:tc>
          <w:tcPr>
            <w:tcW w:w="1602" w:type="dxa"/>
          </w:tcPr>
          <w:p w:rsidR="00000000" w:rsidRDefault="00000000">
            <w:pPr>
              <w:autoSpaceDE w:val="0"/>
              <w:autoSpaceDN w:val="0"/>
              <w:spacing w:line="400" w:lineRule="exact"/>
              <w:textAlignment w:val="bottom"/>
            </w:pPr>
            <w:r>
              <w:t>9</w:t>
            </w:r>
          </w:p>
        </w:tc>
        <w:tc>
          <w:tcPr>
            <w:tcW w:w="1602" w:type="dxa"/>
          </w:tcPr>
          <w:p w:rsidR="00000000" w:rsidRDefault="00000000">
            <w:pPr>
              <w:autoSpaceDE w:val="0"/>
              <w:autoSpaceDN w:val="0"/>
              <w:spacing w:line="400" w:lineRule="exact"/>
              <w:textAlignment w:val="bottom"/>
            </w:pPr>
            <w:r>
              <w:t>9</w:t>
            </w:r>
          </w:p>
        </w:tc>
      </w:tr>
      <w:tr w:rsidR="00000000">
        <w:tblPrEx>
          <w:tblCellMar>
            <w:top w:w="0" w:type="dxa"/>
            <w:bottom w:w="0" w:type="dxa"/>
          </w:tblCellMar>
        </w:tblPrEx>
        <w:tc>
          <w:tcPr>
            <w:tcW w:w="3508" w:type="dxa"/>
          </w:tcPr>
          <w:p w:rsidR="00000000" w:rsidRDefault="00000000">
            <w:pPr>
              <w:autoSpaceDE w:val="0"/>
              <w:autoSpaceDN w:val="0"/>
              <w:spacing w:line="400" w:lineRule="exact"/>
              <w:ind w:firstLine="425"/>
              <w:textAlignment w:val="bottom"/>
            </w:pPr>
            <w:r>
              <w:rPr>
                <w:rFonts w:hint="eastAsia"/>
              </w:rPr>
              <w:t>中等教育</w:t>
            </w:r>
          </w:p>
        </w:tc>
        <w:tc>
          <w:tcPr>
            <w:tcW w:w="1602" w:type="dxa"/>
          </w:tcPr>
          <w:p w:rsidR="00000000" w:rsidRDefault="00000000">
            <w:pPr>
              <w:autoSpaceDE w:val="0"/>
              <w:autoSpaceDN w:val="0"/>
              <w:spacing w:line="400" w:lineRule="exact"/>
              <w:textAlignment w:val="bottom"/>
            </w:pPr>
            <w:r>
              <w:t>6</w:t>
            </w:r>
          </w:p>
        </w:tc>
        <w:tc>
          <w:tcPr>
            <w:tcW w:w="1602" w:type="dxa"/>
          </w:tcPr>
          <w:p w:rsidR="00000000" w:rsidRDefault="00000000">
            <w:pPr>
              <w:autoSpaceDE w:val="0"/>
              <w:autoSpaceDN w:val="0"/>
              <w:spacing w:line="400" w:lineRule="exact"/>
              <w:textAlignment w:val="bottom"/>
            </w:pPr>
            <w:r>
              <w:t>7</w:t>
            </w:r>
          </w:p>
        </w:tc>
        <w:tc>
          <w:tcPr>
            <w:tcW w:w="1602" w:type="dxa"/>
          </w:tcPr>
          <w:p w:rsidR="00000000" w:rsidRDefault="00000000">
            <w:pPr>
              <w:autoSpaceDE w:val="0"/>
              <w:autoSpaceDN w:val="0"/>
              <w:spacing w:line="400" w:lineRule="exact"/>
              <w:textAlignment w:val="bottom"/>
            </w:pPr>
            <w:r>
              <w:t>7</w:t>
            </w:r>
          </w:p>
        </w:tc>
        <w:tc>
          <w:tcPr>
            <w:tcW w:w="1602" w:type="dxa"/>
          </w:tcPr>
          <w:p w:rsidR="00000000" w:rsidRDefault="00000000">
            <w:pPr>
              <w:autoSpaceDE w:val="0"/>
              <w:autoSpaceDN w:val="0"/>
              <w:spacing w:line="400" w:lineRule="exact"/>
              <w:textAlignment w:val="bottom"/>
            </w:pPr>
            <w:r>
              <w:t>7</w:t>
            </w:r>
          </w:p>
        </w:tc>
      </w:tr>
      <w:tr w:rsidR="00000000">
        <w:tblPrEx>
          <w:tblCellMar>
            <w:top w:w="0" w:type="dxa"/>
            <w:bottom w:w="0" w:type="dxa"/>
          </w:tblCellMar>
        </w:tblPrEx>
        <w:tc>
          <w:tcPr>
            <w:tcW w:w="3508" w:type="dxa"/>
          </w:tcPr>
          <w:p w:rsidR="00000000" w:rsidRDefault="00000000">
            <w:pPr>
              <w:autoSpaceDE w:val="0"/>
              <w:autoSpaceDN w:val="0"/>
              <w:spacing w:line="400" w:lineRule="exact"/>
              <w:ind w:firstLine="425"/>
              <w:textAlignment w:val="bottom"/>
            </w:pPr>
            <w:r>
              <w:rPr>
                <w:rFonts w:hint="eastAsia"/>
              </w:rPr>
              <w:t>职业</w:t>
            </w:r>
            <w:r>
              <w:t>/</w:t>
            </w:r>
            <w:r>
              <w:rPr>
                <w:rFonts w:hint="eastAsia"/>
              </w:rPr>
              <w:t>成人教育</w:t>
            </w:r>
          </w:p>
        </w:tc>
        <w:tc>
          <w:tcPr>
            <w:tcW w:w="1602" w:type="dxa"/>
          </w:tcPr>
          <w:p w:rsidR="00000000" w:rsidRDefault="00000000">
            <w:pPr>
              <w:autoSpaceDE w:val="0"/>
              <w:autoSpaceDN w:val="0"/>
              <w:spacing w:line="400" w:lineRule="exact"/>
              <w:textAlignment w:val="bottom"/>
            </w:pPr>
            <w:r>
              <w:t>21</w:t>
            </w:r>
          </w:p>
        </w:tc>
        <w:tc>
          <w:tcPr>
            <w:tcW w:w="1602" w:type="dxa"/>
          </w:tcPr>
          <w:p w:rsidR="00000000" w:rsidRDefault="00000000">
            <w:pPr>
              <w:autoSpaceDE w:val="0"/>
              <w:autoSpaceDN w:val="0"/>
              <w:spacing w:line="400" w:lineRule="exact"/>
              <w:textAlignment w:val="bottom"/>
            </w:pPr>
            <w:r>
              <w:t>24</w:t>
            </w:r>
          </w:p>
        </w:tc>
        <w:tc>
          <w:tcPr>
            <w:tcW w:w="1602" w:type="dxa"/>
          </w:tcPr>
          <w:p w:rsidR="00000000" w:rsidRDefault="00000000">
            <w:pPr>
              <w:autoSpaceDE w:val="0"/>
              <w:autoSpaceDN w:val="0"/>
              <w:spacing w:line="400" w:lineRule="exact"/>
              <w:textAlignment w:val="bottom"/>
            </w:pPr>
            <w:r>
              <w:t>-</w:t>
            </w:r>
          </w:p>
        </w:tc>
        <w:tc>
          <w:tcPr>
            <w:tcW w:w="1602" w:type="dxa"/>
          </w:tcPr>
          <w:p w:rsidR="00000000" w:rsidRDefault="00000000">
            <w:pPr>
              <w:autoSpaceDE w:val="0"/>
              <w:autoSpaceDN w:val="0"/>
              <w:spacing w:line="400" w:lineRule="exact"/>
              <w:textAlignment w:val="bottom"/>
            </w:pPr>
            <w:r>
              <w:t>26</w:t>
            </w:r>
          </w:p>
        </w:tc>
      </w:tr>
      <w:tr w:rsidR="00000000">
        <w:tblPrEx>
          <w:tblCellMar>
            <w:top w:w="0" w:type="dxa"/>
            <w:bottom w:w="0" w:type="dxa"/>
          </w:tblCellMar>
        </w:tblPrEx>
        <w:tc>
          <w:tcPr>
            <w:tcW w:w="3508" w:type="dxa"/>
          </w:tcPr>
          <w:p w:rsidR="00000000" w:rsidRDefault="00000000">
            <w:pPr>
              <w:autoSpaceDE w:val="0"/>
              <w:autoSpaceDN w:val="0"/>
              <w:spacing w:after="240" w:line="400" w:lineRule="exact"/>
              <w:ind w:firstLine="425"/>
              <w:textAlignment w:val="bottom"/>
            </w:pPr>
            <w:r>
              <w:rPr>
                <w:rFonts w:hint="eastAsia"/>
              </w:rPr>
              <w:t>高等职业教育</w:t>
            </w:r>
          </w:p>
        </w:tc>
        <w:tc>
          <w:tcPr>
            <w:tcW w:w="1602" w:type="dxa"/>
          </w:tcPr>
          <w:p w:rsidR="00000000" w:rsidRDefault="00000000">
            <w:pPr>
              <w:autoSpaceDE w:val="0"/>
              <w:autoSpaceDN w:val="0"/>
              <w:spacing w:after="240" w:line="400" w:lineRule="exact"/>
              <w:textAlignment w:val="bottom"/>
            </w:pPr>
            <w:r>
              <w:t>9</w:t>
            </w:r>
          </w:p>
        </w:tc>
        <w:tc>
          <w:tcPr>
            <w:tcW w:w="1602" w:type="dxa"/>
          </w:tcPr>
          <w:p w:rsidR="00000000" w:rsidRDefault="00000000">
            <w:pPr>
              <w:autoSpaceDE w:val="0"/>
              <w:autoSpaceDN w:val="0"/>
              <w:spacing w:after="240" w:line="400" w:lineRule="exact"/>
              <w:textAlignment w:val="bottom"/>
            </w:pPr>
            <w:r>
              <w:t>10</w:t>
            </w:r>
          </w:p>
        </w:tc>
        <w:tc>
          <w:tcPr>
            <w:tcW w:w="1602" w:type="dxa"/>
          </w:tcPr>
          <w:p w:rsidR="00000000" w:rsidRDefault="00000000">
            <w:pPr>
              <w:autoSpaceDE w:val="0"/>
              <w:autoSpaceDN w:val="0"/>
              <w:spacing w:after="240" w:line="400" w:lineRule="exact"/>
              <w:textAlignment w:val="bottom"/>
            </w:pPr>
            <w:r>
              <w:t>12</w:t>
            </w:r>
          </w:p>
        </w:tc>
        <w:tc>
          <w:tcPr>
            <w:tcW w:w="1602" w:type="dxa"/>
          </w:tcPr>
          <w:p w:rsidR="00000000" w:rsidRDefault="00000000">
            <w:pPr>
              <w:autoSpaceDE w:val="0"/>
              <w:autoSpaceDN w:val="0"/>
              <w:spacing w:after="240" w:line="400" w:lineRule="exact"/>
              <w:textAlignment w:val="bottom"/>
            </w:pPr>
            <w:r>
              <w:t>15</w:t>
            </w:r>
          </w:p>
        </w:tc>
      </w:tr>
    </w:tbl>
    <w:p w:rsidR="00000000" w:rsidRDefault="00000000">
      <w:pPr>
        <w:autoSpaceDE w:val="0"/>
        <w:autoSpaceDN w:val="0"/>
        <w:spacing w:after="240" w:line="400" w:lineRule="exact"/>
        <w:ind w:firstLine="425"/>
        <w:textAlignment w:val="bottom"/>
      </w:pPr>
      <w:r>
        <w:rPr>
          <w:rFonts w:hint="eastAsia"/>
        </w:rPr>
        <w:t>资料来源：</w:t>
      </w:r>
      <w:r>
        <w:t>CASO/RAHO</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表</w:t>
      </w:r>
      <w:r>
        <w:rPr>
          <w:rFonts w:ascii="楷体" w:eastAsia="楷体"/>
        </w:rPr>
        <w:t>8.4  1993-1997</w:t>
      </w:r>
      <w:r>
        <w:rPr>
          <w:rFonts w:ascii="楷体" w:eastAsia="楷体" w:hint="eastAsia"/>
        </w:rPr>
        <w:t>年女副校长的百分比</w:t>
      </w:r>
    </w:p>
    <w:tbl>
      <w:tblPr>
        <w:tblW w:w="0" w:type="auto"/>
        <w:tblLayout w:type="fixed"/>
        <w:tblCellMar>
          <w:left w:w="28" w:type="dxa"/>
          <w:right w:w="28" w:type="dxa"/>
        </w:tblCellMar>
        <w:tblLook w:val="0000" w:firstRow="0" w:lastRow="0" w:firstColumn="0" w:lastColumn="0" w:noHBand="0" w:noVBand="0"/>
      </w:tblPr>
      <w:tblGrid>
        <w:gridCol w:w="3508"/>
        <w:gridCol w:w="1602"/>
        <w:gridCol w:w="1602"/>
        <w:gridCol w:w="1602"/>
        <w:gridCol w:w="1602"/>
      </w:tblGrid>
      <w:tr w:rsidR="00000000">
        <w:tblPrEx>
          <w:tblCellMar>
            <w:top w:w="0" w:type="dxa"/>
            <w:bottom w:w="0" w:type="dxa"/>
          </w:tblCellMar>
        </w:tblPrEx>
        <w:tc>
          <w:tcPr>
            <w:tcW w:w="3508" w:type="dxa"/>
          </w:tcPr>
          <w:p w:rsidR="00000000" w:rsidRDefault="00000000">
            <w:pPr>
              <w:autoSpaceDE w:val="0"/>
              <w:autoSpaceDN w:val="0"/>
              <w:spacing w:line="400" w:lineRule="exact"/>
              <w:ind w:firstLine="425"/>
              <w:textAlignment w:val="bottom"/>
            </w:pPr>
          </w:p>
        </w:tc>
        <w:tc>
          <w:tcPr>
            <w:tcW w:w="1602" w:type="dxa"/>
          </w:tcPr>
          <w:p w:rsidR="00000000" w:rsidRDefault="00000000">
            <w:pPr>
              <w:autoSpaceDE w:val="0"/>
              <w:autoSpaceDN w:val="0"/>
              <w:spacing w:line="400" w:lineRule="exact"/>
              <w:textAlignment w:val="bottom"/>
            </w:pPr>
            <w:r>
              <w:t>%</w:t>
            </w:r>
          </w:p>
        </w:tc>
        <w:tc>
          <w:tcPr>
            <w:tcW w:w="1602" w:type="dxa"/>
          </w:tcPr>
          <w:p w:rsidR="00000000" w:rsidRDefault="00000000">
            <w:pPr>
              <w:autoSpaceDE w:val="0"/>
              <w:autoSpaceDN w:val="0"/>
              <w:spacing w:line="400" w:lineRule="exact"/>
              <w:textAlignment w:val="bottom"/>
            </w:pPr>
            <w:r>
              <w:t>%</w:t>
            </w:r>
          </w:p>
        </w:tc>
        <w:tc>
          <w:tcPr>
            <w:tcW w:w="1602" w:type="dxa"/>
          </w:tcPr>
          <w:p w:rsidR="00000000" w:rsidRDefault="00000000">
            <w:pPr>
              <w:autoSpaceDE w:val="0"/>
              <w:autoSpaceDN w:val="0"/>
              <w:spacing w:line="400" w:lineRule="exact"/>
              <w:textAlignment w:val="bottom"/>
            </w:pPr>
            <w:r>
              <w:t>%</w:t>
            </w:r>
          </w:p>
        </w:tc>
        <w:tc>
          <w:tcPr>
            <w:tcW w:w="1602" w:type="dxa"/>
          </w:tcPr>
          <w:p w:rsidR="00000000" w:rsidRDefault="00000000">
            <w:pPr>
              <w:autoSpaceDE w:val="0"/>
              <w:autoSpaceDN w:val="0"/>
              <w:spacing w:line="400" w:lineRule="exact"/>
              <w:textAlignment w:val="bottom"/>
            </w:pPr>
            <w:r>
              <w:t>%</w:t>
            </w:r>
          </w:p>
        </w:tc>
      </w:tr>
      <w:tr w:rsidR="00000000">
        <w:tblPrEx>
          <w:tblCellMar>
            <w:top w:w="0" w:type="dxa"/>
            <w:bottom w:w="0" w:type="dxa"/>
          </w:tblCellMar>
        </w:tblPrEx>
        <w:tc>
          <w:tcPr>
            <w:tcW w:w="3508" w:type="dxa"/>
          </w:tcPr>
          <w:p w:rsidR="00000000" w:rsidRDefault="00000000">
            <w:pPr>
              <w:autoSpaceDE w:val="0"/>
              <w:autoSpaceDN w:val="0"/>
              <w:spacing w:line="400" w:lineRule="exact"/>
              <w:ind w:firstLine="425"/>
              <w:textAlignment w:val="bottom"/>
            </w:pPr>
          </w:p>
        </w:tc>
        <w:tc>
          <w:tcPr>
            <w:tcW w:w="1602" w:type="dxa"/>
          </w:tcPr>
          <w:p w:rsidR="00000000" w:rsidRDefault="00000000">
            <w:pPr>
              <w:autoSpaceDE w:val="0"/>
              <w:autoSpaceDN w:val="0"/>
              <w:spacing w:line="400" w:lineRule="exact"/>
              <w:textAlignment w:val="bottom"/>
            </w:pPr>
            <w:r>
              <w:t>1993</w:t>
            </w:r>
            <w:r>
              <w:rPr>
                <w:rFonts w:hint="eastAsia"/>
              </w:rPr>
              <w:t>年</w:t>
            </w:r>
          </w:p>
        </w:tc>
        <w:tc>
          <w:tcPr>
            <w:tcW w:w="1602" w:type="dxa"/>
          </w:tcPr>
          <w:p w:rsidR="00000000" w:rsidRDefault="00000000">
            <w:pPr>
              <w:autoSpaceDE w:val="0"/>
              <w:autoSpaceDN w:val="0"/>
              <w:spacing w:line="400" w:lineRule="exact"/>
              <w:textAlignment w:val="bottom"/>
            </w:pPr>
            <w:r>
              <w:t>1995</w:t>
            </w:r>
            <w:r>
              <w:rPr>
                <w:rFonts w:hint="eastAsia"/>
              </w:rPr>
              <w:t>年</w:t>
            </w:r>
          </w:p>
        </w:tc>
        <w:tc>
          <w:tcPr>
            <w:tcW w:w="1602" w:type="dxa"/>
          </w:tcPr>
          <w:p w:rsidR="00000000" w:rsidRDefault="00000000">
            <w:pPr>
              <w:autoSpaceDE w:val="0"/>
              <w:autoSpaceDN w:val="0"/>
              <w:spacing w:line="400" w:lineRule="exact"/>
              <w:textAlignment w:val="bottom"/>
            </w:pPr>
            <w:r>
              <w:t>1996</w:t>
            </w:r>
            <w:r>
              <w:rPr>
                <w:rFonts w:hint="eastAsia"/>
              </w:rPr>
              <w:t>年</w:t>
            </w:r>
          </w:p>
        </w:tc>
        <w:tc>
          <w:tcPr>
            <w:tcW w:w="1602" w:type="dxa"/>
          </w:tcPr>
          <w:p w:rsidR="00000000" w:rsidRDefault="00000000">
            <w:pPr>
              <w:autoSpaceDE w:val="0"/>
              <w:autoSpaceDN w:val="0"/>
              <w:spacing w:line="400" w:lineRule="exact"/>
              <w:textAlignment w:val="bottom"/>
            </w:pPr>
            <w:r>
              <w:t>1997</w:t>
            </w:r>
            <w:r>
              <w:rPr>
                <w:rFonts w:hint="eastAsia"/>
              </w:rPr>
              <w:t>年</w:t>
            </w:r>
          </w:p>
        </w:tc>
      </w:tr>
      <w:tr w:rsidR="00000000">
        <w:tblPrEx>
          <w:tblCellMar>
            <w:top w:w="0" w:type="dxa"/>
            <w:bottom w:w="0" w:type="dxa"/>
          </w:tblCellMar>
        </w:tblPrEx>
        <w:tc>
          <w:tcPr>
            <w:tcW w:w="3508" w:type="dxa"/>
          </w:tcPr>
          <w:p w:rsidR="00000000" w:rsidRDefault="00000000">
            <w:pPr>
              <w:autoSpaceDE w:val="0"/>
              <w:autoSpaceDN w:val="0"/>
              <w:spacing w:line="400" w:lineRule="exact"/>
              <w:ind w:firstLine="425"/>
              <w:textAlignment w:val="bottom"/>
            </w:pPr>
            <w:r>
              <w:rPr>
                <w:rFonts w:hint="eastAsia"/>
              </w:rPr>
              <w:t>初等教育</w:t>
            </w:r>
          </w:p>
        </w:tc>
        <w:tc>
          <w:tcPr>
            <w:tcW w:w="1602" w:type="dxa"/>
          </w:tcPr>
          <w:p w:rsidR="00000000" w:rsidRDefault="00000000">
            <w:pPr>
              <w:autoSpaceDE w:val="0"/>
              <w:autoSpaceDN w:val="0"/>
              <w:spacing w:line="400" w:lineRule="exact"/>
              <w:textAlignment w:val="bottom"/>
            </w:pPr>
            <w:r>
              <w:t>50</w:t>
            </w:r>
          </w:p>
        </w:tc>
        <w:tc>
          <w:tcPr>
            <w:tcW w:w="1602" w:type="dxa"/>
          </w:tcPr>
          <w:p w:rsidR="00000000" w:rsidRDefault="00000000">
            <w:pPr>
              <w:autoSpaceDE w:val="0"/>
              <w:autoSpaceDN w:val="0"/>
              <w:spacing w:line="400" w:lineRule="exact"/>
              <w:textAlignment w:val="bottom"/>
            </w:pPr>
            <w:r>
              <w:t>48</w:t>
            </w:r>
          </w:p>
        </w:tc>
        <w:tc>
          <w:tcPr>
            <w:tcW w:w="1602" w:type="dxa"/>
          </w:tcPr>
          <w:p w:rsidR="00000000" w:rsidRDefault="00000000">
            <w:pPr>
              <w:autoSpaceDE w:val="0"/>
              <w:autoSpaceDN w:val="0"/>
              <w:spacing w:line="400" w:lineRule="exact"/>
              <w:textAlignment w:val="bottom"/>
            </w:pPr>
            <w:r>
              <w:t>47</w:t>
            </w:r>
          </w:p>
        </w:tc>
        <w:tc>
          <w:tcPr>
            <w:tcW w:w="1602" w:type="dxa"/>
          </w:tcPr>
          <w:p w:rsidR="00000000" w:rsidRDefault="00000000">
            <w:pPr>
              <w:autoSpaceDE w:val="0"/>
              <w:autoSpaceDN w:val="0"/>
              <w:spacing w:line="400" w:lineRule="exact"/>
              <w:textAlignment w:val="bottom"/>
            </w:pPr>
            <w:r>
              <w:t>46</w:t>
            </w:r>
          </w:p>
        </w:tc>
      </w:tr>
      <w:tr w:rsidR="00000000">
        <w:tblPrEx>
          <w:tblCellMar>
            <w:top w:w="0" w:type="dxa"/>
            <w:bottom w:w="0" w:type="dxa"/>
          </w:tblCellMar>
        </w:tblPrEx>
        <w:tc>
          <w:tcPr>
            <w:tcW w:w="3508" w:type="dxa"/>
          </w:tcPr>
          <w:p w:rsidR="00000000" w:rsidRDefault="00000000">
            <w:pPr>
              <w:autoSpaceDE w:val="0"/>
              <w:autoSpaceDN w:val="0"/>
              <w:spacing w:line="400" w:lineRule="exact"/>
              <w:ind w:firstLine="425"/>
              <w:textAlignment w:val="bottom"/>
            </w:pPr>
            <w:r>
              <w:rPr>
                <w:rFonts w:hint="eastAsia"/>
              </w:rPr>
              <w:t>特殊教育</w:t>
            </w:r>
          </w:p>
        </w:tc>
        <w:tc>
          <w:tcPr>
            <w:tcW w:w="1602" w:type="dxa"/>
          </w:tcPr>
          <w:p w:rsidR="00000000" w:rsidRDefault="00000000">
            <w:pPr>
              <w:autoSpaceDE w:val="0"/>
              <w:autoSpaceDN w:val="0"/>
              <w:spacing w:line="400" w:lineRule="exact"/>
              <w:textAlignment w:val="bottom"/>
            </w:pPr>
            <w:r>
              <w:t>19</w:t>
            </w:r>
          </w:p>
        </w:tc>
        <w:tc>
          <w:tcPr>
            <w:tcW w:w="1602" w:type="dxa"/>
          </w:tcPr>
          <w:p w:rsidR="00000000" w:rsidRDefault="00000000">
            <w:pPr>
              <w:autoSpaceDE w:val="0"/>
              <w:autoSpaceDN w:val="0"/>
              <w:spacing w:line="400" w:lineRule="exact"/>
              <w:textAlignment w:val="bottom"/>
            </w:pPr>
            <w:r>
              <w:t>21</w:t>
            </w:r>
          </w:p>
        </w:tc>
        <w:tc>
          <w:tcPr>
            <w:tcW w:w="1602" w:type="dxa"/>
          </w:tcPr>
          <w:p w:rsidR="00000000" w:rsidRDefault="00000000">
            <w:pPr>
              <w:autoSpaceDE w:val="0"/>
              <w:autoSpaceDN w:val="0"/>
              <w:spacing w:line="400" w:lineRule="exact"/>
              <w:textAlignment w:val="bottom"/>
            </w:pPr>
            <w:r>
              <w:t>20</w:t>
            </w:r>
          </w:p>
        </w:tc>
        <w:tc>
          <w:tcPr>
            <w:tcW w:w="1602" w:type="dxa"/>
          </w:tcPr>
          <w:p w:rsidR="00000000" w:rsidRDefault="00000000">
            <w:pPr>
              <w:autoSpaceDE w:val="0"/>
              <w:autoSpaceDN w:val="0"/>
              <w:spacing w:line="400" w:lineRule="exact"/>
              <w:textAlignment w:val="bottom"/>
            </w:pPr>
            <w:r>
              <w:t>21</w:t>
            </w:r>
          </w:p>
        </w:tc>
      </w:tr>
      <w:tr w:rsidR="00000000">
        <w:tblPrEx>
          <w:tblCellMar>
            <w:top w:w="0" w:type="dxa"/>
            <w:bottom w:w="0" w:type="dxa"/>
          </w:tblCellMar>
        </w:tblPrEx>
        <w:tc>
          <w:tcPr>
            <w:tcW w:w="3508" w:type="dxa"/>
          </w:tcPr>
          <w:p w:rsidR="00000000" w:rsidRDefault="00000000">
            <w:pPr>
              <w:autoSpaceDE w:val="0"/>
              <w:autoSpaceDN w:val="0"/>
              <w:spacing w:line="400" w:lineRule="exact"/>
              <w:ind w:firstLine="425"/>
              <w:textAlignment w:val="bottom"/>
            </w:pPr>
            <w:r>
              <w:rPr>
                <w:rFonts w:hint="eastAsia"/>
              </w:rPr>
              <w:t>中等教育</w:t>
            </w:r>
          </w:p>
        </w:tc>
        <w:tc>
          <w:tcPr>
            <w:tcW w:w="1602" w:type="dxa"/>
          </w:tcPr>
          <w:p w:rsidR="00000000" w:rsidRDefault="00000000">
            <w:pPr>
              <w:autoSpaceDE w:val="0"/>
              <w:autoSpaceDN w:val="0"/>
              <w:spacing w:line="400" w:lineRule="exact"/>
              <w:textAlignment w:val="bottom"/>
            </w:pPr>
            <w:r>
              <w:t>11</w:t>
            </w:r>
          </w:p>
        </w:tc>
        <w:tc>
          <w:tcPr>
            <w:tcW w:w="1602" w:type="dxa"/>
          </w:tcPr>
          <w:p w:rsidR="00000000" w:rsidRDefault="00000000">
            <w:pPr>
              <w:autoSpaceDE w:val="0"/>
              <w:autoSpaceDN w:val="0"/>
              <w:spacing w:line="400" w:lineRule="exact"/>
              <w:textAlignment w:val="bottom"/>
            </w:pPr>
            <w:r>
              <w:t>11</w:t>
            </w:r>
          </w:p>
        </w:tc>
        <w:tc>
          <w:tcPr>
            <w:tcW w:w="1602" w:type="dxa"/>
          </w:tcPr>
          <w:p w:rsidR="00000000" w:rsidRDefault="00000000">
            <w:pPr>
              <w:autoSpaceDE w:val="0"/>
              <w:autoSpaceDN w:val="0"/>
              <w:spacing w:line="400" w:lineRule="exact"/>
              <w:textAlignment w:val="bottom"/>
            </w:pPr>
            <w:r>
              <w:t>12</w:t>
            </w:r>
          </w:p>
        </w:tc>
        <w:tc>
          <w:tcPr>
            <w:tcW w:w="1602" w:type="dxa"/>
          </w:tcPr>
          <w:p w:rsidR="00000000" w:rsidRDefault="00000000">
            <w:pPr>
              <w:autoSpaceDE w:val="0"/>
              <w:autoSpaceDN w:val="0"/>
              <w:spacing w:line="400" w:lineRule="exact"/>
              <w:textAlignment w:val="bottom"/>
            </w:pPr>
            <w:r>
              <w:t>12</w:t>
            </w:r>
          </w:p>
        </w:tc>
      </w:tr>
      <w:tr w:rsidR="00000000">
        <w:tblPrEx>
          <w:tblCellMar>
            <w:top w:w="0" w:type="dxa"/>
            <w:bottom w:w="0" w:type="dxa"/>
          </w:tblCellMar>
        </w:tblPrEx>
        <w:tc>
          <w:tcPr>
            <w:tcW w:w="3508" w:type="dxa"/>
          </w:tcPr>
          <w:p w:rsidR="00000000" w:rsidRDefault="00000000">
            <w:pPr>
              <w:autoSpaceDE w:val="0"/>
              <w:autoSpaceDN w:val="0"/>
              <w:spacing w:after="240" w:line="400" w:lineRule="exact"/>
              <w:ind w:firstLine="425"/>
              <w:textAlignment w:val="bottom"/>
            </w:pPr>
            <w:r>
              <w:rPr>
                <w:rFonts w:hint="eastAsia"/>
              </w:rPr>
              <w:t>职业</w:t>
            </w:r>
            <w:r>
              <w:t>/</w:t>
            </w:r>
            <w:r>
              <w:rPr>
                <w:rFonts w:hint="eastAsia"/>
              </w:rPr>
              <w:t>成人教育</w:t>
            </w:r>
          </w:p>
        </w:tc>
        <w:tc>
          <w:tcPr>
            <w:tcW w:w="1602" w:type="dxa"/>
          </w:tcPr>
          <w:p w:rsidR="00000000" w:rsidRDefault="00000000">
            <w:pPr>
              <w:autoSpaceDE w:val="0"/>
              <w:autoSpaceDN w:val="0"/>
              <w:spacing w:after="240" w:line="400" w:lineRule="exact"/>
              <w:textAlignment w:val="bottom"/>
            </w:pPr>
            <w:r>
              <w:t>39</w:t>
            </w:r>
          </w:p>
        </w:tc>
        <w:tc>
          <w:tcPr>
            <w:tcW w:w="1602" w:type="dxa"/>
          </w:tcPr>
          <w:p w:rsidR="00000000" w:rsidRDefault="00000000">
            <w:pPr>
              <w:autoSpaceDE w:val="0"/>
              <w:autoSpaceDN w:val="0"/>
              <w:spacing w:after="240" w:line="400" w:lineRule="exact"/>
              <w:textAlignment w:val="bottom"/>
            </w:pPr>
            <w:r>
              <w:t>43</w:t>
            </w:r>
          </w:p>
        </w:tc>
        <w:tc>
          <w:tcPr>
            <w:tcW w:w="1602" w:type="dxa"/>
          </w:tcPr>
          <w:p w:rsidR="00000000" w:rsidRDefault="00000000">
            <w:pPr>
              <w:autoSpaceDE w:val="0"/>
              <w:autoSpaceDN w:val="0"/>
              <w:spacing w:after="240" w:line="400" w:lineRule="exact"/>
              <w:textAlignment w:val="bottom"/>
            </w:pPr>
            <w:r>
              <w:t>-</w:t>
            </w:r>
          </w:p>
        </w:tc>
        <w:tc>
          <w:tcPr>
            <w:tcW w:w="1602" w:type="dxa"/>
          </w:tcPr>
          <w:p w:rsidR="00000000" w:rsidRDefault="00000000">
            <w:pPr>
              <w:autoSpaceDE w:val="0"/>
              <w:autoSpaceDN w:val="0"/>
              <w:spacing w:after="240" w:line="400" w:lineRule="exact"/>
              <w:textAlignment w:val="bottom"/>
            </w:pPr>
            <w:r>
              <w:t>46</w:t>
            </w:r>
          </w:p>
        </w:tc>
      </w:tr>
    </w:tbl>
    <w:p w:rsidR="00000000" w:rsidRDefault="00000000">
      <w:pPr>
        <w:autoSpaceDE w:val="0"/>
        <w:autoSpaceDN w:val="0"/>
        <w:spacing w:after="240" w:line="400" w:lineRule="exact"/>
        <w:ind w:firstLine="425"/>
        <w:textAlignment w:val="bottom"/>
      </w:pPr>
      <w:r>
        <w:rPr>
          <w:rFonts w:hint="eastAsia"/>
        </w:rPr>
        <w:t>资料来源：</w:t>
      </w:r>
      <w:r>
        <w:t>CASO/RAHO</w:t>
      </w:r>
    </w:p>
    <w:p w:rsidR="00000000" w:rsidRDefault="00000000">
      <w:pPr>
        <w:autoSpaceDE w:val="0"/>
        <w:autoSpaceDN w:val="0"/>
        <w:spacing w:after="240" w:line="400" w:lineRule="exact"/>
        <w:ind w:firstLine="425"/>
        <w:textAlignment w:val="bottom"/>
      </w:pPr>
      <w:r>
        <w:rPr>
          <w:rFonts w:hint="eastAsia"/>
        </w:rPr>
        <w:t>初等教育女副校长比例高可能是过去</w:t>
      </w:r>
      <w:r>
        <w:t>10</w:t>
      </w:r>
      <w:r>
        <w:rPr>
          <w:rFonts w:hint="eastAsia"/>
        </w:rPr>
        <w:t>年中老式小学与幼儿园合并的结果。在许多情况下，老式小学校长成为新合并后学校的校长，幼儿园园长成为副校长。过去的幼儿园主要由妇女管理。由于从副领导职位妇女的数量中可看到微弱下降趋势，有必要保持警惕。一度曾有过职业教育与成人教育合并后出现管理职位妇女人数下降的危险。为了制止这种威胁，在</w:t>
      </w:r>
      <w:r>
        <w:t>1995</w:t>
      </w:r>
      <w:r>
        <w:rPr>
          <w:rFonts w:hint="eastAsia"/>
        </w:rPr>
        <w:t>和</w:t>
      </w:r>
      <w:r>
        <w:t>1996</w:t>
      </w:r>
      <w:r>
        <w:rPr>
          <w:rFonts w:hint="eastAsia"/>
        </w:rPr>
        <w:t>年实施了区域培训中心资源方案。该方案提供财政奖励，以任命妇女担任合并后学院董事会或中央管理部门的工作。任命妇女担任这类职务而且还有积极行动计划的学院可以得到</w:t>
      </w:r>
      <w:r>
        <w:t>30</w:t>
      </w:r>
      <w:r>
        <w:rPr>
          <w:rFonts w:hint="eastAsia"/>
        </w:rPr>
        <w:t>万荷兰盾的补贴。可是只有少数学院利用了这个方案。</w:t>
      </w:r>
    </w:p>
    <w:p w:rsidR="00000000" w:rsidRDefault="00000000">
      <w:pPr>
        <w:autoSpaceDE w:val="0"/>
        <w:autoSpaceDN w:val="0"/>
        <w:spacing w:after="240" w:line="400" w:lineRule="exact"/>
        <w:ind w:firstLine="425"/>
        <w:textAlignment w:val="bottom"/>
        <w:rPr>
          <w:rFonts w:ascii="楷体" w:eastAsia="楷体"/>
        </w:rPr>
      </w:pPr>
      <w:r>
        <w:br w:type="page"/>
      </w:r>
      <w:r>
        <w:rPr>
          <w:rFonts w:ascii="楷体" w:eastAsia="楷体" w:hint="eastAsia"/>
        </w:rPr>
        <w:t>表</w:t>
      </w:r>
      <w:r>
        <w:rPr>
          <w:rFonts w:ascii="楷体" w:eastAsia="楷体"/>
        </w:rPr>
        <w:t>8.5  1992-1996</w:t>
      </w:r>
      <w:r>
        <w:rPr>
          <w:rFonts w:ascii="楷体" w:eastAsia="楷体" w:hint="eastAsia"/>
        </w:rPr>
        <w:t>年大学教育和研究部门的妇女百分比</w:t>
      </w:r>
    </w:p>
    <w:tbl>
      <w:tblPr>
        <w:tblW w:w="0" w:type="auto"/>
        <w:tblLayout w:type="fixed"/>
        <w:tblCellMar>
          <w:left w:w="28" w:type="dxa"/>
          <w:right w:w="28" w:type="dxa"/>
        </w:tblCellMar>
        <w:tblLook w:val="0000" w:firstRow="0" w:lastRow="0" w:firstColumn="0" w:lastColumn="0" w:noHBand="0" w:noVBand="0"/>
      </w:tblPr>
      <w:tblGrid>
        <w:gridCol w:w="3508"/>
        <w:gridCol w:w="1602"/>
        <w:gridCol w:w="1602"/>
        <w:gridCol w:w="1602"/>
        <w:gridCol w:w="1602"/>
      </w:tblGrid>
      <w:tr w:rsidR="00000000">
        <w:tblPrEx>
          <w:tblCellMar>
            <w:top w:w="0" w:type="dxa"/>
            <w:bottom w:w="0" w:type="dxa"/>
          </w:tblCellMar>
        </w:tblPrEx>
        <w:tc>
          <w:tcPr>
            <w:tcW w:w="3508" w:type="dxa"/>
          </w:tcPr>
          <w:p w:rsidR="00000000" w:rsidRDefault="00000000">
            <w:pPr>
              <w:autoSpaceDE w:val="0"/>
              <w:autoSpaceDN w:val="0"/>
              <w:spacing w:line="400" w:lineRule="exact"/>
              <w:ind w:firstLine="425"/>
              <w:textAlignment w:val="bottom"/>
            </w:pPr>
          </w:p>
        </w:tc>
        <w:tc>
          <w:tcPr>
            <w:tcW w:w="1602" w:type="dxa"/>
          </w:tcPr>
          <w:p w:rsidR="00000000" w:rsidRDefault="00000000">
            <w:pPr>
              <w:autoSpaceDE w:val="0"/>
              <w:autoSpaceDN w:val="0"/>
              <w:spacing w:line="400" w:lineRule="exact"/>
              <w:textAlignment w:val="bottom"/>
            </w:pPr>
            <w:r>
              <w:t>%</w:t>
            </w:r>
          </w:p>
        </w:tc>
        <w:tc>
          <w:tcPr>
            <w:tcW w:w="1602" w:type="dxa"/>
          </w:tcPr>
          <w:p w:rsidR="00000000" w:rsidRDefault="00000000">
            <w:pPr>
              <w:autoSpaceDE w:val="0"/>
              <w:autoSpaceDN w:val="0"/>
              <w:spacing w:line="400" w:lineRule="exact"/>
              <w:textAlignment w:val="bottom"/>
            </w:pPr>
            <w:r>
              <w:t>%</w:t>
            </w:r>
          </w:p>
        </w:tc>
        <w:tc>
          <w:tcPr>
            <w:tcW w:w="1602" w:type="dxa"/>
          </w:tcPr>
          <w:p w:rsidR="00000000" w:rsidRDefault="00000000">
            <w:pPr>
              <w:autoSpaceDE w:val="0"/>
              <w:autoSpaceDN w:val="0"/>
              <w:spacing w:line="400" w:lineRule="exact"/>
              <w:textAlignment w:val="bottom"/>
            </w:pPr>
            <w:r>
              <w:t>%</w:t>
            </w:r>
          </w:p>
        </w:tc>
        <w:tc>
          <w:tcPr>
            <w:tcW w:w="1602" w:type="dxa"/>
          </w:tcPr>
          <w:p w:rsidR="00000000" w:rsidRDefault="00000000">
            <w:pPr>
              <w:autoSpaceDE w:val="0"/>
              <w:autoSpaceDN w:val="0"/>
              <w:spacing w:line="400" w:lineRule="exact"/>
              <w:textAlignment w:val="bottom"/>
            </w:pPr>
            <w:r>
              <w:t>%</w:t>
            </w:r>
          </w:p>
        </w:tc>
      </w:tr>
      <w:tr w:rsidR="00000000">
        <w:tblPrEx>
          <w:tblCellMar>
            <w:top w:w="0" w:type="dxa"/>
            <w:bottom w:w="0" w:type="dxa"/>
          </w:tblCellMar>
        </w:tblPrEx>
        <w:tc>
          <w:tcPr>
            <w:tcW w:w="3508" w:type="dxa"/>
          </w:tcPr>
          <w:p w:rsidR="00000000" w:rsidRDefault="00000000">
            <w:pPr>
              <w:autoSpaceDE w:val="0"/>
              <w:autoSpaceDN w:val="0"/>
              <w:spacing w:line="400" w:lineRule="exact"/>
              <w:ind w:firstLine="425"/>
              <w:textAlignment w:val="bottom"/>
            </w:pPr>
          </w:p>
        </w:tc>
        <w:tc>
          <w:tcPr>
            <w:tcW w:w="1602" w:type="dxa"/>
          </w:tcPr>
          <w:p w:rsidR="00000000" w:rsidRDefault="00000000">
            <w:pPr>
              <w:autoSpaceDE w:val="0"/>
              <w:autoSpaceDN w:val="0"/>
              <w:spacing w:line="400" w:lineRule="exact"/>
              <w:textAlignment w:val="bottom"/>
            </w:pPr>
            <w:r>
              <w:t>1992</w:t>
            </w:r>
            <w:r>
              <w:rPr>
                <w:rFonts w:hint="eastAsia"/>
              </w:rPr>
              <w:t>年</w:t>
            </w:r>
          </w:p>
        </w:tc>
        <w:tc>
          <w:tcPr>
            <w:tcW w:w="1602" w:type="dxa"/>
          </w:tcPr>
          <w:p w:rsidR="00000000" w:rsidRDefault="00000000">
            <w:pPr>
              <w:autoSpaceDE w:val="0"/>
              <w:autoSpaceDN w:val="0"/>
              <w:spacing w:line="400" w:lineRule="exact"/>
              <w:textAlignment w:val="bottom"/>
            </w:pPr>
            <w:r>
              <w:t>1994</w:t>
            </w:r>
            <w:r>
              <w:rPr>
                <w:rFonts w:hint="eastAsia"/>
              </w:rPr>
              <w:t>年</w:t>
            </w:r>
          </w:p>
        </w:tc>
        <w:tc>
          <w:tcPr>
            <w:tcW w:w="1602" w:type="dxa"/>
          </w:tcPr>
          <w:p w:rsidR="00000000" w:rsidRDefault="00000000">
            <w:pPr>
              <w:autoSpaceDE w:val="0"/>
              <w:autoSpaceDN w:val="0"/>
              <w:spacing w:line="400" w:lineRule="exact"/>
              <w:textAlignment w:val="bottom"/>
            </w:pPr>
            <w:r>
              <w:t>1995</w:t>
            </w:r>
            <w:r>
              <w:rPr>
                <w:rFonts w:hint="eastAsia"/>
              </w:rPr>
              <w:t>年</w:t>
            </w:r>
          </w:p>
        </w:tc>
        <w:tc>
          <w:tcPr>
            <w:tcW w:w="1602" w:type="dxa"/>
          </w:tcPr>
          <w:p w:rsidR="00000000" w:rsidRDefault="00000000">
            <w:pPr>
              <w:autoSpaceDE w:val="0"/>
              <w:autoSpaceDN w:val="0"/>
              <w:spacing w:line="400" w:lineRule="exact"/>
              <w:textAlignment w:val="bottom"/>
            </w:pPr>
            <w:r>
              <w:t>1996</w:t>
            </w:r>
            <w:r>
              <w:rPr>
                <w:rFonts w:hint="eastAsia"/>
              </w:rPr>
              <w:t>年</w:t>
            </w:r>
          </w:p>
        </w:tc>
      </w:tr>
      <w:tr w:rsidR="00000000">
        <w:tblPrEx>
          <w:tblCellMar>
            <w:top w:w="0" w:type="dxa"/>
            <w:bottom w:w="0" w:type="dxa"/>
          </w:tblCellMar>
        </w:tblPrEx>
        <w:tc>
          <w:tcPr>
            <w:tcW w:w="3508" w:type="dxa"/>
          </w:tcPr>
          <w:p w:rsidR="00000000" w:rsidRDefault="00000000">
            <w:pPr>
              <w:autoSpaceDE w:val="0"/>
              <w:autoSpaceDN w:val="0"/>
              <w:spacing w:line="400" w:lineRule="exact"/>
              <w:ind w:firstLine="425"/>
              <w:textAlignment w:val="bottom"/>
            </w:pPr>
            <w:r>
              <w:rPr>
                <w:rFonts w:hint="eastAsia"/>
              </w:rPr>
              <w:t>教授</w:t>
            </w:r>
          </w:p>
        </w:tc>
        <w:tc>
          <w:tcPr>
            <w:tcW w:w="1602" w:type="dxa"/>
          </w:tcPr>
          <w:p w:rsidR="00000000" w:rsidRDefault="00000000">
            <w:pPr>
              <w:autoSpaceDE w:val="0"/>
              <w:autoSpaceDN w:val="0"/>
              <w:spacing w:line="400" w:lineRule="exact"/>
              <w:textAlignment w:val="bottom"/>
            </w:pPr>
            <w:r>
              <w:t>4</w:t>
            </w:r>
          </w:p>
        </w:tc>
        <w:tc>
          <w:tcPr>
            <w:tcW w:w="1602" w:type="dxa"/>
          </w:tcPr>
          <w:p w:rsidR="00000000" w:rsidRDefault="00000000">
            <w:pPr>
              <w:autoSpaceDE w:val="0"/>
              <w:autoSpaceDN w:val="0"/>
              <w:spacing w:line="400" w:lineRule="exact"/>
              <w:textAlignment w:val="bottom"/>
            </w:pPr>
            <w:r>
              <w:t>4</w:t>
            </w:r>
          </w:p>
        </w:tc>
        <w:tc>
          <w:tcPr>
            <w:tcW w:w="1602" w:type="dxa"/>
          </w:tcPr>
          <w:p w:rsidR="00000000" w:rsidRDefault="00000000">
            <w:pPr>
              <w:autoSpaceDE w:val="0"/>
              <w:autoSpaceDN w:val="0"/>
              <w:spacing w:line="400" w:lineRule="exact"/>
              <w:textAlignment w:val="bottom"/>
            </w:pPr>
            <w:r>
              <w:t>4</w:t>
            </w:r>
          </w:p>
        </w:tc>
        <w:tc>
          <w:tcPr>
            <w:tcW w:w="1602" w:type="dxa"/>
          </w:tcPr>
          <w:p w:rsidR="00000000" w:rsidRDefault="00000000">
            <w:pPr>
              <w:autoSpaceDE w:val="0"/>
              <w:autoSpaceDN w:val="0"/>
              <w:spacing w:line="400" w:lineRule="exact"/>
              <w:textAlignment w:val="bottom"/>
            </w:pPr>
            <w:r>
              <w:t>5</w:t>
            </w:r>
          </w:p>
        </w:tc>
      </w:tr>
      <w:tr w:rsidR="00000000">
        <w:tblPrEx>
          <w:tblCellMar>
            <w:top w:w="0" w:type="dxa"/>
            <w:bottom w:w="0" w:type="dxa"/>
          </w:tblCellMar>
        </w:tblPrEx>
        <w:tc>
          <w:tcPr>
            <w:tcW w:w="3508" w:type="dxa"/>
          </w:tcPr>
          <w:p w:rsidR="00000000" w:rsidRDefault="00000000">
            <w:pPr>
              <w:autoSpaceDE w:val="0"/>
              <w:autoSpaceDN w:val="0"/>
              <w:spacing w:line="400" w:lineRule="exact"/>
              <w:ind w:firstLine="425"/>
              <w:textAlignment w:val="bottom"/>
            </w:pPr>
            <w:r>
              <w:rPr>
                <w:rFonts w:hint="eastAsia"/>
              </w:rPr>
              <w:t>大学高级讲师</w:t>
            </w:r>
          </w:p>
        </w:tc>
        <w:tc>
          <w:tcPr>
            <w:tcW w:w="1602" w:type="dxa"/>
          </w:tcPr>
          <w:p w:rsidR="00000000" w:rsidRDefault="00000000">
            <w:pPr>
              <w:autoSpaceDE w:val="0"/>
              <w:autoSpaceDN w:val="0"/>
              <w:spacing w:line="400" w:lineRule="exact"/>
              <w:textAlignment w:val="bottom"/>
            </w:pPr>
            <w:r>
              <w:t>6</w:t>
            </w:r>
          </w:p>
        </w:tc>
        <w:tc>
          <w:tcPr>
            <w:tcW w:w="1602" w:type="dxa"/>
          </w:tcPr>
          <w:p w:rsidR="00000000" w:rsidRDefault="00000000">
            <w:pPr>
              <w:autoSpaceDE w:val="0"/>
              <w:autoSpaceDN w:val="0"/>
              <w:spacing w:line="400" w:lineRule="exact"/>
              <w:textAlignment w:val="bottom"/>
            </w:pPr>
            <w:r>
              <w:t>7</w:t>
            </w:r>
          </w:p>
        </w:tc>
        <w:tc>
          <w:tcPr>
            <w:tcW w:w="1602" w:type="dxa"/>
          </w:tcPr>
          <w:p w:rsidR="00000000" w:rsidRDefault="00000000">
            <w:pPr>
              <w:autoSpaceDE w:val="0"/>
              <w:autoSpaceDN w:val="0"/>
              <w:spacing w:line="400" w:lineRule="exact"/>
              <w:textAlignment w:val="bottom"/>
            </w:pPr>
            <w:r>
              <w:t>7</w:t>
            </w:r>
          </w:p>
        </w:tc>
        <w:tc>
          <w:tcPr>
            <w:tcW w:w="1602" w:type="dxa"/>
          </w:tcPr>
          <w:p w:rsidR="00000000" w:rsidRDefault="00000000">
            <w:pPr>
              <w:autoSpaceDE w:val="0"/>
              <w:autoSpaceDN w:val="0"/>
              <w:spacing w:line="400" w:lineRule="exact"/>
              <w:textAlignment w:val="bottom"/>
            </w:pPr>
            <w:r>
              <w:t>7</w:t>
            </w:r>
          </w:p>
        </w:tc>
      </w:tr>
      <w:tr w:rsidR="00000000">
        <w:tblPrEx>
          <w:tblCellMar>
            <w:top w:w="0" w:type="dxa"/>
            <w:bottom w:w="0" w:type="dxa"/>
          </w:tblCellMar>
        </w:tblPrEx>
        <w:tc>
          <w:tcPr>
            <w:tcW w:w="3508" w:type="dxa"/>
          </w:tcPr>
          <w:p w:rsidR="00000000" w:rsidRDefault="00000000">
            <w:pPr>
              <w:autoSpaceDE w:val="0"/>
              <w:autoSpaceDN w:val="0"/>
              <w:spacing w:line="400" w:lineRule="exact"/>
              <w:ind w:firstLine="425"/>
              <w:textAlignment w:val="bottom"/>
            </w:pPr>
            <w:r>
              <w:rPr>
                <w:rFonts w:hint="eastAsia"/>
              </w:rPr>
              <w:t>大学讲师</w:t>
            </w:r>
          </w:p>
        </w:tc>
        <w:tc>
          <w:tcPr>
            <w:tcW w:w="1602" w:type="dxa"/>
          </w:tcPr>
          <w:p w:rsidR="00000000" w:rsidRDefault="00000000">
            <w:pPr>
              <w:autoSpaceDE w:val="0"/>
              <w:autoSpaceDN w:val="0"/>
              <w:spacing w:line="400" w:lineRule="exact"/>
              <w:textAlignment w:val="bottom"/>
            </w:pPr>
            <w:r>
              <w:t>18</w:t>
            </w:r>
          </w:p>
        </w:tc>
        <w:tc>
          <w:tcPr>
            <w:tcW w:w="1602" w:type="dxa"/>
          </w:tcPr>
          <w:p w:rsidR="00000000" w:rsidRDefault="00000000">
            <w:pPr>
              <w:autoSpaceDE w:val="0"/>
              <w:autoSpaceDN w:val="0"/>
              <w:spacing w:line="400" w:lineRule="exact"/>
              <w:textAlignment w:val="bottom"/>
            </w:pPr>
            <w:r>
              <w:t>18</w:t>
            </w:r>
          </w:p>
        </w:tc>
        <w:tc>
          <w:tcPr>
            <w:tcW w:w="1602" w:type="dxa"/>
          </w:tcPr>
          <w:p w:rsidR="00000000" w:rsidRDefault="00000000">
            <w:pPr>
              <w:autoSpaceDE w:val="0"/>
              <w:autoSpaceDN w:val="0"/>
              <w:spacing w:line="400" w:lineRule="exact"/>
              <w:textAlignment w:val="bottom"/>
            </w:pPr>
            <w:r>
              <w:t>18</w:t>
            </w:r>
          </w:p>
        </w:tc>
        <w:tc>
          <w:tcPr>
            <w:tcW w:w="1602" w:type="dxa"/>
          </w:tcPr>
          <w:p w:rsidR="00000000" w:rsidRDefault="00000000">
            <w:pPr>
              <w:autoSpaceDE w:val="0"/>
              <w:autoSpaceDN w:val="0"/>
              <w:spacing w:line="400" w:lineRule="exact"/>
              <w:textAlignment w:val="bottom"/>
            </w:pPr>
            <w:r>
              <w:t>19</w:t>
            </w:r>
          </w:p>
        </w:tc>
      </w:tr>
      <w:tr w:rsidR="00000000">
        <w:tblPrEx>
          <w:tblCellMar>
            <w:top w:w="0" w:type="dxa"/>
            <w:bottom w:w="0" w:type="dxa"/>
          </w:tblCellMar>
        </w:tblPrEx>
        <w:tc>
          <w:tcPr>
            <w:tcW w:w="3508" w:type="dxa"/>
          </w:tcPr>
          <w:p w:rsidR="00000000" w:rsidRDefault="00000000">
            <w:pPr>
              <w:autoSpaceDE w:val="0"/>
              <w:autoSpaceDN w:val="0"/>
              <w:spacing w:line="400" w:lineRule="exact"/>
              <w:ind w:firstLine="425"/>
              <w:textAlignment w:val="bottom"/>
            </w:pPr>
            <w:r>
              <w:rPr>
                <w:rFonts w:hint="eastAsia"/>
              </w:rPr>
              <w:t>其他研究人员</w:t>
            </w:r>
          </w:p>
        </w:tc>
        <w:tc>
          <w:tcPr>
            <w:tcW w:w="1602" w:type="dxa"/>
          </w:tcPr>
          <w:p w:rsidR="00000000" w:rsidRDefault="00000000">
            <w:pPr>
              <w:autoSpaceDE w:val="0"/>
              <w:autoSpaceDN w:val="0"/>
              <w:spacing w:line="400" w:lineRule="exact"/>
              <w:textAlignment w:val="bottom"/>
            </w:pPr>
            <w:r>
              <w:t>31</w:t>
            </w:r>
          </w:p>
        </w:tc>
        <w:tc>
          <w:tcPr>
            <w:tcW w:w="1602" w:type="dxa"/>
          </w:tcPr>
          <w:p w:rsidR="00000000" w:rsidRDefault="00000000">
            <w:pPr>
              <w:autoSpaceDE w:val="0"/>
              <w:autoSpaceDN w:val="0"/>
              <w:spacing w:line="400" w:lineRule="exact"/>
              <w:textAlignment w:val="bottom"/>
            </w:pPr>
            <w:r>
              <w:t>33</w:t>
            </w:r>
          </w:p>
        </w:tc>
        <w:tc>
          <w:tcPr>
            <w:tcW w:w="1602" w:type="dxa"/>
          </w:tcPr>
          <w:p w:rsidR="00000000" w:rsidRDefault="00000000">
            <w:pPr>
              <w:autoSpaceDE w:val="0"/>
              <w:autoSpaceDN w:val="0"/>
              <w:spacing w:line="400" w:lineRule="exact"/>
              <w:textAlignment w:val="bottom"/>
            </w:pPr>
            <w:r>
              <w:t>33</w:t>
            </w:r>
          </w:p>
        </w:tc>
        <w:tc>
          <w:tcPr>
            <w:tcW w:w="1602" w:type="dxa"/>
          </w:tcPr>
          <w:p w:rsidR="00000000" w:rsidRDefault="00000000">
            <w:pPr>
              <w:autoSpaceDE w:val="0"/>
              <w:autoSpaceDN w:val="0"/>
              <w:spacing w:line="400" w:lineRule="exact"/>
              <w:textAlignment w:val="bottom"/>
            </w:pPr>
            <w:r>
              <w:t>45</w:t>
            </w:r>
          </w:p>
        </w:tc>
      </w:tr>
      <w:tr w:rsidR="00000000">
        <w:tblPrEx>
          <w:tblCellMar>
            <w:top w:w="0" w:type="dxa"/>
            <w:bottom w:w="0" w:type="dxa"/>
          </w:tblCellMar>
        </w:tblPrEx>
        <w:tc>
          <w:tcPr>
            <w:tcW w:w="3508" w:type="dxa"/>
          </w:tcPr>
          <w:p w:rsidR="00000000" w:rsidRDefault="00000000">
            <w:pPr>
              <w:autoSpaceDE w:val="0"/>
              <w:autoSpaceDN w:val="0"/>
              <w:spacing w:line="400" w:lineRule="exact"/>
              <w:ind w:firstLine="425"/>
              <w:textAlignment w:val="bottom"/>
            </w:pPr>
            <w:r>
              <w:rPr>
                <w:rFonts w:hint="eastAsia"/>
              </w:rPr>
              <w:t>博士学生</w:t>
            </w:r>
            <w:r>
              <w:t>/</w:t>
            </w:r>
            <w:r>
              <w:rPr>
                <w:rFonts w:hint="eastAsia"/>
              </w:rPr>
              <w:t>实习生</w:t>
            </w:r>
          </w:p>
        </w:tc>
        <w:tc>
          <w:tcPr>
            <w:tcW w:w="1602" w:type="dxa"/>
          </w:tcPr>
          <w:p w:rsidR="00000000" w:rsidRDefault="00000000">
            <w:pPr>
              <w:autoSpaceDE w:val="0"/>
              <w:autoSpaceDN w:val="0"/>
              <w:spacing w:line="400" w:lineRule="exact"/>
              <w:textAlignment w:val="bottom"/>
            </w:pPr>
            <w:r>
              <w:t>29</w:t>
            </w:r>
          </w:p>
        </w:tc>
        <w:tc>
          <w:tcPr>
            <w:tcW w:w="1602" w:type="dxa"/>
          </w:tcPr>
          <w:p w:rsidR="00000000" w:rsidRDefault="00000000">
            <w:pPr>
              <w:autoSpaceDE w:val="0"/>
              <w:autoSpaceDN w:val="0"/>
              <w:spacing w:line="400" w:lineRule="exact"/>
              <w:textAlignment w:val="bottom"/>
            </w:pPr>
            <w:r>
              <w:t>31</w:t>
            </w:r>
          </w:p>
        </w:tc>
        <w:tc>
          <w:tcPr>
            <w:tcW w:w="1602" w:type="dxa"/>
          </w:tcPr>
          <w:p w:rsidR="00000000" w:rsidRDefault="00000000">
            <w:pPr>
              <w:autoSpaceDE w:val="0"/>
              <w:autoSpaceDN w:val="0"/>
              <w:spacing w:line="400" w:lineRule="exact"/>
              <w:textAlignment w:val="bottom"/>
            </w:pPr>
            <w:r>
              <w:t>33</w:t>
            </w:r>
          </w:p>
        </w:tc>
        <w:tc>
          <w:tcPr>
            <w:tcW w:w="1602" w:type="dxa"/>
          </w:tcPr>
          <w:p w:rsidR="00000000" w:rsidRDefault="00000000">
            <w:pPr>
              <w:autoSpaceDE w:val="0"/>
              <w:autoSpaceDN w:val="0"/>
              <w:spacing w:line="400" w:lineRule="exact"/>
              <w:textAlignment w:val="bottom"/>
            </w:pPr>
            <w:r>
              <w:t>38</w:t>
            </w:r>
          </w:p>
        </w:tc>
      </w:tr>
      <w:tr w:rsidR="00000000">
        <w:tblPrEx>
          <w:tblCellMar>
            <w:top w:w="0" w:type="dxa"/>
            <w:bottom w:w="0" w:type="dxa"/>
          </w:tblCellMar>
        </w:tblPrEx>
        <w:tc>
          <w:tcPr>
            <w:tcW w:w="3508" w:type="dxa"/>
          </w:tcPr>
          <w:p w:rsidR="00000000" w:rsidRDefault="00000000">
            <w:pPr>
              <w:autoSpaceDE w:val="0"/>
              <w:autoSpaceDN w:val="0"/>
              <w:spacing w:after="240" w:line="400" w:lineRule="exact"/>
              <w:ind w:firstLine="425"/>
              <w:textAlignment w:val="bottom"/>
            </w:pPr>
            <w:r>
              <w:rPr>
                <w:rFonts w:hint="eastAsia"/>
              </w:rPr>
              <w:t>研究助理</w:t>
            </w:r>
          </w:p>
        </w:tc>
        <w:tc>
          <w:tcPr>
            <w:tcW w:w="1602" w:type="dxa"/>
          </w:tcPr>
          <w:p w:rsidR="00000000" w:rsidRDefault="00000000">
            <w:pPr>
              <w:autoSpaceDE w:val="0"/>
              <w:autoSpaceDN w:val="0"/>
              <w:spacing w:after="240" w:line="400" w:lineRule="exact"/>
              <w:textAlignment w:val="bottom"/>
            </w:pPr>
          </w:p>
        </w:tc>
        <w:tc>
          <w:tcPr>
            <w:tcW w:w="1602" w:type="dxa"/>
          </w:tcPr>
          <w:p w:rsidR="00000000" w:rsidRDefault="00000000">
            <w:pPr>
              <w:autoSpaceDE w:val="0"/>
              <w:autoSpaceDN w:val="0"/>
              <w:spacing w:after="240" w:line="400" w:lineRule="exact"/>
              <w:textAlignment w:val="bottom"/>
            </w:pPr>
          </w:p>
        </w:tc>
        <w:tc>
          <w:tcPr>
            <w:tcW w:w="1602" w:type="dxa"/>
          </w:tcPr>
          <w:p w:rsidR="00000000" w:rsidRDefault="00000000">
            <w:pPr>
              <w:autoSpaceDE w:val="0"/>
              <w:autoSpaceDN w:val="0"/>
              <w:spacing w:after="240" w:line="400" w:lineRule="exact"/>
              <w:textAlignment w:val="bottom"/>
            </w:pPr>
          </w:p>
        </w:tc>
        <w:tc>
          <w:tcPr>
            <w:tcW w:w="1602" w:type="dxa"/>
          </w:tcPr>
          <w:p w:rsidR="00000000" w:rsidRDefault="00000000">
            <w:pPr>
              <w:autoSpaceDE w:val="0"/>
              <w:autoSpaceDN w:val="0"/>
              <w:spacing w:after="240" w:line="400" w:lineRule="exact"/>
              <w:textAlignment w:val="bottom"/>
            </w:pPr>
          </w:p>
        </w:tc>
      </w:tr>
    </w:tbl>
    <w:p w:rsidR="00000000" w:rsidRDefault="00000000">
      <w:pPr>
        <w:autoSpaceDE w:val="0"/>
        <w:autoSpaceDN w:val="0"/>
        <w:spacing w:after="240" w:line="400" w:lineRule="exact"/>
        <w:ind w:firstLine="425"/>
        <w:textAlignment w:val="bottom"/>
      </w:pPr>
      <w:r>
        <w:rPr>
          <w:rFonts w:hint="eastAsia"/>
        </w:rPr>
        <w:t>资料来源：</w:t>
      </w:r>
      <w:r>
        <w:t>WOPI</w:t>
      </w:r>
    </w:p>
    <w:p w:rsidR="00000000" w:rsidRDefault="00000000">
      <w:pPr>
        <w:autoSpaceDE w:val="0"/>
        <w:autoSpaceDN w:val="0"/>
        <w:spacing w:after="240" w:line="400" w:lineRule="exact"/>
        <w:ind w:firstLine="425"/>
        <w:textAlignment w:val="bottom"/>
      </w:pPr>
      <w:r>
        <w:rPr>
          <w:rFonts w:hint="eastAsia"/>
        </w:rPr>
        <w:t>一般来说，多年来教育管理职位上妇女百分比的增长十分缓慢。当局每年公布这些数字是希望激励各机构采取行动。正是由于人们越来越认识到这个问题的复杂性并且对迄今为止的鼓励措施的结果感到不满才导致颁布了上述的《教育部门管理职位妇女比例代表制法》。该法要求教育机构主管当局最迟到</w:t>
      </w:r>
      <w:r>
        <w:t>1998</w:t>
      </w:r>
      <w:r>
        <w:rPr>
          <w:rFonts w:hint="eastAsia"/>
        </w:rPr>
        <w:t>年</w:t>
      </w:r>
      <w:r>
        <w:t>3</w:t>
      </w:r>
      <w:r>
        <w:rPr>
          <w:rFonts w:hint="eastAsia"/>
        </w:rPr>
        <w:t>月</w:t>
      </w:r>
      <w:r>
        <w:t>7</w:t>
      </w:r>
      <w:r>
        <w:rPr>
          <w:rFonts w:hint="eastAsia"/>
        </w:rPr>
        <w:t>日即该法生效一年后，编写一份文件说明该机构对妇女在管理职位的比例代表制的政策。该计划应包括四年时间并应有指标数字。为了鼓励各部门实施这部新法律，当局在</w:t>
      </w:r>
      <w:r>
        <w:t>1996</w:t>
      </w:r>
      <w:r>
        <w:rPr>
          <w:rFonts w:hint="eastAsia"/>
        </w:rPr>
        <w:t>年</w:t>
      </w:r>
      <w:r>
        <w:t>3</w:t>
      </w:r>
      <w:r>
        <w:rPr>
          <w:rFonts w:hint="eastAsia"/>
        </w:rPr>
        <w:t>月为奉行积极的妇女参与管理政策的初等、中等和职业或成人教育部门的学校或校董会设立了一个一年期奖励（</w:t>
      </w:r>
      <w:r>
        <w:t>Sapientia</w:t>
      </w:r>
      <w:r>
        <w:rPr>
          <w:rFonts w:hint="eastAsia"/>
        </w:rPr>
        <w:t>奖）。</w:t>
      </w:r>
    </w:p>
    <w:p w:rsidR="00000000" w:rsidRDefault="00000000">
      <w:pPr>
        <w:autoSpaceDE w:val="0"/>
        <w:autoSpaceDN w:val="0"/>
        <w:spacing w:after="240" w:line="400" w:lineRule="exact"/>
        <w:textAlignment w:val="bottom"/>
        <w:rPr>
          <w:rFonts w:ascii="SimHei" w:eastAsia="SimHei"/>
          <w:sz w:val="24"/>
        </w:rPr>
      </w:pPr>
      <w:r>
        <w:rPr>
          <w:rFonts w:ascii="SimHei" w:eastAsia="SimHei" w:hint="eastAsia"/>
          <w:sz w:val="24"/>
        </w:rPr>
        <w:t>第二级：走向多样性</w:t>
      </w:r>
    </w:p>
    <w:p w:rsidR="00000000" w:rsidRDefault="00000000">
      <w:pPr>
        <w:autoSpaceDE w:val="0"/>
        <w:autoSpaceDN w:val="0"/>
        <w:spacing w:after="240" w:line="400" w:lineRule="exact"/>
        <w:ind w:firstLine="425"/>
        <w:textAlignment w:val="bottom"/>
      </w:pPr>
      <w:r>
        <w:rPr>
          <w:rFonts w:hint="eastAsia"/>
        </w:rPr>
        <w:t>教育的实质是以一种使所有儿童为未来各种可能的前途做好准备的方式向他们提供机会和选择。关于这一点，有三个方面需要教育部门给予同样认真关注。在上述第二章叙述第二级时，这三个方面都被描述成生活的三个领域，当局认为在一个解放的社会中男子和妇女都应能够有效地参与这三个领域。关于教育，这三个方面的实质是个人应：</w:t>
      </w:r>
    </w:p>
    <w:p w:rsidR="00000000" w:rsidRDefault="00000000">
      <w:pPr>
        <w:autoSpaceDE w:val="0"/>
        <w:autoSpaceDN w:val="0"/>
        <w:spacing w:after="240" w:line="400" w:lineRule="exact"/>
        <w:ind w:firstLine="425"/>
        <w:textAlignment w:val="bottom"/>
      </w:pPr>
      <w:r>
        <w:t xml:space="preserve">*  </w:t>
      </w:r>
      <w:r>
        <w:rPr>
          <w:rFonts w:hint="eastAsia"/>
        </w:rPr>
        <w:t>通过获得可以充分发挥他们才能的良好起始资格来得到经济独立；</w:t>
      </w:r>
    </w:p>
    <w:p w:rsidR="00000000" w:rsidRDefault="00000000">
      <w:pPr>
        <w:autoSpaceDE w:val="0"/>
        <w:autoSpaceDN w:val="0"/>
        <w:spacing w:after="240" w:line="400" w:lineRule="exact"/>
        <w:ind w:firstLine="425"/>
        <w:textAlignment w:val="bottom"/>
      </w:pPr>
      <w:r>
        <w:t xml:space="preserve">*  </w:t>
      </w:r>
      <w:r>
        <w:rPr>
          <w:rFonts w:hint="eastAsia"/>
        </w:rPr>
        <w:t>能够独立照料自己和他人，有责任感并领悟助人为乐的道理；</w:t>
      </w:r>
    </w:p>
    <w:p w:rsidR="00000000" w:rsidRDefault="00000000">
      <w:pPr>
        <w:autoSpaceDE w:val="0"/>
        <w:autoSpaceDN w:val="0"/>
        <w:spacing w:after="240" w:line="400" w:lineRule="exact"/>
        <w:ind w:firstLine="425"/>
        <w:textAlignment w:val="bottom"/>
      </w:pPr>
      <w:r>
        <w:t xml:space="preserve">*  </w:t>
      </w:r>
      <w:r>
        <w:rPr>
          <w:rFonts w:hint="eastAsia"/>
        </w:rPr>
        <w:t>得到他们在社会行使职能所需要的技能，能够并愿意在社会上充分发挥作用。</w:t>
      </w:r>
    </w:p>
    <w:p w:rsidR="00000000" w:rsidRDefault="00000000">
      <w:pPr>
        <w:autoSpaceDE w:val="0"/>
        <w:autoSpaceDN w:val="0"/>
        <w:spacing w:after="240" w:line="400" w:lineRule="exact"/>
        <w:ind w:firstLine="425"/>
        <w:textAlignment w:val="bottom"/>
      </w:pPr>
      <w:r>
        <w:rPr>
          <w:rFonts w:hint="eastAsia"/>
        </w:rPr>
        <w:t>以下说明为实现上述目标而采取的一些措施。</w:t>
      </w:r>
    </w:p>
    <w:p w:rsidR="00000000" w:rsidRDefault="00000000">
      <w:pPr>
        <w:autoSpaceDE w:val="0"/>
        <w:autoSpaceDN w:val="0"/>
        <w:spacing w:after="240" w:line="400" w:lineRule="exact"/>
        <w:textAlignment w:val="bottom"/>
        <w:rPr>
          <w:rFonts w:ascii="楷体" w:eastAsia="楷体"/>
        </w:rPr>
      </w:pPr>
      <w:r>
        <w:rPr>
          <w:rFonts w:ascii="楷体" w:eastAsia="楷体" w:hint="eastAsia"/>
        </w:rPr>
        <w:t>确保女孩和男孩为各种可能的前途做好准备的政策措施</w:t>
      </w:r>
    </w:p>
    <w:p w:rsidR="00000000" w:rsidRDefault="00000000">
      <w:pPr>
        <w:autoSpaceDE w:val="0"/>
        <w:autoSpaceDN w:val="0"/>
        <w:spacing w:after="240" w:line="400" w:lineRule="exact"/>
        <w:ind w:firstLine="425"/>
        <w:textAlignment w:val="bottom"/>
      </w:pPr>
      <w:r>
        <w:rPr>
          <w:rFonts w:hint="eastAsia"/>
        </w:rPr>
        <w:t>在</w:t>
      </w:r>
      <w:r>
        <w:t>1993</w:t>
      </w:r>
      <w:r>
        <w:rPr>
          <w:rFonts w:hint="eastAsia"/>
        </w:rPr>
        <w:t>年的基础中学教育（中学教育第一阶段）的课程中安排了保育、技术及教育和职业指导课程。</w:t>
      </w:r>
    </w:p>
    <w:p w:rsidR="00000000" w:rsidRDefault="00000000">
      <w:pPr>
        <w:autoSpaceDE w:val="0"/>
        <w:autoSpaceDN w:val="0"/>
        <w:spacing w:after="240" w:line="400" w:lineRule="exact"/>
        <w:ind w:firstLine="425"/>
        <w:textAlignment w:val="bottom"/>
      </w:pPr>
      <w:r>
        <w:rPr>
          <w:rFonts w:hint="eastAsia"/>
        </w:rPr>
        <w:t>为提供普通高中教育和大学预科教育的更高形式学校拟订了四个新组合课程。其中一个是艺术组合课程、一个是社会科学组合课程，其他两个是科学组合课程。所有这些课程组合都把数学作为一部分。所教授的数学性质主要取决于组合课程的内容。这就意味着除了现有的应用数学变异（大纲</w:t>
      </w:r>
      <w:r>
        <w:t>A</w:t>
      </w:r>
      <w:r>
        <w:rPr>
          <w:rFonts w:hint="eastAsia"/>
        </w:rPr>
        <w:t>）和纯数学（大纲</w:t>
      </w:r>
      <w:r>
        <w:t>B</w:t>
      </w:r>
      <w:r>
        <w:rPr>
          <w:rFonts w:hint="eastAsia"/>
        </w:rPr>
        <w:t>）之外，现在又有第三个变异</w:t>
      </w:r>
      <w:r>
        <w:fldChar w:fldCharType="begin"/>
      </w:r>
      <w:r>
        <w:instrText>symbol 151 \f "Times New Roman"</w:instrText>
      </w:r>
      <w:r>
        <w:fldChar w:fldCharType="end"/>
      </w:r>
      <w:r>
        <w:rPr>
          <w:rFonts w:hint="eastAsia"/>
        </w:rPr>
        <w:t>大纲</w:t>
      </w:r>
      <w:r>
        <w:t>C</w:t>
      </w:r>
      <w:r>
        <w:rPr>
          <w:rFonts w:hint="eastAsia"/>
        </w:rPr>
        <w:t>。新的自然科学与技术以及自然科学与保健的组合课程预计会吸引更多女孩学习科学。尤其是后一组组合更是如此。正在考虑把同样措施用于普通初中教育和职业教育。</w:t>
      </w:r>
    </w:p>
    <w:p w:rsidR="00000000" w:rsidRDefault="00000000">
      <w:pPr>
        <w:autoSpaceDE w:val="0"/>
        <w:autoSpaceDN w:val="0"/>
        <w:spacing w:after="240" w:line="400" w:lineRule="exact"/>
        <w:ind w:firstLine="425"/>
        <w:textAlignment w:val="bottom"/>
      </w:pPr>
      <w:r>
        <w:rPr>
          <w:rFonts w:hint="eastAsia"/>
        </w:rPr>
        <w:t>已在职业和成人教育中启动一个‘技术监测’项目。顾名思义，这个项目涉及对学习技术课程的妇女和女孩的进步情况进行监测，以提高她们的成绩。正在鼓励小学也把技术作为全面课程的一部分。</w:t>
      </w:r>
    </w:p>
    <w:p w:rsidR="00000000" w:rsidRDefault="00000000">
      <w:pPr>
        <w:autoSpaceDE w:val="0"/>
        <w:autoSpaceDN w:val="0"/>
        <w:spacing w:after="240" w:line="400" w:lineRule="exact"/>
        <w:ind w:firstLine="425"/>
        <w:textAlignment w:val="bottom"/>
      </w:pPr>
      <w:r>
        <w:t>1996</w:t>
      </w:r>
      <w:r>
        <w:rPr>
          <w:rFonts w:hint="eastAsia"/>
        </w:rPr>
        <w:t>年公布的一个政策文件强调应更加注意使儿童对未来各种可能前途做好准备，注意从性别角度给予教育和职业指导。由教育、文化和科学部每年以多种语文公布的关于中学后教育的信息举例指出，技术和精密科学也会在女孩中受欢迎。</w:t>
      </w:r>
    </w:p>
    <w:p w:rsidR="00000000" w:rsidRDefault="00000000">
      <w:pPr>
        <w:autoSpaceDE w:val="0"/>
        <w:autoSpaceDN w:val="0"/>
        <w:spacing w:after="240" w:line="400" w:lineRule="exact"/>
        <w:textAlignment w:val="bottom"/>
        <w:rPr>
          <w:rFonts w:ascii="楷体" w:eastAsia="楷体"/>
        </w:rPr>
      </w:pPr>
      <w:r>
        <w:rPr>
          <w:rFonts w:ascii="楷体" w:eastAsia="楷体" w:hint="eastAsia"/>
        </w:rPr>
        <w:t>防止滥用权力地位的政策措施</w:t>
      </w:r>
    </w:p>
    <w:p w:rsidR="00000000" w:rsidRDefault="00000000">
      <w:pPr>
        <w:autoSpaceDE w:val="0"/>
        <w:autoSpaceDN w:val="0"/>
        <w:spacing w:after="240" w:line="400" w:lineRule="exact"/>
        <w:ind w:firstLine="425"/>
        <w:textAlignment w:val="bottom"/>
      </w:pPr>
      <w:r>
        <w:rPr>
          <w:rFonts w:hint="eastAsia"/>
        </w:rPr>
        <w:t>防止教师滥用权力的行动是教育、文化和科学部的主导政策。这包括防止在学校出现性骚扰的积极措施。第三章载有关于这个主题的一个报告。</w:t>
      </w:r>
    </w:p>
    <w:p w:rsidR="00000000" w:rsidRDefault="00000000">
      <w:pPr>
        <w:autoSpaceDE w:val="0"/>
        <w:autoSpaceDN w:val="0"/>
        <w:spacing w:after="240" w:line="400" w:lineRule="exact"/>
        <w:textAlignment w:val="bottom"/>
        <w:rPr>
          <w:rFonts w:ascii="楷体" w:eastAsia="楷体"/>
        </w:rPr>
      </w:pPr>
      <w:r>
        <w:rPr>
          <w:rFonts w:ascii="楷体" w:eastAsia="楷体" w:hint="eastAsia"/>
        </w:rPr>
        <w:t>性别影响评价的应用</w:t>
      </w:r>
    </w:p>
    <w:p w:rsidR="00000000" w:rsidRDefault="00000000">
      <w:pPr>
        <w:autoSpaceDE w:val="0"/>
        <w:autoSpaceDN w:val="0"/>
        <w:spacing w:after="240" w:line="400" w:lineRule="exact"/>
        <w:ind w:firstLine="425"/>
        <w:textAlignment w:val="bottom"/>
      </w:pPr>
      <w:r>
        <w:rPr>
          <w:rFonts w:hint="eastAsia"/>
        </w:rPr>
        <w:t>从</w:t>
      </w:r>
      <w:r>
        <w:t>1995</w:t>
      </w:r>
      <w:r>
        <w:rPr>
          <w:rFonts w:hint="eastAsia"/>
        </w:rPr>
        <w:t>年以来教育、文化和科学部一直在利用性别影响评价对有关妇女平等机会的重要政策建议的作用进行评价。性别影响评价的目的是为了确保政策建议不会不自觉和非蓄意地保护了性不平等和陈旧过时的角色模式。第二章详细论述了性别影响评价的发展情况。性别影响评价被应用于一个有关普通初中教育</w:t>
      </w:r>
      <w:r>
        <w:t>/</w:t>
      </w:r>
      <w:r>
        <w:rPr>
          <w:rFonts w:hint="eastAsia"/>
        </w:rPr>
        <w:t>职业前教育与后续教育连接的咨询报告，大学教育和研究计划，关于信息和通信技术的政策文件，以及关于对职业和成人教育资助方式的政策文件。利用性别影响评价的结果各不相同。作为一种工具它尚未成为决策过程中完全不可缺少的一部分。此外，把性别影响评价结果纳入主流政策也较困难。目前的主要好处是让决策人员更加了解他们过去认为属中性的政策的潜在性别影响。</w:t>
      </w:r>
    </w:p>
    <w:p w:rsidR="00000000" w:rsidRDefault="00000000">
      <w:pPr>
        <w:autoSpaceDE w:val="0"/>
        <w:autoSpaceDN w:val="0"/>
        <w:spacing w:after="240" w:line="400" w:lineRule="exact"/>
        <w:textAlignment w:val="bottom"/>
        <w:rPr>
          <w:rFonts w:ascii="楷体" w:eastAsia="楷体"/>
        </w:rPr>
      </w:pPr>
      <w:r>
        <w:rPr>
          <w:rFonts w:ascii="楷体" w:eastAsia="楷体"/>
        </w:rPr>
        <w:br w:type="page"/>
      </w:r>
      <w:r>
        <w:rPr>
          <w:rFonts w:ascii="楷体" w:eastAsia="楷体" w:hint="eastAsia"/>
        </w:rPr>
        <w:t>咨询委员会和机构中妇女的比例代表制</w:t>
      </w:r>
    </w:p>
    <w:p w:rsidR="00000000" w:rsidRDefault="00000000">
      <w:pPr>
        <w:autoSpaceDE w:val="0"/>
        <w:autoSpaceDN w:val="0"/>
        <w:spacing w:after="240" w:line="400" w:lineRule="exact"/>
        <w:ind w:firstLine="425"/>
        <w:textAlignment w:val="bottom"/>
      </w:pPr>
      <w:r>
        <w:rPr>
          <w:rFonts w:hint="eastAsia"/>
        </w:rPr>
        <w:t>教育、文化和科学部希望确保妇女在新近成立的咨询委员会和机构中占</w:t>
      </w:r>
      <w:r>
        <w:t>50%</w:t>
      </w:r>
      <w:r>
        <w:rPr>
          <w:rFonts w:hint="eastAsia"/>
        </w:rPr>
        <w:t>的席位。在一些委员会和董事会中已可看到这个政策的结果。例如在文化委员会、教育委员会、荷兰科学研究组织、教育研究方案委员会以及关于未来和学习重要性公众辩论前常务委员会成员中妇女几乎占</w:t>
      </w:r>
      <w:r>
        <w:t>50%</w:t>
      </w:r>
      <w:r>
        <w:rPr>
          <w:rFonts w:hint="eastAsia"/>
        </w:rPr>
        <w:t>。另外，最后两个组织都由妇女担任领导。</w:t>
      </w:r>
    </w:p>
    <w:p w:rsidR="00000000" w:rsidRDefault="00000000">
      <w:pPr>
        <w:autoSpaceDE w:val="0"/>
        <w:autoSpaceDN w:val="0"/>
        <w:spacing w:after="240" w:line="400" w:lineRule="exact"/>
        <w:textAlignment w:val="bottom"/>
        <w:rPr>
          <w:rFonts w:ascii="SimHei" w:eastAsia="SimHei"/>
          <w:sz w:val="24"/>
        </w:rPr>
      </w:pPr>
      <w:r>
        <w:rPr>
          <w:rFonts w:ascii="SimHei" w:eastAsia="SimHei" w:hint="eastAsia"/>
          <w:sz w:val="24"/>
        </w:rPr>
        <w:t>第三级：文化变革战略</w:t>
      </w:r>
    </w:p>
    <w:p w:rsidR="00000000" w:rsidRDefault="00000000">
      <w:pPr>
        <w:autoSpaceDE w:val="0"/>
        <w:autoSpaceDN w:val="0"/>
        <w:spacing w:after="240" w:line="400" w:lineRule="exact"/>
        <w:ind w:firstLine="425"/>
        <w:textAlignment w:val="bottom"/>
      </w:pPr>
      <w:r>
        <w:rPr>
          <w:rFonts w:hint="eastAsia"/>
        </w:rPr>
        <w:t>如今在荷兰不言而喻的是女孩尽量争取受最高等教育，以后找份好工作。荷兰的教育政策十分注意消除对男女作用的陈旧过时观点。实例包括修改教科书和课程以及调整教学方法。课程开发研究所正制订一个用于小学教育教学方法的指南。该指南的目的是使学校能够通过参考九项质量标准对现有教学方法的质量进行评估。标准之一为‘性别、作用和责任’。</w:t>
      </w:r>
    </w:p>
    <w:p w:rsidR="00000000" w:rsidRDefault="00000000">
      <w:pPr>
        <w:autoSpaceDE w:val="0"/>
        <w:autoSpaceDN w:val="0"/>
        <w:spacing w:after="240" w:line="400" w:lineRule="exact"/>
        <w:ind w:firstLine="425"/>
        <w:textAlignment w:val="bottom"/>
      </w:pPr>
      <w:r>
        <w:rPr>
          <w:rFonts w:hint="eastAsia"/>
        </w:rPr>
        <w:t>在拟订政策中使用性别影响评价当然有助于消除陈规旧俗。其最终目标应当是改变根本的社会文化，使人们能够不管性别、种族、性倾向、年龄、阶级、文化和宗教都做出自己的贡献。在荷兰法律已在某种程度上认识到必须消除在所有各级和各种形式的教育中对男女作用的陈旧观点。荷兰主张信念自由和组织教学自由。因此关于这个问题的法律规定总带有普遍性质。学校在如何安排它所提供的教育方面有广泛的斟酌决定权。例如，初等教育和基础教育中制订的要达到的指标就包括了解放指标。</w:t>
      </w:r>
    </w:p>
    <w:p w:rsidR="00000000" w:rsidRDefault="00000000">
      <w:pPr>
        <w:autoSpaceDE w:val="0"/>
        <w:autoSpaceDN w:val="0"/>
        <w:spacing w:after="240" w:line="400" w:lineRule="exact"/>
        <w:textAlignment w:val="bottom"/>
        <w:rPr>
          <w:rFonts w:ascii="SimHei" w:eastAsia="SimHei"/>
          <w:sz w:val="28"/>
        </w:rPr>
      </w:pPr>
      <w:r>
        <w:br w:type="page"/>
      </w:r>
      <w:r>
        <w:rPr>
          <w:rFonts w:ascii="SimHei" w:eastAsia="SimHei" w:hint="eastAsia"/>
          <w:sz w:val="28"/>
        </w:rPr>
        <w:t>第九章</w:t>
      </w:r>
      <w:r>
        <w:rPr>
          <w:rFonts w:ascii="SimHei" w:eastAsia="SimHei"/>
          <w:sz w:val="28"/>
        </w:rPr>
        <w:t xml:space="preserve">  </w:t>
      </w:r>
      <w:r>
        <w:rPr>
          <w:rFonts w:ascii="SimHei" w:eastAsia="SimHei" w:hint="eastAsia"/>
          <w:sz w:val="28"/>
        </w:rPr>
        <w:t>第</w:t>
      </w:r>
      <w:r>
        <w:rPr>
          <w:rFonts w:ascii="SimHei" w:eastAsia="SimHei"/>
          <w:sz w:val="28"/>
        </w:rPr>
        <w:t>11</w:t>
      </w:r>
      <w:r>
        <w:rPr>
          <w:rFonts w:ascii="SimHei" w:eastAsia="SimHei" w:hint="eastAsia"/>
          <w:sz w:val="28"/>
        </w:rPr>
        <w:t>条：就业</w:t>
      </w:r>
    </w:p>
    <w:p w:rsidR="00000000" w:rsidRDefault="00000000">
      <w:pPr>
        <w:autoSpaceDE w:val="0"/>
        <w:autoSpaceDN w:val="0"/>
        <w:spacing w:after="240" w:line="400" w:lineRule="exact"/>
        <w:ind w:firstLine="1080"/>
        <w:textAlignment w:val="bottom"/>
        <w:rPr>
          <w:rFonts w:ascii="SimHei" w:eastAsia="SimHei"/>
          <w:sz w:val="28"/>
        </w:rPr>
      </w:pPr>
      <w:r>
        <w:rPr>
          <w:rFonts w:ascii="SimHei" w:eastAsia="SimHei" w:hint="eastAsia"/>
          <w:sz w:val="28"/>
        </w:rPr>
        <w:t>第</w:t>
      </w:r>
      <w:r>
        <w:rPr>
          <w:rFonts w:ascii="SimHei" w:eastAsia="SimHei"/>
          <w:sz w:val="28"/>
        </w:rPr>
        <w:t>13(a)</w:t>
      </w:r>
      <w:r>
        <w:rPr>
          <w:rFonts w:ascii="SimHei" w:eastAsia="SimHei" w:hint="eastAsia"/>
          <w:sz w:val="28"/>
        </w:rPr>
        <w:t>和</w:t>
      </w:r>
      <w:r>
        <w:rPr>
          <w:rFonts w:ascii="SimHei" w:eastAsia="SimHei"/>
          <w:sz w:val="28"/>
        </w:rPr>
        <w:t>(b)</w:t>
      </w:r>
      <w:r>
        <w:rPr>
          <w:rFonts w:ascii="SimHei" w:eastAsia="SimHei" w:hint="eastAsia"/>
          <w:sz w:val="28"/>
        </w:rPr>
        <w:t>条：经济生活</w:t>
      </w:r>
    </w:p>
    <w:p w:rsidR="00000000" w:rsidRDefault="00000000">
      <w:pPr>
        <w:autoSpaceDE w:val="0"/>
        <w:autoSpaceDN w:val="0"/>
        <w:spacing w:after="240" w:line="400" w:lineRule="exact"/>
        <w:textAlignment w:val="bottom"/>
        <w:rPr>
          <w:rFonts w:ascii="SimHei" w:eastAsia="SimHei"/>
          <w:sz w:val="24"/>
        </w:rPr>
      </w:pPr>
      <w:r>
        <w:rPr>
          <w:rFonts w:ascii="SimHei" w:eastAsia="SimHei" w:hint="eastAsia"/>
          <w:sz w:val="24"/>
        </w:rPr>
        <w:t>第一级：状况和立法措施</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1(a)  </w:t>
      </w:r>
      <w:r>
        <w:rPr>
          <w:rFonts w:ascii="SimHei" w:eastAsia="SimHei" w:hint="eastAsia"/>
        </w:rPr>
        <w:t>状况</w:t>
      </w:r>
    </w:p>
    <w:p w:rsidR="00000000" w:rsidRDefault="00000000">
      <w:pPr>
        <w:autoSpaceDE w:val="0"/>
        <w:autoSpaceDN w:val="0"/>
        <w:spacing w:after="240" w:line="400" w:lineRule="exact"/>
        <w:ind w:firstLine="425"/>
        <w:textAlignment w:val="bottom"/>
      </w:pPr>
      <w:r>
        <w:rPr>
          <w:rFonts w:hint="eastAsia"/>
        </w:rPr>
        <w:t>近年来荷兰妇女的社会和经济状况发生了巨大的变化。这些变化的程度可首先从妇女外出工作的人数急剧增长看出。这些变化是与社会和就业部以及经济事务部的解放政策目标相一致的。它们是：</w:t>
      </w:r>
    </w:p>
    <w:p w:rsidR="00000000" w:rsidRDefault="00000000">
      <w:pPr>
        <w:autoSpaceDE w:val="0"/>
        <w:autoSpaceDN w:val="0"/>
        <w:spacing w:after="240" w:line="400" w:lineRule="exact"/>
        <w:ind w:firstLine="425"/>
        <w:textAlignment w:val="bottom"/>
      </w:pPr>
      <w:r>
        <w:t xml:space="preserve">*  </w:t>
      </w:r>
      <w:r>
        <w:rPr>
          <w:rFonts w:hint="eastAsia"/>
        </w:rPr>
        <w:t>更好地利用妇女的经济潜力；这包括采取具体的临时的措施，消除影响妇女比影响男子更大的就业障碍，从而增加妇女对经济活动的参与；为此目的当局正与商业、工业、社会伙伴以及中间机构密切合作；</w:t>
      </w:r>
    </w:p>
    <w:p w:rsidR="00000000" w:rsidRDefault="00000000">
      <w:pPr>
        <w:autoSpaceDE w:val="0"/>
        <w:autoSpaceDN w:val="0"/>
        <w:spacing w:after="240" w:line="400" w:lineRule="exact"/>
        <w:ind w:firstLine="425"/>
        <w:textAlignment w:val="bottom"/>
      </w:pPr>
      <w:r>
        <w:t xml:space="preserve">*  </w:t>
      </w:r>
      <w:r>
        <w:rPr>
          <w:rFonts w:hint="eastAsia"/>
        </w:rPr>
        <w:t>改善妇女在劳动市场的状况，以便她们能实现经济独立；</w:t>
      </w:r>
    </w:p>
    <w:p w:rsidR="00000000" w:rsidRDefault="00000000">
      <w:pPr>
        <w:autoSpaceDE w:val="0"/>
        <w:autoSpaceDN w:val="0"/>
        <w:spacing w:after="240" w:line="400" w:lineRule="exact"/>
        <w:ind w:firstLine="425"/>
        <w:textAlignment w:val="bottom"/>
      </w:pPr>
      <w:r>
        <w:t xml:space="preserve">*  </w:t>
      </w:r>
      <w:r>
        <w:rPr>
          <w:rFonts w:hint="eastAsia"/>
        </w:rPr>
        <w:t>扩大劳动和照管相结合的范围；</w:t>
      </w:r>
    </w:p>
    <w:p w:rsidR="00000000" w:rsidRDefault="00000000">
      <w:pPr>
        <w:autoSpaceDE w:val="0"/>
        <w:autoSpaceDN w:val="0"/>
        <w:spacing w:after="240" w:line="400" w:lineRule="exact"/>
        <w:ind w:firstLine="425"/>
        <w:textAlignment w:val="bottom"/>
      </w:pPr>
      <w:r>
        <w:t xml:space="preserve">*  </w:t>
      </w:r>
      <w:r>
        <w:rPr>
          <w:rFonts w:hint="eastAsia"/>
        </w:rPr>
        <w:t>改善妇女的劳动状况，包括她们的收入和社会保障权。</w:t>
      </w:r>
    </w:p>
    <w:p w:rsidR="00000000" w:rsidRDefault="00000000">
      <w:pPr>
        <w:autoSpaceDE w:val="0"/>
        <w:autoSpaceDN w:val="0"/>
        <w:spacing w:after="240" w:line="400" w:lineRule="exact"/>
        <w:ind w:firstLine="425"/>
        <w:textAlignment w:val="bottom"/>
      </w:pPr>
      <w:r>
        <w:rPr>
          <w:rFonts w:hint="eastAsia"/>
        </w:rPr>
        <w:t>对</w:t>
      </w:r>
      <w:r>
        <w:t>1990-1997</w:t>
      </w:r>
      <w:r>
        <w:rPr>
          <w:rFonts w:hint="eastAsia"/>
        </w:rPr>
        <w:t>年期间妇女在社会和经济状况方面的变化进行了各种调查研究。</w:t>
      </w:r>
      <w:r>
        <w:rPr>
          <w:rStyle w:val="FootnoteReference"/>
        </w:rPr>
        <w:footnoteReference w:customMarkFollows="1" w:id="31"/>
        <w:t>29</w:t>
      </w:r>
      <w:r>
        <w:rPr>
          <w:rFonts w:hint="eastAsia"/>
        </w:rPr>
        <w:t>这些研究还详细说明了在这期间有关就业方面采取的措施。其中的一些还提供了关于所采取的措施的效力和政策差距的资料。</w:t>
      </w:r>
      <w:r>
        <w:rPr>
          <w:rStyle w:val="FootnoteReference"/>
        </w:rPr>
        <w:footnoteReference w:customMarkFollows="1" w:id="32"/>
        <w:t>30</w:t>
      </w:r>
    </w:p>
    <w:p w:rsidR="00000000" w:rsidRDefault="00000000">
      <w:pPr>
        <w:autoSpaceDE w:val="0"/>
        <w:autoSpaceDN w:val="0"/>
        <w:spacing w:after="240" w:line="400" w:lineRule="exact"/>
        <w:ind w:firstLine="425"/>
        <w:textAlignment w:val="bottom"/>
      </w:pPr>
      <w:r>
        <w:rPr>
          <w:rFonts w:hint="eastAsia"/>
        </w:rPr>
        <w:t>近年来参加劳动大军的妇女人数仍在不断快速增加。在</w:t>
      </w:r>
      <w:r>
        <w:t>1960</w:t>
      </w:r>
      <w:r>
        <w:rPr>
          <w:rFonts w:hint="eastAsia"/>
        </w:rPr>
        <w:t>年每周工作</w:t>
      </w:r>
      <w:r>
        <w:t>12</w:t>
      </w:r>
      <w:r>
        <w:rPr>
          <w:rFonts w:hint="eastAsia"/>
        </w:rPr>
        <w:t>小时以上的妇女占</w:t>
      </w:r>
      <w:r>
        <w:t>23%</w:t>
      </w:r>
      <w:r>
        <w:rPr>
          <w:rFonts w:hint="eastAsia"/>
        </w:rPr>
        <w:t>（从纯数字看）。这个数字上升到</w:t>
      </w:r>
      <w:r>
        <w:t>1987</w:t>
      </w:r>
      <w:r>
        <w:rPr>
          <w:rFonts w:hint="eastAsia"/>
        </w:rPr>
        <w:t>年的</w:t>
      </w:r>
      <w:r>
        <w:t>35%</w:t>
      </w:r>
      <w:r>
        <w:rPr>
          <w:rFonts w:hint="eastAsia"/>
        </w:rPr>
        <w:t>和</w:t>
      </w:r>
      <w:r>
        <w:t>1995</w:t>
      </w:r>
      <w:r>
        <w:rPr>
          <w:rFonts w:hint="eastAsia"/>
        </w:rPr>
        <w:t>年的</w:t>
      </w:r>
      <w:r>
        <w:t>45%</w:t>
      </w:r>
      <w:r>
        <w:rPr>
          <w:rFonts w:hint="eastAsia"/>
        </w:rPr>
        <w:t>。此外还有另外</w:t>
      </w:r>
      <w:r>
        <w:t>10%</w:t>
      </w:r>
      <w:r>
        <w:rPr>
          <w:rFonts w:hint="eastAsia"/>
        </w:rPr>
        <w:t>女性劳动者工作不到</w:t>
      </w:r>
      <w:r>
        <w:t>12</w:t>
      </w:r>
      <w:r>
        <w:rPr>
          <w:rFonts w:hint="eastAsia"/>
        </w:rPr>
        <w:t>小时。预测显示外出参加工作的妇女人数将继续增加。由于性别之间已不存在教育程度的差别，因此男孩和女孩在劳动力市场上机会平等。但是在劳动力市场上男子和妇女之间仍然有某种职业隔离。</w:t>
      </w:r>
    </w:p>
    <w:p w:rsidR="00000000" w:rsidRDefault="00000000">
      <w:pPr>
        <w:autoSpaceDE w:val="0"/>
        <w:autoSpaceDN w:val="0"/>
        <w:spacing w:after="240" w:line="400" w:lineRule="exact"/>
        <w:ind w:firstLine="425"/>
        <w:textAlignment w:val="bottom"/>
      </w:pPr>
      <w:r>
        <w:rPr>
          <w:rFonts w:hint="eastAsia"/>
        </w:rPr>
        <w:t>对这些数字的分析表明，妇女参与劳动力市场的增加主要是由于有孩子的妇女对劳动的态度有所改变。正是在</w:t>
      </w:r>
      <w:r>
        <w:t>1990-1995</w:t>
      </w:r>
      <w:r>
        <w:rPr>
          <w:rFonts w:hint="eastAsia"/>
        </w:rPr>
        <w:t>年期间劳动母亲的数量增加最快。在这期间有零至五岁孩子的同居和已婚妇女的净参与人数增加了</w:t>
      </w:r>
      <w:r>
        <w:t>44.5%</w:t>
      </w:r>
      <w:r>
        <w:rPr>
          <w:rFonts w:hint="eastAsia"/>
        </w:rPr>
        <w:t>。如用绝对数字表示，这意味着</w:t>
      </w:r>
      <w:r>
        <w:t>1995</w:t>
      </w:r>
      <w:r>
        <w:rPr>
          <w:rFonts w:hint="eastAsia"/>
        </w:rPr>
        <w:t>年参加工作的有年幼孩子的妇女人数比</w:t>
      </w:r>
      <w:r>
        <w:t>1990</w:t>
      </w:r>
      <w:r>
        <w:rPr>
          <w:rFonts w:hint="eastAsia"/>
        </w:rPr>
        <w:t>年增加了一倍半以上。单身母亲外出工作的人数急剧增多也是令人吃惊的。</w:t>
      </w:r>
      <w:r>
        <w:t>1979-1981</w:t>
      </w:r>
      <w:r>
        <w:rPr>
          <w:rFonts w:hint="eastAsia"/>
        </w:rPr>
        <w:t>年期间生第一胎的劳动妇女</w:t>
      </w:r>
      <w:r>
        <w:t>20%</w:t>
      </w:r>
      <w:r>
        <w:rPr>
          <w:rFonts w:hint="eastAsia"/>
        </w:rPr>
        <w:t>继续工作。这个数字在</w:t>
      </w:r>
      <w:r>
        <w:t>1987-1989</w:t>
      </w:r>
      <w:r>
        <w:rPr>
          <w:rFonts w:hint="eastAsia"/>
        </w:rPr>
        <w:t>年期间上升到</w:t>
      </w:r>
      <w:r>
        <w:t>37%</w:t>
      </w:r>
      <w:r>
        <w:rPr>
          <w:rFonts w:hint="eastAsia"/>
        </w:rPr>
        <w:t>，</w:t>
      </w:r>
      <w:r>
        <w:t>1991-1992</w:t>
      </w:r>
      <w:r>
        <w:rPr>
          <w:rFonts w:hint="eastAsia"/>
        </w:rPr>
        <w:t>年期间为</w:t>
      </w:r>
      <w:r>
        <w:t>59%</w:t>
      </w:r>
      <w:r>
        <w:rPr>
          <w:rFonts w:hint="eastAsia"/>
        </w:rPr>
        <w:t>。这种趋势表明社会愈来愈接受外出工作的母亲。但是有子女对妇女参与劳动力市场仍然有影响：</w:t>
      </w:r>
      <w:r>
        <w:t>40</w:t>
      </w:r>
      <w:r>
        <w:rPr>
          <w:rFonts w:hint="eastAsia"/>
        </w:rPr>
        <w:t>岁以下有偿就业无子女妇女的百分比同年龄组有子女的百分比高出两倍多。这两个百分比在</w:t>
      </w:r>
      <w:r>
        <w:t>1995</w:t>
      </w:r>
      <w:r>
        <w:rPr>
          <w:rFonts w:hint="eastAsia"/>
        </w:rPr>
        <w:t>年分别为</w:t>
      </w:r>
      <w:r>
        <w:t>83%</w:t>
      </w:r>
      <w:r>
        <w:rPr>
          <w:rFonts w:hint="eastAsia"/>
        </w:rPr>
        <w:t>和</w:t>
      </w:r>
      <w:r>
        <w:t>39%</w:t>
      </w:r>
      <w:r>
        <w:rPr>
          <w:rFonts w:hint="eastAsia"/>
        </w:rPr>
        <w:t>。</w:t>
      </w:r>
    </w:p>
    <w:p w:rsidR="00000000" w:rsidRDefault="00000000">
      <w:pPr>
        <w:autoSpaceDE w:val="0"/>
        <w:autoSpaceDN w:val="0"/>
        <w:spacing w:after="240" w:line="400" w:lineRule="exact"/>
        <w:ind w:firstLine="425"/>
        <w:textAlignment w:val="bottom"/>
      </w:pPr>
      <w:r>
        <w:rPr>
          <w:rFonts w:hint="eastAsia"/>
        </w:rPr>
        <w:t>在妇女对劳动力市场的参与和她们的教育水平之间有一种密切的联系。有职务的受教育水平低的妇女比例很低：只完成初等教育的妇女在</w:t>
      </w:r>
      <w:r>
        <w:t>1996</w:t>
      </w:r>
      <w:r>
        <w:rPr>
          <w:rFonts w:hint="eastAsia"/>
        </w:rPr>
        <w:t>年获得有偿工作的占</w:t>
      </w:r>
      <w:r>
        <w:t>18%</w:t>
      </w:r>
      <w:r>
        <w:rPr>
          <w:rFonts w:hint="eastAsia"/>
        </w:rPr>
        <w:t>，而女大学毕业生为</w:t>
      </w:r>
      <w:r>
        <w:t>79%</w:t>
      </w:r>
      <w:r>
        <w:rPr>
          <w:rFonts w:hint="eastAsia"/>
        </w:rPr>
        <w:t>。受过高等教育的母亲因生孩子中断工作后返回劳动力市场的百分比平均比低等教育水平的母亲的返回劳动力市场百分比高出一倍。受过低等教育和受过高等教育的妇女参与劳动力市场的差别甚至在生孩子之前就存在，只是今后会更加大而已。</w:t>
      </w:r>
    </w:p>
    <w:p w:rsidR="00000000" w:rsidRDefault="00000000">
      <w:pPr>
        <w:autoSpaceDE w:val="0"/>
        <w:autoSpaceDN w:val="0"/>
        <w:spacing w:after="240" w:line="400" w:lineRule="exact"/>
        <w:ind w:firstLine="425"/>
        <w:textAlignment w:val="bottom"/>
      </w:pPr>
      <w:r>
        <w:rPr>
          <w:rFonts w:hint="eastAsia"/>
        </w:rPr>
        <w:t>尽管越来越多的妇女外出参加工作，但男女在有偿就业方面仍有相当大差别。妇女当中未利用的劳动力市场潜力比男子中的大得多。妇女失业率在</w:t>
      </w:r>
      <w:r>
        <w:t>1996</w:t>
      </w:r>
      <w:r>
        <w:rPr>
          <w:rFonts w:hint="eastAsia"/>
        </w:rPr>
        <w:t>年为</w:t>
      </w:r>
      <w:r>
        <w:t>10.5%</w:t>
      </w:r>
      <w:r>
        <w:rPr>
          <w:rFonts w:hint="eastAsia"/>
        </w:rPr>
        <w:t>，几乎是男子失业率的一倍（</w:t>
      </w:r>
      <w:r>
        <w:t>5.4%</w:t>
      </w:r>
      <w:r>
        <w:rPr>
          <w:rFonts w:hint="eastAsia"/>
        </w:rPr>
        <w:t>）。妇女中还有大量隐性失业。例如，如果她们最近没有寻找有偿工作或临时无法就业她们就不被视为失业。不仅男子对劳动力市场的纯参与率高于妇女，而且就男子来说有孩子和有有偿职务之间的关系也明显不同：已婚或同居父亲的劳动力市场参与率就大大高于单身男子（</w:t>
      </w:r>
      <w:r>
        <w:t>91%</w:t>
      </w:r>
      <w:r>
        <w:rPr>
          <w:rFonts w:hint="eastAsia"/>
        </w:rPr>
        <w:t>比</w:t>
      </w:r>
      <w:r>
        <w:t>65%</w:t>
      </w:r>
      <w:r>
        <w:rPr>
          <w:rFonts w:hint="eastAsia"/>
        </w:rPr>
        <w:t>）。同样在兼职工作方面男女之间也有重大差别。从</w:t>
      </w:r>
      <w:r>
        <w:t>1987</w:t>
      </w:r>
      <w:r>
        <w:rPr>
          <w:rFonts w:hint="eastAsia"/>
        </w:rPr>
        <w:t>年到</w:t>
      </w:r>
      <w:r>
        <w:t>1995</w:t>
      </w:r>
      <w:r>
        <w:rPr>
          <w:rFonts w:hint="eastAsia"/>
        </w:rPr>
        <w:t>年担任全时职务的妇女比例从</w:t>
      </w:r>
      <w:r>
        <w:t>52%</w:t>
      </w:r>
      <w:r>
        <w:rPr>
          <w:rFonts w:hint="eastAsia"/>
        </w:rPr>
        <w:t>下降到</w:t>
      </w:r>
      <w:r>
        <w:t>42%</w:t>
      </w:r>
      <w:r>
        <w:rPr>
          <w:rFonts w:hint="eastAsia"/>
        </w:rPr>
        <w:t>，主要因为兼职工作数量增加了。兼职工作在男子中并不太普遍；只有</w:t>
      </w:r>
      <w:r>
        <w:t>10%</w:t>
      </w:r>
      <w:r>
        <w:rPr>
          <w:rFonts w:hint="eastAsia"/>
        </w:rPr>
        <w:t>从事兼职工作。另一个差别是男子更有可能在年轻时（当学生时）或在职业生涯快结束时（提前退休时）从事兼职工作，而妇女则往往在中年时从事兼职工作。因此兼职工作在男女的职业生涯中起了不同作用：对男子来说兼职工作仅仅是一种暂时解决办法，但对妇女而言则是一种长期就业模式。</w:t>
      </w:r>
    </w:p>
    <w:p w:rsidR="00000000" w:rsidRDefault="00000000">
      <w:pPr>
        <w:spacing w:after="240" w:line="400" w:lineRule="exact"/>
        <w:ind w:firstLine="425"/>
      </w:pPr>
      <w:r>
        <w:rPr>
          <w:rFonts w:hint="eastAsia"/>
        </w:rPr>
        <w:t>看来兼职工作也是解释妇女经营的企业平均增长率为什么较低的原因。这类企业常常宁愿不增长，因为有关的妇女希望继续从事兼职工作。在</w:t>
      </w:r>
      <w:r>
        <w:t>1979</w:t>
      </w:r>
      <w:r>
        <w:rPr>
          <w:rFonts w:hint="eastAsia"/>
        </w:rPr>
        <w:t>年中小企业业主有</w:t>
      </w:r>
      <w:r>
        <w:t>10%</w:t>
      </w:r>
      <w:r>
        <w:rPr>
          <w:rFonts w:hint="eastAsia"/>
        </w:rPr>
        <w:t>是妇女。到</w:t>
      </w:r>
      <w:r>
        <w:t>1993</w:t>
      </w:r>
      <w:r>
        <w:rPr>
          <w:rFonts w:hint="eastAsia"/>
        </w:rPr>
        <w:t>年这个数字翻了一番以上达到</w:t>
      </w:r>
      <w:r>
        <w:t>25%</w:t>
      </w:r>
      <w:r>
        <w:rPr>
          <w:rFonts w:hint="eastAsia"/>
        </w:rPr>
        <w:t>左右（包括作为共同业主的妇女）。</w:t>
      </w:r>
      <w:r>
        <w:t>1992</w:t>
      </w:r>
      <w:r>
        <w:rPr>
          <w:rFonts w:hint="eastAsia"/>
        </w:rPr>
        <w:t>年荷兰由妇女经营的企业的营业额达到</w:t>
      </w:r>
      <w:r>
        <w:t>120</w:t>
      </w:r>
      <w:r>
        <w:rPr>
          <w:rFonts w:hint="eastAsia"/>
        </w:rPr>
        <w:t>亿荷兰盾，为</w:t>
      </w:r>
      <w:r>
        <w:t>11</w:t>
      </w:r>
      <w:r>
        <w:rPr>
          <w:rFonts w:hint="eastAsia"/>
        </w:rPr>
        <w:t>万人提供了就业。除了拥有或共同拥有企业的妇女之外，还有许多在她们丈夫的中小型企业中任职的妻子。她们的人数估计有</w:t>
      </w:r>
      <w:r>
        <w:t>12</w:t>
      </w:r>
      <w:r>
        <w:rPr>
          <w:rFonts w:hint="eastAsia"/>
        </w:rPr>
        <w:t>万。这个数字占全部中小型企业的三分之一到一半。她们中许多人在旅馆、餐饮业和零售业以及面向顾客的手艺部门工作。她们参与企业的程度以及她们履行的职责的级别差别很大。</w:t>
      </w:r>
      <w:r>
        <w:t>40%</w:t>
      </w:r>
      <w:r>
        <w:rPr>
          <w:rFonts w:hint="eastAsia"/>
        </w:rPr>
        <w:t>在她们丈夫的企业中工作的妇女每周至少工作</w:t>
      </w:r>
      <w:r>
        <w:t>40</w:t>
      </w:r>
      <w:r>
        <w:rPr>
          <w:rFonts w:hint="eastAsia"/>
        </w:rPr>
        <w:t>小时，担任各种管理职责并协助决定经营政策。她们参与工作的企业综合营业额达到</w:t>
      </w:r>
      <w:r>
        <w:t>130</w:t>
      </w:r>
      <w:r>
        <w:rPr>
          <w:rFonts w:hint="eastAsia"/>
        </w:rPr>
        <w:t>亿荷兰盾，为</w:t>
      </w:r>
      <w:r>
        <w:t>42500</w:t>
      </w:r>
      <w:r>
        <w:rPr>
          <w:rFonts w:hint="eastAsia"/>
        </w:rPr>
        <w:t>提供就业。</w:t>
      </w:r>
      <w:r>
        <w:rPr>
          <w:rStyle w:val="FootnoteReference"/>
        </w:rPr>
        <w:footnoteReference w:customMarkFollows="1" w:id="33"/>
        <w:t>31</w:t>
      </w:r>
    </w:p>
    <w:p w:rsidR="00000000" w:rsidRDefault="00000000">
      <w:pPr>
        <w:spacing w:after="240" w:line="400" w:lineRule="exact"/>
        <w:ind w:firstLine="425"/>
      </w:pPr>
      <w:r>
        <w:rPr>
          <w:rFonts w:hint="eastAsia"/>
        </w:rPr>
        <w:t>尽管近年来妇女的职业水平急剧提高，但仍稍低于男子的职业水平。在较年轻年龄组中男女的职业水平不相上下。事实上</w:t>
      </w:r>
      <w:r>
        <w:t>30-40</w:t>
      </w:r>
      <w:r>
        <w:rPr>
          <w:rFonts w:hint="eastAsia"/>
        </w:rPr>
        <w:t>年龄组的妇女在更高资历的职务中巳稍微超过了比例。妇女在这些职位中的比例在</w:t>
      </w:r>
      <w:r>
        <w:t>1996</w:t>
      </w:r>
      <w:r>
        <w:rPr>
          <w:rFonts w:hint="eastAsia"/>
        </w:rPr>
        <w:t>年为</w:t>
      </w:r>
      <w:r>
        <w:t>40%</w:t>
      </w:r>
      <w:r>
        <w:rPr>
          <w:rFonts w:hint="eastAsia"/>
        </w:rPr>
        <w:t>，而在全部劳动人口中妇女占</w:t>
      </w:r>
      <w:r>
        <w:t>37%</w:t>
      </w:r>
      <w:r>
        <w:rPr>
          <w:rFonts w:hint="eastAsia"/>
        </w:rPr>
        <w:t>。但是妇女的职位等级仍大大低于男性对手的等级。例如，在</w:t>
      </w:r>
      <w:r>
        <w:t>1996</w:t>
      </w:r>
      <w:r>
        <w:rPr>
          <w:rFonts w:hint="eastAsia"/>
        </w:rPr>
        <w:t>年妇女在高级和大学级管理职位上的总人数仅占</w:t>
      </w:r>
      <w:r>
        <w:t>15%</w:t>
      </w:r>
      <w:r>
        <w:rPr>
          <w:rFonts w:hint="eastAsia"/>
        </w:rPr>
        <w:t>。各种不同因素对改善妇女在劳动力市场的状况和向高级或管理职位晋升产生不利影响；这些影响包括下列事实，即妇女通常平均说来工作经验少（由于职业中断）而且总是劳动时间短。</w:t>
      </w:r>
    </w:p>
    <w:p w:rsidR="00000000" w:rsidRDefault="00000000">
      <w:pPr>
        <w:spacing w:after="240" w:line="400" w:lineRule="exact"/>
        <w:ind w:firstLine="425"/>
      </w:pPr>
      <w:r>
        <w:rPr>
          <w:rFonts w:hint="eastAsia"/>
        </w:rPr>
        <w:t>由于妇女中大量从事兼职工作而相对职务等级低，她们的收入比男子低。在</w:t>
      </w:r>
      <w:r>
        <w:t>1995</w:t>
      </w:r>
      <w:r>
        <w:rPr>
          <w:rFonts w:hint="eastAsia"/>
        </w:rPr>
        <w:t>年她们的收入占男子平均总小时收入的</w:t>
      </w:r>
      <w:r>
        <w:t>74%</w:t>
      </w:r>
      <w:r>
        <w:rPr>
          <w:rFonts w:hint="eastAsia"/>
        </w:rPr>
        <w:t>。在过去的</w:t>
      </w:r>
      <w:r>
        <w:t>20</w:t>
      </w:r>
      <w:r>
        <w:rPr>
          <w:rFonts w:hint="eastAsia"/>
        </w:rPr>
        <w:t>多年里实际上一直保持着这种差异。即使经过调整，顾及教育水平、劳动工时、为目前雇主的服务年限、年龄、职务等级、职务类别、经济部门和企业规模，妇女的薪酬仍平均比男子低</w:t>
      </w:r>
      <w:r>
        <w:t>9%</w:t>
      </w:r>
      <w:r>
        <w:rPr>
          <w:rFonts w:hint="eastAsia"/>
        </w:rPr>
        <w:t>。将在第二级说明政府为实现平等薪酬而采取的措施。</w:t>
      </w:r>
    </w:p>
    <w:p w:rsidR="00000000" w:rsidRDefault="00000000">
      <w:pPr>
        <w:spacing w:after="240" w:line="400" w:lineRule="exact"/>
        <w:ind w:firstLine="425"/>
      </w:pPr>
      <w:r>
        <w:rPr>
          <w:rFonts w:hint="eastAsia"/>
        </w:rPr>
        <w:t>最后，男女之间重新分派照管工作是有偿劳动重新分派的前提条件。在</w:t>
      </w:r>
      <w:r>
        <w:t>1995</w:t>
      </w:r>
      <w:r>
        <w:rPr>
          <w:rFonts w:hint="eastAsia"/>
        </w:rPr>
        <w:t>年</w:t>
      </w:r>
      <w:r>
        <w:t>25-65</w:t>
      </w:r>
      <w:r>
        <w:rPr>
          <w:rFonts w:hint="eastAsia"/>
        </w:rPr>
        <w:t>年龄组的男子在有偿劳动方面每周花</w:t>
      </w:r>
      <w:r>
        <w:t>33</w:t>
      </w:r>
      <w:r>
        <w:rPr>
          <w:rFonts w:hint="eastAsia"/>
        </w:rPr>
        <w:t>小时，在家务和家庭活动上花费</w:t>
      </w:r>
      <w:r>
        <w:t>12</w:t>
      </w:r>
      <w:r>
        <w:rPr>
          <w:rFonts w:hint="eastAsia"/>
        </w:rPr>
        <w:t>小时；而同一年龄组的妇女则在有报酬劳动上平均花</w:t>
      </w:r>
      <w:r>
        <w:t>12</w:t>
      </w:r>
      <w:r>
        <w:rPr>
          <w:rFonts w:hint="eastAsia"/>
        </w:rPr>
        <w:t>小时，在家务和家庭活动上花</w:t>
      </w:r>
      <w:r>
        <w:t>31</w:t>
      </w:r>
      <w:r>
        <w:rPr>
          <w:rFonts w:hint="eastAsia"/>
        </w:rPr>
        <w:t>小时。所以妇女承担了约</w:t>
      </w:r>
      <w:r>
        <w:t>30%</w:t>
      </w:r>
      <w:r>
        <w:rPr>
          <w:rFonts w:hint="eastAsia"/>
        </w:rPr>
        <w:t>有偿劳动和</w:t>
      </w:r>
      <w:r>
        <w:t>70%</w:t>
      </w:r>
      <w:r>
        <w:rPr>
          <w:rFonts w:hint="eastAsia"/>
        </w:rPr>
        <w:t>无偿劳动；男子的数字正相反。妇女用在有偿劳动上的时间越多，花在家务劳动的时间就越少。在</w:t>
      </w:r>
      <w:r>
        <w:t>1995</w:t>
      </w:r>
      <w:r>
        <w:rPr>
          <w:rFonts w:hint="eastAsia"/>
        </w:rPr>
        <w:t>年每周从事有偿劳动不足</w:t>
      </w:r>
      <w:r>
        <w:t>30</w:t>
      </w:r>
      <w:r>
        <w:rPr>
          <w:rFonts w:hint="eastAsia"/>
        </w:rPr>
        <w:t>小时的妇女花在家务活动上的时间超过</w:t>
      </w:r>
      <w:r>
        <w:t>30</w:t>
      </w:r>
      <w:r>
        <w:rPr>
          <w:rFonts w:hint="eastAsia"/>
        </w:rPr>
        <w:t>小时；而每周从事</w:t>
      </w:r>
      <w:r>
        <w:t>30</w:t>
      </w:r>
      <w:r>
        <w:rPr>
          <w:rFonts w:hint="eastAsia"/>
        </w:rPr>
        <w:t>多小时有偿劳动的妇女平均花在家务劳动上的时间为</w:t>
      </w:r>
      <w:r>
        <w:t>18</w:t>
      </w:r>
      <w:r>
        <w:rPr>
          <w:rFonts w:hint="eastAsia"/>
        </w:rPr>
        <w:t>小时。在没有年幼子女的家庭，男子花在家务活动上的时间与妇女大体相同。如果有年幼子女，则两人往往喜欢传统责任分工，即丈夫主要从事有偿劳动，妻子主要从事无偿照管工作。从</w:t>
      </w:r>
      <w:r>
        <w:t>1980</w:t>
      </w:r>
      <w:r>
        <w:rPr>
          <w:rFonts w:hint="eastAsia"/>
        </w:rPr>
        <w:t>年到</w:t>
      </w:r>
      <w:r>
        <w:t>1995</w:t>
      </w:r>
      <w:r>
        <w:rPr>
          <w:rFonts w:hint="eastAsia"/>
        </w:rPr>
        <w:t>年这种形势仅有很小变化。</w:t>
      </w:r>
    </w:p>
    <w:p w:rsidR="00000000" w:rsidRDefault="00000000">
      <w:pPr>
        <w:spacing w:after="240" w:line="400" w:lineRule="exact"/>
        <w:rPr>
          <w:rFonts w:ascii="SimHei" w:eastAsia="SimHei"/>
        </w:rPr>
      </w:pPr>
      <w:r>
        <w:rPr>
          <w:rFonts w:ascii="SimHei" w:eastAsia="SimHei"/>
        </w:rPr>
        <w:t xml:space="preserve">1(b)  </w:t>
      </w:r>
      <w:r>
        <w:rPr>
          <w:rFonts w:ascii="SimHei" w:eastAsia="SimHei" w:hint="eastAsia"/>
        </w:rPr>
        <w:t>立法措施</w:t>
      </w:r>
    </w:p>
    <w:p w:rsidR="00000000" w:rsidRDefault="00000000">
      <w:pPr>
        <w:spacing w:after="240" w:line="400" w:lineRule="exact"/>
        <w:ind w:firstLine="425"/>
      </w:pPr>
      <w:r>
        <w:rPr>
          <w:rFonts w:hint="eastAsia"/>
        </w:rPr>
        <w:t>在一个不仅性别方面而且在年龄、民族血统、性倾向和宗教信仰方面也存在多样性，而且把多样性看成是社会财富的社会里，法律无论如何不应妨碍把有偿劳动和无偿照管结合起来的可能性。近年来对下列主题进行了立法工作：</w:t>
      </w:r>
    </w:p>
    <w:p w:rsidR="00000000" w:rsidRDefault="00000000">
      <w:pPr>
        <w:spacing w:after="240" w:line="400" w:lineRule="exact"/>
        <w:ind w:firstLine="425"/>
      </w:pPr>
      <w:r>
        <w:t xml:space="preserve">*  </w:t>
      </w:r>
      <w:r>
        <w:rPr>
          <w:rFonts w:hint="eastAsia"/>
        </w:rPr>
        <w:t>就业和社会保障（包括养恤金）</w:t>
      </w:r>
    </w:p>
    <w:p w:rsidR="00000000" w:rsidRDefault="00000000">
      <w:pPr>
        <w:spacing w:after="240" w:line="400" w:lineRule="exact"/>
        <w:ind w:firstLine="425"/>
      </w:pPr>
      <w:r>
        <w:t xml:space="preserve">*  </w:t>
      </w:r>
      <w:r>
        <w:rPr>
          <w:rFonts w:hint="eastAsia"/>
        </w:rPr>
        <w:t>把劳动和照管工作结合起来</w:t>
      </w:r>
    </w:p>
    <w:p w:rsidR="00000000" w:rsidRDefault="00000000">
      <w:pPr>
        <w:spacing w:after="240" w:line="400" w:lineRule="exact"/>
        <w:ind w:firstLine="425"/>
      </w:pPr>
      <w:r>
        <w:t xml:space="preserve">*  </w:t>
      </w:r>
      <w:r>
        <w:rPr>
          <w:rFonts w:eastAsia="SimHei" w:hint="eastAsia"/>
        </w:rPr>
        <w:t>就业和社会保障（包括养恤金）</w:t>
      </w:r>
    </w:p>
    <w:p w:rsidR="00000000" w:rsidRDefault="00000000">
      <w:pPr>
        <w:spacing w:after="240" w:line="400" w:lineRule="exact"/>
        <w:rPr>
          <w:rFonts w:ascii="楷体" w:eastAsia="楷体"/>
        </w:rPr>
      </w:pPr>
      <w:r>
        <w:rPr>
          <w:rFonts w:ascii="楷体" w:eastAsia="楷体" w:hint="eastAsia"/>
        </w:rPr>
        <w:t>平等待遇法（</w:t>
      </w:r>
      <w:r>
        <w:rPr>
          <w:rFonts w:ascii="楷体" w:eastAsia="楷体"/>
        </w:rPr>
        <w:t>AWGB</w:t>
      </w:r>
      <w:r>
        <w:rPr>
          <w:rFonts w:ascii="楷体" w:eastAsia="楷体" w:hint="eastAsia"/>
        </w:rPr>
        <w:t>）</w:t>
      </w:r>
    </w:p>
    <w:p w:rsidR="00000000" w:rsidRDefault="00000000">
      <w:pPr>
        <w:spacing w:after="240" w:line="400" w:lineRule="exact"/>
        <w:ind w:firstLine="425"/>
      </w:pPr>
      <w:r>
        <w:rPr>
          <w:rFonts w:hint="eastAsia"/>
        </w:rPr>
        <w:t>前文第二章中已论述了</w:t>
      </w:r>
      <w:r>
        <w:t>1994</w:t>
      </w:r>
      <w:r>
        <w:rPr>
          <w:rFonts w:hint="eastAsia"/>
        </w:rPr>
        <w:t>年</w:t>
      </w:r>
      <w:r>
        <w:t>9</w:t>
      </w:r>
      <w:r>
        <w:rPr>
          <w:rFonts w:hint="eastAsia"/>
        </w:rPr>
        <w:t>月生效的《平等待遇法》。本节将研究《平等待遇法》对劳动法规定的关系的影响。在下列情况下禁止雇主有歧视行为：</w:t>
      </w:r>
    </w:p>
    <w:p w:rsidR="00000000" w:rsidRDefault="00000000">
      <w:pPr>
        <w:spacing w:after="240" w:line="400" w:lineRule="exact"/>
        <w:ind w:firstLine="425"/>
      </w:pPr>
      <w:r>
        <w:t xml:space="preserve">*  </w:t>
      </w:r>
      <w:r>
        <w:rPr>
          <w:rFonts w:hint="eastAsia"/>
        </w:rPr>
        <w:t>在宣传一个职位并填补空缺时；</w:t>
      </w:r>
    </w:p>
    <w:p w:rsidR="00000000" w:rsidRDefault="00000000">
      <w:pPr>
        <w:spacing w:after="240" w:line="400" w:lineRule="exact"/>
        <w:ind w:firstLine="425"/>
      </w:pPr>
      <w:r>
        <w:t xml:space="preserve">*  </w:t>
      </w:r>
      <w:r>
        <w:rPr>
          <w:rFonts w:hint="eastAsia"/>
        </w:rPr>
        <w:t>订立或终止就业合同或公务员就业合同时；</w:t>
      </w:r>
    </w:p>
    <w:p w:rsidR="00000000" w:rsidRDefault="00000000">
      <w:pPr>
        <w:spacing w:after="240" w:line="400" w:lineRule="exact"/>
        <w:ind w:firstLine="425"/>
      </w:pPr>
      <w:r>
        <w:t xml:space="preserve">*  </w:t>
      </w:r>
      <w:r>
        <w:rPr>
          <w:rFonts w:hint="eastAsia"/>
        </w:rPr>
        <w:t>为培训课程或为正规或非正规教育挑选员工或末来员工时；</w:t>
      </w:r>
    </w:p>
    <w:p w:rsidR="00000000" w:rsidRDefault="00000000">
      <w:pPr>
        <w:spacing w:after="240" w:line="400" w:lineRule="exact"/>
        <w:ind w:firstLine="425"/>
      </w:pPr>
      <w:r>
        <w:t xml:space="preserve">*  </w:t>
      </w:r>
      <w:r>
        <w:rPr>
          <w:rFonts w:hint="eastAsia"/>
        </w:rPr>
        <w:t>提升员工时。</w:t>
      </w:r>
    </w:p>
    <w:p w:rsidR="00000000" w:rsidRDefault="00000000">
      <w:pPr>
        <w:spacing w:after="240" w:line="400" w:lineRule="exact"/>
        <w:ind w:firstLine="425"/>
      </w:pPr>
      <w:r>
        <w:rPr>
          <w:rFonts w:hint="eastAsia"/>
        </w:rPr>
        <w:t>对歧视的禁令已扩大到允许录用和开业的机会。它还适用于教育和职业指导以及提供货物和服务（商业及其他）。除了《平等待遇法》之外，载于《平等机会法》的有关工作中男女平等待遇的法律和《民法典》</w:t>
      </w:r>
      <w:r>
        <w:t>7A</w:t>
      </w:r>
      <w:r>
        <w:rPr>
          <w:rFonts w:hint="eastAsia"/>
        </w:rPr>
        <w:t>册第</w:t>
      </w:r>
      <w:r>
        <w:t xml:space="preserve">1637ij </w:t>
      </w:r>
      <w:r>
        <w:rPr>
          <w:rFonts w:hint="eastAsia"/>
        </w:rPr>
        <w:t>条继续有效。这一具体立法在工作场所男女不平待待遇方面高于《平等对待法》的一般规则。但是《平等待遇法》的一般规则适用于职业指导或提供货物方面的性别歧视。</w:t>
      </w:r>
    </w:p>
    <w:p w:rsidR="00000000" w:rsidRDefault="00000000">
      <w:pPr>
        <w:spacing w:after="240" w:line="400" w:lineRule="exact"/>
        <w:ind w:firstLine="425"/>
      </w:pPr>
      <w:r>
        <w:rPr>
          <w:rFonts w:hint="eastAsia"/>
        </w:rPr>
        <w:t>部分地按照和法一般规则和部分地按照具体立法实施制裁。在某些情况下也使用一般就业法的制裁。包括终止就业合同和给予员工赔偿。有下列各种形式的制裁。</w:t>
      </w:r>
    </w:p>
    <w:p w:rsidR="00000000" w:rsidRDefault="00000000">
      <w:pPr>
        <w:spacing w:after="240" w:line="400" w:lineRule="exact"/>
        <w:ind w:firstLine="425"/>
      </w:pPr>
      <w:r>
        <w:t xml:space="preserve">*  </w:t>
      </w:r>
      <w:r>
        <w:rPr>
          <w:rFonts w:hint="eastAsia"/>
        </w:rPr>
        <w:t>订立就业合同时的歧视是非法的。通常只有在雇主一方有过失时他容易侵权。但是在这种情况下为证明雇主的责任必须符合的唯一条件是他违反了《民法典》第</w:t>
      </w:r>
      <w:r>
        <w:t>7</w:t>
      </w:r>
      <w:r>
        <w:rPr>
          <w:rFonts w:hint="eastAsia"/>
        </w:rPr>
        <w:t>、</w:t>
      </w:r>
      <w:r>
        <w:t>10</w:t>
      </w:r>
      <w:r>
        <w:rPr>
          <w:rFonts w:hint="eastAsia"/>
        </w:rPr>
        <w:t>项第</w:t>
      </w:r>
      <w:r>
        <w:t>646</w:t>
      </w:r>
      <w:r>
        <w:rPr>
          <w:rFonts w:hint="eastAsia"/>
        </w:rPr>
        <w:t>条的禁令。因此在这种案例中并不需要雇主一方的过失。这是</w:t>
      </w:r>
      <w:r>
        <w:t>1991</w:t>
      </w:r>
      <w:r>
        <w:rPr>
          <w:rFonts w:hint="eastAsia"/>
        </w:rPr>
        <w:t>年</w:t>
      </w:r>
      <w:r>
        <w:t>9</w:t>
      </w:r>
      <w:r>
        <w:rPr>
          <w:rFonts w:hint="eastAsia"/>
        </w:rPr>
        <w:t>月</w:t>
      </w:r>
      <w:r>
        <w:t>13</w:t>
      </w:r>
      <w:r>
        <w:rPr>
          <w:rFonts w:hint="eastAsia"/>
        </w:rPr>
        <w:t>日在</w:t>
      </w:r>
      <w:r>
        <w:t xml:space="preserve">Dekker </w:t>
      </w:r>
      <w:r>
        <w:rPr>
          <w:rFonts w:hint="eastAsia"/>
        </w:rPr>
        <w:t>案件中最高法院的判决中规定的。</w:t>
      </w:r>
      <w:r>
        <w:rPr>
          <w:rStyle w:val="FootnoteReference"/>
        </w:rPr>
        <w:footnoteReference w:customMarkFollows="1" w:id="34"/>
        <w:t>32</w:t>
      </w:r>
      <w:r>
        <w:t xml:space="preserve"> </w:t>
      </w:r>
      <w:r>
        <w:rPr>
          <w:rFonts w:hint="eastAsia"/>
        </w:rPr>
        <w:t>如果雇主被认为有责任，他必须给予赔偿。损失可以包括金钱或非金钱方面的损失。法律并未说明如果雇主在订立就业合同时歧视应如何评价这种损害。有时如果雇主在订立就业合同时有歧视法院仅判给很少的赔偿。</w:t>
      </w:r>
    </w:p>
    <w:p w:rsidR="00000000" w:rsidRDefault="00000000">
      <w:pPr>
        <w:spacing w:after="240" w:line="400" w:lineRule="exact"/>
        <w:ind w:firstLine="425"/>
      </w:pPr>
      <w:r>
        <w:t xml:space="preserve">*  </w:t>
      </w:r>
      <w:r>
        <w:rPr>
          <w:rFonts w:hint="eastAsia"/>
        </w:rPr>
        <w:t>在某此案例中可能也只命令雇主按照《平等机会法》第</w:t>
      </w:r>
      <w:r>
        <w:t>3</w:t>
      </w:r>
      <w:r>
        <w:rPr>
          <w:rFonts w:hint="eastAsia"/>
        </w:rPr>
        <w:t>款第</w:t>
      </w:r>
      <w:r>
        <w:t>5</w:t>
      </w:r>
      <w:r>
        <w:rPr>
          <w:rFonts w:hint="eastAsia"/>
        </w:rPr>
        <w:t>项纠正广告（有歧视性）。</w:t>
      </w:r>
    </w:p>
    <w:p w:rsidR="00000000" w:rsidRDefault="00000000">
      <w:pPr>
        <w:spacing w:after="240" w:line="400" w:lineRule="exact"/>
        <w:ind w:firstLine="425"/>
      </w:pPr>
      <w:r>
        <w:t xml:space="preserve">*  </w:t>
      </w:r>
      <w:r>
        <w:rPr>
          <w:rFonts w:hint="eastAsia"/>
        </w:rPr>
        <w:t>就业合同存在期间的歧视构成违反合同。如果雇主一方有过失通常他也有责任。但是自从最高法院在</w:t>
      </w:r>
      <w:r>
        <w:t xml:space="preserve"> Dekker </w:t>
      </w:r>
      <w:r>
        <w:rPr>
          <w:rFonts w:hint="eastAsia"/>
        </w:rPr>
        <w:t>案中作出裁决后这个条件也不再适用。</w:t>
      </w:r>
    </w:p>
    <w:p w:rsidR="00000000" w:rsidRDefault="00000000">
      <w:pPr>
        <w:spacing w:after="240" w:line="400" w:lineRule="exact"/>
        <w:ind w:firstLine="425"/>
      </w:pPr>
      <w:r>
        <w:t xml:space="preserve">*  </w:t>
      </w:r>
      <w:r>
        <w:rPr>
          <w:rFonts w:hint="eastAsia"/>
        </w:rPr>
        <w:t>按照《平等机会法》第</w:t>
      </w:r>
      <w:r>
        <w:t>8</w:t>
      </w:r>
      <w:r>
        <w:rPr>
          <w:rFonts w:hint="eastAsia"/>
        </w:rPr>
        <w:t>款根据歧视性理由的解雇是可撤销的。雇员可要求这种解雇在解雇或就业终止后两个月内无效。雇员给雇主发出通知即可。</w:t>
      </w:r>
    </w:p>
    <w:p w:rsidR="00000000" w:rsidRDefault="00000000">
      <w:pPr>
        <w:spacing w:after="240" w:line="400" w:lineRule="exact"/>
        <w:ind w:firstLine="425"/>
      </w:pPr>
      <w:r>
        <w:t xml:space="preserve">*  </w:t>
      </w:r>
      <w:r>
        <w:rPr>
          <w:rFonts w:hint="eastAsia"/>
        </w:rPr>
        <w:t>如果一名员工由于援引法律或其他方面对歧视的禁令而被解雇，这种解雇可再次被宣布无效。</w:t>
      </w:r>
    </w:p>
    <w:p w:rsidR="00000000" w:rsidRDefault="00000000">
      <w:pPr>
        <w:spacing w:after="240" w:line="400" w:lineRule="exact"/>
        <w:rPr>
          <w:rFonts w:ascii="楷体" w:eastAsia="楷体"/>
        </w:rPr>
      </w:pPr>
      <w:r>
        <w:rPr>
          <w:rFonts w:ascii="楷体" w:eastAsia="楷体" w:hint="eastAsia"/>
        </w:rPr>
        <w:t>平等薪酬立法</w:t>
      </w:r>
    </w:p>
    <w:p w:rsidR="00000000" w:rsidRDefault="00000000">
      <w:pPr>
        <w:spacing w:after="240" w:line="400" w:lineRule="exact"/>
        <w:ind w:firstLine="425"/>
      </w:pPr>
      <w:r>
        <w:rPr>
          <w:rFonts w:hint="eastAsia"/>
        </w:rPr>
        <w:t>《民法典》第</w:t>
      </w:r>
      <w:r>
        <w:t>7</w:t>
      </w:r>
      <w:r>
        <w:rPr>
          <w:rFonts w:hint="eastAsia"/>
        </w:rPr>
        <w:t>、</w:t>
      </w:r>
      <w:r>
        <w:t>10</w:t>
      </w:r>
      <w:r>
        <w:rPr>
          <w:rFonts w:hint="eastAsia"/>
        </w:rPr>
        <w:t>章第</w:t>
      </w:r>
      <w:r>
        <w:t>646</w:t>
      </w:r>
      <w:r>
        <w:rPr>
          <w:rFonts w:hint="eastAsia"/>
        </w:rPr>
        <w:t>条规定雇主在就业时间和条件方面不得对男子和妇女有歧视。《平等机会法》阐明了禁止薪酬差异在实际上意味着什么。目前法律规定应以在同一企业内工作的雇员作比较。‘企业’这个词狭意的解释为‘分公司’。这意味着迄今不可能与同一公司内不同分公司工作的员工比较。政府认为这是不对的，将修正这条法律，以便允许在同一雇主公司内人员之间进行比较。</w:t>
      </w:r>
    </w:p>
    <w:p w:rsidR="00000000" w:rsidRDefault="00000000">
      <w:pPr>
        <w:spacing w:after="240" w:line="400" w:lineRule="exact"/>
        <w:rPr>
          <w:rFonts w:ascii="楷体" w:eastAsia="楷体"/>
        </w:rPr>
      </w:pPr>
      <w:r>
        <w:rPr>
          <w:rFonts w:ascii="楷体" w:eastAsia="楷体" w:hint="eastAsia"/>
        </w:rPr>
        <w:t>《平等待遇（工时）法》</w:t>
      </w:r>
    </w:p>
    <w:p w:rsidR="00000000" w:rsidRDefault="00000000">
      <w:pPr>
        <w:spacing w:after="240" w:line="400" w:lineRule="exact"/>
        <w:ind w:firstLine="425"/>
      </w:pPr>
      <w:r>
        <w:rPr>
          <w:rFonts w:hint="eastAsia"/>
        </w:rPr>
        <w:t>该法于</w:t>
      </w:r>
      <w:r>
        <w:t>1996</w:t>
      </w:r>
      <w:r>
        <w:rPr>
          <w:rFonts w:hint="eastAsia"/>
        </w:rPr>
        <w:t>年</w:t>
      </w:r>
      <w:r>
        <w:t>11</w:t>
      </w:r>
      <w:r>
        <w:rPr>
          <w:rFonts w:hint="eastAsia"/>
        </w:rPr>
        <w:t>月</w:t>
      </w:r>
      <w:r>
        <w:t>1</w:t>
      </w:r>
      <w:r>
        <w:rPr>
          <w:rFonts w:hint="eastAsia"/>
        </w:rPr>
        <w:t>日生效，它规定对不同工时的雇员和公务员的平等待遇。它部分地以《民法典》第</w:t>
      </w:r>
      <w:r>
        <w:t>7</w:t>
      </w:r>
      <w:r>
        <w:rPr>
          <w:rFonts w:hint="eastAsia"/>
        </w:rPr>
        <w:t>册第</w:t>
      </w:r>
      <w:r>
        <w:t>648</w:t>
      </w:r>
      <w:r>
        <w:rPr>
          <w:rFonts w:hint="eastAsia"/>
        </w:rPr>
        <w:t>条为依据，该条规定雇主在确定订立、续订或终止就业合同的条件时不得因工时不同而在雇员之间进行歧视，除非这种歧视在客观上是有道理的。本条也适用于该雇主管理的其他人员。《中央和地方政府人事法》第</w:t>
      </w:r>
      <w:r>
        <w:t>125(g)</w:t>
      </w:r>
      <w:r>
        <w:rPr>
          <w:rFonts w:hint="eastAsia"/>
        </w:rPr>
        <w:t>款载有关于公务员的相同规定。</w:t>
      </w:r>
    </w:p>
    <w:p w:rsidR="00000000" w:rsidRDefault="00000000">
      <w:pPr>
        <w:spacing w:after="240" w:line="400" w:lineRule="exact"/>
        <w:ind w:firstLine="425"/>
      </w:pPr>
      <w:r>
        <w:rPr>
          <w:rFonts w:hint="eastAsia"/>
        </w:rPr>
        <w:t>《平等待遇（工时）法》对妇女特别重要，因为正是她们主要从事兼职工作。这个法使雇员可更方便地向基于她或他从事兼职工作这一事实的不平等待遇提出质疑。在过去必须论述这构成间接性别歧视。但根据新法不再有必要收集关于某一公司内男女之间工时分配的数据。平等待遇委员会（也见上文和第一章）有责任确保该法得到遵守。该委员会可自愿或根据书面请求对是否存在《民法典》第</w:t>
      </w:r>
      <w:r>
        <w:t>7</w:t>
      </w:r>
      <w:r>
        <w:rPr>
          <w:rFonts w:hint="eastAsia"/>
        </w:rPr>
        <w:t>册第</w:t>
      </w:r>
      <w:r>
        <w:t>648</w:t>
      </w:r>
      <w:r>
        <w:rPr>
          <w:rFonts w:hint="eastAsia"/>
        </w:rPr>
        <w:t>条和《中央和地方政府人事法》第</w:t>
      </w:r>
      <w:r>
        <w:t>125</w:t>
      </w:r>
      <w:r>
        <w:rPr>
          <w:rFonts w:hint="eastAsia"/>
        </w:rPr>
        <w:t>（</w:t>
      </w:r>
      <w:r>
        <w:t>g)</w:t>
      </w:r>
      <w:r>
        <w:rPr>
          <w:rFonts w:hint="eastAsia"/>
        </w:rPr>
        <w:t>款提到的被禁止的歧视行为进行调查。该委员会的意见不具约束力。</w:t>
      </w:r>
    </w:p>
    <w:p w:rsidR="00000000" w:rsidRDefault="00000000">
      <w:pPr>
        <w:spacing w:after="240" w:line="400" w:lineRule="exact"/>
        <w:rPr>
          <w:rFonts w:ascii="楷体" w:eastAsia="楷体"/>
        </w:rPr>
      </w:pPr>
      <w:r>
        <w:rPr>
          <w:rFonts w:ascii="楷体" w:eastAsia="楷体" w:hint="eastAsia"/>
        </w:rPr>
        <w:t>《工时法》</w:t>
      </w:r>
    </w:p>
    <w:p w:rsidR="00000000" w:rsidRDefault="00000000">
      <w:pPr>
        <w:spacing w:after="240" w:line="400" w:lineRule="exact"/>
        <w:ind w:firstLine="425"/>
      </w:pPr>
      <w:r>
        <w:rPr>
          <w:rFonts w:hint="eastAsia"/>
        </w:rPr>
        <w:t>弹性工时可以帮助人们把有偿劳动和无偿照管工作结合起来。新《工时法》于</w:t>
      </w:r>
      <w:r>
        <w:t>1996</w:t>
      </w:r>
      <w:r>
        <w:rPr>
          <w:rFonts w:hint="eastAsia"/>
        </w:rPr>
        <w:t>年生效，它使雇主和雇员有更多机会共同在某一限度内决定工时。它使雇员可以更方便地把工作和无报酬活动结合起来。按照《工时法》雇主必须考虑到雇员的个人情况，只要这样做对于他们来说是合情理的。为了确保雇主不会突然向雇员提出不同的工时，从而扰乱他们的私人生活，《工时法》规定雇主应至少提前</w:t>
      </w:r>
      <w:r>
        <w:t>28</w:t>
      </w:r>
      <w:r>
        <w:rPr>
          <w:rFonts w:hint="eastAsia"/>
        </w:rPr>
        <w:t>天向雇员发出变动工时通知。</w:t>
      </w:r>
    </w:p>
    <w:p w:rsidR="00000000" w:rsidRDefault="00000000">
      <w:pPr>
        <w:spacing w:after="240" w:line="400" w:lineRule="exact"/>
        <w:rPr>
          <w:rFonts w:ascii="楷体" w:eastAsia="楷体"/>
        </w:rPr>
      </w:pPr>
      <w:r>
        <w:rPr>
          <w:rFonts w:ascii="楷体" w:eastAsia="楷体" w:hint="eastAsia"/>
        </w:rPr>
        <w:t>《劳动条件法》</w:t>
      </w:r>
    </w:p>
    <w:p w:rsidR="00000000" w:rsidRDefault="00000000">
      <w:pPr>
        <w:spacing w:after="240" w:line="400" w:lineRule="exact"/>
        <w:ind w:firstLine="425"/>
      </w:pPr>
      <w:r>
        <w:rPr>
          <w:rFonts w:hint="eastAsia"/>
        </w:rPr>
        <w:t>新《劳动条件法》将于</w:t>
      </w:r>
      <w:r>
        <w:t>1998</w:t>
      </w:r>
      <w:r>
        <w:rPr>
          <w:rFonts w:hint="eastAsia"/>
        </w:rPr>
        <w:t>年晚些时候生效。这部新立法仅规定了一般框架。雇主和雇员都应遵守的严格条例将随后以《劳动条件指示》的形式由授权立法通过。这项新立法的目的是加强有关劳动保健和安全的政策的作用。为此目的雇主和雇员都应更强调（即财务上）对就业条件承担责任。此外，《指示》使单个公司一层更有机会拟订解决办法。</w:t>
      </w:r>
    </w:p>
    <w:p w:rsidR="00000000" w:rsidRDefault="00000000">
      <w:pPr>
        <w:spacing w:after="240" w:line="400" w:lineRule="exact"/>
        <w:ind w:firstLine="425"/>
      </w:pPr>
      <w:r>
        <w:rPr>
          <w:rFonts w:hint="eastAsia"/>
        </w:rPr>
        <w:t>另外的两个变化都与妇女状况有关。首先是关于把独特的工作或有时称之为企业外工作包括在劳动条件指示内的决定。因此《劳动条件法》自</w:t>
      </w:r>
      <w:r>
        <w:t>1994</w:t>
      </w:r>
      <w:r>
        <w:rPr>
          <w:rFonts w:hint="eastAsia"/>
        </w:rPr>
        <w:t>年以来一直适用于所有形式的独特工作。许多以其他方式得不到有偿工作的妇女接受了独特工作。独特工作使企业有灵活生产的余地；这种工作通常被看成是工厂或企业本身完成的工作的延伸。所以从</w:t>
      </w:r>
      <w:r>
        <w:t>1994</w:t>
      </w:r>
      <w:r>
        <w:rPr>
          <w:rFonts w:hint="eastAsia"/>
        </w:rPr>
        <w:t>年以来用于家庭劳动条件的规则与用于工作场所的是相同的。因此立法者一直试图为家庭工人提供与员工在雇主处得到的保护尽可能同样的保护。独特工作也应包括在要求企业按照《劳动条件法》进行的风险鉴定和分析之内（也见第三章）。</w:t>
      </w:r>
    </w:p>
    <w:p w:rsidR="00000000" w:rsidRDefault="00000000">
      <w:pPr>
        <w:spacing w:after="240" w:line="400" w:lineRule="exact"/>
        <w:ind w:firstLine="425"/>
      </w:pPr>
      <w:r>
        <w:rPr>
          <w:rFonts w:hint="eastAsia"/>
        </w:rPr>
        <w:t>其次，从</w:t>
      </w:r>
      <w:r>
        <w:t>5</w:t>
      </w:r>
      <w:r>
        <w:rPr>
          <w:rFonts w:hint="eastAsia"/>
        </w:rPr>
        <w:t>月</w:t>
      </w:r>
      <w:r>
        <w:t>1</w:t>
      </w:r>
      <w:r>
        <w:rPr>
          <w:rFonts w:hint="eastAsia"/>
        </w:rPr>
        <w:t>日起《劳动条件指示》还将保护女员工和她的子女或未出生子女免受职业危害。按照《怀孕员工指示》这种保护适用于孕期和哺乳期。雇主应当采取的具体措施取决于风险鉴定和分析。定期调查显示越来越多的集体协议包含了保护孕妇和哺乳妇女的措施。</w:t>
      </w:r>
    </w:p>
    <w:p w:rsidR="00000000" w:rsidRDefault="00000000">
      <w:pPr>
        <w:spacing w:after="240" w:line="400" w:lineRule="exact"/>
      </w:pPr>
      <w:r>
        <w:rPr>
          <w:rFonts w:eastAsia="楷体"/>
        </w:rPr>
        <w:br w:type="page"/>
      </w:r>
      <w:r>
        <w:rPr>
          <w:rFonts w:eastAsia="楷体" w:hint="eastAsia"/>
        </w:rPr>
        <w:t>《疾病补助法》</w:t>
      </w:r>
    </w:p>
    <w:p w:rsidR="00000000" w:rsidRDefault="00000000">
      <w:pPr>
        <w:spacing w:after="240" w:line="400" w:lineRule="exact"/>
        <w:ind w:firstLine="425"/>
      </w:pPr>
      <w:r>
        <w:rPr>
          <w:rFonts w:hint="eastAsia"/>
        </w:rPr>
        <w:t>政府在提出雇主有义务给患病员工继续发一年工资时，认为对各种群体，包括孕妇和产后不久的妇女提供特殊保护是必要的。然而如果由雇主承担孕期和产期支付她们工资的全部费用，妇女寻找工作的机会就会减少。因为毕竟雇主要为接收可能怀孕妇的妇女承担相当大的财政风险。因而政府为了确保妇女进入劳动力市场不受限制做出了规定：孕期和产假期间的工资费用完全由特别群体规定资助。这就意味着被保险的妇女有权得到至少</w:t>
      </w:r>
      <w:r>
        <w:t>16</w:t>
      </w:r>
      <w:r>
        <w:rPr>
          <w:rFonts w:hint="eastAsia"/>
        </w:rPr>
        <w:t>个星期（即怀孕期和新母亲假期）</w:t>
      </w:r>
      <w:r>
        <w:t>100%</w:t>
      </w:r>
      <w:r>
        <w:rPr>
          <w:rFonts w:hint="eastAsia"/>
        </w:rPr>
        <w:t>日工资的疾病补贴。这</w:t>
      </w:r>
      <w:r>
        <w:t>16</w:t>
      </w:r>
      <w:r>
        <w:rPr>
          <w:rFonts w:hint="eastAsia"/>
        </w:rPr>
        <w:t>个星期时间可立即开始不需任何等候期间。如果由于怀孕和怀孕与生产后造成的疾病，疾病补助应等于最多</w:t>
      </w:r>
      <w:r>
        <w:t>52</w:t>
      </w:r>
      <w:r>
        <w:rPr>
          <w:rFonts w:hint="eastAsia"/>
        </w:rPr>
        <w:t>个星期的日工资。</w:t>
      </w:r>
    </w:p>
    <w:p w:rsidR="00000000" w:rsidRDefault="00000000">
      <w:pPr>
        <w:spacing w:after="240" w:line="400" w:lineRule="exact"/>
        <w:rPr>
          <w:rFonts w:ascii="楷体" w:eastAsia="楷体"/>
        </w:rPr>
      </w:pPr>
      <w:r>
        <w:rPr>
          <w:rFonts w:ascii="楷体" w:eastAsia="楷体" w:hint="eastAsia"/>
        </w:rPr>
        <w:t>《伤残保险（自营人员）法》</w:t>
      </w:r>
    </w:p>
    <w:p w:rsidR="00000000" w:rsidRDefault="00000000">
      <w:pPr>
        <w:spacing w:after="240" w:line="400" w:lineRule="exact"/>
        <w:ind w:firstLine="425"/>
      </w:pPr>
      <w:r>
        <w:rPr>
          <w:rFonts w:hint="eastAsia"/>
        </w:rPr>
        <w:t>政府在《伤残保险（自营人员）法》中纳入一条款，以便为自营妇女和在其丈夫企业和女性开业者处工作的妇女提供孕期和产期补助。这比以前情况有所改进，因为按《伤残补助法》这些群体无权得到补助。尽管按照《伤残补助法》为这些群法做出了规定，要求他们自愿投保，但在实践中这个主张并未很受欢迎。</w:t>
      </w:r>
    </w:p>
    <w:p w:rsidR="00000000" w:rsidRDefault="00000000">
      <w:pPr>
        <w:spacing w:after="240" w:line="400" w:lineRule="exact"/>
        <w:ind w:firstLine="425"/>
      </w:pPr>
      <w:r>
        <w:rPr>
          <w:rFonts w:hint="eastAsia"/>
        </w:rPr>
        <w:t>按照《伤残保险（自营人员）法》孕期妇女可获得相等于上一年收入或过去五年平均收入</w:t>
      </w:r>
      <w:r>
        <w:t>100%</w:t>
      </w:r>
      <w:r>
        <w:rPr>
          <w:rFonts w:hint="eastAsia"/>
        </w:rPr>
        <w:t>的补助，最多不得超过法定最低工资的最大额。在任何情况下都应支付</w:t>
      </w:r>
      <w:r>
        <w:t>16</w:t>
      </w:r>
      <w:r>
        <w:rPr>
          <w:rFonts w:hint="eastAsia"/>
        </w:rPr>
        <w:t>周的补助金。可以选择分晚期补助，但是可能用该补助雇用接替者。并未按照该法对孕期和分晚期以后的疾病补助金的支付做出规定，因为该方案也不包含对男子患病时的规定。按照《伤残保险（自营人员）法》在他或她合伙人企业中工作的人员也应是被保险的。这个规定即使对无报酬劳动的有关人员也适用。就《伤残补助法》的补助而言应当达到的（概念性）进入条件尚未纳入《伤残保险（自营人员）法》之中。后者是在</w:t>
      </w:r>
      <w:r>
        <w:t>1998</w:t>
      </w:r>
      <w:r>
        <w:rPr>
          <w:rFonts w:hint="eastAsia"/>
        </w:rPr>
        <w:t>年</w:t>
      </w:r>
      <w:r>
        <w:t>1</w:t>
      </w:r>
      <w:r>
        <w:rPr>
          <w:rFonts w:hint="eastAsia"/>
        </w:rPr>
        <w:t>月</w:t>
      </w:r>
      <w:r>
        <w:t>1</w:t>
      </w:r>
      <w:r>
        <w:rPr>
          <w:rFonts w:hint="eastAsia"/>
        </w:rPr>
        <w:t>日生效的。</w:t>
      </w:r>
    </w:p>
    <w:p w:rsidR="00000000" w:rsidRDefault="00000000">
      <w:pPr>
        <w:spacing w:after="240" w:line="400" w:lineRule="exact"/>
        <w:rPr>
          <w:rFonts w:ascii="楷体" w:eastAsia="楷体"/>
        </w:rPr>
      </w:pPr>
      <w:r>
        <w:rPr>
          <w:rFonts w:ascii="楷体" w:eastAsia="楷体" w:hint="eastAsia"/>
        </w:rPr>
        <w:t>《遗属法》</w:t>
      </w:r>
    </w:p>
    <w:p w:rsidR="00000000" w:rsidRDefault="00000000">
      <w:pPr>
        <w:spacing w:after="240" w:line="400" w:lineRule="exact"/>
        <w:ind w:firstLine="425"/>
      </w:pPr>
      <w:r>
        <w:rPr>
          <w:rFonts w:hint="eastAsia"/>
        </w:rPr>
        <w:t>按照</w:t>
      </w:r>
      <w:r>
        <w:t>1996</w:t>
      </w:r>
      <w:r>
        <w:rPr>
          <w:rFonts w:hint="eastAsia"/>
        </w:rPr>
        <w:t>年</w:t>
      </w:r>
      <w:r>
        <w:t>1</w:t>
      </w:r>
      <w:r>
        <w:rPr>
          <w:rFonts w:hint="eastAsia"/>
        </w:rPr>
        <w:t>月</w:t>
      </w:r>
      <w:r>
        <w:t>1</w:t>
      </w:r>
      <w:r>
        <w:rPr>
          <w:rFonts w:hint="eastAsia"/>
        </w:rPr>
        <w:t>日生效的《遗属法》在相同情况下男女都有权获得遗属补助。过去仅是寡妇和孤儿有权得到这种补助。但是由于荷兰法院的决定，从</w:t>
      </w:r>
      <w:r>
        <w:t>1987</w:t>
      </w:r>
      <w:r>
        <w:rPr>
          <w:rFonts w:hint="eastAsia"/>
        </w:rPr>
        <w:t>年</w:t>
      </w:r>
      <w:r>
        <w:t>12</w:t>
      </w:r>
      <w:r>
        <w:rPr>
          <w:rFonts w:hint="eastAsia"/>
        </w:rPr>
        <w:t>月起男子也有权获得这种补助。</w:t>
      </w:r>
    </w:p>
    <w:p w:rsidR="00000000" w:rsidRDefault="00000000">
      <w:pPr>
        <w:spacing w:after="240" w:line="400" w:lineRule="exact"/>
        <w:rPr>
          <w:rFonts w:ascii="楷体" w:eastAsia="楷体"/>
        </w:rPr>
      </w:pPr>
      <w:r>
        <w:rPr>
          <w:rFonts w:ascii="楷体" w:eastAsia="楷体" w:hint="eastAsia"/>
        </w:rPr>
        <w:t>新《国家援助法》</w:t>
      </w:r>
    </w:p>
    <w:p w:rsidR="00000000" w:rsidRDefault="00000000">
      <w:pPr>
        <w:spacing w:after="240" w:line="400" w:lineRule="exact"/>
        <w:ind w:firstLine="425"/>
      </w:pPr>
      <w:r>
        <w:rPr>
          <w:rFonts w:hint="eastAsia"/>
        </w:rPr>
        <w:t>按照从</w:t>
      </w:r>
      <w:r>
        <w:t>1996</w:t>
      </w:r>
      <w:r>
        <w:rPr>
          <w:rFonts w:hint="eastAsia"/>
        </w:rPr>
        <w:t>年开始生效的新《国家援助法》，强调的重点主要放在补助金要求者寻找工作的义务上。基本原则是负责照料五岁和五岁以上子女的双亲（单亲或其他）有义务寻找工作。但是双亲可以用医疗或社会原因免除这种义务。但是由无公职议员的动议，决定对有</w:t>
      </w:r>
      <w:r>
        <w:t>5</w:t>
      </w:r>
      <w:r>
        <w:rPr>
          <w:rFonts w:hint="eastAsia"/>
        </w:rPr>
        <w:t>岁以下小孩的单亲父母给予一揽子免除。寻找工作这项义务在议会立法过程中引起热烈争论。多年来市政当局采取的作法是如果家里有成长中的孩子，不坚持要求女性补助金要求者申请工作。</w:t>
      </w:r>
    </w:p>
    <w:p w:rsidR="00000000" w:rsidRDefault="00000000">
      <w:pPr>
        <w:spacing w:after="240" w:line="400" w:lineRule="exact"/>
        <w:rPr>
          <w:rFonts w:ascii="楷体" w:eastAsia="楷体"/>
        </w:rPr>
      </w:pPr>
      <w:r>
        <w:rPr>
          <w:rFonts w:ascii="楷体" w:eastAsia="楷体" w:hint="eastAsia"/>
        </w:rPr>
        <w:t>养恤金立法</w:t>
      </w:r>
    </w:p>
    <w:p w:rsidR="00000000" w:rsidRDefault="00000000">
      <w:pPr>
        <w:spacing w:after="240" w:line="400" w:lineRule="exact"/>
        <w:ind w:firstLine="425"/>
      </w:pPr>
      <w:r>
        <w:rPr>
          <w:rFonts w:hint="eastAsia"/>
        </w:rPr>
        <w:t>一部实施养恤金备忘录（</w:t>
      </w:r>
      <w:r>
        <w:t>23 123</w:t>
      </w:r>
      <w:r>
        <w:rPr>
          <w:rFonts w:hint="eastAsia"/>
        </w:rPr>
        <w:t>）第一阶段的法律已于</w:t>
      </w:r>
      <w:r>
        <w:t>1994</w:t>
      </w:r>
      <w:r>
        <w:rPr>
          <w:rFonts w:hint="eastAsia"/>
        </w:rPr>
        <w:t>年</w:t>
      </w:r>
      <w:r>
        <w:t>7</w:t>
      </w:r>
      <w:r>
        <w:rPr>
          <w:rFonts w:hint="eastAsia"/>
        </w:rPr>
        <w:t>月</w:t>
      </w:r>
      <w:r>
        <w:t>8</w:t>
      </w:r>
      <w:r>
        <w:rPr>
          <w:rFonts w:hint="eastAsia"/>
        </w:rPr>
        <w:t>日生效。这使得允许妇女累积养恤金权利的办法各方面都有重大改善。例如，新立法禁止把兼职人员排除在养恤金方案之外，并提出必须有成比例的养恤金积累。同样，不应以工作的时间太少为由把员工排除在养恤金计划之外。此外，该立法还规定参加一个养恤金计划不一定取决于最低工资水平。职务间断以后返回劳动力市场的妇女可以把在最后一个职位上累积的养恤金权转移到由新雇主开办的计划上，条件是该职务应是在新法规生效之后结束的（价值转移权）。</w:t>
      </w:r>
    </w:p>
    <w:p w:rsidR="00000000" w:rsidRDefault="00000000">
      <w:pPr>
        <w:spacing w:after="240" w:line="400" w:lineRule="exact"/>
        <w:ind w:firstLine="425"/>
      </w:pPr>
      <w:r>
        <w:rPr>
          <w:rFonts w:hint="eastAsia"/>
        </w:rPr>
        <w:t>这项新法规为将养恤金保险提前征收基金的利息收入用于雇主补贴方案创造了可能性，其目的是为以往因性别原因被排除在养恤金计划之外的妇女的养恤金达到标准提供资助。该基金利用了这种可能性，并设立了一个补贴计划。</w:t>
      </w:r>
    </w:p>
    <w:p w:rsidR="00000000" w:rsidRDefault="00000000">
      <w:pPr>
        <w:spacing w:after="240" w:line="400" w:lineRule="exact"/>
        <w:ind w:firstLine="425"/>
      </w:pPr>
      <w:r>
        <w:rPr>
          <w:rFonts w:hint="eastAsia"/>
        </w:rPr>
        <w:t>《离婚时养恤金权利分配法》在</w:t>
      </w:r>
      <w:r>
        <w:t>1995</w:t>
      </w:r>
      <w:r>
        <w:rPr>
          <w:rFonts w:hint="eastAsia"/>
        </w:rPr>
        <w:t>年</w:t>
      </w:r>
      <w:r>
        <w:t>5</w:t>
      </w:r>
      <w:r>
        <w:rPr>
          <w:rFonts w:hint="eastAsia"/>
        </w:rPr>
        <w:t>月</w:t>
      </w:r>
      <w:r>
        <w:t>1</w:t>
      </w:r>
      <w:r>
        <w:rPr>
          <w:rFonts w:hint="eastAsia"/>
        </w:rPr>
        <w:t>日生效，从而改善了离婚妇女的状况。在婚内由一方或双方累积的养恤金权利在婚姻解除时应加以分割。这就产生了按照该法针对养恤金管理者采取的直接行动权利。</w:t>
      </w:r>
    </w:p>
    <w:p w:rsidR="00000000" w:rsidRDefault="00000000">
      <w:pPr>
        <w:spacing w:after="240" w:line="400" w:lineRule="exact"/>
        <w:rPr>
          <w:rFonts w:ascii="SimHei" w:eastAsia="SimHei"/>
        </w:rPr>
      </w:pPr>
      <w:r>
        <w:rPr>
          <w:rFonts w:ascii="SimHei" w:eastAsia="SimHei"/>
        </w:rPr>
        <w:t xml:space="preserve">*  </w:t>
      </w:r>
      <w:r>
        <w:rPr>
          <w:rFonts w:ascii="SimHei" w:eastAsia="SimHei" w:hint="eastAsia"/>
        </w:rPr>
        <w:t>把有偿劳动和无偿照管结合起来的范围</w:t>
      </w:r>
    </w:p>
    <w:p w:rsidR="00000000" w:rsidRDefault="00000000">
      <w:pPr>
        <w:spacing w:after="240" w:line="400" w:lineRule="exact"/>
        <w:rPr>
          <w:rFonts w:ascii="楷体" w:eastAsia="楷体"/>
        </w:rPr>
      </w:pPr>
      <w:r>
        <w:rPr>
          <w:rFonts w:ascii="楷体" w:eastAsia="楷体" w:hint="eastAsia"/>
        </w:rPr>
        <w:t>提供假期便利法案</w:t>
      </w:r>
    </w:p>
    <w:p w:rsidR="00000000" w:rsidRDefault="00000000">
      <w:pPr>
        <w:spacing w:after="240" w:line="400" w:lineRule="exact"/>
        <w:ind w:firstLine="425"/>
      </w:pPr>
      <w:r>
        <w:rPr>
          <w:rFonts w:hint="eastAsia"/>
        </w:rPr>
        <w:t>在审查的期间内政府采取了各种不同措施以确保员工能在其生命的各个阶段充分参与劳动力市场。向议会提交了各种促进假期的法案。从联合工业劳动委员会</w:t>
      </w:r>
      <w:r>
        <w:t>1997</w:t>
      </w:r>
      <w:r>
        <w:rPr>
          <w:rFonts w:hint="eastAsia"/>
        </w:rPr>
        <w:t>年</w:t>
      </w:r>
      <w:r>
        <w:t>3</w:t>
      </w:r>
      <w:r>
        <w:rPr>
          <w:rFonts w:hint="eastAsia"/>
        </w:rPr>
        <w:t>月</w:t>
      </w:r>
      <w:r>
        <w:t>18</w:t>
      </w:r>
      <w:r>
        <w:rPr>
          <w:rFonts w:hint="eastAsia"/>
        </w:rPr>
        <w:t>日的一致建议可以清楚看出这些法案在社会合伙人中得到广泛支持。政府在其政策文件‘工作与照管’中采用了大部分的建议，并在</w:t>
      </w:r>
      <w:r>
        <w:t>1997</w:t>
      </w:r>
      <w:r>
        <w:rPr>
          <w:rFonts w:hint="eastAsia"/>
        </w:rPr>
        <w:t>年</w:t>
      </w:r>
      <w:r>
        <w:t>4</w:t>
      </w:r>
      <w:r>
        <w:rPr>
          <w:rFonts w:hint="eastAsia"/>
        </w:rPr>
        <w:t>月</w:t>
      </w:r>
      <w:r>
        <w:t>29</w:t>
      </w:r>
      <w:r>
        <w:rPr>
          <w:rFonts w:hint="eastAsia"/>
        </w:rPr>
        <w:t>日把文件提交给了议会下院。政府希望以下列方式促进假期。</w:t>
      </w:r>
    </w:p>
    <w:p w:rsidR="00000000" w:rsidRDefault="00000000">
      <w:pPr>
        <w:spacing w:after="240" w:line="400" w:lineRule="exact"/>
        <w:ind w:firstLine="425"/>
      </w:pPr>
      <w:r>
        <w:t xml:space="preserve">*  </w:t>
      </w:r>
      <w:r>
        <w:rPr>
          <w:rFonts w:hint="eastAsia"/>
        </w:rPr>
        <w:t>父母假</w:t>
      </w:r>
    </w:p>
    <w:p w:rsidR="00000000" w:rsidRDefault="00000000">
      <w:pPr>
        <w:spacing w:after="240" w:line="400" w:lineRule="exact"/>
        <w:ind w:firstLine="425"/>
      </w:pPr>
      <w:r>
        <w:t>1997</w:t>
      </w:r>
      <w:r>
        <w:rPr>
          <w:rFonts w:hint="eastAsia"/>
        </w:rPr>
        <w:t>年</w:t>
      </w:r>
      <w:r>
        <w:t>7</w:t>
      </w:r>
      <w:r>
        <w:rPr>
          <w:rFonts w:hint="eastAsia"/>
        </w:rPr>
        <w:t>月</w:t>
      </w:r>
      <w:r>
        <w:t>1</w:t>
      </w:r>
      <w:r>
        <w:rPr>
          <w:rFonts w:hint="eastAsia"/>
        </w:rPr>
        <w:t>日对管理父母休假的法定条例进行了修正。从现在起父母也可以享受全时假期。由于取消了原来的</w:t>
      </w:r>
      <w:r>
        <w:t>20</w:t>
      </w:r>
      <w:r>
        <w:rPr>
          <w:rFonts w:hint="eastAsia"/>
        </w:rPr>
        <w:t>小时的限制，每周工作不足</w:t>
      </w:r>
      <w:r>
        <w:t>20</w:t>
      </w:r>
      <w:r>
        <w:rPr>
          <w:rFonts w:hint="eastAsia"/>
        </w:rPr>
        <w:t>小时的兼职人员现在也有权享受父母假。他们所照料的子女的年龄限制也增加到</w:t>
      </w:r>
      <w:r>
        <w:t>8</w:t>
      </w:r>
      <w:r>
        <w:rPr>
          <w:rFonts w:hint="eastAsia"/>
        </w:rPr>
        <w:t>岁。</w:t>
      </w:r>
      <w:r>
        <w:t>20%</w:t>
      </w:r>
      <w:r>
        <w:rPr>
          <w:rFonts w:hint="eastAsia"/>
        </w:rPr>
        <w:t>以上有权享受无薪父母假的妇女行使了这项权利，而男子则为</w:t>
      </w:r>
      <w:r>
        <w:t>4%</w:t>
      </w:r>
      <w:r>
        <w:rPr>
          <w:rFonts w:hint="eastAsia"/>
        </w:rPr>
        <w:t>。如果父母假可以带薪，</w:t>
      </w:r>
      <w:r>
        <w:t>40</w:t>
      </w:r>
      <w:r>
        <w:rPr>
          <w:rFonts w:hint="eastAsia"/>
        </w:rPr>
        <w:t>％以上妇女和</w:t>
      </w:r>
      <w:r>
        <w:t>24%</w:t>
      </w:r>
      <w:r>
        <w:rPr>
          <w:rFonts w:hint="eastAsia"/>
        </w:rPr>
        <w:t>男子将会行使这项权利。因此政府希望研究一下对于所有雇员来说带薪父母假的成本是多少好处有哪些，这类计划应如何安排。它还将考虑如何在社会合伙人和政府部门之间如何分摊带薪父母假的费用。最后，政府还希望弄清是否有可能让自营人员也享受父母假。</w:t>
      </w:r>
    </w:p>
    <w:p w:rsidR="00000000" w:rsidRDefault="00000000">
      <w:pPr>
        <w:spacing w:after="240" w:line="400" w:lineRule="exact"/>
        <w:ind w:firstLine="425"/>
      </w:pPr>
      <w:r>
        <w:t xml:space="preserve">*  </w:t>
      </w:r>
      <w:r>
        <w:rPr>
          <w:rFonts w:hint="eastAsia"/>
        </w:rPr>
        <w:t>应急假</w:t>
      </w:r>
    </w:p>
    <w:p w:rsidR="00000000" w:rsidRDefault="00000000">
      <w:pPr>
        <w:spacing w:after="240" w:line="400" w:lineRule="exact"/>
        <w:ind w:firstLine="425"/>
      </w:pPr>
      <w:r>
        <w:rPr>
          <w:rFonts w:hint="eastAsia"/>
        </w:rPr>
        <w:t>应急假的法律依据得到了加强。从现在起影响把工作和照管结合起来的紧急情况也可作为短期带薪假的理由。</w:t>
      </w:r>
    </w:p>
    <w:p w:rsidR="00000000" w:rsidRDefault="00000000">
      <w:pPr>
        <w:spacing w:after="240" w:line="400" w:lineRule="exact"/>
        <w:ind w:firstLine="425"/>
      </w:pPr>
      <w:r>
        <w:t xml:space="preserve">*  </w:t>
      </w:r>
      <w:r>
        <w:rPr>
          <w:rFonts w:hint="eastAsia"/>
        </w:rPr>
        <w:t>收养假</w:t>
      </w:r>
    </w:p>
    <w:p w:rsidR="00000000" w:rsidRDefault="00000000">
      <w:pPr>
        <w:spacing w:after="240" w:line="400" w:lineRule="exact"/>
        <w:ind w:firstLine="425"/>
      </w:pPr>
      <w:r>
        <w:rPr>
          <w:rFonts w:hint="eastAsia"/>
        </w:rPr>
        <w:t>如果收养子女，父母之一有权享受最多达四周的带薪假。象预产母亲的分娩假一样，这个‘亲合’假期按《疾病补助法》提供经费。</w:t>
      </w:r>
    </w:p>
    <w:p w:rsidR="00000000" w:rsidRDefault="00000000">
      <w:pPr>
        <w:spacing w:after="240" w:line="400" w:lineRule="exact"/>
        <w:ind w:firstLine="425"/>
      </w:pPr>
      <w:r>
        <w:t xml:space="preserve">*  </w:t>
      </w:r>
      <w:r>
        <w:rPr>
          <w:rFonts w:hint="eastAsia"/>
        </w:rPr>
        <w:t>用时间或金钱储蓄假期</w:t>
      </w:r>
    </w:p>
    <w:p w:rsidR="00000000" w:rsidRDefault="00000000">
      <w:pPr>
        <w:spacing w:after="240" w:line="400" w:lineRule="exact"/>
        <w:ind w:firstLine="425"/>
      </w:pPr>
      <w:r>
        <w:rPr>
          <w:rFonts w:hint="eastAsia"/>
        </w:rPr>
        <w:t>将修正《民法典》有关休假权的条款，以便允许雇员有足够余地为受教育或照管活动储蓄假期。还在研究允许雇员从薪金中储蓄假期的可能性。在</w:t>
      </w:r>
      <w:r>
        <w:t>1998</w:t>
      </w:r>
      <w:r>
        <w:rPr>
          <w:rFonts w:hint="eastAsia"/>
        </w:rPr>
        <w:t>年新的规则将准备就绪。</w:t>
      </w:r>
    </w:p>
    <w:p w:rsidR="00000000" w:rsidRDefault="00000000">
      <w:pPr>
        <w:spacing w:after="240" w:line="400" w:lineRule="exact"/>
        <w:ind w:firstLine="425"/>
      </w:pPr>
      <w:r>
        <w:t xml:space="preserve">*  </w:t>
      </w:r>
      <w:r>
        <w:rPr>
          <w:rFonts w:hint="eastAsia"/>
        </w:rPr>
        <w:t>《职业中止（资助）法》</w:t>
      </w:r>
    </w:p>
    <w:p w:rsidR="00000000" w:rsidRDefault="00000000">
      <w:pPr>
        <w:spacing w:after="240" w:line="400" w:lineRule="exact"/>
        <w:ind w:firstLine="425"/>
      </w:pPr>
      <w:r>
        <w:t>1997</w:t>
      </w:r>
      <w:r>
        <w:rPr>
          <w:rFonts w:hint="eastAsia"/>
        </w:rPr>
        <w:t>年</w:t>
      </w:r>
      <w:r>
        <w:t>11</w:t>
      </w:r>
      <w:r>
        <w:rPr>
          <w:rFonts w:hint="eastAsia"/>
        </w:rPr>
        <w:t>月</w:t>
      </w:r>
      <w:r>
        <w:t>27</w:t>
      </w:r>
      <w:r>
        <w:rPr>
          <w:rFonts w:hint="eastAsia"/>
        </w:rPr>
        <w:t>日议会下院通过了管理职业中止资助的一个法案。当一名雇员与为了参加学习或照管受扶养人与其雇主为较长假期作出安排时，在某些情况下雇员有权得到财政捐助。雇主应为离任的雇员作出安排，由一名领失业补助金的人、一名残疾人或一名归国者在假期替补他（她）。政府希望通过这种对职业中断的资助促进为照料和教育目的休假。这种形式的假期也是为了使雇员通过教育获得新技能，从而增加就业能力，并随年龄增长保持这种能力。预计该法案将在</w:t>
      </w:r>
      <w:r>
        <w:t>1998</w:t>
      </w:r>
      <w:r>
        <w:rPr>
          <w:rFonts w:hint="eastAsia"/>
        </w:rPr>
        <w:t>年成为法律。</w:t>
      </w:r>
    </w:p>
    <w:p w:rsidR="00000000" w:rsidRDefault="00000000">
      <w:pPr>
        <w:spacing w:after="240" w:line="400" w:lineRule="exact"/>
        <w:ind w:firstLine="425"/>
      </w:pPr>
      <w:r>
        <w:t xml:space="preserve">*  </w:t>
      </w:r>
      <w:r>
        <w:rPr>
          <w:rFonts w:hint="eastAsia"/>
        </w:rPr>
        <w:t>不带薪假</w:t>
      </w:r>
    </w:p>
    <w:p w:rsidR="00000000" w:rsidRDefault="00000000">
      <w:pPr>
        <w:spacing w:after="240" w:line="400" w:lineRule="exact"/>
        <w:ind w:firstLine="425"/>
      </w:pPr>
      <w:r>
        <w:t>1997</w:t>
      </w:r>
      <w:r>
        <w:rPr>
          <w:rFonts w:hint="eastAsia"/>
        </w:rPr>
        <w:t>年</w:t>
      </w:r>
      <w:r>
        <w:t>11</w:t>
      </w:r>
      <w:r>
        <w:rPr>
          <w:rFonts w:hint="eastAsia"/>
        </w:rPr>
        <w:t>月</w:t>
      </w:r>
      <w:r>
        <w:t>27</w:t>
      </w:r>
      <w:r>
        <w:rPr>
          <w:rFonts w:hint="eastAsia"/>
        </w:rPr>
        <w:t>日议会下院通过了一个消除社会保障系统中有碍不带薪假的阻力的法案（议会文件</w:t>
      </w:r>
      <w:r>
        <w:t>II 1996/97</w:t>
      </w:r>
      <w:r>
        <w:rPr>
          <w:rFonts w:hint="eastAsia"/>
        </w:rPr>
        <w:t>、</w:t>
      </w:r>
      <w:r>
        <w:t>25 618</w:t>
      </w:r>
      <w:r>
        <w:rPr>
          <w:rFonts w:hint="eastAsia"/>
        </w:rPr>
        <w:t>）。该法案的目的是确保雇员不放弃休假权，因为否则他们将失去社会保险所承保险别的权利。还在一切可能的地方正在消除可能会妨碍雇主允许雇员休假的障碍。拟议中的有关疾病、伤残和失业补贴的措施的目的是为了确保在不带薪假的最长期限</w:t>
      </w:r>
      <w:r>
        <w:t>18</w:t>
      </w:r>
      <w:r>
        <w:rPr>
          <w:rFonts w:hint="eastAsia"/>
        </w:rPr>
        <w:t>个月结束时雇员不会遇到确定日薪资率、必须有用于保险的介绍或认可等问题。该法案还规定按照《健康保险基金法》的保险应在假期继续下去。从</w:t>
      </w:r>
      <w:r>
        <w:t>1997</w:t>
      </w:r>
      <w:r>
        <w:rPr>
          <w:rFonts w:hint="eastAsia"/>
        </w:rPr>
        <w:t>年</w:t>
      </w:r>
      <w:r>
        <w:t>8</w:t>
      </w:r>
      <w:r>
        <w:rPr>
          <w:rFonts w:hint="eastAsia"/>
        </w:rPr>
        <w:t>月</w:t>
      </w:r>
      <w:r>
        <w:t>1</w:t>
      </w:r>
      <w:r>
        <w:rPr>
          <w:rFonts w:hint="eastAsia"/>
        </w:rPr>
        <w:t>日起享受全不带薪假的雇员仍按《健康保险基金法》投保。为这种群体已设立了一个特别养恤金计划。除了定期象征性捐款之外，还要求享受假期的每个雇员再捐约</w:t>
      </w:r>
      <w:r>
        <w:t>30</w:t>
      </w:r>
      <w:r>
        <w:rPr>
          <w:rFonts w:hint="eastAsia"/>
        </w:rPr>
        <w:t>荷兰盾。这是雇员方面最低工资的捐款。</w:t>
      </w:r>
    </w:p>
    <w:p w:rsidR="00000000" w:rsidRDefault="00000000">
      <w:pPr>
        <w:spacing w:after="240" w:line="400" w:lineRule="exact"/>
        <w:rPr>
          <w:rFonts w:ascii="SimHei" w:eastAsia="SimHei"/>
          <w:sz w:val="24"/>
        </w:rPr>
      </w:pPr>
      <w:r>
        <w:rPr>
          <w:rFonts w:ascii="SimHei" w:eastAsia="SimHei" w:hint="eastAsia"/>
          <w:sz w:val="24"/>
        </w:rPr>
        <w:t>第二级：走向多样性</w:t>
      </w:r>
    </w:p>
    <w:p w:rsidR="00000000" w:rsidRDefault="00000000">
      <w:pPr>
        <w:spacing w:after="240" w:line="400" w:lineRule="exact"/>
        <w:ind w:firstLine="425"/>
      </w:pPr>
      <w:r>
        <w:rPr>
          <w:rFonts w:hint="eastAsia"/>
        </w:rPr>
        <w:t>政府在其政策性文件“把工作、照管和经济独立结合起来的机会”（</w:t>
      </w:r>
      <w:r>
        <w:t>1997</w:t>
      </w:r>
      <w:r>
        <w:rPr>
          <w:rFonts w:hint="eastAsia"/>
        </w:rPr>
        <w:t>年</w:t>
      </w:r>
      <w:r>
        <w:t>9</w:t>
      </w:r>
      <w:r>
        <w:rPr>
          <w:rFonts w:hint="eastAsia"/>
        </w:rPr>
        <w:t>月）中，宣布了进一步的措施，给予每个人选择把有偿工作和无偿照管结合起来的机会。这方面的两项重要手段是所有雇员的带薪父母假和改善及扩大托儿保育设施。政府正在制订计划改进这些手段。一个其职责范围是市场力量、撤销管制规定和立法质量的委员会正在制订今后儿童保育的概要。还要求中央规划办公室为未来儿童保育设施提供预测。另外，还应采取措施使接受有偿工作对受过低水平教育和单亲父母在经济上更具吸引力。</w:t>
      </w:r>
    </w:p>
    <w:p w:rsidR="00000000" w:rsidRDefault="00000000">
      <w:pPr>
        <w:spacing w:after="240" w:line="400" w:lineRule="exact"/>
        <w:ind w:firstLine="425"/>
      </w:pPr>
      <w:r>
        <w:rPr>
          <w:rFonts w:hint="eastAsia"/>
        </w:rPr>
        <w:t>正在把这个政策文件提交给社会经济委员会和公营部门人事政策委员会。适当时将征求联合工业劳动委员会有关儿童保育今后政策的意见。政策文件包含关于今后这种政策的大纲。一个部际委员会正在使这一政策更加完善。该文件在某种程度上是对未来方案委员会的报告和解放委员会一系列建议的反应。它包括政府在</w:t>
      </w:r>
      <w:r>
        <w:t>1998</w:t>
      </w:r>
      <w:r>
        <w:rPr>
          <w:rFonts w:hint="eastAsia"/>
        </w:rPr>
        <w:t>年采取的一系列措施，并阐明了后来政府的重要决择必须以其为基础的理由。以下将说明迄今所实施的主要措施。为此目的把它们分为两类：</w:t>
      </w:r>
    </w:p>
    <w:p w:rsidR="00000000" w:rsidRDefault="00000000">
      <w:pPr>
        <w:spacing w:after="240" w:line="400" w:lineRule="exact"/>
        <w:ind w:firstLine="425"/>
      </w:pPr>
      <w:r>
        <w:t xml:space="preserve">*  </w:t>
      </w:r>
      <w:r>
        <w:rPr>
          <w:rFonts w:hint="eastAsia"/>
        </w:rPr>
        <w:t>鼓励妇女外出工作的措施，即使她们现在有补助。</w:t>
      </w:r>
    </w:p>
    <w:p w:rsidR="00000000" w:rsidRDefault="00000000">
      <w:pPr>
        <w:spacing w:after="240" w:line="400" w:lineRule="exact"/>
        <w:ind w:firstLine="425"/>
      </w:pPr>
      <w:r>
        <w:t xml:space="preserve">*  </w:t>
      </w:r>
      <w:r>
        <w:rPr>
          <w:rFonts w:hint="eastAsia"/>
        </w:rPr>
        <w:t>使有偿工作和无偿照管更方便地结合起来的措施，如休假计划和儿童保育设施。</w:t>
      </w:r>
    </w:p>
    <w:p w:rsidR="00000000" w:rsidRDefault="00000000">
      <w:pPr>
        <w:spacing w:after="240" w:line="400" w:lineRule="exact"/>
        <w:ind w:firstLine="425"/>
        <w:rPr>
          <w:rFonts w:ascii="SimHei" w:eastAsia="SimHei"/>
        </w:rPr>
      </w:pPr>
      <w:r>
        <w:t xml:space="preserve">*  </w:t>
      </w:r>
      <w:r>
        <w:rPr>
          <w:rFonts w:ascii="SimHei" w:eastAsia="SimHei" w:hint="eastAsia"/>
        </w:rPr>
        <w:t>鼓励妇女外出工作的措施</w:t>
      </w:r>
    </w:p>
    <w:p w:rsidR="00000000" w:rsidRDefault="00000000">
      <w:pPr>
        <w:spacing w:after="240" w:line="400" w:lineRule="exact"/>
        <w:ind w:firstLine="425"/>
      </w:pPr>
      <w:r>
        <w:rPr>
          <w:rFonts w:hint="eastAsia"/>
        </w:rPr>
        <w:t>妇女参与劳动力市场的一个前提条件是男女应有平等机会。代表社会和就业大臣对《平等待遇法》在这方面的作用进行了一次调查。这次调查的第一部分包括对相关判例法和文献的分析；专门研究了法律规定的标准是否十分明确，并列出现行立法中的含意不清和缺漏之处。还审查了执法和制裁机制。</w:t>
      </w:r>
    </w:p>
    <w:p w:rsidR="00000000" w:rsidRDefault="00000000">
      <w:pPr>
        <w:spacing w:after="240" w:line="400" w:lineRule="exact"/>
        <w:ind w:firstLine="425"/>
      </w:pPr>
      <w:r>
        <w:rPr>
          <w:rFonts w:hint="eastAsia"/>
        </w:rPr>
        <w:t>调查的第二部分涉及对雇员组织实际状况更加详细的研究。它表明在这些组织中一般对法律的知识和了解很少。很少人熟悉立法内容并了解这方面的问题。尽管大多数人赞成男女应受到平等待遇，他们主要受自己认为什么是公正合理的思想所支配。很多答复者不知道间接歧视的概念。同样人们对平等待遇委员会的存在和职责也没有足够了解。调查还显示，很难对法律有充分的了解，因为它被分割成不同的法规。</w:t>
      </w:r>
    </w:p>
    <w:p w:rsidR="00000000" w:rsidRDefault="00000000">
      <w:pPr>
        <w:spacing w:after="240" w:line="400" w:lineRule="exact"/>
        <w:ind w:firstLine="425"/>
      </w:pPr>
      <w:r>
        <w:rPr>
          <w:rFonts w:hint="eastAsia"/>
        </w:rPr>
        <w:t>雇主们也往往更多地受他们自己对男女平等待遇原则的看法的支配而不是受法定条例的支配。尽管对男女应受到平等待遇有比较广泛的一致看法，但是雇主们对这个概念的解释比法规中所载有较多的限制。雇主们做出的决定不仅受到他们自己对什么是‘平等待遇’的看法的影响而且受其他因素的影响。首先，企业不遵守法律可能会得到财政利益，但是维持工作场所良好气氛以及雇主对有关员工的重视也是重要的。做出任何决定的另一个重要考虑是可能失去任何第二次诉讼的机会以及这种损失的后果。</w:t>
      </w:r>
    </w:p>
    <w:p w:rsidR="00000000" w:rsidRDefault="00000000">
      <w:pPr>
        <w:spacing w:after="240" w:line="400" w:lineRule="exact"/>
        <w:ind w:firstLine="425"/>
      </w:pPr>
      <w:r>
        <w:rPr>
          <w:rFonts w:hint="eastAsia"/>
        </w:rPr>
        <w:t>根据这次调查的结论采取了下列措施：</w:t>
      </w:r>
    </w:p>
    <w:p w:rsidR="00000000" w:rsidRDefault="00000000">
      <w:pPr>
        <w:spacing w:after="240" w:line="400" w:lineRule="exact"/>
        <w:ind w:firstLine="425"/>
      </w:pPr>
      <w:r>
        <w:t xml:space="preserve">*  </w:t>
      </w:r>
      <w:r>
        <w:rPr>
          <w:rFonts w:hint="eastAsia"/>
        </w:rPr>
        <w:t>澄清了现有的信息并采取了更有效的办法提供信息；这会将加强对立法的认识和了解；</w:t>
      </w:r>
    </w:p>
    <w:p w:rsidR="00000000" w:rsidRDefault="00000000">
      <w:pPr>
        <w:spacing w:after="240" w:line="400" w:lineRule="exact"/>
        <w:ind w:firstLine="425"/>
      </w:pPr>
      <w:r>
        <w:t xml:space="preserve">*  </w:t>
      </w:r>
      <w:r>
        <w:rPr>
          <w:rFonts w:hint="eastAsia"/>
        </w:rPr>
        <w:t>对将当前较为分散的立法纳入主流的可能性进行了研究。</w:t>
      </w:r>
    </w:p>
    <w:p w:rsidR="00000000" w:rsidRDefault="00000000">
      <w:pPr>
        <w:spacing w:after="240" w:line="400" w:lineRule="exact"/>
        <w:ind w:firstLine="425"/>
      </w:pPr>
      <w:r>
        <w:rPr>
          <w:rFonts w:hint="eastAsia"/>
        </w:rPr>
        <w:t>在</w:t>
      </w:r>
      <w:r>
        <w:t>1999</w:t>
      </w:r>
      <w:r>
        <w:rPr>
          <w:rFonts w:hint="eastAsia"/>
        </w:rPr>
        <w:t>年按计划对《平等待遇法》进行评估时将考虑是否对该法进行进一步的修正。</w:t>
      </w:r>
    </w:p>
    <w:p w:rsidR="00000000" w:rsidRDefault="00000000">
      <w:pPr>
        <w:spacing w:after="240" w:line="400" w:lineRule="exact"/>
        <w:rPr>
          <w:rFonts w:ascii="楷体" w:eastAsia="楷体"/>
        </w:rPr>
      </w:pPr>
      <w:r>
        <w:rPr>
          <w:rFonts w:ascii="楷体" w:eastAsia="楷体" w:hint="eastAsia"/>
        </w:rPr>
        <w:t>商业机会</w:t>
      </w:r>
    </w:p>
    <w:p w:rsidR="00000000" w:rsidRDefault="00000000">
      <w:pPr>
        <w:spacing w:after="240" w:line="400" w:lineRule="exact"/>
        <w:ind w:firstLine="425"/>
      </w:pPr>
      <w:r>
        <w:t>1996</w:t>
      </w:r>
      <w:r>
        <w:rPr>
          <w:rFonts w:hint="eastAsia"/>
        </w:rPr>
        <w:t>年开展的商业机会运动是仿效联合王国的</w:t>
      </w:r>
      <w:r>
        <w:t>2000</w:t>
      </w:r>
      <w:r>
        <w:rPr>
          <w:rFonts w:hint="eastAsia"/>
        </w:rPr>
        <w:t>机会运动。其目标是要在争取实现商业和工业中男女职务更加均衡分配的努力中注入新的活力。这次运动的前身</w:t>
      </w:r>
      <w:r>
        <w:t>——</w:t>
      </w:r>
      <w:r>
        <w:rPr>
          <w:rFonts w:hint="eastAsia"/>
        </w:rPr>
        <w:t>积极行动政策</w:t>
      </w:r>
      <w:r>
        <w:t>——</w:t>
      </w:r>
      <w:r>
        <w:rPr>
          <w:rFonts w:hint="eastAsia"/>
        </w:rPr>
        <w:t>未能获得私营部门的充分支持。当社会和就业大臣、解放政策协调大臣和经济事务大臣提出这个新倡议时，它很快赢得荷兰商界高层决策者的热情响应。成立了一个由包括</w:t>
      </w:r>
      <w:r>
        <w:t>KPMG</w:t>
      </w:r>
      <w:r>
        <w:rPr>
          <w:rFonts w:hint="eastAsia"/>
        </w:rPr>
        <w:t>、</w:t>
      </w:r>
      <w:r>
        <w:t>KLM</w:t>
      </w:r>
      <w:r>
        <w:rPr>
          <w:rFonts w:hint="eastAsia"/>
        </w:rPr>
        <w:t>、</w:t>
      </w:r>
      <w:r>
        <w:t>Unilever</w:t>
      </w:r>
      <w:r>
        <w:rPr>
          <w:rFonts w:hint="eastAsia"/>
        </w:rPr>
        <w:t>、</w:t>
      </w:r>
      <w:r>
        <w:t>ABN-AMRO</w:t>
      </w:r>
      <w:r>
        <w:rPr>
          <w:rFonts w:hint="eastAsia"/>
        </w:rPr>
        <w:t>银行和</w:t>
      </w:r>
      <w:r>
        <w:t>Akzo-Nobel</w:t>
      </w:r>
      <w:r>
        <w:rPr>
          <w:rFonts w:hint="eastAsia"/>
        </w:rPr>
        <w:t>在内的</w:t>
      </w:r>
      <w:r>
        <w:t>20</w:t>
      </w:r>
      <w:r>
        <w:rPr>
          <w:rFonts w:hint="eastAsia"/>
        </w:rPr>
        <w:t>家公司的代表和各个政府部以及工业双方的代表组成的指导小组，以帮助建立这个项目。它为参加的公司提供适合需要的支助。每家公司制订自己的多样性计划和目标，然后把它们纳入其媒体和公司的中长期战略。完成这项任务的一种办法是努力引进一种承认人们之间差异和容许存在多样化的公司文化，在这种文化中人们能够把生活三个方面（私人生活、工作与收入、政治和社会生活）的每种活动结合起来。因此，商业机会为各公司提供了实现这种文化变革的具体手段。自运动开展一年多以来大约一百家公司参与了这个运动。</w:t>
      </w:r>
    </w:p>
    <w:p w:rsidR="00000000" w:rsidRDefault="00000000">
      <w:pPr>
        <w:spacing w:after="240" w:line="400" w:lineRule="exact"/>
        <w:rPr>
          <w:rFonts w:ascii="楷体" w:eastAsia="楷体"/>
        </w:rPr>
      </w:pPr>
      <w:r>
        <w:rPr>
          <w:rFonts w:ascii="楷体" w:eastAsia="楷体" w:hint="eastAsia"/>
        </w:rPr>
        <w:t>兼职工作</w:t>
      </w:r>
    </w:p>
    <w:p w:rsidR="00000000" w:rsidRDefault="00000000">
      <w:pPr>
        <w:spacing w:after="240" w:line="400" w:lineRule="exact"/>
        <w:ind w:firstLine="425"/>
      </w:pPr>
      <w:r>
        <w:rPr>
          <w:rFonts w:hint="eastAsia"/>
        </w:rPr>
        <w:t>从事兼职工作是把有偿工作和无偿照管结合起来的一种方法。政府政策的目标是增加兼职职务的数量，鼓励男子从事兼职工作并确保兼职工作得到平等待遇。根据</w:t>
      </w:r>
      <w:r>
        <w:t>De Olde</w:t>
      </w:r>
      <w:r>
        <w:rPr>
          <w:rFonts w:hint="eastAsia"/>
        </w:rPr>
        <w:t>（</w:t>
      </w:r>
      <w:r>
        <w:t>1992</w:t>
      </w:r>
      <w:r>
        <w:rPr>
          <w:rFonts w:hint="eastAsia"/>
        </w:rPr>
        <w:t>年）的研究已编写完一本名为《兼职管理》的实用手册。</w:t>
      </w:r>
      <w:r>
        <w:rPr>
          <w:rStyle w:val="FootnoteReference"/>
        </w:rPr>
        <w:footnoteReference w:customMarkFollows="1" w:id="35"/>
        <w:t>33</w:t>
      </w:r>
      <w:r>
        <w:rPr>
          <w:rFonts w:hint="eastAsia"/>
        </w:rPr>
        <w:t>另一个调查表明公司常常不愿意讨论男子从事兼职工作的愿望。</w:t>
      </w:r>
      <w:r>
        <w:rPr>
          <w:rStyle w:val="FootnoteReference"/>
        </w:rPr>
        <w:footnoteReference w:customMarkFollows="1" w:id="36"/>
        <w:t>34</w:t>
      </w:r>
      <w:r>
        <w:rPr>
          <w:rFonts w:hint="eastAsia"/>
        </w:rPr>
        <w:t>不仅男子从事兼职工作是一个禁忌话题，而且有经验的兼职员工认为兼职对他的职业生涯有不利影响。因此这项政策专门论述男子如何利用条件把有偿工作和无偿照管结合起来。最近进行了一次调查，以弄清男性员工如何实现兼职工作的愿望和（或）如何休应急假以及在这个过程中他们必须克服哪些障碍。这个调查的目标是为了发现当局或工业的双方是否可以用某种方式消除这些障碍。研究人员发现的主要障碍与观念有关。现已证明现存的对兼职工作的偏见，如担心失去地位以及某人自己的职务不适合兼职工作的想法十分根深蒂固。工业双方在战胜这种偏见中的作用是重要的。</w:t>
      </w:r>
    </w:p>
    <w:p w:rsidR="00000000" w:rsidRDefault="00000000">
      <w:pPr>
        <w:spacing w:after="240" w:line="400" w:lineRule="exact"/>
        <w:ind w:firstLine="425"/>
      </w:pPr>
      <w:r>
        <w:rPr>
          <w:rFonts w:hint="eastAsia"/>
        </w:rPr>
        <w:t>联合工业劳动委员会在其</w:t>
      </w:r>
      <w:r>
        <w:t>1997</w:t>
      </w:r>
      <w:r>
        <w:rPr>
          <w:rFonts w:hint="eastAsia"/>
        </w:rPr>
        <w:t>年</w:t>
      </w:r>
      <w:r>
        <w:t>10</w:t>
      </w:r>
      <w:r>
        <w:rPr>
          <w:rFonts w:hint="eastAsia"/>
        </w:rPr>
        <w:t>月</w:t>
      </w:r>
      <w:r>
        <w:t>10</w:t>
      </w:r>
      <w:r>
        <w:rPr>
          <w:rFonts w:hint="eastAsia"/>
        </w:rPr>
        <w:t>日的建议中号召集体协议的合伙人就兼职工作达成一致。雇员和雇主都有代表参加的这个委员会认为做出安排确保在凡是可能的地方满足雇员从事兼职工作的愿望是非常重要的，同时承认在有些情况下公司的利益比个人的利益重要因此应拒绝这种要求。</w:t>
      </w:r>
    </w:p>
    <w:p w:rsidR="00000000" w:rsidRDefault="00000000">
      <w:pPr>
        <w:spacing w:after="240" w:line="400" w:lineRule="exact"/>
        <w:rPr>
          <w:rFonts w:ascii="楷体" w:eastAsia="楷体"/>
        </w:rPr>
      </w:pPr>
      <w:r>
        <w:rPr>
          <w:rFonts w:ascii="楷体" w:eastAsia="楷体" w:hint="eastAsia"/>
        </w:rPr>
        <w:t>平等工资</w:t>
      </w:r>
    </w:p>
    <w:p w:rsidR="00000000" w:rsidRDefault="00000000">
      <w:pPr>
        <w:spacing w:after="240" w:line="400" w:lineRule="exact"/>
        <w:ind w:firstLine="425"/>
      </w:pPr>
      <w:r>
        <w:rPr>
          <w:rFonts w:hint="eastAsia"/>
        </w:rPr>
        <w:t>政府已委托进行一项调查，以找到确定并克服职务评估系统中性别歧视的方法。其目的是最终能有一个不会对男女同酬形成障碍的中性职务评估系统。</w:t>
      </w:r>
    </w:p>
    <w:p w:rsidR="00000000" w:rsidRDefault="00000000">
      <w:pPr>
        <w:spacing w:after="240" w:line="400" w:lineRule="exact"/>
        <w:ind w:firstLine="425"/>
      </w:pPr>
      <w:r>
        <w:rPr>
          <w:rFonts w:hint="eastAsia"/>
        </w:rPr>
        <w:t>如果怀疑所给的不平等报酬是毫无理由的，可以采取各种类型的行动。无论是单个员工或工会以及工厂委员会都可以提出这个问题。如果个人不愿意行使单独诉讼权，可采取团体行动（关于这个主题，见第二章《平等待遇法》）。团体行动也是提出对较大员工团体具重要性事项的理想办法。在这种情况下它比进行一系列个人诉讼更加有效。工厂委员会本身可向平等待遇委员会独立提出诉讼。压力集团，包括工会有能力向委员会或法院提起诉讼。</w:t>
      </w:r>
    </w:p>
    <w:p w:rsidR="00000000" w:rsidRDefault="00000000">
      <w:pPr>
        <w:spacing w:after="240" w:line="400" w:lineRule="exact"/>
        <w:ind w:firstLine="425"/>
      </w:pPr>
      <w:r>
        <w:rPr>
          <w:rFonts w:hint="eastAsia"/>
        </w:rPr>
        <w:t>上述对《平等待遇法》效力的调查显示工厂委员会并不充分了解平等待遇法规。它们也很不了解平等待遇委员会的职责和权力。这就是为什么出版题为《男女同酬</w:t>
      </w:r>
      <w:r>
        <w:t xml:space="preserve"> </w:t>
      </w:r>
      <w:r>
        <w:rPr>
          <w:rFonts w:hint="eastAsia"/>
        </w:rPr>
        <w:t>，工厂委员会的议事日程》一本新的信息小册子的原因。这本小册子的目的是要确保工厂委员会：</w:t>
      </w:r>
    </w:p>
    <w:p w:rsidR="00000000" w:rsidRDefault="00000000">
      <w:pPr>
        <w:numPr>
          <w:ilvl w:val="0"/>
          <w:numId w:val="10"/>
        </w:numPr>
        <w:spacing w:after="240" w:line="400" w:lineRule="exact"/>
        <w:ind w:firstLine="425"/>
      </w:pPr>
      <w:r>
        <w:rPr>
          <w:rFonts w:hint="eastAsia"/>
        </w:rPr>
        <w:t>把平等工资这个主题列入其议事日程，使雇主和雇员都重视这个问题；</w:t>
      </w:r>
    </w:p>
    <w:p w:rsidR="00000000" w:rsidRDefault="00000000">
      <w:pPr>
        <w:numPr>
          <w:ilvl w:val="0"/>
          <w:numId w:val="10"/>
        </w:numPr>
        <w:spacing w:after="240" w:line="400" w:lineRule="exact"/>
        <w:ind w:firstLine="425"/>
      </w:pPr>
      <w:r>
        <w:rPr>
          <w:rFonts w:hint="eastAsia"/>
        </w:rPr>
        <w:t>调查一下在其本身组织内是否有不同酬现象（违法的），如有应把情况通知雇主；</w:t>
      </w:r>
    </w:p>
    <w:p w:rsidR="00000000" w:rsidRDefault="00000000">
      <w:pPr>
        <w:numPr>
          <w:ilvl w:val="0"/>
          <w:numId w:val="10"/>
        </w:numPr>
        <w:spacing w:after="240" w:line="400" w:lineRule="exact"/>
        <w:ind w:firstLine="425"/>
      </w:pPr>
      <w:r>
        <w:rPr>
          <w:rFonts w:hint="eastAsia"/>
        </w:rPr>
        <w:t>如果有不同酬现象，与雇主共同采取行动按照法律实行同酬。</w:t>
      </w:r>
    </w:p>
    <w:p w:rsidR="00000000" w:rsidRDefault="00000000">
      <w:pPr>
        <w:spacing w:after="240" w:line="400" w:lineRule="exact"/>
        <w:ind w:firstLine="425"/>
      </w:pPr>
      <w:r>
        <w:rPr>
          <w:rFonts w:hint="eastAsia"/>
        </w:rPr>
        <w:t>该书载有一个逐步渐进的计划。</w:t>
      </w:r>
    </w:p>
    <w:p w:rsidR="00000000" w:rsidRDefault="00000000">
      <w:pPr>
        <w:spacing w:after="240" w:line="400" w:lineRule="exact"/>
        <w:rPr>
          <w:rFonts w:ascii="楷体" w:eastAsia="楷体"/>
        </w:rPr>
      </w:pPr>
      <w:r>
        <w:rPr>
          <w:rFonts w:ascii="楷体" w:eastAsia="楷体"/>
        </w:rPr>
        <w:br w:type="page"/>
      </w:r>
      <w:r>
        <w:rPr>
          <w:rFonts w:ascii="楷体" w:eastAsia="楷体" w:hint="eastAsia"/>
        </w:rPr>
        <w:t>从事技术职业的妇女</w:t>
      </w:r>
    </w:p>
    <w:p w:rsidR="00000000" w:rsidRDefault="00000000">
      <w:pPr>
        <w:spacing w:after="240" w:line="400" w:lineRule="exact"/>
        <w:ind w:firstLine="425"/>
      </w:pPr>
      <w:r>
        <w:rPr>
          <w:rFonts w:hint="eastAsia"/>
        </w:rPr>
        <w:t>《</w:t>
      </w:r>
      <w:r>
        <w:t>1995-1998</w:t>
      </w:r>
      <w:r>
        <w:rPr>
          <w:rFonts w:hint="eastAsia"/>
        </w:rPr>
        <w:t>年妇女和技术行动计划》的目标是增加技术职业中女孩和妇女的人数。按照这个计划经济事务部、教育、文化和科学部和社会和就业部都在支助与这个目标有关的项目。这些项目是</w:t>
      </w:r>
      <w:r>
        <w:t>1995</w:t>
      </w:r>
      <w:r>
        <w:rPr>
          <w:rFonts w:hint="eastAsia"/>
        </w:rPr>
        <w:t>年开始的，最后一个将在</w:t>
      </w:r>
      <w:r>
        <w:t>1998</w:t>
      </w:r>
      <w:r>
        <w:rPr>
          <w:rFonts w:hint="eastAsia"/>
        </w:rPr>
        <w:t>年完成。公务员工作组的最后报告将在</w:t>
      </w:r>
      <w:r>
        <w:t>1998</w:t>
      </w:r>
      <w:r>
        <w:rPr>
          <w:rFonts w:hint="eastAsia"/>
        </w:rPr>
        <w:t>年公布。迄今为止的调查结果显示关于妇女与技术的政策主题方面的问题并不在于妇女对技术的态度消极这一事实，而是：</w:t>
      </w:r>
    </w:p>
    <w:p w:rsidR="00000000" w:rsidRDefault="00000000">
      <w:pPr>
        <w:spacing w:after="240" w:line="400" w:lineRule="exact"/>
        <w:ind w:firstLine="425"/>
      </w:pPr>
      <w:r>
        <w:t xml:space="preserve">*  </w:t>
      </w:r>
      <w:r>
        <w:rPr>
          <w:rFonts w:hint="eastAsia"/>
        </w:rPr>
        <w:t>她们不了解技术课程和工业公司；</w:t>
      </w:r>
    </w:p>
    <w:p w:rsidR="00000000" w:rsidRDefault="00000000">
      <w:pPr>
        <w:spacing w:after="240" w:line="400" w:lineRule="exact"/>
        <w:ind w:firstLine="425"/>
      </w:pPr>
      <w:r>
        <w:t xml:space="preserve">*  </w:t>
      </w:r>
      <w:r>
        <w:rPr>
          <w:rFonts w:hint="eastAsia"/>
        </w:rPr>
        <w:t>技术课程和工业公司的反面形象；</w:t>
      </w:r>
    </w:p>
    <w:p w:rsidR="00000000" w:rsidRDefault="00000000">
      <w:pPr>
        <w:spacing w:after="240" w:line="400" w:lineRule="exact"/>
        <w:ind w:firstLine="425"/>
      </w:pPr>
      <w:r>
        <w:t xml:space="preserve">*  </w:t>
      </w:r>
      <w:r>
        <w:rPr>
          <w:rFonts w:hint="eastAsia"/>
        </w:rPr>
        <w:t>妇女仍然与技术的组织和文化无缘这一事实。</w:t>
      </w:r>
    </w:p>
    <w:p w:rsidR="00000000" w:rsidRDefault="00000000">
      <w:pPr>
        <w:autoSpaceDE w:val="0"/>
        <w:autoSpaceDN w:val="0"/>
        <w:spacing w:after="240" w:line="400" w:lineRule="exact"/>
        <w:textAlignment w:val="bottom"/>
        <w:rPr>
          <w:rFonts w:ascii="楷体" w:eastAsia="楷体"/>
        </w:rPr>
      </w:pPr>
      <w:r>
        <w:rPr>
          <w:rFonts w:ascii="楷体" w:eastAsia="楷体" w:hint="eastAsia"/>
        </w:rPr>
        <w:t>妇女和工作‘服务部’</w:t>
      </w:r>
    </w:p>
    <w:p w:rsidR="00000000" w:rsidRDefault="00000000">
      <w:pPr>
        <w:autoSpaceDE w:val="0"/>
        <w:autoSpaceDN w:val="0"/>
        <w:spacing w:after="240" w:line="400" w:lineRule="exact"/>
        <w:ind w:firstLine="425"/>
        <w:textAlignment w:val="bottom"/>
      </w:pPr>
      <w:r>
        <w:rPr>
          <w:rFonts w:hint="eastAsia"/>
        </w:rPr>
        <w:t>上一次报告曾提到作为公共就业部门可以用来鼓励妇女参与或返回劳动力市场的一种特殊工具的妇女和工作‘服务部’。从</w:t>
      </w:r>
      <w:r>
        <w:t>1993</w:t>
      </w:r>
      <w:r>
        <w:rPr>
          <w:rFonts w:hint="eastAsia"/>
        </w:rPr>
        <w:t>年以来公共就业部门逐渐分阶段结束了对妇女工作‘服务部’这类机构的资助。所以‘服务部’可以就是否成为公共就业部门的一个组成部分同时在其内部保持可识别实体，或者他们是否希望继续作为独立机构而把公共就业部门作为客户作出选择。一批‘服务部’选择了后者，但是由于经费削减影响到人力资源部门，它们的生存遇到了很大困难。</w:t>
      </w:r>
    </w:p>
    <w:p w:rsidR="00000000" w:rsidRDefault="00000000">
      <w:pPr>
        <w:autoSpaceDE w:val="0"/>
        <w:autoSpaceDN w:val="0"/>
        <w:spacing w:after="240" w:line="400" w:lineRule="exact"/>
        <w:textAlignment w:val="bottom"/>
        <w:rPr>
          <w:rFonts w:ascii="楷体" w:eastAsia="楷体"/>
        </w:rPr>
      </w:pPr>
      <w:r>
        <w:rPr>
          <w:rFonts w:ascii="楷体" w:eastAsia="楷体" w:hint="eastAsia"/>
        </w:rPr>
        <w:t>自营妇女</w:t>
      </w:r>
    </w:p>
    <w:p w:rsidR="00000000" w:rsidRDefault="00000000">
      <w:pPr>
        <w:autoSpaceDE w:val="0"/>
        <w:autoSpaceDN w:val="0"/>
        <w:spacing w:after="240" w:line="400" w:lineRule="exact"/>
        <w:ind w:firstLine="425"/>
        <w:textAlignment w:val="bottom"/>
      </w:pPr>
      <w:r>
        <w:t>1994</w:t>
      </w:r>
      <w:r>
        <w:rPr>
          <w:rFonts w:hint="eastAsia"/>
        </w:rPr>
        <w:t>年的一项调查显示一些妇女在成立企业时遇到困难。妇女常常不能充分利用信息和咨询服务，而且组织不好，在商界关系也少。为企业家提供的各种服务往往不是为了满足妇女的特殊需要。同样向刚刚开始办自己企业的妇女提供贷款的办法也有改进余地。在这里偏见和传统形象仍常常起作用，但是正在开始消亡（关于‘女商人和银行’项目另见第三级）。为了解决前两个问题，</w:t>
      </w:r>
      <w:r>
        <w:t>1995</w:t>
      </w:r>
      <w:r>
        <w:rPr>
          <w:rFonts w:hint="eastAsia"/>
        </w:rPr>
        <w:t>年初开始了四个区域试验项目。这些项目部分由经济事务部补助，其目的是改善为正在开始或管理自己企业的妇女的服务。将通过加强对各种中间机构提供信息和咨询的区域合作与协调来做到这一点。一个附带的目的是把女商人组成区域网络，以便为正在开始或管理自己企业的妇女降低起点。其中的一个项目由于缺少中间机构的支持而过早停止了。其余三个项目都顺利完成。现在已将这些试验项目的结果汇编成一个单独的便于使用的调查报告，并在一些有向企业提供信息和咨询的全国网络的组织中发放。召开了一个授权女企业家并特别鼓励企业发展的全国性会议。</w:t>
      </w:r>
    </w:p>
    <w:p w:rsidR="00000000" w:rsidRDefault="00000000">
      <w:pPr>
        <w:autoSpaceDE w:val="0"/>
        <w:autoSpaceDN w:val="0"/>
        <w:spacing w:after="240" w:line="400" w:lineRule="exact"/>
        <w:ind w:firstLine="425"/>
        <w:textAlignment w:val="bottom"/>
      </w:pPr>
      <w:r>
        <w:rPr>
          <w:rFonts w:hint="eastAsia"/>
        </w:rPr>
        <w:t>一般来说，涉及共同管理企业的配偶的金融和财产的事项往往管理混乱。如果出现破产、死亡或离婚就会产生各种麻烦问题。对于那些在其丈夫企业中供职的妇女更是一大问题。荷兰中小企业组织最近出版了一本易于理解的小册子，要求人们关注在这种条件下的妇女的恶劣财政状况。</w:t>
      </w:r>
      <w:r>
        <w:rPr>
          <w:rStyle w:val="FootnoteReference"/>
        </w:rPr>
        <w:footnoteReference w:customMarkFollows="1" w:id="37"/>
        <w:t>35</w:t>
      </w:r>
      <w:r>
        <w:rPr>
          <w:rFonts w:hint="eastAsia"/>
        </w:rPr>
        <w:t>这本带插页和例图的小册子旨在引导合伙人尽早妥善安排他们的财政事务。对税务法规的一项修正已使得妻子可以更方便地以企业共同业主名义注册。这显然改善了在其丈夫企业中供职的妇女的状况。然而，正式记录她们的职业和收入本身并不提供更大的个人金融安全。仅仅一小部分（</w:t>
      </w:r>
      <w:r>
        <w:t>25%</w:t>
      </w:r>
      <w:r>
        <w:rPr>
          <w:rFonts w:hint="eastAsia"/>
        </w:rPr>
        <w:t>）因疾病无力工作而保了丧失收入险。近年来自营妇女和在其丈夫企业中供职的妇女有可能为她们自己怀孕和分娩保了丧失收入险。已出版了一本关于这个主题的信息小册子。</w:t>
      </w:r>
      <w:r>
        <w:rPr>
          <w:rStyle w:val="FootnoteReference"/>
        </w:rPr>
        <w:footnoteReference w:customMarkFollows="1" w:id="38"/>
        <w:t>36</w:t>
      </w:r>
    </w:p>
    <w:p w:rsidR="00000000" w:rsidRDefault="00000000">
      <w:pPr>
        <w:autoSpaceDE w:val="0"/>
        <w:autoSpaceDN w:val="0"/>
        <w:spacing w:after="240" w:line="400" w:lineRule="exact"/>
        <w:textAlignment w:val="bottom"/>
        <w:rPr>
          <w:rFonts w:ascii="楷体" w:eastAsia="楷体"/>
        </w:rPr>
      </w:pPr>
      <w:r>
        <w:rPr>
          <w:rFonts w:ascii="楷体" w:eastAsia="楷体" w:hint="eastAsia"/>
        </w:rPr>
        <w:t>‘难安置者’职务</w:t>
      </w:r>
    </w:p>
    <w:p w:rsidR="00000000" w:rsidRDefault="00000000">
      <w:pPr>
        <w:autoSpaceDE w:val="0"/>
        <w:autoSpaceDN w:val="0"/>
        <w:spacing w:after="240" w:line="400" w:lineRule="exact"/>
        <w:ind w:firstLine="425"/>
        <w:textAlignment w:val="bottom"/>
      </w:pPr>
      <w:r>
        <w:rPr>
          <w:rFonts w:hint="eastAsia"/>
        </w:rPr>
        <w:t>对于一个试图尽量减少其公民充分参与社会的阻力的社会来说，重要的是尽可能多的人应能够找到适合的工作。这就需要对劳动力市场的供求进行良好的协调，以便可以有效填补出现的空缺。为此目的向那些在劳动力市场上，‘难以安置’的人提供好的服务是绝对必要的。</w:t>
      </w:r>
    </w:p>
    <w:p w:rsidR="00000000" w:rsidRDefault="00000000">
      <w:pPr>
        <w:autoSpaceDE w:val="0"/>
        <w:autoSpaceDN w:val="0"/>
        <w:spacing w:after="240" w:line="400" w:lineRule="exact"/>
        <w:ind w:firstLine="425"/>
        <w:textAlignment w:val="bottom"/>
      </w:pPr>
      <w:r>
        <w:rPr>
          <w:rFonts w:hint="eastAsia"/>
        </w:rPr>
        <w:t>隶属于</w:t>
      </w:r>
      <w:r>
        <w:t>18</w:t>
      </w:r>
      <w:r>
        <w:rPr>
          <w:rFonts w:hint="eastAsia"/>
        </w:rPr>
        <w:t>个区域委员会的就业办事处为寻找工作者安排职务空缺。其职责之一是对那些相对‘远离’劳动力市场的求职者给予特别优先。社会和就业大臣与公共就业部门每年都为这些群体商定计划。后来进行了一次检查，以弄清妇女是否从补充程序和额外努力中得到符合比例的好处（即符合这些寻找职业群体中妇女所占比例）。从</w:t>
      </w:r>
      <w:r>
        <w:t>1992</w:t>
      </w:r>
      <w:r>
        <w:rPr>
          <w:rFonts w:hint="eastAsia"/>
        </w:rPr>
        <w:t>年以来区域就业办事处为实现这一比例取得很大成功。公共就业部门公布的最新安置数字是</w:t>
      </w:r>
      <w:r>
        <w:t>1996</w:t>
      </w:r>
      <w:r>
        <w:rPr>
          <w:rFonts w:hint="eastAsia"/>
        </w:rPr>
        <w:t>年的数字。该年总计</w:t>
      </w:r>
      <w:r>
        <w:t>86.7</w:t>
      </w:r>
      <w:r>
        <w:rPr>
          <w:rFonts w:hint="eastAsia"/>
        </w:rPr>
        <w:t>万失业求职者中有</w:t>
      </w:r>
      <w:r>
        <w:t>40.8</w:t>
      </w:r>
      <w:r>
        <w:rPr>
          <w:rFonts w:hint="eastAsia"/>
        </w:rPr>
        <w:t>万妇女作为求职者进行了登记。在找到工作的总共</w:t>
      </w:r>
      <w:r>
        <w:t>15.4</w:t>
      </w:r>
      <w:r>
        <w:rPr>
          <w:rFonts w:hint="eastAsia"/>
        </w:rPr>
        <w:t>万失业求职者中有</w:t>
      </w:r>
      <w:r>
        <w:t>6.8</w:t>
      </w:r>
      <w:r>
        <w:rPr>
          <w:rFonts w:hint="eastAsia"/>
        </w:rPr>
        <w:t>万是妇女。为了加强他们成功的机会，已为这个群体中的</w:t>
      </w:r>
      <w:r>
        <w:t>5.2</w:t>
      </w:r>
      <w:r>
        <w:rPr>
          <w:rFonts w:hint="eastAsia"/>
        </w:rPr>
        <w:t>万人做出额外努力（如培训），其中有</w:t>
      </w:r>
      <w:r>
        <w:t>2</w:t>
      </w:r>
      <w:r>
        <w:rPr>
          <w:rFonts w:hint="eastAsia"/>
        </w:rPr>
        <w:t>万人是妇女。</w:t>
      </w:r>
    </w:p>
    <w:p w:rsidR="00000000" w:rsidRDefault="00000000">
      <w:pPr>
        <w:autoSpaceDE w:val="0"/>
        <w:autoSpaceDN w:val="0"/>
        <w:spacing w:after="240" w:line="400" w:lineRule="exact"/>
        <w:ind w:firstLine="425"/>
        <w:textAlignment w:val="bottom"/>
      </w:pPr>
      <w:r>
        <w:rPr>
          <w:rFonts w:hint="eastAsia"/>
        </w:rPr>
        <w:t>除了一般性措施和手段之外，公共就业部门为了帮助妇女寻找职业还利用了特殊的手段。例如，公共就业部门必要时买进妇女职业学校的职务，以便促进妇女普遍参与培训，并特别促进妇女进入技术职业领域。这些学校使它们的方法、登记表和设施（如保育设施）适合参与者的需要。如前几年一样，社会和就业大臣与公共就业部门中央董事会商定，区域就业办事处在</w:t>
      </w:r>
      <w:r>
        <w:t>1998</w:t>
      </w:r>
      <w:r>
        <w:rPr>
          <w:rFonts w:hint="eastAsia"/>
        </w:rPr>
        <w:t>年将从这些职业学校买进多达担保数额的服务（见第</w:t>
      </w:r>
      <w:r>
        <w:t>8</w:t>
      </w:r>
      <w:r>
        <w:rPr>
          <w:rFonts w:hint="eastAsia"/>
        </w:rPr>
        <w:t>章）。</w:t>
      </w:r>
      <w:r>
        <w:t>1998</w:t>
      </w:r>
      <w:r>
        <w:rPr>
          <w:rFonts w:hint="eastAsia"/>
        </w:rPr>
        <w:t>年的款额与</w:t>
      </w:r>
      <w:r>
        <w:t>1997</w:t>
      </w:r>
      <w:r>
        <w:rPr>
          <w:rFonts w:hint="eastAsia"/>
        </w:rPr>
        <w:t>年的支出额相同。</w:t>
      </w:r>
    </w:p>
    <w:p w:rsidR="00000000" w:rsidRDefault="00000000">
      <w:pPr>
        <w:autoSpaceDE w:val="0"/>
        <w:autoSpaceDN w:val="0"/>
        <w:spacing w:after="240" w:line="400" w:lineRule="exact"/>
        <w:textAlignment w:val="bottom"/>
        <w:rPr>
          <w:rFonts w:ascii="楷体" w:eastAsia="楷体"/>
        </w:rPr>
      </w:pPr>
      <w:r>
        <w:rPr>
          <w:rFonts w:ascii="楷体" w:eastAsia="楷体" w:hint="eastAsia"/>
        </w:rPr>
        <w:t>停止补助和返回工作</w:t>
      </w:r>
    </w:p>
    <w:p w:rsidR="00000000" w:rsidRDefault="00000000">
      <w:pPr>
        <w:autoSpaceDE w:val="0"/>
        <w:autoSpaceDN w:val="0"/>
        <w:spacing w:after="240" w:line="400" w:lineRule="exact"/>
        <w:ind w:firstLine="425"/>
        <w:textAlignment w:val="bottom"/>
      </w:pPr>
      <w:r>
        <w:rPr>
          <w:rFonts w:hint="eastAsia"/>
        </w:rPr>
        <w:t>政府为自己确定了到</w:t>
      </w:r>
      <w:r>
        <w:t>1998</w:t>
      </w:r>
      <w:r>
        <w:rPr>
          <w:rFonts w:hint="eastAsia"/>
        </w:rPr>
        <w:t>年底为长期失业者在公营部门和保育部门创造</w:t>
      </w:r>
      <w:r>
        <w:t>4</w:t>
      </w:r>
      <w:r>
        <w:rPr>
          <w:rFonts w:hint="eastAsia"/>
        </w:rPr>
        <w:t>万个额外职位的指标。失业者不需为得到这些职业而进行补充培训，这也是为了改进公共服务。中央政府将为每个职位提供足以支付工资费用的捐款。第一年的工资将为法定最低工资的</w:t>
      </w:r>
      <w:r>
        <w:t>100%-103%</w:t>
      </w:r>
      <w:r>
        <w:rPr>
          <w:rFonts w:hint="eastAsia"/>
        </w:rPr>
        <w:t>，以后可以增到最多为最低工资的</w:t>
      </w:r>
      <w:r>
        <w:t>120%</w:t>
      </w:r>
      <w:r>
        <w:rPr>
          <w:rFonts w:hint="eastAsia"/>
        </w:rPr>
        <w:t>。政府的捐款包括用于培训和咨询的管理费用的</w:t>
      </w:r>
      <w:r>
        <w:t>4000</w:t>
      </w:r>
      <w:r>
        <w:rPr>
          <w:rFonts w:hint="eastAsia"/>
        </w:rPr>
        <w:t>荷兰盾。被任命担任这些职务的人享受一般员工待遇，相关集体协议的条款也适用于他们。用于这些职务的经费已纳入中央政府的多年概算，因此可被看成是结构性的。近年来这些职务被按配额分配给了一些选定的城市和保育部门的一些特别部分。在各城市的职务和保育部门补充的职务中妇女大约分别占</w:t>
      </w:r>
      <w:r>
        <w:t>42.4%</w:t>
      </w:r>
      <w:r>
        <w:rPr>
          <w:rFonts w:hint="eastAsia"/>
        </w:rPr>
        <w:t>和</w:t>
      </w:r>
      <w:r>
        <w:t>67.5%</w:t>
      </w:r>
      <w:r>
        <w:rPr>
          <w:rFonts w:hint="eastAsia"/>
        </w:rPr>
        <w:t>。</w:t>
      </w:r>
      <w:r>
        <w:rPr>
          <w:rStyle w:val="FootnoteReference"/>
        </w:rPr>
        <w:footnoteReference w:customMarkFollows="1" w:id="39"/>
        <w:t>37</w:t>
      </w:r>
    </w:p>
    <w:p w:rsidR="00000000" w:rsidRDefault="00000000">
      <w:pPr>
        <w:autoSpaceDE w:val="0"/>
        <w:autoSpaceDN w:val="0"/>
        <w:spacing w:after="240" w:line="400" w:lineRule="exact"/>
        <w:ind w:firstLine="425"/>
        <w:textAlignment w:val="bottom"/>
      </w:pPr>
      <w:r>
        <w:rPr>
          <w:rFonts w:hint="eastAsia"/>
        </w:rPr>
        <w:t>从</w:t>
      </w:r>
      <w:r>
        <w:t>1994</w:t>
      </w:r>
      <w:r>
        <w:rPr>
          <w:rFonts w:hint="eastAsia"/>
        </w:rPr>
        <w:t>年</w:t>
      </w:r>
      <w:r>
        <w:t>10</w:t>
      </w:r>
      <w:r>
        <w:rPr>
          <w:rFonts w:hint="eastAsia"/>
        </w:rPr>
        <w:t>月</w:t>
      </w:r>
      <w:r>
        <w:t>1</w:t>
      </w:r>
      <w:r>
        <w:rPr>
          <w:rFonts w:hint="eastAsia"/>
        </w:rPr>
        <w:t>日起市政当局可以提供奖励，以鼓励申请补助者寻找有偿工作从而放弃全部或部分补贴。这类奖励的一个实例是对从事兼职工作的接受工作奖金。一个市政当局也可能向参加或完成培训课程的人发放奖赏。接受兼职工作奖金可能对有孩子的妇女是一种特别鼓励，她们中的许多人由于有子女宁可选择兼职工作。各市政当局每年收到</w:t>
      </w:r>
      <w:r>
        <w:t>1.5</w:t>
      </w:r>
      <w:r>
        <w:rPr>
          <w:rFonts w:hint="eastAsia"/>
        </w:rPr>
        <w:t>亿荷兰盾用来实施这项鼓励政策。一个市政当局可自由使用这些钱，但没有义务支付奖金。它可以利用该款设立在职补贴项目或提供更广泛的咨询。提供的奖励无论为何都能适合一个城市中申请人的特殊性质。例如，有些市政当局为找到有偿工作或开始办自己企业的申请人提供奖励。然后这就构成一种在职补助，凡接受国家援助达三年以上的人有资格得到这种补助。例如，它们也可为从事志愿工作的失业者或顺利完成培训课程的申请补助者发放奖励。后一种奖励可能对有幼儿的妇女特别有吸引力。如果她们能在孩子</w:t>
      </w:r>
      <w:r>
        <w:t>5</w:t>
      </w:r>
      <w:r>
        <w:rPr>
          <w:rFonts w:hint="eastAsia"/>
        </w:rPr>
        <w:t>岁前成功获得文凭、这将有助于减少提出要求人的数量。实践中已发现应尽可能早地启动这一进程。单亲父母从事无偿劳动时间越长，他们返回劳动力市场的困难就越大。当他们把子女养大并开始再度寻找工作时，发现他们的资格和工作经验已经大大过时了。其必然结果是妇女的工作义务被拖延了，这种曾一度被非常肯定的做法实际上是一个陷阱，因为它不言而喻地使妇女处于终生申领补助的状态。该市通过了一项地方法规，具体说明了如何实施它的奖励政策以及预期的奖励对象。</w:t>
      </w:r>
    </w:p>
    <w:p w:rsidR="00000000" w:rsidRDefault="00000000">
      <w:pPr>
        <w:autoSpaceDE w:val="0"/>
        <w:autoSpaceDN w:val="0"/>
        <w:spacing w:after="240" w:line="400" w:lineRule="exact"/>
        <w:ind w:firstLine="425"/>
        <w:textAlignment w:val="bottom"/>
      </w:pPr>
      <w:r>
        <w:t>1997</w:t>
      </w:r>
      <w:r>
        <w:rPr>
          <w:rFonts w:hint="eastAsia"/>
        </w:rPr>
        <w:t>年致议会的一封关于解放政策的政策性信函宣布了一个消除妇女贫困的项目。该项目的目标是帮助女性补助要求人重新寻找工作。为此现正确定并宣传不同行政组织所使用的办法，这些办法在使人们停止要求补助并返回工作方面证明是成功的。一个广义的激话政策曾是作为</w:t>
      </w:r>
      <w:r>
        <w:t>1997</w:t>
      </w:r>
      <w:r>
        <w:rPr>
          <w:rFonts w:hint="eastAsia"/>
        </w:rPr>
        <w:t>年社会会议筹备工作的</w:t>
      </w:r>
      <w:r>
        <w:t>1997</w:t>
      </w:r>
      <w:r>
        <w:rPr>
          <w:rFonts w:hint="eastAsia"/>
        </w:rPr>
        <w:t>年</w:t>
      </w:r>
      <w:r>
        <w:t>9</w:t>
      </w:r>
      <w:r>
        <w:rPr>
          <w:rFonts w:hint="eastAsia"/>
        </w:rPr>
        <w:t>月</w:t>
      </w:r>
      <w:r>
        <w:t>22</w:t>
      </w:r>
      <w:r>
        <w:rPr>
          <w:rFonts w:hint="eastAsia"/>
        </w:rPr>
        <w:t>日召开的一个研讨会的主题。在这个研讨会上向荷兰地方政府联盟和</w:t>
      </w:r>
      <w:r>
        <w:t>Divosa</w:t>
      </w:r>
      <w:r>
        <w:rPr>
          <w:rFonts w:hint="eastAsia"/>
        </w:rPr>
        <w:t>的主任提交了一个题为‘向妇女要求人投资’的小册子。在反贫困项目的执行过程中与国家级和地方级的决策人员、行政官员和受益群体的代表不断进行合作。</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  </w:t>
      </w:r>
      <w:r>
        <w:rPr>
          <w:rFonts w:ascii="SimHei" w:eastAsia="SimHei" w:hint="eastAsia"/>
        </w:rPr>
        <w:t>诸如使有偿工作和无偿照管很好结合起来的休假计划和儿童保育等措施</w:t>
      </w:r>
    </w:p>
    <w:p w:rsidR="00000000" w:rsidRDefault="00000000">
      <w:pPr>
        <w:autoSpaceDE w:val="0"/>
        <w:autoSpaceDN w:val="0"/>
        <w:spacing w:after="240" w:line="400" w:lineRule="exact"/>
        <w:ind w:firstLine="425"/>
        <w:textAlignment w:val="bottom"/>
      </w:pPr>
      <w:r>
        <w:rPr>
          <w:rFonts w:hint="eastAsia"/>
        </w:rPr>
        <w:t>上文立法措施第一级中已讨论了建立更多的休假设施的问题。现在着重谈儿童保育问题。</w:t>
      </w:r>
    </w:p>
    <w:p w:rsidR="00000000" w:rsidRDefault="00000000">
      <w:pPr>
        <w:autoSpaceDE w:val="0"/>
        <w:autoSpaceDN w:val="0"/>
        <w:spacing w:after="240" w:line="400" w:lineRule="exact"/>
        <w:textAlignment w:val="bottom"/>
        <w:rPr>
          <w:rFonts w:ascii="楷体" w:eastAsia="楷体"/>
        </w:rPr>
      </w:pPr>
      <w:r>
        <w:rPr>
          <w:rFonts w:ascii="楷体" w:eastAsia="楷体" w:hint="eastAsia"/>
        </w:rPr>
        <w:t>儿童保育</w:t>
      </w:r>
    </w:p>
    <w:p w:rsidR="00000000" w:rsidRDefault="00000000">
      <w:pPr>
        <w:autoSpaceDE w:val="0"/>
        <w:autoSpaceDN w:val="0"/>
        <w:spacing w:after="240" w:line="400" w:lineRule="exact"/>
        <w:ind w:firstLine="425"/>
        <w:textAlignment w:val="bottom"/>
      </w:pPr>
      <w:r>
        <w:rPr>
          <w:rFonts w:hint="eastAsia"/>
        </w:rPr>
        <w:t>为了能够把有偿工作和无偿照管结合起来，从而使妇女更多地参与劳动力市场，非常重要的是能提供儿童保育设施。从</w:t>
      </w:r>
      <w:r>
        <w:t>1990</w:t>
      </w:r>
      <w:r>
        <w:rPr>
          <w:rFonts w:hint="eastAsia"/>
        </w:rPr>
        <w:t>年以来荷兰政府通过由各市安排的儿童保育奖励计划提供了额外资金，以鼓励提供更多有组织的儿童保育设施。预计这些设施的容量在四年期（</w:t>
      </w:r>
      <w:r>
        <w:t>1990-1993</w:t>
      </w:r>
      <w:r>
        <w:rPr>
          <w:rFonts w:hint="eastAsia"/>
        </w:rPr>
        <w:t>年）内将增加</w:t>
      </w:r>
      <w:r>
        <w:t>5</w:t>
      </w:r>
      <w:r>
        <w:rPr>
          <w:rFonts w:hint="eastAsia"/>
        </w:rPr>
        <w:t>万个位子。市政当局收到每个位子每年约</w:t>
      </w:r>
      <w:r>
        <w:t>5000</w:t>
      </w:r>
      <w:r>
        <w:rPr>
          <w:rFonts w:hint="eastAsia"/>
        </w:rPr>
        <w:t>荷兰盾保育费的捐款。差额将来自父母缴款，出租给雇主位子的收入和市政当局自己的基金。奖励期延长为两年（</w:t>
      </w:r>
      <w:r>
        <w:t>1994-1995</w:t>
      </w:r>
      <w:r>
        <w:rPr>
          <w:rFonts w:hint="eastAsia"/>
        </w:rPr>
        <w:t>年），以便为取得成果打下更坚实的基础并通过向公司和机构出租保育设施中更多的位子实现进一步的发展。在</w:t>
      </w:r>
      <w:r>
        <w:t>1995</w:t>
      </w:r>
      <w:r>
        <w:rPr>
          <w:rFonts w:hint="eastAsia"/>
        </w:rPr>
        <w:t>年底这些资金转让给了市政当局。从</w:t>
      </w:r>
      <w:r>
        <w:t>1996</w:t>
      </w:r>
      <w:r>
        <w:rPr>
          <w:rFonts w:hint="eastAsia"/>
        </w:rPr>
        <w:t>年以来对为其雇员提供儿童保育设施的雇主一直实行一种新的税收奖励办法。按照《薪金税和社会保障捐款（缩减汇款）法》，凡安排儿童保育设施的雇主可得到相等于净成本</w:t>
      </w:r>
      <w:r>
        <w:t>20%</w:t>
      </w:r>
      <w:r>
        <w:rPr>
          <w:rFonts w:hint="eastAsia"/>
        </w:rPr>
        <w:t>的税收奖励，相当于成本价格减去父母的缴款。</w:t>
      </w:r>
    </w:p>
    <w:p w:rsidR="00000000" w:rsidRDefault="00000000">
      <w:pPr>
        <w:autoSpaceDE w:val="0"/>
        <w:autoSpaceDN w:val="0"/>
        <w:spacing w:after="240" w:line="400" w:lineRule="exact"/>
        <w:ind w:firstLine="425"/>
        <w:textAlignment w:val="bottom"/>
      </w:pPr>
      <w:r>
        <w:rPr>
          <w:rFonts w:hint="eastAsia"/>
        </w:rPr>
        <w:t>这项政策的主要目的是扩大儿童保育设施的容量，从而使更多的妇女能够外出工作。此外，向各市政当局提出的补贴条件和建议是为了产生一些附带作用：</w:t>
      </w:r>
    </w:p>
    <w:p w:rsidR="00000000" w:rsidRDefault="00000000">
      <w:pPr>
        <w:autoSpaceDE w:val="0"/>
        <w:autoSpaceDN w:val="0"/>
        <w:spacing w:after="240" w:line="400" w:lineRule="exact"/>
        <w:ind w:firstLine="425"/>
        <w:textAlignment w:val="bottom"/>
      </w:pPr>
      <w:r>
        <w:t xml:space="preserve">*  </w:t>
      </w:r>
      <w:r>
        <w:rPr>
          <w:rFonts w:hint="eastAsia"/>
        </w:rPr>
        <w:t>使儿童保育设施更加面向低收入者的子女、有种族背景的子女和单亲父母的子女；</w:t>
      </w:r>
    </w:p>
    <w:p w:rsidR="00000000" w:rsidRDefault="00000000">
      <w:pPr>
        <w:autoSpaceDE w:val="0"/>
        <w:autoSpaceDN w:val="0"/>
        <w:spacing w:after="240" w:line="400" w:lineRule="exact"/>
        <w:ind w:firstLine="425"/>
        <w:textAlignment w:val="bottom"/>
      </w:pPr>
      <w:r>
        <w:t xml:space="preserve">*  </w:t>
      </w:r>
      <w:r>
        <w:rPr>
          <w:rFonts w:hint="eastAsia"/>
        </w:rPr>
        <w:t>增加公司和机构以及雇主和雇员对扩大和资助儿童保育设施的参与；</w:t>
      </w:r>
    </w:p>
    <w:p w:rsidR="00000000" w:rsidRDefault="00000000">
      <w:pPr>
        <w:autoSpaceDE w:val="0"/>
        <w:autoSpaceDN w:val="0"/>
        <w:spacing w:after="240" w:line="400" w:lineRule="exact"/>
        <w:ind w:firstLine="425"/>
        <w:textAlignment w:val="bottom"/>
      </w:pPr>
      <w:r>
        <w:t xml:space="preserve">*  </w:t>
      </w:r>
      <w:r>
        <w:rPr>
          <w:rFonts w:hint="eastAsia"/>
        </w:rPr>
        <w:t>进一步提高儿童保育设施的质量。</w:t>
      </w:r>
    </w:p>
    <w:p w:rsidR="00000000" w:rsidRDefault="00000000">
      <w:pPr>
        <w:autoSpaceDE w:val="0"/>
        <w:autoSpaceDN w:val="0"/>
        <w:spacing w:after="240" w:line="400" w:lineRule="exact"/>
        <w:ind w:firstLine="425"/>
        <w:textAlignment w:val="bottom"/>
      </w:pPr>
      <w:r>
        <w:rPr>
          <w:rFonts w:hint="eastAsia"/>
        </w:rPr>
        <w:t>从下列数字可以看出采取这些措施的成果是明显的：</w:t>
      </w:r>
    </w:p>
    <w:p w:rsidR="00000000" w:rsidRDefault="00000000">
      <w:pPr>
        <w:autoSpaceDE w:val="0"/>
        <w:autoSpaceDN w:val="0"/>
        <w:spacing w:after="240" w:line="400" w:lineRule="exact"/>
        <w:ind w:firstLine="425"/>
        <w:textAlignment w:val="bottom"/>
      </w:pPr>
      <w:r>
        <w:t xml:space="preserve">*  </w:t>
      </w:r>
      <w:r>
        <w:rPr>
          <w:rFonts w:hint="eastAsia"/>
        </w:rPr>
        <w:t>有儿童保育设施的城市数量从大约</w:t>
      </w:r>
      <w:r>
        <w:t>200</w:t>
      </w:r>
      <w:r>
        <w:rPr>
          <w:rFonts w:hint="eastAsia"/>
        </w:rPr>
        <w:t>个上升到大约</w:t>
      </w:r>
      <w:r>
        <w:t>600</w:t>
      </w:r>
      <w:r>
        <w:rPr>
          <w:rFonts w:hint="eastAsia"/>
        </w:rPr>
        <w:t>个（即占所有城市的</w:t>
      </w:r>
      <w:r>
        <w:t>95%</w:t>
      </w:r>
      <w:r>
        <w:rPr>
          <w:rFonts w:hint="eastAsia"/>
        </w:rPr>
        <w:t>）。</w:t>
      </w:r>
    </w:p>
    <w:p w:rsidR="00000000" w:rsidRDefault="00000000">
      <w:pPr>
        <w:autoSpaceDE w:val="0"/>
        <w:autoSpaceDN w:val="0"/>
        <w:spacing w:after="240" w:line="400" w:lineRule="exact"/>
        <w:ind w:firstLine="425"/>
        <w:textAlignment w:val="bottom"/>
      </w:pPr>
      <w:r>
        <w:t xml:space="preserve">*  </w:t>
      </w:r>
      <w:r>
        <w:rPr>
          <w:rFonts w:hint="eastAsia"/>
        </w:rPr>
        <w:t>儿童保育设施中</w:t>
      </w:r>
      <w:r>
        <w:t>4</w:t>
      </w:r>
      <w:r>
        <w:rPr>
          <w:rFonts w:hint="eastAsia"/>
        </w:rPr>
        <w:t>岁以下儿童的位子数量从</w:t>
      </w:r>
      <w:r>
        <w:t>1989</w:t>
      </w:r>
      <w:r>
        <w:rPr>
          <w:rFonts w:hint="eastAsia"/>
        </w:rPr>
        <w:t>年的刚过</w:t>
      </w:r>
      <w:r>
        <w:t>2</w:t>
      </w:r>
      <w:r>
        <w:rPr>
          <w:rFonts w:hint="eastAsia"/>
        </w:rPr>
        <w:t>万个增加到</w:t>
      </w:r>
      <w:r>
        <w:t>1995</w:t>
      </w:r>
      <w:r>
        <w:rPr>
          <w:rFonts w:hint="eastAsia"/>
        </w:rPr>
        <w:t>年的</w:t>
      </w:r>
      <w:r>
        <w:t>7.1</w:t>
      </w:r>
      <w:r>
        <w:rPr>
          <w:rFonts w:hint="eastAsia"/>
        </w:rPr>
        <w:t>万个和</w:t>
      </w:r>
      <w:r>
        <w:t>1996</w:t>
      </w:r>
      <w:r>
        <w:rPr>
          <w:rFonts w:hint="eastAsia"/>
        </w:rPr>
        <w:t>年的</w:t>
      </w:r>
      <w:r>
        <w:t>7.5</w:t>
      </w:r>
      <w:r>
        <w:rPr>
          <w:rFonts w:hint="eastAsia"/>
        </w:rPr>
        <w:t>万个。在</w:t>
      </w:r>
      <w:r>
        <w:t>1995</w:t>
      </w:r>
      <w:r>
        <w:rPr>
          <w:rFonts w:hint="eastAsia"/>
        </w:rPr>
        <w:t>年</w:t>
      </w:r>
      <w:r>
        <w:t>12.5</w:t>
      </w:r>
      <w:r>
        <w:rPr>
          <w:rFonts w:hint="eastAsia"/>
        </w:rPr>
        <w:t>万名儿童使用</w:t>
      </w:r>
      <w:r>
        <w:t>7.1</w:t>
      </w:r>
      <w:r>
        <w:rPr>
          <w:rFonts w:hint="eastAsia"/>
        </w:rPr>
        <w:t>万个位子。而</w:t>
      </w:r>
      <w:r>
        <w:t>4</w:t>
      </w:r>
      <w:r>
        <w:rPr>
          <w:rFonts w:hint="eastAsia"/>
        </w:rPr>
        <w:t>到</w:t>
      </w:r>
      <w:r>
        <w:t>12</w:t>
      </w:r>
      <w:r>
        <w:rPr>
          <w:rFonts w:hint="eastAsia"/>
        </w:rPr>
        <w:t>岁儿童仅有</w:t>
      </w:r>
      <w:r>
        <w:t>1.4</w:t>
      </w:r>
      <w:r>
        <w:rPr>
          <w:rFonts w:hint="eastAsia"/>
        </w:rPr>
        <w:t>万个位子可以使用。在所有设施中几乎没有</w:t>
      </w:r>
      <w:r>
        <w:t>12</w:t>
      </w:r>
      <w:r>
        <w:rPr>
          <w:rFonts w:hint="eastAsia"/>
        </w:rPr>
        <w:t>岁以上儿童的位子。</w:t>
      </w:r>
    </w:p>
    <w:p w:rsidR="00000000" w:rsidRDefault="00000000">
      <w:pPr>
        <w:autoSpaceDE w:val="0"/>
        <w:autoSpaceDN w:val="0"/>
        <w:spacing w:after="240" w:line="400" w:lineRule="exact"/>
        <w:ind w:firstLine="425"/>
        <w:textAlignment w:val="bottom"/>
      </w:pPr>
      <w:r>
        <w:t xml:space="preserve">*  </w:t>
      </w:r>
      <w:r>
        <w:rPr>
          <w:rFonts w:hint="eastAsia"/>
        </w:rPr>
        <w:t>设施（日托托儿所、校外照管和照看孩子的机构）的数量从</w:t>
      </w:r>
      <w:r>
        <w:t>900</w:t>
      </w:r>
      <w:r>
        <w:rPr>
          <w:rFonts w:hint="eastAsia"/>
        </w:rPr>
        <w:t>个增加到</w:t>
      </w:r>
      <w:r>
        <w:t>2300</w:t>
      </w:r>
      <w:r>
        <w:rPr>
          <w:rFonts w:hint="eastAsia"/>
        </w:rPr>
        <w:t>个。</w:t>
      </w:r>
    </w:p>
    <w:p w:rsidR="00000000" w:rsidRDefault="00000000">
      <w:pPr>
        <w:autoSpaceDE w:val="0"/>
        <w:autoSpaceDN w:val="0"/>
        <w:spacing w:after="240" w:line="400" w:lineRule="exact"/>
        <w:ind w:firstLine="425"/>
        <w:textAlignment w:val="bottom"/>
      </w:pPr>
      <w:r>
        <w:t xml:space="preserve">*  </w:t>
      </w:r>
      <w:r>
        <w:rPr>
          <w:rFonts w:hint="eastAsia"/>
        </w:rPr>
        <w:t>出租给公司的位子数量从</w:t>
      </w:r>
      <w:r>
        <w:t>1989</w:t>
      </w:r>
      <w:r>
        <w:rPr>
          <w:rFonts w:hint="eastAsia"/>
        </w:rPr>
        <w:t>年的</w:t>
      </w:r>
      <w:r>
        <w:t>2700</w:t>
      </w:r>
      <w:r>
        <w:rPr>
          <w:rFonts w:hint="eastAsia"/>
        </w:rPr>
        <w:t>个增加到</w:t>
      </w:r>
      <w:r>
        <w:t>1996</w:t>
      </w:r>
      <w:r>
        <w:rPr>
          <w:rFonts w:hint="eastAsia"/>
        </w:rPr>
        <w:t>年的</w:t>
      </w:r>
      <w:r>
        <w:t>3.2</w:t>
      </w:r>
      <w:r>
        <w:rPr>
          <w:rFonts w:hint="eastAsia"/>
        </w:rPr>
        <w:t>万个。在</w:t>
      </w:r>
      <w:r>
        <w:t>1989</w:t>
      </w:r>
      <w:r>
        <w:rPr>
          <w:rFonts w:hint="eastAsia"/>
        </w:rPr>
        <w:t>年总容量的</w:t>
      </w:r>
      <w:r>
        <w:t>40%</w:t>
      </w:r>
      <w:r>
        <w:rPr>
          <w:rFonts w:hint="eastAsia"/>
        </w:rPr>
        <w:t>出租给了公司。事实上一半的容量是由父母付款的。到</w:t>
      </w:r>
      <w:r>
        <w:t>1996</w:t>
      </w:r>
      <w:r>
        <w:rPr>
          <w:rFonts w:hint="eastAsia"/>
        </w:rPr>
        <w:t>年总容量出租给公司的比例达到</w:t>
      </w:r>
      <w:r>
        <w:t>43%</w:t>
      </w:r>
      <w:r>
        <w:rPr>
          <w:rFonts w:hint="eastAsia"/>
        </w:rPr>
        <w:t>。其子女占用公司资助的位子的父母向雇主支付父母缴款（通常与收入有关）。总体来看儿童保育设施费用</w:t>
      </w:r>
      <w:r>
        <w:t>45%</w:t>
      </w:r>
      <w:r>
        <w:rPr>
          <w:rFonts w:hint="eastAsia"/>
        </w:rPr>
        <w:t>由父母承担，</w:t>
      </w:r>
      <w:r>
        <w:t>45%</w:t>
      </w:r>
      <w:r>
        <w:rPr>
          <w:rFonts w:hint="eastAsia"/>
        </w:rPr>
        <w:t>由雇主承担，</w:t>
      </w:r>
      <w:r>
        <w:t>10%</w:t>
      </w:r>
      <w:r>
        <w:rPr>
          <w:rFonts w:hint="eastAsia"/>
        </w:rPr>
        <w:t>由政府承担。</w:t>
      </w:r>
    </w:p>
    <w:p w:rsidR="00000000" w:rsidRDefault="00000000">
      <w:pPr>
        <w:autoSpaceDE w:val="0"/>
        <w:autoSpaceDN w:val="0"/>
        <w:spacing w:after="240" w:line="400" w:lineRule="exact"/>
        <w:ind w:firstLine="425"/>
        <w:textAlignment w:val="bottom"/>
      </w:pPr>
      <w:r>
        <w:rPr>
          <w:rFonts w:hint="eastAsia"/>
        </w:rPr>
        <w:t>由于设施的扩大，儿童保育部门的结构也发生了变化。不仅机构数量增多了而且也变大了。其部分原因是纯增长，但也是由于合并、结盟和地区化管理进程造成的。各级的变化都很明显：各机构管理了更多中心而这些中心本身也扩大了。这些变化主要发生在实际管理设施的机构一级。儿童保育设施中容量越来越大比例被机构出租给那些常常希望按照集体协议条件为其员工提供服务的雇主。公司资助的位子被用来作为增加收入的必要来源。与此同时父母的出资也逐渐增加。尽管公营部门的份额按绝对值增大了，但其相对值下降了。表</w:t>
      </w:r>
      <w:r>
        <w:t>9.1</w:t>
      </w:r>
      <w:r>
        <w:rPr>
          <w:rFonts w:hint="eastAsia"/>
        </w:rPr>
        <w:t>列出儿童保育资金筹措情况。</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表</w:t>
      </w:r>
      <w:r>
        <w:rPr>
          <w:rFonts w:ascii="楷体" w:eastAsia="楷体"/>
        </w:rPr>
        <w:t>9.1  1995</w:t>
      </w:r>
      <w:r>
        <w:rPr>
          <w:rFonts w:ascii="楷体" w:eastAsia="楷体" w:hint="eastAsia"/>
        </w:rPr>
        <w:t>年的儿童保育资金筹备情况（荷兰盾）</w:t>
      </w:r>
    </w:p>
    <w:p w:rsidR="00000000" w:rsidRDefault="00000000">
      <w:pPr>
        <w:tabs>
          <w:tab w:val="left" w:pos="3150"/>
        </w:tabs>
        <w:autoSpaceDE w:val="0"/>
        <w:autoSpaceDN w:val="0"/>
        <w:spacing w:after="240" w:line="400" w:lineRule="exact"/>
        <w:ind w:firstLine="425"/>
        <w:textAlignment w:val="bottom"/>
      </w:pPr>
      <w:r>
        <w:rPr>
          <w:rFonts w:hint="eastAsia"/>
        </w:rPr>
        <w:t>公营部门</w:t>
      </w:r>
      <w:r>
        <w:tab/>
        <w:t>4.03</w:t>
      </w:r>
      <w:r>
        <w:rPr>
          <w:rFonts w:hint="eastAsia"/>
        </w:rPr>
        <w:t>亿</w:t>
      </w:r>
      <w:r>
        <w:t xml:space="preserve">  37%</w:t>
      </w:r>
    </w:p>
    <w:p w:rsidR="00000000" w:rsidRDefault="00000000">
      <w:pPr>
        <w:tabs>
          <w:tab w:val="left" w:pos="3150"/>
        </w:tabs>
        <w:autoSpaceDE w:val="0"/>
        <w:autoSpaceDN w:val="0"/>
        <w:spacing w:after="240" w:line="400" w:lineRule="exact"/>
        <w:ind w:firstLine="425"/>
        <w:textAlignment w:val="bottom"/>
      </w:pPr>
      <w:r>
        <w:rPr>
          <w:rFonts w:hint="eastAsia"/>
        </w:rPr>
        <w:t>父母</w:t>
      </w:r>
      <w:r>
        <w:tab/>
        <w:t>2.88</w:t>
      </w:r>
      <w:r>
        <w:rPr>
          <w:rFonts w:hint="eastAsia"/>
        </w:rPr>
        <w:t>亿</w:t>
      </w:r>
      <w:r>
        <w:t xml:space="preserve">  26%</w:t>
      </w:r>
    </w:p>
    <w:p w:rsidR="00000000" w:rsidRDefault="00000000">
      <w:pPr>
        <w:tabs>
          <w:tab w:val="left" w:pos="3150"/>
        </w:tabs>
        <w:autoSpaceDE w:val="0"/>
        <w:autoSpaceDN w:val="0"/>
        <w:spacing w:after="240" w:line="400" w:lineRule="exact"/>
        <w:ind w:firstLine="425"/>
        <w:textAlignment w:val="bottom"/>
      </w:pPr>
      <w:r>
        <w:rPr>
          <w:rFonts w:hint="eastAsia"/>
        </w:rPr>
        <w:t>雇主</w:t>
      </w:r>
      <w:r>
        <w:t>*</w:t>
      </w:r>
      <w:r>
        <w:tab/>
        <w:t>3.68</w:t>
      </w:r>
      <w:r>
        <w:rPr>
          <w:rFonts w:hint="eastAsia"/>
        </w:rPr>
        <w:t>亿</w:t>
      </w:r>
      <w:r>
        <w:tab/>
        <w:t xml:space="preserve">  33%</w:t>
      </w:r>
    </w:p>
    <w:p w:rsidR="00000000" w:rsidRDefault="00000000">
      <w:pPr>
        <w:tabs>
          <w:tab w:val="left" w:pos="3150"/>
        </w:tabs>
        <w:autoSpaceDE w:val="0"/>
        <w:autoSpaceDN w:val="0"/>
        <w:spacing w:after="240" w:line="400" w:lineRule="exact"/>
        <w:ind w:firstLine="425"/>
        <w:textAlignment w:val="bottom"/>
      </w:pPr>
      <w:r>
        <w:rPr>
          <w:rFonts w:hint="eastAsia"/>
        </w:rPr>
        <w:t>其他</w:t>
      </w:r>
      <w:r>
        <w:tab/>
        <w:t>4000</w:t>
      </w:r>
      <w:r>
        <w:rPr>
          <w:rFonts w:hint="eastAsia"/>
        </w:rPr>
        <w:t>万</w:t>
      </w:r>
      <w:r>
        <w:t xml:space="preserve">  4%</w:t>
      </w:r>
    </w:p>
    <w:p w:rsidR="00000000" w:rsidRDefault="00000000">
      <w:pPr>
        <w:tabs>
          <w:tab w:val="left" w:pos="3150"/>
        </w:tabs>
        <w:autoSpaceDE w:val="0"/>
        <w:autoSpaceDN w:val="0"/>
        <w:spacing w:after="240" w:line="400" w:lineRule="exact"/>
        <w:ind w:firstLine="425"/>
        <w:textAlignment w:val="bottom"/>
      </w:pPr>
      <w:r>
        <w:rPr>
          <w:rFonts w:hint="eastAsia"/>
        </w:rPr>
        <w:t>总计</w:t>
      </w:r>
      <w:r>
        <w:tab/>
        <w:t>11</w:t>
      </w:r>
      <w:r>
        <w:rPr>
          <w:rFonts w:hint="eastAsia"/>
        </w:rPr>
        <w:t>亿</w:t>
      </w:r>
    </w:p>
    <w:p w:rsidR="00000000" w:rsidRDefault="00000000">
      <w:pPr>
        <w:tabs>
          <w:tab w:val="left" w:pos="3150"/>
        </w:tabs>
        <w:autoSpaceDE w:val="0"/>
        <w:autoSpaceDN w:val="0"/>
        <w:spacing w:after="240" w:line="400" w:lineRule="exact"/>
        <w:ind w:firstLine="425"/>
        <w:textAlignment w:val="bottom"/>
      </w:pPr>
      <w:r>
        <w:t>*</w:t>
      </w:r>
      <w:r>
        <w:rPr>
          <w:rFonts w:hint="eastAsia"/>
        </w:rPr>
        <w:t>）</w:t>
      </w:r>
      <w:r>
        <w:t xml:space="preserve">  </w:t>
      </w:r>
      <w:r>
        <w:rPr>
          <w:rFonts w:hint="eastAsia"/>
        </w:rPr>
        <w:t>包括父母对公司位子的缴款。</w:t>
      </w:r>
    </w:p>
    <w:p w:rsidR="00000000" w:rsidRDefault="00000000">
      <w:pPr>
        <w:tabs>
          <w:tab w:val="left" w:pos="3150"/>
        </w:tabs>
        <w:autoSpaceDE w:val="0"/>
        <w:autoSpaceDN w:val="0"/>
        <w:spacing w:after="240" w:line="400" w:lineRule="exact"/>
        <w:ind w:firstLine="425"/>
        <w:textAlignment w:val="bottom"/>
      </w:pPr>
      <w:r>
        <w:rPr>
          <w:rFonts w:hint="eastAsia"/>
        </w:rPr>
        <w:t>除了数量方面的目标之外，关于儿童保育的政策还有一些质量方面的目标：</w:t>
      </w:r>
    </w:p>
    <w:p w:rsidR="00000000" w:rsidRDefault="00000000">
      <w:pPr>
        <w:tabs>
          <w:tab w:val="left" w:pos="3150"/>
        </w:tabs>
        <w:autoSpaceDE w:val="0"/>
        <w:autoSpaceDN w:val="0"/>
        <w:spacing w:after="240" w:line="400" w:lineRule="exact"/>
        <w:ind w:firstLine="425"/>
        <w:textAlignment w:val="bottom"/>
      </w:pPr>
      <w:r>
        <w:t xml:space="preserve">*  </w:t>
      </w:r>
      <w:r>
        <w:rPr>
          <w:rFonts w:hint="eastAsia"/>
        </w:rPr>
        <w:t>正在拟就一个由儿童保育部门自己负责的质量保证和质量控制系统。此外还有一项委员会指令规定开办和管理一个儿童保育设施需要市级许可证。市政府在一项地方法规中确定了一系列基本质量标准（小组规模、卫生和安全标准）。</w:t>
      </w:r>
    </w:p>
    <w:p w:rsidR="00000000" w:rsidRDefault="00000000">
      <w:pPr>
        <w:tabs>
          <w:tab w:val="left" w:pos="3150"/>
        </w:tabs>
        <w:autoSpaceDE w:val="0"/>
        <w:autoSpaceDN w:val="0"/>
        <w:spacing w:after="240" w:line="400" w:lineRule="exact"/>
        <w:ind w:firstLine="425"/>
        <w:textAlignment w:val="bottom"/>
      </w:pPr>
      <w:r>
        <w:t xml:space="preserve">*  </w:t>
      </w:r>
      <w:r>
        <w:rPr>
          <w:rFonts w:hint="eastAsia"/>
        </w:rPr>
        <w:t>可以向一些优先群体（单亲家庭、低收入家庭、少数民族）提供儿童保育设施。这一目标尚未实现。其原因是儿童保育目前主要适合从事有偿工作的人们。上述群体中仅有较少人有工作。因此人们认为这些群体不太需要保育设施。</w:t>
      </w:r>
      <w:r>
        <w:t>1996</w:t>
      </w:r>
      <w:r>
        <w:rPr>
          <w:rFonts w:hint="eastAsia"/>
        </w:rPr>
        <w:t>年</w:t>
      </w:r>
      <w:r>
        <w:t>1</w:t>
      </w:r>
      <w:r>
        <w:rPr>
          <w:rFonts w:hint="eastAsia"/>
        </w:rPr>
        <w:t>月</w:t>
      </w:r>
      <w:r>
        <w:t>1</w:t>
      </w:r>
      <w:r>
        <w:rPr>
          <w:rFonts w:hint="eastAsia"/>
        </w:rPr>
        <w:t>日为领补贴的单亲父母子女的设施提供了额外经费。</w:t>
      </w:r>
    </w:p>
    <w:p w:rsidR="00000000" w:rsidRDefault="00000000">
      <w:pPr>
        <w:tabs>
          <w:tab w:val="left" w:pos="3150"/>
        </w:tabs>
        <w:autoSpaceDE w:val="0"/>
        <w:autoSpaceDN w:val="0"/>
        <w:spacing w:after="240" w:line="400" w:lineRule="exact"/>
        <w:ind w:firstLine="425"/>
        <w:textAlignment w:val="bottom"/>
      </w:pPr>
      <w:r>
        <w:t xml:space="preserve">*  </w:t>
      </w:r>
      <w:r>
        <w:rPr>
          <w:rFonts w:hint="eastAsia"/>
        </w:rPr>
        <w:t>由于有必要把位子出租给公司儿童保育机构现在更加迎合市场需求，所以它们的经营更具专业基础。</w:t>
      </w:r>
    </w:p>
    <w:p w:rsidR="00000000" w:rsidRDefault="00000000">
      <w:pPr>
        <w:tabs>
          <w:tab w:val="left" w:pos="3150"/>
        </w:tabs>
        <w:autoSpaceDE w:val="0"/>
        <w:autoSpaceDN w:val="0"/>
        <w:spacing w:after="240" w:line="400" w:lineRule="exact"/>
        <w:ind w:firstLine="425"/>
        <w:textAlignment w:val="bottom"/>
      </w:pPr>
      <w:r>
        <w:rPr>
          <w:rFonts w:hint="eastAsia"/>
        </w:rPr>
        <w:t>近年来的政策一直集中力量于为四岁以下儿童增加设施。但是小学年龄儿童也非常需要儿童保育设施。政府再一次希望大力鼓励创办</w:t>
      </w:r>
      <w:r>
        <w:t>16</w:t>
      </w:r>
      <w:r>
        <w:rPr>
          <w:rFonts w:hint="eastAsia"/>
        </w:rPr>
        <w:t>岁以下儿童的设施。因此它为</w:t>
      </w:r>
      <w:r>
        <w:t>1997</w:t>
      </w:r>
      <w:r>
        <w:rPr>
          <w:rFonts w:hint="eastAsia"/>
        </w:rPr>
        <w:t>至</w:t>
      </w:r>
      <w:r>
        <w:t>1999</w:t>
      </w:r>
      <w:r>
        <w:rPr>
          <w:rFonts w:hint="eastAsia"/>
        </w:rPr>
        <w:t>年专门拨出</w:t>
      </w:r>
      <w:r>
        <w:t>1.6</w:t>
      </w:r>
      <w:r>
        <w:rPr>
          <w:rFonts w:hint="eastAsia"/>
        </w:rPr>
        <w:t>亿荷兰盾。利用这笔经费到</w:t>
      </w:r>
      <w:r>
        <w:t>2000</w:t>
      </w:r>
      <w:r>
        <w:rPr>
          <w:rFonts w:hint="eastAsia"/>
        </w:rPr>
        <w:t>年可创办</w:t>
      </w:r>
      <w:r>
        <w:t>2</w:t>
      </w:r>
      <w:r>
        <w:rPr>
          <w:rFonts w:hint="eastAsia"/>
        </w:rPr>
        <w:t>万个新位子。在</w:t>
      </w:r>
      <w:r>
        <w:t>1997</w:t>
      </w:r>
      <w:r>
        <w:rPr>
          <w:rFonts w:hint="eastAsia"/>
        </w:rPr>
        <w:t>年经过对女王讲话的辩论后又补充了一笔</w:t>
      </w:r>
      <w:r>
        <w:t>3500</w:t>
      </w:r>
      <w:r>
        <w:rPr>
          <w:rFonts w:hint="eastAsia"/>
        </w:rPr>
        <w:t>万荷兰盾的结构性款项。从使妇女能参与劳动力市场的角度来看，拨出大笔资金用于扩大校外保育设施以避免孩子上小学时保育设施出现缺口是必要的。扩大保育设施的责任应由市政当局承担。希望它们与学校和社会服务部门这些当地服务供应商协商并尽量提供多样设施。政府已为购买用于领补助的单亲父母的儿童保育设施的各市政当局拨出</w:t>
      </w:r>
      <w:r>
        <w:t>8500</w:t>
      </w:r>
      <w:r>
        <w:rPr>
          <w:rFonts w:hint="eastAsia"/>
        </w:rPr>
        <w:t>万荷兰盾。为了让这些父母外出工作或参加学习这样做是必要的。这个计划追溯至</w:t>
      </w:r>
      <w:r>
        <w:t>1996</w:t>
      </w:r>
      <w:r>
        <w:rPr>
          <w:rFonts w:hint="eastAsia"/>
        </w:rPr>
        <w:t>年</w:t>
      </w:r>
      <w:r>
        <w:t>1</w:t>
      </w:r>
      <w:r>
        <w:rPr>
          <w:rFonts w:hint="eastAsia"/>
        </w:rPr>
        <w:t>月</w:t>
      </w:r>
      <w:r>
        <w:t>1</w:t>
      </w:r>
      <w:r>
        <w:rPr>
          <w:rFonts w:hint="eastAsia"/>
        </w:rPr>
        <w:t>日。对每个位子每年可提供不超过</w:t>
      </w:r>
      <w:r>
        <w:t>1.8</w:t>
      </w:r>
      <w:r>
        <w:rPr>
          <w:rFonts w:hint="eastAsia"/>
        </w:rPr>
        <w:t>万荷兰盾的款额。市政当局无需向父母收集缴款。</w:t>
      </w:r>
      <w:r>
        <w:t>8500</w:t>
      </w:r>
      <w:r>
        <w:rPr>
          <w:rFonts w:hint="eastAsia"/>
        </w:rPr>
        <w:t>万荷兰盾计划用于外加的位子。这个计划对如何组织儿童保育并没提出太多要求。各市政当局可从现有保育机构购买额外的位子，可以自己安排设施或者可以向自己支付了父母缴款的补贴要求人提供补偿。这些设施应达到一定标准。与通常的儿童保育设施管理办法不同，这里没有规定要父母为儿童保育费用缴费。所有市政当局都有机会参与这个计划。将按照这些城市中领补贴的单亲父母人数在各个城市之间按比例分配这笔</w:t>
      </w:r>
      <w:r>
        <w:t>8500</w:t>
      </w:r>
      <w:r>
        <w:rPr>
          <w:rFonts w:hint="eastAsia"/>
        </w:rPr>
        <w:t>万荷兰盾的款项。</w:t>
      </w:r>
    </w:p>
    <w:p w:rsidR="00000000" w:rsidRDefault="00000000">
      <w:pPr>
        <w:tabs>
          <w:tab w:val="left" w:pos="3150"/>
        </w:tabs>
        <w:autoSpaceDE w:val="0"/>
        <w:autoSpaceDN w:val="0"/>
        <w:spacing w:after="240" w:line="400" w:lineRule="exact"/>
        <w:ind w:firstLine="425"/>
        <w:textAlignment w:val="bottom"/>
      </w:pPr>
      <w:r>
        <w:rPr>
          <w:rFonts w:hint="eastAsia"/>
        </w:rPr>
        <w:t>应政府的要求，中央规划办公室正在根据</w:t>
      </w:r>
      <w:r>
        <w:t>2010</w:t>
      </w:r>
      <w:r>
        <w:rPr>
          <w:rFonts w:hint="eastAsia"/>
        </w:rPr>
        <w:t>年时设施充足的儿童保育预期费用进行预测。正在对提高儿童保育设施标准的不同方法进行研究。政府认为雇主和父母为儿童保育缴款是重要的。近年来雇主和雇员为增加容量已做了大量努力。但是仍有</w:t>
      </w:r>
      <w:r>
        <w:t>40%</w:t>
      </w:r>
      <w:r>
        <w:rPr>
          <w:rFonts w:hint="eastAsia"/>
        </w:rPr>
        <w:t>的集体协议缺少关于儿童保育的条款。在其余的协议中有的有具体协议；有的是意向说明。此外，雇主几乎完全只集中力量于</w:t>
      </w:r>
      <w:r>
        <w:t>4</w:t>
      </w:r>
      <w:r>
        <w:rPr>
          <w:rFonts w:hint="eastAsia"/>
        </w:rPr>
        <w:t>岁以下儿童的位子。政府将继续提醒工业双方它们对儿童保育应负的责任。</w:t>
      </w:r>
    </w:p>
    <w:p w:rsidR="00000000" w:rsidRDefault="00000000">
      <w:pPr>
        <w:tabs>
          <w:tab w:val="left" w:pos="3150"/>
        </w:tabs>
        <w:autoSpaceDE w:val="0"/>
        <w:autoSpaceDN w:val="0"/>
        <w:spacing w:after="240" w:line="400" w:lineRule="exact"/>
        <w:textAlignment w:val="bottom"/>
        <w:rPr>
          <w:rFonts w:ascii="SimHei" w:eastAsia="SimHei"/>
          <w:sz w:val="24"/>
        </w:rPr>
      </w:pPr>
      <w:r>
        <w:rPr>
          <w:rFonts w:ascii="SimHei" w:eastAsia="SimHei" w:hint="eastAsia"/>
          <w:sz w:val="24"/>
        </w:rPr>
        <w:t>第三级：文化变革战略</w:t>
      </w:r>
    </w:p>
    <w:p w:rsidR="00000000" w:rsidRDefault="00000000">
      <w:pPr>
        <w:tabs>
          <w:tab w:val="left" w:pos="3150"/>
        </w:tabs>
        <w:autoSpaceDE w:val="0"/>
        <w:autoSpaceDN w:val="0"/>
        <w:spacing w:after="240" w:line="400" w:lineRule="exact"/>
        <w:ind w:firstLine="425"/>
        <w:textAlignment w:val="bottom"/>
      </w:pPr>
      <w:r>
        <w:rPr>
          <w:rFonts w:hint="eastAsia"/>
        </w:rPr>
        <w:t>在社会经济生活和劳动力市场的参与方面妇女仍比男子少，而且在职位、职业和职务级别的分配方面也处于不利地位。如果她们要迅速赶上，就需要有给予妇女优惠待遇的立法措施。然而人们发现，大部分私营企业并不欢迎积极行动的政策。尽管提供了信息，但仍然有一种缠绵不去的看法，认为为妇女采取积极行动就是在积极进行歧视。这显然是指对男子歧视。那种认为采取积极行动时任命妇女不凭才能只凭性别的看法一时也难以消除。首先积极行动未能受到中小企业的欢迎，然而正是这个部门为妇女提供了大量就业。积极行动的手段并不总适合于小企业，因为它们倾向于实施在男女之间没有明显差别的组织结构和人事政策。此外，在这些企业中无论在财务上或其他方面往往很少有改善妇女状况的余地，例如由于在企业内没有职业变动的机会。所以这些企业需要一种适合于特定行业或工业，并重视雇主经济动机的切实可行的办法。因此政府决定不推广积极行动奖励计划。商业机会运动是</w:t>
      </w:r>
      <w:r>
        <w:t>1996</w:t>
      </w:r>
      <w:r>
        <w:rPr>
          <w:rFonts w:hint="eastAsia"/>
        </w:rPr>
        <w:t>年</w:t>
      </w:r>
      <w:r>
        <w:t>10</w:t>
      </w:r>
      <w:r>
        <w:rPr>
          <w:rFonts w:hint="eastAsia"/>
        </w:rPr>
        <w:t>月开始的（也见第二级的说明）。这个运动的目的是确保企业和机构认识到吸纳更多妇女和任命她们担任更负责任的职位是符合它们的商业利益的。这关系到文化变革。注意的焦点不再仅是妇女的不利地位。相反现在的论点是利用妇女的潜力并为此目的创造机会和消除障碍有利于雇主和整个社会。以下将论述为此目的而采用的三项措施。</w:t>
      </w:r>
    </w:p>
    <w:p w:rsidR="00000000" w:rsidRDefault="00000000">
      <w:pPr>
        <w:tabs>
          <w:tab w:val="left" w:pos="3150"/>
        </w:tabs>
        <w:autoSpaceDE w:val="0"/>
        <w:autoSpaceDN w:val="0"/>
        <w:spacing w:after="240" w:line="400" w:lineRule="exact"/>
        <w:textAlignment w:val="bottom"/>
        <w:rPr>
          <w:rFonts w:ascii="楷体" w:eastAsia="楷体"/>
        </w:rPr>
      </w:pPr>
      <w:r>
        <w:rPr>
          <w:rFonts w:ascii="楷体" w:eastAsia="楷体" w:hint="eastAsia"/>
        </w:rPr>
        <w:t>日常活动委员会</w:t>
      </w:r>
    </w:p>
    <w:p w:rsidR="00000000" w:rsidRDefault="00000000">
      <w:pPr>
        <w:tabs>
          <w:tab w:val="left" w:pos="3150"/>
        </w:tabs>
        <w:autoSpaceDE w:val="0"/>
        <w:autoSpaceDN w:val="0"/>
        <w:spacing w:after="240" w:line="400" w:lineRule="exact"/>
        <w:ind w:firstLine="425"/>
        <w:textAlignment w:val="bottom"/>
      </w:pPr>
      <w:r>
        <w:rPr>
          <w:rFonts w:hint="eastAsia"/>
        </w:rPr>
        <w:t>一项调查显示</w:t>
      </w:r>
      <w:r>
        <w:t>80%</w:t>
      </w:r>
      <w:r>
        <w:rPr>
          <w:rFonts w:hint="eastAsia"/>
        </w:rPr>
        <w:t>的荷兰人认为家务活动和抚养子女是男女共同的责任。然而事实上这些责任的分担是不同的。因此重要的是当局应与其他合伙人合作创造出使理论与实践更密切配合的手段。</w:t>
      </w:r>
      <w:r>
        <w:t>1996</w:t>
      </w:r>
      <w:r>
        <w:rPr>
          <w:rFonts w:hint="eastAsia"/>
        </w:rPr>
        <w:t>年解放政策协调大臣负责设立了日常活动委员会。该委员会的职责范围是提出如何使荷兰社会的日常活动更好地适合希望充分参与生活各领域（有偿工作、无偿照管以及政治和社会活动）的人们的需要的方法。该委员会希望通过拆除目前分割不同政策领域的‘墙壁’，通过提出创新和创造性解决办法来实现这一点。从一开始该委员会就认为儿童的贡献对它的活动是十分重要的。该委员会应在</w:t>
      </w:r>
      <w:r>
        <w:t>1998</w:t>
      </w:r>
      <w:r>
        <w:rPr>
          <w:rFonts w:hint="eastAsia"/>
        </w:rPr>
        <w:t>年向协调大臣报告工作。</w:t>
      </w:r>
    </w:p>
    <w:p w:rsidR="00000000" w:rsidRDefault="00000000">
      <w:pPr>
        <w:tabs>
          <w:tab w:val="left" w:pos="3150"/>
        </w:tabs>
        <w:autoSpaceDE w:val="0"/>
        <w:autoSpaceDN w:val="0"/>
        <w:spacing w:after="240" w:line="400" w:lineRule="exact"/>
        <w:ind w:firstLine="425"/>
        <w:textAlignment w:val="bottom"/>
      </w:pPr>
      <w:r>
        <w:rPr>
          <w:rFonts w:hint="eastAsia"/>
        </w:rPr>
        <w:t>该委员会正在开展与五个主题有关的活动。这些主题如下：</w:t>
      </w:r>
    </w:p>
    <w:p w:rsidR="00000000" w:rsidRDefault="00000000">
      <w:pPr>
        <w:tabs>
          <w:tab w:val="left" w:pos="3150"/>
        </w:tabs>
        <w:autoSpaceDE w:val="0"/>
        <w:autoSpaceDN w:val="0"/>
        <w:spacing w:after="240" w:line="400" w:lineRule="exact"/>
        <w:ind w:firstLine="425"/>
        <w:textAlignment w:val="bottom"/>
      </w:pPr>
      <w:r>
        <w:t xml:space="preserve">1.  </w:t>
      </w:r>
      <w:r>
        <w:rPr>
          <w:rFonts w:hint="eastAsia"/>
        </w:rPr>
        <w:t>在时间和地点方面更好地协调有偿工作和无偿照管</w:t>
      </w:r>
    </w:p>
    <w:p w:rsidR="00000000" w:rsidRDefault="00000000">
      <w:pPr>
        <w:tabs>
          <w:tab w:val="left" w:pos="3150"/>
        </w:tabs>
        <w:autoSpaceDE w:val="0"/>
        <w:autoSpaceDN w:val="0"/>
        <w:spacing w:after="240" w:line="400" w:lineRule="exact"/>
        <w:ind w:firstLine="425"/>
        <w:textAlignment w:val="bottom"/>
      </w:pPr>
      <w:r>
        <w:rPr>
          <w:rFonts w:hint="eastAsia"/>
        </w:rPr>
        <w:t>该委员会正在与不同专家合作，拟订出循序渐进的计划，使各城市能够建立旨在把有偿工作与无偿照管更方便地结合起来的项目。这项工作涉及协调有偿工作和无偿照管的时间和地点，尤其是通过调整学校、商店、儿童保育设施及其他生活福利设施的开门时间以及确保交通设施（包括公共交通）和空间规划的安排都考虑到这些共同责任。该委员会对城乡生活的差别给予了特别关注。两个试验项目（一个在城市，一个在农村）将为这个渐进计划提供基本数据。</w:t>
      </w:r>
    </w:p>
    <w:p w:rsidR="00000000" w:rsidRDefault="00000000">
      <w:pPr>
        <w:tabs>
          <w:tab w:val="left" w:pos="3150"/>
        </w:tabs>
        <w:autoSpaceDE w:val="0"/>
        <w:autoSpaceDN w:val="0"/>
        <w:spacing w:after="240" w:line="400" w:lineRule="exact"/>
        <w:ind w:firstLine="425"/>
        <w:textAlignment w:val="bottom"/>
      </w:pPr>
      <w:r>
        <w:t xml:space="preserve">2.  </w:t>
      </w:r>
      <w:r>
        <w:rPr>
          <w:rFonts w:hint="eastAsia"/>
        </w:rPr>
        <w:t>采用适合于有照管子女责任员工的弹性工时</w:t>
      </w:r>
    </w:p>
    <w:p w:rsidR="00000000" w:rsidRDefault="00000000">
      <w:pPr>
        <w:tabs>
          <w:tab w:val="left" w:pos="3150"/>
        </w:tabs>
        <w:autoSpaceDE w:val="0"/>
        <w:autoSpaceDN w:val="0"/>
        <w:spacing w:after="240" w:line="400" w:lineRule="exact"/>
        <w:ind w:firstLine="425"/>
        <w:textAlignment w:val="bottom"/>
      </w:pPr>
      <w:r>
        <w:rPr>
          <w:rFonts w:hint="eastAsia"/>
        </w:rPr>
        <w:t>前文提到的</w:t>
      </w:r>
      <w:r>
        <w:t>1996</w:t>
      </w:r>
      <w:r>
        <w:rPr>
          <w:rFonts w:hint="eastAsia"/>
        </w:rPr>
        <w:t>年《工时法》规定雇主应当考虑到雇员的其他责任，如照管受抚养者。这个新法规需要一种不同的思维方法。该委员会认为，对待工时的不同态度对雇主和雇员都有利。来自不同部门的五个单位正在协助对实践中的弹性工时进行调查。其目的是确定弹性工时的问题，以及这些单位所采用的解决办法。正在根据五个案例研究编写一本采用考虑到雇主经济利益的弹性工时的指南。</w:t>
      </w:r>
    </w:p>
    <w:p w:rsidR="00000000" w:rsidRDefault="00000000">
      <w:pPr>
        <w:tabs>
          <w:tab w:val="left" w:pos="3150"/>
        </w:tabs>
        <w:autoSpaceDE w:val="0"/>
        <w:autoSpaceDN w:val="0"/>
        <w:spacing w:after="240" w:line="400" w:lineRule="exact"/>
        <w:ind w:firstLine="425"/>
        <w:textAlignment w:val="bottom"/>
      </w:pPr>
      <w:r>
        <w:t xml:space="preserve">3.  </w:t>
      </w:r>
      <w:r>
        <w:rPr>
          <w:rFonts w:hint="eastAsia"/>
        </w:rPr>
        <w:t>提供足够的校外保育</w:t>
      </w:r>
    </w:p>
    <w:p w:rsidR="00000000" w:rsidRDefault="00000000">
      <w:pPr>
        <w:tabs>
          <w:tab w:val="left" w:pos="3150"/>
        </w:tabs>
        <w:autoSpaceDE w:val="0"/>
        <w:autoSpaceDN w:val="0"/>
        <w:spacing w:after="240" w:line="400" w:lineRule="exact"/>
        <w:ind w:firstLine="425"/>
        <w:textAlignment w:val="bottom"/>
      </w:pPr>
      <w:r>
        <w:rPr>
          <w:rFonts w:hint="eastAsia"/>
        </w:rPr>
        <w:t>上文提到的校外保育奖励措施是选择这一主题的直接原因。该委员会特别关注教育、福利和文化机构以及保育设施的联合试验。它认为这些设施应更加符合不同年龄组儿童的愿望。另外，开门时间应充分灵活以满足家长的愿望。其最后结果仍然是一个用于拟订地方一级政策的分阶段实施的计划。</w:t>
      </w:r>
    </w:p>
    <w:p w:rsidR="00000000" w:rsidRDefault="00000000">
      <w:pPr>
        <w:tabs>
          <w:tab w:val="left" w:pos="3150"/>
        </w:tabs>
        <w:autoSpaceDE w:val="0"/>
        <w:autoSpaceDN w:val="0"/>
        <w:spacing w:after="240" w:line="400" w:lineRule="exact"/>
        <w:ind w:firstLine="425"/>
        <w:textAlignment w:val="bottom"/>
      </w:pPr>
      <w:r>
        <w:t xml:space="preserve">4.  </w:t>
      </w:r>
      <w:r>
        <w:rPr>
          <w:rFonts w:hint="eastAsia"/>
        </w:rPr>
        <w:t>儿童对日常活动的希望</w:t>
      </w:r>
    </w:p>
    <w:p w:rsidR="00000000" w:rsidRDefault="00000000">
      <w:pPr>
        <w:tabs>
          <w:tab w:val="left" w:pos="3150"/>
        </w:tabs>
        <w:autoSpaceDE w:val="0"/>
        <w:autoSpaceDN w:val="0"/>
        <w:spacing w:after="240" w:line="400" w:lineRule="exact"/>
        <w:ind w:firstLine="425"/>
        <w:textAlignment w:val="bottom"/>
      </w:pPr>
      <w:r>
        <w:rPr>
          <w:rFonts w:hint="eastAsia"/>
        </w:rPr>
        <w:t>缺少校外保育对于有</w:t>
      </w:r>
      <w:r>
        <w:t>4</w:t>
      </w:r>
      <w:r>
        <w:rPr>
          <w:rFonts w:hint="eastAsia"/>
        </w:rPr>
        <w:t>到</w:t>
      </w:r>
      <w:r>
        <w:t>16</w:t>
      </w:r>
      <w:r>
        <w:rPr>
          <w:rFonts w:hint="eastAsia"/>
        </w:rPr>
        <w:t>岁孩子而且两人都有有偿工作和照管责任的夫妻来说是一个特殊问题。父母的愿望是发展这种保育设施的主要指导思想。但是该委员会认为，听听孩子们自己对于日常活动和校外保育的愿望也是重要的。因此它组织了儿童小组，在孩子中进行调查，并组织了一个儿童设计自己理想的日常活动的竞赛。</w:t>
      </w:r>
    </w:p>
    <w:p w:rsidR="00000000" w:rsidRDefault="00000000">
      <w:pPr>
        <w:tabs>
          <w:tab w:val="left" w:pos="3150"/>
        </w:tabs>
        <w:autoSpaceDE w:val="0"/>
        <w:autoSpaceDN w:val="0"/>
        <w:spacing w:after="240" w:line="400" w:lineRule="exact"/>
        <w:ind w:firstLine="425"/>
        <w:textAlignment w:val="bottom"/>
      </w:pPr>
      <w:r>
        <w:t xml:space="preserve">5.  </w:t>
      </w:r>
      <w:r>
        <w:rPr>
          <w:rFonts w:hint="eastAsia"/>
        </w:rPr>
        <w:t>个人服务的需要</w:t>
      </w:r>
    </w:p>
    <w:p w:rsidR="00000000" w:rsidRDefault="00000000">
      <w:pPr>
        <w:tabs>
          <w:tab w:val="left" w:pos="3150"/>
        </w:tabs>
        <w:autoSpaceDE w:val="0"/>
        <w:autoSpaceDN w:val="0"/>
        <w:spacing w:after="240" w:line="400" w:lineRule="exact"/>
        <w:ind w:firstLine="425"/>
        <w:textAlignment w:val="bottom"/>
      </w:pPr>
      <w:r>
        <w:rPr>
          <w:rFonts w:hint="eastAsia"/>
        </w:rPr>
        <w:t>如果双亲都外出工作，他们自己常常没有足够时间来从事各种家务活动。因而他们要寻求支持和帮助，这就为一项全新的服务创造了市场。该委员会希望了解这个市场的动作情况。供求如何相称？正在开发和提供何种新型服务，尤其是小规模的服务？为了给这些问题找到答案，该委员会正在为个人服务项目开列清单。如果开列清单的结果证明这是必要的，将把它们提出来，以鼓励其他供应商和潜在供应商建立个人服务项目。</w:t>
      </w:r>
    </w:p>
    <w:p w:rsidR="00000000" w:rsidRDefault="00000000">
      <w:pPr>
        <w:tabs>
          <w:tab w:val="left" w:pos="3150"/>
        </w:tabs>
        <w:autoSpaceDE w:val="0"/>
        <w:autoSpaceDN w:val="0"/>
        <w:spacing w:after="240" w:line="400" w:lineRule="exact"/>
        <w:textAlignment w:val="bottom"/>
        <w:rPr>
          <w:rFonts w:ascii="楷体" w:eastAsia="楷体"/>
        </w:rPr>
      </w:pPr>
      <w:r>
        <w:rPr>
          <w:rFonts w:ascii="楷体" w:eastAsia="楷体" w:hint="eastAsia"/>
        </w:rPr>
        <w:t>让雇主认识到值得为处在劳动力市场‘底层’的妇女投资</w:t>
      </w:r>
    </w:p>
    <w:p w:rsidR="00000000" w:rsidRDefault="00000000">
      <w:pPr>
        <w:tabs>
          <w:tab w:val="left" w:pos="3150"/>
        </w:tabs>
        <w:autoSpaceDE w:val="0"/>
        <w:autoSpaceDN w:val="0"/>
        <w:spacing w:after="240" w:line="400" w:lineRule="exact"/>
        <w:ind w:firstLine="425"/>
        <w:textAlignment w:val="bottom"/>
      </w:pPr>
      <w:r>
        <w:rPr>
          <w:rFonts w:hint="eastAsia"/>
        </w:rPr>
        <w:t>在目前仍然很少有雇主向处在劳动力市场‘底层’的妇女投资。这是因为他们在市场的这一部分里有大量选择对象。缺少对妇女投资的主要理由之一是雇主认为妇女生孩子后会停止工作。但是实际上许多低学历的年轻妇女想继续工作，尤其是当她们的雇主提供高质量工作时。因此雇主对提供给这些妇女的工作质量进行投资是重要的。这不仅对妇女本身有利，也对雇主有利。毕竟雇主们越来越需要在各级职务上有迅速适应变化能力的合格雇员。在</w:t>
      </w:r>
      <w:r>
        <w:t>1998</w:t>
      </w:r>
      <w:r>
        <w:rPr>
          <w:rFonts w:hint="eastAsia"/>
        </w:rPr>
        <w:t>年社会和就业部建议通过出版并分发一本载有令人信服实例的小册子来开始提高雇主们的认识。这些实例是一些处在劳动力市场工资较低的生了一个孩子后需继续工作以此回报雇主投资（如培训）的妇女的案例。</w:t>
      </w:r>
    </w:p>
    <w:p w:rsidR="00000000" w:rsidRDefault="00000000">
      <w:pPr>
        <w:tabs>
          <w:tab w:val="left" w:pos="3150"/>
        </w:tabs>
        <w:autoSpaceDE w:val="0"/>
        <w:autoSpaceDN w:val="0"/>
        <w:spacing w:after="240" w:line="400" w:lineRule="exact"/>
        <w:textAlignment w:val="bottom"/>
        <w:rPr>
          <w:rFonts w:ascii="楷体" w:eastAsia="楷体"/>
        </w:rPr>
      </w:pPr>
      <w:r>
        <w:rPr>
          <w:rFonts w:ascii="楷体" w:eastAsia="楷体" w:hint="eastAsia"/>
        </w:rPr>
        <w:t>银行对女商人的看法和女商人对银行的看法</w:t>
      </w:r>
    </w:p>
    <w:p w:rsidR="00000000" w:rsidRDefault="00000000">
      <w:pPr>
        <w:tabs>
          <w:tab w:val="left" w:pos="3150"/>
        </w:tabs>
        <w:autoSpaceDE w:val="0"/>
        <w:autoSpaceDN w:val="0"/>
        <w:spacing w:after="240" w:line="400" w:lineRule="exact"/>
        <w:ind w:firstLine="425"/>
        <w:textAlignment w:val="bottom"/>
      </w:pPr>
      <w:r>
        <w:rPr>
          <w:rFonts w:hint="eastAsia"/>
        </w:rPr>
        <w:t>一些希望开办企业的妇女难以得到贷款。一个原因是许多开办企业者想办的是高风险企业。另一个往往对妇女产生不利影响的因素是他们常常申请小额商业贷款。妇女对这种状况的不满主要涉及银行对待她们的方法。银行方面认为妇女管理得不够好。但是贷款业务中的陈规旧俗和偏见实际上正在逐渐消失。银行正在越来越了解女企业家的重要性。如果今天妇女在获得贷款方面有困难，很可能并不是由于她们是妇女这个事实，而是由于银行应用的商业标准以及妇女往往申请较小额商业贷款的事实。</w:t>
      </w:r>
    </w:p>
    <w:p w:rsidR="00000000" w:rsidRDefault="00000000">
      <w:pPr>
        <w:tabs>
          <w:tab w:val="left" w:pos="3150"/>
        </w:tabs>
        <w:autoSpaceDE w:val="0"/>
        <w:autoSpaceDN w:val="0"/>
        <w:spacing w:after="240" w:line="400" w:lineRule="exact"/>
        <w:ind w:firstLine="425"/>
        <w:textAlignment w:val="bottom"/>
      </w:pPr>
      <w:r>
        <w:rPr>
          <w:rFonts w:hint="eastAsia"/>
        </w:rPr>
        <w:t>从</w:t>
      </w:r>
      <w:r>
        <w:t>1996</w:t>
      </w:r>
      <w:r>
        <w:rPr>
          <w:rFonts w:hint="eastAsia"/>
        </w:rPr>
        <w:t>年以来经济事务部、社会和就业部以及</w:t>
      </w:r>
      <w:r>
        <w:t>Rabobank</w:t>
      </w:r>
      <w:r>
        <w:rPr>
          <w:rFonts w:hint="eastAsia"/>
        </w:rPr>
        <w:t>一直共同资助了一个称为“女商人和银行”的三年期项目。其目的是改变银行对女商人的看法和女商人对银行的看法，以便双方可以顺利得到和发放贷款。通过与该项目小组的合作销售分析中心开发出了一种可以审查双方是如何处理贷款申请的工具。</w:t>
      </w:r>
    </w:p>
    <w:p w:rsidR="00000000" w:rsidRDefault="00000000">
      <w:pPr>
        <w:tabs>
          <w:tab w:val="left" w:pos="3150"/>
        </w:tabs>
        <w:autoSpaceDE w:val="0"/>
        <w:autoSpaceDN w:val="0"/>
        <w:spacing w:after="240" w:line="400" w:lineRule="exact"/>
        <w:textAlignment w:val="bottom"/>
        <w:rPr>
          <w:rFonts w:ascii="SimHei" w:eastAsia="SimHei"/>
          <w:sz w:val="28"/>
        </w:rPr>
      </w:pPr>
      <w:r>
        <w:br w:type="page"/>
      </w:r>
      <w:r>
        <w:rPr>
          <w:rFonts w:ascii="SimHei" w:eastAsia="SimHei" w:hint="eastAsia"/>
          <w:sz w:val="28"/>
        </w:rPr>
        <w:t>第十章</w:t>
      </w:r>
      <w:r>
        <w:rPr>
          <w:rFonts w:ascii="SimHei" w:eastAsia="SimHei"/>
          <w:sz w:val="28"/>
        </w:rPr>
        <w:t xml:space="preserve">  </w:t>
      </w:r>
      <w:r>
        <w:rPr>
          <w:rFonts w:ascii="SimHei" w:eastAsia="SimHei" w:hint="eastAsia"/>
          <w:sz w:val="28"/>
        </w:rPr>
        <w:t>第</w:t>
      </w:r>
      <w:r>
        <w:rPr>
          <w:rFonts w:ascii="SimHei" w:eastAsia="SimHei"/>
          <w:sz w:val="28"/>
        </w:rPr>
        <w:t>12</w:t>
      </w:r>
      <w:r>
        <w:rPr>
          <w:rFonts w:ascii="SimHei" w:eastAsia="SimHei" w:hint="eastAsia"/>
          <w:sz w:val="28"/>
        </w:rPr>
        <w:t>条：保健</w:t>
      </w:r>
    </w:p>
    <w:p w:rsidR="00000000" w:rsidRDefault="00000000">
      <w:pPr>
        <w:tabs>
          <w:tab w:val="left" w:pos="3150"/>
        </w:tabs>
        <w:autoSpaceDE w:val="0"/>
        <w:autoSpaceDN w:val="0"/>
        <w:spacing w:after="240" w:line="400" w:lineRule="exact"/>
        <w:textAlignment w:val="bottom"/>
        <w:rPr>
          <w:rFonts w:ascii="SimHei" w:eastAsia="SimHei"/>
          <w:sz w:val="24"/>
        </w:rPr>
      </w:pPr>
      <w:r>
        <w:rPr>
          <w:rFonts w:ascii="SimHei" w:eastAsia="SimHei" w:hint="eastAsia"/>
          <w:sz w:val="24"/>
        </w:rPr>
        <w:t>第一级：状况和立法措施</w:t>
      </w:r>
    </w:p>
    <w:p w:rsidR="00000000" w:rsidRDefault="00000000">
      <w:pPr>
        <w:tabs>
          <w:tab w:val="left" w:pos="3150"/>
        </w:tabs>
        <w:autoSpaceDE w:val="0"/>
        <w:autoSpaceDN w:val="0"/>
        <w:spacing w:after="240" w:line="400" w:lineRule="exact"/>
        <w:ind w:firstLine="425"/>
        <w:textAlignment w:val="bottom"/>
      </w:pPr>
      <w:r>
        <w:rPr>
          <w:rFonts w:hint="eastAsia"/>
        </w:rPr>
        <w:t>在前言中曾经提到荷兰政府在向消除对妇女歧视委员会第二次提交报告之前对联合国《消除对妇女一切形式歧视公约》的各个方面委托进行了一系列深入研究。其中之一涉及《妇女公约》第</w:t>
      </w:r>
      <w:r>
        <w:t>12</w:t>
      </w:r>
      <w:r>
        <w:rPr>
          <w:rFonts w:hint="eastAsia"/>
        </w:rPr>
        <w:t>条的含义，其小标题为‘健康作为一项权利’。</w:t>
      </w:r>
      <w:r>
        <w:rPr>
          <w:rStyle w:val="FootnoteReference"/>
        </w:rPr>
        <w:footnoteReference w:customMarkFollows="1" w:id="40"/>
        <w:t>38</w:t>
      </w:r>
      <w:r>
        <w:rPr>
          <w:rFonts w:hint="eastAsia"/>
        </w:rPr>
        <w:t>该报告已在</w:t>
      </w:r>
      <w:r>
        <w:t>1996</w:t>
      </w:r>
      <w:r>
        <w:rPr>
          <w:rFonts w:hint="eastAsia"/>
        </w:rPr>
        <w:t>年提交卫生、福利和体育大臣。在</w:t>
      </w:r>
      <w:r>
        <w:t>1998</w:t>
      </w:r>
      <w:r>
        <w:rPr>
          <w:rFonts w:hint="eastAsia"/>
        </w:rPr>
        <w:t>年初已把这位大臣对该报告的反应以及她就报告所建议采取的行动告知议会下院。</w:t>
      </w:r>
      <w:r>
        <w:rPr>
          <w:rStyle w:val="FootnoteReference"/>
        </w:rPr>
        <w:footnoteReference w:customMarkFollows="1" w:id="41"/>
        <w:t>39</w:t>
      </w:r>
    </w:p>
    <w:p w:rsidR="00000000" w:rsidRDefault="00000000">
      <w:pPr>
        <w:tabs>
          <w:tab w:val="left" w:pos="3150"/>
        </w:tabs>
        <w:autoSpaceDE w:val="0"/>
        <w:autoSpaceDN w:val="0"/>
        <w:spacing w:after="240" w:line="400" w:lineRule="exact"/>
        <w:textAlignment w:val="bottom"/>
        <w:rPr>
          <w:rFonts w:ascii="SimHei" w:eastAsia="SimHei"/>
          <w:sz w:val="24"/>
        </w:rPr>
      </w:pPr>
      <w:r>
        <w:rPr>
          <w:rFonts w:ascii="SimHei" w:eastAsia="SimHei" w:hint="eastAsia"/>
          <w:sz w:val="24"/>
        </w:rPr>
        <w:t>第二级：走向多样性</w:t>
      </w:r>
    </w:p>
    <w:p w:rsidR="00000000" w:rsidRDefault="00000000">
      <w:pPr>
        <w:tabs>
          <w:tab w:val="left" w:pos="3150"/>
        </w:tabs>
        <w:autoSpaceDE w:val="0"/>
        <w:autoSpaceDN w:val="0"/>
        <w:spacing w:after="240" w:line="400" w:lineRule="exact"/>
        <w:ind w:firstLine="425"/>
        <w:textAlignment w:val="bottom"/>
      </w:pPr>
      <w:r>
        <w:rPr>
          <w:rFonts w:hint="eastAsia"/>
        </w:rPr>
        <w:t>有关第</w:t>
      </w:r>
      <w:r>
        <w:t>12</w:t>
      </w:r>
      <w:r>
        <w:rPr>
          <w:rFonts w:hint="eastAsia"/>
        </w:rPr>
        <w:t>条的重要意义的报告摘要已作为附件纳入提交消除对妇女歧视委员会的此份报告。以下将概述卫生、福利和体育大臣的立场。这位大臣说，总的来看该报告并未提出任何有关荷兰妇女健康或为了保证良好健康妇女应当达到的条件的明显问题。但是该调查报告显示在疾病和健康方面性别之间确有差别，为了实现‘事实上的’平等或（用联合国《妇女公约》的词汇）‘消除歧视’必须不平等地对待不平等案例。在保健政策中已考虑到这一点。这方面的一个实例是越来越强调妇女保健服务。</w:t>
      </w:r>
    </w:p>
    <w:p w:rsidR="00000000" w:rsidRDefault="00000000">
      <w:pPr>
        <w:tabs>
          <w:tab w:val="left" w:pos="3150"/>
        </w:tabs>
        <w:autoSpaceDE w:val="0"/>
        <w:autoSpaceDN w:val="0"/>
        <w:spacing w:after="240" w:line="400" w:lineRule="exact"/>
        <w:ind w:firstLine="425"/>
        <w:textAlignment w:val="bottom"/>
      </w:pPr>
      <w:r>
        <w:rPr>
          <w:rFonts w:hint="eastAsia"/>
        </w:rPr>
        <w:t>这位大臣在她给下院的信中指出，应在政策中更加清楚地反映出对特别与性别有关的疾病与健康的差别不断变化的观点。在这方面对联合国《妇女公约》第</w:t>
      </w:r>
      <w:r>
        <w:t>12</w:t>
      </w:r>
      <w:r>
        <w:rPr>
          <w:rFonts w:hint="eastAsia"/>
        </w:rPr>
        <w:t>条含意所进行研究的结果会有帮助。不久将成立一个公务员工作组以便建议在拟订保健政策时更加重视该公约的原则和目标。此外，这位大臣打算要求两个咨询委员会</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社会发展委员会和全国公共卫生咨询委员会</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就如何把报告中的建议具体纳入保健政策在</w:t>
      </w:r>
      <w:r>
        <w:t>1998</w:t>
      </w:r>
      <w:r>
        <w:rPr>
          <w:rFonts w:hint="eastAsia"/>
        </w:rPr>
        <w:t>年提出建议。这位大臣还提供了英文版的报告摘要，以确保国际上也能知道研究的结果。</w:t>
      </w:r>
    </w:p>
    <w:p w:rsidR="00000000" w:rsidRDefault="00000000">
      <w:pPr>
        <w:tabs>
          <w:tab w:val="left" w:pos="3150"/>
        </w:tabs>
        <w:autoSpaceDE w:val="0"/>
        <w:autoSpaceDN w:val="0"/>
        <w:spacing w:after="240" w:line="400" w:lineRule="exact"/>
        <w:textAlignment w:val="bottom"/>
        <w:rPr>
          <w:rFonts w:ascii="SimHei" w:eastAsia="SimHei"/>
          <w:sz w:val="24"/>
        </w:rPr>
      </w:pPr>
      <w:r>
        <w:rPr>
          <w:rFonts w:ascii="SimHei" w:eastAsia="SimHei" w:hint="eastAsia"/>
          <w:sz w:val="24"/>
        </w:rPr>
        <w:t>第三级：文化变革战略</w:t>
      </w:r>
    </w:p>
    <w:p w:rsidR="00000000" w:rsidRDefault="00000000">
      <w:pPr>
        <w:tabs>
          <w:tab w:val="left" w:pos="3150"/>
        </w:tabs>
        <w:autoSpaceDE w:val="0"/>
        <w:autoSpaceDN w:val="0"/>
        <w:spacing w:after="240" w:line="400" w:lineRule="exact"/>
        <w:textAlignment w:val="bottom"/>
        <w:rPr>
          <w:rFonts w:ascii="楷体" w:eastAsia="楷体"/>
        </w:rPr>
      </w:pPr>
      <w:r>
        <w:rPr>
          <w:rFonts w:ascii="楷体" w:eastAsia="楷体" w:hint="eastAsia"/>
        </w:rPr>
        <w:t>妇女保健服务</w:t>
      </w:r>
    </w:p>
    <w:p w:rsidR="00000000" w:rsidRDefault="00000000">
      <w:pPr>
        <w:tabs>
          <w:tab w:val="left" w:pos="3150"/>
        </w:tabs>
        <w:autoSpaceDE w:val="0"/>
        <w:autoSpaceDN w:val="0"/>
        <w:spacing w:after="240" w:line="400" w:lineRule="exact"/>
        <w:ind w:firstLine="425"/>
        <w:textAlignment w:val="bottom"/>
      </w:pPr>
      <w:r>
        <w:rPr>
          <w:rFonts w:hint="eastAsia"/>
        </w:rPr>
        <w:t>荷兰的政策长期以来一惯重视特别与性别有关的疾病与健康差别的存在。从妇女保健服务的措施与补贴可以清楚看到这一点。其目的是确保对妇女的服务成为日常保健服务的一个部分。这实际上是</w:t>
      </w:r>
      <w:r>
        <w:t>1992</w:t>
      </w:r>
      <w:r>
        <w:rPr>
          <w:rFonts w:hint="eastAsia"/>
        </w:rPr>
        <w:t>年至</w:t>
      </w:r>
      <w:r>
        <w:t>1997</w:t>
      </w:r>
      <w:r>
        <w:rPr>
          <w:rFonts w:hint="eastAsia"/>
        </w:rPr>
        <w:t>年</w:t>
      </w:r>
      <w:r>
        <w:t>5</w:t>
      </w:r>
      <w:r>
        <w:rPr>
          <w:rFonts w:hint="eastAsia"/>
        </w:rPr>
        <w:t>月的妇女保健服务工作方案的目的。该方案有一系列涉及诸如家庭医生、性暴力、基于经验的专门知识、精神保健、妇女自助（质量保证和资助）以及信息之类的不同主题的政策前导目标。在</w:t>
      </w:r>
      <w:r>
        <w:t>1998</w:t>
      </w:r>
      <w:r>
        <w:rPr>
          <w:rFonts w:hint="eastAsia"/>
        </w:rPr>
        <w:t>年中期以前一个特别指导委员会将负责促进把妇女保健服务纳入一般卫生和福利政策的工作。该指导委员会由普通保健机构、社会机构、首席卫生医药督察以及病人</w:t>
      </w:r>
      <w:r>
        <w:t>/</w:t>
      </w:r>
      <w:r>
        <w:rPr>
          <w:rFonts w:hint="eastAsia"/>
        </w:rPr>
        <w:t>消费者协会的代表组成，有独立的领导人。此外该委员会向妇女保健服务、保健和自助组织咨询。</w:t>
      </w:r>
    </w:p>
    <w:p w:rsidR="00000000" w:rsidRDefault="00000000">
      <w:pPr>
        <w:tabs>
          <w:tab w:val="left" w:pos="3150"/>
        </w:tabs>
        <w:autoSpaceDE w:val="0"/>
        <w:autoSpaceDN w:val="0"/>
        <w:spacing w:after="240" w:line="400" w:lineRule="exact"/>
        <w:ind w:firstLine="425"/>
        <w:textAlignment w:val="bottom"/>
      </w:pPr>
      <w:r>
        <w:rPr>
          <w:rFonts w:hint="eastAsia"/>
        </w:rPr>
        <w:t>当局对一些有利于支助和制订这方面政策并转让和把有关妇女健康特点的信息并将信息载入文件的机构给予补贴。有关的机构是</w:t>
      </w:r>
      <w:r>
        <w:t>TransAct</w:t>
      </w:r>
      <w:r>
        <w:rPr>
          <w:rFonts w:hint="eastAsia"/>
        </w:rPr>
        <w:t>（性别保健创新和打击性暴力荷兰中心（也见第三章）和</w:t>
      </w:r>
      <w:r>
        <w:t>Aletta</w:t>
      </w:r>
      <w:r>
        <w:rPr>
          <w:rFonts w:hint="eastAsia"/>
        </w:rPr>
        <w:t>（妇女保健中心）。另外，妇女自助联合会也接受基本补贴。</w:t>
      </w:r>
    </w:p>
    <w:p w:rsidR="00000000" w:rsidRDefault="00000000">
      <w:pPr>
        <w:tabs>
          <w:tab w:val="left" w:pos="3150"/>
        </w:tabs>
        <w:autoSpaceDE w:val="0"/>
        <w:autoSpaceDN w:val="0"/>
        <w:spacing w:after="240" w:line="400" w:lineRule="exact"/>
        <w:ind w:firstLine="425"/>
        <w:textAlignment w:val="bottom"/>
      </w:pPr>
      <w:r>
        <w:t>1996</w:t>
      </w:r>
      <w:r>
        <w:rPr>
          <w:rFonts w:hint="eastAsia"/>
        </w:rPr>
        <w:t>年在政府津贴的帮助下成立了一个两年期的</w:t>
      </w:r>
      <w:r>
        <w:t>Targuila</w:t>
      </w:r>
      <w:r>
        <w:rPr>
          <w:rFonts w:hint="eastAsia"/>
        </w:rPr>
        <w:t>咨询中心，其目的是确保黑人、移民和难民妇女可以方便地得到保健。该中心向媒介提供有关向黑人、移民和难民妇女提供帮助的具体问题的信息。它也提出一些关于这些妇女与现有妇女医疗和保健机构之间关系的设想。另一个机构</w:t>
      </w:r>
      <w:r>
        <w:fldChar w:fldCharType="begin"/>
      </w:r>
      <w:r>
        <w:instrText>symbol 151 \f "Times New Roman"</w:instrText>
      </w:r>
      <w:r>
        <w:fldChar w:fldCharType="end"/>
      </w:r>
      <w:r>
        <w:fldChar w:fldCharType="begin"/>
      </w:r>
      <w:r>
        <w:instrText>symbol 151 \f "Times New Roman"</w:instrText>
      </w:r>
      <w:r>
        <w:fldChar w:fldCharType="end"/>
      </w:r>
      <w:r>
        <w:t>Zorg Onderzoek Nederland</w:t>
      </w:r>
      <w:r>
        <w:rPr>
          <w:rFonts w:hint="eastAsia"/>
        </w:rPr>
        <w:t>也得到了一个从</w:t>
      </w:r>
      <w:r>
        <w:t>1998</w:t>
      </w:r>
      <w:r>
        <w:rPr>
          <w:rFonts w:hint="eastAsia"/>
        </w:rPr>
        <w:t>年</w:t>
      </w:r>
      <w:r>
        <w:t>1</w:t>
      </w:r>
      <w:r>
        <w:rPr>
          <w:rFonts w:hint="eastAsia"/>
        </w:rPr>
        <w:t>月</w:t>
      </w:r>
      <w:r>
        <w:t>1</w:t>
      </w:r>
      <w:r>
        <w:rPr>
          <w:rFonts w:hint="eastAsia"/>
        </w:rPr>
        <w:t>日起四年期的有关妇女保健服务的实验与研究基金。现在优先照顾有关客户满意情况和评估的项目。</w:t>
      </w:r>
    </w:p>
    <w:p w:rsidR="00000000" w:rsidRDefault="00000000">
      <w:pPr>
        <w:tabs>
          <w:tab w:val="left" w:pos="3150"/>
        </w:tabs>
        <w:autoSpaceDE w:val="0"/>
        <w:autoSpaceDN w:val="0"/>
        <w:spacing w:after="240" w:line="400" w:lineRule="exact"/>
        <w:textAlignment w:val="bottom"/>
        <w:rPr>
          <w:rFonts w:ascii="楷体" w:eastAsia="楷体"/>
        </w:rPr>
      </w:pPr>
      <w:r>
        <w:rPr>
          <w:rFonts w:ascii="楷体" w:eastAsia="楷体" w:hint="eastAsia"/>
        </w:rPr>
        <w:t>把妇女保健服务纳入主流保健系统</w:t>
      </w:r>
    </w:p>
    <w:p w:rsidR="00000000" w:rsidRDefault="00000000">
      <w:pPr>
        <w:tabs>
          <w:tab w:val="left" w:pos="3150"/>
        </w:tabs>
        <w:autoSpaceDE w:val="0"/>
        <w:autoSpaceDN w:val="0"/>
        <w:spacing w:after="240" w:line="400" w:lineRule="exact"/>
        <w:ind w:firstLine="425"/>
        <w:textAlignment w:val="bottom"/>
      </w:pPr>
      <w:r>
        <w:rPr>
          <w:rFonts w:hint="eastAsia"/>
        </w:rPr>
        <w:t>多年来政策一直集中关注把妇女保健服务纳入主流保健系统。其基本设想是对于为男女提供良好保健来说重要的是应考虑到他们的问题及社会状况。在妇女保健服务方面性别的角色和意义（社会和其他的）总是起中心作用。因而妇女保健服务就成了提高保健质量和成立特定保健系统的一种重要手段。</w:t>
      </w:r>
      <w:r>
        <w:t xml:space="preserve">Trans Act </w:t>
      </w:r>
      <w:r>
        <w:rPr>
          <w:rFonts w:hint="eastAsia"/>
        </w:rPr>
        <w:t>和</w:t>
      </w:r>
      <w:r>
        <w:t>Aletta</w:t>
      </w:r>
      <w:r>
        <w:rPr>
          <w:rFonts w:hint="eastAsia"/>
        </w:rPr>
        <w:t>的职责就是在有关提供妇女医疗服务和打击性暴力的事务中提供全国性的支助。它们在这些领域执行政策方面发挥了中心作用。</w:t>
      </w:r>
    </w:p>
    <w:p w:rsidR="00000000" w:rsidRDefault="00000000">
      <w:pPr>
        <w:tabs>
          <w:tab w:val="left" w:pos="3150"/>
        </w:tabs>
        <w:autoSpaceDE w:val="0"/>
        <w:autoSpaceDN w:val="0"/>
        <w:spacing w:after="240" w:line="400" w:lineRule="exact"/>
        <w:ind w:firstLine="425"/>
        <w:textAlignment w:val="bottom"/>
      </w:pPr>
      <w:r>
        <w:rPr>
          <w:rFonts w:hint="eastAsia"/>
        </w:rPr>
        <w:t>一项评估调查显示，虽然一体化的进程已启动，但妇女保健机构尚未成为主流保健系统的一个结构性部分。在创立支助基础方面，在使工作在主流系统中的人了解妇女机构方面以及在主流保健机构和自治保健机构之间建立合作方面确实取得了进展。培训的需求也在日益增加。尽管利益不断扩大，但仍然有相当多的问题。它们涉及妇女机构的形象、管理一级的支持以及与质量保证政策的结构性关系。不仅‘妇女保健机构’这个词正在变得越来越激起感情和令人振奋而且也有不同解释。关于妇女保健机构作为提高保健质量一种手段的辩论仍在进行之中。目前需要政府当局继续给予鼓励。</w:t>
      </w:r>
    </w:p>
    <w:p w:rsidR="00000000" w:rsidRDefault="00000000">
      <w:pPr>
        <w:tabs>
          <w:tab w:val="left" w:pos="3150"/>
        </w:tabs>
        <w:autoSpaceDE w:val="0"/>
        <w:autoSpaceDN w:val="0"/>
        <w:spacing w:after="240" w:line="400" w:lineRule="exact"/>
        <w:textAlignment w:val="bottom"/>
        <w:rPr>
          <w:rFonts w:ascii="楷体" w:eastAsia="楷体"/>
        </w:rPr>
      </w:pPr>
      <w:r>
        <w:rPr>
          <w:rFonts w:ascii="楷体" w:eastAsia="楷体" w:hint="eastAsia"/>
        </w:rPr>
        <w:t>妇女与艾滋病（一般性建议</w:t>
      </w:r>
      <w:r>
        <w:rPr>
          <w:rFonts w:ascii="楷体" w:eastAsia="楷体"/>
        </w:rPr>
        <w:t>15</w:t>
      </w:r>
      <w:r>
        <w:rPr>
          <w:rFonts w:ascii="楷体" w:eastAsia="楷体" w:hint="eastAsia"/>
        </w:rPr>
        <w:t>）</w:t>
      </w:r>
    </w:p>
    <w:p w:rsidR="00000000" w:rsidRDefault="00000000">
      <w:pPr>
        <w:tabs>
          <w:tab w:val="left" w:pos="3150"/>
        </w:tabs>
        <w:autoSpaceDE w:val="0"/>
        <w:autoSpaceDN w:val="0"/>
        <w:spacing w:after="240" w:line="400" w:lineRule="exact"/>
        <w:ind w:firstLine="425"/>
        <w:textAlignment w:val="bottom"/>
      </w:pPr>
      <w:r>
        <w:rPr>
          <w:rFonts w:hint="eastAsia"/>
        </w:rPr>
        <w:t>本节将通过参考消除对妇女歧视委员会一般性建议</w:t>
      </w:r>
      <w:r>
        <w:t>15</w:t>
      </w:r>
      <w:r>
        <w:rPr>
          <w:rFonts w:hint="eastAsia"/>
        </w:rPr>
        <w:t>较为详细地论述这个主题。</w:t>
      </w:r>
      <w:r>
        <w:t>1995</w:t>
      </w:r>
      <w:r>
        <w:rPr>
          <w:rFonts w:hint="eastAsia"/>
        </w:rPr>
        <w:t>年全国精神保健联合会对荷兰受艾滋病感染的妇女的状况进行了一次调查。在所包括的项目中有受艾滋病毒感染和患艾滋病妇女所遇到的心理社会问题以及这些妇女遇到的问题在多大程度上与性别有关。调查显示，这些妇女没有团体可以加入也得不到支持，因而陷入比有同样病况的男子更加孤独的生活。在这种情况下一系列因素都会起作用，如当母亲、家庭状况、卖淫、滥用毒品或曾经滥用毒品、需要照顾同伴、孩子和父母以及金钱问题。妇女倾向于试图自己解决这些问题，不愿意寻求帮助。事实上她们对可能获得帮助不抱很大希望，她们中有些人对过去得到的帮助吹毛求疵。她们不寻求帮助的另一个原因是为了保护隐私。</w:t>
      </w:r>
    </w:p>
    <w:p w:rsidR="00000000" w:rsidRDefault="00000000">
      <w:pPr>
        <w:tabs>
          <w:tab w:val="left" w:pos="3150"/>
        </w:tabs>
        <w:autoSpaceDE w:val="0"/>
        <w:autoSpaceDN w:val="0"/>
        <w:spacing w:after="240" w:line="400" w:lineRule="exact"/>
        <w:ind w:firstLine="425"/>
        <w:textAlignment w:val="bottom"/>
      </w:pPr>
      <w:r>
        <w:rPr>
          <w:rFonts w:hint="eastAsia"/>
        </w:rPr>
        <w:t>自从妇女与艾滋病项目被纳入</w:t>
      </w:r>
      <w:r>
        <w:t>Aletta</w:t>
      </w:r>
      <w:r>
        <w:rPr>
          <w:rFonts w:hint="eastAsia"/>
        </w:rPr>
        <w:t>、妇女保健中心的工作计划以来，援助艾滋病人的方案越来越多地把力量集中于妇女。此外，艾滋病基金正在资助有关妇女与艾滋病毒</w:t>
      </w:r>
      <w:r>
        <w:t>/</w:t>
      </w:r>
      <w:r>
        <w:rPr>
          <w:rFonts w:hint="eastAsia"/>
        </w:rPr>
        <w:t>艾滋病主题的项目。</w:t>
      </w:r>
      <w:r>
        <w:t>1996</w:t>
      </w:r>
      <w:r>
        <w:rPr>
          <w:rFonts w:hint="eastAsia"/>
        </w:rPr>
        <w:t>年艾滋病基金方案的项目中有两个是出版一种供妇女用的关于预防性传播疾病</w:t>
      </w:r>
      <w:r>
        <w:t>/</w:t>
      </w:r>
      <w:r>
        <w:rPr>
          <w:rFonts w:hint="eastAsia"/>
        </w:rPr>
        <w:t>艾滋病的一套资料和一个对产科医师进行艾滋病毒感染和妊娠进一步培训的方案（两个项目都由性传染病预防基金会管理）。</w:t>
      </w:r>
      <w:r>
        <w:rPr>
          <w:rStyle w:val="FootnoteReference"/>
        </w:rPr>
        <w:footnoteReference w:customMarkFollows="1" w:id="42"/>
        <w:t>40</w:t>
      </w:r>
      <w:r>
        <w:t>Aletta</w:t>
      </w:r>
      <w:r>
        <w:rPr>
          <w:rFonts w:hint="eastAsia"/>
        </w:rPr>
        <w:t>中心的项目集中致力于改进预防艾滋病毒</w:t>
      </w:r>
      <w:r>
        <w:t>/</w:t>
      </w:r>
      <w:r>
        <w:rPr>
          <w:rFonts w:hint="eastAsia"/>
        </w:rPr>
        <w:t>艾滋病感染的措施和为受艾滋病病毒感染妇女和患艾滋病妇女提供护理。</w:t>
      </w:r>
    </w:p>
    <w:p w:rsidR="00000000" w:rsidRDefault="00000000">
      <w:pPr>
        <w:tabs>
          <w:tab w:val="left" w:pos="3150"/>
        </w:tabs>
        <w:autoSpaceDE w:val="0"/>
        <w:autoSpaceDN w:val="0"/>
        <w:spacing w:after="240" w:line="400" w:lineRule="exact"/>
        <w:textAlignment w:val="bottom"/>
        <w:rPr>
          <w:rFonts w:ascii="SimHei" w:eastAsia="SimHei"/>
          <w:sz w:val="28"/>
        </w:rPr>
      </w:pPr>
      <w:r>
        <w:br w:type="page"/>
      </w:r>
      <w:r>
        <w:rPr>
          <w:rFonts w:ascii="SimHei" w:eastAsia="SimHei" w:hint="eastAsia"/>
          <w:sz w:val="28"/>
        </w:rPr>
        <w:t>第十一章</w:t>
      </w:r>
      <w:r>
        <w:rPr>
          <w:rFonts w:ascii="SimHei" w:eastAsia="SimHei"/>
          <w:sz w:val="28"/>
        </w:rPr>
        <w:t xml:space="preserve">  </w:t>
      </w:r>
      <w:r>
        <w:rPr>
          <w:rFonts w:ascii="SimHei" w:eastAsia="SimHei" w:hint="eastAsia"/>
          <w:sz w:val="28"/>
        </w:rPr>
        <w:t>第</w:t>
      </w:r>
      <w:r>
        <w:rPr>
          <w:rFonts w:ascii="SimHei" w:eastAsia="SimHei"/>
          <w:sz w:val="28"/>
        </w:rPr>
        <w:t>14</w:t>
      </w:r>
      <w:r>
        <w:rPr>
          <w:rFonts w:ascii="SimHei" w:eastAsia="SimHei" w:hint="eastAsia"/>
          <w:sz w:val="28"/>
        </w:rPr>
        <w:t>条：农村妇女</w:t>
      </w:r>
    </w:p>
    <w:p w:rsidR="00000000" w:rsidRDefault="00000000">
      <w:pPr>
        <w:tabs>
          <w:tab w:val="left" w:pos="3150"/>
        </w:tabs>
        <w:autoSpaceDE w:val="0"/>
        <w:autoSpaceDN w:val="0"/>
        <w:spacing w:after="240" w:line="400" w:lineRule="exact"/>
        <w:textAlignment w:val="bottom"/>
        <w:rPr>
          <w:rFonts w:ascii="SimHei" w:eastAsia="SimHei"/>
          <w:sz w:val="24"/>
        </w:rPr>
      </w:pPr>
      <w:r>
        <w:rPr>
          <w:rFonts w:ascii="SimHei" w:eastAsia="SimHei" w:hint="eastAsia"/>
          <w:sz w:val="24"/>
        </w:rPr>
        <w:t>第一级：状况和立法措施</w:t>
      </w:r>
    </w:p>
    <w:p w:rsidR="00000000" w:rsidRDefault="00000000">
      <w:pPr>
        <w:tabs>
          <w:tab w:val="left" w:pos="3150"/>
        </w:tabs>
        <w:autoSpaceDE w:val="0"/>
        <w:autoSpaceDN w:val="0"/>
        <w:spacing w:after="240" w:line="400" w:lineRule="exact"/>
        <w:textAlignment w:val="bottom"/>
        <w:rPr>
          <w:rFonts w:ascii="SimHei" w:eastAsia="SimHei"/>
        </w:rPr>
      </w:pPr>
      <w:r>
        <w:rPr>
          <w:rFonts w:ascii="SimHei" w:eastAsia="SimHei"/>
        </w:rPr>
        <w:t xml:space="preserve">1(a)  </w:t>
      </w:r>
      <w:r>
        <w:rPr>
          <w:rFonts w:ascii="SimHei" w:eastAsia="SimHei" w:hint="eastAsia"/>
        </w:rPr>
        <w:t>状况</w:t>
      </w:r>
    </w:p>
    <w:p w:rsidR="00000000" w:rsidRDefault="00000000">
      <w:pPr>
        <w:tabs>
          <w:tab w:val="left" w:pos="3150"/>
        </w:tabs>
        <w:autoSpaceDE w:val="0"/>
        <w:autoSpaceDN w:val="0"/>
        <w:spacing w:after="240" w:line="400" w:lineRule="exact"/>
        <w:ind w:firstLine="425"/>
        <w:textAlignment w:val="bottom"/>
      </w:pPr>
      <w:r>
        <w:rPr>
          <w:rFonts w:hint="eastAsia"/>
        </w:rPr>
        <w:t>荷兰政府为了创造更好的环境采取了复兴农村的政策。妇女在这些计划中起主要作用。农村妇女正在以各种方式参与发展乡村地区的新经济活动。近年来约</w:t>
      </w:r>
      <w:r>
        <w:t>13%</w:t>
      </w:r>
      <w:r>
        <w:rPr>
          <w:rFonts w:hint="eastAsia"/>
        </w:rPr>
        <w:t>的农村妇女开办了自己的企业。另外，管理企业（如与他们丈夫合伙）的妇女人数几乎增加了两倍：从</w:t>
      </w:r>
      <w:r>
        <w:t>1990</w:t>
      </w:r>
      <w:r>
        <w:rPr>
          <w:rFonts w:hint="eastAsia"/>
        </w:rPr>
        <w:t>年的</w:t>
      </w:r>
      <w:r>
        <w:t>7000</w:t>
      </w:r>
      <w:r>
        <w:rPr>
          <w:rFonts w:hint="eastAsia"/>
        </w:rPr>
        <w:t>人增加到</w:t>
      </w:r>
      <w:r>
        <w:t>1995</w:t>
      </w:r>
      <w:r>
        <w:rPr>
          <w:rFonts w:hint="eastAsia"/>
        </w:rPr>
        <w:t>年的</w:t>
      </w:r>
      <w:r>
        <w:t>2</w:t>
      </w:r>
      <w:r>
        <w:rPr>
          <w:rFonts w:hint="eastAsia"/>
        </w:rPr>
        <w:t>万人。其部分原因是采用了税收奖励办法。最后大约</w:t>
      </w:r>
      <w:r>
        <w:t>32%</w:t>
      </w:r>
      <w:r>
        <w:rPr>
          <w:rFonts w:hint="eastAsia"/>
        </w:rPr>
        <w:t>其丈夫在地里劳动而本人年龄不足</w:t>
      </w:r>
      <w:r>
        <w:t>40</w:t>
      </w:r>
      <w:r>
        <w:rPr>
          <w:rFonts w:hint="eastAsia"/>
        </w:rPr>
        <w:t>岁的妇女外出工作。各种调查表明农村妇女在增加农村生活福利设施方面是一支主力军。妇女对农村地区的发展往往有非同一般的创新办法。她们特别有可能参与加强经济基础并调和乡村不同（据说互不相容的）功能的活动。</w:t>
      </w:r>
    </w:p>
    <w:p w:rsidR="00000000" w:rsidRDefault="00000000">
      <w:pPr>
        <w:tabs>
          <w:tab w:val="left" w:pos="3150"/>
        </w:tabs>
        <w:autoSpaceDE w:val="0"/>
        <w:autoSpaceDN w:val="0"/>
        <w:spacing w:after="240" w:line="400" w:lineRule="exact"/>
        <w:textAlignment w:val="bottom"/>
        <w:rPr>
          <w:rFonts w:ascii="SimHei" w:eastAsia="SimHei"/>
        </w:rPr>
      </w:pPr>
      <w:r>
        <w:rPr>
          <w:rFonts w:ascii="SimHei" w:eastAsia="SimHei"/>
        </w:rPr>
        <w:t xml:space="preserve">1(b)  </w:t>
      </w:r>
      <w:r>
        <w:rPr>
          <w:rFonts w:ascii="SimHei" w:eastAsia="SimHei" w:hint="eastAsia"/>
        </w:rPr>
        <w:t>立法措施</w:t>
      </w:r>
    </w:p>
    <w:p w:rsidR="00000000" w:rsidRDefault="00000000">
      <w:pPr>
        <w:tabs>
          <w:tab w:val="left" w:pos="3150"/>
        </w:tabs>
        <w:autoSpaceDE w:val="0"/>
        <w:autoSpaceDN w:val="0"/>
        <w:spacing w:after="240" w:line="400" w:lineRule="exact"/>
        <w:ind w:firstLine="425"/>
        <w:textAlignment w:val="bottom"/>
      </w:pPr>
      <w:r>
        <w:rPr>
          <w:rFonts w:hint="eastAsia"/>
        </w:rPr>
        <w:t>《自营人员（无力工作）法令在</w:t>
      </w:r>
      <w:r>
        <w:t>1998</w:t>
      </w:r>
      <w:r>
        <w:rPr>
          <w:rFonts w:hint="eastAsia"/>
        </w:rPr>
        <w:t>年</w:t>
      </w:r>
      <w:r>
        <w:t>1</w:t>
      </w:r>
      <w:r>
        <w:rPr>
          <w:rFonts w:hint="eastAsia"/>
        </w:rPr>
        <w:t>月</w:t>
      </w:r>
      <w:r>
        <w:t>1</w:t>
      </w:r>
      <w:r>
        <w:rPr>
          <w:rFonts w:hint="eastAsia"/>
        </w:rPr>
        <w:t>日成为法律（也见第九章）。其条款之一是自营妇女和在其丈夫企业中工作的妇女妊娠期的收入计划。所以它也包括女农民和农民的妻子。她们有权享受</w:t>
      </w:r>
      <w:r>
        <w:t>16</w:t>
      </w:r>
      <w:r>
        <w:rPr>
          <w:rFonts w:hint="eastAsia"/>
        </w:rPr>
        <w:t>周妊娠和分娩期补助。补助金的数额取决于过去五年中她们得到的收入（或假想收入），但不得高于法定最低工资的最大额。这就使女农民和农民的妻子在妊娠和分娩期在经济上有能力雇用替代人员。</w:t>
      </w:r>
    </w:p>
    <w:p w:rsidR="00000000" w:rsidRDefault="00000000">
      <w:pPr>
        <w:tabs>
          <w:tab w:val="left" w:pos="3150"/>
        </w:tabs>
        <w:autoSpaceDE w:val="0"/>
        <w:autoSpaceDN w:val="0"/>
        <w:spacing w:after="240" w:line="400" w:lineRule="exact"/>
        <w:textAlignment w:val="bottom"/>
        <w:rPr>
          <w:rFonts w:ascii="SimHei" w:eastAsia="SimHei"/>
          <w:sz w:val="24"/>
        </w:rPr>
      </w:pPr>
      <w:r>
        <w:rPr>
          <w:rFonts w:ascii="SimHei" w:eastAsia="SimHei" w:hint="eastAsia"/>
          <w:sz w:val="24"/>
        </w:rPr>
        <w:t>第二级</w:t>
      </w:r>
      <w:r>
        <w:rPr>
          <w:rFonts w:ascii="SimHei" w:eastAsia="SimHei"/>
          <w:sz w:val="24"/>
        </w:rPr>
        <w:t xml:space="preserve">  </w:t>
      </w:r>
      <w:r>
        <w:rPr>
          <w:rFonts w:ascii="SimHei" w:eastAsia="SimHei" w:hint="eastAsia"/>
          <w:sz w:val="24"/>
        </w:rPr>
        <w:t>走向多样性</w:t>
      </w:r>
    </w:p>
    <w:p w:rsidR="00000000" w:rsidRDefault="00000000">
      <w:pPr>
        <w:autoSpaceDE w:val="0"/>
        <w:autoSpaceDN w:val="0"/>
        <w:spacing w:after="240" w:line="400" w:lineRule="exact"/>
        <w:ind w:firstLine="425"/>
        <w:textAlignment w:val="bottom"/>
      </w:pPr>
      <w:r>
        <w:rPr>
          <w:rFonts w:hint="eastAsia"/>
        </w:rPr>
        <w:t>当局已资助（或共同资助）各种旨在帮助农村地区更多妇女在当地寻找工作的主动行动。例如，在</w:t>
      </w:r>
      <w:r>
        <w:t>Gelderland</w:t>
      </w:r>
      <w:r>
        <w:rPr>
          <w:rFonts w:hint="eastAsia"/>
        </w:rPr>
        <w:t>和</w:t>
      </w:r>
      <w:r>
        <w:t>Noord-Brabant</w:t>
      </w:r>
      <w:r>
        <w:rPr>
          <w:rFonts w:hint="eastAsia"/>
        </w:rPr>
        <w:t>成立了电信工作中心。妇女</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尤其是回国的妇女</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在一个中心接受培训然后到荷兰各地不同公司去从事文秘工作。日常活动委员会也十分重视农村生活和由于把不同生活领域活动结合起来给农村人口造成的具体问题（见第八章）。近几年来当局还一直在努力增加在农业、自然管理和渔业部的咨询委员会和员工参与的机构和志愿组织董事会内妇女的比例。当局指出使这些委员会成员多样化是重要的。农村委员会（</w:t>
      </w:r>
      <w:r>
        <w:t>1997</w:t>
      </w:r>
      <w:r>
        <w:rPr>
          <w:rFonts w:hint="eastAsia"/>
        </w:rPr>
        <w:t>年成立的一个政府咨询委员会）的</w:t>
      </w:r>
      <w:r>
        <w:t>15</w:t>
      </w:r>
      <w:r>
        <w:rPr>
          <w:rFonts w:hint="eastAsia"/>
        </w:rPr>
        <w:t>名成员中有</w:t>
      </w:r>
      <w:r>
        <w:t>6</w:t>
      </w:r>
      <w:r>
        <w:rPr>
          <w:rFonts w:hint="eastAsia"/>
        </w:rPr>
        <w:t>名妇女。但在成立新委员会和咨询机构时仍有必要注意这个问题。</w:t>
      </w:r>
    </w:p>
    <w:p w:rsidR="00000000" w:rsidRDefault="00000000">
      <w:pPr>
        <w:spacing w:after="240" w:line="400" w:lineRule="exact"/>
        <w:ind w:firstLine="425"/>
      </w:pPr>
      <w:r>
        <w:rPr>
          <w:rFonts w:hint="eastAsia"/>
        </w:rPr>
        <w:t>当局还为志愿组织培训和指导妇女出任委员会成员而举办的项目提供财政支助。这方面正在取得一些成功。例如，农业和园艺组织</w:t>
      </w:r>
      <w:r>
        <w:t>LTO-Nederland</w:t>
      </w:r>
      <w:r>
        <w:rPr>
          <w:rFonts w:hint="eastAsia"/>
        </w:rPr>
        <w:t>中的妇女比例从</w:t>
      </w:r>
      <w:r>
        <w:t>1989</w:t>
      </w:r>
      <w:r>
        <w:rPr>
          <w:rFonts w:hint="eastAsia"/>
        </w:rPr>
        <w:t>年的</w:t>
      </w:r>
      <w:r>
        <w:t>3%</w:t>
      </w:r>
      <w:r>
        <w:rPr>
          <w:rFonts w:hint="eastAsia"/>
        </w:rPr>
        <w:t>上升到</w:t>
      </w:r>
      <w:r>
        <w:t>1995</w:t>
      </w:r>
      <w:r>
        <w:rPr>
          <w:rFonts w:hint="eastAsia"/>
        </w:rPr>
        <w:t>年的平均</w:t>
      </w:r>
      <w:r>
        <w:t>10%</w:t>
      </w:r>
      <w:r>
        <w:rPr>
          <w:rFonts w:hint="eastAsia"/>
        </w:rPr>
        <w:t>，虽然女性成员数量一直保持</w:t>
      </w:r>
      <w:r>
        <w:t>7%</w:t>
      </w:r>
      <w:r>
        <w:rPr>
          <w:rFonts w:hint="eastAsia"/>
        </w:rPr>
        <w:t>。鉴于增加委员会妇女成员数量的重要性，志愿组织（包括农村妇女组织）在</w:t>
      </w:r>
      <w:r>
        <w:t>1997</w:t>
      </w:r>
      <w:r>
        <w:rPr>
          <w:rFonts w:hint="eastAsia"/>
        </w:rPr>
        <w:t>年又启动了另外三个项目。</w:t>
      </w:r>
    </w:p>
    <w:p w:rsidR="00000000" w:rsidRDefault="00000000">
      <w:pPr>
        <w:spacing w:after="240" w:line="400" w:lineRule="exact"/>
        <w:rPr>
          <w:rFonts w:ascii="SimHei" w:eastAsia="SimHei"/>
          <w:sz w:val="24"/>
        </w:rPr>
      </w:pPr>
      <w:r>
        <w:rPr>
          <w:rFonts w:ascii="SimHei" w:eastAsia="SimHei" w:hint="eastAsia"/>
          <w:sz w:val="24"/>
        </w:rPr>
        <w:t>第三级：文化变革战略</w:t>
      </w:r>
    </w:p>
    <w:p w:rsidR="00000000" w:rsidRDefault="00000000">
      <w:pPr>
        <w:spacing w:after="240" w:line="400" w:lineRule="exact"/>
        <w:ind w:firstLine="425"/>
      </w:pPr>
      <w:r>
        <w:rPr>
          <w:rFonts w:hint="eastAsia"/>
        </w:rPr>
        <w:t>农村妇女在农村发展中起非常重要的作用。对于农业尤其如此，因为妇女的贡献对于发展一种持久的、强大而有竞争力的行业是必不可少的。妇女对诸如用有利于环境的方式进行生产、关心牲畜的繁衍和与消费者交流的必要性等社会趋势是敏感的。农业、自然管理和渔业大臣在政策性文件“</w:t>
      </w:r>
      <w:r>
        <w:t>LNV-</w:t>
      </w:r>
      <w:r>
        <w:rPr>
          <w:rFonts w:hint="eastAsia"/>
        </w:rPr>
        <w:t>至</w:t>
      </w:r>
      <w:r>
        <w:t>2000</w:t>
      </w:r>
      <w:r>
        <w:rPr>
          <w:rFonts w:hint="eastAsia"/>
        </w:rPr>
        <w:t>年的解放政策”中强调了妇女的作用。这位大臣在他的演讲中特别提到妇女在改变农村社会内部思想中所起的重要作用。他这样做就帮助改善了农村妇女的形象，使她们能得到更好的待遇，例如在银行申请贷款。但是农村妇女近年来还在决策者的计划中发挥了更加突出的作用。由于农村妇女组织在复兴农村方面所起的作用，当局正在资助三个这类组织。这些组织创造了一种方法，使某一地区的居民（不分男女）能够共同采取行动找出当地的问题并加以有效处理。</w:t>
      </w:r>
      <w:r>
        <w:t>Flevoland</w:t>
      </w:r>
      <w:r>
        <w:rPr>
          <w:rFonts w:hint="eastAsia"/>
        </w:rPr>
        <w:t>省的农村妇女目前正在实施一个试验项目。</w:t>
      </w:r>
    </w:p>
    <w:p w:rsidR="00000000" w:rsidRDefault="00000000">
      <w:pPr>
        <w:spacing w:after="240" w:line="400" w:lineRule="exact"/>
        <w:rPr>
          <w:rFonts w:ascii="SimHei" w:eastAsia="SimHei"/>
          <w:sz w:val="28"/>
        </w:rPr>
      </w:pPr>
      <w:r>
        <w:br w:type="page"/>
      </w:r>
      <w:r>
        <w:rPr>
          <w:rFonts w:ascii="SimHei" w:eastAsia="SimHei" w:hint="eastAsia"/>
          <w:sz w:val="28"/>
        </w:rPr>
        <w:t>第十二章</w:t>
      </w:r>
      <w:r>
        <w:rPr>
          <w:rFonts w:ascii="SimHei" w:eastAsia="SimHei"/>
          <w:sz w:val="28"/>
        </w:rPr>
        <w:t xml:space="preserve">  </w:t>
      </w:r>
      <w:r>
        <w:rPr>
          <w:rFonts w:ascii="SimHei" w:eastAsia="SimHei" w:hint="eastAsia"/>
          <w:sz w:val="28"/>
        </w:rPr>
        <w:t>第</w:t>
      </w:r>
      <w:r>
        <w:rPr>
          <w:rFonts w:ascii="SimHei" w:eastAsia="SimHei"/>
          <w:sz w:val="28"/>
        </w:rPr>
        <w:t>16</w:t>
      </w:r>
      <w:r>
        <w:rPr>
          <w:rFonts w:ascii="SimHei" w:eastAsia="SimHei" w:hint="eastAsia"/>
          <w:sz w:val="28"/>
        </w:rPr>
        <w:t>条：个人和家庭权利</w:t>
      </w:r>
    </w:p>
    <w:p w:rsidR="00000000" w:rsidRDefault="00000000">
      <w:pPr>
        <w:spacing w:after="240" w:line="400" w:lineRule="exact"/>
        <w:rPr>
          <w:rFonts w:ascii="SimHei" w:eastAsia="SimHei"/>
          <w:sz w:val="24"/>
        </w:rPr>
      </w:pPr>
      <w:r>
        <w:rPr>
          <w:rFonts w:ascii="SimHei" w:eastAsia="SimHei" w:hint="eastAsia"/>
          <w:sz w:val="24"/>
        </w:rPr>
        <w:t>第一级：</w:t>
      </w:r>
      <w:r>
        <w:rPr>
          <w:rFonts w:ascii="SimHei" w:eastAsia="SimHei"/>
          <w:sz w:val="24"/>
        </w:rPr>
        <w:t xml:space="preserve">  </w:t>
      </w:r>
      <w:r>
        <w:rPr>
          <w:rFonts w:ascii="SimHei" w:eastAsia="SimHei" w:hint="eastAsia"/>
          <w:sz w:val="24"/>
        </w:rPr>
        <w:t>状况和立法措施</w:t>
      </w:r>
    </w:p>
    <w:p w:rsidR="00000000" w:rsidRDefault="00000000">
      <w:pPr>
        <w:spacing w:after="240" w:line="400" w:lineRule="exact"/>
        <w:rPr>
          <w:rFonts w:ascii="SimHei" w:eastAsia="SimHei"/>
        </w:rPr>
      </w:pPr>
      <w:r>
        <w:rPr>
          <w:rFonts w:ascii="SimHei" w:eastAsia="SimHei"/>
        </w:rPr>
        <w:t xml:space="preserve">1(a)  </w:t>
      </w:r>
      <w:r>
        <w:rPr>
          <w:rFonts w:ascii="SimHei" w:eastAsia="SimHei" w:hint="eastAsia"/>
        </w:rPr>
        <w:t>状况</w:t>
      </w:r>
    </w:p>
    <w:p w:rsidR="00000000" w:rsidRDefault="00000000">
      <w:pPr>
        <w:spacing w:after="240" w:line="400" w:lineRule="exact"/>
        <w:ind w:firstLine="425"/>
      </w:pPr>
      <w:r>
        <w:rPr>
          <w:rFonts w:hint="eastAsia"/>
        </w:rPr>
        <w:t>作为</w:t>
      </w:r>
      <w:r>
        <w:t>1977</w:t>
      </w:r>
      <w:r>
        <w:rPr>
          <w:rFonts w:hint="eastAsia"/>
        </w:rPr>
        <w:t>年‘区别安排’工作的一部分，荷兰政府列出了男女之间和已婚未婚之间有差别的荷兰法律的所有条款。该项工作的最后报告在</w:t>
      </w:r>
      <w:r>
        <w:t>1991</w:t>
      </w:r>
      <w:r>
        <w:rPr>
          <w:rFonts w:hint="eastAsia"/>
        </w:rPr>
        <w:t>年</w:t>
      </w:r>
      <w:r>
        <w:t>11</w:t>
      </w:r>
      <w:r>
        <w:rPr>
          <w:rFonts w:hint="eastAsia"/>
        </w:rPr>
        <w:t>月出版。它表明到那时只有家庭法和个人法的极少数条款仍然对男女实行区别对待。从那时以来这些条款也都通过修正法律得到改变。</w:t>
      </w:r>
    </w:p>
    <w:p w:rsidR="00000000" w:rsidRDefault="00000000">
      <w:pPr>
        <w:spacing w:after="240" w:line="400" w:lineRule="exact"/>
        <w:rPr>
          <w:rFonts w:ascii="SimHei" w:eastAsia="SimHei"/>
        </w:rPr>
      </w:pPr>
      <w:r>
        <w:rPr>
          <w:rFonts w:ascii="SimHei" w:eastAsia="SimHei"/>
        </w:rPr>
        <w:t xml:space="preserve">1(b)  </w:t>
      </w:r>
      <w:r>
        <w:rPr>
          <w:rFonts w:ascii="SimHei" w:eastAsia="SimHei" w:hint="eastAsia"/>
        </w:rPr>
        <w:t>立法措施</w:t>
      </w:r>
    </w:p>
    <w:p w:rsidR="00000000" w:rsidRDefault="00000000">
      <w:pPr>
        <w:spacing w:after="240" w:line="400" w:lineRule="exact"/>
        <w:ind w:firstLine="425"/>
      </w:pPr>
      <w:r>
        <w:rPr>
          <w:rFonts w:hint="eastAsia"/>
        </w:rPr>
        <w:t>家庭法的重大修正不久将在荷兰生效。它们意味着在家庭法中婚姻关系以外的其他形式的同居也将被承认。审查期间重大变化发生在下列领域：</w:t>
      </w:r>
    </w:p>
    <w:p w:rsidR="00000000" w:rsidRDefault="00000000">
      <w:pPr>
        <w:spacing w:after="240" w:line="400" w:lineRule="exact"/>
        <w:ind w:firstLine="425"/>
      </w:pPr>
      <w:r>
        <w:t xml:space="preserve">*  </w:t>
      </w:r>
      <w:r>
        <w:rPr>
          <w:rFonts w:hint="eastAsia"/>
        </w:rPr>
        <w:t>注册伙伴关系</w:t>
      </w:r>
    </w:p>
    <w:p w:rsidR="00000000" w:rsidRDefault="00000000">
      <w:pPr>
        <w:spacing w:after="240" w:line="400" w:lineRule="exact"/>
        <w:ind w:firstLine="425"/>
      </w:pPr>
      <w:r>
        <w:t xml:space="preserve">*  </w:t>
      </w:r>
      <w:r>
        <w:rPr>
          <w:rFonts w:hint="eastAsia"/>
        </w:rPr>
        <w:t>对子女的管辖权</w:t>
      </w:r>
    </w:p>
    <w:p w:rsidR="00000000" w:rsidRDefault="00000000">
      <w:pPr>
        <w:spacing w:after="240" w:line="400" w:lineRule="exact"/>
        <w:ind w:firstLine="425"/>
      </w:pPr>
      <w:r>
        <w:t xml:space="preserve">*  </w:t>
      </w:r>
      <w:r>
        <w:rPr>
          <w:rFonts w:hint="eastAsia"/>
        </w:rPr>
        <w:t>名字法</w:t>
      </w:r>
    </w:p>
    <w:p w:rsidR="00000000" w:rsidRDefault="00000000">
      <w:pPr>
        <w:spacing w:after="240" w:line="400" w:lineRule="exact"/>
        <w:ind w:firstLine="425"/>
      </w:pPr>
      <w:r>
        <w:t xml:space="preserve">*  </w:t>
      </w:r>
      <w:r>
        <w:rPr>
          <w:rFonts w:hint="eastAsia"/>
        </w:rPr>
        <w:t>跨国收养法</w:t>
      </w:r>
    </w:p>
    <w:p w:rsidR="00000000" w:rsidRDefault="00000000">
      <w:pPr>
        <w:spacing w:after="240" w:line="400" w:lineRule="exact"/>
        <w:ind w:firstLine="425"/>
      </w:pPr>
      <w:r>
        <w:t xml:space="preserve">*  </w:t>
      </w:r>
      <w:r>
        <w:rPr>
          <w:rFonts w:hint="eastAsia"/>
        </w:rPr>
        <w:t>父母身份法</w:t>
      </w:r>
    </w:p>
    <w:p w:rsidR="00000000" w:rsidRDefault="00000000">
      <w:pPr>
        <w:spacing w:after="240" w:line="400" w:lineRule="exact"/>
        <w:rPr>
          <w:rFonts w:ascii="楷体" w:eastAsia="楷体"/>
        </w:rPr>
      </w:pPr>
      <w:r>
        <w:rPr>
          <w:rFonts w:ascii="楷体" w:eastAsia="楷体" w:hint="eastAsia"/>
        </w:rPr>
        <w:t>注册伙伴关系</w:t>
      </w:r>
    </w:p>
    <w:p w:rsidR="00000000" w:rsidRDefault="00000000">
      <w:pPr>
        <w:spacing w:after="240" w:line="400" w:lineRule="exact"/>
        <w:ind w:firstLine="425"/>
      </w:pPr>
      <w:r>
        <w:rPr>
          <w:rFonts w:hint="eastAsia"/>
        </w:rPr>
        <w:t>在联合国第四次妇女问题世界会议期间荷兰从妇女和女孩的角度考虑并根据她们的需要主张承认性权利和生殖权利。性权利显然可理解为包括禁止基于性倾向的歧视。</w:t>
      </w:r>
      <w:r>
        <w:t>1998</w:t>
      </w:r>
      <w:r>
        <w:rPr>
          <w:rFonts w:hint="eastAsia"/>
        </w:rPr>
        <w:t>年</w:t>
      </w:r>
      <w:r>
        <w:t>1</w:t>
      </w:r>
      <w:r>
        <w:rPr>
          <w:rFonts w:hint="eastAsia"/>
        </w:rPr>
        <w:t>月</w:t>
      </w:r>
      <w:r>
        <w:t>1</w:t>
      </w:r>
      <w:r>
        <w:rPr>
          <w:rFonts w:hint="eastAsia"/>
        </w:rPr>
        <w:t>日在荷兰生效的关于注册伙伴关系的立法是同意这种承认的。新立法的产生不仅受到国际趋势或公约的影响，而且也受到荷兰社会的发展的影响。</w:t>
      </w:r>
    </w:p>
    <w:p w:rsidR="00000000" w:rsidRDefault="00000000">
      <w:pPr>
        <w:spacing w:after="240" w:line="400" w:lineRule="exact"/>
        <w:ind w:firstLine="425"/>
      </w:pPr>
      <w:r>
        <w:rPr>
          <w:rFonts w:hint="eastAsia"/>
        </w:rPr>
        <w:t>注册伙伴关系相当于婚姻而且在很大程度上与婚姻后果相同。它是为两个性别相同无法结婚的人和两个不同性别但不希望结婚的人准备的。它与婚姻的区别主要在于婚姻双方有孩子，而注册伙伴关系（不象婚姻）本身没有孩子、从而不产生与孩子的关系。联合国《妇女公约》和《欧洲人权公约》中的婚姻一词是专指男女之间的一个契约。</w:t>
      </w:r>
    </w:p>
    <w:p w:rsidR="00000000" w:rsidRDefault="00000000">
      <w:pPr>
        <w:spacing w:after="240" w:line="400" w:lineRule="exact"/>
        <w:rPr>
          <w:rFonts w:ascii="楷体" w:eastAsia="楷体"/>
        </w:rPr>
      </w:pPr>
      <w:r>
        <w:rPr>
          <w:rFonts w:ascii="楷体" w:eastAsia="楷体" w:hint="eastAsia"/>
        </w:rPr>
        <w:t>对子女的管辖权</w:t>
      </w:r>
    </w:p>
    <w:p w:rsidR="00000000" w:rsidRDefault="00000000">
      <w:pPr>
        <w:spacing w:after="240" w:line="400" w:lineRule="exact"/>
        <w:ind w:firstLine="425"/>
      </w:pPr>
      <w:r>
        <w:rPr>
          <w:rFonts w:hint="eastAsia"/>
        </w:rPr>
        <w:t>提交给消除对妇女歧视委员会的第一次报告中提到的关于父母对幼小子女管辖权的法案现已成为法律。按照旧的立法只有法定双亲可以共同对子女行使管辖权。从</w:t>
      </w:r>
      <w:r>
        <w:t>1998</w:t>
      </w:r>
      <w:r>
        <w:rPr>
          <w:rFonts w:hint="eastAsia"/>
        </w:rPr>
        <w:t>年</w:t>
      </w:r>
      <w:r>
        <w:t>1</w:t>
      </w:r>
      <w:r>
        <w:rPr>
          <w:rFonts w:hint="eastAsia"/>
        </w:rPr>
        <w:t>月</w:t>
      </w:r>
      <w:r>
        <w:t>1</w:t>
      </w:r>
      <w:r>
        <w:rPr>
          <w:rFonts w:hint="eastAsia"/>
        </w:rPr>
        <w:t>日起双亲之一和一个非双亲（不论他或她的性别）可以共同行使管辖权。共同管辖权是应双亲共同请求根据法院的裁决（《民法典》）第</w:t>
      </w:r>
      <w:r>
        <w:t>1</w:t>
      </w:r>
      <w:r>
        <w:rPr>
          <w:rFonts w:hint="eastAsia"/>
        </w:rPr>
        <w:t>册，第</w:t>
      </w:r>
      <w:r>
        <w:t>1</w:t>
      </w:r>
      <w:r>
        <w:rPr>
          <w:rFonts w:hint="eastAsia"/>
        </w:rPr>
        <w:t>、</w:t>
      </w:r>
      <w:r>
        <w:t>2</w:t>
      </w:r>
      <w:r>
        <w:rPr>
          <w:rFonts w:hint="eastAsia"/>
        </w:rPr>
        <w:t>和</w:t>
      </w:r>
      <w:r>
        <w:t>3</w:t>
      </w:r>
      <w:r>
        <w:rPr>
          <w:rFonts w:hint="eastAsia"/>
        </w:rPr>
        <w:t>段新条款第</w:t>
      </w:r>
      <w:r>
        <w:t>253t</w:t>
      </w:r>
      <w:r>
        <w:rPr>
          <w:rFonts w:hint="eastAsia"/>
        </w:rPr>
        <w:t>条）给予双亲之一和他或她的伙伴的。这种共同管辖权被认为是双亲管辖权（《民法典》第</w:t>
      </w:r>
      <w:r>
        <w:t>1</w:t>
      </w:r>
      <w:r>
        <w:rPr>
          <w:rFonts w:hint="eastAsia"/>
        </w:rPr>
        <w:t>册，第</w:t>
      </w:r>
      <w:r>
        <w:t>5</w:t>
      </w:r>
      <w:r>
        <w:rPr>
          <w:rFonts w:hint="eastAsia"/>
        </w:rPr>
        <w:t>段，第</w:t>
      </w:r>
      <w:r>
        <w:t>245</w:t>
      </w:r>
      <w:r>
        <w:rPr>
          <w:rFonts w:hint="eastAsia"/>
        </w:rPr>
        <w:t>条）。只要共同管辖权存在，双亲的伙伴就有抚养孩子的义务。</w:t>
      </w:r>
    </w:p>
    <w:p w:rsidR="00000000" w:rsidRDefault="00000000">
      <w:pPr>
        <w:spacing w:after="240" w:line="400" w:lineRule="exact"/>
        <w:ind w:firstLine="425"/>
      </w:pPr>
      <w:r>
        <w:rPr>
          <w:rFonts w:hint="eastAsia"/>
        </w:rPr>
        <w:t>从</w:t>
      </w:r>
      <w:r>
        <w:t>1998</w:t>
      </w:r>
      <w:r>
        <w:rPr>
          <w:rFonts w:hint="eastAsia"/>
        </w:rPr>
        <w:t>年</w:t>
      </w:r>
      <w:r>
        <w:t>1</w:t>
      </w:r>
      <w:r>
        <w:rPr>
          <w:rFonts w:hint="eastAsia"/>
        </w:rPr>
        <w:t>月</w:t>
      </w:r>
      <w:r>
        <w:t>1</w:t>
      </w:r>
      <w:r>
        <w:rPr>
          <w:rFonts w:hint="eastAsia"/>
        </w:rPr>
        <w:t>日起父母在婚期内的共同管辖权原则上在因离婚而婚姻关系解除之后还继续存在。但是父母之一或两人都可随时向法院申请把父母管辖权给予他们中的一人。</w:t>
      </w:r>
    </w:p>
    <w:p w:rsidR="00000000" w:rsidRDefault="00000000">
      <w:pPr>
        <w:spacing w:after="240" w:line="400" w:lineRule="exact"/>
        <w:rPr>
          <w:rFonts w:ascii="楷体" w:eastAsia="楷体"/>
        </w:rPr>
      </w:pPr>
      <w:r>
        <w:rPr>
          <w:rFonts w:ascii="楷体" w:eastAsia="楷体" w:hint="eastAsia"/>
        </w:rPr>
        <w:t>名字法</w:t>
      </w:r>
    </w:p>
    <w:p w:rsidR="00000000" w:rsidRDefault="00000000">
      <w:pPr>
        <w:spacing w:after="240" w:line="400" w:lineRule="exact"/>
        <w:ind w:firstLine="425"/>
      </w:pPr>
      <w:r>
        <w:rPr>
          <w:rFonts w:hint="eastAsia"/>
        </w:rPr>
        <w:t>名字法已经过重大改变。到</w:t>
      </w:r>
      <w:r>
        <w:t>1998</w:t>
      </w:r>
      <w:r>
        <w:rPr>
          <w:rFonts w:hint="eastAsia"/>
        </w:rPr>
        <w:t>年</w:t>
      </w:r>
      <w:r>
        <w:t>1</w:t>
      </w:r>
      <w:r>
        <w:rPr>
          <w:rFonts w:hint="eastAsia"/>
        </w:rPr>
        <w:t>月</w:t>
      </w:r>
      <w:r>
        <w:t>1</w:t>
      </w:r>
      <w:r>
        <w:rPr>
          <w:rFonts w:hint="eastAsia"/>
        </w:rPr>
        <w:t>日止婚内所生子女自动采用其父亲的名字。但是从那以后可在父母的姓之间作出选择。这适用于所有依法有双亲而且名字可作出选择的孩子。他们包括由于确认或收养以及婚姻中生的孩子与父母有家庭法律关系的所有儿童。一个家庭中所有孩子的姓应当相同。父母的选择是暂时的，一个孩子到达法定年龄时可以决定把按新法律或传统规定得到的姓改变为另外父母的名字。</w:t>
      </w:r>
    </w:p>
    <w:p w:rsidR="00000000" w:rsidRDefault="00000000">
      <w:pPr>
        <w:spacing w:after="240" w:line="400" w:lineRule="exact"/>
        <w:ind w:firstLine="425"/>
      </w:pPr>
      <w:r>
        <w:rPr>
          <w:rFonts w:hint="eastAsia"/>
        </w:rPr>
        <w:t>如果没有作出选择，婚内生的孩子取父亲的名字，婚外生的孩子取母亲的名字。在起草法规时，深入讨论了如果不作选择应采取何种行动的问题。一度曾有人建议抽签决定。虽然抽签完全是中性的，但人们认为用抽签决定一个孩子的名字欠妥当。最后，决定婚内生的孩子如果不作出选择就取父亲的名字。</w:t>
      </w:r>
    </w:p>
    <w:p w:rsidR="00000000" w:rsidRDefault="00000000">
      <w:pPr>
        <w:spacing w:after="240" w:line="400" w:lineRule="exact"/>
        <w:ind w:firstLine="425"/>
      </w:pPr>
      <w:r>
        <w:rPr>
          <w:rFonts w:hint="eastAsia"/>
        </w:rPr>
        <w:t>一个已婚妇女或过去已婚的妇女有权用她丈夫的姓，不用她婚前的名字或把她丈夫的姓放在她婚前名字前（《民法典》第</w:t>
      </w:r>
      <w:r>
        <w:t>1</w:t>
      </w:r>
      <w:r>
        <w:rPr>
          <w:rFonts w:hint="eastAsia"/>
        </w:rPr>
        <w:t>册，第</w:t>
      </w:r>
      <w:r>
        <w:t>9</w:t>
      </w:r>
      <w:r>
        <w:rPr>
          <w:rFonts w:hint="eastAsia"/>
        </w:rPr>
        <w:t>条）。今后已婚男子或过去已婚的男子也有同样的权利。另外，配偶的名字可以加在其本人名字后面。新的第</w:t>
      </w:r>
      <w:r>
        <w:t>9</w:t>
      </w:r>
      <w:r>
        <w:rPr>
          <w:rFonts w:hint="eastAsia"/>
        </w:rPr>
        <w:t>条也适用于注册伙伴。</w:t>
      </w:r>
    </w:p>
    <w:p w:rsidR="00000000" w:rsidRDefault="00000000">
      <w:pPr>
        <w:spacing w:after="240" w:line="400" w:lineRule="exact"/>
        <w:rPr>
          <w:rFonts w:ascii="楷体" w:eastAsia="楷体"/>
        </w:rPr>
      </w:pPr>
      <w:r>
        <w:rPr>
          <w:rFonts w:ascii="楷体" w:eastAsia="楷体" w:hint="eastAsia"/>
        </w:rPr>
        <w:t>跨国收养法</w:t>
      </w:r>
    </w:p>
    <w:p w:rsidR="00000000" w:rsidRDefault="00000000">
      <w:pPr>
        <w:spacing w:after="240" w:line="400" w:lineRule="exact"/>
        <w:ind w:firstLine="425"/>
      </w:pPr>
      <w:r>
        <w:rPr>
          <w:rFonts w:hint="eastAsia"/>
        </w:rPr>
        <w:t>荷兰在</w:t>
      </w:r>
      <w:r>
        <w:t>1993</w:t>
      </w:r>
      <w:r>
        <w:rPr>
          <w:rFonts w:hint="eastAsia"/>
        </w:rPr>
        <w:t>年签署了《海牙跨国收养公约》，并可能在</w:t>
      </w:r>
      <w:r>
        <w:t>1998</w:t>
      </w:r>
      <w:r>
        <w:rPr>
          <w:rFonts w:hint="eastAsia"/>
        </w:rPr>
        <w:t>年批准该公约。该公约的拟订是为了保护儿童的利益。只有当原籍国没有适当的位子时才允许跨国收养。在一个孩子交给另一国之前必须履行许多条件，毕竟收养的后果是根本的最终的。收养产生养父母和被收养孩子之间父母身份关系，而与生父母的关系（法律和其他的）常常是完全破裂了。</w:t>
      </w:r>
    </w:p>
    <w:p w:rsidR="00000000" w:rsidRDefault="00000000">
      <w:pPr>
        <w:spacing w:after="240" w:line="400" w:lineRule="exact"/>
        <w:rPr>
          <w:rFonts w:ascii="楷体" w:eastAsia="楷体"/>
        </w:rPr>
      </w:pPr>
      <w:r>
        <w:rPr>
          <w:rFonts w:ascii="楷体" w:eastAsia="楷体" w:hint="eastAsia"/>
        </w:rPr>
        <w:t>父母身份法</w:t>
      </w:r>
    </w:p>
    <w:p w:rsidR="00000000" w:rsidRDefault="00000000">
      <w:pPr>
        <w:spacing w:after="240" w:line="400" w:lineRule="exact"/>
        <w:ind w:firstLine="425"/>
      </w:pPr>
      <w:r>
        <w:rPr>
          <w:rFonts w:hint="eastAsia"/>
        </w:rPr>
        <w:t>一部新的父母身份法将在</w:t>
      </w:r>
      <w:r>
        <w:t>1998</w:t>
      </w:r>
      <w:r>
        <w:rPr>
          <w:rFonts w:hint="eastAsia"/>
        </w:rPr>
        <w:t>年</w:t>
      </w:r>
      <w:r>
        <w:t>4</w:t>
      </w:r>
      <w:r>
        <w:rPr>
          <w:rFonts w:hint="eastAsia"/>
        </w:rPr>
        <w:t>月</w:t>
      </w:r>
      <w:r>
        <w:t>1</w:t>
      </w:r>
      <w:r>
        <w:rPr>
          <w:rFonts w:hint="eastAsia"/>
        </w:rPr>
        <w:t>日生效。它包括一系列旨在使家庭法现代化的改动。以下将概述与《公约》有关的最重要的改动。</w:t>
      </w:r>
    </w:p>
    <w:p w:rsidR="00000000" w:rsidRDefault="00000000">
      <w:pPr>
        <w:spacing w:after="240" w:line="400" w:lineRule="exact"/>
        <w:ind w:firstLine="425"/>
      </w:pPr>
      <w:r>
        <w:rPr>
          <w:rFonts w:hint="eastAsia"/>
        </w:rPr>
        <w:t>按照《民法典》第</w:t>
      </w:r>
      <w:r>
        <w:t>1</w:t>
      </w:r>
      <w:r>
        <w:rPr>
          <w:rFonts w:hint="eastAsia"/>
        </w:rPr>
        <w:t>册第</w:t>
      </w:r>
      <w:r>
        <w:t>34</w:t>
      </w:r>
      <w:r>
        <w:rPr>
          <w:rFonts w:hint="eastAsia"/>
        </w:rPr>
        <w:t>条，在某些情况下不允许妊娠寡妇很快再婚。在</w:t>
      </w:r>
      <w:r>
        <w:t>1998</w:t>
      </w:r>
      <w:r>
        <w:rPr>
          <w:rFonts w:hint="eastAsia"/>
        </w:rPr>
        <w:t>年</w:t>
      </w:r>
      <w:r>
        <w:t>4</w:t>
      </w:r>
      <w:r>
        <w:rPr>
          <w:rFonts w:hint="eastAsia"/>
        </w:rPr>
        <w:t>月</w:t>
      </w:r>
      <w:r>
        <w:t>1</w:t>
      </w:r>
      <w:r>
        <w:rPr>
          <w:rFonts w:hint="eastAsia"/>
        </w:rPr>
        <w:t>日生效的新父母身份法中取消了这条规定。这就取消了不平等现象，因为按现行法律在妻子死亡后男子可以立刻再婚。</w:t>
      </w:r>
    </w:p>
    <w:p w:rsidR="00000000" w:rsidRDefault="00000000">
      <w:pPr>
        <w:spacing w:after="240" w:line="400" w:lineRule="exact"/>
        <w:ind w:firstLine="425"/>
      </w:pPr>
      <w:r>
        <w:rPr>
          <w:rFonts w:hint="eastAsia"/>
        </w:rPr>
        <w:t>从</w:t>
      </w:r>
      <w:r>
        <w:t>1998</w:t>
      </w:r>
      <w:r>
        <w:rPr>
          <w:rFonts w:hint="eastAsia"/>
        </w:rPr>
        <w:t>年</w:t>
      </w:r>
      <w:r>
        <w:t>4</w:t>
      </w:r>
      <w:r>
        <w:rPr>
          <w:rFonts w:hint="eastAsia"/>
        </w:rPr>
        <w:t>月</w:t>
      </w:r>
      <w:r>
        <w:t>1</w:t>
      </w:r>
      <w:r>
        <w:rPr>
          <w:rFonts w:hint="eastAsia"/>
        </w:rPr>
        <w:t>日起还停止使用‘合法’（婚内生的）、‘非法’（婚外生的）和‘私生子’这些词语。用‘与孩子有</w:t>
      </w:r>
      <w:r>
        <w:t>/</w:t>
      </w:r>
      <w:r>
        <w:rPr>
          <w:rFonts w:hint="eastAsia"/>
        </w:rPr>
        <w:t>没有家庭法律关系’这个词组取代上述词语。与提交上一份报告时的情况不同，在婚姻解除（不是由于死亡）</w:t>
      </w:r>
      <w:r>
        <w:t>306</w:t>
      </w:r>
      <w:r>
        <w:rPr>
          <w:rFonts w:hint="eastAsia"/>
        </w:rPr>
        <w:t>天内出生的孩子不再自动被认为是前任丈夫的孩子（《民法典》第</w:t>
      </w:r>
      <w:r>
        <w:t>1</w:t>
      </w:r>
      <w:r>
        <w:rPr>
          <w:rFonts w:hint="eastAsia"/>
        </w:rPr>
        <w:t>册，第</w:t>
      </w:r>
      <w:r>
        <w:t>199(b)</w:t>
      </w:r>
      <w:r>
        <w:rPr>
          <w:rFonts w:hint="eastAsia"/>
        </w:rPr>
        <w:t>条）。</w:t>
      </w:r>
    </w:p>
    <w:p w:rsidR="00000000" w:rsidRDefault="00000000">
      <w:pPr>
        <w:spacing w:after="240" w:line="400" w:lineRule="exact"/>
        <w:ind w:firstLine="425"/>
      </w:pPr>
      <w:r>
        <w:rPr>
          <w:rFonts w:hint="eastAsia"/>
        </w:rPr>
        <w:t>对家庭法某些部分的其他改动包括：</w:t>
      </w:r>
    </w:p>
    <w:p w:rsidR="00000000" w:rsidRDefault="00000000">
      <w:pPr>
        <w:spacing w:after="240" w:line="400" w:lineRule="exact"/>
        <w:rPr>
          <w:rFonts w:ascii="楷体" w:eastAsia="楷体"/>
        </w:rPr>
      </w:pPr>
      <w:r>
        <w:rPr>
          <w:rFonts w:ascii="楷体" w:eastAsia="楷体" w:hint="eastAsia"/>
        </w:rPr>
        <w:t>抚养诉讼</w:t>
      </w:r>
    </w:p>
    <w:p w:rsidR="00000000" w:rsidRDefault="00000000">
      <w:pPr>
        <w:spacing w:after="240" w:line="400" w:lineRule="exact"/>
        <w:ind w:firstLine="425"/>
      </w:pPr>
      <w:r>
        <w:rPr>
          <w:rFonts w:hint="eastAsia"/>
        </w:rPr>
        <w:t>如果一个婚外生的孩子的母亲希望从其生父获得抚养孩子的权利，她可以申请对孩子抚养的法院命令（《民法典》第</w:t>
      </w:r>
      <w:r>
        <w:t>1</w:t>
      </w:r>
      <w:r>
        <w:rPr>
          <w:rFonts w:hint="eastAsia"/>
        </w:rPr>
        <w:t>册第</w:t>
      </w:r>
      <w:r>
        <w:t>394</w:t>
      </w:r>
      <w:r>
        <w:rPr>
          <w:rFonts w:hint="eastAsia"/>
        </w:rPr>
        <w:t>条）。开始时的举证责任在母亲。如果她能提供初步证据，证明被告是她孩子的父亲，因为例如她之在受孕期间他有性关系，责任转移，然后被告必须对些加以辩驳。验血或</w:t>
      </w:r>
      <w:r>
        <w:t>DNA</w:t>
      </w:r>
      <w:r>
        <w:rPr>
          <w:rFonts w:hint="eastAsia"/>
        </w:rPr>
        <w:t>测试可能也是最后解决父亲身份问题的一种办法。如果丈夫拒绝进行测试，法院可据此得出它认为适当的结论。</w:t>
      </w:r>
    </w:p>
    <w:p w:rsidR="00000000" w:rsidRDefault="00000000">
      <w:pPr>
        <w:spacing w:after="240" w:line="400" w:lineRule="exact"/>
        <w:rPr>
          <w:rFonts w:ascii="楷体" w:eastAsia="楷体"/>
        </w:rPr>
      </w:pPr>
      <w:r>
        <w:rPr>
          <w:rFonts w:ascii="楷体" w:eastAsia="楷体" w:hint="eastAsia"/>
        </w:rPr>
        <w:t>父亲身份的司法判决</w:t>
      </w:r>
    </w:p>
    <w:p w:rsidR="00000000" w:rsidRDefault="00000000">
      <w:pPr>
        <w:spacing w:after="240" w:line="400" w:lineRule="exact"/>
        <w:ind w:firstLine="425"/>
      </w:pPr>
      <w:r>
        <w:rPr>
          <w:rFonts w:hint="eastAsia"/>
        </w:rPr>
        <w:t>对父母身份法的修正意味着现在妇女和孩子有可能向法院申请确定父亲身份的法院命令（《民法典》第</w:t>
      </w:r>
      <w:r>
        <w:t>1</w:t>
      </w:r>
      <w:r>
        <w:rPr>
          <w:rFonts w:hint="eastAsia"/>
        </w:rPr>
        <w:t>册，新条款第</w:t>
      </w:r>
      <w:r>
        <w:t>207</w:t>
      </w:r>
      <w:r>
        <w:rPr>
          <w:rFonts w:hint="eastAsia"/>
        </w:rPr>
        <w:t>条）。对父亲身份的司法判决可以看成是最后维权手段，母亲和孩子可以通过它在孩子和生父之间建立起亲属法律关系。这位母亲可在孩子出生后五年内提起诉讼。孩子的诉讼没有时间限制。一旦确定了父亲身份，在孩子和有关男子之间就存在一种亲属法律关系。此时这个男子受到合法父亲身份所有后果的约束。</w:t>
      </w:r>
    </w:p>
    <w:p w:rsidR="00000000" w:rsidRDefault="00000000">
      <w:pPr>
        <w:spacing w:after="240" w:line="400" w:lineRule="exact"/>
        <w:rPr>
          <w:rFonts w:ascii="楷体" w:eastAsia="楷体"/>
        </w:rPr>
      </w:pPr>
      <w:r>
        <w:rPr>
          <w:rFonts w:ascii="楷体" w:eastAsia="楷体" w:hint="eastAsia"/>
        </w:rPr>
        <w:t>否认父亲身份</w:t>
      </w:r>
    </w:p>
    <w:p w:rsidR="00000000" w:rsidRDefault="00000000">
      <w:pPr>
        <w:spacing w:after="240" w:line="400" w:lineRule="exact"/>
        <w:ind w:firstLine="425"/>
      </w:pPr>
      <w:r>
        <w:rPr>
          <w:rFonts w:hint="eastAsia"/>
        </w:rPr>
        <w:t>按照现行法律一位母亲只要孩子是在解除婚约后</w:t>
      </w:r>
      <w:r>
        <w:t>306</w:t>
      </w:r>
      <w:r>
        <w:rPr>
          <w:rFonts w:hint="eastAsia"/>
        </w:rPr>
        <w:t>天内出生的就可以对孩子的父亲身份提出异议。根据</w:t>
      </w:r>
      <w:r>
        <w:t>1998</w:t>
      </w:r>
      <w:r>
        <w:rPr>
          <w:rFonts w:hint="eastAsia"/>
        </w:rPr>
        <w:t>年</w:t>
      </w:r>
      <w:r>
        <w:t>4</w:t>
      </w:r>
      <w:r>
        <w:rPr>
          <w:rFonts w:hint="eastAsia"/>
        </w:rPr>
        <w:t>月</w:t>
      </w:r>
      <w:r>
        <w:t>1</w:t>
      </w:r>
      <w:r>
        <w:rPr>
          <w:rFonts w:hint="eastAsia"/>
        </w:rPr>
        <w:t>日生效的新父母身份法，一位母亲有权在孩子出生后一年内的任何时候向法院申请宣告性命令，表明她否认婚姻产生的父亲身份是合理的（《民法典》第</w:t>
      </w:r>
      <w:r>
        <w:t>1</w:t>
      </w:r>
      <w:r>
        <w:rPr>
          <w:rFonts w:hint="eastAsia"/>
        </w:rPr>
        <w:t>册，新条款第</w:t>
      </w:r>
      <w:r>
        <w:t>200</w:t>
      </w:r>
      <w:r>
        <w:rPr>
          <w:rFonts w:hint="eastAsia"/>
        </w:rPr>
        <w:t>条）。父亲否认父亲身份的时间延长为他得知他可能不是生身父亲后的一年。另一项新条款是当一个孩子发现他的合法父亲可能不是生身父亲时他可以否认母亲婚姻产生的父亲身份。这种申请应在他得知这件事后的三年内提出。如果孩子是在年幼时得知此事，提出申请的时间延长到他达到法定年龄后的三年内（《民法典》第</w:t>
      </w:r>
      <w:r>
        <w:t>1</w:t>
      </w:r>
      <w:r>
        <w:rPr>
          <w:rFonts w:hint="eastAsia"/>
        </w:rPr>
        <w:t>册，新条款第</w:t>
      </w:r>
      <w:r>
        <w:t>200</w:t>
      </w:r>
      <w:r>
        <w:rPr>
          <w:rFonts w:hint="eastAsia"/>
        </w:rPr>
        <w:t>条）。根据新父母身份法，父亲、母亲和孩子原则上有相同的机会否认婚姻产生的父亲身份。</w:t>
      </w:r>
    </w:p>
    <w:p w:rsidR="00000000" w:rsidRDefault="00000000">
      <w:pPr>
        <w:spacing w:after="240" w:line="400" w:lineRule="exact"/>
        <w:rPr>
          <w:rFonts w:ascii="楷体" w:eastAsia="楷体"/>
        </w:rPr>
      </w:pPr>
      <w:r>
        <w:rPr>
          <w:rFonts w:ascii="楷体" w:eastAsia="楷体" w:hint="eastAsia"/>
        </w:rPr>
        <w:t>在荷兰收养未成年人</w:t>
      </w:r>
    </w:p>
    <w:p w:rsidR="00000000" w:rsidRDefault="00000000">
      <w:pPr>
        <w:spacing w:after="240" w:line="400" w:lineRule="exact"/>
        <w:ind w:firstLine="425"/>
      </w:pPr>
      <w:r>
        <w:rPr>
          <w:rFonts w:hint="eastAsia"/>
        </w:rPr>
        <w:t>当新的父母身份法在</w:t>
      </w:r>
      <w:r>
        <w:t>1998</w:t>
      </w:r>
      <w:r>
        <w:rPr>
          <w:rFonts w:hint="eastAsia"/>
        </w:rPr>
        <w:t>年</w:t>
      </w:r>
      <w:r>
        <w:t>4</w:t>
      </w:r>
      <w:r>
        <w:rPr>
          <w:rFonts w:hint="eastAsia"/>
        </w:rPr>
        <w:t>月</w:t>
      </w:r>
      <w:r>
        <w:t>1</w:t>
      </w:r>
      <w:r>
        <w:rPr>
          <w:rFonts w:hint="eastAsia"/>
        </w:rPr>
        <w:t>日生效时将对收养法作出一些改动（《民法典》第</w:t>
      </w:r>
      <w:r>
        <w:t>1</w:t>
      </w:r>
      <w:r>
        <w:rPr>
          <w:rFonts w:hint="eastAsia"/>
        </w:rPr>
        <w:t>册，新条款第</w:t>
      </w:r>
      <w:r>
        <w:t>228</w:t>
      </w:r>
      <w:r>
        <w:rPr>
          <w:rFonts w:hint="eastAsia"/>
        </w:rPr>
        <w:t>条）。按照现行法只有结婚的夫妻才可以收养，但是不久在荷兰单独一人或未结婚但可以证明至少共同生活了三年的两个人也都可以收养。这两人可以是同性或异性。</w:t>
      </w:r>
    </w:p>
    <w:p w:rsidR="00000000" w:rsidRDefault="00000000">
      <w:pPr>
        <w:spacing w:after="240" w:line="400" w:lineRule="exact"/>
        <w:ind w:firstLine="425"/>
      </w:pPr>
      <w:r>
        <w:rPr>
          <w:rFonts w:hint="eastAsia"/>
        </w:rPr>
        <w:t>同时，收养时原来父母的地位也得到加强。按照过去的法律，父母中只要任一个反对收养就不能进行。但是如果两年后再次提出收养申请，法院有自由决定权不理会任何反对意见。按照新法规法院不再有相同的自由决定权。现在仅有少数几项法院可不理会反对意见的案例，例如完全或几乎完全没有亲属关系或者孩子受到虐待或完全无人照管。</w:t>
      </w:r>
    </w:p>
    <w:p w:rsidR="00000000" w:rsidRDefault="00000000">
      <w:pPr>
        <w:spacing w:after="240" w:line="400" w:lineRule="exact"/>
        <w:rPr>
          <w:rFonts w:ascii="SimHei" w:eastAsia="SimHei"/>
          <w:sz w:val="24"/>
        </w:rPr>
      </w:pPr>
      <w:r>
        <w:rPr>
          <w:rFonts w:ascii="SimHei" w:eastAsia="SimHei" w:hint="eastAsia"/>
          <w:sz w:val="24"/>
        </w:rPr>
        <w:t>第二级：走向多样性</w:t>
      </w:r>
    </w:p>
    <w:p w:rsidR="00000000" w:rsidRDefault="00000000">
      <w:pPr>
        <w:spacing w:after="240" w:line="400" w:lineRule="exact"/>
        <w:rPr>
          <w:rFonts w:ascii="楷体" w:eastAsia="楷体"/>
        </w:rPr>
      </w:pPr>
      <w:r>
        <w:rPr>
          <w:rFonts w:ascii="楷体" w:eastAsia="楷体" w:hint="eastAsia"/>
        </w:rPr>
        <w:t>离婚调解的试验</w:t>
      </w:r>
    </w:p>
    <w:p w:rsidR="00000000" w:rsidRDefault="00000000">
      <w:pPr>
        <w:spacing w:after="240" w:line="400" w:lineRule="exact"/>
        <w:ind w:firstLine="425"/>
      </w:pPr>
      <w:r>
        <w:t>1996</w:t>
      </w:r>
      <w:r>
        <w:rPr>
          <w:rFonts w:hint="eastAsia"/>
        </w:rPr>
        <w:t>年公布了一份关于对离婚手续进行可能审查的报告。从而引出了司法外离婚的可能性。该项建议是只有离婚双方就离婚及其后果达成协议后才有可能这样做。例如，可以通过调解达到这种协议。在这种情况下，必须要有法律顾问—一位律师或公证人——参与。</w:t>
      </w:r>
      <w:r>
        <w:t>1997</w:t>
      </w:r>
      <w:r>
        <w:rPr>
          <w:rFonts w:hint="eastAsia"/>
        </w:rPr>
        <w:t>年</w:t>
      </w:r>
      <w:r>
        <w:t>7</w:t>
      </w:r>
      <w:r>
        <w:rPr>
          <w:rFonts w:hint="eastAsia"/>
        </w:rPr>
        <w:t>月司法国务秘书决定在</w:t>
      </w:r>
      <w:r>
        <w:t>1998</w:t>
      </w:r>
      <w:r>
        <w:rPr>
          <w:rFonts w:hint="eastAsia"/>
        </w:rPr>
        <w:t>年进行离婚调解试验。这种试验的目的之一是研究一下如何最好地代表孩子的利益，如何消除离婚夫妇之间的不平等现象以及婚姻调解在实际上如何起作用。</w:t>
      </w:r>
    </w:p>
    <w:p w:rsidR="00000000" w:rsidRDefault="00000000">
      <w:pPr>
        <w:spacing w:after="240" w:line="400" w:lineRule="exact"/>
        <w:rPr>
          <w:rFonts w:ascii="SimHei" w:eastAsia="SimHei"/>
          <w:sz w:val="28"/>
        </w:rPr>
      </w:pPr>
      <w:r>
        <w:br w:type="page"/>
      </w:r>
      <w:r>
        <w:rPr>
          <w:rFonts w:ascii="SimHei" w:eastAsia="SimHei" w:hint="eastAsia"/>
          <w:sz w:val="28"/>
        </w:rPr>
        <w:t>第十三章</w:t>
      </w:r>
      <w:r>
        <w:rPr>
          <w:rFonts w:ascii="SimHei" w:eastAsia="SimHei"/>
          <w:sz w:val="28"/>
        </w:rPr>
        <w:t xml:space="preserve">  </w:t>
      </w:r>
      <w:r>
        <w:rPr>
          <w:rFonts w:ascii="SimHei" w:eastAsia="SimHei" w:hint="eastAsia"/>
          <w:sz w:val="28"/>
        </w:rPr>
        <w:t>结束语</w:t>
      </w:r>
    </w:p>
    <w:p w:rsidR="00000000" w:rsidRDefault="00000000">
      <w:pPr>
        <w:spacing w:after="240" w:line="400" w:lineRule="exact"/>
        <w:rPr>
          <w:rFonts w:ascii="SimHei" w:eastAsia="SimHei"/>
          <w:sz w:val="24"/>
        </w:rPr>
      </w:pPr>
      <w:r>
        <w:rPr>
          <w:rFonts w:ascii="SimHei" w:eastAsia="SimHei" w:hint="eastAsia"/>
          <w:sz w:val="24"/>
        </w:rPr>
        <w:t>结论：《公约》在荷兰的意义</w:t>
      </w:r>
    </w:p>
    <w:p w:rsidR="00000000" w:rsidRDefault="00000000">
      <w:pPr>
        <w:spacing w:after="240" w:line="400" w:lineRule="exact"/>
        <w:ind w:firstLine="425"/>
      </w:pPr>
      <w:r>
        <w:rPr>
          <w:rFonts w:hint="eastAsia"/>
        </w:rPr>
        <w:t>提交给消除对妇女歧视委员会的第二次报告表明，在荷兰，中央政府正在采取有助于执行联合国《妇女公约》的措施。本报告的前两章说明将在政策的三个级别研究《公约》产生的各项义务。第一级措施的目的是使男女在法律面前和公共生活中获得平等待遇。第二级措施是为了确保法律面前的法律上平等转变为实践中的事实上平等。这些政策措施的目的是改善妇女状况，同时确保承认多样性使社会丰富多彩。第三级的措施是为了实现社会上对男女作用和“男姓”和“妇姓”含义的态度的转变。</w:t>
      </w:r>
    </w:p>
    <w:p w:rsidR="00000000" w:rsidRDefault="00000000">
      <w:pPr>
        <w:spacing w:after="240" w:line="400" w:lineRule="exact"/>
        <w:ind w:firstLine="425"/>
      </w:pPr>
      <w:r>
        <w:rPr>
          <w:rFonts w:hint="eastAsia"/>
        </w:rPr>
        <w:t>把政策分为三级在可能的地方起到本报告纲领的作用。现在在这个基础上我们就荷兰在执行《公约》方面所取得的进展能得出什么样的简要结论呢？旨在实现男女间正式平等地位的第一级措施在荷兰实际上已经完成。即使在提交上一次报告时荷兰在这方面已大大超前。近几年来，当局继续制订和完善了有关平等待遇的法规，而且消除了法规中任何时间显露的任何残留的不平等现象。今后它的主要任务还是在实际上实现平等待遇。将在立法和附带案例法以及支助政策的基础上做到这一点。</w:t>
      </w:r>
    </w:p>
    <w:p w:rsidR="00000000" w:rsidRDefault="00000000">
      <w:pPr>
        <w:spacing w:after="240" w:line="400" w:lineRule="exact"/>
        <w:ind w:firstLine="425"/>
      </w:pPr>
      <w:r>
        <w:rPr>
          <w:rFonts w:hint="eastAsia"/>
        </w:rPr>
        <w:t>正如报告所说，荷兰当局目前正在把大部分力量集中于政策的第二级。它们还对能够帮助确保男女在实际上享有平等机会的措施投入大量经费。妇女外出工作的人数的增加和她们对所有各级教育和平等参与都明显证明这项政策正在实际奏效。今后荷兰政府将继续实施这一级的政策。男子从事无偿照管的比例小和男女间有职业上的隔离都表明，在这方面实现平等的进程尚未‘完成’。当局正在通过这一政策促进一个解放社会的发展，在这个社会中每个人都有机会参与生活的不同领域（有偿工作、无偿照管以及政治和社会生活）。在这样的社会中人与人之间的差别再也不构成问题；相反，多样性才使社会丰富多彩。</w:t>
      </w:r>
    </w:p>
    <w:p w:rsidR="00000000" w:rsidRDefault="00000000">
      <w:pPr>
        <w:spacing w:after="240" w:line="400" w:lineRule="exact"/>
        <w:ind w:firstLine="425"/>
      </w:pPr>
      <w:r>
        <w:rPr>
          <w:rFonts w:hint="eastAsia"/>
        </w:rPr>
        <w:t>政策的第三级对于一个解放的社会的发展也是十分重要的。它涉及对文化变革的支助，在这一变革中人们的思想和行为由于认识到多样性就是社会的丰富多采以及每个人都有权把不同生活领域的活动结合起来而受到影响。伴随着文化变革这一进程的是‘女性’和‘男姓’的传统但现已过时的观点和看法的消失。当局可以通过授权和开发揭露顽固态度的工具以及开发、支助和演示替代办法来促进这些变革。在这方面继续确保政府内外的决策人员获得必要的专门知识是必不可少的。</w:t>
      </w:r>
    </w:p>
    <w:p w:rsidR="00000000" w:rsidRDefault="00000000">
      <w:pPr>
        <w:spacing w:after="240" w:line="400" w:lineRule="exact"/>
        <w:ind w:firstLine="425"/>
      </w:pPr>
      <w:r>
        <w:rPr>
          <w:rFonts w:hint="eastAsia"/>
        </w:rPr>
        <w:t>提交给消除对妇女歧视委员会的这份报告显示第三级的政策在很大程度上仍处于演变过程中。近几年来当局已开始开发工具和替代办法，并在某些领域比其他领域取得更大的进展。同样明显的是，在一些特定领域应采取什么行动不总是太清楚。不用说，荷兰当局今后将继续为政策的第三级进行投资。</w:t>
      </w:r>
    </w:p>
    <w:p w:rsidR="00000000" w:rsidRDefault="00000000">
      <w:pPr>
        <w:spacing w:after="240" w:line="400" w:lineRule="exact"/>
        <w:rPr>
          <w:rFonts w:ascii="SimHei" w:eastAsia="SimHei"/>
        </w:rPr>
      </w:pPr>
      <w:r>
        <w:rPr>
          <w:rFonts w:ascii="SimHei" w:eastAsia="SimHei" w:hint="eastAsia"/>
        </w:rPr>
        <w:t>宣传《公约》</w:t>
      </w:r>
    </w:p>
    <w:p w:rsidR="00000000" w:rsidRDefault="00000000">
      <w:pPr>
        <w:spacing w:after="240" w:line="400" w:lineRule="exact"/>
        <w:ind w:firstLine="425"/>
      </w:pPr>
      <w:r>
        <w:rPr>
          <w:rFonts w:hint="eastAsia"/>
        </w:rPr>
        <w:t>联合国《妇女公约》的作用不仅仅是给当局带来义务。它还为审查立法、政策和执行政策提供了框架。因此，所有参与政治、行政、司法和社会决策的人都应了解《公约》是十分重要的。</w:t>
      </w:r>
    </w:p>
    <w:p w:rsidR="00000000" w:rsidRDefault="00000000">
      <w:pPr>
        <w:spacing w:after="240" w:line="400" w:lineRule="exact"/>
        <w:ind w:firstLine="425"/>
      </w:pPr>
      <w:r>
        <w:rPr>
          <w:rFonts w:hint="eastAsia"/>
        </w:rPr>
        <w:t>本报告自始至终都提到以往为宣传联合国《妇女公约》而采取的行动。简言之，采取了以下措施：</w:t>
      </w:r>
    </w:p>
    <w:p w:rsidR="00000000" w:rsidRDefault="00000000">
      <w:pPr>
        <w:spacing w:after="240" w:line="400" w:lineRule="exact"/>
        <w:ind w:firstLine="425"/>
      </w:pPr>
      <w:r>
        <w:t xml:space="preserve">*  </w:t>
      </w:r>
      <w:r>
        <w:rPr>
          <w:rFonts w:hint="eastAsia"/>
        </w:rPr>
        <w:t>荷兰提交给消除对妇女歧视委员会的第一次报告曾在</w:t>
      </w:r>
      <w:r>
        <w:t>1992</w:t>
      </w:r>
      <w:r>
        <w:rPr>
          <w:rFonts w:hint="eastAsia"/>
        </w:rPr>
        <w:t>年</w:t>
      </w:r>
      <w:r>
        <w:t>11</w:t>
      </w:r>
      <w:r>
        <w:rPr>
          <w:rFonts w:hint="eastAsia"/>
        </w:rPr>
        <w:t>月送交议会上院和下院以及有关方面供它们参考。也把</w:t>
      </w:r>
      <w:r>
        <w:t>1994</w:t>
      </w:r>
      <w:r>
        <w:rPr>
          <w:rFonts w:hint="eastAsia"/>
        </w:rPr>
        <w:t>年</w:t>
      </w:r>
      <w:r>
        <w:t>1</w:t>
      </w:r>
      <w:r>
        <w:rPr>
          <w:rFonts w:hint="eastAsia"/>
        </w:rPr>
        <w:t>月该委员会审议报告时的反应告知了议会两院。</w:t>
      </w:r>
    </w:p>
    <w:p w:rsidR="00000000" w:rsidRDefault="00000000">
      <w:pPr>
        <w:spacing w:after="240" w:line="400" w:lineRule="exact"/>
        <w:ind w:firstLine="425"/>
      </w:pPr>
      <w:r>
        <w:t>*  1994</w:t>
      </w:r>
      <w:r>
        <w:rPr>
          <w:rFonts w:hint="eastAsia"/>
        </w:rPr>
        <w:t>年</w:t>
      </w:r>
      <w:r>
        <w:t>10</w:t>
      </w:r>
      <w:r>
        <w:rPr>
          <w:rFonts w:hint="eastAsia"/>
        </w:rPr>
        <w:t>月出版了一本关于《妇女公约》的文集，在后来</w:t>
      </w:r>
      <w:r>
        <w:t>11</w:t>
      </w:r>
      <w:r>
        <w:rPr>
          <w:rFonts w:hint="eastAsia"/>
        </w:rPr>
        <w:t>月的一个研讨会上讨论了这些文章。</w:t>
      </w:r>
      <w:r>
        <w:rPr>
          <w:rStyle w:val="FootnoteReference"/>
        </w:rPr>
        <w:footnoteReference w:customMarkFollows="1" w:id="43"/>
        <w:t>41</w:t>
      </w:r>
      <w:r>
        <w:t xml:space="preserve"> </w:t>
      </w:r>
    </w:p>
    <w:p w:rsidR="00000000" w:rsidRDefault="00000000">
      <w:pPr>
        <w:spacing w:after="240" w:line="400" w:lineRule="exact"/>
        <w:ind w:firstLine="425"/>
      </w:pPr>
      <w:r>
        <w:t>*  1996</w:t>
      </w:r>
      <w:r>
        <w:rPr>
          <w:rFonts w:hint="eastAsia"/>
        </w:rPr>
        <w:t>年夏季社会和就业大臣以解放政策协调大臣的身份向议会两院提交了他受委托进行的两个调查的结果。</w:t>
      </w:r>
      <w:r>
        <w:rPr>
          <w:rStyle w:val="FootnoteReference"/>
        </w:rPr>
        <w:footnoteReference w:customMarkFollows="1" w:id="44"/>
        <w:t>42</w:t>
      </w:r>
      <w:r>
        <w:t xml:space="preserve"> </w:t>
      </w:r>
    </w:p>
    <w:p w:rsidR="00000000" w:rsidRDefault="00000000">
      <w:pPr>
        <w:spacing w:after="240" w:line="400" w:lineRule="exact"/>
        <w:ind w:firstLine="425"/>
      </w:pPr>
      <w:r>
        <w:t>*  1996</w:t>
      </w:r>
      <w:r>
        <w:rPr>
          <w:rFonts w:hint="eastAsia"/>
        </w:rPr>
        <w:t>年</w:t>
      </w:r>
      <w:r>
        <w:t>9</w:t>
      </w:r>
      <w:r>
        <w:rPr>
          <w:rFonts w:hint="eastAsia"/>
        </w:rPr>
        <w:t>月</w:t>
      </w:r>
      <w:r>
        <w:t>Clara Wichmann</w:t>
      </w:r>
      <w:r>
        <w:rPr>
          <w:rFonts w:hint="eastAsia"/>
        </w:rPr>
        <w:t>研究所出版了一本由解放政策协调司联合资助的小册子和一个旨在主要用于媒介的联合国《妇女公约》参考书目。</w:t>
      </w:r>
    </w:p>
    <w:p w:rsidR="00000000" w:rsidRDefault="00000000">
      <w:pPr>
        <w:spacing w:after="240" w:line="400" w:lineRule="exact"/>
        <w:ind w:firstLine="425"/>
      </w:pPr>
      <w:r>
        <w:t>*  1997</w:t>
      </w:r>
      <w:r>
        <w:rPr>
          <w:rFonts w:hint="eastAsia"/>
        </w:rPr>
        <w:t>年</w:t>
      </w:r>
      <w:r>
        <w:t>2</w:t>
      </w:r>
      <w:r>
        <w:rPr>
          <w:rFonts w:hint="eastAsia"/>
        </w:rPr>
        <w:t>月司法部和</w:t>
      </w:r>
      <w:r>
        <w:t>Clara Wichmaan</w:t>
      </w:r>
      <w:r>
        <w:rPr>
          <w:rFonts w:hint="eastAsia"/>
        </w:rPr>
        <w:t>研究所为司法界人士举办了《妇女公约》讲习班。</w:t>
      </w:r>
    </w:p>
    <w:p w:rsidR="00000000" w:rsidRDefault="00000000">
      <w:pPr>
        <w:spacing w:after="240" w:line="400" w:lineRule="exact"/>
        <w:ind w:firstLine="425"/>
      </w:pPr>
      <w:r>
        <w:t xml:space="preserve">*  </w:t>
      </w:r>
      <w:r>
        <w:rPr>
          <w:rFonts w:hint="eastAsia"/>
        </w:rPr>
        <w:t>出版了</w:t>
      </w:r>
      <w:r>
        <w:t>Groenman</w:t>
      </w:r>
      <w:r>
        <w:rPr>
          <w:rFonts w:hint="eastAsia"/>
        </w:rPr>
        <w:t>委员会的报告。</w:t>
      </w:r>
    </w:p>
    <w:p w:rsidR="00000000" w:rsidRDefault="00000000">
      <w:pPr>
        <w:spacing w:after="240" w:line="400" w:lineRule="exact"/>
        <w:ind w:firstLine="425"/>
      </w:pPr>
      <w:r>
        <w:t xml:space="preserve">*  </w:t>
      </w:r>
      <w:r>
        <w:rPr>
          <w:rFonts w:hint="eastAsia"/>
        </w:rPr>
        <w:t>分发了关于遵守联合国《妇女公约》和政府对</w:t>
      </w:r>
      <w:r>
        <w:t>Groenman</w:t>
      </w:r>
      <w:r>
        <w:rPr>
          <w:rFonts w:hint="eastAsia"/>
        </w:rPr>
        <w:t>报告的反应的会议（</w:t>
      </w:r>
      <w:r>
        <w:t>1997</w:t>
      </w:r>
      <w:r>
        <w:rPr>
          <w:rFonts w:hint="eastAsia"/>
        </w:rPr>
        <w:t>年</w:t>
      </w:r>
      <w:r>
        <w:t>10</w:t>
      </w:r>
      <w:r>
        <w:rPr>
          <w:rFonts w:hint="eastAsia"/>
        </w:rPr>
        <w:t>月</w:t>
      </w:r>
      <w:r>
        <w:t>17</w:t>
      </w:r>
      <w:r>
        <w:rPr>
          <w:rFonts w:hint="eastAsia"/>
        </w:rPr>
        <w:t>日在</w:t>
      </w:r>
      <w:r>
        <w:t>Nijmegen</w:t>
      </w:r>
      <w:r>
        <w:rPr>
          <w:rFonts w:hint="eastAsia"/>
        </w:rPr>
        <w:t>大学召开）的报告。</w:t>
      </w:r>
    </w:p>
    <w:p w:rsidR="00000000" w:rsidRDefault="00000000">
      <w:pPr>
        <w:spacing w:after="240" w:line="400" w:lineRule="exact"/>
        <w:ind w:firstLine="425"/>
      </w:pPr>
      <w:r>
        <w:t xml:space="preserve">*  </w:t>
      </w:r>
      <w:r>
        <w:rPr>
          <w:rFonts w:hint="eastAsia"/>
        </w:rPr>
        <w:t>上述的出版物有许多载有《公约》全文（英文或荷兰文）。现正采取下列新措施来宣传《公约》：</w:t>
      </w:r>
    </w:p>
    <w:p w:rsidR="00000000" w:rsidRDefault="00000000">
      <w:pPr>
        <w:spacing w:after="240" w:line="400" w:lineRule="exact"/>
        <w:ind w:firstLine="425"/>
      </w:pPr>
      <w:r>
        <w:t xml:space="preserve">*  </w:t>
      </w:r>
      <w:r>
        <w:rPr>
          <w:rFonts w:hint="eastAsia"/>
        </w:rPr>
        <w:t>消除对妇女歧视委员会的一般性建议</w:t>
      </w:r>
      <w:r>
        <w:t>22</w:t>
      </w:r>
      <w:r>
        <w:rPr>
          <w:rFonts w:hint="eastAsia"/>
        </w:rPr>
        <w:t>正在翻译成荷兰文。</w:t>
      </w:r>
    </w:p>
    <w:p w:rsidR="00000000" w:rsidRDefault="00000000">
      <w:pPr>
        <w:spacing w:after="240" w:line="400" w:lineRule="exact"/>
        <w:ind w:firstLine="425"/>
      </w:pPr>
      <w:r>
        <w:t xml:space="preserve">* </w:t>
      </w:r>
      <w:r>
        <w:rPr>
          <w:rFonts w:hint="eastAsia"/>
        </w:rPr>
        <w:t>《公约》和消除对妇女歧视委员会的一般性建议的荷兰文本将以一本小册子出版让更多公众了解。</w:t>
      </w:r>
    </w:p>
    <w:p w:rsidR="00000000" w:rsidRDefault="00000000">
      <w:pPr>
        <w:spacing w:after="240" w:line="400" w:lineRule="exact"/>
        <w:ind w:firstLine="425"/>
      </w:pPr>
      <w:r>
        <w:t xml:space="preserve">*  </w:t>
      </w:r>
      <w:r>
        <w:rPr>
          <w:rFonts w:hint="eastAsia"/>
        </w:rPr>
        <w:t>社会和就业部正在研究利用因特网址在网上提供已出版的有关《妇女公约》的文件的方法。</w:t>
      </w:r>
    </w:p>
    <w:p w:rsidR="00000000" w:rsidRDefault="00000000">
      <w:pPr>
        <w:spacing w:after="240" w:line="400" w:lineRule="exact"/>
        <w:ind w:firstLine="425"/>
      </w:pPr>
      <w:r>
        <w:rPr>
          <w:rFonts w:hint="eastAsia"/>
        </w:rPr>
        <w:t>在其政策文件‘北京：妇女和未来’中政府已指出，一个有关男女平等待遇的协调和信息的政府中心对于编写关于《妇女公约》的国家报告会有真正帮助。该中心可以收集有关平等待遇的立法、禁止歧视的刑法、欧盟立法、《欧洲人权公约》和联合国与劳工组织公约，包括有关它们的案例法。</w:t>
      </w:r>
      <w:r>
        <w:t>Groenman</w:t>
      </w:r>
      <w:r>
        <w:rPr>
          <w:rFonts w:hint="eastAsia"/>
        </w:rPr>
        <w:t>委员会在其建议中赞成这个主张。为讨论</w:t>
      </w:r>
      <w:r>
        <w:t>Groenman</w:t>
      </w:r>
      <w:r>
        <w:rPr>
          <w:rFonts w:hint="eastAsia"/>
        </w:rPr>
        <w:t>委员会的报告而召开的会议也表示完全需要一个这种类型的信息机构。</w:t>
      </w:r>
    </w:p>
    <w:p w:rsidR="00000000" w:rsidRDefault="00000000">
      <w:pPr>
        <w:spacing w:after="240" w:line="400" w:lineRule="exact"/>
        <w:ind w:firstLine="425"/>
      </w:pPr>
      <w:r>
        <w:rPr>
          <w:rFonts w:hint="eastAsia"/>
        </w:rPr>
        <w:t>随着解放政策越来越成为主流政策的一部分，也出现这种政策变得不完整和含糊不清的危险。这就是为什么正在准备采用一种旨在提供关于解放进程进展情况基本信息的监测工具的原因。此外，仍然需要一个可以提供有关男女平等待遇方面特别进展情况信息的系统。目前这方面的专门知识分散在不同的部和半政府机构中，如平等待遇委员会、大学研究所和专门知识中心，如</w:t>
      </w:r>
      <w:r>
        <w:t>Clara Wichmann</w:t>
      </w:r>
      <w:r>
        <w:rPr>
          <w:rFonts w:hint="eastAsia"/>
        </w:rPr>
        <w:t>研究所和荷兰律师人权委员会。政府将研究是否有必要改进信息的传播，如果必要而且可行，可与有关组织合作通过因特网做到这一点。</w:t>
      </w:r>
    </w:p>
    <w:p w:rsidR="00000000" w:rsidRDefault="00000000">
      <w:pPr>
        <w:spacing w:after="240" w:line="400" w:lineRule="exact"/>
        <w:rPr>
          <w:rFonts w:ascii="楷体" w:eastAsia="楷体"/>
        </w:rPr>
      </w:pPr>
      <w:r>
        <w:rPr>
          <w:rFonts w:ascii="楷体" w:eastAsia="楷体" w:hint="eastAsia"/>
        </w:rPr>
        <w:t>提交给消除对妇女歧视委员会的第三次报告</w:t>
      </w:r>
    </w:p>
    <w:p w:rsidR="00000000" w:rsidRDefault="00000000">
      <w:pPr>
        <w:tabs>
          <w:tab w:val="left" w:pos="4320"/>
        </w:tabs>
        <w:spacing w:after="240" w:line="400" w:lineRule="exact"/>
        <w:ind w:firstLine="425"/>
      </w:pPr>
      <w:r>
        <w:rPr>
          <w:rFonts w:hint="eastAsia"/>
        </w:rPr>
        <w:t>由议会下院开始的履行国家报告义务过程中得到的关于联合国《妇女公约》的信息显然有助于起草目前提交给消除对妇女歧视委员会的报告。这特别显示了可以而且应当归因于《公约》在荷兰法律秩序中在荷兰的社会和政治发展中的重要性。荷兰的解放政策也将得益于更加重视《公约》提供的审查基础。</w:t>
      </w:r>
    </w:p>
    <w:p w:rsidR="00000000" w:rsidRDefault="00000000">
      <w:pPr>
        <w:autoSpaceDE w:val="0"/>
        <w:autoSpaceDN w:val="0"/>
        <w:spacing w:after="240" w:line="400" w:lineRule="exact"/>
        <w:ind w:firstLine="425"/>
        <w:textAlignment w:val="bottom"/>
      </w:pPr>
      <w:r>
        <w:rPr>
          <w:rFonts w:hint="eastAsia"/>
        </w:rPr>
        <w:t>一个的确需要考虑的问题是给议会的国家报告和给消除对妇女歧视委员会的国际报告之间的相互影响。按照关于提出国家报告义务的</w:t>
      </w:r>
      <w:r>
        <w:t>Kalsbeek-Jasperse</w:t>
      </w:r>
      <w:r>
        <w:rPr>
          <w:rFonts w:hint="eastAsia"/>
        </w:rPr>
        <w:t>修正案的注，向议会报告的时间的选择是经常比向消除对妇女歧视委员会的报告时间提前一年。这就使议会两院有可能对提交给委员会的报告施加影响。考虑到下院的愿望，当局直到</w:t>
      </w:r>
      <w:r>
        <w:t>1998</w:t>
      </w:r>
      <w:r>
        <w:rPr>
          <w:rFonts w:hint="eastAsia"/>
        </w:rPr>
        <w:t>年秋天下院辩论完了政府对国家报告的答复之后才完成第二次给消除对妇女歧视委员会的报告，而本来计划在</w:t>
      </w:r>
      <w:r>
        <w:t>1996</w:t>
      </w:r>
      <w:r>
        <w:rPr>
          <w:rFonts w:hint="eastAsia"/>
        </w:rPr>
        <w:t>年完成的。由于向消除对妇女歧视委员会提交报告的时间不能延长。这是《公约》规定的</w:t>
      </w:r>
      <w:r>
        <w:t>,</w:t>
      </w:r>
      <w:r>
        <w:rPr>
          <w:rFonts w:hint="eastAsia"/>
        </w:rPr>
        <w:t>而且该委员会无权免除报告义务，因此政府决定重新按时完成向该委员会的报告并为及时提交第三次报告做好准备工作。</w:t>
      </w:r>
    </w:p>
    <w:p w:rsidR="00000000" w:rsidRDefault="00000000">
      <w:pPr>
        <w:autoSpaceDE w:val="0"/>
        <w:autoSpaceDN w:val="0"/>
        <w:spacing w:line="400" w:lineRule="exact"/>
        <w:textAlignment w:val="bottom"/>
        <w:rPr>
          <w:rFonts w:ascii="SimHei" w:eastAsia="SimHei"/>
          <w:sz w:val="28"/>
        </w:rPr>
      </w:pPr>
      <w:r>
        <w:rPr>
          <w:rFonts w:ascii="SimHei" w:eastAsia="SimHei" w:hint="eastAsia"/>
          <w:sz w:val="28"/>
        </w:rPr>
        <w:t>附件一</w:t>
      </w:r>
    </w:p>
    <w:p w:rsidR="00000000" w:rsidRDefault="00000000">
      <w:pPr>
        <w:autoSpaceDE w:val="0"/>
        <w:autoSpaceDN w:val="0"/>
        <w:spacing w:after="240" w:line="400" w:lineRule="exact"/>
        <w:textAlignment w:val="bottom"/>
        <w:rPr>
          <w:rFonts w:ascii="SimHei" w:eastAsia="SimHei"/>
          <w:sz w:val="28"/>
        </w:rPr>
      </w:pPr>
      <w:r>
        <w:rPr>
          <w:rFonts w:ascii="SimHei" w:eastAsia="SimHei" w:hint="eastAsia"/>
          <w:sz w:val="28"/>
        </w:rPr>
        <w:t>对关于残疾妇女状况的第</w:t>
      </w:r>
      <w:r>
        <w:rPr>
          <w:rFonts w:ascii="SimHei" w:eastAsia="SimHei"/>
          <w:sz w:val="28"/>
        </w:rPr>
        <w:t>18</w:t>
      </w:r>
      <w:r>
        <w:rPr>
          <w:rFonts w:ascii="SimHei" w:eastAsia="SimHei" w:hint="eastAsia"/>
          <w:sz w:val="28"/>
        </w:rPr>
        <w:t>号一般性建议与政策三级别之间关系的说明</w:t>
      </w:r>
    </w:p>
    <w:p w:rsidR="00000000" w:rsidRDefault="00000000">
      <w:pPr>
        <w:autoSpaceDE w:val="0"/>
        <w:autoSpaceDN w:val="0"/>
        <w:spacing w:after="240" w:line="400" w:lineRule="exact"/>
        <w:ind w:firstLine="425"/>
        <w:textAlignment w:val="bottom"/>
      </w:pPr>
      <w:r>
        <w:rPr>
          <w:rFonts w:hint="eastAsia"/>
        </w:rPr>
        <w:t>消除对妇女歧视委员会在这项建议中要求有更多的关于残疾妇女状况，尤其是在多大程度上她们能平等地获得教育、就业、保健服务和社会保障的信息，以及关于为确保她们能够参与社会和文化生活所有领域已采取的特别措施的信息。因此第</w:t>
      </w:r>
      <w:r>
        <w:t>18</w:t>
      </w:r>
      <w:r>
        <w:rPr>
          <w:rFonts w:hint="eastAsia"/>
        </w:rPr>
        <w:t>号建议影响到《公约》的所有方面，因为它涉及残疾妇女状况的所有方面。所以它是一个用来说明政策三个级别与《公约》条款之间关系的良好例证。</w:t>
      </w:r>
    </w:p>
    <w:p w:rsidR="00000000" w:rsidRDefault="00000000">
      <w:pPr>
        <w:autoSpaceDE w:val="0"/>
        <w:autoSpaceDN w:val="0"/>
        <w:spacing w:after="240" w:line="400" w:lineRule="exact"/>
        <w:textAlignment w:val="bottom"/>
        <w:rPr>
          <w:rFonts w:ascii="SimHei" w:eastAsia="SimHei"/>
          <w:sz w:val="24"/>
        </w:rPr>
      </w:pPr>
      <w:r>
        <w:rPr>
          <w:rFonts w:ascii="SimHei" w:eastAsia="SimHei" w:hint="eastAsia"/>
          <w:sz w:val="24"/>
        </w:rPr>
        <w:t>第一级：状况与立法措施</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1(a)  </w:t>
      </w:r>
      <w:r>
        <w:rPr>
          <w:rFonts w:ascii="SimHei" w:eastAsia="SimHei" w:hint="eastAsia"/>
        </w:rPr>
        <w:t>状况</w:t>
      </w:r>
    </w:p>
    <w:p w:rsidR="00000000" w:rsidRDefault="00000000">
      <w:pPr>
        <w:autoSpaceDE w:val="0"/>
        <w:autoSpaceDN w:val="0"/>
        <w:spacing w:after="240" w:line="400" w:lineRule="exact"/>
        <w:ind w:firstLine="425"/>
        <w:textAlignment w:val="bottom"/>
      </w:pPr>
      <w:r>
        <w:rPr>
          <w:rFonts w:hint="eastAsia"/>
        </w:rPr>
        <w:t>大约</w:t>
      </w:r>
      <w:r>
        <w:t>13%</w:t>
      </w:r>
      <w:r>
        <w:rPr>
          <w:rFonts w:hint="eastAsia"/>
        </w:rPr>
        <w:t>的荷兰妇女，即约</w:t>
      </w:r>
      <w:r>
        <w:t>85</w:t>
      </w:r>
      <w:r>
        <w:rPr>
          <w:rFonts w:hint="eastAsia"/>
        </w:rPr>
        <w:t>万人（其中</w:t>
      </w:r>
      <w:r>
        <w:t>56%</w:t>
      </w:r>
      <w:r>
        <w:rPr>
          <w:rFonts w:hint="eastAsia"/>
        </w:rPr>
        <w:t>为</w:t>
      </w:r>
      <w:r>
        <w:t>65</w:t>
      </w:r>
      <w:r>
        <w:rPr>
          <w:rFonts w:hint="eastAsia"/>
        </w:rPr>
        <w:t>岁以下）有残疾或严重残疾。即使对年龄校正后，大部分有身体残疾的人仍为妇女（</w:t>
      </w:r>
      <w:r>
        <w:t>CBS/NIMAWO</w:t>
      </w:r>
      <w:r>
        <w:rPr>
          <w:rFonts w:hint="eastAsia"/>
        </w:rPr>
        <w:t>）。身体残疾疗养机构的残疾人男女大体相等。妇女比男子有心理障碍的少（千分之</w:t>
      </w:r>
      <w:r>
        <w:t>6.6</w:t>
      </w:r>
      <w:r>
        <w:rPr>
          <w:rFonts w:hint="eastAsia"/>
        </w:rPr>
        <w:t>与千分之</w:t>
      </w:r>
      <w:r>
        <w:t>8.7</w:t>
      </w:r>
      <w:r>
        <w:rPr>
          <w:rFonts w:hint="eastAsia"/>
        </w:rPr>
        <w:t>）（</w:t>
      </w:r>
      <w:r>
        <w:t>Maas, 1988</w:t>
      </w:r>
      <w:r>
        <w:rPr>
          <w:rFonts w:hint="eastAsia"/>
        </w:rPr>
        <w:t>年）。</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1(b)  </w:t>
      </w:r>
      <w:r>
        <w:rPr>
          <w:rFonts w:ascii="SimHei" w:eastAsia="SimHei" w:hint="eastAsia"/>
        </w:rPr>
        <w:t>立法措施</w:t>
      </w:r>
    </w:p>
    <w:p w:rsidR="00000000" w:rsidRDefault="00000000">
      <w:pPr>
        <w:autoSpaceDE w:val="0"/>
        <w:autoSpaceDN w:val="0"/>
        <w:spacing w:after="240" w:line="400" w:lineRule="exact"/>
        <w:ind w:firstLine="425"/>
        <w:textAlignment w:val="bottom"/>
      </w:pPr>
      <w:r>
        <w:rPr>
          <w:rFonts w:hint="eastAsia"/>
        </w:rPr>
        <w:t>调查显示残疾人经常受歧视。妇女在残疾人中人数过多，因而更有可能成为完全无法找到工作者（</w:t>
      </w:r>
      <w:r>
        <w:t>Hendriks 1997</w:t>
      </w:r>
      <w:r>
        <w:rPr>
          <w:rFonts w:hint="eastAsia"/>
        </w:rPr>
        <w:t>年）。荷兰政府的目标是短期内采用立法（逐步）禁止对残疾人的歧视。</w:t>
      </w:r>
    </w:p>
    <w:p w:rsidR="00000000" w:rsidRDefault="00000000">
      <w:pPr>
        <w:autoSpaceDE w:val="0"/>
        <w:autoSpaceDN w:val="0"/>
        <w:spacing w:after="240" w:line="400" w:lineRule="exact"/>
        <w:textAlignment w:val="bottom"/>
        <w:rPr>
          <w:rFonts w:ascii="SimHei" w:eastAsia="SimHei"/>
          <w:sz w:val="24"/>
        </w:rPr>
      </w:pPr>
      <w:r>
        <w:rPr>
          <w:rFonts w:ascii="SimHei" w:eastAsia="SimHei" w:hint="eastAsia"/>
          <w:sz w:val="24"/>
        </w:rPr>
        <w:t>第二级：走向多样性</w:t>
      </w:r>
    </w:p>
    <w:p w:rsidR="00000000" w:rsidRDefault="00000000">
      <w:pPr>
        <w:autoSpaceDE w:val="0"/>
        <w:autoSpaceDN w:val="0"/>
        <w:spacing w:after="240" w:line="400" w:lineRule="exact"/>
        <w:ind w:firstLine="425"/>
        <w:textAlignment w:val="bottom"/>
      </w:pPr>
      <w:r>
        <w:rPr>
          <w:rFonts w:hint="eastAsia"/>
        </w:rPr>
        <w:t>当局由于受到来自实地的信息的推动正在变得越来越了解残疾妇女的需要与残疾男子的需要不相同。正是由于这一认识导致政府决定对</w:t>
      </w:r>
      <w:r>
        <w:t>1990</w:t>
      </w:r>
      <w:r>
        <w:rPr>
          <w:rFonts w:hint="eastAsia"/>
        </w:rPr>
        <w:t>至</w:t>
      </w:r>
      <w:r>
        <w:t>1994</w:t>
      </w:r>
      <w:r>
        <w:rPr>
          <w:rFonts w:hint="eastAsia"/>
        </w:rPr>
        <w:t>年由一个志愿组织——荷兰残疾人委员会——进行的一个解放项目给予补贴。现在继续进行的是由非政府组织</w:t>
      </w:r>
      <w:r>
        <w:t>Vrouwen Alliantie</w:t>
      </w:r>
      <w:r>
        <w:rPr>
          <w:rFonts w:hint="eastAsia"/>
        </w:rPr>
        <w:t>为改善残疾妇女状况而进行的一个两年期的项目。该项目有双重目标：不仅改善残疾妇女在有偿工作和无偿工作方面的状况（也见第九章），而且确保隶属于</w:t>
      </w:r>
      <w:r>
        <w:t>Vrouwen Alliantie</w:t>
      </w:r>
      <w:r>
        <w:rPr>
          <w:rFonts w:hint="eastAsia"/>
        </w:rPr>
        <w:t>的妇女组织的政策能考虑到残疾妇女。荷兰残疾人委员会在</w:t>
      </w:r>
      <w:r>
        <w:t>1996</w:t>
      </w:r>
      <w:r>
        <w:rPr>
          <w:rFonts w:hint="eastAsia"/>
        </w:rPr>
        <w:t>年设立了“妇女参与管理”的项目，把它作为其解放项目的继续（见第五章）。该项目的最终目标是增加所属机构董事会中妇女董事的数量。</w:t>
      </w:r>
    </w:p>
    <w:p w:rsidR="00000000" w:rsidRDefault="00000000">
      <w:pPr>
        <w:autoSpaceDE w:val="0"/>
        <w:autoSpaceDN w:val="0"/>
        <w:spacing w:after="240" w:line="400" w:lineRule="exact"/>
        <w:ind w:firstLine="425"/>
        <w:textAlignment w:val="bottom"/>
      </w:pPr>
      <w:r>
        <w:rPr>
          <w:rFonts w:hint="eastAsia"/>
        </w:rPr>
        <w:t>残疾妇女的权利是</w:t>
      </w:r>
      <w:r>
        <w:t>1991</w:t>
      </w:r>
      <w:r>
        <w:rPr>
          <w:rFonts w:hint="eastAsia"/>
        </w:rPr>
        <w:t>年首先在政府的政策中得到承认的。当时的一项重要发现是人们对残疾妇女了解甚少。后来进行了各种调查以弥补这一不足。</w:t>
      </w:r>
      <w:r>
        <w:t>1993</w:t>
      </w:r>
      <w:r>
        <w:rPr>
          <w:rFonts w:hint="eastAsia"/>
        </w:rPr>
        <w:t>年的一个调查</w:t>
      </w:r>
      <w:r>
        <w:rPr>
          <w:rStyle w:val="FootnoteReference"/>
        </w:rPr>
        <w:footnoteReference w:customMarkFollows="1" w:id="45"/>
        <w:t>43</w:t>
      </w:r>
      <w:r>
        <w:rPr>
          <w:rFonts w:hint="eastAsia"/>
        </w:rPr>
        <w:t>特别显示残疾妇女在参与劳动力市场（也见第</w:t>
      </w:r>
      <w:r>
        <w:t>11</w:t>
      </w:r>
      <w:r>
        <w:rPr>
          <w:rFonts w:hint="eastAsia"/>
        </w:rPr>
        <w:t>条）和参与教育、尤其是职业教育（也见第</w:t>
      </w:r>
      <w:r>
        <w:t>10</w:t>
      </w:r>
      <w:r>
        <w:rPr>
          <w:rFonts w:hint="eastAsia"/>
        </w:rPr>
        <w:t>条）方面都比残疾男子要少。</w:t>
      </w:r>
      <w:r>
        <w:t>1995</w:t>
      </w:r>
      <w:r>
        <w:rPr>
          <w:rFonts w:hint="eastAsia"/>
        </w:rPr>
        <w:t>年的报告“福利就业中的妇女和少数民族的状况”表明残疾妇女和少数民族的状况比荷兰籍残疾男子要差。福利就业中的残疾妇女在安置、取得资历和定级方面都处于不利地位。在关于福利就业者的工资和就业条件问题的中央谈判中考虑到了依据该报告提出的建议。</w:t>
      </w:r>
    </w:p>
    <w:p w:rsidR="00000000" w:rsidRDefault="00000000">
      <w:pPr>
        <w:autoSpaceDE w:val="0"/>
        <w:autoSpaceDN w:val="0"/>
        <w:spacing w:after="240" w:line="400" w:lineRule="exact"/>
        <w:ind w:firstLine="425"/>
        <w:textAlignment w:val="bottom"/>
      </w:pPr>
      <w:r>
        <w:rPr>
          <w:rFonts w:hint="eastAsia"/>
        </w:rPr>
        <w:t>性暴力主要针对妇女（也见第三章）。残疾妇女特别容易受害。从</w:t>
      </w:r>
      <w:r>
        <w:t>1991</w:t>
      </w:r>
      <w:r>
        <w:rPr>
          <w:rFonts w:hint="eastAsia"/>
        </w:rPr>
        <w:t>年以来开展了由卫生、福利和体育部资助的旨在打击对残疾人性虐待的各种活动。</w:t>
      </w:r>
    </w:p>
    <w:p w:rsidR="00000000" w:rsidRDefault="00000000">
      <w:pPr>
        <w:autoSpaceDE w:val="0"/>
        <w:autoSpaceDN w:val="0"/>
        <w:spacing w:after="240" w:line="400" w:lineRule="exact"/>
        <w:textAlignment w:val="bottom"/>
        <w:rPr>
          <w:rFonts w:ascii="SimHei" w:eastAsia="SimHei"/>
          <w:sz w:val="24"/>
        </w:rPr>
      </w:pPr>
      <w:r>
        <w:rPr>
          <w:rFonts w:ascii="SimHei" w:eastAsia="SimHei" w:hint="eastAsia"/>
          <w:sz w:val="24"/>
        </w:rPr>
        <w:t>第三级：文化变革战略</w:t>
      </w:r>
    </w:p>
    <w:p w:rsidR="00000000" w:rsidRDefault="00000000">
      <w:pPr>
        <w:autoSpaceDE w:val="0"/>
        <w:autoSpaceDN w:val="0"/>
        <w:spacing w:after="240" w:line="400" w:lineRule="exact"/>
        <w:ind w:firstLine="425"/>
        <w:textAlignment w:val="bottom"/>
      </w:pPr>
      <w:r>
        <w:rPr>
          <w:rFonts w:hint="eastAsia"/>
        </w:rPr>
        <w:t>近几年来，政府的政策越来越关注残疾妇女的状况，其部分原因是代表这些妇女的组织努力的结果。承认多样化使社会丰富多彩为残疾妇女在政策中占有一席之地创造了条件。如今的政策强调的是她们能做什么，而不是她们不能做什么。以上第二级已讨论了当局进行的或当局资助进行的各种活动。现场的人们提出了为此目的必须进行的文化变革。为残疾人工作的人们越来越认识到有时残疾妇女的需要与残疾男子的需要不一样。这就导致分别建立项目，上文第二级论述了这个问题。除了这些具体活动之外，政策也越来越集中于社会对残疾妇女的看法。解放委员会在</w:t>
      </w:r>
      <w:r>
        <w:t>1997</w:t>
      </w:r>
      <w:r>
        <w:rPr>
          <w:rFonts w:hint="eastAsia"/>
        </w:rPr>
        <w:t>年</w:t>
      </w:r>
      <w:r>
        <w:t>2</w:t>
      </w:r>
      <w:r>
        <w:rPr>
          <w:rFonts w:hint="eastAsia"/>
        </w:rPr>
        <w:t>月向荷兰政府提出了关于“观念、性别和残疾”的建议。</w:t>
      </w:r>
      <w:r>
        <w:t>1997</w:t>
      </w:r>
      <w:r>
        <w:rPr>
          <w:rFonts w:hint="eastAsia"/>
        </w:rPr>
        <w:t>年</w:t>
      </w:r>
      <w:r>
        <w:t>9</w:t>
      </w:r>
      <w:r>
        <w:rPr>
          <w:rFonts w:hint="eastAsia"/>
        </w:rPr>
        <w:t>月政策公布了它对这些建议的反应。其主要结论是政府在</w:t>
      </w:r>
      <w:r>
        <w:t>1998</w:t>
      </w:r>
      <w:r>
        <w:rPr>
          <w:rFonts w:hint="eastAsia"/>
        </w:rPr>
        <w:t>年及以后将继续为影响社会对残疾妇女看法的措施提供财政支助（作为残疾人总体政策的一部分）。接受财政支助的这种项目的一个实例是</w:t>
      </w:r>
      <w:r>
        <w:t>1996</w:t>
      </w:r>
      <w:r>
        <w:rPr>
          <w:rFonts w:hint="eastAsia"/>
        </w:rPr>
        <w:t>年荷兰残疾人委员会进行的旨在为教师和学校指导员宣传残疾女孩重要性的项目。</w:t>
      </w:r>
    </w:p>
    <w:p w:rsidR="00000000" w:rsidRDefault="00000000">
      <w:pPr>
        <w:autoSpaceDE w:val="0"/>
        <w:autoSpaceDN w:val="0"/>
        <w:spacing w:after="240" w:line="400" w:lineRule="exact"/>
        <w:textAlignment w:val="bottom"/>
        <w:rPr>
          <w:rFonts w:ascii="SimHei" w:eastAsia="SimHei"/>
          <w:sz w:val="28"/>
        </w:rPr>
      </w:pPr>
      <w:r>
        <w:rPr>
          <w:rFonts w:ascii="SimHei" w:eastAsia="SimHei" w:hint="eastAsia"/>
          <w:sz w:val="28"/>
        </w:rPr>
        <w:t>附件二</w:t>
      </w:r>
      <w:r>
        <w:rPr>
          <w:rFonts w:ascii="SimHei" w:eastAsia="SimHei"/>
          <w:sz w:val="28"/>
        </w:rPr>
        <w:t xml:space="preserve">  </w:t>
      </w:r>
      <w:r>
        <w:rPr>
          <w:rFonts w:ascii="SimHei" w:eastAsia="SimHei" w:hint="eastAsia"/>
          <w:sz w:val="28"/>
        </w:rPr>
        <w:t>构成支助解放体系的组织</w:t>
      </w:r>
    </w:p>
    <w:p w:rsidR="00000000" w:rsidRDefault="00000000">
      <w:pPr>
        <w:autoSpaceDE w:val="0"/>
        <w:autoSpaceDN w:val="0"/>
        <w:spacing w:after="240" w:line="400" w:lineRule="exact"/>
        <w:ind w:firstLine="425"/>
        <w:textAlignment w:val="bottom"/>
      </w:pPr>
      <w:r>
        <w:rPr>
          <w:rFonts w:hint="eastAsia"/>
        </w:rPr>
        <w:t>本附件载有关于构成第二章中概述的支助解放体系的各组织更为详细的资料。</w:t>
      </w:r>
    </w:p>
    <w:p w:rsidR="00000000" w:rsidRDefault="00000000">
      <w:pPr>
        <w:autoSpaceDE w:val="0"/>
        <w:autoSpaceDN w:val="0"/>
        <w:spacing w:after="240" w:line="400" w:lineRule="exact"/>
        <w:textAlignment w:val="bottom"/>
        <w:rPr>
          <w:rFonts w:ascii="楷体" w:eastAsia="楷体"/>
        </w:rPr>
      </w:pPr>
      <w:r>
        <w:rPr>
          <w:rFonts w:ascii="楷体" w:eastAsia="楷体" w:hint="eastAsia"/>
        </w:rPr>
        <w:t>性别、种族问题研究所</w:t>
      </w:r>
    </w:p>
    <w:p w:rsidR="00000000" w:rsidRDefault="00000000">
      <w:pPr>
        <w:autoSpaceDE w:val="0"/>
        <w:autoSpaceDN w:val="0"/>
        <w:spacing w:after="240" w:line="400" w:lineRule="exact"/>
        <w:ind w:firstLine="425"/>
        <w:textAlignment w:val="bottom"/>
      </w:pPr>
      <w:r>
        <w:rPr>
          <w:rFonts w:hint="eastAsia"/>
        </w:rPr>
        <w:t>该组织是</w:t>
      </w:r>
      <w:r>
        <w:t>1998</w:t>
      </w:r>
      <w:r>
        <w:rPr>
          <w:rFonts w:hint="eastAsia"/>
        </w:rPr>
        <w:t>年</w:t>
      </w:r>
      <w:r>
        <w:t>1</w:t>
      </w:r>
      <w:r>
        <w:rPr>
          <w:rFonts w:hint="eastAsia"/>
        </w:rPr>
        <w:t>月</w:t>
      </w:r>
      <w:r>
        <w:t>1</w:t>
      </w:r>
      <w:r>
        <w:rPr>
          <w:rFonts w:hint="eastAsia"/>
        </w:rPr>
        <w:t>日成立的，暂定各为性别、种族问题研究所，它是由四个解放知识中心合并成的，过去每个中心单独接受政府的补贴。被合并的组织为</w:t>
      </w:r>
      <w:r>
        <w:t>Arachne</w:t>
      </w:r>
      <w:r>
        <w:rPr>
          <w:rFonts w:hint="eastAsia"/>
        </w:rPr>
        <w:t>（政府妇女政策咨询公司）、妇女和劳动研究所、国际妇女交流方案和</w:t>
      </w:r>
      <w:r>
        <w:t>AISA</w:t>
      </w:r>
      <w:r>
        <w:rPr>
          <w:rFonts w:hint="eastAsia"/>
        </w:rPr>
        <w:t>。更详细地研究一下</w:t>
      </w:r>
      <w:r>
        <w:t>AISA</w:t>
      </w:r>
      <w:r>
        <w:rPr>
          <w:rFonts w:hint="eastAsia"/>
        </w:rPr>
        <w:t>是重要的。该项目的目的是为支助黑人、移民和难民妇女的解放事业。作为这样一个项目，它代表了过去未向消除对妇女歧视委员会报告过的一种重要进展。从</w:t>
      </w:r>
      <w:r>
        <w:t>1994</w:t>
      </w:r>
      <w:r>
        <w:rPr>
          <w:rFonts w:hint="eastAsia"/>
        </w:rPr>
        <w:t>年</w:t>
      </w:r>
      <w:r>
        <w:t>4</w:t>
      </w:r>
      <w:r>
        <w:rPr>
          <w:rFonts w:hint="eastAsia"/>
        </w:rPr>
        <w:t>月到</w:t>
      </w:r>
      <w:r>
        <w:t>1998</w:t>
      </w:r>
      <w:r>
        <w:rPr>
          <w:rFonts w:hint="eastAsia"/>
        </w:rPr>
        <w:t>年</w:t>
      </w:r>
      <w:r>
        <w:t>1</w:t>
      </w:r>
      <w:r>
        <w:rPr>
          <w:rFonts w:hint="eastAsia"/>
        </w:rPr>
        <w:t>月</w:t>
      </w:r>
      <w:r>
        <w:t>1</w:t>
      </w:r>
      <w:r>
        <w:rPr>
          <w:rFonts w:hint="eastAsia"/>
        </w:rPr>
        <w:t>日</w:t>
      </w:r>
      <w:r>
        <w:t>AISA</w:t>
      </w:r>
      <w:r>
        <w:rPr>
          <w:rFonts w:hint="eastAsia"/>
        </w:rPr>
        <w:t>每年从解放政策协调大臣处得到</w:t>
      </w:r>
      <w:r>
        <w:t>25</w:t>
      </w:r>
      <w:r>
        <w:rPr>
          <w:rFonts w:hint="eastAsia"/>
        </w:rPr>
        <w:t>万荷兰盾的补贴。各种代表少数民族的全国性组织都通过</w:t>
      </w:r>
      <w:r>
        <w:t>AISA</w:t>
      </w:r>
      <w:r>
        <w:rPr>
          <w:rFonts w:hint="eastAsia"/>
        </w:rPr>
        <w:t>为下列目的共同工作：</w:t>
      </w:r>
    </w:p>
    <w:p w:rsidR="00000000" w:rsidRDefault="00000000">
      <w:pPr>
        <w:autoSpaceDE w:val="0"/>
        <w:autoSpaceDN w:val="0"/>
        <w:spacing w:after="240" w:line="400" w:lineRule="exact"/>
        <w:ind w:firstLine="425"/>
        <w:textAlignment w:val="bottom"/>
      </w:pPr>
      <w:r>
        <w:t xml:space="preserve">*  </w:t>
      </w:r>
      <w:r>
        <w:rPr>
          <w:rFonts w:hint="eastAsia"/>
        </w:rPr>
        <w:t>提出有关黑人、移民和难民妇女地位和解放的设想；</w:t>
      </w:r>
    </w:p>
    <w:p w:rsidR="00000000" w:rsidRDefault="00000000">
      <w:pPr>
        <w:autoSpaceDE w:val="0"/>
        <w:autoSpaceDN w:val="0"/>
        <w:spacing w:after="240" w:line="400" w:lineRule="exact"/>
        <w:ind w:firstLine="425"/>
        <w:textAlignment w:val="bottom"/>
      </w:pPr>
      <w:r>
        <w:t xml:space="preserve">*  </w:t>
      </w:r>
      <w:r>
        <w:rPr>
          <w:rFonts w:hint="eastAsia"/>
        </w:rPr>
        <w:t>设计出把这些设想有效传递给政府部门和志愿组织的方法；</w:t>
      </w:r>
    </w:p>
    <w:p w:rsidR="00000000" w:rsidRDefault="00000000">
      <w:pPr>
        <w:autoSpaceDE w:val="0"/>
        <w:autoSpaceDN w:val="0"/>
        <w:spacing w:after="240" w:line="400" w:lineRule="exact"/>
        <w:ind w:firstLine="425"/>
        <w:textAlignment w:val="bottom"/>
      </w:pPr>
      <w:r>
        <w:t xml:space="preserve">*  </w:t>
      </w:r>
      <w:r>
        <w:rPr>
          <w:rFonts w:hint="eastAsia"/>
        </w:rPr>
        <w:t>创造使黑人、移民和难民妇女能从政府政策和荷兰社会趋势受益的条件。</w:t>
      </w:r>
    </w:p>
    <w:p w:rsidR="00000000" w:rsidRDefault="00000000">
      <w:pPr>
        <w:autoSpaceDE w:val="0"/>
        <w:autoSpaceDN w:val="0"/>
        <w:spacing w:after="240" w:line="400" w:lineRule="exact"/>
        <w:ind w:firstLine="425"/>
        <w:textAlignment w:val="bottom"/>
      </w:pPr>
      <w:r>
        <w:rPr>
          <w:rFonts w:hint="eastAsia"/>
        </w:rPr>
        <w:t>在该项目结束时，把</w:t>
      </w:r>
      <w:r>
        <w:t>AISA</w:t>
      </w:r>
      <w:r>
        <w:rPr>
          <w:rFonts w:hint="eastAsia"/>
        </w:rPr>
        <w:t>所得到的知识和信息转交给性别、种族问题研究所，后者的业务将涉及性别和种族两个方面。一个评价报告显示</w:t>
      </w:r>
      <w:r>
        <w:t>AISA</w:t>
      </w:r>
      <w:r>
        <w:rPr>
          <w:rFonts w:hint="eastAsia"/>
        </w:rPr>
        <w:t>在提供黑人、移民和难民妇女所需的支助方面和在填补当局与黑人、移民和难民妇女运动领导者之间空白方面取得了成功。该项目改善了社会对黑人、移民和难民妇女的看法，成功地传播了她们的不同形象。</w:t>
      </w:r>
    </w:p>
    <w:p w:rsidR="00000000" w:rsidRDefault="00000000">
      <w:pPr>
        <w:autoSpaceDE w:val="0"/>
        <w:autoSpaceDN w:val="0"/>
        <w:spacing w:after="240" w:line="400" w:lineRule="exact"/>
        <w:ind w:firstLine="425"/>
        <w:textAlignment w:val="bottom"/>
      </w:pPr>
      <w:r>
        <w:rPr>
          <w:rFonts w:hint="eastAsia"/>
        </w:rPr>
        <w:t>性别、种族问题研究所得到的补贴比合并的几个组织以前得到的总和多得多。增加的部分来自目前停止活动的解放委员会。这就使性别、种族问题研究所能够起到一个全国性和面向国际的知识中心的作用。它的作用将是在不同领域进行创新、识别、提供信息和咨询，这些领域包括：有偿工作、无偿照管和收入的再分配；专门知识和信息技术的利用；权力和影响的再分配；多种文化社会中的一体化和观点以及国际问题。性别、种族问题研究所与妇女运动保持密切联系，同时重视与政府部门和志愿组织以及工会和工业界的关系。在今后几年里它的年补贴额将从</w:t>
      </w:r>
      <w:r>
        <w:t>370</w:t>
      </w:r>
      <w:r>
        <w:rPr>
          <w:rFonts w:hint="eastAsia"/>
        </w:rPr>
        <w:t>万增加到</w:t>
      </w:r>
      <w:r>
        <w:t>460</w:t>
      </w:r>
      <w:r>
        <w:rPr>
          <w:rFonts w:hint="eastAsia"/>
        </w:rPr>
        <w:t>万荷兰盾。</w:t>
      </w:r>
    </w:p>
    <w:p w:rsidR="00000000" w:rsidRDefault="00000000">
      <w:pPr>
        <w:autoSpaceDE w:val="0"/>
        <w:autoSpaceDN w:val="0"/>
        <w:spacing w:after="240" w:line="400" w:lineRule="exact"/>
        <w:textAlignment w:val="bottom"/>
        <w:rPr>
          <w:i/>
        </w:rPr>
      </w:pPr>
      <w:r>
        <w:rPr>
          <w:i/>
        </w:rPr>
        <w:t>Toplink</w:t>
      </w:r>
    </w:p>
    <w:p w:rsidR="00000000" w:rsidRDefault="00000000">
      <w:pPr>
        <w:autoSpaceDE w:val="0"/>
        <w:autoSpaceDN w:val="0"/>
        <w:spacing w:after="240" w:line="400" w:lineRule="exact"/>
        <w:ind w:firstLine="425"/>
        <w:textAlignment w:val="bottom"/>
      </w:pPr>
      <w:r>
        <w:t>Toplink</w:t>
      </w:r>
      <w:r>
        <w:rPr>
          <w:rFonts w:hint="eastAsia"/>
        </w:rPr>
        <w:t>是</w:t>
      </w:r>
      <w:r>
        <w:t>1995</w:t>
      </w:r>
      <w:r>
        <w:rPr>
          <w:rFonts w:hint="eastAsia"/>
        </w:rPr>
        <w:t>年成立的，其目标是帮助确保妇女在董事会、委员会和理事会中有成比例的代表。它有一个女专家数据库，这些专家可以被提各去填补志愿组织董事会、政府咨询委员会和公司董事会的空缺。在</w:t>
      </w:r>
      <w:r>
        <w:t>1998</w:t>
      </w:r>
      <w:r>
        <w:rPr>
          <w:rFonts w:hint="eastAsia"/>
        </w:rPr>
        <w:t>和</w:t>
      </w:r>
      <w:r>
        <w:t>1999</w:t>
      </w:r>
      <w:r>
        <w:rPr>
          <w:rFonts w:hint="eastAsia"/>
        </w:rPr>
        <w:t>年</w:t>
      </w:r>
      <w:r>
        <w:t>Toplink</w:t>
      </w:r>
      <w:r>
        <w:rPr>
          <w:rFonts w:hint="eastAsia"/>
        </w:rPr>
        <w:t>将每年得到</w:t>
      </w:r>
      <w:r>
        <w:t>40</w:t>
      </w:r>
      <w:r>
        <w:rPr>
          <w:rFonts w:hint="eastAsia"/>
        </w:rPr>
        <w:t>万荷兰盾的补贴。</w:t>
      </w:r>
    </w:p>
    <w:p w:rsidR="00000000" w:rsidRDefault="00000000">
      <w:pPr>
        <w:autoSpaceDE w:val="0"/>
        <w:autoSpaceDN w:val="0"/>
        <w:spacing w:after="240" w:line="400" w:lineRule="exact"/>
        <w:textAlignment w:val="bottom"/>
        <w:rPr>
          <w:rFonts w:ascii="楷体" w:eastAsia="楷体"/>
        </w:rPr>
      </w:pPr>
      <w:r>
        <w:rPr>
          <w:rFonts w:ascii="楷体" w:eastAsia="楷体" w:hint="eastAsia"/>
        </w:rPr>
        <w:t>妇女运动国际信息中心和档案馆</w:t>
      </w:r>
    </w:p>
    <w:p w:rsidR="00000000" w:rsidRDefault="00000000">
      <w:pPr>
        <w:autoSpaceDE w:val="0"/>
        <w:autoSpaceDN w:val="0"/>
        <w:spacing w:after="240" w:line="400" w:lineRule="exact"/>
        <w:ind w:firstLine="425"/>
        <w:textAlignment w:val="bottom"/>
      </w:pPr>
      <w:r>
        <w:rPr>
          <w:rFonts w:hint="eastAsia"/>
        </w:rPr>
        <w:t>荷兰有一个提供关于妇女状况信息的独一无二的中心。该中心有一个图书馆、一个文献科和收藏关于妇女状况及妇女研究文件的档案馆。它在国际上也起重要作用。今后几年里它每年将从解放政策协调大臣得到约</w:t>
      </w:r>
      <w:r>
        <w:t>240</w:t>
      </w:r>
      <w:r>
        <w:rPr>
          <w:rFonts w:hint="eastAsia"/>
        </w:rPr>
        <w:t>万荷兰盾的补贴。</w:t>
      </w:r>
    </w:p>
    <w:p w:rsidR="00000000" w:rsidRDefault="00000000">
      <w:pPr>
        <w:autoSpaceDE w:val="0"/>
        <w:autoSpaceDN w:val="0"/>
        <w:spacing w:after="240" w:line="400" w:lineRule="exact"/>
        <w:textAlignment w:val="bottom"/>
        <w:rPr>
          <w:i/>
        </w:rPr>
      </w:pPr>
      <w:r>
        <w:rPr>
          <w:i/>
        </w:rPr>
        <w:t>The Vrouwen Alliantie (VA)</w:t>
      </w:r>
    </w:p>
    <w:p w:rsidR="00000000" w:rsidRDefault="00000000">
      <w:pPr>
        <w:autoSpaceDE w:val="0"/>
        <w:autoSpaceDN w:val="0"/>
        <w:spacing w:after="240" w:line="400" w:lineRule="exact"/>
        <w:ind w:firstLine="425"/>
        <w:textAlignment w:val="bottom"/>
      </w:pPr>
      <w:r>
        <w:rPr>
          <w:rFonts w:hint="eastAsia"/>
        </w:rPr>
        <w:t>它是一个在</w:t>
      </w:r>
      <w:r>
        <w:t>1993</w:t>
      </w:r>
      <w:r>
        <w:rPr>
          <w:rFonts w:hint="eastAsia"/>
        </w:rPr>
        <w:t>年由另外两个组织合并而成的伞式组织：一个是致力于妇女经济自治，另一个是关于有偿和无偿工作再分配。</w:t>
      </w:r>
      <w:r>
        <w:t>VA</w:t>
      </w:r>
      <w:r>
        <w:rPr>
          <w:rFonts w:hint="eastAsia"/>
        </w:rPr>
        <w:t>有大量下属组织，包括荷兰工会联合会的妇女秘书处、农村妇女组织、国际</w:t>
      </w:r>
      <w:r>
        <w:t>TIYE</w:t>
      </w:r>
      <w:r>
        <w:rPr>
          <w:rFonts w:hint="eastAsia"/>
        </w:rPr>
        <w:t>和全国妇女委员会。它每年从解放政策协调大臣得到约</w:t>
      </w:r>
      <w:r>
        <w:t>50</w:t>
      </w:r>
      <w:r>
        <w:rPr>
          <w:rFonts w:hint="eastAsia"/>
        </w:rPr>
        <w:t>万荷兰盾的补贴。</w:t>
      </w:r>
    </w:p>
    <w:p w:rsidR="00000000" w:rsidRDefault="00000000">
      <w:pPr>
        <w:autoSpaceDE w:val="0"/>
        <w:autoSpaceDN w:val="0"/>
        <w:spacing w:after="240" w:line="400" w:lineRule="exact"/>
        <w:textAlignment w:val="bottom"/>
        <w:rPr>
          <w:i/>
        </w:rPr>
      </w:pPr>
      <w:r>
        <w:rPr>
          <w:i/>
        </w:rPr>
        <w:t>Clara Wichmann</w:t>
      </w:r>
      <w:r>
        <w:rPr>
          <w:rFonts w:ascii="楷体" w:eastAsia="楷体" w:hint="eastAsia"/>
        </w:rPr>
        <w:t>研究所</w:t>
      </w:r>
      <w:r>
        <w:rPr>
          <w:rFonts w:hint="eastAsia"/>
          <w:i/>
        </w:rPr>
        <w:t>（</w:t>
      </w:r>
      <w:r>
        <w:rPr>
          <w:i/>
        </w:rPr>
        <w:t>CWI</w:t>
      </w:r>
      <w:r>
        <w:rPr>
          <w:rFonts w:hint="eastAsia"/>
          <w:i/>
        </w:rPr>
        <w:t>）</w:t>
      </w:r>
    </w:p>
    <w:p w:rsidR="00000000" w:rsidRDefault="00000000">
      <w:pPr>
        <w:autoSpaceDE w:val="0"/>
        <w:autoSpaceDN w:val="0"/>
        <w:spacing w:after="240" w:line="400" w:lineRule="exact"/>
        <w:ind w:firstLine="425"/>
        <w:textAlignment w:val="bottom"/>
      </w:pPr>
      <w:r>
        <w:rPr>
          <w:rFonts w:hint="eastAsia"/>
        </w:rPr>
        <w:t>该所是荷兰研究与妇女和法律有关问题的中央机构。它每年从司法大臣得到约</w:t>
      </w:r>
      <w:r>
        <w:t>90</w:t>
      </w:r>
      <w:r>
        <w:rPr>
          <w:rFonts w:hint="eastAsia"/>
        </w:rPr>
        <w:t>万荷兰盾补贴。</w:t>
      </w:r>
    </w:p>
    <w:p w:rsidR="00000000" w:rsidRDefault="00000000">
      <w:pPr>
        <w:autoSpaceDE w:val="0"/>
        <w:autoSpaceDN w:val="0"/>
        <w:spacing w:after="240" w:line="400" w:lineRule="exact"/>
        <w:textAlignment w:val="bottom"/>
        <w:rPr>
          <w:rFonts w:ascii="楷体" w:eastAsia="楷体"/>
        </w:rPr>
      </w:pPr>
      <w:r>
        <w:rPr>
          <w:rFonts w:ascii="楷体" w:eastAsia="楷体" w:hint="eastAsia"/>
        </w:rPr>
        <w:t>商业机会运动</w:t>
      </w:r>
    </w:p>
    <w:p w:rsidR="00000000" w:rsidRDefault="00000000">
      <w:pPr>
        <w:autoSpaceDE w:val="0"/>
        <w:autoSpaceDN w:val="0"/>
        <w:spacing w:after="240" w:line="400" w:lineRule="exact"/>
        <w:ind w:firstLine="425"/>
        <w:textAlignment w:val="bottom"/>
      </w:pPr>
      <w:r>
        <w:rPr>
          <w:rFonts w:hint="eastAsia"/>
        </w:rPr>
        <w:t>商业机会运动旨在促进工业更好地利用妇女人才。在第九章中有更多关于这方面的信息。该运动每年从经济事务大臣和解放政策协调大臣得到总额</w:t>
      </w:r>
      <w:r>
        <w:t>100</w:t>
      </w:r>
      <w:r>
        <w:rPr>
          <w:rFonts w:hint="eastAsia"/>
        </w:rPr>
        <w:t>万荷兰盾的补贴。三年以后该组织将依靠自己的收入独立开展活动。</w:t>
      </w:r>
    </w:p>
    <w:p w:rsidR="00000000" w:rsidRDefault="00000000">
      <w:pPr>
        <w:autoSpaceDE w:val="0"/>
        <w:autoSpaceDN w:val="0"/>
        <w:spacing w:line="400" w:lineRule="exact"/>
        <w:jc w:val="center"/>
        <w:textAlignment w:val="bottom"/>
        <w:rPr>
          <w:rFonts w:ascii="SimHei" w:eastAsia="SimHei"/>
          <w:sz w:val="28"/>
        </w:rPr>
      </w:pPr>
      <w:r>
        <w:br w:type="page"/>
      </w:r>
      <w:r>
        <w:rPr>
          <w:rFonts w:ascii="SimHei" w:eastAsia="SimHei" w:hint="eastAsia"/>
          <w:sz w:val="28"/>
        </w:rPr>
        <w:t>荷兰提交给联合国消除对妇女歧视委员</w:t>
      </w:r>
    </w:p>
    <w:p w:rsidR="00000000" w:rsidRDefault="00000000">
      <w:pPr>
        <w:autoSpaceDE w:val="0"/>
        <w:autoSpaceDN w:val="0"/>
        <w:spacing w:after="240" w:line="400" w:lineRule="exact"/>
        <w:jc w:val="center"/>
        <w:textAlignment w:val="bottom"/>
        <w:rPr>
          <w:rFonts w:ascii="SimHei" w:eastAsia="SimHei"/>
          <w:sz w:val="28"/>
        </w:rPr>
      </w:pPr>
      <w:r>
        <w:rPr>
          <w:rFonts w:ascii="SimHei" w:eastAsia="SimHei" w:hint="eastAsia"/>
          <w:sz w:val="28"/>
        </w:rPr>
        <w:t>会的第二次报告的附件</w:t>
      </w:r>
    </w:p>
    <w:p w:rsidR="00000000" w:rsidRDefault="00000000">
      <w:pPr>
        <w:autoSpaceDE w:val="0"/>
        <w:autoSpaceDN w:val="0"/>
        <w:spacing w:after="240" w:line="400" w:lineRule="exact"/>
        <w:ind w:firstLine="425"/>
        <w:textAlignment w:val="bottom"/>
      </w:pPr>
    </w:p>
    <w:p w:rsidR="00000000" w:rsidRDefault="00000000">
      <w:pPr>
        <w:autoSpaceDE w:val="0"/>
        <w:autoSpaceDN w:val="0"/>
        <w:spacing w:after="240" w:line="400" w:lineRule="exact"/>
        <w:ind w:firstLine="425"/>
        <w:textAlignment w:val="bottom"/>
      </w:pPr>
    </w:p>
    <w:p w:rsidR="00000000" w:rsidRDefault="00000000">
      <w:pPr>
        <w:autoSpaceDE w:val="0"/>
        <w:autoSpaceDN w:val="0"/>
        <w:spacing w:after="240" w:line="400" w:lineRule="exact"/>
        <w:ind w:firstLine="425"/>
        <w:textAlignment w:val="bottom"/>
      </w:pPr>
    </w:p>
    <w:p w:rsidR="00000000" w:rsidRDefault="00000000">
      <w:pPr>
        <w:autoSpaceDE w:val="0"/>
        <w:autoSpaceDN w:val="0"/>
        <w:spacing w:after="240" w:line="400" w:lineRule="exact"/>
        <w:ind w:firstLine="425"/>
        <w:textAlignment w:val="bottom"/>
      </w:pPr>
    </w:p>
    <w:p w:rsidR="00000000" w:rsidRDefault="00000000">
      <w:pPr>
        <w:autoSpaceDE w:val="0"/>
        <w:autoSpaceDN w:val="0"/>
        <w:spacing w:after="240" w:line="400" w:lineRule="exact"/>
        <w:ind w:firstLine="425"/>
        <w:textAlignment w:val="bottom"/>
      </w:pPr>
    </w:p>
    <w:p w:rsidR="00000000" w:rsidRDefault="00000000">
      <w:pPr>
        <w:autoSpaceDE w:val="0"/>
        <w:autoSpaceDN w:val="0"/>
        <w:spacing w:after="240" w:line="400" w:lineRule="exact"/>
        <w:jc w:val="center"/>
        <w:textAlignment w:val="bottom"/>
        <w:rPr>
          <w:rFonts w:ascii="SimHei" w:eastAsia="SimHei"/>
          <w:sz w:val="28"/>
        </w:rPr>
      </w:pPr>
      <w:r>
        <w:rPr>
          <w:rFonts w:ascii="SimHei" w:eastAsia="SimHei" w:hint="eastAsia"/>
          <w:sz w:val="28"/>
        </w:rPr>
        <w:t>健康作为妇女的一项权利</w:t>
      </w:r>
    </w:p>
    <w:p w:rsidR="00000000" w:rsidRDefault="00000000">
      <w:pPr>
        <w:autoSpaceDE w:val="0"/>
        <w:autoSpaceDN w:val="0"/>
        <w:spacing w:after="240" w:line="400" w:lineRule="exact"/>
        <w:jc w:val="center"/>
        <w:textAlignment w:val="bottom"/>
      </w:pPr>
    </w:p>
    <w:p w:rsidR="00000000" w:rsidRDefault="00000000">
      <w:pPr>
        <w:autoSpaceDE w:val="0"/>
        <w:autoSpaceDN w:val="0"/>
        <w:spacing w:after="240" w:line="400" w:lineRule="exact"/>
        <w:jc w:val="center"/>
        <w:textAlignment w:val="bottom"/>
        <w:rPr>
          <w:rFonts w:ascii="SimHei" w:eastAsia="SimHei"/>
          <w:sz w:val="24"/>
        </w:rPr>
      </w:pPr>
      <w:r>
        <w:rPr>
          <w:rFonts w:ascii="SimHei" w:eastAsia="SimHei" w:hint="eastAsia"/>
          <w:sz w:val="24"/>
        </w:rPr>
        <w:t>《妇女公约》第</w:t>
      </w:r>
      <w:r>
        <w:rPr>
          <w:rFonts w:ascii="SimHei" w:eastAsia="SimHei"/>
          <w:sz w:val="24"/>
        </w:rPr>
        <w:t>12</w:t>
      </w:r>
      <w:r>
        <w:rPr>
          <w:rFonts w:ascii="SimHei" w:eastAsia="SimHei" w:hint="eastAsia"/>
          <w:sz w:val="24"/>
        </w:rPr>
        <w:t>条在荷兰的实施</w:t>
      </w:r>
    </w:p>
    <w:p w:rsidR="00000000" w:rsidRDefault="00000000">
      <w:pPr>
        <w:autoSpaceDE w:val="0"/>
        <w:autoSpaceDN w:val="0"/>
        <w:spacing w:after="240" w:line="400" w:lineRule="exact"/>
        <w:jc w:val="center"/>
        <w:textAlignment w:val="bottom"/>
      </w:pPr>
    </w:p>
    <w:p w:rsidR="00000000" w:rsidRDefault="00000000">
      <w:pPr>
        <w:autoSpaceDE w:val="0"/>
        <w:autoSpaceDN w:val="0"/>
        <w:spacing w:line="400" w:lineRule="exact"/>
        <w:jc w:val="center"/>
        <w:textAlignment w:val="bottom"/>
      </w:pPr>
      <w:r>
        <w:t>Nora Holtrust</w:t>
      </w:r>
    </w:p>
    <w:p w:rsidR="00000000" w:rsidRDefault="00000000">
      <w:pPr>
        <w:autoSpaceDE w:val="0"/>
        <w:autoSpaceDN w:val="0"/>
        <w:spacing w:after="240" w:line="400" w:lineRule="exact"/>
        <w:jc w:val="center"/>
        <w:textAlignment w:val="bottom"/>
      </w:pPr>
      <w:r>
        <w:t>Mieke te Vaarwerk</w:t>
      </w:r>
    </w:p>
    <w:p w:rsidR="00000000" w:rsidRDefault="00000000">
      <w:pPr>
        <w:autoSpaceDE w:val="0"/>
        <w:autoSpaceDN w:val="0"/>
        <w:spacing w:after="240" w:line="400" w:lineRule="exact"/>
        <w:jc w:val="center"/>
        <w:textAlignment w:val="bottom"/>
      </w:pPr>
    </w:p>
    <w:p w:rsidR="00000000" w:rsidRDefault="00000000">
      <w:pPr>
        <w:autoSpaceDE w:val="0"/>
        <w:autoSpaceDN w:val="0"/>
        <w:spacing w:after="240" w:line="400" w:lineRule="exact"/>
        <w:jc w:val="center"/>
        <w:textAlignment w:val="bottom"/>
      </w:pPr>
    </w:p>
    <w:p w:rsidR="00000000" w:rsidRDefault="00000000">
      <w:pPr>
        <w:autoSpaceDE w:val="0"/>
        <w:autoSpaceDN w:val="0"/>
        <w:spacing w:after="240" w:line="400" w:lineRule="exact"/>
        <w:jc w:val="center"/>
        <w:textAlignment w:val="bottom"/>
      </w:pPr>
    </w:p>
    <w:p w:rsidR="00000000" w:rsidRDefault="00000000">
      <w:pPr>
        <w:autoSpaceDE w:val="0"/>
        <w:autoSpaceDN w:val="0"/>
        <w:spacing w:line="400" w:lineRule="exact"/>
        <w:jc w:val="center"/>
        <w:textAlignment w:val="bottom"/>
      </w:pPr>
    </w:p>
    <w:p w:rsidR="00000000" w:rsidRDefault="00000000">
      <w:pPr>
        <w:autoSpaceDE w:val="0"/>
        <w:autoSpaceDN w:val="0"/>
        <w:spacing w:line="400" w:lineRule="exact"/>
        <w:jc w:val="center"/>
        <w:textAlignment w:val="bottom"/>
      </w:pPr>
    </w:p>
    <w:p w:rsidR="00000000" w:rsidRDefault="00000000">
      <w:pPr>
        <w:autoSpaceDE w:val="0"/>
        <w:autoSpaceDN w:val="0"/>
        <w:spacing w:after="240" w:line="400" w:lineRule="exact"/>
        <w:textAlignment w:val="bottom"/>
        <w:rPr>
          <w:rFonts w:ascii="楷体" w:eastAsia="楷体"/>
        </w:rPr>
      </w:pPr>
      <w:r>
        <w:rPr>
          <w:rFonts w:ascii="楷体" w:eastAsia="楷体" w:hint="eastAsia"/>
        </w:rPr>
        <w:t>对第</w:t>
      </w:r>
      <w:r>
        <w:rPr>
          <w:rFonts w:ascii="楷体" w:eastAsia="楷体"/>
        </w:rPr>
        <w:t>12</w:t>
      </w:r>
      <w:r>
        <w:rPr>
          <w:rFonts w:ascii="楷体" w:eastAsia="楷体" w:hint="eastAsia"/>
        </w:rPr>
        <w:t>条在荷兰的意义的深入探讨性研究的摘要</w:t>
      </w:r>
    </w:p>
    <w:p w:rsidR="00000000" w:rsidRDefault="00000000">
      <w:pPr>
        <w:autoSpaceDE w:val="0"/>
        <w:autoSpaceDN w:val="0"/>
        <w:spacing w:line="400" w:lineRule="exact"/>
        <w:textAlignment w:val="bottom"/>
      </w:pPr>
      <w:r>
        <w:t>Utrecht, 1996</w:t>
      </w:r>
      <w:r>
        <w:rPr>
          <w:rFonts w:hint="eastAsia"/>
        </w:rPr>
        <w:t>年</w:t>
      </w:r>
      <w:r>
        <w:t>11</w:t>
      </w:r>
      <w:r>
        <w:rPr>
          <w:rFonts w:hint="eastAsia"/>
        </w:rPr>
        <w:t>月</w:t>
      </w:r>
    </w:p>
    <w:p w:rsidR="00000000" w:rsidRDefault="00000000">
      <w:pPr>
        <w:autoSpaceDE w:val="0"/>
        <w:autoSpaceDN w:val="0"/>
        <w:spacing w:after="240"/>
        <w:textAlignment w:val="bottom"/>
      </w:pPr>
      <w:r>
        <w:br w:type="page"/>
      </w:r>
      <w:r>
        <w:rPr>
          <w:rFonts w:hint="eastAsia"/>
        </w:rPr>
        <w:t>目</w:t>
      </w:r>
      <w:r>
        <w:t xml:space="preserve">  </w:t>
      </w:r>
      <w:r>
        <w:rPr>
          <w:rFonts w:hint="eastAsia"/>
        </w:rPr>
        <w:t>录</w:t>
      </w:r>
    </w:p>
    <w:p w:rsidR="00000000" w:rsidRDefault="00000000">
      <w:pPr>
        <w:autoSpaceDE w:val="0"/>
        <w:autoSpaceDN w:val="0"/>
        <w:spacing w:after="240"/>
        <w:textAlignment w:val="bottom"/>
      </w:pPr>
      <w:r>
        <w:t xml:space="preserve">1.  </w:t>
      </w:r>
      <w:r>
        <w:rPr>
          <w:rFonts w:hint="eastAsia"/>
        </w:rPr>
        <w:t>导言</w:t>
      </w:r>
    </w:p>
    <w:p w:rsidR="00000000" w:rsidRDefault="00000000">
      <w:pPr>
        <w:autoSpaceDE w:val="0"/>
        <w:autoSpaceDN w:val="0"/>
        <w:textAlignment w:val="bottom"/>
      </w:pPr>
      <w:r>
        <w:t xml:space="preserve">2. </w:t>
      </w:r>
      <w:r>
        <w:rPr>
          <w:rFonts w:hint="eastAsia"/>
        </w:rPr>
        <w:t>《妇女公约》第</w:t>
      </w:r>
      <w:r>
        <w:t>12</w:t>
      </w:r>
      <w:r>
        <w:rPr>
          <w:rFonts w:hint="eastAsia"/>
        </w:rPr>
        <w:t>条的意义</w:t>
      </w:r>
    </w:p>
    <w:p w:rsidR="00000000" w:rsidRDefault="00000000">
      <w:pPr>
        <w:autoSpaceDE w:val="0"/>
        <w:autoSpaceDN w:val="0"/>
        <w:textAlignment w:val="bottom"/>
      </w:pPr>
      <w:r>
        <w:t xml:space="preserve">2.1  </w:t>
      </w:r>
      <w:r>
        <w:rPr>
          <w:rFonts w:hint="eastAsia"/>
        </w:rPr>
        <w:t>国际公约</w:t>
      </w:r>
    </w:p>
    <w:p w:rsidR="00000000" w:rsidRDefault="00000000">
      <w:pPr>
        <w:autoSpaceDE w:val="0"/>
        <w:autoSpaceDN w:val="0"/>
        <w:textAlignment w:val="bottom"/>
      </w:pPr>
      <w:r>
        <w:t xml:space="preserve">2.2  </w:t>
      </w:r>
      <w:r>
        <w:rPr>
          <w:rFonts w:hint="eastAsia"/>
        </w:rPr>
        <w:t>消除歧视和平等原则</w:t>
      </w:r>
    </w:p>
    <w:p w:rsidR="00000000" w:rsidRDefault="00000000">
      <w:pPr>
        <w:autoSpaceDE w:val="0"/>
        <w:autoSpaceDN w:val="0"/>
        <w:textAlignment w:val="bottom"/>
      </w:pPr>
      <w:r>
        <w:t xml:space="preserve">2.3  </w:t>
      </w:r>
      <w:r>
        <w:rPr>
          <w:rFonts w:hint="eastAsia"/>
        </w:rPr>
        <w:t>《妇女公约》提供的增值价值</w:t>
      </w:r>
    </w:p>
    <w:p w:rsidR="00000000" w:rsidRDefault="00000000">
      <w:pPr>
        <w:autoSpaceDE w:val="0"/>
        <w:autoSpaceDN w:val="0"/>
        <w:textAlignment w:val="bottom"/>
      </w:pPr>
      <w:r>
        <w:t xml:space="preserve">2.4  </w:t>
      </w:r>
      <w:r>
        <w:rPr>
          <w:rFonts w:hint="eastAsia"/>
        </w:rPr>
        <w:t>健康作为一项权利</w:t>
      </w:r>
    </w:p>
    <w:p w:rsidR="00000000" w:rsidRDefault="00000000">
      <w:pPr>
        <w:autoSpaceDE w:val="0"/>
        <w:autoSpaceDN w:val="0"/>
        <w:textAlignment w:val="bottom"/>
      </w:pPr>
      <w:r>
        <w:t xml:space="preserve">2.5  </w:t>
      </w:r>
      <w:r>
        <w:rPr>
          <w:rFonts w:hint="eastAsia"/>
        </w:rPr>
        <w:t>《妇女公约》的目标</w:t>
      </w:r>
    </w:p>
    <w:p w:rsidR="00000000" w:rsidRDefault="00000000">
      <w:pPr>
        <w:autoSpaceDE w:val="0"/>
        <w:autoSpaceDN w:val="0"/>
        <w:textAlignment w:val="bottom"/>
      </w:pPr>
      <w:r>
        <w:t xml:space="preserve">2.6  </w:t>
      </w:r>
      <w:r>
        <w:rPr>
          <w:rFonts w:hint="eastAsia"/>
        </w:rPr>
        <w:t>三种类型的义务</w:t>
      </w:r>
    </w:p>
    <w:p w:rsidR="00000000" w:rsidRDefault="00000000">
      <w:pPr>
        <w:autoSpaceDE w:val="0"/>
        <w:autoSpaceDN w:val="0"/>
        <w:textAlignment w:val="bottom"/>
      </w:pPr>
      <w:r>
        <w:t xml:space="preserve">2.7  </w:t>
      </w:r>
      <w:r>
        <w:rPr>
          <w:rFonts w:hint="eastAsia"/>
        </w:rPr>
        <w:t>执行</w:t>
      </w:r>
    </w:p>
    <w:p w:rsidR="00000000" w:rsidRDefault="00000000">
      <w:pPr>
        <w:autoSpaceDE w:val="0"/>
        <w:autoSpaceDN w:val="0"/>
        <w:spacing w:after="240"/>
        <w:textAlignment w:val="bottom"/>
      </w:pPr>
      <w:r>
        <w:t xml:space="preserve">2.8  </w:t>
      </w:r>
      <w:r>
        <w:rPr>
          <w:rFonts w:hint="eastAsia"/>
        </w:rPr>
        <w:t>结论</w:t>
      </w:r>
    </w:p>
    <w:p w:rsidR="00000000" w:rsidRDefault="00000000">
      <w:pPr>
        <w:autoSpaceDE w:val="0"/>
        <w:autoSpaceDN w:val="0"/>
        <w:textAlignment w:val="bottom"/>
      </w:pPr>
      <w:r>
        <w:t xml:space="preserve">3.  </w:t>
      </w:r>
      <w:r>
        <w:rPr>
          <w:rFonts w:hint="eastAsia"/>
        </w:rPr>
        <w:t>从法律标准到实际应用</w:t>
      </w:r>
    </w:p>
    <w:p w:rsidR="00000000" w:rsidRDefault="00000000">
      <w:pPr>
        <w:autoSpaceDE w:val="0"/>
        <w:autoSpaceDN w:val="0"/>
        <w:textAlignment w:val="bottom"/>
      </w:pPr>
      <w:r>
        <w:t xml:space="preserve">3.1  </w:t>
      </w:r>
      <w:r>
        <w:rPr>
          <w:rFonts w:hint="eastAsia"/>
        </w:rPr>
        <w:t>性别歧视与健康之间的关系</w:t>
      </w:r>
    </w:p>
    <w:p w:rsidR="00000000" w:rsidRDefault="00000000">
      <w:pPr>
        <w:autoSpaceDE w:val="0"/>
        <w:autoSpaceDN w:val="0"/>
        <w:textAlignment w:val="bottom"/>
      </w:pPr>
      <w:r>
        <w:t xml:space="preserve">3.2  </w:t>
      </w:r>
      <w:r>
        <w:rPr>
          <w:rFonts w:hint="eastAsia"/>
        </w:rPr>
        <w:t>性别歧视和保健质量之间的关系</w:t>
      </w:r>
    </w:p>
    <w:p w:rsidR="00000000" w:rsidRDefault="00000000">
      <w:pPr>
        <w:autoSpaceDE w:val="0"/>
        <w:autoSpaceDN w:val="0"/>
        <w:spacing w:after="240"/>
        <w:textAlignment w:val="bottom"/>
      </w:pPr>
      <w:r>
        <w:t xml:space="preserve">3.3  </w:t>
      </w:r>
      <w:r>
        <w:rPr>
          <w:rFonts w:hint="eastAsia"/>
        </w:rPr>
        <w:t>研究计划</w:t>
      </w:r>
    </w:p>
    <w:p w:rsidR="00000000" w:rsidRDefault="00000000">
      <w:pPr>
        <w:autoSpaceDE w:val="0"/>
        <w:autoSpaceDN w:val="0"/>
        <w:textAlignment w:val="bottom"/>
      </w:pPr>
      <w:r>
        <w:t xml:space="preserve">4.  </w:t>
      </w:r>
      <w:r>
        <w:rPr>
          <w:rFonts w:hint="eastAsia"/>
        </w:rPr>
        <w:t>健康方面的性别差别</w:t>
      </w:r>
    </w:p>
    <w:p w:rsidR="00000000" w:rsidRDefault="00000000">
      <w:pPr>
        <w:autoSpaceDE w:val="0"/>
        <w:autoSpaceDN w:val="0"/>
        <w:textAlignment w:val="bottom"/>
      </w:pPr>
      <w:r>
        <w:t xml:space="preserve">4.1  </w:t>
      </w:r>
      <w:r>
        <w:rPr>
          <w:rFonts w:hint="eastAsia"/>
        </w:rPr>
        <w:t>男女健康状况比较</w:t>
      </w:r>
    </w:p>
    <w:p w:rsidR="00000000" w:rsidRDefault="00000000">
      <w:pPr>
        <w:autoSpaceDE w:val="0"/>
        <w:autoSpaceDN w:val="0"/>
        <w:spacing w:after="240"/>
        <w:textAlignment w:val="bottom"/>
      </w:pPr>
      <w:r>
        <w:t xml:space="preserve">4.2  </w:t>
      </w:r>
      <w:r>
        <w:rPr>
          <w:rFonts w:hint="eastAsia"/>
        </w:rPr>
        <w:t>患病方面性别差别能否避免？</w:t>
      </w:r>
    </w:p>
    <w:p w:rsidR="00000000" w:rsidRDefault="00000000">
      <w:pPr>
        <w:autoSpaceDE w:val="0"/>
        <w:autoSpaceDN w:val="0"/>
        <w:textAlignment w:val="bottom"/>
      </w:pPr>
      <w:r>
        <w:t xml:space="preserve">5  </w:t>
      </w:r>
      <w:r>
        <w:rPr>
          <w:rFonts w:hint="eastAsia"/>
        </w:rPr>
        <w:t>保健质量方面的性别差别</w:t>
      </w:r>
    </w:p>
    <w:p w:rsidR="00000000" w:rsidRDefault="00000000">
      <w:pPr>
        <w:autoSpaceDE w:val="0"/>
        <w:autoSpaceDN w:val="0"/>
        <w:textAlignment w:val="bottom"/>
      </w:pPr>
      <w:r>
        <w:t xml:space="preserve">5.1  </w:t>
      </w:r>
      <w:r>
        <w:rPr>
          <w:rFonts w:hint="eastAsia"/>
        </w:rPr>
        <w:t>预防性保健</w:t>
      </w:r>
    </w:p>
    <w:p w:rsidR="00000000" w:rsidRDefault="00000000">
      <w:pPr>
        <w:autoSpaceDE w:val="0"/>
        <w:autoSpaceDN w:val="0"/>
        <w:textAlignment w:val="bottom"/>
      </w:pPr>
      <w:r>
        <w:t xml:space="preserve">5.2  </w:t>
      </w:r>
      <w:r>
        <w:rPr>
          <w:rFonts w:hint="eastAsia"/>
        </w:rPr>
        <w:t>普通医师提供的保健</w:t>
      </w:r>
    </w:p>
    <w:p w:rsidR="00000000" w:rsidRDefault="00000000">
      <w:pPr>
        <w:autoSpaceDE w:val="0"/>
        <w:autoSpaceDN w:val="0"/>
        <w:textAlignment w:val="bottom"/>
      </w:pPr>
      <w:r>
        <w:t xml:space="preserve">5.3  </w:t>
      </w:r>
      <w:r>
        <w:rPr>
          <w:rFonts w:hint="eastAsia"/>
        </w:rPr>
        <w:t>医疗专家的治疗</w:t>
      </w:r>
    </w:p>
    <w:p w:rsidR="00000000" w:rsidRDefault="00000000">
      <w:pPr>
        <w:autoSpaceDE w:val="0"/>
        <w:autoSpaceDN w:val="0"/>
        <w:textAlignment w:val="bottom"/>
      </w:pPr>
      <w:r>
        <w:t xml:space="preserve">5.4  </w:t>
      </w:r>
      <w:r>
        <w:rPr>
          <w:rFonts w:hint="eastAsia"/>
        </w:rPr>
        <w:t>护理和家庭保健</w:t>
      </w:r>
    </w:p>
    <w:p w:rsidR="00000000" w:rsidRDefault="00000000">
      <w:pPr>
        <w:autoSpaceDE w:val="0"/>
        <w:autoSpaceDN w:val="0"/>
        <w:spacing w:after="240"/>
        <w:textAlignment w:val="bottom"/>
      </w:pPr>
      <w:r>
        <w:t xml:space="preserve">5.5  </w:t>
      </w:r>
      <w:r>
        <w:rPr>
          <w:rFonts w:hint="eastAsia"/>
        </w:rPr>
        <w:t>心理保健</w:t>
      </w:r>
    </w:p>
    <w:p w:rsidR="00000000" w:rsidRDefault="00000000">
      <w:pPr>
        <w:autoSpaceDE w:val="0"/>
        <w:autoSpaceDN w:val="0"/>
        <w:textAlignment w:val="bottom"/>
      </w:pPr>
      <w:r>
        <w:t xml:space="preserve">6  </w:t>
      </w:r>
      <w:r>
        <w:rPr>
          <w:rFonts w:hint="eastAsia"/>
        </w:rPr>
        <w:t>一些主题</w:t>
      </w:r>
    </w:p>
    <w:p w:rsidR="00000000" w:rsidRDefault="00000000">
      <w:pPr>
        <w:autoSpaceDE w:val="0"/>
        <w:autoSpaceDN w:val="0"/>
        <w:textAlignment w:val="bottom"/>
      </w:pPr>
      <w:r>
        <w:t xml:space="preserve">6.1  </w:t>
      </w:r>
      <w:r>
        <w:rPr>
          <w:rFonts w:hint="eastAsia"/>
        </w:rPr>
        <w:t>预防和消除性虐待</w:t>
      </w:r>
    </w:p>
    <w:p w:rsidR="00000000" w:rsidRDefault="00000000">
      <w:pPr>
        <w:autoSpaceDE w:val="0"/>
        <w:autoSpaceDN w:val="0"/>
        <w:spacing w:after="240"/>
        <w:textAlignment w:val="bottom"/>
      </w:pPr>
      <w:r>
        <w:t xml:space="preserve">6.2  </w:t>
      </w:r>
      <w:r>
        <w:rPr>
          <w:rFonts w:hint="eastAsia"/>
        </w:rPr>
        <w:t>保健的财务指导</w:t>
      </w:r>
    </w:p>
    <w:p w:rsidR="00000000" w:rsidRDefault="00000000">
      <w:pPr>
        <w:autoSpaceDE w:val="0"/>
        <w:autoSpaceDN w:val="0"/>
        <w:textAlignment w:val="bottom"/>
      </w:pPr>
      <w:r>
        <w:t xml:space="preserve">7  </w:t>
      </w:r>
      <w:r>
        <w:rPr>
          <w:rFonts w:hint="eastAsia"/>
        </w:rPr>
        <w:t>结论和建议</w:t>
      </w:r>
    </w:p>
    <w:p w:rsidR="00000000" w:rsidRDefault="00000000">
      <w:pPr>
        <w:autoSpaceDE w:val="0"/>
        <w:autoSpaceDN w:val="0"/>
        <w:textAlignment w:val="bottom"/>
      </w:pPr>
      <w:r>
        <w:t xml:space="preserve">7.1  </w:t>
      </w:r>
      <w:r>
        <w:rPr>
          <w:rFonts w:hint="eastAsia"/>
        </w:rPr>
        <w:t>在健康方面有关性别差别的结论</w:t>
      </w:r>
    </w:p>
    <w:p w:rsidR="00000000" w:rsidRDefault="00000000">
      <w:pPr>
        <w:autoSpaceDE w:val="0"/>
        <w:autoSpaceDN w:val="0"/>
        <w:textAlignment w:val="bottom"/>
      </w:pPr>
      <w:r>
        <w:t xml:space="preserve">7.2  </w:t>
      </w:r>
      <w:r>
        <w:rPr>
          <w:rFonts w:hint="eastAsia"/>
        </w:rPr>
        <w:t>关于保健质量的结论</w:t>
      </w:r>
    </w:p>
    <w:p w:rsidR="00000000" w:rsidRDefault="00000000">
      <w:pPr>
        <w:autoSpaceDE w:val="0"/>
        <w:autoSpaceDN w:val="0"/>
        <w:spacing w:after="240"/>
        <w:textAlignment w:val="bottom"/>
      </w:pPr>
      <w:r>
        <w:t xml:space="preserve">7.3  </w:t>
      </w:r>
      <w:r>
        <w:rPr>
          <w:rFonts w:hint="eastAsia"/>
        </w:rPr>
        <w:t>建议</w:t>
      </w:r>
    </w:p>
    <w:p w:rsidR="00000000" w:rsidRDefault="00000000">
      <w:pPr>
        <w:autoSpaceDE w:val="0"/>
        <w:autoSpaceDN w:val="0"/>
        <w:textAlignment w:val="bottom"/>
      </w:pPr>
    </w:p>
    <w:p w:rsidR="00000000" w:rsidRDefault="00000000">
      <w:pPr>
        <w:autoSpaceDE w:val="0"/>
        <w:autoSpaceDN w:val="0"/>
        <w:spacing w:after="240" w:line="400" w:lineRule="exact"/>
        <w:textAlignment w:val="bottom"/>
        <w:rPr>
          <w:rFonts w:ascii="SimHei" w:eastAsia="SimHei"/>
          <w:sz w:val="28"/>
        </w:rPr>
      </w:pPr>
      <w:r>
        <w:br w:type="page"/>
      </w:r>
      <w:r>
        <w:rPr>
          <w:rFonts w:ascii="SimHei" w:eastAsia="SimHei"/>
          <w:sz w:val="28"/>
        </w:rPr>
        <w:t xml:space="preserve">1.  </w:t>
      </w:r>
      <w:r>
        <w:rPr>
          <w:rFonts w:ascii="SimHei" w:eastAsia="SimHei" w:hint="eastAsia"/>
          <w:sz w:val="28"/>
        </w:rPr>
        <w:t>导言</w:t>
      </w:r>
    </w:p>
    <w:p w:rsidR="00000000" w:rsidRDefault="00000000">
      <w:pPr>
        <w:autoSpaceDE w:val="0"/>
        <w:autoSpaceDN w:val="0"/>
        <w:spacing w:after="240" w:line="400" w:lineRule="exact"/>
        <w:ind w:firstLine="425"/>
        <w:textAlignment w:val="bottom"/>
      </w:pPr>
      <w:r>
        <w:rPr>
          <w:rFonts w:hint="eastAsia"/>
        </w:rPr>
        <w:t>自</w:t>
      </w:r>
      <w:r>
        <w:t>1991</w:t>
      </w:r>
      <w:r>
        <w:rPr>
          <w:rFonts w:hint="eastAsia"/>
        </w:rPr>
        <w:t>年以来荷兰一直是联合国《消除对妇女一切形式歧视公约》的缔约国，以下称《妇女公约》。</w:t>
      </w:r>
      <w:r>
        <w:t>1979</w:t>
      </w:r>
      <w:r>
        <w:rPr>
          <w:rFonts w:hint="eastAsia"/>
        </w:rPr>
        <w:t>年联合国大会认可了该公约，它于</w:t>
      </w:r>
      <w:r>
        <w:t>1981</w:t>
      </w:r>
      <w:r>
        <w:rPr>
          <w:rFonts w:hint="eastAsia"/>
        </w:rPr>
        <w:t>年生效。</w:t>
      </w:r>
      <w:r>
        <w:rPr>
          <w:rStyle w:val="FootnoteReference"/>
        </w:rPr>
        <w:footnoteReference w:customMarkFollows="1" w:id="46"/>
        <w:t>1</w:t>
      </w:r>
    </w:p>
    <w:p w:rsidR="00000000" w:rsidRDefault="00000000">
      <w:pPr>
        <w:autoSpaceDE w:val="0"/>
        <w:autoSpaceDN w:val="0"/>
        <w:spacing w:after="240" w:line="400" w:lineRule="exact"/>
        <w:ind w:firstLine="425"/>
        <w:textAlignment w:val="bottom"/>
      </w:pPr>
      <w:r>
        <w:rPr>
          <w:rFonts w:hint="eastAsia"/>
        </w:rPr>
        <w:t>《公约》的目标是消除与男子关系中妇女的隶属地位。《妇女公约》含有诸如歧视定义的一般性条款以及关于健康这类主题的条款。关于打破对妇女（和男子）的陈旧观念的必要性的条款也是重要的。《公约》实际上包括了一个妇女一生能经历的所有公共和个人的领域。在下院审议对《妇女公约》批准行动时，解放政策协调大臣许诺议会将每四年收到一份关于《公约》在荷兰的执行情况的报告。</w:t>
      </w:r>
      <w:r>
        <w:rPr>
          <w:rStyle w:val="FootnoteReference"/>
        </w:rPr>
        <w:footnoteReference w:customMarkFollows="1" w:id="47"/>
        <w:t>2</w:t>
      </w:r>
      <w:r>
        <w:t xml:space="preserve"> </w:t>
      </w:r>
      <w:r>
        <w:rPr>
          <w:rFonts w:hint="eastAsia"/>
        </w:rPr>
        <w:t>这是缔约国报告它们为执行《公约》条款而采取的措施的义务之外的一项承诺。这个报告必须在批准一年后提交给联合国消除对妇女歧视委员会，然后每四年提交一次。荷兰的第一次报告是</w:t>
      </w:r>
      <w:r>
        <w:t>1992</w:t>
      </w:r>
      <w:r>
        <w:rPr>
          <w:rFonts w:hint="eastAsia"/>
        </w:rPr>
        <w:t>年底发表的，并于次年提交给了消除对妇女歧视委员会。</w:t>
      </w:r>
      <w:r>
        <w:rPr>
          <w:rStyle w:val="FootnoteReference"/>
        </w:rPr>
        <w:footnoteReference w:customMarkFollows="1" w:id="48"/>
        <w:t>3</w:t>
      </w:r>
      <w:r>
        <w:t xml:space="preserve"> </w:t>
      </w:r>
    </w:p>
    <w:p w:rsidR="00000000" w:rsidRDefault="00000000">
      <w:pPr>
        <w:autoSpaceDE w:val="0"/>
        <w:autoSpaceDN w:val="0"/>
        <w:spacing w:after="240" w:line="400" w:lineRule="exact"/>
        <w:ind w:firstLine="425"/>
        <w:textAlignment w:val="bottom"/>
      </w:pPr>
      <w:r>
        <w:rPr>
          <w:rFonts w:hint="eastAsia"/>
        </w:rPr>
        <w:t>在一项有关的措施中社会和就业大臣和解放政策协调大臣决定定期深入研究各分地区《公约》的执行情况。这项研究也是为了推动在更大范围内对这个题目的讨论。</w:t>
      </w:r>
    </w:p>
    <w:p w:rsidR="00000000" w:rsidRDefault="00000000">
      <w:pPr>
        <w:autoSpaceDE w:val="0"/>
        <w:autoSpaceDN w:val="0"/>
        <w:spacing w:after="240" w:line="400" w:lineRule="exact"/>
        <w:ind w:firstLine="425"/>
        <w:textAlignment w:val="bottom"/>
      </w:pPr>
      <w:r>
        <w:rPr>
          <w:rFonts w:hint="eastAsia"/>
        </w:rPr>
        <w:t>因此，社会和就业大臣在</w:t>
      </w:r>
      <w:r>
        <w:t>1994</w:t>
      </w:r>
      <w:r>
        <w:rPr>
          <w:rFonts w:hint="eastAsia"/>
        </w:rPr>
        <w:t>年</w:t>
      </w:r>
      <w:r>
        <w:t>11</w:t>
      </w:r>
      <w:r>
        <w:rPr>
          <w:rFonts w:hint="eastAsia"/>
        </w:rPr>
        <w:t>月</w:t>
      </w:r>
      <w:r>
        <w:t>17</w:t>
      </w:r>
      <w:r>
        <w:rPr>
          <w:rFonts w:hint="eastAsia"/>
        </w:rPr>
        <w:t>日委托对《妇女公约》第</w:t>
      </w:r>
      <w:r>
        <w:t>12</w:t>
      </w:r>
      <w:r>
        <w:rPr>
          <w:rFonts w:hint="eastAsia"/>
        </w:rPr>
        <w:t>条在荷兰的意义进行一次探讨性研究。《公约》这一条要求各国采取一切适当措施消除保健领域中对妇女的歧视。这项研究的报告出版时的题目为‘《妇女公约》第</w:t>
      </w:r>
      <w:r>
        <w:t>12</w:t>
      </w:r>
      <w:r>
        <w:rPr>
          <w:rFonts w:hint="eastAsia"/>
        </w:rPr>
        <w:t>条在荷兰的意义：健康是一项权利’。</w:t>
      </w:r>
      <w:r>
        <w:rPr>
          <w:rStyle w:val="FootnoteReference"/>
        </w:rPr>
        <w:footnoteReference w:customMarkFollows="1" w:id="49"/>
        <w:t>4</w:t>
      </w:r>
      <w:r>
        <w:t xml:space="preserve"> </w:t>
      </w:r>
      <w:r>
        <w:rPr>
          <w:rFonts w:hint="eastAsia"/>
        </w:rPr>
        <w:t>目前的文本是该报告的摘要。</w:t>
      </w:r>
      <w:r>
        <w:rPr>
          <w:rStyle w:val="FootnoteReference"/>
        </w:rPr>
        <w:footnoteReference w:customMarkFollows="1" w:id="50"/>
        <w:t>5</w:t>
      </w:r>
      <w:r>
        <w:t xml:space="preserve"> </w:t>
      </w:r>
    </w:p>
    <w:p w:rsidR="00000000" w:rsidRDefault="00000000">
      <w:pPr>
        <w:autoSpaceDE w:val="0"/>
        <w:autoSpaceDN w:val="0"/>
        <w:spacing w:after="240" w:line="400" w:lineRule="exact"/>
        <w:textAlignment w:val="bottom"/>
        <w:rPr>
          <w:rFonts w:ascii="楷体" w:eastAsia="楷体"/>
        </w:rPr>
      </w:pPr>
      <w:r>
        <w:rPr>
          <w:rFonts w:ascii="楷体" w:eastAsia="楷体" w:hint="eastAsia"/>
        </w:rPr>
        <w:t>背景</w:t>
      </w:r>
    </w:p>
    <w:p w:rsidR="00000000" w:rsidRDefault="00000000">
      <w:pPr>
        <w:autoSpaceDE w:val="0"/>
        <w:autoSpaceDN w:val="0"/>
        <w:spacing w:after="240" w:line="400" w:lineRule="exact"/>
        <w:ind w:firstLine="425"/>
        <w:textAlignment w:val="bottom"/>
      </w:pPr>
      <w:r>
        <w:rPr>
          <w:rFonts w:hint="eastAsia"/>
        </w:rPr>
        <w:t>从通常称之为‘第二次女性浪潮’的第一年开始，妇女健康运动就要求关注对待妇女健康和妇女保健的另一种办法。由于妇女健康运动的努力，人们开始考虑妇女生活在其中的社会环境和她们的健康之间的关</w:t>
      </w:r>
      <w:r>
        <w:t xml:space="preserve">  </w:t>
      </w:r>
      <w:r>
        <w:rPr>
          <w:rFonts w:hint="eastAsia"/>
        </w:rPr>
        <w:t>系。</w:t>
      </w:r>
      <w:r>
        <w:rPr>
          <w:rStyle w:val="FootnoteReference"/>
        </w:rPr>
        <w:footnoteReference w:customMarkFollows="1" w:id="51"/>
        <w:t>6</w:t>
      </w:r>
      <w:r>
        <w:t xml:space="preserve"> </w:t>
      </w:r>
    </w:p>
    <w:p w:rsidR="00000000" w:rsidRDefault="00000000">
      <w:pPr>
        <w:autoSpaceDE w:val="0"/>
        <w:autoSpaceDN w:val="0"/>
        <w:spacing w:after="240" w:line="400" w:lineRule="exact"/>
        <w:ind w:firstLine="425"/>
        <w:textAlignment w:val="bottom"/>
      </w:pPr>
      <w:r>
        <w:rPr>
          <w:rFonts w:hint="eastAsia"/>
        </w:rPr>
        <w:t>显然，一些与性别有关的疾病与健康方面的差别长期以来未被人们注意，而一系列健康问题在妇女中比在男子中更为不相称地普遍存在（反过来也一样）。这种差别不能自动追溯到生物因素。影响妇女生活和健康的情感、社会经济和政治因素也需要加以考虑。</w:t>
      </w:r>
      <w:r>
        <w:rPr>
          <w:rStyle w:val="FootnoteReference"/>
        </w:rPr>
        <w:footnoteReference w:customMarkFollows="1" w:id="52"/>
        <w:t>7</w:t>
      </w:r>
      <w:r>
        <w:t xml:space="preserve"> </w:t>
      </w:r>
      <w:r>
        <w:rPr>
          <w:rFonts w:hint="eastAsia"/>
        </w:rPr>
        <w:t>总之，健康问题包括一系列主题。出现了标准保健是否足够重视在健康方面有关性别的问题。</w:t>
      </w:r>
    </w:p>
    <w:p w:rsidR="00000000" w:rsidRDefault="00000000">
      <w:pPr>
        <w:autoSpaceDE w:val="0"/>
        <w:autoSpaceDN w:val="0"/>
        <w:spacing w:after="240" w:line="400" w:lineRule="exact"/>
        <w:ind w:firstLine="425"/>
        <w:textAlignment w:val="bottom"/>
      </w:pPr>
      <w:r>
        <w:rPr>
          <w:rFonts w:hint="eastAsia"/>
        </w:rPr>
        <w:t>这项研究的目的是帮助了解《妇女公约》，增加《公约》对保健政策和制订法律的实际意义。为了达到这个目的，有必要把该公约规定的荷兰的义务从适用于国际法的抽象用语转变为适用于国家一级的用语。如果把对该公约规定的各种义务的意义的法律论述和关于妇女如何受到荷兰的各种形式的政府政策，包括解放政策的影响的全国性讨论衔接起来，《妇女公约》会变得更加重要。</w:t>
      </w:r>
      <w:r>
        <w:rPr>
          <w:rStyle w:val="FootnoteReference"/>
        </w:rPr>
        <w:footnoteReference w:customMarkFollows="1" w:id="53"/>
        <w:t>8</w:t>
      </w:r>
      <w:r>
        <w:t xml:space="preserve"> </w:t>
      </w:r>
      <w:r>
        <w:rPr>
          <w:rFonts w:hint="eastAsia"/>
        </w:rPr>
        <w:t>在对《妇女公约》第</w:t>
      </w:r>
      <w:r>
        <w:t>12</w:t>
      </w:r>
      <w:r>
        <w:rPr>
          <w:rFonts w:hint="eastAsia"/>
        </w:rPr>
        <w:t>条在荷兰的意义的研究过程中这个概念始终是一种重要的看法。</w:t>
      </w:r>
    </w:p>
    <w:p w:rsidR="00000000" w:rsidRDefault="00000000">
      <w:pPr>
        <w:autoSpaceDE w:val="0"/>
        <w:autoSpaceDN w:val="0"/>
        <w:spacing w:after="240" w:line="400" w:lineRule="exact"/>
        <w:textAlignment w:val="bottom"/>
      </w:pPr>
      <w:r>
        <w:rPr>
          <w:rFonts w:hint="eastAsia"/>
        </w:rPr>
        <w:t>问题的阐述分为两组：</w:t>
      </w:r>
    </w:p>
    <w:p w:rsidR="00000000" w:rsidRDefault="00000000">
      <w:pPr>
        <w:numPr>
          <w:ilvl w:val="0"/>
          <w:numId w:val="11"/>
        </w:numPr>
        <w:autoSpaceDE w:val="0"/>
        <w:autoSpaceDN w:val="0"/>
        <w:spacing w:after="240" w:line="400" w:lineRule="exact"/>
        <w:ind w:left="960" w:hanging="535"/>
        <w:textAlignment w:val="bottom"/>
      </w:pPr>
      <w:r>
        <w:rPr>
          <w:rFonts w:hint="eastAsia"/>
        </w:rPr>
        <w:t>《妇女公约》第</w:t>
      </w:r>
      <w:r>
        <w:t>12</w:t>
      </w:r>
      <w:r>
        <w:rPr>
          <w:rFonts w:hint="eastAsia"/>
        </w:rPr>
        <w:t>条需要承担什么义务？</w:t>
      </w:r>
    </w:p>
    <w:p w:rsidR="00000000" w:rsidRDefault="00000000">
      <w:pPr>
        <w:numPr>
          <w:ilvl w:val="0"/>
          <w:numId w:val="11"/>
        </w:numPr>
        <w:autoSpaceDE w:val="0"/>
        <w:autoSpaceDN w:val="0"/>
        <w:spacing w:after="240" w:line="400" w:lineRule="exact"/>
        <w:ind w:left="960" w:hanging="535"/>
        <w:textAlignment w:val="bottom"/>
      </w:pPr>
      <w:r>
        <w:rPr>
          <w:rFonts w:hint="eastAsia"/>
        </w:rPr>
        <w:t>《妇女公约》对荷兰意味着什么？</w:t>
      </w:r>
    </w:p>
    <w:p w:rsidR="00000000" w:rsidRDefault="00000000">
      <w:pPr>
        <w:numPr>
          <w:ilvl w:val="0"/>
          <w:numId w:val="11"/>
        </w:numPr>
        <w:autoSpaceDE w:val="0"/>
        <w:autoSpaceDN w:val="0"/>
        <w:spacing w:after="240" w:line="400" w:lineRule="exact"/>
        <w:ind w:left="960" w:hanging="535"/>
        <w:textAlignment w:val="bottom"/>
      </w:pPr>
      <w:r>
        <w:rPr>
          <w:rFonts w:hint="eastAsia"/>
        </w:rPr>
        <w:t>妇女（和男子）在多大程度上享有健康（和保建）权利？</w:t>
      </w:r>
    </w:p>
    <w:p w:rsidR="00000000" w:rsidRDefault="00000000">
      <w:pPr>
        <w:numPr>
          <w:ilvl w:val="0"/>
          <w:numId w:val="11"/>
        </w:numPr>
        <w:autoSpaceDE w:val="0"/>
        <w:autoSpaceDN w:val="0"/>
        <w:spacing w:after="240" w:line="400" w:lineRule="exact"/>
        <w:ind w:left="960" w:hanging="535"/>
        <w:textAlignment w:val="bottom"/>
      </w:pPr>
      <w:r>
        <w:rPr>
          <w:rFonts w:hint="eastAsia"/>
        </w:rPr>
        <w:t>与《宪法》和国际公约相比对于荷兰法律体系来说《妇女公约》第</w:t>
      </w:r>
      <w:r>
        <w:t>12</w:t>
      </w:r>
      <w:r>
        <w:rPr>
          <w:rFonts w:hint="eastAsia"/>
        </w:rPr>
        <w:t>条有哪些增值价值？</w:t>
      </w:r>
    </w:p>
    <w:p w:rsidR="00000000" w:rsidRDefault="00000000">
      <w:pPr>
        <w:numPr>
          <w:ilvl w:val="0"/>
          <w:numId w:val="11"/>
        </w:numPr>
        <w:autoSpaceDE w:val="0"/>
        <w:autoSpaceDN w:val="0"/>
        <w:spacing w:after="240" w:line="400" w:lineRule="exact"/>
        <w:ind w:left="960" w:hanging="535"/>
        <w:textAlignment w:val="bottom"/>
      </w:pPr>
      <w:r>
        <w:rPr>
          <w:rFonts w:hint="eastAsia"/>
        </w:rPr>
        <w:t>按照比较的观点，特别是比较法的观点，《妇女公约》第</w:t>
      </w:r>
      <w:r>
        <w:t>12</w:t>
      </w:r>
      <w:r>
        <w:rPr>
          <w:rFonts w:hint="eastAsia"/>
        </w:rPr>
        <w:t>条有什么价值。其他西方国家是如何履行与《公约》第</w:t>
      </w:r>
      <w:r>
        <w:t>12</w:t>
      </w:r>
      <w:r>
        <w:rPr>
          <w:rFonts w:hint="eastAsia"/>
        </w:rPr>
        <w:t>条有关的向消除对妇女歧视委员会报告的义务的？</w:t>
      </w:r>
    </w:p>
    <w:p w:rsidR="00000000" w:rsidRDefault="00000000">
      <w:pPr>
        <w:numPr>
          <w:ilvl w:val="0"/>
          <w:numId w:val="11"/>
        </w:numPr>
        <w:autoSpaceDE w:val="0"/>
        <w:autoSpaceDN w:val="0"/>
        <w:spacing w:after="240" w:line="400" w:lineRule="exact"/>
        <w:ind w:left="960" w:hanging="535"/>
        <w:textAlignment w:val="bottom"/>
      </w:pPr>
      <w:r>
        <w:rPr>
          <w:rFonts w:hint="eastAsia"/>
        </w:rPr>
        <w:t>荷兰妇女的健康状况如何？</w:t>
      </w:r>
    </w:p>
    <w:p w:rsidR="00000000" w:rsidRDefault="00000000">
      <w:pPr>
        <w:numPr>
          <w:ilvl w:val="0"/>
          <w:numId w:val="11"/>
        </w:numPr>
        <w:autoSpaceDE w:val="0"/>
        <w:autoSpaceDN w:val="0"/>
        <w:spacing w:after="240" w:line="400" w:lineRule="exact"/>
        <w:ind w:left="960" w:hanging="535"/>
        <w:textAlignment w:val="bottom"/>
      </w:pPr>
      <w:r>
        <w:rPr>
          <w:rFonts w:hint="eastAsia"/>
        </w:rPr>
        <w:t>从</w:t>
      </w:r>
      <w:r>
        <w:t xml:space="preserve">1991 </w:t>
      </w:r>
      <w:r>
        <w:rPr>
          <w:rFonts w:hint="eastAsia"/>
        </w:rPr>
        <w:t>年到</w:t>
      </w:r>
      <w:r>
        <w:t>1995</w:t>
      </w:r>
      <w:r>
        <w:rPr>
          <w:rFonts w:hint="eastAsia"/>
        </w:rPr>
        <w:t>年与男子健康状况相比妇女健康状况如何？何种因素可以解释这些与性别有关的健康差别？</w:t>
      </w:r>
    </w:p>
    <w:p w:rsidR="00000000" w:rsidRDefault="00000000">
      <w:pPr>
        <w:numPr>
          <w:ilvl w:val="0"/>
          <w:numId w:val="11"/>
        </w:numPr>
        <w:autoSpaceDE w:val="0"/>
        <w:autoSpaceDN w:val="0"/>
        <w:spacing w:after="240" w:line="400" w:lineRule="exact"/>
        <w:ind w:left="960" w:hanging="535"/>
        <w:textAlignment w:val="bottom"/>
      </w:pPr>
      <w:r>
        <w:rPr>
          <w:rFonts w:hint="eastAsia"/>
        </w:rPr>
        <w:t>包括获得保健的可能性在内的妇女保健质量如何？</w:t>
      </w:r>
    </w:p>
    <w:p w:rsidR="00000000" w:rsidRDefault="00000000">
      <w:pPr>
        <w:numPr>
          <w:ilvl w:val="0"/>
          <w:numId w:val="11"/>
        </w:numPr>
        <w:autoSpaceDE w:val="0"/>
        <w:autoSpaceDN w:val="0"/>
        <w:spacing w:after="240" w:line="400" w:lineRule="exact"/>
        <w:ind w:left="960" w:hanging="535"/>
        <w:textAlignment w:val="bottom"/>
      </w:pPr>
      <w:r>
        <w:rPr>
          <w:rFonts w:hint="eastAsia"/>
        </w:rPr>
        <w:t>这些问题对与《妇女公约》第</w:t>
      </w:r>
      <w:r>
        <w:t>12</w:t>
      </w:r>
      <w:r>
        <w:rPr>
          <w:rFonts w:hint="eastAsia"/>
        </w:rPr>
        <w:t>条有关的健康（和保健）政策有些什么影响？</w:t>
      </w:r>
    </w:p>
    <w:p w:rsidR="00000000" w:rsidRDefault="00000000">
      <w:pPr>
        <w:autoSpaceDE w:val="0"/>
        <w:autoSpaceDN w:val="0"/>
        <w:spacing w:after="240" w:line="400" w:lineRule="exact"/>
        <w:textAlignment w:val="bottom"/>
        <w:rPr>
          <w:rFonts w:ascii="楷体" w:eastAsia="楷体"/>
        </w:rPr>
      </w:pPr>
    </w:p>
    <w:p w:rsidR="00000000" w:rsidRDefault="00000000">
      <w:pPr>
        <w:autoSpaceDE w:val="0"/>
        <w:autoSpaceDN w:val="0"/>
        <w:spacing w:after="240" w:line="400" w:lineRule="exact"/>
        <w:textAlignment w:val="bottom"/>
        <w:rPr>
          <w:rFonts w:ascii="楷体" w:eastAsia="楷体"/>
        </w:rPr>
      </w:pPr>
      <w:r>
        <w:rPr>
          <w:rFonts w:ascii="楷体" w:eastAsia="楷体" w:hint="eastAsia"/>
        </w:rPr>
        <w:t>限制</w:t>
      </w:r>
    </w:p>
    <w:p w:rsidR="00000000" w:rsidRDefault="00000000">
      <w:pPr>
        <w:autoSpaceDE w:val="0"/>
        <w:autoSpaceDN w:val="0"/>
        <w:spacing w:after="240" w:line="400" w:lineRule="exact"/>
        <w:ind w:firstLine="425"/>
        <w:textAlignment w:val="bottom"/>
      </w:pPr>
      <w:r>
        <w:rPr>
          <w:rFonts w:hint="eastAsia"/>
        </w:rPr>
        <w:t>本文本主要集中论述第二组问题：对荷兰妇女的健康及保健业务的调查研究。治疗性保健、预防、专业保健和非正规保健都属这一类。考虑到这一领域范围很广，有必要作出某些限制。仅对标准身体和精神保健中的主要领域加以说明。这一评价的主题涉及对妇女保健的批评。但是妇女保健本身并不是研究的主题。调查研究的内容是标准保健如何考虑到妇女，如何对待她们。</w:t>
      </w:r>
    </w:p>
    <w:p w:rsidR="00000000" w:rsidRDefault="00000000">
      <w:pPr>
        <w:autoSpaceDE w:val="0"/>
        <w:autoSpaceDN w:val="0"/>
        <w:spacing w:after="240" w:line="400" w:lineRule="exact"/>
        <w:ind w:firstLine="425"/>
        <w:textAlignment w:val="bottom"/>
      </w:pPr>
      <w:r>
        <w:rPr>
          <w:rFonts w:hint="eastAsia"/>
        </w:rPr>
        <w:t>在增加到原来的调查研究中的三个选题中仅有论述性虐待和保健财务管理两个题目载入本文本。关于题为“妊娠和分娩期的医疗”的主题，请读者参阅本作者写的论文。</w:t>
      </w:r>
      <w:r>
        <w:rPr>
          <w:rStyle w:val="FootnoteReference"/>
        </w:rPr>
        <w:footnoteReference w:customMarkFollows="1" w:id="54"/>
        <w:t>9</w:t>
      </w:r>
      <w:r>
        <w:t xml:space="preserve"> </w:t>
      </w:r>
    </w:p>
    <w:p w:rsidR="00000000" w:rsidRDefault="00000000">
      <w:pPr>
        <w:autoSpaceDE w:val="0"/>
        <w:autoSpaceDN w:val="0"/>
        <w:spacing w:after="240" w:line="400" w:lineRule="exact"/>
        <w:ind w:firstLine="425"/>
        <w:textAlignment w:val="bottom"/>
      </w:pPr>
      <w:r>
        <w:rPr>
          <w:rFonts w:hint="eastAsia"/>
        </w:rPr>
        <w:t>在说明保健业务之前，我们将讨论一下国际公约中所含义务对荷兰的重要意义以及《妇女公约》作为它们中一部分的地位。最后，我们将对《妇女公约》本身作一全面说明。</w:t>
      </w:r>
    </w:p>
    <w:p w:rsidR="00000000" w:rsidRDefault="00000000">
      <w:pPr>
        <w:autoSpaceDE w:val="0"/>
        <w:autoSpaceDN w:val="0"/>
        <w:spacing w:after="240" w:line="400" w:lineRule="exact"/>
        <w:textAlignment w:val="bottom"/>
        <w:rPr>
          <w:rFonts w:ascii="SimHei" w:eastAsia="SimHei"/>
          <w:sz w:val="28"/>
        </w:rPr>
      </w:pPr>
      <w:r>
        <w:br w:type="page"/>
      </w:r>
      <w:r>
        <w:rPr>
          <w:rFonts w:ascii="SimHei" w:eastAsia="SimHei"/>
          <w:sz w:val="28"/>
        </w:rPr>
        <w:t xml:space="preserve">2.  </w:t>
      </w:r>
      <w:r>
        <w:rPr>
          <w:rFonts w:ascii="SimHei" w:eastAsia="SimHei" w:hint="eastAsia"/>
          <w:sz w:val="28"/>
        </w:rPr>
        <w:t>《妇女公约》第</w:t>
      </w:r>
      <w:r>
        <w:rPr>
          <w:rFonts w:ascii="SimHei" w:eastAsia="SimHei"/>
          <w:sz w:val="28"/>
        </w:rPr>
        <w:t>12</w:t>
      </w:r>
      <w:r>
        <w:rPr>
          <w:rFonts w:ascii="SimHei" w:eastAsia="SimHei" w:hint="eastAsia"/>
          <w:sz w:val="28"/>
        </w:rPr>
        <w:t>条的意义</w:t>
      </w:r>
    </w:p>
    <w:p w:rsidR="00000000" w:rsidRDefault="00000000">
      <w:pPr>
        <w:autoSpaceDE w:val="0"/>
        <w:autoSpaceDN w:val="0"/>
        <w:spacing w:after="240" w:line="400" w:lineRule="exact"/>
        <w:textAlignment w:val="bottom"/>
        <w:rPr>
          <w:rFonts w:ascii="SimHei" w:eastAsia="SimHei"/>
          <w:sz w:val="24"/>
        </w:rPr>
      </w:pPr>
      <w:r>
        <w:rPr>
          <w:rFonts w:ascii="SimHei" w:eastAsia="SimHei"/>
          <w:sz w:val="24"/>
        </w:rPr>
        <w:t xml:space="preserve">2.1  </w:t>
      </w:r>
      <w:r>
        <w:rPr>
          <w:rFonts w:ascii="SimHei" w:eastAsia="SimHei" w:hint="eastAsia"/>
          <w:sz w:val="24"/>
        </w:rPr>
        <w:t>国际公约</w:t>
      </w:r>
    </w:p>
    <w:p w:rsidR="00000000" w:rsidRDefault="00000000">
      <w:pPr>
        <w:autoSpaceDE w:val="0"/>
        <w:autoSpaceDN w:val="0"/>
        <w:spacing w:after="240" w:line="400" w:lineRule="exact"/>
        <w:ind w:firstLine="425"/>
        <w:textAlignment w:val="bottom"/>
      </w:pPr>
      <w:r>
        <w:rPr>
          <w:rFonts w:hint="eastAsia"/>
        </w:rPr>
        <w:t>《妇女公约》是一项旨在加强全世界妇女地位的国际条约。《维也纳国际条约法公约》（</w:t>
      </w:r>
      <w:r>
        <w:t>1969</w:t>
      </w:r>
      <w:r>
        <w:rPr>
          <w:rFonts w:hint="eastAsia"/>
        </w:rPr>
        <w:t>年）要求国为真诚执行公约。但是一个国家自己的宪法规定了它履行义务的方法。</w:t>
      </w:r>
      <w:r>
        <w:rPr>
          <w:rStyle w:val="FootnoteReference"/>
        </w:rPr>
        <w:footnoteReference w:customMarkFollows="1" w:id="55"/>
        <w:t>10</w:t>
      </w:r>
      <w:r>
        <w:rPr>
          <w:rFonts w:hint="eastAsia"/>
        </w:rPr>
        <w:t>在荷兰一个公民可以援引一项公约，即使该公约并未（尚未）成为本国法。重要的是该公约的条款是否有直接适用性。</w:t>
      </w:r>
    </w:p>
    <w:p w:rsidR="00000000" w:rsidRDefault="00000000">
      <w:pPr>
        <w:autoSpaceDE w:val="0"/>
        <w:autoSpaceDN w:val="0"/>
        <w:spacing w:after="240" w:line="400" w:lineRule="exact"/>
        <w:ind w:firstLine="425"/>
        <w:textAlignment w:val="bottom"/>
      </w:pPr>
      <w:r>
        <w:rPr>
          <w:rFonts w:hint="eastAsia"/>
        </w:rPr>
        <w:t>直接适用性意味着与适用于各国的公约条款不同，荷兰公民可从一条中直接享有权利。</w:t>
      </w:r>
      <w:r>
        <w:rPr>
          <w:rStyle w:val="FootnoteReference"/>
        </w:rPr>
        <w:footnoteReference w:customMarkFollows="1" w:id="56"/>
        <w:t>11</w:t>
      </w:r>
      <w:r>
        <w:rPr>
          <w:rFonts w:hint="eastAsia"/>
        </w:rPr>
        <w:t>在荷兰决定某一公约的条款是否可以直接应用的不是立法者而是法官。</w:t>
      </w:r>
      <w:r>
        <w:rPr>
          <w:rStyle w:val="FootnoteReference"/>
        </w:rPr>
        <w:footnoteReference w:customMarkFollows="1" w:id="57"/>
        <w:t>12</w:t>
      </w:r>
      <w:r>
        <w:rPr>
          <w:rFonts w:hint="eastAsia"/>
        </w:rPr>
        <w:t>当某条没有直接适用性，但立法者未能按相关公约对法律进行调整时，法官也可以宣布某公约的某条款是可应用的。</w:t>
      </w:r>
      <w:r>
        <w:rPr>
          <w:rStyle w:val="FootnoteReference"/>
        </w:rPr>
        <w:footnoteReference w:customMarkFollows="1" w:id="58"/>
        <w:t>13</w:t>
      </w:r>
    </w:p>
    <w:p w:rsidR="00000000" w:rsidRDefault="00000000">
      <w:pPr>
        <w:autoSpaceDE w:val="0"/>
        <w:autoSpaceDN w:val="0"/>
        <w:spacing w:after="240" w:line="400" w:lineRule="exact"/>
        <w:ind w:firstLine="425"/>
        <w:textAlignment w:val="bottom"/>
      </w:pPr>
      <w:r>
        <w:rPr>
          <w:rFonts w:hint="eastAsia"/>
        </w:rPr>
        <w:t>《妇女公约》包括制约一国政府与全体人口之间关系中最基本权利的人权。</w:t>
      </w:r>
      <w:r>
        <w:rPr>
          <w:rStyle w:val="FootnoteReference"/>
        </w:rPr>
        <w:footnoteReference w:customMarkFollows="1" w:id="59"/>
        <w:t>14</w:t>
      </w:r>
      <w:r>
        <w:rPr>
          <w:rFonts w:hint="eastAsia"/>
        </w:rPr>
        <w:t>绝大多数公约不是涉及天赋权利就是涉及公民权利，或是基本社会权利。仍然对天赋和社会人权加以区分在目前是大大过时了。</w:t>
      </w:r>
      <w:r>
        <w:rPr>
          <w:rStyle w:val="FootnoteReference"/>
        </w:rPr>
        <w:footnoteReference w:customMarkFollows="1" w:id="60"/>
        <w:t>15</w:t>
      </w:r>
      <w:r>
        <w:t xml:space="preserve"> </w:t>
      </w:r>
      <w:r>
        <w:rPr>
          <w:rFonts w:hint="eastAsia"/>
        </w:rPr>
        <w:t>按照</w:t>
      </w:r>
      <w:r>
        <w:t>1993</w:t>
      </w:r>
      <w:r>
        <w:rPr>
          <w:rFonts w:hint="eastAsia"/>
        </w:rPr>
        <w:t>年联合国维也纳人权会议，人权应看成是与互相之间相互依存不可分割的。</w:t>
      </w:r>
      <w:r>
        <w:rPr>
          <w:rStyle w:val="FootnoteReference"/>
        </w:rPr>
        <w:footnoteReference w:customMarkFollows="1" w:id="61"/>
        <w:t>16</w:t>
      </w:r>
    </w:p>
    <w:p w:rsidR="00000000" w:rsidRDefault="00000000">
      <w:pPr>
        <w:autoSpaceDE w:val="0"/>
        <w:autoSpaceDN w:val="0"/>
        <w:spacing w:after="240" w:line="400" w:lineRule="exact"/>
        <w:ind w:firstLine="425"/>
        <w:textAlignment w:val="bottom"/>
      </w:pPr>
      <w:r>
        <w:rPr>
          <w:rFonts w:hint="eastAsia"/>
        </w:rPr>
        <w:t>起初，人权被看成主要是个人与政府关系中享有的权利。如今人们更多地注重个人与个人之间权力的不平衡，因此人权也适用于人口成员之间的关系。既然如此，有人就提到人权的横向作用。</w:t>
      </w:r>
      <w:r>
        <w:rPr>
          <w:rStyle w:val="FootnoteReference"/>
        </w:rPr>
        <w:footnoteReference w:customMarkFollows="1" w:id="62"/>
        <w:t>17</w:t>
      </w:r>
      <w:r>
        <w:t xml:space="preserve"> </w:t>
      </w:r>
    </w:p>
    <w:p w:rsidR="00000000" w:rsidRDefault="00000000">
      <w:pPr>
        <w:autoSpaceDE w:val="0"/>
        <w:autoSpaceDN w:val="0"/>
        <w:spacing w:after="240" w:line="400" w:lineRule="exact"/>
        <w:textAlignment w:val="bottom"/>
        <w:rPr>
          <w:rFonts w:ascii="SimHei" w:eastAsia="SimHei"/>
          <w:sz w:val="24"/>
        </w:rPr>
      </w:pPr>
      <w:r>
        <w:rPr>
          <w:rFonts w:ascii="SimHei" w:eastAsia="SimHei"/>
          <w:sz w:val="24"/>
        </w:rPr>
        <w:t xml:space="preserve">2.2  </w:t>
      </w:r>
      <w:r>
        <w:rPr>
          <w:rFonts w:ascii="SimHei" w:eastAsia="SimHei" w:hint="eastAsia"/>
          <w:sz w:val="24"/>
        </w:rPr>
        <w:t>消除歧视和平等原则</w:t>
      </w:r>
    </w:p>
    <w:p w:rsidR="00000000" w:rsidRDefault="00000000">
      <w:pPr>
        <w:autoSpaceDE w:val="0"/>
        <w:autoSpaceDN w:val="0"/>
        <w:spacing w:after="240" w:line="400" w:lineRule="exact"/>
        <w:ind w:firstLine="425"/>
        <w:textAlignment w:val="bottom"/>
      </w:pPr>
      <w:r>
        <w:rPr>
          <w:rFonts w:hint="eastAsia"/>
        </w:rPr>
        <w:t>按照《妇女公约》的名称及其序言，消除对妇女一切形式歧视是《公约》的主要目标。按照定义歧视并不是男女平等待遇的反义词。</w:t>
      </w:r>
      <w:r>
        <w:rPr>
          <w:rStyle w:val="FootnoteReference"/>
        </w:rPr>
        <w:footnoteReference w:customMarkFollows="1" w:id="63"/>
        <w:t>18</w:t>
      </w:r>
      <w:r>
        <w:t xml:space="preserve">  </w:t>
      </w:r>
      <w:r>
        <w:rPr>
          <w:rFonts w:hint="eastAsia"/>
        </w:rPr>
        <w:t>对待方法的歧视方面并不在于待遇是否不同而是待遇的效果不同。当一个人或一群人陷于或保持一种被剥夺状态而这个人或这群人又无法避免剥夺他</w:t>
      </w:r>
      <w:r>
        <w:t>/</w:t>
      </w:r>
      <w:r>
        <w:rPr>
          <w:rFonts w:hint="eastAsia"/>
        </w:rPr>
        <w:t>她</w:t>
      </w:r>
      <w:r>
        <w:t>/</w:t>
      </w:r>
      <w:r>
        <w:rPr>
          <w:rFonts w:hint="eastAsia"/>
        </w:rPr>
        <w:t>它的这种特性（如性别）的待遇时就存在歧视。</w:t>
      </w:r>
    </w:p>
    <w:p w:rsidR="00000000" w:rsidRDefault="00000000">
      <w:pPr>
        <w:autoSpaceDE w:val="0"/>
        <w:autoSpaceDN w:val="0"/>
        <w:spacing w:after="240" w:line="360" w:lineRule="exact"/>
        <w:ind w:firstLine="425"/>
        <w:textAlignment w:val="bottom"/>
      </w:pPr>
      <w:r>
        <w:rPr>
          <w:rFonts w:hint="eastAsia"/>
        </w:rPr>
        <w:t>歧视可以分类为直接歧视或间接歧视。直接歧视的例子是妇女被拒绝有权登记作为寻找住房的人而男子却有这种权利。</w:t>
      </w:r>
      <w:r>
        <w:rPr>
          <w:rStyle w:val="FootnoteReference"/>
        </w:rPr>
        <w:footnoteReference w:customMarkFollows="1" w:id="64"/>
        <w:t>19</w:t>
      </w:r>
      <w:r>
        <w:t xml:space="preserve"> </w:t>
      </w:r>
      <w:r>
        <w:rPr>
          <w:rFonts w:hint="eastAsia"/>
        </w:rPr>
        <w:t>根据性别造成的（或皮肤颜色等）差异导致直接歧视。</w:t>
      </w:r>
    </w:p>
    <w:p w:rsidR="00000000" w:rsidRDefault="00000000">
      <w:pPr>
        <w:autoSpaceDE w:val="0"/>
        <w:autoSpaceDN w:val="0"/>
        <w:spacing w:after="240" w:line="360" w:lineRule="exact"/>
        <w:ind w:firstLine="425"/>
        <w:textAlignment w:val="bottom"/>
      </w:pPr>
      <w:r>
        <w:rPr>
          <w:rFonts w:hint="eastAsia"/>
        </w:rPr>
        <w:t>如果人们受到不明显的歧视，那么就存在间接歧视。当所采取的措施看上去是性别中性时就会出现这种情况。例如，如果雇主寻找一个至少</w:t>
      </w:r>
      <w:r>
        <w:t>1.8m</w:t>
      </w:r>
      <w:r>
        <w:rPr>
          <w:rFonts w:hint="eastAsia"/>
        </w:rPr>
        <w:t>高的人时，咋一看这在性别上是中性。但是由于这个高度条件妇女受雇的机会就少。如果有足够理由解释这个条件，雇主有被称之为‘客观辩明理由’。只有这种情况才允许区别，但同时存在间接歧视。</w:t>
      </w:r>
    </w:p>
    <w:p w:rsidR="00000000" w:rsidRDefault="00000000">
      <w:pPr>
        <w:autoSpaceDE w:val="0"/>
        <w:autoSpaceDN w:val="0"/>
        <w:spacing w:after="240" w:line="360" w:lineRule="exact"/>
        <w:ind w:firstLine="425"/>
        <w:textAlignment w:val="bottom"/>
      </w:pPr>
      <w:r>
        <w:rPr>
          <w:rFonts w:hint="eastAsia"/>
        </w:rPr>
        <w:t>《妇女公约》的目标是既消除直接歧视也消除间接歧视</w:t>
      </w:r>
      <w:r>
        <w:rPr>
          <w:rStyle w:val="FootnoteReference"/>
        </w:rPr>
        <w:footnoteReference w:customMarkFollows="1" w:id="65"/>
        <w:t>20</w:t>
      </w:r>
      <w:r>
        <w:t xml:space="preserve"> </w:t>
      </w:r>
      <w:r>
        <w:rPr>
          <w:rFonts w:hint="eastAsia"/>
        </w:rPr>
        <w:t>可以根据《妇女公约》的某些部分，如第</w:t>
      </w:r>
      <w:r>
        <w:t>2</w:t>
      </w:r>
      <w:r>
        <w:rPr>
          <w:rFonts w:hint="eastAsia"/>
        </w:rPr>
        <w:t>条对此作出推论，因为该条规定各国政府应谴责对妇女一切形式的歧视。</w:t>
      </w:r>
      <w:r>
        <w:rPr>
          <w:rStyle w:val="FootnoteReference"/>
        </w:rPr>
        <w:footnoteReference w:customMarkFollows="1" w:id="66"/>
        <w:t>21</w:t>
      </w:r>
      <w:r>
        <w:t xml:space="preserve"> </w:t>
      </w:r>
      <w:r>
        <w:rPr>
          <w:rFonts w:hint="eastAsia"/>
        </w:rPr>
        <w:t>也可依据《妇女公约》第</w:t>
      </w:r>
      <w:r>
        <w:t>1</w:t>
      </w:r>
      <w:r>
        <w:rPr>
          <w:rFonts w:hint="eastAsia"/>
        </w:rPr>
        <w:t>条对此作出推论，因为该条规定了歧视的定义。</w:t>
      </w:r>
    </w:p>
    <w:p w:rsidR="00000000" w:rsidRDefault="00000000">
      <w:pPr>
        <w:autoSpaceDE w:val="0"/>
        <w:autoSpaceDN w:val="0"/>
        <w:spacing w:after="240" w:line="360" w:lineRule="exact"/>
        <w:ind w:firstLine="425"/>
        <w:textAlignment w:val="bottom"/>
      </w:pPr>
      <w:r>
        <w:rPr>
          <w:rFonts w:hint="eastAsia"/>
        </w:rPr>
        <w:t>除了反对歧视之外，《妇女公约》还提出了男女平等的原则。</w:t>
      </w:r>
      <w:r>
        <w:rPr>
          <w:rStyle w:val="FootnoteReference"/>
        </w:rPr>
        <w:footnoteReference w:customMarkFollows="1" w:id="67"/>
        <w:t>22</w:t>
      </w:r>
      <w:r>
        <w:t xml:space="preserve"> </w:t>
      </w:r>
      <w:r>
        <w:rPr>
          <w:rFonts w:hint="eastAsia"/>
        </w:rPr>
        <w:t>平等原则常常被描述成按照各人情况之间的差别程度，平等情况的平等对待和不平待情况的不平等对待。但是从情况一模一样的意义上看则不存在平等情况。只有在把某些差异作为无关紧要置于一旁时才会有人的平等。</w:t>
      </w:r>
    </w:p>
    <w:p w:rsidR="00000000" w:rsidRDefault="00000000">
      <w:pPr>
        <w:autoSpaceDE w:val="0"/>
        <w:autoSpaceDN w:val="0"/>
        <w:spacing w:after="240" w:line="360" w:lineRule="exact"/>
        <w:ind w:firstLine="425"/>
        <w:textAlignment w:val="bottom"/>
      </w:pPr>
      <w:r>
        <w:rPr>
          <w:rFonts w:hint="eastAsia"/>
        </w:rPr>
        <w:t>为了讨论人的平等和不平等，应为平等或不平等的定义选择一个参照依据。然而必须了解这种选择的参照依据会产生新问题。假定我们选出</w:t>
      </w:r>
      <w:r>
        <w:t>X</w:t>
      </w:r>
      <w:r>
        <w:rPr>
          <w:rFonts w:hint="eastAsia"/>
        </w:rPr>
        <w:t>疗法作为关节类最佳治疗。每个有关节炎的人现在都被认为有资格接受</w:t>
      </w:r>
      <w:r>
        <w:t>X</w:t>
      </w:r>
      <w:r>
        <w:rPr>
          <w:rFonts w:hint="eastAsia"/>
        </w:rPr>
        <w:t>疗法。由于选择参照依据，于是选出了一组有关节炎的人作为不同于其他案例的一组。平等原则的问题之一是常常以男子作为标准。</w:t>
      </w:r>
      <w:r>
        <w:rPr>
          <w:rStyle w:val="FootnoteReference"/>
        </w:rPr>
        <w:footnoteReference w:customMarkFollows="1" w:id="68"/>
        <w:t>23</w:t>
      </w:r>
      <w:r>
        <w:t xml:space="preserve"> </w:t>
      </w:r>
      <w:r>
        <w:rPr>
          <w:rFonts w:hint="eastAsia"/>
        </w:rPr>
        <w:t>这样做时未能充分认识到一个事实，即‘作为标准的男子’并不总适合于妇女，以及（或）男女之间的生物差别不只是有怀孕的可能性。只有对用于男女的</w:t>
      </w:r>
      <w:r>
        <w:t>X</w:t>
      </w:r>
      <w:r>
        <w:rPr>
          <w:rFonts w:hint="eastAsia"/>
        </w:rPr>
        <w:t>疗法进行研究之才能得出</w:t>
      </w:r>
      <w:r>
        <w:t>X</w:t>
      </w:r>
      <w:r>
        <w:rPr>
          <w:rFonts w:hint="eastAsia"/>
        </w:rPr>
        <w:t>疗法是关节炎最佳疗法的结论。由于其他社会经济和（或）生物因素，蒋物或治疗方法的效力运用于妇女时和运用于男子时会有所不同。</w:t>
      </w:r>
      <w:r>
        <w:rPr>
          <w:rStyle w:val="FootnoteReference"/>
        </w:rPr>
        <w:footnoteReference w:customMarkFollows="1" w:id="69"/>
        <w:t>24</w:t>
      </w:r>
      <w:r>
        <w:t xml:space="preserve"> </w:t>
      </w:r>
    </w:p>
    <w:p w:rsidR="00000000" w:rsidRDefault="00000000">
      <w:pPr>
        <w:autoSpaceDE w:val="0"/>
        <w:autoSpaceDN w:val="0"/>
        <w:spacing w:after="240" w:line="400" w:lineRule="exact"/>
        <w:ind w:firstLine="425"/>
        <w:textAlignment w:val="bottom"/>
      </w:pPr>
      <w:r>
        <w:rPr>
          <w:rFonts w:hint="eastAsia"/>
        </w:rPr>
        <w:t>法律文献是对‘形式’平等和‘实质’平等是加以区分的。形式上平等被认为是指法律面前的平等，即这类立法是考虑的唯一因素。实质性平等包括为实现真正平等考虑到状况（和权力地位）的不同。《公约》的起草者考虑到要实现这形式平等和实质平等两种平等。</w:t>
      </w:r>
      <w:r>
        <w:rPr>
          <w:rStyle w:val="FootnoteReference"/>
        </w:rPr>
        <w:footnoteReference w:customMarkFollows="1" w:id="70"/>
        <w:t>25</w:t>
      </w:r>
      <w:r>
        <w:t xml:space="preserve"> </w:t>
      </w:r>
    </w:p>
    <w:p w:rsidR="00000000" w:rsidRDefault="00000000">
      <w:pPr>
        <w:autoSpaceDE w:val="0"/>
        <w:autoSpaceDN w:val="0"/>
        <w:spacing w:after="240" w:line="400" w:lineRule="exact"/>
        <w:textAlignment w:val="bottom"/>
        <w:rPr>
          <w:rFonts w:ascii="SimHei" w:eastAsia="SimHei"/>
          <w:sz w:val="24"/>
        </w:rPr>
      </w:pPr>
      <w:r>
        <w:rPr>
          <w:rFonts w:ascii="SimHei" w:eastAsia="SimHei"/>
          <w:sz w:val="24"/>
        </w:rPr>
        <w:t xml:space="preserve">2.3  </w:t>
      </w:r>
      <w:r>
        <w:rPr>
          <w:rFonts w:ascii="SimHei" w:eastAsia="SimHei" w:hint="eastAsia"/>
          <w:sz w:val="24"/>
        </w:rPr>
        <w:t>《妇女公约》提供的增值价值</w:t>
      </w:r>
    </w:p>
    <w:p w:rsidR="00000000" w:rsidRDefault="00000000">
      <w:pPr>
        <w:autoSpaceDE w:val="0"/>
        <w:autoSpaceDN w:val="0"/>
        <w:spacing w:after="240" w:line="400" w:lineRule="exact"/>
        <w:ind w:firstLine="425"/>
        <w:textAlignment w:val="bottom"/>
      </w:pPr>
      <w:r>
        <w:rPr>
          <w:rFonts w:hint="eastAsia"/>
        </w:rPr>
        <w:t>二次世界大战以后人权缓慢而稳步地成为公众关注的中心。在大多数人权公约中都提到男女平等权利。例如，《公民权利和政治权利国际公约》第</w:t>
      </w:r>
      <w:r>
        <w:t>26</w:t>
      </w:r>
      <w:r>
        <w:rPr>
          <w:rFonts w:hint="eastAsia"/>
        </w:rPr>
        <w:t>条规定所有的人在法律面前平等并有权受法律的平等保护。从</w:t>
      </w:r>
      <w:r>
        <w:t>1979</w:t>
      </w:r>
      <w:r>
        <w:rPr>
          <w:rFonts w:hint="eastAsia"/>
        </w:rPr>
        <w:t>年以来该条已得到直接应用，甚至被用来宣布《经济、社会、文化权利国际公约》的基本人权同样适用于妇女和男问题。</w:t>
      </w:r>
      <w:r>
        <w:rPr>
          <w:rStyle w:val="FootnoteReference"/>
        </w:rPr>
        <w:footnoteReference w:customMarkFollows="1" w:id="71"/>
        <w:t>26</w:t>
      </w:r>
      <w:r>
        <w:rPr>
          <w:rFonts w:hint="eastAsia"/>
        </w:rPr>
        <w:t>欧洲法律也有各种不同处理平等问题的公约条款。最广为人知的是《欧洲共同体条约》第</w:t>
      </w:r>
      <w:r>
        <w:t>119</w:t>
      </w:r>
      <w:r>
        <w:rPr>
          <w:rFonts w:hint="eastAsia"/>
        </w:rPr>
        <w:t>条和《欧洲保护人权和基本自由公约》第</w:t>
      </w:r>
      <w:r>
        <w:t>14</w:t>
      </w:r>
      <w:r>
        <w:rPr>
          <w:rFonts w:hint="eastAsia"/>
        </w:rPr>
        <w:t>条。这些公约条款也常常被法院使用。</w:t>
      </w:r>
    </w:p>
    <w:p w:rsidR="00000000" w:rsidRDefault="00000000">
      <w:pPr>
        <w:autoSpaceDE w:val="0"/>
        <w:autoSpaceDN w:val="0"/>
        <w:spacing w:after="240" w:line="400" w:lineRule="exact"/>
        <w:ind w:firstLine="425"/>
        <w:textAlignment w:val="bottom"/>
      </w:pPr>
      <w:r>
        <w:rPr>
          <w:rFonts w:hint="eastAsia"/>
        </w:rPr>
        <w:t>由于众多国际和欧洲人权条约都载有平等原则，《妇女公约》实际上对它们有什么补充吗？研究对这个问题的答复是肯定的。</w:t>
      </w:r>
      <w:r>
        <w:rPr>
          <w:rStyle w:val="FootnoteReference"/>
        </w:rPr>
        <w:footnoteReference w:customMarkFollows="1" w:id="72"/>
        <w:t>27</w:t>
      </w:r>
      <w:r>
        <w:rPr>
          <w:rFonts w:hint="eastAsia"/>
        </w:rPr>
        <w:t>《妇女公约》专门把注意力集中于妇女面临的问题。</w:t>
      </w:r>
      <w:r>
        <w:rPr>
          <w:rStyle w:val="FootnoteReference"/>
        </w:rPr>
        <w:footnoteReference w:customMarkFollows="1" w:id="73"/>
        <w:t>28</w:t>
      </w:r>
      <w:r>
        <w:rPr>
          <w:rFonts w:hint="eastAsia"/>
        </w:rPr>
        <w:t>《妇女公约》基础广泛，它实际上包含了妇女生活的全部领域。一般人权条约包括天赋权利或社会人权。《妇女公约》的独特之处是在一个单独的公约中可以找到所有这些人权，而且它们之间互相补充。</w:t>
      </w:r>
    </w:p>
    <w:p w:rsidR="00000000" w:rsidRDefault="00000000">
      <w:pPr>
        <w:autoSpaceDE w:val="0"/>
        <w:autoSpaceDN w:val="0"/>
        <w:spacing w:after="240" w:line="400" w:lineRule="exact"/>
        <w:ind w:firstLine="425"/>
        <w:textAlignment w:val="bottom"/>
      </w:pPr>
      <w:r>
        <w:rPr>
          <w:rFonts w:hint="eastAsia"/>
        </w:rPr>
        <w:t>《妇女公约》还打破了法学在公共和私人领域之间常常作出的区分，这是为改善妇女权利提供外加范围值得重视的事物。另外，《妇女公约》为‘横向作用’留有余地，这确实是意义重大的，因为妇女常常在私人领域受歧视。</w:t>
      </w:r>
      <w:r>
        <w:rPr>
          <w:rStyle w:val="FootnoteReference"/>
        </w:rPr>
        <w:footnoteReference w:customMarkFollows="1" w:id="74"/>
        <w:t>29</w:t>
      </w:r>
      <w:r>
        <w:rPr>
          <w:rFonts w:hint="eastAsia"/>
        </w:rPr>
        <w:t>由于公法和私法之间仍然经常有区别，正是在私人领域妇女遭受歧视这个事实仍未受到足够重视。事实上该公约涉及每一个方面，即使有时一个主题命名并不很明确。例如，性虐待在公约中并未提到，但是依据《妇女公约》的确可以对此提出质疑。</w:t>
      </w:r>
      <w:r>
        <w:rPr>
          <w:rStyle w:val="FootnoteReference"/>
        </w:rPr>
        <w:footnoteReference w:customMarkFollows="1" w:id="75"/>
        <w:t>30</w:t>
      </w:r>
      <w:r>
        <w:rPr>
          <w:rFonts w:hint="eastAsia"/>
        </w:rPr>
        <w:t>第</w:t>
      </w:r>
      <w:r>
        <w:t>5</w:t>
      </w:r>
      <w:r>
        <w:rPr>
          <w:rFonts w:hint="eastAsia"/>
        </w:rPr>
        <w:t>条也是重要的，该条要求缔约国改变标准，以打破陈旧的角色模式和习俗。</w:t>
      </w:r>
    </w:p>
    <w:p w:rsidR="00000000" w:rsidRDefault="00000000">
      <w:pPr>
        <w:tabs>
          <w:tab w:val="left" w:pos="495"/>
        </w:tabs>
        <w:autoSpaceDE w:val="0"/>
        <w:autoSpaceDN w:val="0"/>
        <w:spacing w:after="240" w:line="400" w:lineRule="exact"/>
        <w:textAlignment w:val="bottom"/>
        <w:rPr>
          <w:rFonts w:ascii="SimHei" w:eastAsia="SimHei"/>
          <w:sz w:val="24"/>
        </w:rPr>
      </w:pPr>
      <w:r>
        <w:rPr>
          <w:rFonts w:ascii="SimHei" w:eastAsia="SimHei"/>
          <w:sz w:val="24"/>
        </w:rPr>
        <w:t xml:space="preserve">2.4  </w:t>
      </w:r>
      <w:r>
        <w:rPr>
          <w:rFonts w:ascii="SimHei" w:eastAsia="SimHei" w:hint="eastAsia"/>
          <w:sz w:val="24"/>
        </w:rPr>
        <w:t>健康作为一项权利</w:t>
      </w:r>
    </w:p>
    <w:p w:rsidR="00000000" w:rsidRDefault="00000000">
      <w:pPr>
        <w:autoSpaceDE w:val="0"/>
        <w:autoSpaceDN w:val="0"/>
        <w:spacing w:after="240" w:line="400" w:lineRule="exact"/>
        <w:ind w:firstLine="425"/>
        <w:textAlignment w:val="bottom"/>
      </w:pPr>
      <w:r>
        <w:rPr>
          <w:rFonts w:hint="eastAsia"/>
        </w:rPr>
        <w:t>系统阐明健康的权利有各种不同方法。</w:t>
      </w:r>
      <w:r>
        <w:rPr>
          <w:rStyle w:val="FootnoteReference"/>
        </w:rPr>
        <w:footnoteReference w:customMarkFollows="1" w:id="76"/>
        <w:t>31</w:t>
      </w:r>
      <w:r>
        <w:rPr>
          <w:rFonts w:hint="eastAsia"/>
        </w:rPr>
        <w:t>保健是一个比医疗更加广泛的概念。‘保健’词用来指单位内和单位外保健，包括专业活动、行政和财政管理。</w:t>
      </w:r>
      <w:r>
        <w:rPr>
          <w:rStyle w:val="FootnoteReference"/>
        </w:rPr>
        <w:footnoteReference w:customMarkFollows="1" w:id="77"/>
        <w:t>32</w:t>
      </w:r>
      <w:r>
        <w:rPr>
          <w:rFonts w:hint="eastAsia"/>
        </w:rPr>
        <w:t>本报告论述的是‘健康权’，它是符合国际文献的，不是在荷兰经常使用的‘保健权’一词。</w:t>
      </w:r>
      <w:r>
        <w:rPr>
          <w:rStyle w:val="FootnoteReference"/>
        </w:rPr>
        <w:footnoteReference w:customMarkFollows="1" w:id="78"/>
        <w:t>33</w:t>
      </w:r>
    </w:p>
    <w:p w:rsidR="00000000" w:rsidRDefault="00000000">
      <w:pPr>
        <w:autoSpaceDE w:val="0"/>
        <w:autoSpaceDN w:val="0"/>
        <w:spacing w:after="240" w:line="400" w:lineRule="exact"/>
        <w:ind w:firstLine="425"/>
        <w:textAlignment w:val="bottom"/>
      </w:pPr>
      <w:r>
        <w:rPr>
          <w:rFonts w:hint="eastAsia"/>
        </w:rPr>
        <w:t>至今在荷兰人们仍不注意宪法确定的健康权以及这种权利对保健系统的影响。</w:t>
      </w:r>
      <w:r>
        <w:rPr>
          <w:rStyle w:val="FootnoteReference"/>
        </w:rPr>
        <w:footnoteReference w:customMarkFollows="1" w:id="79"/>
        <w:t>34</w:t>
      </w:r>
      <w:r>
        <w:rPr>
          <w:rFonts w:hint="eastAsia"/>
        </w:rPr>
        <w:t>对健康权确切意义的讨论无论在国内或在国际上仍处在早期阶段，对这一权利与性别有关方面的讨论更是如此。</w:t>
      </w:r>
    </w:p>
    <w:p w:rsidR="00000000" w:rsidRDefault="00000000">
      <w:pPr>
        <w:autoSpaceDE w:val="0"/>
        <w:autoSpaceDN w:val="0"/>
        <w:spacing w:after="240" w:line="400" w:lineRule="exact"/>
        <w:ind w:firstLine="425"/>
        <w:textAlignment w:val="bottom"/>
      </w:pPr>
      <w:r>
        <w:rPr>
          <w:rFonts w:hint="eastAsia"/>
        </w:rPr>
        <w:t>宪法第</w:t>
      </w:r>
      <w:r>
        <w:t>22</w:t>
      </w:r>
      <w:r>
        <w:rPr>
          <w:rFonts w:hint="eastAsia"/>
        </w:rPr>
        <w:t>条第一款被解释成是政府的任务。</w:t>
      </w:r>
      <w:r>
        <w:rPr>
          <w:rStyle w:val="FootnoteReference"/>
        </w:rPr>
        <w:footnoteReference w:customMarkFollows="1" w:id="80"/>
        <w:t xml:space="preserve">35 </w:t>
      </w:r>
      <w:r>
        <w:rPr>
          <w:rFonts w:hint="eastAsia"/>
        </w:rPr>
        <w:t>关于国际法，《经济、社会、文化权利国际公约》第</w:t>
      </w:r>
      <w:r>
        <w:t>12</w:t>
      </w:r>
      <w:r>
        <w:rPr>
          <w:rFonts w:hint="eastAsia"/>
        </w:rPr>
        <w:t>条是重要的因为它可作为《妇女公约》第</w:t>
      </w:r>
      <w:r>
        <w:t>12</w:t>
      </w:r>
      <w:r>
        <w:rPr>
          <w:rFonts w:hint="eastAsia"/>
        </w:rPr>
        <w:t>条的依据。</w:t>
      </w:r>
      <w:r>
        <w:rPr>
          <w:rStyle w:val="FootnoteReference"/>
        </w:rPr>
        <w:footnoteReference w:customMarkFollows="1" w:id="81"/>
        <w:t>36</w:t>
      </w:r>
      <w:r>
        <w:rPr>
          <w:rFonts w:hint="eastAsia"/>
        </w:rPr>
        <w:t>看来大多数国际公约都比宪法更进一步，因为它们都给予个人健康权。国际条款通常明确（或更加明确）指出政府应作出何种努力去保护和促进公共卫生。这些义务比建立一种高质量且易于利用的保健系统又前进了一步；它们也包括对保健决定因素的影响。</w:t>
      </w:r>
    </w:p>
    <w:p w:rsidR="00000000" w:rsidRDefault="00000000">
      <w:pPr>
        <w:autoSpaceDE w:val="0"/>
        <w:autoSpaceDN w:val="0"/>
        <w:spacing w:after="240" w:line="400" w:lineRule="exact"/>
        <w:ind w:firstLine="425"/>
        <w:textAlignment w:val="bottom"/>
      </w:pPr>
      <w:r>
        <w:rPr>
          <w:rFonts w:hint="eastAsia"/>
        </w:rPr>
        <w:t>宪法第</w:t>
      </w:r>
      <w:r>
        <w:t>22</w:t>
      </w:r>
      <w:r>
        <w:rPr>
          <w:rFonts w:hint="eastAsia"/>
        </w:rPr>
        <w:t>条和《经济、社会、文化权利国际公约》第</w:t>
      </w:r>
      <w:r>
        <w:t>12</w:t>
      </w:r>
      <w:r>
        <w:rPr>
          <w:rFonts w:hint="eastAsia"/>
        </w:rPr>
        <w:t>条都同样在法庭上难以执行。当在法庭上提到这类条款时只有在非常情况下才会尊重这种申诉。法院往往允许国家有大量自由决定权，特别从下列事实即法院仅仅稍微审查基本公民权利，就可以明显看出一些。然而人们日益对经济、社会和文化权利日关注导致这些权利越来越多地可以直接应用。</w:t>
      </w:r>
      <w:r>
        <w:rPr>
          <w:rStyle w:val="FootnoteReference"/>
        </w:rPr>
        <w:footnoteReference w:customMarkFollows="1" w:id="82"/>
        <w:t>37</w:t>
      </w:r>
      <w:r>
        <w:t xml:space="preserve"> </w:t>
      </w:r>
    </w:p>
    <w:p w:rsidR="00000000" w:rsidRDefault="00000000">
      <w:pPr>
        <w:autoSpaceDE w:val="0"/>
        <w:autoSpaceDN w:val="0"/>
        <w:spacing w:after="240" w:line="400" w:lineRule="exact"/>
        <w:ind w:firstLine="425"/>
        <w:textAlignment w:val="bottom"/>
      </w:pPr>
      <w:r>
        <w:rPr>
          <w:rFonts w:hint="eastAsia"/>
        </w:rPr>
        <w:t>说清健康权的确切内容并不容易。这主要因为健康权是一项基本人权，是一些主要带有供政府实施某些倡议的指令标准的东西。不太清楚的是政府的实际义务以及期望政府在多大程度上力争实现希望的结果。</w:t>
      </w:r>
    </w:p>
    <w:p w:rsidR="00000000" w:rsidRDefault="00000000">
      <w:pPr>
        <w:autoSpaceDE w:val="0"/>
        <w:autoSpaceDN w:val="0"/>
        <w:spacing w:after="240" w:line="400" w:lineRule="exact"/>
        <w:ind w:firstLine="425"/>
        <w:textAlignment w:val="bottom"/>
      </w:pPr>
      <w:r>
        <w:rPr>
          <w:rFonts w:hint="eastAsia"/>
        </w:rPr>
        <w:t>宪法第</w:t>
      </w:r>
      <w:r>
        <w:t>22</w:t>
      </w:r>
      <w:r>
        <w:rPr>
          <w:rFonts w:hint="eastAsia"/>
        </w:rPr>
        <w:t>条和《经济、社会、文化权利国际公约》第</w:t>
      </w:r>
      <w:r>
        <w:t>12</w:t>
      </w:r>
      <w:r>
        <w:rPr>
          <w:rFonts w:hint="eastAsia"/>
        </w:rPr>
        <w:t>条都提到政府应采取的措施。这些措施不仅应包括提出立法，而且还应包括在有关领域及相邻领域执行政策。预防性保健也属这些条款范围。该公约第</w:t>
      </w:r>
      <w:r>
        <w:t>12</w:t>
      </w:r>
      <w:r>
        <w:rPr>
          <w:rFonts w:hint="eastAsia"/>
        </w:rPr>
        <w:t>条明确提及预防，而宪法第</w:t>
      </w:r>
      <w:r>
        <w:t>22</w:t>
      </w:r>
      <w:r>
        <w:rPr>
          <w:rFonts w:hint="eastAsia"/>
        </w:rPr>
        <w:t>条一般认为预防应属宣传标题范畴。</w:t>
      </w:r>
    </w:p>
    <w:p w:rsidR="00000000" w:rsidRDefault="00000000">
      <w:pPr>
        <w:autoSpaceDE w:val="0"/>
        <w:autoSpaceDN w:val="0"/>
        <w:spacing w:after="240" w:line="400" w:lineRule="exact"/>
        <w:ind w:firstLine="425"/>
        <w:textAlignment w:val="bottom"/>
      </w:pPr>
      <w:r>
        <w:rPr>
          <w:rFonts w:hint="eastAsia"/>
        </w:rPr>
        <w:t>《经济、社会、文化权利国际公约》第</w:t>
      </w:r>
      <w:r>
        <w:t>12</w:t>
      </w:r>
      <w:r>
        <w:rPr>
          <w:rFonts w:hint="eastAsia"/>
        </w:rPr>
        <w:t>条谈到政府为实现健康权应采取的具体步骤。该条还决定各国应立即采取这些措施。</w:t>
      </w:r>
      <w:r>
        <w:rPr>
          <w:rStyle w:val="FootnoteReference"/>
        </w:rPr>
        <w:footnoteReference w:customMarkFollows="1" w:id="83"/>
        <w:t>38</w:t>
      </w:r>
      <w:r>
        <w:t xml:space="preserve"> </w:t>
      </w:r>
    </w:p>
    <w:p w:rsidR="00000000" w:rsidRDefault="00000000">
      <w:pPr>
        <w:autoSpaceDE w:val="0"/>
        <w:autoSpaceDN w:val="0"/>
        <w:spacing w:after="240" w:line="400" w:lineRule="exact"/>
        <w:ind w:firstLine="425"/>
        <w:textAlignment w:val="bottom"/>
      </w:pPr>
      <w:r>
        <w:rPr>
          <w:rFonts w:hint="eastAsia"/>
        </w:rPr>
        <w:t>宪法第</w:t>
      </w:r>
      <w:r>
        <w:t>22</w:t>
      </w:r>
      <w:r>
        <w:rPr>
          <w:rFonts w:hint="eastAsia"/>
        </w:rPr>
        <w:t>条的结论是降低保健水平会造成问题。</w:t>
      </w:r>
      <w:r>
        <w:rPr>
          <w:rStyle w:val="FootnoteReference"/>
        </w:rPr>
        <w:footnoteReference w:customMarkFollows="1" w:id="84"/>
        <w:t>39</w:t>
      </w:r>
      <w:r>
        <w:rPr>
          <w:rFonts w:hint="eastAsia"/>
        </w:rPr>
        <w:t>人们认为宪法第</w:t>
      </w:r>
      <w:r>
        <w:t>22</w:t>
      </w:r>
      <w:r>
        <w:rPr>
          <w:rFonts w:hint="eastAsia"/>
        </w:rPr>
        <w:t>条提及的‘宣传’应包括每一个人，对任何人都没有区别（与宪法第</w:t>
      </w:r>
      <w:r>
        <w:t>1</w:t>
      </w:r>
      <w:r>
        <w:rPr>
          <w:rFonts w:hint="eastAsia"/>
        </w:rPr>
        <w:t>条相比）。至于该公约第</w:t>
      </w:r>
      <w:r>
        <w:t>12</w:t>
      </w:r>
      <w:r>
        <w:rPr>
          <w:rFonts w:hint="eastAsia"/>
        </w:rPr>
        <w:t>条，是通过其第</w:t>
      </w:r>
      <w:r>
        <w:t>2</w:t>
      </w:r>
      <w:r>
        <w:rPr>
          <w:rFonts w:hint="eastAsia"/>
        </w:rPr>
        <w:t>条第</w:t>
      </w:r>
      <w:r>
        <w:t>2</w:t>
      </w:r>
      <w:r>
        <w:rPr>
          <w:rFonts w:hint="eastAsia"/>
        </w:rPr>
        <w:t>款与平等原则联系起来。因此可以有理由说政府在执行健康权所包含的义务时有责任按照宪法和《经济、社会、文化权利国际公约》大大突出防止歧视并促进性别之间的平等。</w:t>
      </w:r>
    </w:p>
    <w:p w:rsidR="00000000" w:rsidRDefault="00000000">
      <w:pPr>
        <w:autoSpaceDE w:val="0"/>
        <w:autoSpaceDN w:val="0"/>
        <w:spacing w:after="240" w:line="400" w:lineRule="exact"/>
        <w:ind w:firstLine="425"/>
        <w:textAlignment w:val="bottom"/>
      </w:pPr>
      <w:r>
        <w:rPr>
          <w:rFonts w:hint="eastAsia"/>
        </w:rPr>
        <w:t>通过推理可以证明宪法第</w:t>
      </w:r>
      <w:r>
        <w:t>22</w:t>
      </w:r>
      <w:r>
        <w:rPr>
          <w:rFonts w:hint="eastAsia"/>
        </w:rPr>
        <w:t>条和《经济、社会、文化权利国际公约》第</w:t>
      </w:r>
      <w:r>
        <w:t>12</w:t>
      </w:r>
      <w:r>
        <w:rPr>
          <w:rFonts w:hint="eastAsia"/>
        </w:rPr>
        <w:t>条赋予了政府下列义务：</w:t>
      </w:r>
    </w:p>
    <w:p w:rsidR="00000000" w:rsidRDefault="00000000">
      <w:pPr>
        <w:numPr>
          <w:ilvl w:val="0"/>
          <w:numId w:val="12"/>
        </w:numPr>
        <w:tabs>
          <w:tab w:val="left" w:pos="375"/>
        </w:tabs>
        <w:autoSpaceDE w:val="0"/>
        <w:autoSpaceDN w:val="0"/>
        <w:spacing w:after="240" w:line="400" w:lineRule="exact"/>
        <w:textAlignment w:val="bottom"/>
      </w:pPr>
      <w:r>
        <w:rPr>
          <w:rFonts w:hint="eastAsia"/>
        </w:rPr>
        <w:t>采取措施，包括提出立法、奉行综合政策和机构管理。</w:t>
      </w:r>
    </w:p>
    <w:p w:rsidR="00000000" w:rsidRDefault="00000000">
      <w:pPr>
        <w:numPr>
          <w:ilvl w:val="0"/>
          <w:numId w:val="12"/>
        </w:numPr>
        <w:tabs>
          <w:tab w:val="left" w:pos="375"/>
        </w:tabs>
        <w:autoSpaceDE w:val="0"/>
        <w:autoSpaceDN w:val="0"/>
        <w:spacing w:after="240" w:line="400" w:lineRule="exact"/>
        <w:textAlignment w:val="bottom"/>
      </w:pPr>
      <w:r>
        <w:rPr>
          <w:rFonts w:hint="eastAsia"/>
        </w:rPr>
        <w:t>利用保健决定因素的影响促进个人和集体各级的预防性和治疗性保健。</w:t>
      </w:r>
    </w:p>
    <w:p w:rsidR="00000000" w:rsidRDefault="00000000">
      <w:pPr>
        <w:numPr>
          <w:ilvl w:val="0"/>
          <w:numId w:val="12"/>
        </w:numPr>
        <w:tabs>
          <w:tab w:val="left" w:pos="375"/>
        </w:tabs>
        <w:autoSpaceDE w:val="0"/>
        <w:autoSpaceDN w:val="0"/>
        <w:spacing w:after="240" w:line="400" w:lineRule="exact"/>
        <w:textAlignment w:val="bottom"/>
      </w:pPr>
      <w:r>
        <w:rPr>
          <w:rFonts w:hint="eastAsia"/>
        </w:rPr>
        <w:t>立即开始采取并执行这种政策措施。</w:t>
      </w:r>
    </w:p>
    <w:p w:rsidR="00000000" w:rsidRDefault="00000000">
      <w:pPr>
        <w:numPr>
          <w:ilvl w:val="0"/>
          <w:numId w:val="12"/>
        </w:numPr>
        <w:tabs>
          <w:tab w:val="left" w:pos="375"/>
        </w:tabs>
        <w:autoSpaceDE w:val="0"/>
        <w:autoSpaceDN w:val="0"/>
        <w:spacing w:after="240" w:line="400" w:lineRule="exact"/>
        <w:textAlignment w:val="bottom"/>
      </w:pPr>
      <w:r>
        <w:rPr>
          <w:rFonts w:hint="eastAsia"/>
        </w:rPr>
        <w:t>禁止减少拨款数额，除非能为此提出理由。不应不成比例地以贫困人口群体的权利和利益为代价减少拨款。</w:t>
      </w:r>
    </w:p>
    <w:p w:rsidR="00000000" w:rsidRDefault="00000000">
      <w:pPr>
        <w:numPr>
          <w:ilvl w:val="0"/>
          <w:numId w:val="12"/>
        </w:numPr>
        <w:tabs>
          <w:tab w:val="left" w:pos="375"/>
        </w:tabs>
        <w:autoSpaceDE w:val="0"/>
        <w:autoSpaceDN w:val="0"/>
        <w:spacing w:after="240" w:line="400" w:lineRule="exact"/>
        <w:textAlignment w:val="bottom"/>
      </w:pPr>
      <w:r>
        <w:rPr>
          <w:rFonts w:hint="eastAsia"/>
        </w:rPr>
        <w:t>采取不考虑个人之间差别以所有人为对象的措施。换言之采取考虑到性别特点以防止歧视的措施。</w:t>
      </w:r>
    </w:p>
    <w:p w:rsidR="00000000" w:rsidRDefault="00000000">
      <w:pPr>
        <w:tabs>
          <w:tab w:val="left" w:pos="495"/>
        </w:tabs>
        <w:autoSpaceDE w:val="0"/>
        <w:autoSpaceDN w:val="0"/>
        <w:spacing w:after="240" w:line="400" w:lineRule="exact"/>
        <w:textAlignment w:val="bottom"/>
        <w:rPr>
          <w:rFonts w:ascii="SimHei" w:eastAsia="SimHei"/>
          <w:sz w:val="24"/>
        </w:rPr>
      </w:pPr>
      <w:r>
        <w:rPr>
          <w:rFonts w:ascii="SimHei" w:eastAsia="SimHei"/>
          <w:sz w:val="24"/>
        </w:rPr>
        <w:t xml:space="preserve">2.5  </w:t>
      </w:r>
      <w:r>
        <w:rPr>
          <w:rFonts w:ascii="SimHei" w:eastAsia="SimHei" w:hint="eastAsia"/>
          <w:sz w:val="24"/>
        </w:rPr>
        <w:t>《妇女公约》的目标</w:t>
      </w:r>
    </w:p>
    <w:p w:rsidR="00000000" w:rsidRDefault="00000000">
      <w:pPr>
        <w:autoSpaceDE w:val="0"/>
        <w:autoSpaceDN w:val="0"/>
        <w:spacing w:after="240" w:line="400" w:lineRule="exact"/>
        <w:ind w:firstLine="425"/>
        <w:textAlignment w:val="bottom"/>
      </w:pPr>
      <w:r>
        <w:rPr>
          <w:rFonts w:hint="eastAsia"/>
        </w:rPr>
        <w:t>《妇女公约》最重要的目标是消除对妇女的歧视。第</w:t>
      </w:r>
      <w:r>
        <w:t>12</w:t>
      </w:r>
      <w:r>
        <w:rPr>
          <w:rFonts w:hint="eastAsia"/>
        </w:rPr>
        <w:t>条第</w:t>
      </w:r>
      <w:r>
        <w:t>1</w:t>
      </w:r>
      <w:r>
        <w:rPr>
          <w:rFonts w:hint="eastAsia"/>
        </w:rPr>
        <w:t>款也明确表明了这个目标，该款指出了‘采取适当措施以消除在保健方面对妇女的歧视’。</w:t>
      </w:r>
      <w:r>
        <w:rPr>
          <w:rStyle w:val="FootnoteReference"/>
        </w:rPr>
        <w:footnoteReference w:customMarkFollows="1" w:id="85"/>
        <w:t>40</w:t>
      </w:r>
      <w:r>
        <w:t xml:space="preserve"> </w:t>
      </w:r>
    </w:p>
    <w:p w:rsidR="00000000" w:rsidRDefault="00000000">
      <w:pPr>
        <w:autoSpaceDE w:val="0"/>
        <w:autoSpaceDN w:val="0"/>
        <w:spacing w:after="240" w:line="400" w:lineRule="exact"/>
        <w:ind w:firstLine="425"/>
        <w:textAlignment w:val="bottom"/>
      </w:pPr>
      <w:r>
        <w:rPr>
          <w:rFonts w:hint="eastAsia"/>
        </w:rPr>
        <w:t>《妇女公约》第</w:t>
      </w:r>
      <w:r>
        <w:t>2</w:t>
      </w:r>
      <w:r>
        <w:rPr>
          <w:rFonts w:hint="eastAsia"/>
        </w:rPr>
        <w:t>条包括了一个缔约国行为的共同准则，因此该条被称为《妇女公约》的核心。</w:t>
      </w:r>
      <w:r>
        <w:rPr>
          <w:rStyle w:val="FootnoteReference"/>
        </w:rPr>
        <w:footnoteReference w:customMarkFollows="1" w:id="86"/>
        <w:t>41</w:t>
      </w:r>
      <w:r>
        <w:rPr>
          <w:rFonts w:hint="eastAsia"/>
        </w:rPr>
        <w:t>第</w:t>
      </w:r>
      <w:r>
        <w:t>2</w:t>
      </w:r>
      <w:r>
        <w:rPr>
          <w:rFonts w:hint="eastAsia"/>
        </w:rPr>
        <w:t>条要求缔约国利用适当手段消除对妇女的一切形式歧视。简言之《妇女公约》第</w:t>
      </w:r>
      <w:r>
        <w:t>2</w:t>
      </w:r>
      <w:r>
        <w:rPr>
          <w:rFonts w:hint="eastAsia"/>
        </w:rPr>
        <w:t>条的焦点是公约的目标：消除对妇女的歧视。《妇女公约》第</w:t>
      </w:r>
      <w:r>
        <w:t>12</w:t>
      </w:r>
      <w:r>
        <w:rPr>
          <w:rFonts w:hint="eastAsia"/>
        </w:rPr>
        <w:t>条表明了实现这一目标的手段，包括立法。</w:t>
      </w:r>
    </w:p>
    <w:p w:rsidR="00000000" w:rsidRDefault="00000000">
      <w:pPr>
        <w:autoSpaceDE w:val="0"/>
        <w:autoSpaceDN w:val="0"/>
        <w:spacing w:after="240" w:line="400" w:lineRule="exact"/>
        <w:ind w:firstLine="425"/>
        <w:textAlignment w:val="bottom"/>
      </w:pPr>
      <w:r>
        <w:rPr>
          <w:rFonts w:hint="eastAsia"/>
        </w:rPr>
        <w:t>《妇女公约》第</w:t>
      </w:r>
      <w:r>
        <w:t>3</w:t>
      </w:r>
      <w:r>
        <w:rPr>
          <w:rFonts w:hint="eastAsia"/>
        </w:rPr>
        <w:t>条向前迈进了一步，要求各缔约国采取旨在使妇女充分发展和进步，以确保她们在与男子平等的基础上，行使和享有人权和基本自由的措施。良好的健康增加发展和进步的机会，因此可以认为是获得其他重要事物的手段。妇女获得保健的平等机会在她们反歧视的斗争中和扩大妇女平等机会方面都是非常重要的。</w:t>
      </w:r>
    </w:p>
    <w:p w:rsidR="00000000" w:rsidRDefault="00000000">
      <w:pPr>
        <w:autoSpaceDE w:val="0"/>
        <w:autoSpaceDN w:val="0"/>
        <w:spacing w:after="240" w:line="400" w:lineRule="exact"/>
        <w:ind w:firstLine="425"/>
        <w:textAlignment w:val="bottom"/>
      </w:pPr>
      <w:r>
        <w:rPr>
          <w:rFonts w:hint="eastAsia"/>
        </w:rPr>
        <w:t>第</w:t>
      </w:r>
      <w:r>
        <w:t>4</w:t>
      </w:r>
      <w:r>
        <w:rPr>
          <w:rFonts w:hint="eastAsia"/>
        </w:rPr>
        <w:t>条集中注意两个不同问题：一个是优惠待遇，另一个是保护母性。优惠待遇的目的是为了加快实现男女实际平等。所以公约第一条款的意图并不是鼓励或维持那种基于陈旧定型方法的对妇女的保护性条款，这些措施可能仅是暂时性的。然而该条第二部分确实允许保护性条款，但是这些条款应专门指保护母性，而对‘母性’的理解是在有限意义上的。</w:t>
      </w:r>
    </w:p>
    <w:p w:rsidR="00000000" w:rsidRDefault="00000000">
      <w:pPr>
        <w:autoSpaceDE w:val="0"/>
        <w:autoSpaceDN w:val="0"/>
        <w:spacing w:after="240" w:line="380" w:lineRule="exact"/>
        <w:ind w:firstLine="425"/>
        <w:textAlignment w:val="bottom"/>
      </w:pPr>
      <w:r>
        <w:rPr>
          <w:rFonts w:hint="eastAsia"/>
        </w:rPr>
        <w:t>最后，《妇女公约》第</w:t>
      </w:r>
      <w:r>
        <w:t>5</w:t>
      </w:r>
      <w:r>
        <w:rPr>
          <w:rFonts w:hint="eastAsia"/>
        </w:rPr>
        <w:t>条是论述涉及单个主题的具体条款之前公约的最后‘总标题’性条款。该条的目的是为了实现消除基于性别尊卑观念的习俗与偏见。为实现这一目标政府应采取一切适当措施。</w:t>
      </w:r>
    </w:p>
    <w:p w:rsidR="00000000" w:rsidRDefault="00000000">
      <w:pPr>
        <w:autoSpaceDE w:val="0"/>
        <w:autoSpaceDN w:val="0"/>
        <w:spacing w:after="240" w:line="380" w:lineRule="exact"/>
        <w:ind w:firstLine="425"/>
        <w:textAlignment w:val="bottom"/>
      </w:pPr>
      <w:r>
        <w:rPr>
          <w:rFonts w:hint="eastAsia"/>
        </w:rPr>
        <w:t>应当改变认为妇女低人一等的习俗和偏见，因为这种对性别的陈旧定型观念会阻碍妇女的发展，因而会对她们的健康产生负面影响。此外，保健本身出现的问题和部分是对定型作法的回答，是对妇女的期望值模式和对待妇女的方法都与对男子的不同。</w:t>
      </w:r>
    </w:p>
    <w:p w:rsidR="00000000" w:rsidRDefault="00000000">
      <w:pPr>
        <w:autoSpaceDE w:val="0"/>
        <w:autoSpaceDN w:val="0"/>
        <w:spacing w:after="240" w:line="380" w:lineRule="exact"/>
        <w:ind w:firstLine="425"/>
        <w:textAlignment w:val="bottom"/>
      </w:pPr>
      <w:r>
        <w:rPr>
          <w:rFonts w:hint="eastAsia"/>
        </w:rPr>
        <w:t>《妇女公约》各条款的内容不会减损其他公约产生的义务，认为这些义务将促进实现《妇女公约》提出的目标。</w:t>
      </w:r>
      <w:r>
        <w:rPr>
          <w:rStyle w:val="FootnoteReference"/>
        </w:rPr>
        <w:footnoteReference w:customMarkFollows="1" w:id="87"/>
        <w:t xml:space="preserve">42 </w:t>
      </w:r>
    </w:p>
    <w:p w:rsidR="00000000" w:rsidRDefault="00000000">
      <w:pPr>
        <w:tabs>
          <w:tab w:val="left" w:pos="495"/>
        </w:tabs>
        <w:autoSpaceDE w:val="0"/>
        <w:autoSpaceDN w:val="0"/>
        <w:spacing w:after="240" w:line="380" w:lineRule="exact"/>
        <w:textAlignment w:val="bottom"/>
        <w:rPr>
          <w:rFonts w:ascii="SimHei" w:eastAsia="SimHei"/>
          <w:sz w:val="24"/>
        </w:rPr>
      </w:pPr>
      <w:r>
        <w:rPr>
          <w:rFonts w:ascii="SimHei" w:eastAsia="SimHei"/>
          <w:sz w:val="24"/>
        </w:rPr>
        <w:t xml:space="preserve">2.6  </w:t>
      </w:r>
      <w:r>
        <w:rPr>
          <w:rFonts w:ascii="SimHei" w:eastAsia="SimHei" w:hint="eastAsia"/>
          <w:sz w:val="24"/>
        </w:rPr>
        <w:t>三种类型的义务</w:t>
      </w:r>
    </w:p>
    <w:p w:rsidR="00000000" w:rsidRDefault="00000000">
      <w:pPr>
        <w:autoSpaceDE w:val="0"/>
        <w:autoSpaceDN w:val="0"/>
        <w:spacing w:after="240" w:line="380" w:lineRule="exact"/>
        <w:ind w:firstLine="425"/>
        <w:textAlignment w:val="bottom"/>
      </w:pPr>
      <w:r>
        <w:rPr>
          <w:rFonts w:hint="eastAsia"/>
        </w:rPr>
        <w:t>《妇女公约》第</w:t>
      </w:r>
      <w:r>
        <w:t>12</w:t>
      </w:r>
      <w:r>
        <w:rPr>
          <w:rFonts w:hint="eastAsia"/>
        </w:rPr>
        <w:t>条第</w:t>
      </w:r>
      <w:r>
        <w:t>1</w:t>
      </w:r>
      <w:r>
        <w:rPr>
          <w:rFonts w:hint="eastAsia"/>
        </w:rPr>
        <w:t>款内容如下：</w:t>
      </w:r>
    </w:p>
    <w:p w:rsidR="00000000" w:rsidRDefault="00000000">
      <w:pPr>
        <w:autoSpaceDE w:val="0"/>
        <w:autoSpaceDN w:val="0"/>
        <w:spacing w:after="240" w:line="380" w:lineRule="exact"/>
        <w:ind w:firstLine="425"/>
        <w:textAlignment w:val="bottom"/>
      </w:pPr>
      <w:r>
        <w:rPr>
          <w:rFonts w:hint="eastAsia"/>
        </w:rPr>
        <w:t>缔约各国应采取一切适当措施以消除在保健方面对妇女的歧视，保证她们在男女平等的基础上取得各种包括有关计划生育的保健服务。</w:t>
      </w:r>
    </w:p>
    <w:p w:rsidR="00000000" w:rsidRDefault="00000000">
      <w:pPr>
        <w:autoSpaceDE w:val="0"/>
        <w:autoSpaceDN w:val="0"/>
        <w:spacing w:after="240" w:line="380" w:lineRule="exact"/>
        <w:ind w:firstLine="425"/>
        <w:textAlignment w:val="bottom"/>
      </w:pPr>
      <w:r>
        <w:rPr>
          <w:rFonts w:hint="eastAsia"/>
        </w:rPr>
        <w:t>第</w:t>
      </w:r>
      <w:r>
        <w:t>12</w:t>
      </w:r>
      <w:r>
        <w:rPr>
          <w:rFonts w:hint="eastAsia"/>
        </w:rPr>
        <w:t>条第</w:t>
      </w:r>
      <w:r>
        <w:t>1</w:t>
      </w:r>
      <w:r>
        <w:rPr>
          <w:rFonts w:hint="eastAsia"/>
        </w:rPr>
        <w:t>款的前半部分广义地说明了各缔约国基于第</w:t>
      </w:r>
      <w:r>
        <w:t>12</w:t>
      </w:r>
      <w:r>
        <w:rPr>
          <w:rFonts w:hint="eastAsia"/>
        </w:rPr>
        <w:t>条的义务：采取一切适当措施消除在保健服务方面对妇女的歧视。第</w:t>
      </w:r>
      <w:r>
        <w:t>12</w:t>
      </w:r>
      <w:r>
        <w:rPr>
          <w:rFonts w:hint="eastAsia"/>
        </w:rPr>
        <w:t>条第</w:t>
      </w:r>
      <w:r>
        <w:t>1</w:t>
      </w:r>
      <w:r>
        <w:rPr>
          <w:rFonts w:hint="eastAsia"/>
        </w:rPr>
        <w:t>款第二部分指出这些措施应实现的目标：‘以保证她们在男女平等的基础上取得各种保健服务，……’。考虑到前一部分已明确阐明的义务（消除保健方面的歧视），似乎有理的是第二部分的指示性标准也扩大到整个保健领域，不仅是狭意的医疗领域。</w:t>
      </w:r>
      <w:r>
        <w:rPr>
          <w:rStyle w:val="FootnoteReference"/>
        </w:rPr>
        <w:footnoteReference w:customMarkFollows="1" w:id="88"/>
        <w:t>43</w:t>
      </w:r>
      <w:r>
        <w:rPr>
          <w:rFonts w:hint="eastAsia"/>
        </w:rPr>
        <w:t>关于第</w:t>
      </w:r>
      <w:r>
        <w:t>12</w:t>
      </w:r>
      <w:r>
        <w:rPr>
          <w:rFonts w:hint="eastAsia"/>
        </w:rPr>
        <w:t>条第</w:t>
      </w:r>
      <w:r>
        <w:t>1</w:t>
      </w:r>
      <w:r>
        <w:rPr>
          <w:rFonts w:hint="eastAsia"/>
        </w:rPr>
        <w:t>款第二部分谈到的‘包括有关计划生育的保健服务’，公约的起草人并未提供更多详细内容。</w:t>
      </w:r>
    </w:p>
    <w:p w:rsidR="00000000" w:rsidRDefault="00000000">
      <w:pPr>
        <w:autoSpaceDE w:val="0"/>
        <w:autoSpaceDN w:val="0"/>
        <w:spacing w:after="240" w:line="380" w:lineRule="exact"/>
        <w:ind w:firstLine="425"/>
        <w:textAlignment w:val="bottom"/>
      </w:pPr>
      <w:r>
        <w:rPr>
          <w:rFonts w:hint="eastAsia"/>
        </w:rPr>
        <w:t>然后我们再看第</w:t>
      </w:r>
      <w:r>
        <w:t>12</w:t>
      </w:r>
      <w:r>
        <w:rPr>
          <w:rFonts w:hint="eastAsia"/>
        </w:rPr>
        <w:t>条的第</w:t>
      </w:r>
      <w:r>
        <w:t>2</w:t>
      </w:r>
      <w:r>
        <w:rPr>
          <w:rFonts w:hint="eastAsia"/>
        </w:rPr>
        <w:t>款：</w:t>
      </w:r>
    </w:p>
    <w:p w:rsidR="00000000" w:rsidRDefault="00000000">
      <w:pPr>
        <w:autoSpaceDE w:val="0"/>
        <w:autoSpaceDN w:val="0"/>
        <w:spacing w:after="240" w:line="380" w:lineRule="exact"/>
        <w:ind w:firstLine="425"/>
        <w:textAlignment w:val="bottom"/>
      </w:pPr>
      <w:r>
        <w:rPr>
          <w:rFonts w:hint="eastAsia"/>
        </w:rPr>
        <w:t>尽管有本条第</w:t>
      </w:r>
      <w:r>
        <w:t>1</w:t>
      </w:r>
      <w:r>
        <w:rPr>
          <w:rFonts w:hint="eastAsia"/>
        </w:rPr>
        <w:t>款的规定，缔约各国应保证为妇女提供有关怀孕、分娩和产后期间的适当服务、必要时予以免费，并保证在怀孕和哺乳期间得到充分营养。</w:t>
      </w:r>
    </w:p>
    <w:p w:rsidR="00000000" w:rsidRDefault="00000000">
      <w:pPr>
        <w:autoSpaceDE w:val="0"/>
        <w:autoSpaceDN w:val="0"/>
        <w:spacing w:after="240" w:line="400" w:lineRule="exact"/>
        <w:ind w:firstLine="425"/>
        <w:textAlignment w:val="bottom"/>
      </w:pPr>
      <w:r>
        <w:rPr>
          <w:rFonts w:hint="eastAsia"/>
        </w:rPr>
        <w:t>第</w:t>
      </w:r>
      <w:r>
        <w:t>12</w:t>
      </w:r>
      <w:r>
        <w:rPr>
          <w:rFonts w:hint="eastAsia"/>
        </w:rPr>
        <w:t>条第</w:t>
      </w:r>
      <w:r>
        <w:t>2</w:t>
      </w:r>
      <w:r>
        <w:rPr>
          <w:rFonts w:hint="eastAsia"/>
        </w:rPr>
        <w:t>款规定各国应提供与怀孕和分娩有关的足够便利条件。这就形成了第</w:t>
      </w:r>
      <w:r>
        <w:t>1</w:t>
      </w:r>
      <w:r>
        <w:rPr>
          <w:rFonts w:hint="eastAsia"/>
        </w:rPr>
        <w:t>款中所说的保健领域男女正式平等待遇的指令的一种例外（实际上是一种补充）。这一款可以解释为对实质性平等愿望的承认，在这个过程中以积极的态度考虑到了人与人和群体与群体之间的性别及其他差异。然而，（‘尽管’）公约起草者通过把第</w:t>
      </w:r>
      <w:r>
        <w:t>2</w:t>
      </w:r>
      <w:r>
        <w:rPr>
          <w:rFonts w:hint="eastAsia"/>
        </w:rPr>
        <w:t>款说成是平等原则的一种例外，其意图是为了防止这类便利条件有可能会因对禁止歧视的正式解释而成为牺性品。</w:t>
      </w:r>
      <w:r>
        <w:rPr>
          <w:rStyle w:val="FootnoteReference"/>
        </w:rPr>
        <w:footnoteReference w:customMarkFollows="1" w:id="89"/>
        <w:t>44</w:t>
      </w:r>
    </w:p>
    <w:p w:rsidR="00000000" w:rsidRDefault="00000000">
      <w:pPr>
        <w:autoSpaceDE w:val="0"/>
        <w:autoSpaceDN w:val="0"/>
        <w:spacing w:after="240" w:line="400" w:lineRule="exact"/>
        <w:ind w:firstLine="425"/>
        <w:textAlignment w:val="bottom"/>
      </w:pPr>
      <w:r>
        <w:rPr>
          <w:rFonts w:hint="eastAsia"/>
        </w:rPr>
        <w:t>现在这些公约条款产生了哪些具体的缔约国义务呢？</w:t>
      </w:r>
      <w:r>
        <w:rPr>
          <w:rStyle w:val="FootnoteReference"/>
        </w:rPr>
        <w:footnoteReference w:customMarkFollows="1" w:id="90"/>
        <w:t>45</w:t>
      </w:r>
      <w:r>
        <w:t xml:space="preserve"> </w:t>
      </w:r>
    </w:p>
    <w:p w:rsidR="00000000" w:rsidRDefault="00000000">
      <w:pPr>
        <w:autoSpaceDE w:val="0"/>
        <w:autoSpaceDN w:val="0"/>
        <w:spacing w:after="240" w:line="400" w:lineRule="exact"/>
        <w:ind w:firstLine="425"/>
        <w:textAlignment w:val="bottom"/>
      </w:pPr>
      <w:r>
        <w:rPr>
          <w:rFonts w:hint="eastAsia"/>
        </w:rPr>
        <w:t>为了正确了解一部公约，把人权公约为政府规定的义务加以分类是有益的。通常使用的分类方法是挪威人权专家</w:t>
      </w:r>
      <w:r>
        <w:t>Eide</w:t>
      </w:r>
      <w:r>
        <w:rPr>
          <w:rFonts w:hint="eastAsia"/>
        </w:rPr>
        <w:t>提出的：尊重、保护和实现。</w:t>
      </w:r>
      <w:r>
        <w:rPr>
          <w:rStyle w:val="FootnoteReference"/>
        </w:rPr>
        <w:footnoteReference w:customMarkFollows="1" w:id="91"/>
        <w:t>46</w:t>
      </w:r>
      <w:r>
        <w:t xml:space="preserve"> </w:t>
      </w:r>
      <w:r>
        <w:rPr>
          <w:rFonts w:hint="eastAsia"/>
        </w:rPr>
        <w:t>《妇女公约》产生的义务也可分为不同三类：</w:t>
      </w:r>
    </w:p>
    <w:p w:rsidR="00000000" w:rsidRDefault="00000000">
      <w:pPr>
        <w:numPr>
          <w:ilvl w:val="0"/>
          <w:numId w:val="13"/>
        </w:numPr>
        <w:tabs>
          <w:tab w:val="left" w:pos="390"/>
        </w:tabs>
        <w:autoSpaceDE w:val="0"/>
        <w:autoSpaceDN w:val="0"/>
        <w:spacing w:after="240" w:line="400" w:lineRule="exact"/>
        <w:ind w:left="960" w:hanging="535"/>
        <w:textAlignment w:val="bottom"/>
      </w:pPr>
      <w:r>
        <w:rPr>
          <w:rFonts w:hint="eastAsia"/>
        </w:rPr>
        <w:t>应保证</w:t>
      </w:r>
      <w:r>
        <w:t>/</w:t>
      </w:r>
      <w:r>
        <w:rPr>
          <w:rFonts w:hint="eastAsia"/>
        </w:rPr>
        <w:t>给予</w:t>
      </w:r>
      <w:r>
        <w:t>/</w:t>
      </w:r>
      <w:r>
        <w:rPr>
          <w:rFonts w:hint="eastAsia"/>
        </w:rPr>
        <w:t>赋予权利；</w:t>
      </w:r>
    </w:p>
    <w:p w:rsidR="00000000" w:rsidRDefault="00000000">
      <w:pPr>
        <w:numPr>
          <w:ilvl w:val="0"/>
          <w:numId w:val="13"/>
        </w:numPr>
        <w:tabs>
          <w:tab w:val="left" w:pos="390"/>
        </w:tabs>
        <w:autoSpaceDE w:val="0"/>
        <w:autoSpaceDN w:val="0"/>
        <w:spacing w:after="240" w:line="400" w:lineRule="exact"/>
        <w:ind w:left="960" w:hanging="535"/>
        <w:textAlignment w:val="bottom"/>
      </w:pPr>
      <w:r>
        <w:rPr>
          <w:rFonts w:hint="eastAsia"/>
        </w:rPr>
        <w:t>承诺；</w:t>
      </w:r>
    </w:p>
    <w:p w:rsidR="00000000" w:rsidRDefault="00000000">
      <w:pPr>
        <w:numPr>
          <w:ilvl w:val="0"/>
          <w:numId w:val="13"/>
        </w:numPr>
        <w:tabs>
          <w:tab w:val="left" w:pos="390"/>
        </w:tabs>
        <w:autoSpaceDE w:val="0"/>
        <w:autoSpaceDN w:val="0"/>
        <w:spacing w:after="240" w:line="400" w:lineRule="exact"/>
        <w:ind w:left="960" w:hanging="535"/>
        <w:textAlignment w:val="bottom"/>
      </w:pPr>
      <w:r>
        <w:rPr>
          <w:rFonts w:hint="eastAsia"/>
        </w:rPr>
        <w:t>应采取一切适当措施加以保证。</w:t>
      </w:r>
    </w:p>
    <w:p w:rsidR="00000000" w:rsidRDefault="00000000">
      <w:pPr>
        <w:autoSpaceDE w:val="0"/>
        <w:autoSpaceDN w:val="0"/>
        <w:spacing w:after="240" w:line="400" w:lineRule="exact"/>
        <w:ind w:firstLine="425"/>
        <w:textAlignment w:val="bottom"/>
      </w:pPr>
      <w:r>
        <w:rPr>
          <w:rFonts w:hint="eastAsia"/>
        </w:rPr>
        <w:t>鉴于第一类和第二类条款中用词的强制性，对义务进行司法评估不应造成任何问题。</w:t>
      </w:r>
      <w:r>
        <w:rPr>
          <w:rStyle w:val="FootnoteReference"/>
        </w:rPr>
        <w:footnoteReference w:customMarkFollows="1" w:id="92"/>
        <w:t>47</w:t>
      </w:r>
      <w:r>
        <w:t xml:space="preserve"> </w:t>
      </w:r>
      <w:r>
        <w:rPr>
          <w:rFonts w:hint="eastAsia"/>
        </w:rPr>
        <w:t>第一类产生的义务，‘保证’某种权利明显包含可核查和可执行的义务。</w:t>
      </w:r>
      <w:r>
        <w:rPr>
          <w:rStyle w:val="FootnoteReference"/>
        </w:rPr>
        <w:footnoteReference w:customMarkFollows="1" w:id="93"/>
        <w:t>48</w:t>
      </w:r>
      <w:r>
        <w:rPr>
          <w:rFonts w:hint="eastAsia"/>
        </w:rPr>
        <w:t>由于同样的原因，第二类义务与‘承诺’有关，看来在法律上也是不执行的。第三类义务（‘采取适当措施’）不是很强制性。除了采取适当措施之外，短语‘以保证’是一项第一类义务。由此可以得出结论，各国不能推迟采取行动，而必须实际开始采取措施。</w:t>
      </w:r>
    </w:p>
    <w:p w:rsidR="00000000" w:rsidRDefault="00000000">
      <w:pPr>
        <w:autoSpaceDE w:val="0"/>
        <w:autoSpaceDN w:val="0"/>
        <w:spacing w:after="240" w:line="400" w:lineRule="exact"/>
        <w:textAlignment w:val="bottom"/>
        <w:rPr>
          <w:rFonts w:ascii="楷体" w:eastAsia="楷体"/>
        </w:rPr>
      </w:pPr>
      <w:r>
        <w:rPr>
          <w:rFonts w:ascii="楷体" w:eastAsia="楷体" w:hint="eastAsia"/>
        </w:rPr>
        <w:t>第</w:t>
      </w:r>
      <w:r>
        <w:rPr>
          <w:rFonts w:ascii="楷体" w:eastAsia="楷体"/>
        </w:rPr>
        <w:t>12</w:t>
      </w:r>
      <w:r>
        <w:rPr>
          <w:rFonts w:ascii="楷体" w:eastAsia="楷体" w:hint="eastAsia"/>
        </w:rPr>
        <w:t>条第</w:t>
      </w:r>
      <w:r>
        <w:rPr>
          <w:rFonts w:ascii="楷体" w:eastAsia="楷体"/>
        </w:rPr>
        <w:t>1</w:t>
      </w:r>
      <w:r>
        <w:rPr>
          <w:rFonts w:ascii="楷体" w:eastAsia="楷体" w:hint="eastAsia"/>
        </w:rPr>
        <w:t>款</w:t>
      </w:r>
    </w:p>
    <w:p w:rsidR="00000000" w:rsidRDefault="00000000">
      <w:pPr>
        <w:autoSpaceDE w:val="0"/>
        <w:autoSpaceDN w:val="0"/>
        <w:spacing w:after="240" w:line="400" w:lineRule="exact"/>
        <w:ind w:firstLine="425"/>
        <w:textAlignment w:val="bottom"/>
      </w:pPr>
      <w:r>
        <w:rPr>
          <w:rFonts w:hint="eastAsia"/>
        </w:rPr>
        <w:t>第</w:t>
      </w:r>
      <w:r>
        <w:t>12</w:t>
      </w:r>
      <w:r>
        <w:rPr>
          <w:rFonts w:hint="eastAsia"/>
        </w:rPr>
        <w:t>条第</w:t>
      </w:r>
      <w:r>
        <w:t>1</w:t>
      </w:r>
      <w:r>
        <w:rPr>
          <w:rFonts w:hint="eastAsia"/>
        </w:rPr>
        <w:t>款包括一项第三类义务：各国‘采取一切适当措施（……）以保证’在男女平等的基础上取得保健服务。这里看来强调的是‘平等’而不是获得本身。当某一群体提出要求政府资助的或补贴的保健权时，平等的原则意味着有类似保健需求的其他人也可以提出要求这种保健权，除非有理由依据合理的客观标准加以区分。</w:t>
      </w:r>
    </w:p>
    <w:p w:rsidR="00000000" w:rsidRDefault="00000000">
      <w:pPr>
        <w:autoSpaceDE w:val="0"/>
        <w:autoSpaceDN w:val="0"/>
        <w:spacing w:after="240" w:line="400" w:lineRule="exact"/>
        <w:ind w:firstLine="425"/>
        <w:textAlignment w:val="bottom"/>
      </w:pPr>
      <w:r>
        <w:rPr>
          <w:rFonts w:hint="eastAsia"/>
        </w:rPr>
        <w:t>《妇女公约》第</w:t>
      </w:r>
      <w:r>
        <w:t>12</w:t>
      </w:r>
      <w:r>
        <w:rPr>
          <w:rFonts w:hint="eastAsia"/>
        </w:rPr>
        <w:t>条第</w:t>
      </w:r>
      <w:r>
        <w:t>1</w:t>
      </w:r>
      <w:r>
        <w:rPr>
          <w:rFonts w:hint="eastAsia"/>
        </w:rPr>
        <w:t>款在确立保健权利要求时似乎包含的不只是任意禁止。国家似乎有比该条可修改的措词所表示的要小的自行决定权。从准备工作文件可以得出结论，对第</w:t>
      </w:r>
      <w:r>
        <w:t>12</w:t>
      </w:r>
      <w:r>
        <w:rPr>
          <w:rFonts w:hint="eastAsia"/>
        </w:rPr>
        <w:t>条第</w:t>
      </w:r>
      <w:r>
        <w:t>1</w:t>
      </w:r>
      <w:r>
        <w:rPr>
          <w:rFonts w:hint="eastAsia"/>
        </w:rPr>
        <w:t>款的前半句和后半句加以区别是有可能的。‘采取适当措施’这部分属于第三类，因此很少能评价，但是‘以保证’属于第一类，这意味着原则上完全可以全面评价</w:t>
      </w:r>
      <w:r>
        <w:rPr>
          <w:rStyle w:val="FootnoteReference"/>
        </w:rPr>
        <w:footnoteReference w:customMarkFollows="1" w:id="94"/>
        <w:t>49</w:t>
      </w:r>
      <w:r>
        <w:rPr>
          <w:rFonts w:hint="eastAsia"/>
        </w:rPr>
        <w:t>。</w:t>
      </w:r>
      <w:r>
        <w:t xml:space="preserve"> </w:t>
      </w:r>
      <w:r>
        <w:rPr>
          <w:rFonts w:hint="eastAsia"/>
        </w:rPr>
        <w:t>因此没有‘在男女平等的基础上得到保健服务’的妇女可以向法院申诉，尽管评价所采取措施的‘适合性’仍然很困难。</w:t>
      </w:r>
    </w:p>
    <w:p w:rsidR="00000000" w:rsidRDefault="00000000">
      <w:pPr>
        <w:autoSpaceDE w:val="0"/>
        <w:autoSpaceDN w:val="0"/>
        <w:spacing w:after="240" w:line="400" w:lineRule="exact"/>
        <w:ind w:firstLine="425"/>
        <w:textAlignment w:val="bottom"/>
      </w:pPr>
      <w:r>
        <w:rPr>
          <w:rFonts w:hint="eastAsia"/>
        </w:rPr>
        <w:t>应从实质意义去理解政府努力争取提供平等保健机会的义务。缔约各国不能通过引证它们不处理某些仅发生在妇女中的健康问题并不就是歧视这一点来摆脱这种义务。</w:t>
      </w:r>
      <w:r>
        <w:rPr>
          <w:rStyle w:val="FootnoteReference"/>
        </w:rPr>
        <w:footnoteReference w:customMarkFollows="1" w:id="95"/>
        <w:t>50</w:t>
      </w:r>
    </w:p>
    <w:p w:rsidR="00000000" w:rsidRDefault="00000000">
      <w:pPr>
        <w:autoSpaceDE w:val="0"/>
        <w:autoSpaceDN w:val="0"/>
        <w:spacing w:after="240" w:line="400" w:lineRule="exact"/>
        <w:ind w:firstLine="425"/>
        <w:textAlignment w:val="bottom"/>
      </w:pPr>
      <w:r>
        <w:rPr>
          <w:rFonts w:hint="eastAsia"/>
        </w:rPr>
        <w:t>第</w:t>
      </w:r>
      <w:r>
        <w:t>12</w:t>
      </w:r>
      <w:r>
        <w:rPr>
          <w:rFonts w:hint="eastAsia"/>
        </w:rPr>
        <w:t>条第</w:t>
      </w:r>
      <w:r>
        <w:t>1</w:t>
      </w:r>
      <w:r>
        <w:rPr>
          <w:rFonts w:hint="eastAsia"/>
        </w:rPr>
        <w:t>款不给减少已获得的保健权利要求留有余地。政府应考虑到处于贫困状况的群体，并确保他们已获得的保健权利在今后仍有保障。例如，在作出影响妇女保健的经济削减时，应首先把围绕这种保健的知识和经验转移到标准一揽子保健。</w:t>
      </w:r>
    </w:p>
    <w:p w:rsidR="00000000" w:rsidRDefault="00000000">
      <w:pPr>
        <w:autoSpaceDE w:val="0"/>
        <w:autoSpaceDN w:val="0"/>
        <w:spacing w:after="240" w:line="400" w:lineRule="exact"/>
        <w:ind w:firstLine="425"/>
        <w:textAlignment w:val="bottom"/>
      </w:pPr>
      <w:r>
        <w:rPr>
          <w:rFonts w:hint="eastAsia"/>
        </w:rPr>
        <w:t>当政府认为不可避免地要降低妇女保健权利水平时，它有责任为此举证。</w:t>
      </w:r>
    </w:p>
    <w:p w:rsidR="00000000" w:rsidRDefault="00000000">
      <w:pPr>
        <w:autoSpaceDE w:val="0"/>
        <w:autoSpaceDN w:val="0"/>
        <w:spacing w:after="240" w:line="400" w:lineRule="exact"/>
        <w:ind w:firstLine="425"/>
        <w:textAlignment w:val="bottom"/>
      </w:pPr>
      <w:r>
        <w:rPr>
          <w:rFonts w:hint="eastAsia"/>
        </w:rPr>
        <w:t>《妇女公约》第</w:t>
      </w:r>
      <w:r>
        <w:t>12</w:t>
      </w:r>
      <w:r>
        <w:rPr>
          <w:rFonts w:hint="eastAsia"/>
        </w:rPr>
        <w:t>条第</w:t>
      </w:r>
      <w:r>
        <w:t>1</w:t>
      </w:r>
      <w:r>
        <w:rPr>
          <w:rFonts w:hint="eastAsia"/>
        </w:rPr>
        <w:t>款中‘适当措施’这个词也可与上述的《妇女公约》第</w:t>
      </w:r>
      <w:r>
        <w:t>2</w:t>
      </w:r>
      <w:r>
        <w:rPr>
          <w:rFonts w:hint="eastAsia"/>
        </w:rPr>
        <w:t>和</w:t>
      </w:r>
      <w:r>
        <w:t>3</w:t>
      </w:r>
      <w:r>
        <w:rPr>
          <w:rFonts w:hint="eastAsia"/>
        </w:rPr>
        <w:t>条联系起来看待。《妇女公约》不仅使提出和修改法律和法规成为义务，而且意味着采取措施（或一组措施）也是义务。</w:t>
      </w:r>
      <w:r>
        <w:rPr>
          <w:rStyle w:val="FootnoteReference"/>
        </w:rPr>
        <w:footnoteReference w:customMarkFollows="1" w:id="96"/>
        <w:t>51</w:t>
      </w:r>
      <w:r>
        <w:rPr>
          <w:rFonts w:hint="eastAsia"/>
        </w:rPr>
        <w:t>按照《经济、社会、文化权利国际公约》委员会的规定，适当措施的概念是指依靠政府立即开始采取措施来履行所说的义务。</w:t>
      </w:r>
      <w:r>
        <w:rPr>
          <w:rStyle w:val="FootnoteReference"/>
        </w:rPr>
        <w:footnoteReference w:customMarkFollows="1" w:id="97"/>
        <w:t>52</w:t>
      </w:r>
      <w:r>
        <w:rPr>
          <w:rFonts w:hint="eastAsia"/>
        </w:rPr>
        <w:t>简言之各国政府根据它们自己的速度、按它们自己的意见履行公约义务的自主决定权并没有想象的那么大。</w:t>
      </w:r>
    </w:p>
    <w:p w:rsidR="00000000" w:rsidRDefault="00000000">
      <w:pPr>
        <w:autoSpaceDE w:val="0"/>
        <w:autoSpaceDN w:val="0"/>
        <w:spacing w:after="240" w:line="400" w:lineRule="exact"/>
        <w:textAlignment w:val="bottom"/>
        <w:rPr>
          <w:rFonts w:ascii="楷体" w:eastAsia="楷体"/>
        </w:rPr>
      </w:pPr>
      <w:r>
        <w:rPr>
          <w:rFonts w:ascii="楷体" w:eastAsia="楷体" w:hint="eastAsia"/>
        </w:rPr>
        <w:t>第</w:t>
      </w:r>
      <w:r>
        <w:rPr>
          <w:rFonts w:ascii="楷体" w:eastAsia="楷体"/>
        </w:rPr>
        <w:t>12</w:t>
      </w:r>
      <w:r>
        <w:rPr>
          <w:rFonts w:ascii="楷体" w:eastAsia="楷体" w:hint="eastAsia"/>
        </w:rPr>
        <w:t>条第</w:t>
      </w:r>
      <w:r>
        <w:rPr>
          <w:rFonts w:ascii="楷体" w:eastAsia="楷体"/>
        </w:rPr>
        <w:t>2</w:t>
      </w:r>
      <w:r>
        <w:rPr>
          <w:rFonts w:ascii="楷体" w:eastAsia="楷体" w:hint="eastAsia"/>
        </w:rPr>
        <w:t>款</w:t>
      </w:r>
    </w:p>
    <w:p w:rsidR="00000000" w:rsidRDefault="00000000">
      <w:pPr>
        <w:autoSpaceDE w:val="0"/>
        <w:autoSpaceDN w:val="0"/>
        <w:spacing w:after="240" w:line="400" w:lineRule="exact"/>
        <w:ind w:firstLine="425"/>
        <w:textAlignment w:val="bottom"/>
      </w:pPr>
      <w:r>
        <w:rPr>
          <w:rFonts w:hint="eastAsia"/>
        </w:rPr>
        <w:t>第</w:t>
      </w:r>
      <w:r>
        <w:t>12</w:t>
      </w:r>
      <w:r>
        <w:rPr>
          <w:rFonts w:hint="eastAsia"/>
        </w:rPr>
        <w:t>条第</w:t>
      </w:r>
      <w:r>
        <w:t>2</w:t>
      </w:r>
      <w:r>
        <w:rPr>
          <w:rFonts w:hint="eastAsia"/>
        </w:rPr>
        <w:t>款规定各国政府应‘保证’提供与怀孕和分娩有关的服务。因此这项属于第一类的义务是最具体的，可以通过公约由政府承担。只有在特殊情况下政府才能避开履行这项义务的责任。与第</w:t>
      </w:r>
      <w:r>
        <w:t>1</w:t>
      </w:r>
      <w:r>
        <w:rPr>
          <w:rFonts w:hint="eastAsia"/>
        </w:rPr>
        <w:t>款不同第</w:t>
      </w:r>
      <w:r>
        <w:t>2</w:t>
      </w:r>
      <w:r>
        <w:rPr>
          <w:rFonts w:hint="eastAsia"/>
        </w:rPr>
        <w:t>款不承担‘平等取得’而是‘保证’具体的保健权利，必要时予以免费。在这里必须加以考虑的不仅有通常提供的东西，如信息和指导，而且有具体设施，如计划生育诊所。因此第</w:t>
      </w:r>
      <w:r>
        <w:t>12</w:t>
      </w:r>
      <w:r>
        <w:rPr>
          <w:rFonts w:hint="eastAsia"/>
        </w:rPr>
        <w:t>条第</w:t>
      </w:r>
      <w:r>
        <w:t>2</w:t>
      </w:r>
      <w:r>
        <w:rPr>
          <w:rFonts w:hint="eastAsia"/>
        </w:rPr>
        <w:t>款比仅仅禁止歧视又前进了一步，因为它要求各国政府强调无条件地提供与怀孕和分娩有关的便利条件。</w:t>
      </w:r>
      <w:r>
        <w:rPr>
          <w:rStyle w:val="FootnoteReference"/>
        </w:rPr>
        <w:footnoteReference w:customMarkFollows="1" w:id="98"/>
        <w:t>53</w:t>
      </w:r>
    </w:p>
    <w:p w:rsidR="00000000" w:rsidRDefault="00000000">
      <w:pPr>
        <w:autoSpaceDE w:val="0"/>
        <w:autoSpaceDN w:val="0"/>
        <w:spacing w:after="240" w:line="400" w:lineRule="exact"/>
        <w:ind w:firstLine="425"/>
        <w:textAlignment w:val="bottom"/>
      </w:pPr>
      <w:r>
        <w:rPr>
          <w:rFonts w:hint="eastAsia"/>
        </w:rPr>
        <w:t>对于保健的这种形式的保证会从各方面受到威胁。提供的保健不足会造成等待的人很多。服务质量欠佳意味着妇女不得不自己花钱另寻保健等等。这就造成了寻求帮助的人真正能从‘保证’这个词得到何种权利的问题。这个问题的答案有两个：一个以最低要求观点为依据，另一个以最高要求观点为依据。</w:t>
      </w:r>
      <w:r>
        <w:rPr>
          <w:rStyle w:val="FootnoteReference"/>
        </w:rPr>
        <w:footnoteReference w:customMarkFollows="1" w:id="99"/>
        <w:t>54</w:t>
      </w:r>
    </w:p>
    <w:p w:rsidR="00000000" w:rsidRDefault="00000000">
      <w:pPr>
        <w:autoSpaceDE w:val="0"/>
        <w:autoSpaceDN w:val="0"/>
        <w:spacing w:after="240" w:line="400" w:lineRule="exact"/>
        <w:ind w:firstLine="425"/>
        <w:textAlignment w:val="bottom"/>
      </w:pPr>
      <w:r>
        <w:rPr>
          <w:rFonts w:hint="eastAsia"/>
        </w:rPr>
        <w:t>最低要求的观点认为在保证保健权利时并没降低妇女的法律地位。为此目的在提出保健权利要求时既不允许直接歧视也不允许间接歧视。对妇女也不得实行降低标准的政策。这样一种政策意味着努力争取实现男女形式上的平等，但并不重视形式上的平等（在这种情况下）的实际结果会有损于妇女地位这一事实。还应不断审查最低标准，同时不允许义务的核心内容受到影响。</w:t>
      </w:r>
    </w:p>
    <w:p w:rsidR="00000000" w:rsidRDefault="00000000">
      <w:pPr>
        <w:autoSpaceDE w:val="0"/>
        <w:autoSpaceDN w:val="0"/>
        <w:spacing w:after="240" w:line="400" w:lineRule="exact"/>
        <w:ind w:firstLine="425"/>
        <w:textAlignment w:val="bottom"/>
      </w:pPr>
      <w:r>
        <w:rPr>
          <w:rFonts w:hint="eastAsia"/>
        </w:rPr>
        <w:t>最高要求的观点认为保证保健要求应为有助于实现男女实质性平等的新保健要求留有余地。因此这一政策的目标是改善妇女的实际状况。</w:t>
      </w:r>
    </w:p>
    <w:p w:rsidR="00000000" w:rsidRDefault="00000000">
      <w:pPr>
        <w:tabs>
          <w:tab w:val="left" w:pos="495"/>
        </w:tabs>
        <w:autoSpaceDE w:val="0"/>
        <w:autoSpaceDN w:val="0"/>
        <w:spacing w:after="240" w:line="400" w:lineRule="exact"/>
        <w:textAlignment w:val="bottom"/>
        <w:rPr>
          <w:rFonts w:ascii="SimHei" w:eastAsia="SimHei"/>
          <w:sz w:val="24"/>
        </w:rPr>
      </w:pPr>
      <w:r>
        <w:rPr>
          <w:rFonts w:ascii="SimHei" w:eastAsia="SimHei"/>
          <w:sz w:val="24"/>
        </w:rPr>
        <w:t xml:space="preserve">2.7  </w:t>
      </w:r>
      <w:r>
        <w:rPr>
          <w:rFonts w:ascii="SimHei" w:eastAsia="SimHei" w:hint="eastAsia"/>
          <w:sz w:val="24"/>
        </w:rPr>
        <w:t>执行</w:t>
      </w:r>
    </w:p>
    <w:p w:rsidR="00000000" w:rsidRDefault="00000000">
      <w:pPr>
        <w:autoSpaceDE w:val="0"/>
        <w:autoSpaceDN w:val="0"/>
        <w:spacing w:after="240" w:line="400" w:lineRule="exact"/>
        <w:ind w:firstLine="425"/>
        <w:textAlignment w:val="bottom"/>
      </w:pPr>
      <w:r>
        <w:rPr>
          <w:rFonts w:hint="eastAsia"/>
        </w:rPr>
        <w:t>在过去几年里联合国组织了一些关于对全世界妇女都重要的议题的重要会议。这些会议是阐明人权也包括《妇女公约》条款的权利的意义的最佳场所。</w:t>
      </w:r>
    </w:p>
    <w:p w:rsidR="00000000" w:rsidRDefault="00000000">
      <w:pPr>
        <w:autoSpaceDE w:val="0"/>
        <w:autoSpaceDN w:val="0"/>
        <w:spacing w:after="240" w:line="400" w:lineRule="exact"/>
        <w:ind w:firstLine="425"/>
        <w:textAlignment w:val="bottom"/>
      </w:pPr>
      <w:r>
        <w:rPr>
          <w:rFonts w:hint="eastAsia"/>
        </w:rPr>
        <w:t>可从近期世界会议的讨论和最后报告得出这样的结论，打击性虐待和消除直接或间接构成对实现妇女健康权威胁的其他习俗和做法正变得越来越有价值。在各种不同的世界和妇女会议上的深入讨论都涉及到性不平等、妇女健康不佳与妇女保健不足之间的联系。可以找到有关这些讨论结果的文件之一是北京第四次妇女问题世界会议的最后报告。</w:t>
      </w:r>
      <w:r>
        <w:rPr>
          <w:rStyle w:val="FootnoteReference"/>
        </w:rPr>
        <w:footnoteReference w:customMarkFollows="1" w:id="100"/>
        <w:t>55</w:t>
      </w:r>
      <w:r>
        <w:rPr>
          <w:rFonts w:hint="eastAsia"/>
        </w:rPr>
        <w:t>在列举了许多问题之后该文件确定了下列目标：</w:t>
      </w:r>
    </w:p>
    <w:p w:rsidR="00000000" w:rsidRDefault="00000000">
      <w:pPr>
        <w:autoSpaceDE w:val="0"/>
        <w:autoSpaceDN w:val="0"/>
        <w:spacing w:after="240" w:line="400" w:lineRule="exact"/>
        <w:ind w:firstLine="425"/>
        <w:textAlignment w:val="bottom"/>
      </w:pPr>
      <w:r>
        <w:rPr>
          <w:rFonts w:hint="eastAsia"/>
        </w:rPr>
        <w:t>增加妇女在整个生命周期内获得恰当、担负得起和优质的保健、资料和有关服务的机会。</w:t>
      </w:r>
      <w:r>
        <w:rPr>
          <w:rStyle w:val="FootnoteReference"/>
        </w:rPr>
        <w:footnoteReference w:customMarkFollows="1" w:id="101"/>
        <w:t>56</w:t>
      </w:r>
    </w:p>
    <w:p w:rsidR="00000000" w:rsidRDefault="00000000">
      <w:pPr>
        <w:autoSpaceDE w:val="0"/>
        <w:autoSpaceDN w:val="0"/>
        <w:spacing w:after="240" w:line="400" w:lineRule="exact"/>
        <w:ind w:firstLine="425"/>
        <w:textAlignment w:val="bottom"/>
      </w:pPr>
      <w:r>
        <w:rPr>
          <w:rFonts w:hint="eastAsia"/>
        </w:rPr>
        <w:t>与其他国际公约不同，《妇女公约》没有任何个人申诉处理程序。</w:t>
      </w:r>
      <w:r>
        <w:rPr>
          <w:rStyle w:val="FootnoteReference"/>
        </w:rPr>
        <w:footnoteReference w:customMarkFollows="1" w:id="102"/>
        <w:t>57</w:t>
      </w:r>
      <w:r>
        <w:rPr>
          <w:rFonts w:hint="eastAsia"/>
        </w:rPr>
        <w:t>但是《妇女公约》规定了缔约国定期报告的义务。所提交的报告将由消除对妇女歧视委员会审议。严格地执行会加强《妇女公约》的价值。除其他因素外，这种执行取决于该委员会实现监督任务的方法。</w:t>
      </w:r>
    </w:p>
    <w:p w:rsidR="00000000" w:rsidRDefault="00000000">
      <w:pPr>
        <w:autoSpaceDE w:val="0"/>
        <w:autoSpaceDN w:val="0"/>
        <w:spacing w:after="240" w:line="400" w:lineRule="exact"/>
        <w:ind w:firstLine="425"/>
        <w:textAlignment w:val="bottom"/>
      </w:pPr>
      <w:r>
        <w:rPr>
          <w:rFonts w:hint="eastAsia"/>
        </w:rPr>
        <w:t>消除对妇女歧视委员会从</w:t>
      </w:r>
      <w:r>
        <w:t>1986</w:t>
      </w:r>
      <w:r>
        <w:rPr>
          <w:rFonts w:hint="eastAsia"/>
        </w:rPr>
        <w:t>年以来已开始发布旨在促进明确解释该公约的一般性建议。这些建议的价值正在不断增加。</w:t>
      </w:r>
      <w:r>
        <w:rPr>
          <w:rStyle w:val="FootnoteReference"/>
        </w:rPr>
        <w:footnoteReference w:customMarkFollows="1" w:id="103"/>
        <w:t>58</w:t>
      </w:r>
      <w:r>
        <w:rPr>
          <w:rFonts w:hint="eastAsia"/>
        </w:rPr>
        <w:t>该委员会希望尽可能多地获得按性别详细登录的信息以及关于妇女健康和她们得到的保健的信息。这表明政府正奉行一种实际上可以提供这种信息的政策。只要信息显示存在对妇女歧视，人们就认为政府有责任以对性别问题敏感的态度消除这种剥夺状况。</w:t>
      </w:r>
    </w:p>
    <w:p w:rsidR="00000000" w:rsidRDefault="00000000">
      <w:pPr>
        <w:autoSpaceDE w:val="0"/>
        <w:autoSpaceDN w:val="0"/>
        <w:spacing w:after="240" w:line="400" w:lineRule="exact"/>
        <w:ind w:firstLine="425"/>
        <w:textAlignment w:val="bottom"/>
      </w:pPr>
      <w:r>
        <w:rPr>
          <w:rFonts w:hint="eastAsia"/>
        </w:rPr>
        <w:t>至今仍无该委员会详述第</w:t>
      </w:r>
      <w:r>
        <w:t>12</w:t>
      </w:r>
      <w:r>
        <w:rPr>
          <w:rFonts w:hint="eastAsia"/>
        </w:rPr>
        <w:t>条的一般建议。</w:t>
      </w:r>
      <w:r>
        <w:rPr>
          <w:rStyle w:val="FootnoteReference"/>
        </w:rPr>
        <w:footnoteReference w:customMarkFollows="1" w:id="104"/>
        <w:t>59</w:t>
      </w:r>
      <w:r>
        <w:rPr>
          <w:rFonts w:hint="eastAsia"/>
        </w:rPr>
        <w:t>然而，诸如处理性虐待这一主题的建议之类的一些建议间接与第</w:t>
      </w:r>
      <w:r>
        <w:t>12</w:t>
      </w:r>
      <w:r>
        <w:rPr>
          <w:rFonts w:hint="eastAsia"/>
        </w:rPr>
        <w:t>条有关。近期建议处理的其他主题是艾滋病和残疾妇女的处境。</w:t>
      </w:r>
      <w:r>
        <w:rPr>
          <w:rStyle w:val="FootnoteReference"/>
        </w:rPr>
        <w:footnoteReference w:customMarkFollows="1" w:id="105"/>
        <w:t>60</w:t>
      </w:r>
    </w:p>
    <w:p w:rsidR="00000000" w:rsidRDefault="00000000">
      <w:pPr>
        <w:autoSpaceDE w:val="0"/>
        <w:autoSpaceDN w:val="0"/>
        <w:spacing w:after="240" w:line="400" w:lineRule="exact"/>
        <w:ind w:firstLine="425"/>
        <w:textAlignment w:val="bottom"/>
      </w:pPr>
      <w:r>
        <w:rPr>
          <w:rFonts w:hint="eastAsia"/>
        </w:rPr>
        <w:t>研究报告第五章论述了四个西方国家提交给消除对妇女歧视委员会的报告。本摘要仅涉及荷兰</w:t>
      </w:r>
      <w:r>
        <w:t>1992</w:t>
      </w:r>
      <w:r>
        <w:rPr>
          <w:rFonts w:hint="eastAsia"/>
        </w:rPr>
        <w:t>年的报告，那是一个仅包括与第</w:t>
      </w:r>
      <w:r>
        <w:t>12</w:t>
      </w:r>
      <w:r>
        <w:rPr>
          <w:rFonts w:hint="eastAsia"/>
        </w:rPr>
        <w:t>条有关的三个段落的庞大报告。</w:t>
      </w:r>
      <w:r>
        <w:rPr>
          <w:rStyle w:val="FootnoteReference"/>
        </w:rPr>
        <w:footnoteReference w:customMarkFollows="1" w:id="106"/>
        <w:t>61</w:t>
      </w:r>
      <w:r>
        <w:rPr>
          <w:rFonts w:hint="eastAsia"/>
        </w:rPr>
        <w:t>前两段叙及特殊妇女保健项目和关于性虐待的政策。关于第三段《妇女公约》第二条已对性虐待给予了广泛关注。因此第三段提供了关于《妇女公约》第</w:t>
      </w:r>
      <w:r>
        <w:t>12</w:t>
      </w:r>
      <w:r>
        <w:rPr>
          <w:rFonts w:hint="eastAsia"/>
        </w:rPr>
        <w:t>条第</w:t>
      </w:r>
      <w:r>
        <w:t>2</w:t>
      </w:r>
      <w:r>
        <w:rPr>
          <w:rFonts w:hint="eastAsia"/>
        </w:rPr>
        <w:t>款的一个报告。它阐明对怀孕和分娩的医疗帮助属于健康保险范畴，而与怀孕和单亲父母有关的特别心理社会援助是免费提供的。</w:t>
      </w:r>
    </w:p>
    <w:p w:rsidR="00000000" w:rsidRDefault="00000000">
      <w:pPr>
        <w:autoSpaceDE w:val="0"/>
        <w:autoSpaceDN w:val="0"/>
        <w:spacing w:after="240" w:line="400" w:lineRule="exact"/>
        <w:ind w:firstLine="425"/>
        <w:textAlignment w:val="bottom"/>
      </w:pPr>
      <w:r>
        <w:rPr>
          <w:rFonts w:hint="eastAsia"/>
        </w:rPr>
        <w:t>为了对政府的报告作出反应，出现了一个题为‘荷兰的平等权利与机会政策：陈列品或守旧者？’的平行报告。</w:t>
      </w:r>
      <w:r>
        <w:rPr>
          <w:rStyle w:val="FootnoteReference"/>
        </w:rPr>
        <w:footnoteReference w:customMarkFollows="1" w:id="107"/>
        <w:t>62</w:t>
      </w:r>
      <w:r>
        <w:rPr>
          <w:rFonts w:hint="eastAsia"/>
        </w:rPr>
        <w:t>这份报告指出从形式上看荷兰的保健条款对男女同样有效，但是这并不意味着在实际上妇女可以同样利用这些条款或受到同样待遇。根据这个平行报告，在医生</w:t>
      </w:r>
      <w:r>
        <w:t>/</w:t>
      </w:r>
      <w:r>
        <w:rPr>
          <w:rFonts w:hint="eastAsia"/>
        </w:rPr>
        <w:t>保健提供者和妇女病人（尤其是在涉及黑人或移民妇女时）之间往往缺少交流。该报告还指出对周围事务尤其与妇女特别有关的事务中越来越多的用医学方法处理问题。它还指出从一些疾病可以看出，对待妇女病人和对待男病人方法不同，但并没有这样做的客观正当理由。可以说明这种情况的疾病是心脏病、艾滋病和肺病。另一个评论涉及正在实施的逐渐增加经济削减额。这些削减可能已造成一些</w:t>
      </w:r>
      <w:r>
        <w:t>1980</w:t>
      </w:r>
      <w:r>
        <w:rPr>
          <w:rFonts w:hint="eastAsia"/>
        </w:rPr>
        <w:t>年代开始的妇女保健项目的关闭或被迫合并（已在政府报告中提到）。</w:t>
      </w:r>
    </w:p>
    <w:p w:rsidR="00000000" w:rsidRDefault="00000000">
      <w:pPr>
        <w:autoSpaceDE w:val="0"/>
        <w:autoSpaceDN w:val="0"/>
        <w:spacing w:after="240" w:line="400" w:lineRule="exact"/>
        <w:ind w:firstLine="425"/>
        <w:textAlignment w:val="bottom"/>
      </w:pPr>
      <w:r>
        <w:rPr>
          <w:rFonts w:hint="eastAsia"/>
        </w:rPr>
        <w:t>消除对妇女歧视委员会已收到这份荷兰报告，但据说叙述第</w:t>
      </w:r>
      <w:r>
        <w:t>12</w:t>
      </w:r>
      <w:r>
        <w:rPr>
          <w:rFonts w:hint="eastAsia"/>
        </w:rPr>
        <w:t>条的一部分含糊不清不够详尽。显然该委员会对这份平行报告作了透彻的研究。所需要的不仅是说明妇女能得到的形式上的保健权利，而且说明妇女如何实际上能得到保健权。</w:t>
      </w:r>
    </w:p>
    <w:p w:rsidR="00000000" w:rsidRDefault="00000000">
      <w:pPr>
        <w:tabs>
          <w:tab w:val="left" w:pos="495"/>
        </w:tabs>
        <w:autoSpaceDE w:val="0"/>
        <w:autoSpaceDN w:val="0"/>
        <w:spacing w:after="240" w:line="400" w:lineRule="exact"/>
        <w:textAlignment w:val="bottom"/>
        <w:rPr>
          <w:rFonts w:ascii="SimHei" w:eastAsia="SimHei"/>
          <w:sz w:val="24"/>
        </w:rPr>
      </w:pPr>
      <w:r>
        <w:rPr>
          <w:rFonts w:ascii="SimHei" w:eastAsia="SimHei"/>
          <w:sz w:val="24"/>
        </w:rPr>
        <w:br w:type="page"/>
        <w:t>2.8</w:t>
      </w:r>
      <w:r>
        <w:rPr>
          <w:rFonts w:ascii="SimHei" w:eastAsia="SimHei"/>
          <w:sz w:val="24"/>
        </w:rPr>
        <w:tab/>
      </w:r>
      <w:r>
        <w:rPr>
          <w:rFonts w:ascii="SimHei" w:eastAsia="SimHei" w:hint="eastAsia"/>
          <w:sz w:val="24"/>
        </w:rPr>
        <w:t>结论</w:t>
      </w:r>
    </w:p>
    <w:p w:rsidR="00000000" w:rsidRDefault="00000000">
      <w:pPr>
        <w:autoSpaceDE w:val="0"/>
        <w:autoSpaceDN w:val="0"/>
        <w:spacing w:after="240" w:line="400" w:lineRule="exact"/>
        <w:ind w:firstLine="425"/>
        <w:textAlignment w:val="bottom"/>
      </w:pPr>
      <w:r>
        <w:rPr>
          <w:rFonts w:hint="eastAsia"/>
        </w:rPr>
        <w:t>从</w:t>
      </w:r>
      <w:r>
        <w:t>1991</w:t>
      </w:r>
      <w:r>
        <w:rPr>
          <w:rFonts w:hint="eastAsia"/>
        </w:rPr>
        <w:t>年以来荷兰政府一直受《妇女公约》义务的约束。如果荷兰政府未履行义务或未在这方面作出足够努力，那么荷兰将违约，上诉法院将是补救的一种可能性。就算这样的上诉关系到是否可直接援引公约条款的问题，答案将部分取决于所指条款中包含的义务的种类：保证</w:t>
      </w:r>
      <w:r>
        <w:t>/</w:t>
      </w:r>
      <w:r>
        <w:rPr>
          <w:rFonts w:hint="eastAsia"/>
        </w:rPr>
        <w:t>担保、承诺或采取适当措施（加以保证）。</w:t>
      </w:r>
    </w:p>
    <w:p w:rsidR="00000000" w:rsidRDefault="00000000">
      <w:pPr>
        <w:autoSpaceDE w:val="0"/>
        <w:autoSpaceDN w:val="0"/>
        <w:spacing w:after="240" w:line="400" w:lineRule="exact"/>
        <w:ind w:firstLine="425"/>
        <w:textAlignment w:val="bottom"/>
      </w:pPr>
      <w:r>
        <w:rPr>
          <w:rFonts w:hint="eastAsia"/>
        </w:rPr>
        <w:t>《妇女公约》第</w:t>
      </w:r>
      <w:r>
        <w:t>12</w:t>
      </w:r>
      <w:r>
        <w:rPr>
          <w:rFonts w:hint="eastAsia"/>
        </w:rPr>
        <w:t>条包括了各种不同义务。直至目前关于公约这一条款的直接应用或其单个条款的直接应用问题尚未在法院得到解决。除了承认何种义务这个问题之外，法院还可宣布如果实施条款时间过长政府有责任。此外《妇女公约》条款的内容不会削弱其他公约产生的义务，认为它们会加速《妇女公约》（《妇女公约》第</w:t>
      </w:r>
      <w:r>
        <w:t>23</w:t>
      </w:r>
      <w:r>
        <w:rPr>
          <w:rFonts w:hint="eastAsia"/>
        </w:rPr>
        <w:t>条）提出的目标。除了个人或团体向法院诉讼之外，另一个可考虑的可能性就是利用消除对妇女歧视委员会对《妇女公约》执行情况督察方面的监督作用。</w:t>
      </w:r>
    </w:p>
    <w:p w:rsidR="00000000" w:rsidRDefault="00000000">
      <w:pPr>
        <w:autoSpaceDE w:val="0"/>
        <w:autoSpaceDN w:val="0"/>
        <w:spacing w:after="240" w:line="400" w:lineRule="exact"/>
        <w:ind w:firstLine="425"/>
        <w:textAlignment w:val="bottom"/>
      </w:pPr>
      <w:r>
        <w:rPr>
          <w:rFonts w:hint="eastAsia"/>
        </w:rPr>
        <w:t>《妇女公约》禁止直接和间接歧视，要求各国采取有助于实现男女实质性平等的适当措施。《妇女公约》包括了天赋权和社会人权在内的广泛领域。由于在一个文件中包含两种权利，每种权利的不可分割及互补性都得到加强。《妇女公约》还增加了妇女权利的重要性，因为妇女在公共和私人领域的权利本没有明确的划分。《妇女公约》第</w:t>
      </w:r>
      <w:r>
        <w:t>12</w:t>
      </w:r>
      <w:r>
        <w:rPr>
          <w:rFonts w:hint="eastAsia"/>
        </w:rPr>
        <w:t>条的目标是要实现妇女可以平等地获得保健（第</w:t>
      </w:r>
      <w:r>
        <w:t>1</w:t>
      </w:r>
      <w:r>
        <w:rPr>
          <w:rFonts w:hint="eastAsia"/>
        </w:rPr>
        <w:t>款）、获得特定形式保健的权利及有关怀孕和分娩的咨询（第</w:t>
      </w:r>
      <w:r>
        <w:t>2</w:t>
      </w:r>
      <w:r>
        <w:rPr>
          <w:rFonts w:hint="eastAsia"/>
        </w:rPr>
        <w:t>款）。《妇女公约》第</w:t>
      </w:r>
      <w:r>
        <w:t>12</w:t>
      </w:r>
      <w:r>
        <w:rPr>
          <w:rFonts w:hint="eastAsia"/>
        </w:rPr>
        <w:t>条可以看成是对《经济、社会、文化权利国际公约》第</w:t>
      </w:r>
      <w:r>
        <w:t>12</w:t>
      </w:r>
      <w:r>
        <w:rPr>
          <w:rFonts w:hint="eastAsia"/>
        </w:rPr>
        <w:t>条针对性别的详细阐述，也与《荷兰宪法》第</w:t>
      </w:r>
      <w:r>
        <w:t>22</w:t>
      </w:r>
      <w:r>
        <w:rPr>
          <w:rFonts w:hint="eastAsia"/>
        </w:rPr>
        <w:t>条的规定有关。这种观点可以这样的事实看出，即《妇女公约》要求缔约各国保证考虑下列各点：</w:t>
      </w:r>
    </w:p>
    <w:p w:rsidR="00000000" w:rsidRDefault="00000000">
      <w:pPr>
        <w:numPr>
          <w:ilvl w:val="0"/>
          <w:numId w:val="14"/>
        </w:numPr>
        <w:autoSpaceDE w:val="0"/>
        <w:autoSpaceDN w:val="0"/>
        <w:spacing w:after="240" w:line="400" w:lineRule="exact"/>
        <w:ind w:firstLine="425"/>
        <w:textAlignment w:val="bottom"/>
      </w:pPr>
      <w:r>
        <w:rPr>
          <w:rFonts w:hint="eastAsia"/>
        </w:rPr>
        <w:t>女性健康申诉和问题，包括性虐待，以及适当的相关问题及交流方法；</w:t>
      </w:r>
    </w:p>
    <w:p w:rsidR="00000000" w:rsidRDefault="00000000">
      <w:pPr>
        <w:numPr>
          <w:ilvl w:val="0"/>
          <w:numId w:val="14"/>
        </w:numPr>
        <w:autoSpaceDE w:val="0"/>
        <w:autoSpaceDN w:val="0"/>
        <w:spacing w:after="240" w:line="400" w:lineRule="exact"/>
        <w:ind w:firstLine="425"/>
        <w:textAlignment w:val="bottom"/>
      </w:pPr>
      <w:r>
        <w:rPr>
          <w:rFonts w:hint="eastAsia"/>
        </w:rPr>
        <w:t>妇女的社会经济地位；</w:t>
      </w:r>
    </w:p>
    <w:p w:rsidR="00000000" w:rsidRDefault="00000000">
      <w:pPr>
        <w:numPr>
          <w:ilvl w:val="0"/>
          <w:numId w:val="14"/>
        </w:numPr>
        <w:autoSpaceDE w:val="0"/>
        <w:autoSpaceDN w:val="0"/>
        <w:spacing w:after="240" w:line="400" w:lineRule="exact"/>
        <w:ind w:firstLine="425"/>
        <w:textAlignment w:val="bottom"/>
      </w:pPr>
      <w:r>
        <w:rPr>
          <w:rFonts w:hint="eastAsia"/>
        </w:rPr>
        <w:t>妇女对其他人可能的照管义务。</w:t>
      </w:r>
    </w:p>
    <w:p w:rsidR="00000000" w:rsidRDefault="00000000">
      <w:pPr>
        <w:autoSpaceDE w:val="0"/>
        <w:autoSpaceDN w:val="0"/>
        <w:spacing w:after="240" w:line="400" w:lineRule="exact"/>
        <w:ind w:firstLine="425"/>
        <w:textAlignment w:val="bottom"/>
      </w:pPr>
      <w:r>
        <w:rPr>
          <w:rFonts w:hint="eastAsia"/>
        </w:rPr>
        <w:t>与《经济、社会、文化权利国际公约》第</w:t>
      </w:r>
      <w:r>
        <w:t>12</w:t>
      </w:r>
      <w:r>
        <w:rPr>
          <w:rFonts w:hint="eastAsia"/>
        </w:rPr>
        <w:t>条和《宪法》第</w:t>
      </w:r>
      <w:r>
        <w:t>22</w:t>
      </w:r>
      <w:r>
        <w:rPr>
          <w:rFonts w:hint="eastAsia"/>
        </w:rPr>
        <w:t>条不同，《妇女公约》第</w:t>
      </w:r>
      <w:r>
        <w:t>12</w:t>
      </w:r>
      <w:r>
        <w:rPr>
          <w:rFonts w:hint="eastAsia"/>
        </w:rPr>
        <w:t>条的增值价值特别明显，可从下列事实看出，即该条款责成各国政府在制订法规和拟定政策时一定要了解妇女易受伤害的状况。此外，各国都应表示反对仍然存在的定型看法和偏见。必要时应扩大考虑到妇女中的差异。应特别注意处于易受伤害状况的妇女。这些妇女包括那些正在受到剥夺权利威胁或正在被拒绝给予保健权的妇女，如老年妇女、外国人和非法外国妇女以及有慢性病或残疾的妇女。</w:t>
      </w:r>
    </w:p>
    <w:p w:rsidR="00000000" w:rsidRDefault="00000000">
      <w:pPr>
        <w:autoSpaceDE w:val="0"/>
        <w:autoSpaceDN w:val="0"/>
        <w:spacing w:after="240" w:line="400" w:lineRule="exact"/>
        <w:ind w:firstLine="425"/>
        <w:textAlignment w:val="bottom"/>
      </w:pPr>
      <w:r>
        <w:rPr>
          <w:rFonts w:hint="eastAsia"/>
        </w:rPr>
        <w:t>《妇女公约》第</w:t>
      </w:r>
      <w:r>
        <w:t>12</w:t>
      </w:r>
      <w:r>
        <w:rPr>
          <w:rFonts w:hint="eastAsia"/>
        </w:rPr>
        <w:t>条包括全部体质和心理保健组织，而不仅仅是狭隘的‘医疗保健’领域。它包括所有各种形式的预防和治疗保健、保育和其他保健（家庭保健，机构保健等）。在任何情况下期望政府能作的努力都涉及争取实现获得广义保健领域平等权利的具体措施。仅靠立法是不够的。视根据某种政策领域的情况，也许还希望政府能拿出其他措施，如预防性保健领域的工作；清除和防止性虐待，以及解放保健事业。</w:t>
      </w:r>
    </w:p>
    <w:p w:rsidR="00000000" w:rsidRDefault="00000000">
      <w:pPr>
        <w:autoSpaceDE w:val="0"/>
        <w:autoSpaceDN w:val="0"/>
        <w:spacing w:after="240" w:line="400" w:lineRule="exact"/>
        <w:ind w:firstLine="425"/>
        <w:textAlignment w:val="bottom"/>
      </w:pPr>
      <w:r>
        <w:rPr>
          <w:rFonts w:hint="eastAsia"/>
        </w:rPr>
        <w:t>现有保健事业的恶化已不均衡地影响到妇女（或某些类别的妇女），这绝不能仅仅用经济形势的恶化来辩解。在这种情况下举证的责任总是由政府承担。在每个案例中都应对涉嫌对妇女获得保健造成重大负面影响的措施进行解放影响评价。然后再考虑采取其他补救措施的可能性。</w:t>
      </w:r>
    </w:p>
    <w:p w:rsidR="00000000" w:rsidRDefault="00000000">
      <w:pPr>
        <w:autoSpaceDE w:val="0"/>
        <w:autoSpaceDN w:val="0"/>
        <w:spacing w:after="240" w:line="400" w:lineRule="exact"/>
        <w:ind w:firstLine="425"/>
        <w:textAlignment w:val="bottom"/>
      </w:pPr>
      <w:r>
        <w:rPr>
          <w:rFonts w:hint="eastAsia"/>
        </w:rPr>
        <w:t>《妇女公约》第</w:t>
      </w:r>
      <w:r>
        <w:t>12</w:t>
      </w:r>
      <w:r>
        <w:rPr>
          <w:rFonts w:hint="eastAsia"/>
        </w:rPr>
        <w:t>条的最终目标是使妇女能够真正享有健康权。这就需要恰当地评估在健康方面性别差别的重要性并严格审查保健质量。</w:t>
      </w:r>
    </w:p>
    <w:p w:rsidR="00000000" w:rsidRDefault="00000000">
      <w:pPr>
        <w:tabs>
          <w:tab w:val="left" w:pos="390"/>
        </w:tabs>
        <w:autoSpaceDE w:val="0"/>
        <w:autoSpaceDN w:val="0"/>
        <w:spacing w:after="240" w:line="400" w:lineRule="exact"/>
        <w:textAlignment w:val="bottom"/>
        <w:rPr>
          <w:rFonts w:ascii="SimHei" w:eastAsia="SimHei"/>
          <w:sz w:val="28"/>
        </w:rPr>
      </w:pPr>
      <w:r>
        <w:br w:type="page"/>
      </w:r>
      <w:r>
        <w:rPr>
          <w:rFonts w:ascii="SimHei" w:eastAsia="SimHei"/>
          <w:sz w:val="28"/>
        </w:rPr>
        <w:t xml:space="preserve">3.  </w:t>
      </w:r>
      <w:r>
        <w:rPr>
          <w:rFonts w:ascii="SimHei" w:eastAsia="SimHei" w:hint="eastAsia"/>
          <w:sz w:val="28"/>
        </w:rPr>
        <w:t>从法律标准到实际应用</w:t>
      </w:r>
    </w:p>
    <w:p w:rsidR="00000000" w:rsidRDefault="00000000">
      <w:pPr>
        <w:autoSpaceDE w:val="0"/>
        <w:autoSpaceDN w:val="0"/>
        <w:spacing w:after="240" w:line="400" w:lineRule="exact"/>
        <w:ind w:firstLine="425"/>
        <w:textAlignment w:val="bottom"/>
      </w:pPr>
      <w:r>
        <w:rPr>
          <w:rFonts w:hint="eastAsia"/>
        </w:rPr>
        <w:t>为了能够确定荷兰是否正在履行《妇女公约》第</w:t>
      </w:r>
      <w:r>
        <w:t>12</w:t>
      </w:r>
      <w:r>
        <w:rPr>
          <w:rFonts w:hint="eastAsia"/>
        </w:rPr>
        <w:t>条所载的义务，必须把‘性别歧视’的法律概念转变为可以观察到的现象。为此目的把性别歧视的概念与保健中的流行概念联系起来。因为第</w:t>
      </w:r>
      <w:r>
        <w:t>12</w:t>
      </w:r>
      <w:r>
        <w:rPr>
          <w:rFonts w:hint="eastAsia"/>
        </w:rPr>
        <w:t>条也打算把保健权作为扩大的健康权包括在内，我们将采用两种理论探讨办法。我们将首先说明这些基本概念，并在这些基本概念和性别歧视概念之间建立联系。第二步将讨论实际研究计划。</w:t>
      </w:r>
    </w:p>
    <w:p w:rsidR="00000000" w:rsidRDefault="00000000">
      <w:pPr>
        <w:autoSpaceDE w:val="0"/>
        <w:autoSpaceDN w:val="0"/>
        <w:spacing w:after="240" w:line="400" w:lineRule="exact"/>
        <w:textAlignment w:val="bottom"/>
        <w:rPr>
          <w:rFonts w:ascii="SimHei" w:eastAsia="SimHei"/>
          <w:sz w:val="24"/>
        </w:rPr>
      </w:pPr>
      <w:r>
        <w:rPr>
          <w:rFonts w:ascii="SimHei" w:eastAsia="SimHei"/>
          <w:sz w:val="24"/>
        </w:rPr>
        <w:t xml:space="preserve">3.1  </w:t>
      </w:r>
      <w:r>
        <w:rPr>
          <w:rFonts w:ascii="SimHei" w:eastAsia="SimHei" w:hint="eastAsia"/>
          <w:sz w:val="24"/>
        </w:rPr>
        <w:t>性别歧视与健康之间的关系</w:t>
      </w:r>
    </w:p>
    <w:p w:rsidR="00000000" w:rsidRDefault="00000000">
      <w:pPr>
        <w:autoSpaceDE w:val="0"/>
        <w:autoSpaceDN w:val="0"/>
        <w:spacing w:after="240" w:line="400" w:lineRule="exact"/>
        <w:ind w:firstLine="425"/>
        <w:textAlignment w:val="bottom"/>
      </w:pPr>
      <w:r>
        <w:rPr>
          <w:rFonts w:hint="eastAsia"/>
        </w:rPr>
        <w:t>在谈到‘健康权’和歧视时，我们假设政府通过外部干预可以影响男女健康状况。图</w:t>
      </w:r>
      <w:r>
        <w:t>1</w:t>
      </w:r>
      <w:r>
        <w:rPr>
          <w:rFonts w:hint="eastAsia"/>
        </w:rPr>
        <w:t>表明如何才能体现政府的影响。该图来自公共卫生状况和预报文件（</w:t>
      </w:r>
      <w:r>
        <w:t>PHSF</w:t>
      </w:r>
      <w:r>
        <w:rPr>
          <w:rFonts w:hint="eastAsia"/>
        </w:rPr>
        <w:t>）。</w:t>
      </w:r>
      <w:r>
        <w:rPr>
          <w:rStyle w:val="FootnoteReference"/>
        </w:rPr>
        <w:footnoteReference w:customMarkFollows="1" w:id="108"/>
        <w:t>63</w:t>
      </w:r>
    </w:p>
    <w:p w:rsidR="00000000" w:rsidRDefault="00000000">
      <w:pPr>
        <w:autoSpaceDE w:val="0"/>
        <w:autoSpaceDN w:val="0"/>
        <w:spacing w:after="240" w:line="400" w:lineRule="exact"/>
        <w:ind w:firstLine="425"/>
        <w:jc w:val="center"/>
        <w:textAlignment w:val="bottom"/>
      </w:pPr>
      <w:r>
        <w:rPr>
          <w:rFonts w:hint="eastAsia"/>
        </w:rPr>
        <w:t>图</w:t>
      </w:r>
      <w:r>
        <w:t>1</w:t>
      </w:r>
    </w:p>
    <w:p w:rsidR="00000000" w:rsidRDefault="00000000">
      <w:pPr>
        <w:autoSpaceDE w:val="0"/>
        <w:autoSpaceDN w:val="0"/>
        <w:spacing w:after="240" w:line="400" w:lineRule="exact"/>
        <w:ind w:firstLine="425"/>
        <w:jc w:val="center"/>
        <w:textAlignment w:val="bottom"/>
      </w:pPr>
      <w:r>
        <w:rPr>
          <w:rFonts w:hint="eastAsia"/>
        </w:rPr>
        <w:t>卫生政策对公共卫生的影响</w:t>
      </w:r>
    </w:p>
    <w:p w:rsidR="00000000" w:rsidRDefault="00000000">
      <w:pPr>
        <w:autoSpaceDE w:val="0"/>
        <w:autoSpaceDN w:val="0"/>
        <w:spacing w:after="240" w:line="400" w:lineRule="exact"/>
        <w:ind w:firstLine="425"/>
        <w:textAlignment w:val="bottom"/>
      </w:pPr>
    </w:p>
    <w:p w:rsidR="00000000" w:rsidRDefault="00000000">
      <w:pPr>
        <w:autoSpaceDE w:val="0"/>
        <w:autoSpaceDN w:val="0"/>
        <w:spacing w:after="240" w:line="400" w:lineRule="exact"/>
        <w:ind w:firstLine="425"/>
        <w:textAlignment w:val="bottom"/>
      </w:pPr>
    </w:p>
    <w:p w:rsidR="00000000" w:rsidRDefault="00000000">
      <w:pPr>
        <w:autoSpaceDE w:val="0"/>
        <w:autoSpaceDN w:val="0"/>
        <w:spacing w:after="240" w:line="400" w:lineRule="exact"/>
        <w:ind w:firstLine="425"/>
        <w:textAlignment w:val="bottom"/>
      </w:pPr>
      <w:r>
        <w:rPr>
          <w:noProof/>
        </w:rPr>
        <w:pict>
          <v:group id="_x0000_s1034" style="position:absolute;left:0;text-align:left;margin-left:60.3pt;margin-top:-1in;width:264.05pt;height:124.9pt;z-index:1" coordorigin="-1" coordsize="20001,20000" o:allowincell="f">
            <v:rect id="_x0000_s1035" style="position:absolute;left:9998;width:5912;height:5004">
              <v:textbox inset="1pt,1pt,1pt,1pt">
                <w:txbxContent>
                  <w:p w:rsidR="00000000" w:rsidRDefault="00000000">
                    <w:pPr>
                      <w:spacing w:before="120"/>
                      <w:jc w:val="center"/>
                    </w:pPr>
                    <w:r>
                      <w:rPr>
                        <w:rFonts w:hint="eastAsia"/>
                      </w:rPr>
                      <w:t>卫生政策</w:t>
                    </w:r>
                  </w:p>
                </w:txbxContent>
              </v:textbox>
            </v:rect>
            <v:rect id="_x0000_s1036" style="position:absolute;left:9998;top:7502;width:5912;height:5004">
              <v:textbox inset="1pt,1pt,1pt,1pt">
                <w:txbxContent>
                  <w:p w:rsidR="00000000" w:rsidRDefault="00000000">
                    <w:pPr>
                      <w:spacing w:before="120"/>
                      <w:jc w:val="center"/>
                    </w:pPr>
                    <w:r>
                      <w:rPr>
                        <w:rFonts w:hint="eastAsia"/>
                      </w:rPr>
                      <w:t>决定因素</w:t>
                    </w:r>
                  </w:p>
                </w:txbxContent>
              </v:textbox>
            </v:rect>
            <v:rect id="_x0000_s1037" style="position:absolute;left:9998;top:14996;width:5912;height:5004">
              <v:textbox inset="1pt,1pt,1pt,1pt">
                <w:txbxContent>
                  <w:p w:rsidR="00000000" w:rsidRDefault="00000000">
                    <w:pPr>
                      <w:spacing w:before="120"/>
                      <w:jc w:val="center"/>
                    </w:pPr>
                    <w:r>
                      <w:rPr>
                        <w:rFonts w:hint="eastAsia"/>
                      </w:rPr>
                      <w:t>卫生状况</w:t>
                    </w:r>
                  </w:p>
                </w:txbxContent>
              </v:textbox>
            </v:rect>
            <v:rect id="_x0000_s1038" style="position:absolute;left:-1;top:2498;width:5458;height:15829">
              <v:textbox inset="1pt,1pt,1pt,1pt">
                <w:txbxContent>
                  <w:p w:rsidR="00000000" w:rsidRDefault="00000000"/>
                  <w:p w:rsidR="00000000" w:rsidRDefault="00000000"/>
                  <w:p w:rsidR="00000000" w:rsidRDefault="00000000">
                    <w:pPr>
                      <w:spacing w:before="120"/>
                      <w:jc w:val="center"/>
                    </w:pPr>
                    <w:r>
                      <w:rPr>
                        <w:rFonts w:hint="eastAsia"/>
                      </w:rPr>
                      <w:t>自主发展</w:t>
                    </w:r>
                  </w:p>
                </w:txbxContent>
              </v:textbox>
            </v:rect>
            <v:group id="_x0000_s1039" style="position:absolute;left:5453;top:4996;width:14547;height:8" coordsize="20002,20000">
              <v:line id="_x0000_s1040" style="position:absolute" from="0,0" to="2505,20000">
                <v:stroke endarrow="block"/>
              </v:line>
              <v:line id="_x0000_s1041" style="position:absolute" from="1874,0" to="5005,20000">
                <v:stroke endarrow="block"/>
              </v:line>
              <v:line id="_x0000_s1042" style="position:absolute" from="4374,0" to="16878,20000"/>
              <v:line id="_x0000_s1043" style="position:absolute" from="16873,0" to="20002,20000">
                <v:stroke startarrow="block"/>
              </v:line>
            </v:group>
            <v:group id="_x0000_s1044" style="position:absolute;left:5453;top:12498;width:14547;height:8" coordsize="20000,20000">
              <v:line id="_x0000_s1045" style="position:absolute" from="0,0" to="2505,20000">
                <v:stroke endarrow="block"/>
              </v:line>
              <v:line id="_x0000_s1046" style="position:absolute" from="1874,0" to="5003,20000">
                <v:stroke endarrow="block"/>
              </v:line>
              <v:line id="_x0000_s1047" style="position:absolute" from="4373,0" to="16876,20000"/>
              <v:line id="_x0000_s1048" style="position:absolute" from="16871,0" to="20000,20000">
                <v:stroke startarrow="block"/>
              </v:line>
            </v:group>
            <v:line id="_x0000_s1049" style="position:absolute" from="19996,4996" to="20000,19992"/>
            <v:line id="_x0000_s1050" style="position:absolute" from="17724,19984" to="20000,19992">
              <v:stroke startarrow="block"/>
            </v:line>
            <v:line id="_x0000_s1051" style="position:absolute" from="15906,19984" to="18182,19992"/>
            <v:group id="_x0000_s1052" style="position:absolute;left:13179;top:5004;width:4;height:2506" coordsize="20000,20000">
              <v:line id="_x0000_s1053" style="position:absolute" from="0,0" to="20000,13352">
                <v:stroke endarrow="open"/>
              </v:line>
              <v:line id="_x0000_s1054" style="position:absolute" from="0,13288" to="20000,20000"/>
            </v:group>
            <v:group id="_x0000_s1055" style="position:absolute;left:13179;top:12498;width:4;height:2506" coordsize="20000,20000">
              <v:line id="_x0000_s1056" style="position:absolute" from="0,0" to="20000,13352">
                <v:stroke endarrow="open"/>
              </v:line>
              <v:line id="_x0000_s1057" style="position:absolute" from="0,13288" to="20000,20000"/>
            </v:group>
          </v:group>
        </w:pict>
      </w:r>
    </w:p>
    <w:p w:rsidR="00000000" w:rsidRDefault="00000000">
      <w:pPr>
        <w:autoSpaceDE w:val="0"/>
        <w:autoSpaceDN w:val="0"/>
        <w:spacing w:after="240" w:line="400" w:lineRule="exact"/>
        <w:ind w:firstLine="425"/>
        <w:textAlignment w:val="bottom"/>
      </w:pPr>
    </w:p>
    <w:p w:rsidR="00000000" w:rsidRDefault="00000000">
      <w:pPr>
        <w:autoSpaceDE w:val="0"/>
        <w:autoSpaceDN w:val="0"/>
        <w:spacing w:after="240" w:line="400" w:lineRule="exact"/>
        <w:ind w:firstLine="425"/>
        <w:jc w:val="center"/>
        <w:textAlignment w:val="bottom"/>
      </w:pPr>
      <w:r>
        <w:rPr>
          <w:rFonts w:hint="eastAsia"/>
        </w:rPr>
        <w:t>资料来源：</w:t>
      </w:r>
      <w:r>
        <w:t>Ruwaard</w:t>
      </w:r>
      <w:r>
        <w:rPr>
          <w:rFonts w:hint="eastAsia"/>
        </w:rPr>
        <w:t>，</w:t>
      </w:r>
      <w:r>
        <w:t>Kramers</w:t>
      </w:r>
      <w:r>
        <w:rPr>
          <w:rFonts w:hint="eastAsia"/>
        </w:rPr>
        <w:t>（</w:t>
      </w:r>
      <w:r>
        <w:t>1993</w:t>
      </w:r>
      <w:r>
        <w:rPr>
          <w:rFonts w:hint="eastAsia"/>
        </w:rPr>
        <w:t>年）</w:t>
      </w:r>
    </w:p>
    <w:p w:rsidR="00000000" w:rsidRDefault="00000000">
      <w:pPr>
        <w:autoSpaceDE w:val="0"/>
        <w:autoSpaceDN w:val="0"/>
        <w:spacing w:after="240" w:line="400" w:lineRule="exact"/>
        <w:ind w:firstLine="425"/>
        <w:textAlignment w:val="bottom"/>
      </w:pPr>
      <w:r>
        <w:rPr>
          <w:rFonts w:hint="eastAsia"/>
        </w:rPr>
        <w:t>按照这个模式，卫生政策是影响公共卫生的最佳手段。但是它并不直接影响人口的健康状态，它倒是对卫生的决定因素产生作用。健康决定因素的实例包括一个人的生活方式、物质或社会环境以及生物因素。甚至保健本身也可看成是健康的一种决定因素：预防性保健可以促进健康并防止健康问题，而治疗性保健是治疗现有疾病。有些健康决定因素，如环境质量或工作条件不属于卫生政策的范围。政府只能通过一个方面的政策来影响这些因素。某些因素，如内在的趋势很难受到外部手段的影响。最后，卫生决定因素和健康自身都受到公共卫生领域以外出现的自主发展的影响。它们包括技术、社会经济和社会文化领域的发展。</w:t>
      </w:r>
    </w:p>
    <w:p w:rsidR="00000000" w:rsidRDefault="00000000">
      <w:pPr>
        <w:autoSpaceDE w:val="0"/>
        <w:autoSpaceDN w:val="0"/>
        <w:spacing w:after="240" w:line="400" w:lineRule="exact"/>
        <w:ind w:firstLine="425"/>
        <w:textAlignment w:val="bottom"/>
      </w:pPr>
      <w:r>
        <w:rPr>
          <w:rFonts w:hint="eastAsia"/>
        </w:rPr>
        <w:t>概括起来我们可以说卫生政策只能部分地影响公共卫生。这意味着在健康方面性别差别并不只是表现为性别歧视。健康方面的性别差别只有当它们涉及可以适当避免的健康问题时才是不能接受的。例如，当男人比妇女更易于得到政府政策（或缺少政策）造成的某些健康决定因素时，或妇女的保健质量不好时，就存在这种问题。我们只能把不能接受的妇女健康状况不好的实例看成是性别歧视的标志。同样不能接受的是未能充分考虑男女之间现存的差别，因此性别中性卫生政策的作用将不利于妇女（即实质性歧视）。</w:t>
      </w:r>
    </w:p>
    <w:p w:rsidR="00000000" w:rsidRDefault="00000000">
      <w:pPr>
        <w:autoSpaceDE w:val="0"/>
        <w:autoSpaceDN w:val="0"/>
        <w:spacing w:after="240" w:line="400" w:lineRule="exact"/>
        <w:textAlignment w:val="bottom"/>
        <w:rPr>
          <w:rFonts w:ascii="SimHei" w:eastAsia="SimHei"/>
          <w:sz w:val="24"/>
        </w:rPr>
      </w:pPr>
      <w:r>
        <w:rPr>
          <w:rFonts w:ascii="SimHei" w:eastAsia="SimHei"/>
          <w:sz w:val="24"/>
        </w:rPr>
        <w:t xml:space="preserve">3.2  </w:t>
      </w:r>
      <w:r>
        <w:rPr>
          <w:rFonts w:ascii="SimHei" w:eastAsia="SimHei" w:hint="eastAsia"/>
          <w:sz w:val="24"/>
        </w:rPr>
        <w:t>性别歧视和保健质量之间的关系</w:t>
      </w:r>
    </w:p>
    <w:p w:rsidR="00000000" w:rsidRDefault="00000000">
      <w:pPr>
        <w:autoSpaceDE w:val="0"/>
        <w:autoSpaceDN w:val="0"/>
        <w:spacing w:after="240" w:line="400" w:lineRule="exact"/>
        <w:ind w:firstLine="425"/>
        <w:textAlignment w:val="bottom"/>
      </w:pPr>
      <w:r>
        <w:rPr>
          <w:rFonts w:hint="eastAsia"/>
        </w:rPr>
        <w:t>在享受高质量便利设施的社会中能否获得医疗保健不是衡量性别歧视的唯一标准；在这方面保健质量是更好的标准。通过强调保健质量，我们参与了在最高一级立法进展中得到认可的保健问题的一次重要的辩</w:t>
      </w:r>
      <w:r>
        <w:t xml:space="preserve">  </w:t>
      </w:r>
      <w:r>
        <w:rPr>
          <w:rFonts w:hint="eastAsia"/>
        </w:rPr>
        <w:t>论。</w:t>
      </w:r>
      <w:r>
        <w:rPr>
          <w:rStyle w:val="FootnoteReference"/>
        </w:rPr>
        <w:footnoteReference w:customMarkFollows="1" w:id="109"/>
        <w:t>64</w:t>
      </w:r>
    </w:p>
    <w:p w:rsidR="00000000" w:rsidRDefault="00000000">
      <w:pPr>
        <w:autoSpaceDE w:val="0"/>
        <w:autoSpaceDN w:val="0"/>
        <w:spacing w:after="240" w:line="400" w:lineRule="exact"/>
        <w:ind w:firstLine="425"/>
        <w:textAlignment w:val="bottom"/>
      </w:pPr>
      <w:r>
        <w:rPr>
          <w:rFonts w:hint="eastAsia"/>
        </w:rPr>
        <w:t>随着时间的推移‘保健质量’的概念经历了各种变化。在第一次全国性关于这个主题的讨论中质量被描述成是‘一种产品、一种方法、一种服务的特性组合达到对它的要求的程度，这种要求是以其功能目标为基础的’。根据这些讨论以及全国公共卫生咨询委员会</w:t>
      </w:r>
      <w:r>
        <w:rPr>
          <w:rStyle w:val="FootnoteReference"/>
        </w:rPr>
        <w:footnoteReference w:customMarkFollows="1" w:id="110"/>
        <w:t>65</w:t>
      </w:r>
      <w:r>
        <w:rPr>
          <w:rFonts w:hint="eastAsia"/>
        </w:rPr>
        <w:t>的政策文件，政府在其有关保健质量的政策文件中</w:t>
      </w:r>
      <w:r>
        <w:rPr>
          <w:rStyle w:val="FootnoteReference"/>
        </w:rPr>
        <w:footnoteReference w:customMarkFollows="1" w:id="111"/>
        <w:t>66</w:t>
      </w:r>
      <w:r>
        <w:rPr>
          <w:rFonts w:hint="eastAsia"/>
        </w:rPr>
        <w:t>指出了一般与所提供的保健质量有关的几个方面。这个政策文件列出了质量的四个方面：保证真正适当的保健、有效性（合适的保健等级）、效益（合理价格</w:t>
      </w:r>
      <w:r>
        <w:t>/</w:t>
      </w:r>
      <w:r>
        <w:rPr>
          <w:rFonts w:hint="eastAsia"/>
        </w:rPr>
        <w:t>效力比率）以及以病人为中心（把接受保健者当作个人，乐于提供信息，尊重独立性，准备承担责任）。在《保健机构（质量）法》中利用了质量的这几个方面。为此该法规定质量上好的保健应是‘适当保健’。</w:t>
      </w:r>
    </w:p>
    <w:p w:rsidR="00000000" w:rsidRDefault="00000000">
      <w:pPr>
        <w:autoSpaceDE w:val="0"/>
        <w:autoSpaceDN w:val="0"/>
        <w:spacing w:after="240" w:line="400" w:lineRule="exact"/>
        <w:ind w:firstLine="425"/>
        <w:textAlignment w:val="bottom"/>
      </w:pPr>
      <w:r>
        <w:rPr>
          <w:rFonts w:hint="eastAsia"/>
        </w:rPr>
        <w:t>政府知道保健提供者、保险公司和病人</w:t>
      </w:r>
      <w:r>
        <w:t>/</w:t>
      </w:r>
      <w:r>
        <w:rPr>
          <w:rFonts w:hint="eastAsia"/>
        </w:rPr>
        <w:t>消费者会对质量各个方面作出不同的权衡；为此它使这些人有可能对这些方面作出更详细解释。在政府的有关政策文件的咨询和论述文件中妇女保健特别指出妥善确保妇女适当保健的重要性，不仅这种保健的内容而且提供保健的方法都应明确符合与女性病人</w:t>
      </w:r>
      <w:r>
        <w:t>/</w:t>
      </w:r>
      <w:r>
        <w:rPr>
          <w:rFonts w:hint="eastAsia"/>
        </w:rPr>
        <w:t>消费者有关的病人为中心的设想。</w:t>
      </w:r>
      <w:r>
        <w:rPr>
          <w:rStyle w:val="FootnoteReference"/>
        </w:rPr>
        <w:footnoteReference w:customMarkFollows="1" w:id="112"/>
        <w:t>67</w:t>
      </w:r>
      <w:r>
        <w:rPr>
          <w:rFonts w:hint="eastAsia"/>
        </w:rPr>
        <w:t>由于质量的概念为按性别解释留有余地，所以与性别差异有关的质量问题或差别会成为绘制性别歧视图的有用指数。因为性别歧视概念涉及妇女在与男子的关系中受到不公平待遇，因此使用了比较的观点来说明保健质量。</w:t>
      </w:r>
      <w:r>
        <w:rPr>
          <w:rStyle w:val="FootnoteReference"/>
        </w:rPr>
        <w:footnoteReference w:customMarkFollows="1" w:id="113"/>
        <w:t>68</w:t>
      </w:r>
      <w:r>
        <w:rPr>
          <w:rFonts w:hint="eastAsia"/>
        </w:rPr>
        <w:t>所考虑的质量方面问题是确保有适当的保健和以病人为中心。</w:t>
      </w:r>
    </w:p>
    <w:p w:rsidR="00000000" w:rsidRDefault="00000000">
      <w:pPr>
        <w:autoSpaceDE w:val="0"/>
        <w:autoSpaceDN w:val="0"/>
        <w:spacing w:after="240" w:line="400" w:lineRule="exact"/>
        <w:textAlignment w:val="bottom"/>
        <w:rPr>
          <w:rFonts w:ascii="楷体" w:eastAsia="楷体"/>
        </w:rPr>
      </w:pPr>
      <w:r>
        <w:rPr>
          <w:rFonts w:ascii="楷体" w:eastAsia="楷体" w:hint="eastAsia"/>
        </w:rPr>
        <w:t>确保有适当的保健</w:t>
      </w:r>
    </w:p>
    <w:p w:rsidR="00000000" w:rsidRDefault="00000000">
      <w:pPr>
        <w:autoSpaceDE w:val="0"/>
        <w:autoSpaceDN w:val="0"/>
        <w:spacing w:after="240" w:line="400" w:lineRule="exact"/>
        <w:ind w:firstLine="425"/>
        <w:textAlignment w:val="bottom"/>
      </w:pPr>
      <w:r>
        <w:rPr>
          <w:rFonts w:hint="eastAsia"/>
        </w:rPr>
        <w:t>‘保健需求’的概念包括几个方面，可把它们定义为‘表述需求’、‘标准需求’和‘感觉需求’。</w:t>
      </w:r>
      <w:r>
        <w:rPr>
          <w:rStyle w:val="FootnoteReference"/>
        </w:rPr>
        <w:footnoteReference w:customMarkFollows="1" w:id="114"/>
        <w:t>69</w:t>
      </w:r>
      <w:r>
        <w:rPr>
          <w:rFonts w:hint="eastAsia"/>
        </w:rPr>
        <w:t>‘表述需求’等于带实际医疗消费的保健需求。对于这种保健是否满足妇女的需要不可能进行核查。‘标准需求’等于有（客观存在的）健康状况的保健需求。它假设每个有相同诊断的人都有同样的保健需求。保健需求的最后一个方面是‘感觉需求’，它是以主观保健需要为基础的。对保健的主观需要取决于下列因素，如在该环境中获得支助的可能性，人们解决自身问题的倾向以及得到专业帮助的前景。然而目前尚无衡量主观需要的适当办法。</w:t>
      </w:r>
      <w:r>
        <w:rPr>
          <w:rStyle w:val="FootnoteReference"/>
        </w:rPr>
        <w:footnoteReference w:customMarkFollows="1" w:id="115"/>
        <w:t>70</w:t>
      </w:r>
    </w:p>
    <w:p w:rsidR="00000000" w:rsidRDefault="00000000">
      <w:pPr>
        <w:autoSpaceDE w:val="0"/>
        <w:autoSpaceDN w:val="0"/>
        <w:spacing w:after="240" w:line="400" w:lineRule="exact"/>
        <w:ind w:firstLine="425"/>
        <w:textAlignment w:val="bottom"/>
      </w:pPr>
      <w:r>
        <w:rPr>
          <w:rFonts w:hint="eastAsia"/>
        </w:rPr>
        <w:t>在这里我们依靠标准需求。我们在这个概念中不仅包括疾病也包括与健康状态有关的限制因素以及对健康更加主观的看法</w:t>
      </w:r>
      <w:r>
        <w:fldChar w:fldCharType="begin"/>
      </w:r>
      <w:r>
        <w:instrText>symbol 151 \f "Times New Roman"</w:instrText>
      </w:r>
      <w:r>
        <w:fldChar w:fldCharType="end"/>
      </w:r>
      <w:r>
        <w:rPr>
          <w:rFonts w:hint="eastAsia"/>
        </w:rPr>
        <w:t>只要它经过客观衡量。表述需求和标准需求之间的关系可以表明所得到的保健的适当性。如果我们把妇女的这种关系与男子的这种关系加以比较，就可以从供给适应需求上了解到性别差别的情况。</w:t>
      </w:r>
    </w:p>
    <w:p w:rsidR="00000000" w:rsidRDefault="00000000">
      <w:pPr>
        <w:autoSpaceDE w:val="0"/>
        <w:autoSpaceDN w:val="0"/>
        <w:spacing w:after="240" w:line="400" w:lineRule="exact"/>
        <w:textAlignment w:val="bottom"/>
        <w:rPr>
          <w:rFonts w:ascii="楷体" w:eastAsia="楷体"/>
        </w:rPr>
      </w:pPr>
      <w:r>
        <w:rPr>
          <w:rFonts w:ascii="楷体" w:eastAsia="楷体" w:hint="eastAsia"/>
        </w:rPr>
        <w:t>过滤</w:t>
      </w:r>
    </w:p>
    <w:p w:rsidR="00000000" w:rsidRDefault="00000000">
      <w:pPr>
        <w:autoSpaceDE w:val="0"/>
        <w:autoSpaceDN w:val="0"/>
        <w:spacing w:after="240" w:line="400" w:lineRule="exact"/>
        <w:ind w:firstLine="425"/>
        <w:textAlignment w:val="bottom"/>
      </w:pPr>
      <w:r>
        <w:rPr>
          <w:rFonts w:hint="eastAsia"/>
        </w:rPr>
        <w:t>确保所得到的保健的适当性并非一次性的活动。实际上在病人的治疗或保健过程的各个不同阶段都有确保适当性的问题：就医一般开业医师或专家；决定利用药品或医疗设备，或者当决定允许入院。我们在描述这个顺序时依靠</w:t>
      </w:r>
      <w:r>
        <w:t>Goldberg</w:t>
      </w:r>
      <w:r>
        <w:rPr>
          <w:rFonts w:hint="eastAsia"/>
        </w:rPr>
        <w:t>和</w:t>
      </w:r>
      <w:r>
        <w:t>Huxley</w:t>
      </w:r>
      <w:r>
        <w:rPr>
          <w:rFonts w:hint="eastAsia"/>
        </w:rPr>
        <w:t>提供的过滤模式（图</w:t>
      </w:r>
      <w:r>
        <w:t>2</w:t>
      </w:r>
      <w:r>
        <w:rPr>
          <w:rFonts w:hint="eastAsia"/>
        </w:rPr>
        <w:t>）。这个模式所根据的概念是只有一些有健康问题的人才会进入更高层次，因为能获得保健的机会是经过反复过滤的。过滤的实例包括人们因疾病（部分病态表现）就医普通开业医师的倾向，普通开业医师检查健康问题的程度，开出的诊断书，转诊介绍或接受入院。过滤的可通过率越大，病人通过保健程序的速度越快，他们也就可进入更高层次的保健。</w:t>
      </w:r>
      <w:r>
        <w:t>Glodberg</w:t>
      </w:r>
      <w:r>
        <w:rPr>
          <w:rFonts w:hint="eastAsia"/>
        </w:rPr>
        <w:t>和</w:t>
      </w:r>
      <w:r>
        <w:t>Huxley</w:t>
      </w:r>
      <w:r>
        <w:rPr>
          <w:rFonts w:hint="eastAsia"/>
        </w:rPr>
        <w:t>制定了这个用于心理保健的模式，但它也可应用于身体保健。其原始模式展示如下：</w:t>
      </w:r>
    </w:p>
    <w:p w:rsidR="00000000" w:rsidRDefault="00000000">
      <w:pPr>
        <w:autoSpaceDE w:val="0"/>
        <w:autoSpaceDN w:val="0"/>
        <w:spacing w:after="240" w:line="400" w:lineRule="exact"/>
        <w:jc w:val="center"/>
        <w:textAlignment w:val="bottom"/>
        <w:rPr>
          <w:rFonts w:ascii="SimHei" w:eastAsia="SimHei"/>
        </w:rPr>
      </w:pPr>
      <w:r>
        <w:br w:type="page"/>
      </w:r>
      <w:r>
        <w:rPr>
          <w:rFonts w:ascii="SimHei" w:eastAsia="SimHei" w:hint="eastAsia"/>
        </w:rPr>
        <w:t>图</w:t>
      </w:r>
      <w:r>
        <w:rPr>
          <w:rFonts w:ascii="SimHei" w:eastAsia="SimHei"/>
        </w:rPr>
        <w:t>2</w:t>
      </w:r>
    </w:p>
    <w:p w:rsidR="00000000" w:rsidRDefault="00000000">
      <w:pPr>
        <w:autoSpaceDE w:val="0"/>
        <w:autoSpaceDN w:val="0"/>
        <w:spacing w:after="240" w:line="400" w:lineRule="exact"/>
        <w:jc w:val="center"/>
        <w:textAlignment w:val="bottom"/>
        <w:rPr>
          <w:rFonts w:ascii="SimHei" w:eastAsia="SimHei"/>
        </w:rPr>
      </w:pPr>
      <w:r>
        <w:rPr>
          <w:rFonts w:ascii="SimHei" w:eastAsia="SimHei"/>
        </w:rPr>
        <w:t>Goldberg</w:t>
      </w:r>
      <w:r>
        <w:rPr>
          <w:rFonts w:ascii="SimHei" w:eastAsia="SimHei" w:hint="eastAsia"/>
        </w:rPr>
        <w:t>和</w:t>
      </w:r>
      <w:r>
        <w:rPr>
          <w:rFonts w:ascii="SimHei" w:eastAsia="SimHei"/>
        </w:rPr>
        <w:t>Huxley</w:t>
      </w:r>
      <w:r>
        <w:rPr>
          <w:rFonts w:ascii="SimHei" w:eastAsia="SimHei" w:hint="eastAsia"/>
        </w:rPr>
        <w:t>创造的过滤模式（</w:t>
      </w:r>
      <w:r>
        <w:rPr>
          <w:rFonts w:ascii="SimHei" w:eastAsia="SimHei"/>
        </w:rPr>
        <w:t>1992</w:t>
      </w:r>
      <w:r>
        <w:rPr>
          <w:rFonts w:ascii="SimHei" w:eastAsia="SimHei" w:hint="eastAsia"/>
        </w:rPr>
        <w:t>年）</w:t>
      </w:r>
    </w:p>
    <w:p w:rsidR="00000000" w:rsidRDefault="00000000">
      <w:pPr>
        <w:autoSpaceDE w:val="0"/>
        <w:autoSpaceDN w:val="0"/>
        <w:spacing w:line="400" w:lineRule="exact"/>
        <w:textAlignment w:val="bottom"/>
      </w:pPr>
      <w:r>
        <w:rPr>
          <w:rFonts w:hint="eastAsia"/>
        </w:rPr>
        <w:t>第</w:t>
      </w:r>
      <w:r>
        <w:t>1</w:t>
      </w:r>
      <w:r>
        <w:rPr>
          <w:rFonts w:hint="eastAsia"/>
        </w:rPr>
        <w:t>层：人口中的心理问题</w:t>
      </w:r>
    </w:p>
    <w:p w:rsidR="00000000" w:rsidRDefault="00000000">
      <w:pPr>
        <w:autoSpaceDE w:val="0"/>
        <w:autoSpaceDN w:val="0"/>
        <w:spacing w:line="400" w:lineRule="exact"/>
        <w:textAlignment w:val="bottom"/>
      </w:pPr>
      <w:r>
        <w:rPr>
          <w:rFonts w:hint="eastAsia"/>
        </w:rPr>
        <w:t>过滤</w:t>
      </w:r>
      <w:r>
        <w:t>1</w:t>
      </w:r>
      <w:r>
        <w:rPr>
          <w:rFonts w:hint="eastAsia"/>
        </w:rPr>
        <w:t>：疾病表现</w:t>
      </w:r>
    </w:p>
    <w:p w:rsidR="00000000" w:rsidRDefault="00000000">
      <w:pPr>
        <w:autoSpaceDE w:val="0"/>
        <w:autoSpaceDN w:val="0"/>
        <w:spacing w:line="400" w:lineRule="exact"/>
        <w:textAlignment w:val="bottom"/>
      </w:pPr>
      <w:r>
        <w:rPr>
          <w:rFonts w:hint="eastAsia"/>
        </w:rPr>
        <w:t>第</w:t>
      </w:r>
      <w:r>
        <w:t>2</w:t>
      </w:r>
      <w:r>
        <w:rPr>
          <w:rFonts w:hint="eastAsia"/>
        </w:rPr>
        <w:t>层：有心理疾病的人就医普通开业医师</w:t>
      </w:r>
    </w:p>
    <w:p w:rsidR="00000000" w:rsidRDefault="00000000">
      <w:pPr>
        <w:autoSpaceDE w:val="0"/>
        <w:autoSpaceDN w:val="0"/>
        <w:spacing w:line="400" w:lineRule="exact"/>
        <w:textAlignment w:val="bottom"/>
      </w:pPr>
      <w:r>
        <w:rPr>
          <w:rFonts w:hint="eastAsia"/>
        </w:rPr>
        <w:t>过滤</w:t>
      </w:r>
      <w:r>
        <w:t>2</w:t>
      </w:r>
      <w:r>
        <w:rPr>
          <w:rFonts w:hint="eastAsia"/>
        </w:rPr>
        <w:t>：普通开业医师确认</w:t>
      </w:r>
      <w:r>
        <w:t>/</w:t>
      </w:r>
      <w:r>
        <w:rPr>
          <w:rFonts w:hint="eastAsia"/>
        </w:rPr>
        <w:t>鉴定</w:t>
      </w:r>
    </w:p>
    <w:p w:rsidR="00000000" w:rsidRDefault="00000000">
      <w:pPr>
        <w:autoSpaceDE w:val="0"/>
        <w:autoSpaceDN w:val="0"/>
        <w:spacing w:line="400" w:lineRule="exact"/>
        <w:textAlignment w:val="bottom"/>
      </w:pPr>
      <w:r>
        <w:rPr>
          <w:rFonts w:hint="eastAsia"/>
        </w:rPr>
        <w:t>第</w:t>
      </w:r>
      <w:r>
        <w:t>3</w:t>
      </w:r>
      <w:r>
        <w:rPr>
          <w:rFonts w:hint="eastAsia"/>
        </w:rPr>
        <w:t>层：经确认患心理疾病的病人就医普通开业医师</w:t>
      </w:r>
    </w:p>
    <w:p w:rsidR="00000000" w:rsidRDefault="00000000">
      <w:pPr>
        <w:autoSpaceDE w:val="0"/>
        <w:autoSpaceDN w:val="0"/>
        <w:spacing w:line="400" w:lineRule="exact"/>
        <w:textAlignment w:val="bottom"/>
      </w:pPr>
      <w:r>
        <w:rPr>
          <w:rFonts w:hint="eastAsia"/>
        </w:rPr>
        <w:t>过滤</w:t>
      </w:r>
      <w:r>
        <w:t>3</w:t>
      </w:r>
      <w:r>
        <w:rPr>
          <w:rFonts w:hint="eastAsia"/>
        </w:rPr>
        <w:t>：普通开业医师就可否获得专门保健提出转诊介绍</w:t>
      </w:r>
    </w:p>
    <w:p w:rsidR="00000000" w:rsidRDefault="00000000">
      <w:pPr>
        <w:autoSpaceDE w:val="0"/>
        <w:autoSpaceDN w:val="0"/>
        <w:spacing w:line="400" w:lineRule="exact"/>
        <w:textAlignment w:val="bottom"/>
      </w:pPr>
      <w:r>
        <w:rPr>
          <w:rFonts w:hint="eastAsia"/>
        </w:rPr>
        <w:t>第</w:t>
      </w:r>
      <w:r>
        <w:t>4</w:t>
      </w:r>
      <w:r>
        <w:rPr>
          <w:rFonts w:hint="eastAsia"/>
        </w:rPr>
        <w:t>层：病人接受门诊心理保健</w:t>
      </w:r>
    </w:p>
    <w:p w:rsidR="00000000" w:rsidRDefault="00000000">
      <w:pPr>
        <w:autoSpaceDE w:val="0"/>
        <w:autoSpaceDN w:val="0"/>
        <w:spacing w:line="400" w:lineRule="exact"/>
        <w:textAlignment w:val="bottom"/>
      </w:pPr>
      <w:r>
        <w:rPr>
          <w:rFonts w:hint="eastAsia"/>
        </w:rPr>
        <w:t>过滤</w:t>
      </w:r>
      <w:r>
        <w:t>4</w:t>
      </w:r>
      <w:r>
        <w:rPr>
          <w:rFonts w:hint="eastAsia"/>
        </w:rPr>
        <w:t>：决定接受入院</w:t>
      </w:r>
    </w:p>
    <w:p w:rsidR="00000000" w:rsidRDefault="00000000">
      <w:pPr>
        <w:autoSpaceDE w:val="0"/>
        <w:autoSpaceDN w:val="0"/>
        <w:spacing w:line="400" w:lineRule="exact"/>
        <w:textAlignment w:val="bottom"/>
      </w:pPr>
      <w:r>
        <w:rPr>
          <w:rFonts w:hint="eastAsia"/>
        </w:rPr>
        <w:t>第</w:t>
      </w:r>
      <w:r>
        <w:t>5</w:t>
      </w:r>
      <w:r>
        <w:rPr>
          <w:rFonts w:hint="eastAsia"/>
        </w:rPr>
        <w:t>层：患心理疾病病人在精神治疗机构内接受保健</w:t>
      </w:r>
    </w:p>
    <w:p w:rsidR="00000000" w:rsidRDefault="00000000">
      <w:pPr>
        <w:autoSpaceDE w:val="0"/>
        <w:autoSpaceDN w:val="0"/>
        <w:spacing w:line="400" w:lineRule="exact"/>
        <w:textAlignment w:val="bottom"/>
      </w:pPr>
    </w:p>
    <w:p w:rsidR="00000000" w:rsidRDefault="00000000">
      <w:pPr>
        <w:autoSpaceDE w:val="0"/>
        <w:autoSpaceDN w:val="0"/>
        <w:spacing w:after="240" w:line="400" w:lineRule="exact"/>
        <w:ind w:firstLine="425"/>
        <w:textAlignment w:val="bottom"/>
      </w:pPr>
      <w:r>
        <w:rPr>
          <w:rFonts w:hint="eastAsia"/>
        </w:rPr>
        <w:t>一般说来不可能准确地确定理想的通过率。随着通过率的减少，不适当治疗的风险加大；如果通过率高，会出现过量治疗或不必要的医疗消费。因此，我们处理这个问题的方法是通过观察过滤通过率中有关性别的差别并根据最初的健康差异，使提供的保健适合需要。在保健过程中根据某个时候出现、加大或减少的有关性别的差异就有理由更加深入地探讨不同类型的性别歧视。</w:t>
      </w:r>
    </w:p>
    <w:p w:rsidR="00000000" w:rsidRDefault="00000000">
      <w:pPr>
        <w:autoSpaceDE w:val="0"/>
        <w:autoSpaceDN w:val="0"/>
        <w:spacing w:after="240" w:line="400" w:lineRule="exact"/>
        <w:textAlignment w:val="bottom"/>
        <w:rPr>
          <w:rFonts w:ascii="SimHei" w:eastAsia="SimHei"/>
          <w:sz w:val="24"/>
        </w:rPr>
      </w:pPr>
      <w:r>
        <w:rPr>
          <w:rFonts w:ascii="SimHei" w:eastAsia="SimHei"/>
          <w:sz w:val="24"/>
        </w:rPr>
        <w:t xml:space="preserve">3.3  </w:t>
      </w:r>
      <w:r>
        <w:rPr>
          <w:rFonts w:ascii="SimHei" w:eastAsia="SimHei" w:hint="eastAsia"/>
          <w:sz w:val="24"/>
        </w:rPr>
        <w:t>研究计划</w:t>
      </w:r>
    </w:p>
    <w:p w:rsidR="00000000" w:rsidRDefault="00000000">
      <w:pPr>
        <w:autoSpaceDE w:val="0"/>
        <w:autoSpaceDN w:val="0"/>
        <w:spacing w:after="240" w:line="400" w:lineRule="exact"/>
        <w:ind w:firstLine="425"/>
        <w:textAlignment w:val="bottom"/>
      </w:pPr>
      <w:r>
        <w:rPr>
          <w:rFonts w:hint="eastAsia"/>
        </w:rPr>
        <w:t>这项研究要回答的主要问题可表述如下：</w:t>
      </w:r>
    </w:p>
    <w:p w:rsidR="00000000" w:rsidRDefault="00000000">
      <w:pPr>
        <w:autoSpaceDE w:val="0"/>
        <w:autoSpaceDN w:val="0"/>
        <w:spacing w:after="240" w:line="400" w:lineRule="exact"/>
        <w:ind w:firstLine="425"/>
        <w:textAlignment w:val="bottom"/>
      </w:pPr>
      <w:r>
        <w:t xml:space="preserve">1.  </w:t>
      </w:r>
      <w:r>
        <w:rPr>
          <w:rFonts w:hint="eastAsia"/>
        </w:rPr>
        <w:t>荷兰妇女的健康状况与男子相比是（令人无法接受的）差吗？</w:t>
      </w:r>
    </w:p>
    <w:p w:rsidR="00000000" w:rsidRDefault="00000000">
      <w:pPr>
        <w:autoSpaceDE w:val="0"/>
        <w:autoSpaceDN w:val="0"/>
        <w:spacing w:after="240" w:line="400" w:lineRule="exact"/>
        <w:ind w:firstLine="425"/>
        <w:textAlignment w:val="bottom"/>
      </w:pPr>
      <w:r>
        <w:t xml:space="preserve">2.  </w:t>
      </w:r>
      <w:r>
        <w:rPr>
          <w:rFonts w:hint="eastAsia"/>
        </w:rPr>
        <w:t>在涉及下列两方面的保健质量中是否存在有关性别的差异？</w:t>
      </w:r>
    </w:p>
    <w:p w:rsidR="00000000" w:rsidRDefault="00000000">
      <w:pPr>
        <w:autoSpaceDE w:val="0"/>
        <w:autoSpaceDN w:val="0"/>
        <w:spacing w:after="240" w:line="400" w:lineRule="exact"/>
        <w:ind w:firstLine="425"/>
        <w:textAlignment w:val="bottom"/>
      </w:pPr>
      <w:r>
        <w:t xml:space="preserve">a.  </w:t>
      </w:r>
      <w:r>
        <w:rPr>
          <w:rFonts w:hint="eastAsia"/>
        </w:rPr>
        <w:t>确保有适当的保健：可获得不同层次的保健和更加专门的保健；以及（或）</w:t>
      </w:r>
    </w:p>
    <w:p w:rsidR="00000000" w:rsidRDefault="00000000">
      <w:pPr>
        <w:autoSpaceDE w:val="0"/>
        <w:autoSpaceDN w:val="0"/>
        <w:spacing w:after="240" w:line="400" w:lineRule="exact"/>
        <w:ind w:firstLine="425"/>
        <w:textAlignment w:val="bottom"/>
      </w:pPr>
      <w:r>
        <w:t xml:space="preserve">b.  </w:t>
      </w:r>
      <w:r>
        <w:rPr>
          <w:rFonts w:hint="eastAsia"/>
        </w:rPr>
        <w:t>以病人为中心。</w:t>
      </w:r>
    </w:p>
    <w:p w:rsidR="00000000" w:rsidRDefault="00000000">
      <w:pPr>
        <w:autoSpaceDE w:val="0"/>
        <w:autoSpaceDN w:val="0"/>
        <w:spacing w:after="240" w:line="400" w:lineRule="exact"/>
        <w:ind w:firstLine="425"/>
        <w:textAlignment w:val="bottom"/>
      </w:pPr>
      <w:r>
        <w:rPr>
          <w:rFonts w:hint="eastAsia"/>
        </w:rPr>
        <w:t>为了回答这些问题，主要动用了荷兰人口健康状况及保健利用方面的荷兰文出版物。来源包括这个领域的主要荷兰文信息提供者的定期报告，如国家公共卫生和环境研究所、中央统计局、社会和文化计划委员会、保健信息中心和住院病人心理保健入院登记册，以及来自全国性伞式和病人组织的报告。除了这项研究之外，我们还对原始数据档案进行了辅助性分析。此外，还参考了荷兰文研究出版物。这些出版物是利用我们的文献检索从荷兰初级保健研究所</w:t>
      </w:r>
      <w:r>
        <w:t>(Nivel)</w:t>
      </w:r>
      <w:r>
        <w:rPr>
          <w:rFonts w:hint="eastAsia"/>
        </w:rPr>
        <w:t>和荷兰心理健康研究所收集的。</w:t>
      </w:r>
      <w:r>
        <w:rPr>
          <w:rStyle w:val="FootnoteReference"/>
        </w:rPr>
        <w:footnoteReference w:customMarkFollows="1" w:id="116"/>
        <w:t>71</w:t>
      </w:r>
      <w:r>
        <w:t xml:space="preserve"> </w:t>
      </w:r>
      <w:r>
        <w:rPr>
          <w:rFonts w:hint="eastAsia"/>
        </w:rPr>
        <w:t>作为捕捉任何失却的主题的‘安全网’，我们利用</w:t>
      </w:r>
      <w:r>
        <w:t>Medline</w:t>
      </w:r>
      <w:r>
        <w:rPr>
          <w:rFonts w:hint="eastAsia"/>
        </w:rPr>
        <w:t>和</w:t>
      </w:r>
      <w:r>
        <w:t>Psychlit</w:t>
      </w:r>
      <w:r>
        <w:rPr>
          <w:rFonts w:hint="eastAsia"/>
        </w:rPr>
        <w:t>的计算机文件系统咨询了国际文献的文献审核机构。所参阅的是</w:t>
      </w:r>
      <w:r>
        <w:t>1991</w:t>
      </w:r>
      <w:r>
        <w:rPr>
          <w:rFonts w:hint="eastAsia"/>
        </w:rPr>
        <w:t>年到</w:t>
      </w:r>
      <w:r>
        <w:t>1995</w:t>
      </w:r>
      <w:r>
        <w:rPr>
          <w:rFonts w:hint="eastAsia"/>
        </w:rPr>
        <w:t>年期间的出版物。在有些情况下其中的信息来源时间可能更早些。</w:t>
      </w:r>
    </w:p>
    <w:p w:rsidR="00000000" w:rsidRDefault="00000000">
      <w:pPr>
        <w:autoSpaceDE w:val="0"/>
        <w:autoSpaceDN w:val="0"/>
        <w:spacing w:after="240" w:line="400" w:lineRule="exact"/>
        <w:textAlignment w:val="bottom"/>
        <w:rPr>
          <w:rFonts w:ascii="SimHei" w:eastAsia="SimHei"/>
          <w:sz w:val="28"/>
        </w:rPr>
      </w:pPr>
      <w:r>
        <w:rPr>
          <w:rFonts w:ascii="SimHei" w:eastAsia="SimHei"/>
          <w:sz w:val="28"/>
        </w:rPr>
        <w:br w:type="page"/>
        <w:t xml:space="preserve">4.  </w:t>
      </w:r>
      <w:r>
        <w:rPr>
          <w:rFonts w:ascii="SimHei" w:eastAsia="SimHei" w:hint="eastAsia"/>
          <w:sz w:val="28"/>
        </w:rPr>
        <w:t>健康方面的性别差别</w:t>
      </w:r>
    </w:p>
    <w:p w:rsidR="00000000" w:rsidRDefault="00000000">
      <w:pPr>
        <w:autoSpaceDE w:val="0"/>
        <w:autoSpaceDN w:val="0"/>
        <w:spacing w:after="240" w:line="400" w:lineRule="exact"/>
        <w:ind w:firstLine="425"/>
        <w:textAlignment w:val="bottom"/>
      </w:pPr>
      <w:r>
        <w:rPr>
          <w:rFonts w:hint="eastAsia"/>
        </w:rPr>
        <w:t>如</w:t>
      </w:r>
      <w:r>
        <w:t>Goldberg</w:t>
      </w:r>
      <w:r>
        <w:rPr>
          <w:rFonts w:hint="eastAsia"/>
        </w:rPr>
        <w:t>和</w:t>
      </w:r>
      <w:r>
        <w:t>Huxley</w:t>
      </w:r>
      <w:r>
        <w:rPr>
          <w:rFonts w:hint="eastAsia"/>
        </w:rPr>
        <w:t>的过滤模式所表明的，在保健程序开始时比在就诊普通开业医师或专家时会出现其他更为不同的保健问题。在保健程序开始时没有采用外部过滤，所有健康问题</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至少人们看到自己身上的症状或疾病</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都可以见到。</w:t>
      </w:r>
      <w:r>
        <w:rPr>
          <w:rStyle w:val="FootnoteReference"/>
        </w:rPr>
        <w:footnoteReference w:customMarkFollows="1" w:id="117"/>
        <w:t>72</w:t>
      </w:r>
      <w:r>
        <w:rPr>
          <w:rFonts w:hint="eastAsia"/>
        </w:rPr>
        <w:t>下一步我们将描述普通人口一级健康方面的性别的差别。在这里关于荷兰妇女的健康状况是否比男子（令人不可接受的）差这个问题是重要的。</w:t>
      </w:r>
    </w:p>
    <w:p w:rsidR="00000000" w:rsidRDefault="00000000">
      <w:pPr>
        <w:autoSpaceDE w:val="0"/>
        <w:autoSpaceDN w:val="0"/>
        <w:spacing w:after="240" w:line="400" w:lineRule="exact"/>
        <w:ind w:firstLine="425"/>
        <w:textAlignment w:val="bottom"/>
      </w:pPr>
      <w:r>
        <w:rPr>
          <w:rFonts w:hint="eastAsia"/>
        </w:rPr>
        <w:t>健康状况的图表是以下列指标为依据的：病病流行程度；长期受限或残疾；多种发病率；疾病和伤残造成缺勤；可感健康；心理社会问题和健康预期寿命。我们从中央统计局编写的《</w:t>
      </w:r>
      <w:r>
        <w:t>1980-1990</w:t>
      </w:r>
      <w:r>
        <w:rPr>
          <w:rFonts w:hint="eastAsia"/>
        </w:rPr>
        <w:t>年健康调查》和</w:t>
      </w:r>
      <w:r>
        <w:t>Vivel</w:t>
      </w:r>
      <w:r>
        <w:rPr>
          <w:rFonts w:hint="eastAsia"/>
        </w:rPr>
        <w:t>编写的《关于普通医务中的疾病及治疗的全国性调查》以及基于这些调查研究的出版物中获得资料。</w:t>
      </w:r>
      <w:r>
        <w:rPr>
          <w:rStyle w:val="FootnoteReference"/>
        </w:rPr>
        <w:footnoteReference w:customMarkFollows="1" w:id="118"/>
        <w:t>73</w:t>
      </w:r>
      <w:r>
        <w:rPr>
          <w:rFonts w:hint="eastAsia"/>
        </w:rPr>
        <w:t>此外，我们还利用了各市卫生部门</w:t>
      </w:r>
      <w:r>
        <w:rPr>
          <w:rStyle w:val="FootnoteReference"/>
        </w:rPr>
        <w:footnoteReference w:customMarkFollows="1" w:id="119"/>
        <w:t>74</w:t>
      </w:r>
      <w:r>
        <w:rPr>
          <w:rFonts w:hint="eastAsia"/>
        </w:rPr>
        <w:t>、阿姆斯特丹</w:t>
      </w:r>
      <w:r>
        <w:t>Zuid-Oost</w:t>
      </w:r>
      <w:r>
        <w:rPr>
          <w:rFonts w:hint="eastAsia"/>
        </w:rPr>
        <w:t>过滤研究，</w:t>
      </w:r>
      <w:r>
        <w:rPr>
          <w:rStyle w:val="FootnoteReference"/>
        </w:rPr>
        <w:footnoteReference w:customMarkFollows="1" w:id="120"/>
        <w:t>75</w:t>
      </w:r>
      <w:r>
        <w:rPr>
          <w:rFonts w:hint="eastAsia"/>
        </w:rPr>
        <w:t>以及《对基于社会经济水平的健康差别的全国性调查研究》</w:t>
      </w:r>
      <w:r>
        <w:rPr>
          <w:rStyle w:val="FootnoteReference"/>
        </w:rPr>
        <w:footnoteReference w:customMarkFollows="1" w:id="121"/>
        <w:t>76</w:t>
      </w:r>
      <w:r>
        <w:rPr>
          <w:rFonts w:hint="eastAsia"/>
        </w:rPr>
        <w:t>的健康调查的结果。补充资料来自</w:t>
      </w:r>
      <w:r>
        <w:t>1993</w:t>
      </w:r>
      <w:r>
        <w:rPr>
          <w:rFonts w:hint="eastAsia"/>
        </w:rPr>
        <w:t>年关于公共卫生的政策文件</w:t>
      </w:r>
      <w:r>
        <w:rPr>
          <w:rStyle w:val="FootnoteReference"/>
        </w:rPr>
        <w:footnoteReference w:customMarkFollows="1" w:id="122"/>
        <w:t>77</w:t>
      </w:r>
      <w:r>
        <w:rPr>
          <w:rFonts w:hint="eastAsia"/>
        </w:rPr>
        <w:t>和未来保健方案指导小组的出版物。</w:t>
      </w:r>
      <w:r>
        <w:rPr>
          <w:rStyle w:val="FootnoteReference"/>
        </w:rPr>
        <w:footnoteReference w:customMarkFollows="1" w:id="123"/>
        <w:t>78</w:t>
      </w:r>
      <w:r>
        <w:rPr>
          <w:rFonts w:hint="eastAsia"/>
        </w:rPr>
        <w:t>由于利用普通开业医师处登记的病人收集数据，所以某些资料来源受到限制。这就意味着未保过险者、非法外国人、难民、无家可归者以及有严重吸毒问题者人数不足。在流行病研究中移民和住在机构中的人数一般也不够。</w:t>
      </w:r>
    </w:p>
    <w:p w:rsidR="00000000" w:rsidRDefault="00000000">
      <w:pPr>
        <w:autoSpaceDE w:val="0"/>
        <w:autoSpaceDN w:val="0"/>
        <w:spacing w:after="240" w:line="400" w:lineRule="exact"/>
        <w:textAlignment w:val="bottom"/>
        <w:rPr>
          <w:rFonts w:ascii="SimHei" w:eastAsia="SimHei"/>
          <w:sz w:val="24"/>
        </w:rPr>
      </w:pPr>
      <w:r>
        <w:rPr>
          <w:rFonts w:ascii="SimHei" w:eastAsia="SimHei"/>
          <w:sz w:val="24"/>
        </w:rPr>
        <w:t xml:space="preserve">4.1  </w:t>
      </w:r>
      <w:r>
        <w:rPr>
          <w:rFonts w:ascii="SimHei" w:eastAsia="SimHei" w:hint="eastAsia"/>
          <w:sz w:val="24"/>
        </w:rPr>
        <w:t>男女健康状况比较</w:t>
      </w:r>
    </w:p>
    <w:p w:rsidR="00000000" w:rsidRDefault="00000000">
      <w:pPr>
        <w:autoSpaceDE w:val="0"/>
        <w:autoSpaceDN w:val="0"/>
        <w:spacing w:after="240" w:line="400" w:lineRule="exact"/>
        <w:ind w:firstLine="425"/>
        <w:textAlignment w:val="bottom"/>
      </w:pPr>
      <w:r>
        <w:rPr>
          <w:rFonts w:hint="eastAsia"/>
        </w:rPr>
        <w:t>健康方面性别差别特点的最好描述是那句谚语，‘女人生病男人丧命’。与男子相比妇女的预期寿命更长（</w:t>
      </w:r>
      <w:r>
        <w:t>80.1</w:t>
      </w:r>
      <w:r>
        <w:rPr>
          <w:rFonts w:hint="eastAsia"/>
        </w:rPr>
        <w:t>比</w:t>
      </w:r>
      <w:r>
        <w:t>73.8</w:t>
      </w:r>
      <w:r>
        <w:rPr>
          <w:rFonts w:hint="eastAsia"/>
        </w:rPr>
        <w:t>岁）但疾病也更多。妇女享有的较多寿命几乎大部分是在疾病状态中度过的。妇女由于疾病住院的时间也多。从绝对数字看，妇女一生在疾病状态下度过的时间更多（</w:t>
      </w:r>
      <w:r>
        <w:t>20</w:t>
      </w:r>
      <w:r>
        <w:rPr>
          <w:rFonts w:hint="eastAsia"/>
        </w:rPr>
        <w:t>比</w:t>
      </w:r>
      <w:r>
        <w:t>13.5</w:t>
      </w:r>
      <w:r>
        <w:rPr>
          <w:rFonts w:hint="eastAsia"/>
        </w:rPr>
        <w:t>年），她们一生在不卫生条件下度过的时间更多（</w:t>
      </w:r>
      <w:r>
        <w:t>25%</w:t>
      </w:r>
      <w:r>
        <w:rPr>
          <w:rFonts w:hint="eastAsia"/>
        </w:rPr>
        <w:t>比</w:t>
      </w:r>
      <w:r>
        <w:t>19%</w:t>
      </w:r>
      <w:r>
        <w:rPr>
          <w:rFonts w:hint="eastAsia"/>
        </w:rPr>
        <w:t>）。</w:t>
      </w:r>
    </w:p>
    <w:p w:rsidR="00000000" w:rsidRDefault="00000000">
      <w:pPr>
        <w:autoSpaceDE w:val="0"/>
        <w:autoSpaceDN w:val="0"/>
        <w:spacing w:after="240" w:line="400" w:lineRule="exact"/>
        <w:ind w:firstLine="425"/>
        <w:textAlignment w:val="bottom"/>
      </w:pPr>
      <w:r>
        <w:rPr>
          <w:rFonts w:hint="eastAsia"/>
        </w:rPr>
        <w:t>其他健康指数显示妇女遭受的疾病而且所患人疾病的种类也都比男子多。影响妇女的年轻人的疾病主要有尿道感染、甲状腺疾病、偏头痛以及自然与怀孕、月经或更年期有关的健康问题。一般来说妇女患心理疾病也比男子多。在有心理问题的人群中妇女占</w:t>
      </w:r>
      <w:r>
        <w:t>50%</w:t>
      </w:r>
      <w:r>
        <w:rPr>
          <w:rFonts w:hint="eastAsia"/>
        </w:rPr>
        <w:t>到</w:t>
      </w:r>
      <w:r>
        <w:t>63%</w:t>
      </w:r>
      <w:r>
        <w:rPr>
          <w:rFonts w:hint="eastAsia"/>
        </w:rPr>
        <w:t>。当问及她们可察觉的健康状况（“您一般健康状况如何？”）时</w:t>
      </w:r>
      <w:r>
        <w:t>20%</w:t>
      </w:r>
      <w:r>
        <w:rPr>
          <w:rFonts w:hint="eastAsia"/>
        </w:rPr>
        <w:t>以上妇女和</w:t>
      </w:r>
      <w:r>
        <w:t>16%</w:t>
      </w:r>
      <w:r>
        <w:rPr>
          <w:rFonts w:hint="eastAsia"/>
        </w:rPr>
        <w:t>以上男子回答‘一般’到‘不好’。用问卷调查表衡量（关于可察觉的健康或衡量在多大程度上人们感觉良好，身体健康的标准）可察觉健康方面性别差别就更大了一些。妇女更经常感到疲劳，尤其是那些从事脑力劳动又有小孩的妇女。劳动妇女即使不算怀孕或分娩的缺勤但由于疾病缺勤也比男子多。但妇女患病的时间较短，而且很少丧失能力（</w:t>
      </w:r>
      <w:r>
        <w:t>10%</w:t>
      </w:r>
      <w:r>
        <w:rPr>
          <w:rFonts w:hint="eastAsia"/>
        </w:rPr>
        <w:t>比</w:t>
      </w:r>
      <w:r>
        <w:t>15%</w:t>
      </w:r>
      <w:r>
        <w:rPr>
          <w:rFonts w:hint="eastAsia"/>
        </w:rPr>
        <w:t>）。有迹象表明，那些快要丧失能力的妇女常常‘悄悄地’退出劳动力市场。妇女比男子更多以心理原因丧失能力。一旦失业，妇女重返劳动力市场的机会比男子明显减少。</w:t>
      </w:r>
    </w:p>
    <w:p w:rsidR="00000000" w:rsidRDefault="00000000">
      <w:pPr>
        <w:autoSpaceDE w:val="0"/>
        <w:autoSpaceDN w:val="0"/>
        <w:spacing w:after="240" w:line="400" w:lineRule="exact"/>
        <w:ind w:firstLine="425"/>
        <w:textAlignment w:val="bottom"/>
      </w:pPr>
      <w:r>
        <w:rPr>
          <w:rFonts w:hint="eastAsia"/>
        </w:rPr>
        <w:t>随年龄老化妇女更易于患病，其主要原因是慢性和老年病流行率增加了，如关节恶化、脊骨问题、髋骨骨折、高血压和平衡问题。</w:t>
      </w:r>
      <w:r>
        <w:rPr>
          <w:rStyle w:val="FootnoteReference"/>
        </w:rPr>
        <w:footnoteReference w:customMarkFollows="1" w:id="124"/>
        <w:t>79</w:t>
      </w:r>
      <w:r>
        <w:rPr>
          <w:rFonts w:hint="eastAsia"/>
        </w:rPr>
        <w:t>多种诊断（多种疾病）和长期受限或残疾在妇女中也更为普遍。另外，男女所受限制的性质也有所不同。妇女主要在运动方面受限（站立、行走、坐下、站起以及手和臂功能）以及视力减退，从而妨碍她们的日常活动。她们还常患与尿失禁和大便有关的疾病。男子则更常患耐力降低、听力障碍以及语言困难这些疾病。</w:t>
      </w:r>
    </w:p>
    <w:p w:rsidR="00000000" w:rsidRDefault="00000000">
      <w:pPr>
        <w:autoSpaceDE w:val="0"/>
        <w:autoSpaceDN w:val="0"/>
        <w:spacing w:after="240" w:line="400" w:lineRule="exact"/>
        <w:ind w:firstLine="425"/>
        <w:textAlignment w:val="bottom"/>
      </w:pPr>
      <w:r>
        <w:rPr>
          <w:rFonts w:hint="eastAsia"/>
        </w:rPr>
        <w:t>最后，我们可以说在荷兰尽管妇女预期寿命较长但她们经受比男子更多的健康问题和其他各种问题。</w:t>
      </w:r>
    </w:p>
    <w:p w:rsidR="00000000" w:rsidRDefault="00000000">
      <w:pPr>
        <w:spacing w:after="240" w:line="400" w:lineRule="exact"/>
        <w:rPr>
          <w:rFonts w:ascii="SimHei" w:eastAsia="SimHei"/>
          <w:sz w:val="24"/>
        </w:rPr>
      </w:pPr>
      <w:r>
        <w:rPr>
          <w:rFonts w:ascii="SimHei" w:eastAsia="SimHei"/>
          <w:sz w:val="24"/>
        </w:rPr>
        <w:t xml:space="preserve">4.2  </w:t>
      </w:r>
      <w:r>
        <w:rPr>
          <w:rFonts w:ascii="SimHei" w:eastAsia="SimHei" w:hint="eastAsia"/>
          <w:sz w:val="24"/>
        </w:rPr>
        <w:t>患病方面性别差别能否避免？</w:t>
      </w:r>
    </w:p>
    <w:p w:rsidR="00000000" w:rsidRDefault="00000000">
      <w:pPr>
        <w:spacing w:after="240" w:line="400" w:lineRule="exact"/>
        <w:ind w:firstLine="425"/>
      </w:pPr>
      <w:r>
        <w:rPr>
          <w:rFonts w:hint="eastAsia"/>
        </w:rPr>
        <w:t>假设该调查研究中发现的健康方面性别差别并不是方法论的人为制造的结果，那么就出现了怎样解释差别的问题：是不是必须把女性人口中的健康问题归因于健康机会（可避免地）更少？</w:t>
      </w:r>
    </w:p>
    <w:p w:rsidR="00000000" w:rsidRDefault="00000000">
      <w:pPr>
        <w:spacing w:after="240" w:line="400" w:lineRule="exact"/>
        <w:ind w:firstLine="425"/>
      </w:pPr>
      <w:r>
        <w:rPr>
          <w:rFonts w:hint="eastAsia"/>
        </w:rPr>
        <w:t>妇女更为不利的健康状况主要直接归因于妇女达到高龄的人数比男子多这一事实。目前对最普遍流行的疾病和老年病的决定因素尚无深入的充分了解。从目前的知识水平来看，似乎不可能避免健康的这种差别，也不可能把它们归因于不完善的健康政策。政府通过成立全国慢性病人委员会和公布关于慢性疾病的政策报告正在为增加这方面的知识作出直接的努力。今后似乎可取的作法仍是在这方面继续集中努力。</w:t>
      </w:r>
    </w:p>
    <w:p w:rsidR="00000000" w:rsidRDefault="00000000">
      <w:pPr>
        <w:spacing w:after="240" w:line="400" w:lineRule="exact"/>
        <w:ind w:firstLine="425"/>
      </w:pPr>
      <w:r>
        <w:rPr>
          <w:rFonts w:hint="eastAsia"/>
        </w:rPr>
        <w:t>但是，女性人口中的健康问题不应完全归因于女性人口中高龄（和特别高龄）人数多。</w:t>
      </w:r>
      <w:r>
        <w:t>15</w:t>
      </w:r>
      <w:r>
        <w:rPr>
          <w:rFonts w:hint="eastAsia"/>
        </w:rPr>
        <w:t>岁左右出现的差别（几乎所有健康指标显示）导致人们怀疑是性或性别起了直接或间接作用。怀孕、月经或更年期都不足以解释两性之间健康的差别，至少就可察觉健康和心理疾病流行而言是如此。</w:t>
      </w:r>
      <w:r>
        <w:rPr>
          <w:rStyle w:val="FootnoteReference"/>
        </w:rPr>
        <w:footnoteReference w:customMarkFollows="1" w:id="125"/>
        <w:t>80</w:t>
      </w:r>
      <w:r>
        <w:t xml:space="preserve"> </w:t>
      </w:r>
      <w:r>
        <w:rPr>
          <w:rFonts w:hint="eastAsia"/>
        </w:rPr>
        <w:t>流行病学调查显示的妇女高患病记录看来与更多患有日常疾病有很大关系。反过来日常患病又受到情绪、对体质变化的注意以及把身体感觉作为疾病信号的倾向的影响。</w:t>
      </w:r>
      <w:r>
        <w:rPr>
          <w:rStyle w:val="FootnoteReference"/>
        </w:rPr>
        <w:footnoteReference w:customMarkFollows="1" w:id="126"/>
        <w:t>81</w:t>
      </w:r>
      <w:r>
        <w:rPr>
          <w:rFonts w:hint="eastAsia"/>
        </w:rPr>
        <w:t>最后，妇女的社会地位也似乎也成了她们健康状况不佳的部分原因。妇女比男子更经常在被认为对健康有负面影响的条件下生活。</w:t>
      </w:r>
      <w:r>
        <w:rPr>
          <w:rStyle w:val="FootnoteReference"/>
        </w:rPr>
        <w:footnoteReference w:customMarkFollows="1" w:id="127"/>
        <w:t>82</w:t>
      </w:r>
      <w:r>
        <w:t xml:space="preserve"> </w:t>
      </w:r>
      <w:r>
        <w:rPr>
          <w:rFonts w:hint="eastAsia"/>
        </w:rPr>
        <w:t>这些条件包括这样一些情况，如教育水平低；收入少；没有工作；缺少一个或几个固定职责以及是单亲父母。通过改变这种生活条件，涉及心理社会问题的有关性别的差别完全消除了，而涉及心理问题的有关性别的差别也部分地消除了。可察觉健康方面的变化甚至更大：在同样的生活条件下妇女经受的健康问题比男子要少。</w:t>
      </w:r>
      <w:r>
        <w:rPr>
          <w:rStyle w:val="FootnoteReference"/>
        </w:rPr>
        <w:footnoteReference w:customMarkFollows="1" w:id="128"/>
        <w:t>83</w:t>
      </w:r>
      <w:r>
        <w:t xml:space="preserve"> </w:t>
      </w:r>
      <w:r>
        <w:rPr>
          <w:rFonts w:hint="eastAsia"/>
        </w:rPr>
        <w:t>有偿和无偿工作之间的不平等分工看来也不利于妇女的健康状况。为其他人提供非正规照管、无论是否加上家务劳动以及家庭以外的劳动尤其是一种压力，它常常造成妇女身体和心理上的沉重负担。</w:t>
      </w:r>
      <w:r>
        <w:rPr>
          <w:rStyle w:val="FootnoteReference"/>
        </w:rPr>
        <w:footnoteReference w:customMarkFollows="1" w:id="129"/>
        <w:t>84</w:t>
      </w:r>
      <w:r>
        <w:t xml:space="preserve"> </w:t>
      </w:r>
      <w:r>
        <w:rPr>
          <w:rFonts w:hint="eastAsia"/>
        </w:rPr>
        <w:t>目前关于妇女因病缺勤较多的原因方面的资料仍比较少。仍然不太清楚的是不利的劳动条件，缺少事业前景以及非正规照管的责任都起到了多大的作用。妇女重新进入劳动力市场的可能性减少了，从而造成她们过早成为丧失工作能力这一事实。总之，我们可以认为，她们生活在其中的生活条件，使她们更多地接触到不利健康的因素。如果政府有适当的政策，危及妇女健康的生活条件会得到大大改善。到那时妇女将有更多机会获得健康。</w:t>
      </w:r>
    </w:p>
    <w:p w:rsidR="00000000" w:rsidRDefault="00000000">
      <w:pPr>
        <w:spacing w:after="240" w:line="400" w:lineRule="exact"/>
        <w:rPr>
          <w:rFonts w:ascii="SimHei" w:eastAsia="SimHei"/>
          <w:sz w:val="28"/>
        </w:rPr>
      </w:pPr>
      <w:r>
        <w:br w:type="page"/>
      </w:r>
      <w:r>
        <w:rPr>
          <w:rFonts w:ascii="SimHei" w:eastAsia="SimHei"/>
          <w:sz w:val="28"/>
        </w:rPr>
        <w:t xml:space="preserve">5.  </w:t>
      </w:r>
      <w:r>
        <w:rPr>
          <w:rFonts w:ascii="SimHei" w:eastAsia="SimHei" w:hint="eastAsia"/>
          <w:sz w:val="28"/>
        </w:rPr>
        <w:t>保健质量方面的性别差别</w:t>
      </w:r>
    </w:p>
    <w:p w:rsidR="00000000" w:rsidRDefault="00000000">
      <w:pPr>
        <w:spacing w:after="240" w:line="400" w:lineRule="exact"/>
        <w:rPr>
          <w:rFonts w:ascii="SimHei" w:eastAsia="SimHei"/>
          <w:sz w:val="24"/>
        </w:rPr>
      </w:pPr>
      <w:r>
        <w:rPr>
          <w:rFonts w:ascii="SimHei" w:eastAsia="SimHei"/>
          <w:sz w:val="24"/>
        </w:rPr>
        <w:t xml:space="preserve">5.1  </w:t>
      </w:r>
      <w:r>
        <w:rPr>
          <w:rFonts w:ascii="SimHei" w:eastAsia="SimHei" w:hint="eastAsia"/>
          <w:sz w:val="24"/>
        </w:rPr>
        <w:t>预防性保健</w:t>
      </w:r>
    </w:p>
    <w:p w:rsidR="00000000" w:rsidRDefault="00000000">
      <w:pPr>
        <w:spacing w:after="240" w:line="400" w:lineRule="exact"/>
        <w:ind w:firstLine="425"/>
      </w:pPr>
      <w:r>
        <w:rPr>
          <w:rFonts w:hint="eastAsia"/>
        </w:rPr>
        <w:t>预防性保健包括促进与保护公共卫生和预防疾病。在文献中常常对基本和二次预防加以区分。基本预防旨在实际防止疾病，如通过接种。二次预防涉及早期检查出疾病。二次预防的实例是对乳腺癌和子宫颈癌的检查。预防性干预可用集体方案的形式在个人保健的范围内进行。</w:t>
      </w:r>
    </w:p>
    <w:p w:rsidR="00000000" w:rsidRDefault="00000000">
      <w:pPr>
        <w:spacing w:after="240" w:line="400" w:lineRule="exact"/>
        <w:ind w:firstLine="425"/>
      </w:pPr>
      <w:r>
        <w:rPr>
          <w:rFonts w:hint="eastAsia"/>
        </w:rPr>
        <w:t>为了对预防性保健的质量进行评价，所采用的措施在某些方面不同于评价治疗性保健所采用的措施，至少在使保健的提供适合于需求时是如此。</w:t>
      </w:r>
      <w:r>
        <w:rPr>
          <w:rStyle w:val="FootnoteReference"/>
        </w:rPr>
        <w:footnoteReference w:customMarkFollows="1" w:id="130"/>
        <w:t>85</w:t>
      </w:r>
      <w:r>
        <w:rPr>
          <w:rFonts w:hint="eastAsia"/>
        </w:rPr>
        <w:t>按照定义预防性保健是主动提供给大体上健康的人口的。提供预防性保健的标准不是一个人目前的健康状况，而是未来患病的风险。其次，个人利益并不总是首要的，预防性保健也为集体利益服务。个人和集体利益相互会有矛盾。</w:t>
      </w:r>
    </w:p>
    <w:p w:rsidR="00000000" w:rsidRDefault="00000000">
      <w:pPr>
        <w:spacing w:after="240" w:line="400" w:lineRule="exact"/>
        <w:rPr>
          <w:rFonts w:ascii="楷体" w:eastAsia="楷体"/>
        </w:rPr>
      </w:pPr>
      <w:r>
        <w:rPr>
          <w:rFonts w:ascii="楷体" w:eastAsia="楷体" w:hint="eastAsia"/>
        </w:rPr>
        <w:t>法律体制</w:t>
      </w:r>
    </w:p>
    <w:p w:rsidR="00000000" w:rsidRDefault="00000000">
      <w:pPr>
        <w:spacing w:after="240" w:line="400" w:lineRule="exact"/>
        <w:ind w:firstLine="425"/>
      </w:pPr>
      <w:r>
        <w:rPr>
          <w:rFonts w:hint="eastAsia"/>
        </w:rPr>
        <w:t>预防性保健的法律体制是由《公共卫生（预防性措施）法》、《传染病控制和病因调查法》以及《人口检查法》组成的。</w:t>
      </w:r>
      <w:r>
        <w:rPr>
          <w:rStyle w:val="FootnoteReference"/>
        </w:rPr>
        <w:footnoteReference w:customMarkFollows="1" w:id="131"/>
        <w:t>86</w:t>
      </w:r>
      <w:r>
        <w:t xml:space="preserve"> </w:t>
      </w:r>
    </w:p>
    <w:p w:rsidR="00000000" w:rsidRDefault="00000000">
      <w:pPr>
        <w:spacing w:after="240" w:line="400" w:lineRule="exact"/>
        <w:ind w:firstLine="425"/>
      </w:pPr>
      <w:r>
        <w:rPr>
          <w:rFonts w:hint="eastAsia"/>
        </w:rPr>
        <w:t>《传染病控制和病因调查法》</w:t>
      </w:r>
      <w:r>
        <w:rPr>
          <w:rStyle w:val="FootnoteReference"/>
        </w:rPr>
        <w:footnoteReference w:customMarkFollows="1" w:id="132"/>
        <w:t>87</w:t>
      </w:r>
      <w:r>
        <w:rPr>
          <w:rFonts w:hint="eastAsia"/>
        </w:rPr>
        <w:t>早在</w:t>
      </w:r>
      <w:r>
        <w:t>1928</w:t>
      </w:r>
      <w:r>
        <w:rPr>
          <w:rFonts w:hint="eastAsia"/>
        </w:rPr>
        <w:t>年就生效了，它适用于枢密院命令所指定的传染病。《公共卫生法》于</w:t>
      </w:r>
      <w:r>
        <w:t>1989</w:t>
      </w:r>
      <w:r>
        <w:rPr>
          <w:rFonts w:hint="eastAsia"/>
        </w:rPr>
        <w:t>年</w:t>
      </w:r>
      <w:r>
        <w:t>1</w:t>
      </w:r>
      <w:r>
        <w:rPr>
          <w:rFonts w:hint="eastAsia"/>
        </w:rPr>
        <w:t>月</w:t>
      </w:r>
      <w:r>
        <w:t>1</w:t>
      </w:r>
      <w:r>
        <w:rPr>
          <w:rFonts w:hint="eastAsia"/>
        </w:rPr>
        <w:t>日生效。</w:t>
      </w:r>
      <w:r>
        <w:rPr>
          <w:rStyle w:val="FootnoteReference"/>
        </w:rPr>
        <w:footnoteReference w:customMarkFollows="1" w:id="133"/>
        <w:t>88</w:t>
      </w:r>
      <w:r>
        <w:rPr>
          <w:rFonts w:hint="eastAsia"/>
        </w:rPr>
        <w:t>这项立法把集体预防的责任交给了地方政府，并使它们有进一步确定任务的很大自由。</w:t>
      </w:r>
      <w:r>
        <w:rPr>
          <w:rStyle w:val="FootnoteReference"/>
        </w:rPr>
        <w:footnoteReference w:customMarkFollows="1" w:id="134"/>
        <w:t>89</w:t>
      </w:r>
      <w:r>
        <w:t>1992</w:t>
      </w:r>
      <w:r>
        <w:rPr>
          <w:rFonts w:hint="eastAsia"/>
        </w:rPr>
        <w:t>年政府采用了枢密院令指导地方行政官员如何履行他们在肺结核、性传播疾病和艾滋病控制领域的使命。</w:t>
      </w:r>
      <w:r>
        <w:rPr>
          <w:rStyle w:val="FootnoteReference"/>
        </w:rPr>
        <w:footnoteReference w:customMarkFollows="1" w:id="135"/>
        <w:t>90</w:t>
      </w:r>
      <w:r>
        <w:t xml:space="preserve"> </w:t>
      </w:r>
      <w:r>
        <w:rPr>
          <w:rFonts w:hint="eastAsia"/>
        </w:rPr>
        <w:t>建议的《人口检查法》的目的是专门为了提高预防性保健的质量。</w:t>
      </w:r>
      <w:r>
        <w:rPr>
          <w:rStyle w:val="FootnoteReference"/>
        </w:rPr>
        <w:footnoteReference w:customMarkFollows="1" w:id="136"/>
        <w:t>91</w:t>
      </w:r>
      <w:r>
        <w:t xml:space="preserve"> </w:t>
      </w:r>
      <w:r>
        <w:rPr>
          <w:rFonts w:hint="eastAsia"/>
        </w:rPr>
        <w:t>《人口检查法》旨在保护普通人口免受劣质检查危害。未经允许不得利用同位素射线进行检查，以及对癌症和其他不可能治疗和预防的严重疾病及失常现象的测试（《人口检查法》第</w:t>
      </w:r>
      <w:r>
        <w:t>2</w:t>
      </w:r>
      <w:r>
        <w:rPr>
          <w:rFonts w:hint="eastAsia"/>
        </w:rPr>
        <w:t>条，第</w:t>
      </w:r>
      <w:r>
        <w:t>1</w:t>
      </w:r>
      <w:r>
        <w:rPr>
          <w:rFonts w:hint="eastAsia"/>
        </w:rPr>
        <w:t>款）。</w:t>
      </w:r>
      <w:r>
        <w:rPr>
          <w:rStyle w:val="FootnoteReference"/>
        </w:rPr>
        <w:footnoteReference w:customMarkFollows="1" w:id="137"/>
        <w:t>92</w:t>
      </w:r>
      <w:r>
        <w:t xml:space="preserve"> </w:t>
      </w:r>
      <w:r>
        <w:rPr>
          <w:rFonts w:hint="eastAsia"/>
        </w:rPr>
        <w:t>卫生、福利和体育大臣还可在许可责任范围内的清单上再加其他检查项目。《人口检查法》第</w:t>
      </w:r>
      <w:r>
        <w:t>7</w:t>
      </w:r>
      <w:r>
        <w:rPr>
          <w:rFonts w:hint="eastAsia"/>
        </w:rPr>
        <w:t>条规定下列情况拒发许可证如果（</w:t>
      </w:r>
      <w:r>
        <w:t>1</w:t>
      </w:r>
      <w:r>
        <w:rPr>
          <w:rFonts w:hint="eastAsia"/>
        </w:rPr>
        <w:t>）测试在科学上无效；或（</w:t>
      </w:r>
      <w:r>
        <w:t>2</w:t>
      </w:r>
      <w:r>
        <w:rPr>
          <w:rFonts w:hint="eastAsia"/>
        </w:rPr>
        <w:t>）与医疗法规不符；或（</w:t>
      </w:r>
      <w:r>
        <w:t>3</w:t>
      </w:r>
      <w:r>
        <w:rPr>
          <w:rFonts w:hint="eastAsia"/>
        </w:rPr>
        <w:t>）对被检查人员的健康的效用比风险小（《人口检查法》第</w:t>
      </w:r>
      <w:r>
        <w:t>7</w:t>
      </w:r>
      <w:r>
        <w:rPr>
          <w:rFonts w:hint="eastAsia"/>
        </w:rPr>
        <w:t>条第</w:t>
      </w:r>
      <w:r>
        <w:t>1</w:t>
      </w:r>
      <w:r>
        <w:rPr>
          <w:rFonts w:hint="eastAsia"/>
        </w:rPr>
        <w:t>款）。如果（</w:t>
      </w:r>
      <w:r>
        <w:t>4</w:t>
      </w:r>
      <w:r>
        <w:rPr>
          <w:rFonts w:hint="eastAsia"/>
        </w:rPr>
        <w:t>）这种测试不会促进公共卫生利益（《人口检查法》第</w:t>
      </w:r>
      <w:r>
        <w:t>7</w:t>
      </w:r>
      <w:r>
        <w:rPr>
          <w:rFonts w:hint="eastAsia"/>
        </w:rPr>
        <w:t>条第</w:t>
      </w:r>
      <w:r>
        <w:t>2</w:t>
      </w:r>
      <w:r>
        <w:rPr>
          <w:rFonts w:hint="eastAsia"/>
        </w:rPr>
        <w:t>款）也拒绝颁发许可证。应开始评估许可证申请的荷兰卫生委员会认为，在采用检查方案时，必须同时也提供一个监督质量的可靠系统。</w:t>
      </w:r>
      <w:r>
        <w:rPr>
          <w:rStyle w:val="FootnoteReference"/>
        </w:rPr>
        <w:footnoteReference w:customMarkFollows="1" w:id="138"/>
        <w:t>93</w:t>
      </w:r>
      <w:r>
        <w:t xml:space="preserve"> </w:t>
      </w:r>
    </w:p>
    <w:p w:rsidR="00000000" w:rsidRDefault="00000000">
      <w:pPr>
        <w:spacing w:after="240" w:line="400" w:lineRule="exact"/>
        <w:rPr>
          <w:rFonts w:ascii="楷体" w:eastAsia="楷体"/>
        </w:rPr>
      </w:pPr>
      <w:r>
        <w:rPr>
          <w:rFonts w:ascii="楷体" w:eastAsia="楷体" w:hint="eastAsia"/>
        </w:rPr>
        <w:t>得到的保健</w:t>
      </w:r>
    </w:p>
    <w:p w:rsidR="00000000" w:rsidRDefault="00000000">
      <w:pPr>
        <w:spacing w:after="240" w:line="400" w:lineRule="exact"/>
        <w:ind w:firstLine="425"/>
      </w:pPr>
      <w:r>
        <w:rPr>
          <w:rFonts w:hint="eastAsia"/>
        </w:rPr>
        <w:t>妇女可获得的预防性保健比男子要多得多。除了同时用于男女的方案，如预防心脏和血管疾病或皮肤癌的方案之外，还有一些专门针对妇女的方案。这方面的例子包括对乳腺癌和子宫颈癌的检查以及旨在预防髋骨骨折、骨质疏松和绝经后疾病的干预方案。尚无专门针对男子的方案。</w:t>
      </w:r>
      <w:r>
        <w:rPr>
          <w:rStyle w:val="FootnoteReference"/>
        </w:rPr>
        <w:footnoteReference w:customMarkFollows="1" w:id="139"/>
        <w:t>94</w:t>
      </w:r>
      <w:r>
        <w:t xml:space="preserve"> </w:t>
      </w:r>
      <w:r>
        <w:rPr>
          <w:rFonts w:hint="eastAsia"/>
        </w:rPr>
        <w:t>妇女预防性保健的一部分涉及怀孕妇女。这种保健包括预防或诊断先天风疹（德国麻疹）、先天病毒感染、既往症中</w:t>
      </w:r>
      <w:r>
        <w:t>DES</w:t>
      </w:r>
      <w:r>
        <w:rPr>
          <w:rFonts w:hint="eastAsia"/>
        </w:rPr>
        <w:t>的使用、乙型肝炎、镰状红细胞疾病</w:t>
      </w:r>
      <w:r>
        <w:t>/</w:t>
      </w:r>
      <w:r>
        <w:rPr>
          <w:rFonts w:hint="eastAsia"/>
        </w:rPr>
        <w:t>地中海贫血病、梅毒、不安全性行为、吸烟、酗酒、贫血、弓形体病、与怀孕有关的高血压，以及唐氏综合症和胎儿神经管缺损的检查。最后还有针对希望怀孕的妇女的预防性干预措施。这些措施通常包括早期检查出遗传疾病或其他由母亲传给孩子的疾病的更多风险。其中有些疾病是怀孕妇女预防性保健中提到过的相同疾病。这类保健的一个新项目是向所有希望怀孕的妇女提供关于服用叶酸作为胎儿神经管缺陷预防措施的咨询。受孕前阶段越来越被看成是预防性干预的一个重要阶段。</w:t>
      </w:r>
    </w:p>
    <w:p w:rsidR="00000000" w:rsidRDefault="00000000">
      <w:pPr>
        <w:spacing w:after="240" w:line="400" w:lineRule="exact"/>
        <w:rPr>
          <w:rFonts w:ascii="楷体" w:eastAsia="楷体"/>
        </w:rPr>
      </w:pPr>
      <w:r>
        <w:rPr>
          <w:rFonts w:ascii="楷体" w:eastAsia="楷体" w:hint="eastAsia"/>
        </w:rPr>
        <w:t>确保有适当的保健</w:t>
      </w:r>
    </w:p>
    <w:p w:rsidR="00000000" w:rsidRDefault="00000000">
      <w:pPr>
        <w:spacing w:after="240" w:line="400" w:lineRule="exact"/>
        <w:ind w:firstLine="425"/>
      </w:pPr>
      <w:r>
        <w:rPr>
          <w:rFonts w:hint="eastAsia"/>
        </w:rPr>
        <w:t>确定预防性保健的可获得性如何符合妇女个人和集体需要是困难的。大体上可以说预防性保健是妇女获得重大保健福利并使生活质量有所提高的部分原因。大多数人都认为预防疾病比治疗已发生的疾病要好。一些过去通常对妇女是致命的疾病现在已得到完全控制或较好控制。例如，对乳腺癌的检查每年可防止</w:t>
      </w:r>
      <w:r>
        <w:t>630</w:t>
      </w:r>
      <w:r>
        <w:rPr>
          <w:rFonts w:hint="eastAsia"/>
        </w:rPr>
        <w:t>人死亡。那些如果不参加这个方案本来早已死亡的妇女现在却可以平均多活</w:t>
      </w:r>
      <w:r>
        <w:t>15</w:t>
      </w:r>
      <w:r>
        <w:rPr>
          <w:rFonts w:hint="eastAsia"/>
        </w:rPr>
        <w:t>年，而且大多数时间‘生活质量良好’。患子宫颈癌妇女如果早期发现并治疗存活率达到</w:t>
      </w:r>
      <w:r>
        <w:t>80%</w:t>
      </w:r>
      <w:r>
        <w:rPr>
          <w:rFonts w:hint="eastAsia"/>
        </w:rPr>
        <w:t>。由于预防性保健，生育健康子女的机会增多了，这是妇女受益的另一方面。从这个角度看，把产前诊断改为受孕前检测可认为是积极做法。</w:t>
      </w:r>
    </w:p>
    <w:p w:rsidR="00000000" w:rsidRDefault="00000000">
      <w:pPr>
        <w:spacing w:after="240" w:line="400" w:lineRule="exact"/>
        <w:ind w:firstLine="425"/>
      </w:pPr>
      <w:r>
        <w:rPr>
          <w:rFonts w:hint="eastAsia"/>
        </w:rPr>
        <w:t>但是提供预防性保健的程度也有其消极方面。在一生中不断面临预防保健会引起对自己健康状况不必要的担心，会导致不必要的医疗消费并使正常生活过程医学化。一旦可以利用而又不利用可能是有益的干预的理由常常比需要进行可能是不必要的治疗有的理由更好。</w:t>
      </w:r>
      <w:r>
        <w:rPr>
          <w:rStyle w:val="FootnoteReference"/>
        </w:rPr>
        <w:footnoteReference w:customMarkFollows="1" w:id="140"/>
        <w:t>95</w:t>
      </w:r>
      <w:r>
        <w:t xml:space="preserve"> </w:t>
      </w:r>
      <w:r>
        <w:rPr>
          <w:rFonts w:hint="eastAsia"/>
        </w:rPr>
        <w:t>随着受孕前和产前预防性测试的可获得性不断增加，同时也出现了妇女感觉‘被迫’根据‘不决定就是另一种方式决定’的观点做出预防性决定的现象。这种情况造成的极端决定和道德窘境并非不重要，并且会造相当大的心理负担。除了增加个人的责任外，对妇女进行预防性测试的社会压力的风险也在不断增大。论述预防性保健的文献指出了脱离正常进程的优生办法以及基于经济原因的受孕前和产前检测的危害。</w:t>
      </w:r>
      <w:r>
        <w:rPr>
          <w:rStyle w:val="FootnoteReference"/>
        </w:rPr>
        <w:footnoteReference w:customMarkFollows="1" w:id="141"/>
        <w:t>96</w:t>
      </w:r>
      <w:r>
        <w:t xml:space="preserve"> </w:t>
      </w:r>
    </w:p>
    <w:p w:rsidR="00000000" w:rsidRDefault="00000000">
      <w:pPr>
        <w:spacing w:after="240" w:line="400" w:lineRule="exact"/>
        <w:ind w:firstLine="425"/>
      </w:pPr>
      <w:r>
        <w:rPr>
          <w:rFonts w:hint="eastAsia"/>
        </w:rPr>
        <w:t>一般说来大多数预防性保健所针对的疾病既不是最流行的也不是使妇女最易失去工作能力的疾病。就诸如偏头痛、类风湿性关节炎或衰老之类慢性病而言，仍然没有可利用的预防性措施，因为尚无对这些疾病决定因素的足够了解。</w:t>
      </w:r>
    </w:p>
    <w:p w:rsidR="00000000" w:rsidRDefault="00000000">
      <w:pPr>
        <w:spacing w:after="240" w:line="400" w:lineRule="exact"/>
        <w:rPr>
          <w:rFonts w:ascii="楷体" w:eastAsia="楷体"/>
        </w:rPr>
      </w:pPr>
      <w:r>
        <w:rPr>
          <w:rFonts w:ascii="楷体" w:eastAsia="楷体" w:hint="eastAsia"/>
        </w:rPr>
        <w:t>以病人为中心</w:t>
      </w:r>
    </w:p>
    <w:p w:rsidR="00000000" w:rsidRDefault="00000000">
      <w:pPr>
        <w:spacing w:after="240" w:line="400" w:lineRule="exact"/>
        <w:ind w:firstLine="425"/>
      </w:pPr>
      <w:r>
        <w:rPr>
          <w:rFonts w:hint="eastAsia"/>
        </w:rPr>
        <w:t>在《人口检查法》生效之前，荷兰卫生委员会曾在一个试验病例中就乳腺癌检查方案包括对个别病人的检查方法在多大程度上达到提出的质量要求，充分发表了意见。当时的方案就以前时期取得结果的效益和风险之间关系而言是达到了提出的要求的。但是对参加方案的妇女的教育、医疗数据和疾病的处理并不是效果最佳。</w:t>
      </w:r>
      <w:r>
        <w:rPr>
          <w:rStyle w:val="FootnoteReference"/>
        </w:rPr>
        <w:footnoteReference w:customMarkFollows="1" w:id="142"/>
        <w:t>97</w:t>
      </w:r>
      <w:r>
        <w:t xml:space="preserve"> </w:t>
      </w:r>
      <w:r>
        <w:rPr>
          <w:rFonts w:hint="eastAsia"/>
        </w:rPr>
        <w:t>其他调查研究表明</w:t>
      </w:r>
      <w:r>
        <w:t>70%</w:t>
      </w:r>
      <w:r>
        <w:rPr>
          <w:rFonts w:hint="eastAsia"/>
        </w:rPr>
        <w:t>参与的妇女认为测试时有些痛。</w:t>
      </w:r>
      <w:r>
        <w:rPr>
          <w:rStyle w:val="FootnoteReference"/>
        </w:rPr>
        <w:footnoteReference w:customMarkFollows="1" w:id="143"/>
        <w:t>98</w:t>
      </w:r>
      <w:r>
        <w:t xml:space="preserve"> </w:t>
      </w:r>
      <w:r>
        <w:rPr>
          <w:rFonts w:hint="eastAsia"/>
        </w:rPr>
        <w:t>另外，全部参与者中似乎有</w:t>
      </w:r>
      <w:r>
        <w:t>40%</w:t>
      </w:r>
      <w:r>
        <w:rPr>
          <w:rFonts w:hint="eastAsia"/>
        </w:rPr>
        <w:t>对测试结果‘有些’或‘十分’担心。同样多的人认为等待结果的时间太长。那些认为她们的癌症已达到无法治疗程度的妇女遭受了参与该方案最痛苦的副作用。在她们被诊断平均还有四年存活的同时要遭受大量心理痛苦和高额医疗消费。</w:t>
      </w:r>
    </w:p>
    <w:p w:rsidR="00000000" w:rsidRDefault="00000000">
      <w:pPr>
        <w:spacing w:after="240" w:line="400" w:lineRule="exact"/>
        <w:ind w:firstLine="425"/>
      </w:pPr>
      <w:r>
        <w:rPr>
          <w:rFonts w:hint="eastAsia"/>
        </w:rPr>
        <w:t>我们尚不知道就参与者作为个人受检测、知情的同意及类似方面而言，其他检查方案在多大程度上达到质量要求。对于作为单个医生与病人关系的一部分所提供的预防性检测的方法几乎完全不可能弄清。</w:t>
      </w:r>
    </w:p>
    <w:p w:rsidR="00000000" w:rsidRDefault="00000000">
      <w:pPr>
        <w:spacing w:after="240" w:line="360" w:lineRule="exact"/>
        <w:rPr>
          <w:rFonts w:ascii="SimHei" w:eastAsia="SimHei"/>
          <w:sz w:val="24"/>
        </w:rPr>
      </w:pPr>
      <w:r>
        <w:rPr>
          <w:rFonts w:ascii="SimHei" w:eastAsia="SimHei"/>
          <w:sz w:val="24"/>
        </w:rPr>
        <w:br w:type="page"/>
        <w:t xml:space="preserve">5.2  </w:t>
      </w:r>
      <w:r>
        <w:rPr>
          <w:rFonts w:ascii="SimHei" w:eastAsia="SimHei" w:hint="eastAsia"/>
          <w:sz w:val="24"/>
        </w:rPr>
        <w:t>普通医师提供的保健</w:t>
      </w:r>
    </w:p>
    <w:p w:rsidR="00000000" w:rsidRDefault="00000000">
      <w:pPr>
        <w:spacing w:after="240" w:line="360" w:lineRule="exact"/>
        <w:rPr>
          <w:rFonts w:ascii="楷体" w:eastAsia="楷体"/>
        </w:rPr>
      </w:pPr>
      <w:r>
        <w:rPr>
          <w:rFonts w:ascii="楷体" w:eastAsia="楷体" w:hint="eastAsia"/>
        </w:rPr>
        <w:t>所得到的保健</w:t>
      </w:r>
    </w:p>
    <w:p w:rsidR="00000000" w:rsidRDefault="00000000">
      <w:pPr>
        <w:spacing w:after="240" w:line="360" w:lineRule="exact"/>
        <w:ind w:firstLine="425"/>
      </w:pPr>
      <w:r>
        <w:rPr>
          <w:rFonts w:hint="eastAsia"/>
        </w:rPr>
        <w:t>在荷兰，作为守门人和可信赖者，普通医师在健康和取得进一步保健方面比任何健康服务提供者的影响都要大。</w:t>
      </w:r>
      <w:r>
        <w:rPr>
          <w:rStyle w:val="FootnoteReference"/>
        </w:rPr>
        <w:footnoteReference w:customMarkFollows="1" w:id="144"/>
        <w:t>99</w:t>
      </w:r>
      <w:r>
        <w:t xml:space="preserve"> </w:t>
      </w:r>
      <w:r>
        <w:rPr>
          <w:rFonts w:hint="eastAsia"/>
        </w:rPr>
        <w:t>普通医师通常是病人为心理和人际问题最先就诊的人。妇女比男子更经常就诊普通医师：全部医师中有</w:t>
      </w:r>
      <w:r>
        <w:t>58%</w:t>
      </w:r>
      <w:r>
        <w:rPr>
          <w:rFonts w:hint="eastAsia"/>
        </w:rPr>
        <w:t>为女病人服务。每年</w:t>
      </w:r>
      <w:r>
        <w:t>80%</w:t>
      </w:r>
      <w:r>
        <w:rPr>
          <w:rFonts w:hint="eastAsia"/>
        </w:rPr>
        <w:t>的妇女和</w:t>
      </w:r>
      <w:r>
        <w:t>69%</w:t>
      </w:r>
      <w:r>
        <w:rPr>
          <w:rFonts w:hint="eastAsia"/>
        </w:rPr>
        <w:t>的男子至少就诊一次普通医师。妇女平均每年就诊普通医师</w:t>
      </w:r>
      <w:r>
        <w:t>4.3</w:t>
      </w:r>
      <w:r>
        <w:rPr>
          <w:rFonts w:hint="eastAsia"/>
        </w:rPr>
        <w:t>次，而男子平均</w:t>
      </w:r>
      <w:r>
        <w:t>3.1</w:t>
      </w:r>
      <w:r>
        <w:rPr>
          <w:rFonts w:hint="eastAsia"/>
        </w:rPr>
        <w:t>次。</w:t>
      </w:r>
      <w:r>
        <w:rPr>
          <w:rStyle w:val="FootnoteReference"/>
        </w:rPr>
        <w:footnoteReference w:customMarkFollows="1" w:id="145"/>
        <w:t>100</w:t>
      </w:r>
      <w:r>
        <w:t xml:space="preserve"> </w:t>
      </w:r>
      <w:r>
        <w:rPr>
          <w:rFonts w:hint="eastAsia"/>
        </w:rPr>
        <w:t>特别是在</w:t>
      </w:r>
      <w:r>
        <w:t>15</w:t>
      </w:r>
      <w:r>
        <w:rPr>
          <w:rFonts w:hint="eastAsia"/>
        </w:rPr>
        <w:t>至</w:t>
      </w:r>
      <w:r>
        <w:t>45</w:t>
      </w:r>
      <w:r>
        <w:rPr>
          <w:rFonts w:hint="eastAsia"/>
        </w:rPr>
        <w:t>岁年龄段妇女就诊普通医师比男子多。女性非法外国人、难民、未投保人员，无家可归者和流浪吸毒者获得的保健比定期就诊普通医师的病人要少。但目前尚无这方面的准确数据。</w:t>
      </w:r>
    </w:p>
    <w:p w:rsidR="00000000" w:rsidRDefault="00000000">
      <w:pPr>
        <w:spacing w:after="240" w:line="360" w:lineRule="exact"/>
        <w:ind w:firstLine="425"/>
      </w:pPr>
      <w:r>
        <w:rPr>
          <w:rFonts w:hint="eastAsia"/>
        </w:rPr>
        <w:t>现在只能提供某些特定疾病或类别疾病在疾病诊断方面有关性别的差别（过滤模式第</w:t>
      </w:r>
      <w:r>
        <w:t>3</w:t>
      </w:r>
      <w:r>
        <w:rPr>
          <w:rFonts w:hint="eastAsia"/>
        </w:rPr>
        <w:t>层）。往往妇女生急病的人要多一些（平均</w:t>
      </w:r>
      <w:r>
        <w:t>57%</w:t>
      </w:r>
      <w:r>
        <w:rPr>
          <w:rFonts w:hint="eastAsia"/>
        </w:rPr>
        <w:t>为妇女）。</w:t>
      </w:r>
      <w:r>
        <w:rPr>
          <w:rStyle w:val="FootnoteReference"/>
        </w:rPr>
        <w:footnoteReference w:customMarkFollows="1" w:id="146"/>
        <w:t>101</w:t>
      </w:r>
      <w:r>
        <w:t xml:space="preserve"> </w:t>
      </w:r>
      <w:r>
        <w:rPr>
          <w:rFonts w:hint="eastAsia"/>
        </w:rPr>
        <w:t>在最经常提到的</w:t>
      </w:r>
      <w:r>
        <w:t>10</w:t>
      </w:r>
      <w:r>
        <w:rPr>
          <w:rFonts w:hint="eastAsia"/>
        </w:rPr>
        <w:t>种身体疾病的诊断中有</w:t>
      </w:r>
      <w:r>
        <w:t>8</w:t>
      </w:r>
      <w:r>
        <w:rPr>
          <w:rFonts w:hint="eastAsia"/>
        </w:rPr>
        <w:t>种是妇女占多数（平均</w:t>
      </w:r>
      <w:r>
        <w:t>60%</w:t>
      </w:r>
      <w:r>
        <w:rPr>
          <w:rFonts w:hint="eastAsia"/>
        </w:rPr>
        <w:t>为妇女）。就诊心理或人际问题的妇女一般比男子多（</w:t>
      </w:r>
      <w:r>
        <w:t>63%</w:t>
      </w:r>
      <w:r>
        <w:rPr>
          <w:rFonts w:hint="eastAsia"/>
        </w:rPr>
        <w:t>妇女有心理问题，</w:t>
      </w:r>
      <w:r>
        <w:t>59%</w:t>
      </w:r>
      <w:r>
        <w:rPr>
          <w:rFonts w:hint="eastAsia"/>
        </w:rPr>
        <w:t>有人际问题）。按照普通医师的统计，在全部就诊的人中几乎有一半涉及心理社会或身心问题。</w:t>
      </w:r>
    </w:p>
    <w:p w:rsidR="00000000" w:rsidRDefault="00000000">
      <w:pPr>
        <w:spacing w:after="240" w:line="360" w:lineRule="exact"/>
        <w:ind w:firstLine="425"/>
      </w:pPr>
      <w:r>
        <w:rPr>
          <w:rFonts w:hint="eastAsia"/>
        </w:rPr>
        <w:t>除了健康问题妇女还专门为其他一些原因就诊普通医师，如与避孕有关的问题或作巴氏试验。</w:t>
      </w:r>
      <w:r>
        <w:t>15</w:t>
      </w:r>
      <w:r>
        <w:rPr>
          <w:rFonts w:hint="eastAsia"/>
        </w:rPr>
        <w:t>到</w:t>
      </w:r>
      <w:r>
        <w:t>25</w:t>
      </w:r>
      <w:r>
        <w:rPr>
          <w:rFonts w:hint="eastAsia"/>
        </w:rPr>
        <w:t>岁的荷兰妇女有三分之二，</w:t>
      </w:r>
      <w:r>
        <w:t>25</w:t>
      </w:r>
      <w:r>
        <w:rPr>
          <w:rFonts w:hint="eastAsia"/>
        </w:rPr>
        <w:t>岁到</w:t>
      </w:r>
      <w:r>
        <w:t>35</w:t>
      </w:r>
      <w:r>
        <w:rPr>
          <w:rFonts w:hint="eastAsia"/>
        </w:rPr>
        <w:t>岁有</w:t>
      </w:r>
      <w:r>
        <w:t>42%</w:t>
      </w:r>
      <w:r>
        <w:rPr>
          <w:rFonts w:hint="eastAsia"/>
        </w:rPr>
        <w:t>服用避孕片，因此她们每年至少两次就诊普通医师取得处方。</w:t>
      </w:r>
      <w:r>
        <w:rPr>
          <w:rStyle w:val="FootnoteReference"/>
        </w:rPr>
        <w:footnoteReference w:customMarkFollows="1" w:id="147"/>
        <w:t>102</w:t>
      </w:r>
      <w:r>
        <w:t xml:space="preserve"> </w:t>
      </w:r>
      <w:r>
        <w:rPr>
          <w:rFonts w:hint="eastAsia"/>
        </w:rPr>
        <w:t>妇女也最经常为行政方面的问题就医（</w:t>
      </w:r>
      <w:r>
        <w:t>63%</w:t>
      </w:r>
      <w:r>
        <w:rPr>
          <w:rFonts w:hint="eastAsia"/>
        </w:rPr>
        <w:t>为妇女）。在纠正这种联系目的之后，妇女在一般求医病人中的人数从</w:t>
      </w:r>
      <w:r>
        <w:t>58%</w:t>
      </w:r>
      <w:r>
        <w:rPr>
          <w:rFonts w:hint="eastAsia"/>
        </w:rPr>
        <w:t>减少到</w:t>
      </w:r>
      <w:r>
        <w:t>55%</w:t>
      </w:r>
      <w:r>
        <w:rPr>
          <w:rFonts w:hint="eastAsia"/>
        </w:rPr>
        <w:t>。最后，我们可以说，荷兰妇女对普通医师提供的医疗保健的利用比男子要多得多。</w:t>
      </w:r>
    </w:p>
    <w:p w:rsidR="00000000" w:rsidRDefault="00000000">
      <w:pPr>
        <w:spacing w:after="240" w:line="360" w:lineRule="exact"/>
        <w:rPr>
          <w:rFonts w:ascii="楷体" w:eastAsia="楷体"/>
        </w:rPr>
      </w:pPr>
      <w:r>
        <w:rPr>
          <w:rFonts w:ascii="楷体" w:eastAsia="楷体" w:hint="eastAsia"/>
        </w:rPr>
        <w:t>确保有适当的保健</w:t>
      </w:r>
    </w:p>
    <w:p w:rsidR="00000000" w:rsidRDefault="00000000">
      <w:pPr>
        <w:spacing w:after="240" w:line="360" w:lineRule="exact"/>
        <w:ind w:firstLine="425"/>
      </w:pPr>
      <w:r>
        <w:rPr>
          <w:rFonts w:hint="eastAsia"/>
        </w:rPr>
        <w:t>假设在全体人口中基于性别比例的健康问题相同，我们预计妇女在更高保健层次中所占比例相同。如果各级保健进程中基于性别的比例发生变化，那就意味着在一个或几个过滤的通过率中有与性别有关的差别。在这种情况下保健的适当性，即所得到的保健（表述的需求）和需要的需求（标准需求）之间的相称情况，对男子比对妇女更加不同。初级保健过滤的是病人的疾病表现（包括患病时就诊普通医师的倾向），普通医师在多大程度上正确识别疾病，以及普通医师向二级保健的转诊介绍。对过滤模式的解释说明基于性别的比例有三项指标：急性病、可察觉健康和心理问题（表</w:t>
      </w:r>
      <w:r>
        <w:t>1</w:t>
      </w:r>
      <w:r>
        <w:rPr>
          <w:rFonts w:hint="eastAsia"/>
        </w:rPr>
        <w:t>）。基于性别的比例是以妇女的百分比表示的。从上往下看我们可以了解到在三个保健层次中基于性别的比例的变化程度。</w:t>
      </w:r>
      <w:r>
        <w:rPr>
          <w:rStyle w:val="FootnoteReference"/>
        </w:rPr>
        <w:footnoteReference w:customMarkFollows="1" w:id="148"/>
        <w:t>103</w:t>
      </w:r>
      <w:r>
        <w:t xml:space="preserve"> </w:t>
      </w:r>
    </w:p>
    <w:p w:rsidR="00000000" w:rsidRDefault="00000000">
      <w:pPr>
        <w:spacing w:after="240" w:line="400" w:lineRule="exact"/>
        <w:jc w:val="center"/>
        <w:rPr>
          <w:rFonts w:ascii="SimHei" w:eastAsia="SimHei"/>
        </w:rPr>
      </w:pPr>
      <w:r>
        <w:rPr>
          <w:rFonts w:ascii="SimHei" w:eastAsia="SimHei"/>
        </w:rPr>
        <w:br w:type="page"/>
      </w:r>
      <w:r>
        <w:rPr>
          <w:rFonts w:ascii="SimHei" w:eastAsia="SimHei" w:hint="eastAsia"/>
        </w:rPr>
        <w:t>表</w:t>
      </w:r>
      <w:r>
        <w:rPr>
          <w:rFonts w:ascii="SimHei" w:eastAsia="SimHei"/>
        </w:rPr>
        <w:t>1</w:t>
      </w:r>
    </w:p>
    <w:p w:rsidR="00000000" w:rsidRDefault="00000000">
      <w:pPr>
        <w:spacing w:after="240" w:line="400" w:lineRule="exact"/>
        <w:jc w:val="center"/>
        <w:rPr>
          <w:rFonts w:ascii="SimHei" w:eastAsia="SimHei"/>
        </w:rPr>
      </w:pPr>
      <w:r>
        <w:rPr>
          <w:rFonts w:ascii="SimHei" w:eastAsia="SimHei" w:hint="eastAsia"/>
        </w:rPr>
        <w:t>从急性病、可察觉健康和心理社会问题方面说明过滤模式</w:t>
      </w:r>
    </w:p>
    <w:tbl>
      <w:tblPr>
        <w:tblW w:w="0" w:type="auto"/>
        <w:tblLayout w:type="fixed"/>
        <w:tblCellMar>
          <w:left w:w="28" w:type="dxa"/>
          <w:right w:w="28" w:type="dxa"/>
        </w:tblCellMar>
        <w:tblLook w:val="0000" w:firstRow="0" w:lastRow="0" w:firstColumn="0" w:lastColumn="0" w:noHBand="0" w:noVBand="0"/>
      </w:tblPr>
      <w:tblGrid>
        <w:gridCol w:w="2479"/>
        <w:gridCol w:w="2479"/>
        <w:gridCol w:w="2479"/>
        <w:gridCol w:w="2479"/>
      </w:tblGrid>
      <w:tr w:rsidR="00000000">
        <w:tblPrEx>
          <w:tblCellMar>
            <w:top w:w="0" w:type="dxa"/>
            <w:bottom w:w="0" w:type="dxa"/>
          </w:tblCellMar>
        </w:tblPrEx>
        <w:tc>
          <w:tcPr>
            <w:tcW w:w="2479" w:type="dxa"/>
          </w:tcPr>
          <w:p w:rsidR="00000000" w:rsidRDefault="00000000">
            <w:pPr>
              <w:spacing w:line="400" w:lineRule="exact"/>
            </w:pPr>
          </w:p>
        </w:tc>
        <w:tc>
          <w:tcPr>
            <w:tcW w:w="2479" w:type="dxa"/>
          </w:tcPr>
          <w:p w:rsidR="00000000" w:rsidRDefault="00000000">
            <w:pPr>
              <w:spacing w:line="400" w:lineRule="exact"/>
            </w:pPr>
            <w:r>
              <w:rPr>
                <w:rFonts w:hint="eastAsia"/>
              </w:rPr>
              <w:t>急性病</w:t>
            </w:r>
          </w:p>
        </w:tc>
        <w:tc>
          <w:tcPr>
            <w:tcW w:w="2479" w:type="dxa"/>
          </w:tcPr>
          <w:p w:rsidR="00000000" w:rsidRDefault="00000000">
            <w:pPr>
              <w:spacing w:line="400" w:lineRule="exact"/>
            </w:pPr>
            <w:r>
              <w:rPr>
                <w:rFonts w:hint="eastAsia"/>
              </w:rPr>
              <w:t>可察觉健康</w:t>
            </w:r>
          </w:p>
        </w:tc>
        <w:tc>
          <w:tcPr>
            <w:tcW w:w="2479" w:type="dxa"/>
          </w:tcPr>
          <w:p w:rsidR="00000000" w:rsidRDefault="00000000">
            <w:pPr>
              <w:spacing w:line="400" w:lineRule="exact"/>
            </w:pPr>
            <w:r>
              <w:rPr>
                <w:rFonts w:hint="eastAsia"/>
              </w:rPr>
              <w:t>心理社会问题</w:t>
            </w:r>
          </w:p>
        </w:tc>
      </w:tr>
      <w:tr w:rsidR="00000000">
        <w:tblPrEx>
          <w:tblCellMar>
            <w:top w:w="0" w:type="dxa"/>
            <w:bottom w:w="0" w:type="dxa"/>
          </w:tblCellMar>
        </w:tblPrEx>
        <w:tc>
          <w:tcPr>
            <w:tcW w:w="2479" w:type="dxa"/>
          </w:tcPr>
          <w:p w:rsidR="00000000" w:rsidRDefault="00000000">
            <w:pPr>
              <w:spacing w:line="400" w:lineRule="exact"/>
            </w:pPr>
            <w:r>
              <w:rPr>
                <w:rFonts w:hint="eastAsia"/>
              </w:rPr>
              <w:t>第</w:t>
            </w:r>
            <w:r>
              <w:t>1</w:t>
            </w:r>
            <w:r>
              <w:rPr>
                <w:rFonts w:hint="eastAsia"/>
              </w:rPr>
              <w:t>层</w:t>
            </w:r>
          </w:p>
        </w:tc>
        <w:tc>
          <w:tcPr>
            <w:tcW w:w="2479" w:type="dxa"/>
          </w:tcPr>
          <w:p w:rsidR="00000000" w:rsidRDefault="00000000">
            <w:pPr>
              <w:spacing w:line="400" w:lineRule="exact"/>
            </w:pPr>
            <w:r>
              <w:t>%</w:t>
            </w:r>
            <w:r>
              <w:rPr>
                <w:rFonts w:hint="eastAsia"/>
              </w:rPr>
              <w:t>妇女</w:t>
            </w:r>
          </w:p>
        </w:tc>
        <w:tc>
          <w:tcPr>
            <w:tcW w:w="2479" w:type="dxa"/>
          </w:tcPr>
          <w:p w:rsidR="00000000" w:rsidRDefault="00000000">
            <w:pPr>
              <w:spacing w:line="400" w:lineRule="exact"/>
            </w:pPr>
            <w:r>
              <w:t>%</w:t>
            </w:r>
            <w:r>
              <w:rPr>
                <w:rFonts w:hint="eastAsia"/>
              </w:rPr>
              <w:t>妇女</w:t>
            </w:r>
          </w:p>
        </w:tc>
        <w:tc>
          <w:tcPr>
            <w:tcW w:w="2479" w:type="dxa"/>
          </w:tcPr>
          <w:p w:rsidR="00000000" w:rsidRDefault="00000000">
            <w:pPr>
              <w:spacing w:line="400" w:lineRule="exact"/>
            </w:pPr>
            <w:r>
              <w:t>%</w:t>
            </w:r>
            <w:r>
              <w:rPr>
                <w:rFonts w:hint="eastAsia"/>
              </w:rPr>
              <w:t>妇女</w:t>
            </w:r>
          </w:p>
        </w:tc>
      </w:tr>
      <w:tr w:rsidR="00000000">
        <w:tblPrEx>
          <w:tblCellMar>
            <w:top w:w="0" w:type="dxa"/>
            <w:bottom w:w="0" w:type="dxa"/>
          </w:tblCellMar>
        </w:tblPrEx>
        <w:tc>
          <w:tcPr>
            <w:tcW w:w="2479" w:type="dxa"/>
          </w:tcPr>
          <w:p w:rsidR="00000000" w:rsidRDefault="00000000">
            <w:pPr>
              <w:spacing w:line="400" w:lineRule="exact"/>
            </w:pPr>
            <w:r>
              <w:rPr>
                <w:rFonts w:hint="eastAsia"/>
              </w:rPr>
              <w:t>人口</w:t>
            </w:r>
          </w:p>
        </w:tc>
        <w:tc>
          <w:tcPr>
            <w:tcW w:w="2479" w:type="dxa"/>
          </w:tcPr>
          <w:p w:rsidR="00000000" w:rsidRDefault="00000000">
            <w:pPr>
              <w:spacing w:line="400" w:lineRule="exact"/>
            </w:pPr>
            <w:r>
              <w:t>60</w:t>
            </w:r>
          </w:p>
        </w:tc>
        <w:tc>
          <w:tcPr>
            <w:tcW w:w="2479" w:type="dxa"/>
          </w:tcPr>
          <w:p w:rsidR="00000000" w:rsidRDefault="00000000">
            <w:pPr>
              <w:spacing w:line="400" w:lineRule="exact"/>
            </w:pPr>
            <w:r>
              <w:t>56</w:t>
            </w:r>
          </w:p>
        </w:tc>
        <w:tc>
          <w:tcPr>
            <w:tcW w:w="2479" w:type="dxa"/>
          </w:tcPr>
          <w:p w:rsidR="00000000" w:rsidRDefault="00000000">
            <w:pPr>
              <w:spacing w:line="400" w:lineRule="exact"/>
            </w:pPr>
            <w:r>
              <w:t>52</w:t>
            </w:r>
          </w:p>
        </w:tc>
      </w:tr>
      <w:tr w:rsidR="00000000">
        <w:tblPrEx>
          <w:tblCellMar>
            <w:top w:w="0" w:type="dxa"/>
            <w:bottom w:w="0" w:type="dxa"/>
          </w:tblCellMar>
        </w:tblPrEx>
        <w:tc>
          <w:tcPr>
            <w:tcW w:w="2479" w:type="dxa"/>
          </w:tcPr>
          <w:p w:rsidR="00000000" w:rsidRDefault="00000000">
            <w:pPr>
              <w:spacing w:line="400" w:lineRule="exact"/>
            </w:pPr>
            <w:r>
              <w:rPr>
                <w:rFonts w:hint="eastAsia"/>
              </w:rPr>
              <w:t>过滤</w:t>
            </w:r>
            <w:r>
              <w:t>1</w:t>
            </w:r>
            <w:r>
              <w:rPr>
                <w:rFonts w:hint="eastAsia"/>
              </w:rPr>
              <w:t>：</w:t>
            </w:r>
          </w:p>
        </w:tc>
        <w:tc>
          <w:tcPr>
            <w:tcW w:w="2479" w:type="dxa"/>
          </w:tcPr>
          <w:p w:rsidR="00000000" w:rsidRDefault="00000000">
            <w:pPr>
              <w:spacing w:line="400" w:lineRule="exact"/>
            </w:pPr>
          </w:p>
        </w:tc>
        <w:tc>
          <w:tcPr>
            <w:tcW w:w="2479" w:type="dxa"/>
          </w:tcPr>
          <w:p w:rsidR="00000000" w:rsidRDefault="00000000">
            <w:pPr>
              <w:spacing w:line="400" w:lineRule="exact"/>
            </w:pPr>
          </w:p>
        </w:tc>
        <w:tc>
          <w:tcPr>
            <w:tcW w:w="2479" w:type="dxa"/>
          </w:tcPr>
          <w:p w:rsidR="00000000" w:rsidRDefault="00000000">
            <w:pPr>
              <w:spacing w:line="400" w:lineRule="exact"/>
            </w:pPr>
          </w:p>
        </w:tc>
      </w:tr>
      <w:tr w:rsidR="00000000">
        <w:tblPrEx>
          <w:tblCellMar>
            <w:top w:w="0" w:type="dxa"/>
            <w:bottom w:w="0" w:type="dxa"/>
          </w:tblCellMar>
        </w:tblPrEx>
        <w:tc>
          <w:tcPr>
            <w:tcW w:w="2479" w:type="dxa"/>
          </w:tcPr>
          <w:p w:rsidR="00000000" w:rsidRDefault="00000000">
            <w:pPr>
              <w:spacing w:line="400" w:lineRule="exact"/>
            </w:pPr>
            <w:r>
              <w:rPr>
                <w:rFonts w:hint="eastAsia"/>
              </w:rPr>
              <w:t>疾病表现</w:t>
            </w:r>
          </w:p>
        </w:tc>
        <w:tc>
          <w:tcPr>
            <w:tcW w:w="2479" w:type="dxa"/>
          </w:tcPr>
          <w:p w:rsidR="00000000" w:rsidRDefault="00000000">
            <w:pPr>
              <w:spacing w:line="400" w:lineRule="exact"/>
            </w:pPr>
          </w:p>
        </w:tc>
        <w:tc>
          <w:tcPr>
            <w:tcW w:w="2479" w:type="dxa"/>
          </w:tcPr>
          <w:p w:rsidR="00000000" w:rsidRDefault="00000000">
            <w:pPr>
              <w:spacing w:line="400" w:lineRule="exact"/>
            </w:pPr>
          </w:p>
        </w:tc>
        <w:tc>
          <w:tcPr>
            <w:tcW w:w="2479" w:type="dxa"/>
          </w:tcPr>
          <w:p w:rsidR="00000000" w:rsidRDefault="00000000">
            <w:pPr>
              <w:spacing w:line="400" w:lineRule="exact"/>
            </w:pPr>
          </w:p>
        </w:tc>
      </w:tr>
      <w:tr w:rsidR="00000000">
        <w:tblPrEx>
          <w:tblCellMar>
            <w:top w:w="0" w:type="dxa"/>
            <w:bottom w:w="0" w:type="dxa"/>
          </w:tblCellMar>
        </w:tblPrEx>
        <w:tc>
          <w:tcPr>
            <w:tcW w:w="2479" w:type="dxa"/>
          </w:tcPr>
          <w:p w:rsidR="00000000" w:rsidRDefault="00000000">
            <w:pPr>
              <w:spacing w:line="400" w:lineRule="exact"/>
            </w:pPr>
            <w:r>
              <w:rPr>
                <w:rFonts w:hint="eastAsia"/>
              </w:rPr>
              <w:t>第</w:t>
            </w:r>
            <w:r>
              <w:t>2</w:t>
            </w:r>
            <w:r>
              <w:rPr>
                <w:rFonts w:hint="eastAsia"/>
              </w:rPr>
              <w:t>层</w:t>
            </w:r>
          </w:p>
        </w:tc>
        <w:tc>
          <w:tcPr>
            <w:tcW w:w="2479" w:type="dxa"/>
          </w:tcPr>
          <w:p w:rsidR="00000000" w:rsidRDefault="00000000">
            <w:pPr>
              <w:spacing w:line="400" w:lineRule="exact"/>
            </w:pPr>
          </w:p>
        </w:tc>
        <w:tc>
          <w:tcPr>
            <w:tcW w:w="2479" w:type="dxa"/>
          </w:tcPr>
          <w:p w:rsidR="00000000" w:rsidRDefault="00000000">
            <w:pPr>
              <w:spacing w:line="400" w:lineRule="exact"/>
            </w:pPr>
          </w:p>
        </w:tc>
        <w:tc>
          <w:tcPr>
            <w:tcW w:w="2479" w:type="dxa"/>
          </w:tcPr>
          <w:p w:rsidR="00000000" w:rsidRDefault="00000000">
            <w:pPr>
              <w:spacing w:line="400" w:lineRule="exact"/>
            </w:pPr>
          </w:p>
        </w:tc>
      </w:tr>
      <w:tr w:rsidR="00000000">
        <w:tblPrEx>
          <w:tblCellMar>
            <w:top w:w="0" w:type="dxa"/>
            <w:bottom w:w="0" w:type="dxa"/>
          </w:tblCellMar>
        </w:tblPrEx>
        <w:tc>
          <w:tcPr>
            <w:tcW w:w="2479" w:type="dxa"/>
          </w:tcPr>
          <w:p w:rsidR="00000000" w:rsidRDefault="00000000">
            <w:pPr>
              <w:spacing w:line="400" w:lineRule="exact"/>
            </w:pPr>
            <w:r>
              <w:rPr>
                <w:rFonts w:hint="eastAsia"/>
              </w:rPr>
              <w:t>就诊普通医师</w:t>
            </w:r>
          </w:p>
        </w:tc>
        <w:tc>
          <w:tcPr>
            <w:tcW w:w="2479" w:type="dxa"/>
          </w:tcPr>
          <w:p w:rsidR="00000000" w:rsidRDefault="00000000">
            <w:pPr>
              <w:spacing w:line="400" w:lineRule="exact"/>
            </w:pPr>
            <w:r>
              <w:t>57</w:t>
            </w:r>
          </w:p>
        </w:tc>
        <w:tc>
          <w:tcPr>
            <w:tcW w:w="2479" w:type="dxa"/>
          </w:tcPr>
          <w:p w:rsidR="00000000" w:rsidRDefault="00000000">
            <w:pPr>
              <w:spacing w:line="400" w:lineRule="exact"/>
            </w:pPr>
            <w:r>
              <w:t>58</w:t>
            </w:r>
          </w:p>
        </w:tc>
        <w:tc>
          <w:tcPr>
            <w:tcW w:w="2479" w:type="dxa"/>
          </w:tcPr>
          <w:p w:rsidR="00000000" w:rsidRDefault="00000000">
            <w:pPr>
              <w:spacing w:line="400" w:lineRule="exact"/>
            </w:pPr>
            <w:r>
              <w:t>55</w:t>
            </w:r>
          </w:p>
        </w:tc>
      </w:tr>
      <w:tr w:rsidR="00000000">
        <w:tblPrEx>
          <w:tblCellMar>
            <w:top w:w="0" w:type="dxa"/>
            <w:bottom w:w="0" w:type="dxa"/>
          </w:tblCellMar>
        </w:tblPrEx>
        <w:tc>
          <w:tcPr>
            <w:tcW w:w="2479" w:type="dxa"/>
          </w:tcPr>
          <w:p w:rsidR="00000000" w:rsidRDefault="00000000">
            <w:pPr>
              <w:spacing w:line="400" w:lineRule="exact"/>
            </w:pPr>
            <w:r>
              <w:rPr>
                <w:rFonts w:hint="eastAsia"/>
              </w:rPr>
              <w:t>过滤</w:t>
            </w:r>
            <w:r>
              <w:t>2</w:t>
            </w:r>
            <w:r>
              <w:rPr>
                <w:rFonts w:hint="eastAsia"/>
              </w:rPr>
              <w:t>：</w:t>
            </w:r>
          </w:p>
        </w:tc>
        <w:tc>
          <w:tcPr>
            <w:tcW w:w="2479" w:type="dxa"/>
          </w:tcPr>
          <w:p w:rsidR="00000000" w:rsidRDefault="00000000">
            <w:pPr>
              <w:spacing w:line="400" w:lineRule="exact"/>
            </w:pPr>
          </w:p>
        </w:tc>
        <w:tc>
          <w:tcPr>
            <w:tcW w:w="2479" w:type="dxa"/>
          </w:tcPr>
          <w:p w:rsidR="00000000" w:rsidRDefault="00000000">
            <w:pPr>
              <w:spacing w:line="400" w:lineRule="exact"/>
            </w:pPr>
          </w:p>
        </w:tc>
        <w:tc>
          <w:tcPr>
            <w:tcW w:w="2479" w:type="dxa"/>
          </w:tcPr>
          <w:p w:rsidR="00000000" w:rsidRDefault="00000000">
            <w:pPr>
              <w:spacing w:line="400" w:lineRule="exact"/>
            </w:pPr>
          </w:p>
        </w:tc>
      </w:tr>
      <w:tr w:rsidR="00000000">
        <w:tblPrEx>
          <w:tblCellMar>
            <w:top w:w="0" w:type="dxa"/>
            <w:bottom w:w="0" w:type="dxa"/>
          </w:tblCellMar>
        </w:tblPrEx>
        <w:tc>
          <w:tcPr>
            <w:tcW w:w="2479" w:type="dxa"/>
          </w:tcPr>
          <w:p w:rsidR="00000000" w:rsidRDefault="00000000">
            <w:pPr>
              <w:spacing w:line="400" w:lineRule="exact"/>
            </w:pPr>
            <w:r>
              <w:rPr>
                <w:rFonts w:hint="eastAsia"/>
              </w:rPr>
              <w:t>确认</w:t>
            </w:r>
          </w:p>
        </w:tc>
        <w:tc>
          <w:tcPr>
            <w:tcW w:w="2479" w:type="dxa"/>
          </w:tcPr>
          <w:p w:rsidR="00000000" w:rsidRDefault="00000000">
            <w:pPr>
              <w:spacing w:line="400" w:lineRule="exact"/>
            </w:pPr>
          </w:p>
        </w:tc>
        <w:tc>
          <w:tcPr>
            <w:tcW w:w="2479" w:type="dxa"/>
          </w:tcPr>
          <w:p w:rsidR="00000000" w:rsidRDefault="00000000">
            <w:pPr>
              <w:spacing w:line="400" w:lineRule="exact"/>
            </w:pPr>
          </w:p>
        </w:tc>
        <w:tc>
          <w:tcPr>
            <w:tcW w:w="2479" w:type="dxa"/>
          </w:tcPr>
          <w:p w:rsidR="00000000" w:rsidRDefault="00000000">
            <w:pPr>
              <w:spacing w:line="400" w:lineRule="exact"/>
            </w:pPr>
          </w:p>
        </w:tc>
      </w:tr>
      <w:tr w:rsidR="00000000">
        <w:tblPrEx>
          <w:tblCellMar>
            <w:top w:w="0" w:type="dxa"/>
            <w:bottom w:w="0" w:type="dxa"/>
          </w:tblCellMar>
        </w:tblPrEx>
        <w:tc>
          <w:tcPr>
            <w:tcW w:w="2479" w:type="dxa"/>
          </w:tcPr>
          <w:p w:rsidR="00000000" w:rsidRDefault="00000000">
            <w:pPr>
              <w:spacing w:line="400" w:lineRule="exact"/>
            </w:pPr>
            <w:r>
              <w:rPr>
                <w:rFonts w:hint="eastAsia"/>
              </w:rPr>
              <w:t>第</w:t>
            </w:r>
            <w:r>
              <w:t>3</w:t>
            </w:r>
            <w:r>
              <w:rPr>
                <w:rFonts w:hint="eastAsia"/>
              </w:rPr>
              <w:t>层</w:t>
            </w:r>
          </w:p>
        </w:tc>
        <w:tc>
          <w:tcPr>
            <w:tcW w:w="2479" w:type="dxa"/>
          </w:tcPr>
          <w:p w:rsidR="00000000" w:rsidRDefault="00000000">
            <w:pPr>
              <w:spacing w:line="400" w:lineRule="exact"/>
            </w:pPr>
          </w:p>
        </w:tc>
        <w:tc>
          <w:tcPr>
            <w:tcW w:w="2479" w:type="dxa"/>
          </w:tcPr>
          <w:p w:rsidR="00000000" w:rsidRDefault="00000000">
            <w:pPr>
              <w:spacing w:line="400" w:lineRule="exact"/>
            </w:pPr>
          </w:p>
        </w:tc>
        <w:tc>
          <w:tcPr>
            <w:tcW w:w="2479" w:type="dxa"/>
          </w:tcPr>
          <w:p w:rsidR="00000000" w:rsidRDefault="00000000">
            <w:pPr>
              <w:spacing w:line="400" w:lineRule="exact"/>
            </w:pPr>
          </w:p>
        </w:tc>
      </w:tr>
      <w:tr w:rsidR="00000000">
        <w:tblPrEx>
          <w:tblCellMar>
            <w:top w:w="0" w:type="dxa"/>
            <w:bottom w:w="0" w:type="dxa"/>
          </w:tblCellMar>
        </w:tblPrEx>
        <w:tc>
          <w:tcPr>
            <w:tcW w:w="2479" w:type="dxa"/>
          </w:tcPr>
          <w:p w:rsidR="00000000" w:rsidRDefault="00000000">
            <w:pPr>
              <w:spacing w:line="400" w:lineRule="exact"/>
            </w:pPr>
            <w:r>
              <w:rPr>
                <w:rFonts w:hint="eastAsia"/>
              </w:rPr>
              <w:t>被诊断病人</w:t>
            </w:r>
          </w:p>
        </w:tc>
        <w:tc>
          <w:tcPr>
            <w:tcW w:w="2479" w:type="dxa"/>
          </w:tcPr>
          <w:p w:rsidR="00000000" w:rsidRDefault="00000000">
            <w:pPr>
              <w:spacing w:line="400" w:lineRule="exact"/>
            </w:pPr>
            <w:r>
              <w:rPr>
                <w:rFonts w:hint="eastAsia"/>
              </w:rPr>
              <w:t>—</w:t>
            </w:r>
          </w:p>
        </w:tc>
        <w:tc>
          <w:tcPr>
            <w:tcW w:w="2479" w:type="dxa"/>
          </w:tcPr>
          <w:p w:rsidR="00000000" w:rsidRDefault="00000000">
            <w:pPr>
              <w:spacing w:line="400" w:lineRule="exact"/>
            </w:pPr>
            <w:r>
              <w:rPr>
                <w:rFonts w:hint="eastAsia"/>
              </w:rPr>
              <w:t>—</w:t>
            </w:r>
          </w:p>
        </w:tc>
        <w:tc>
          <w:tcPr>
            <w:tcW w:w="2479" w:type="dxa"/>
          </w:tcPr>
          <w:p w:rsidR="00000000" w:rsidRDefault="00000000">
            <w:pPr>
              <w:spacing w:line="400" w:lineRule="exact"/>
            </w:pPr>
            <w:r>
              <w:t>61</w:t>
            </w:r>
          </w:p>
        </w:tc>
      </w:tr>
      <w:tr w:rsidR="00000000">
        <w:tblPrEx>
          <w:tblCellMar>
            <w:top w:w="0" w:type="dxa"/>
            <w:bottom w:w="0" w:type="dxa"/>
          </w:tblCellMar>
        </w:tblPrEx>
        <w:tc>
          <w:tcPr>
            <w:tcW w:w="2479" w:type="dxa"/>
          </w:tcPr>
          <w:p w:rsidR="00000000" w:rsidRDefault="00000000">
            <w:pPr>
              <w:spacing w:line="400" w:lineRule="exact"/>
            </w:pPr>
            <w:r>
              <w:rPr>
                <w:rFonts w:hint="eastAsia"/>
              </w:rPr>
              <w:t>过滤</w:t>
            </w:r>
            <w:r>
              <w:t>3</w:t>
            </w:r>
            <w:r>
              <w:rPr>
                <w:rFonts w:hint="eastAsia"/>
              </w:rPr>
              <w:t>：</w:t>
            </w:r>
          </w:p>
        </w:tc>
        <w:tc>
          <w:tcPr>
            <w:tcW w:w="2479" w:type="dxa"/>
          </w:tcPr>
          <w:p w:rsidR="00000000" w:rsidRDefault="00000000">
            <w:pPr>
              <w:spacing w:line="400" w:lineRule="exact"/>
            </w:pPr>
          </w:p>
        </w:tc>
        <w:tc>
          <w:tcPr>
            <w:tcW w:w="2479" w:type="dxa"/>
          </w:tcPr>
          <w:p w:rsidR="00000000" w:rsidRDefault="00000000">
            <w:pPr>
              <w:spacing w:line="400" w:lineRule="exact"/>
            </w:pPr>
          </w:p>
        </w:tc>
        <w:tc>
          <w:tcPr>
            <w:tcW w:w="2479" w:type="dxa"/>
          </w:tcPr>
          <w:p w:rsidR="00000000" w:rsidRDefault="00000000">
            <w:pPr>
              <w:spacing w:line="400" w:lineRule="exact"/>
            </w:pPr>
          </w:p>
        </w:tc>
      </w:tr>
      <w:tr w:rsidR="00000000">
        <w:tblPrEx>
          <w:tblCellMar>
            <w:top w:w="0" w:type="dxa"/>
            <w:bottom w:w="0" w:type="dxa"/>
          </w:tblCellMar>
        </w:tblPrEx>
        <w:tc>
          <w:tcPr>
            <w:tcW w:w="2479" w:type="dxa"/>
          </w:tcPr>
          <w:p w:rsidR="00000000" w:rsidRDefault="00000000">
            <w:pPr>
              <w:spacing w:line="400" w:lineRule="exact"/>
            </w:pPr>
            <w:r>
              <w:rPr>
                <w:rFonts w:hint="eastAsia"/>
              </w:rPr>
              <w:t>转诊介绍</w:t>
            </w:r>
          </w:p>
        </w:tc>
        <w:tc>
          <w:tcPr>
            <w:tcW w:w="2479" w:type="dxa"/>
          </w:tcPr>
          <w:p w:rsidR="00000000" w:rsidRDefault="00000000">
            <w:pPr>
              <w:spacing w:line="400" w:lineRule="exact"/>
            </w:pPr>
            <w:r>
              <w:t>53</w:t>
            </w:r>
            <w:r>
              <w:rPr>
                <w:rStyle w:val="FootnoteReference"/>
              </w:rPr>
              <w:footnoteReference w:customMarkFollows="1" w:id="149"/>
              <w:t>104</w:t>
            </w:r>
            <w:r>
              <w:t xml:space="preserve"> </w:t>
            </w:r>
          </w:p>
        </w:tc>
        <w:tc>
          <w:tcPr>
            <w:tcW w:w="2479" w:type="dxa"/>
          </w:tcPr>
          <w:p w:rsidR="00000000" w:rsidRDefault="00000000">
            <w:pPr>
              <w:spacing w:line="400" w:lineRule="exact"/>
            </w:pPr>
            <w:r>
              <w:t>53</w:t>
            </w:r>
            <w:r>
              <w:rPr>
                <w:rStyle w:val="FootnoteReference"/>
              </w:rPr>
              <w:footnoteReference w:customMarkFollows="1" w:id="150"/>
              <w:t>105</w:t>
            </w:r>
            <w:r>
              <w:t xml:space="preserve"> </w:t>
            </w:r>
          </w:p>
        </w:tc>
        <w:tc>
          <w:tcPr>
            <w:tcW w:w="2479" w:type="dxa"/>
          </w:tcPr>
          <w:p w:rsidR="00000000" w:rsidRDefault="00000000">
            <w:pPr>
              <w:spacing w:line="400" w:lineRule="exact"/>
              <w:rPr>
                <w:vertAlign w:val="superscript"/>
              </w:rPr>
            </w:pPr>
            <w:r>
              <w:t>50</w:t>
            </w:r>
            <w:r>
              <w:rPr>
                <w:rStyle w:val="FootnoteReference"/>
              </w:rPr>
              <w:footnoteReference w:customMarkFollows="1" w:id="151"/>
              <w:t>106</w:t>
            </w:r>
            <w:r>
              <w:t xml:space="preserve"> </w:t>
            </w:r>
          </w:p>
        </w:tc>
      </w:tr>
      <w:tr w:rsidR="00000000">
        <w:tblPrEx>
          <w:tblCellMar>
            <w:top w:w="0" w:type="dxa"/>
            <w:bottom w:w="0" w:type="dxa"/>
          </w:tblCellMar>
        </w:tblPrEx>
        <w:tc>
          <w:tcPr>
            <w:tcW w:w="2479" w:type="dxa"/>
          </w:tcPr>
          <w:p w:rsidR="00000000" w:rsidRDefault="00000000">
            <w:pPr>
              <w:spacing w:line="400" w:lineRule="exact"/>
            </w:pPr>
          </w:p>
        </w:tc>
        <w:tc>
          <w:tcPr>
            <w:tcW w:w="2479" w:type="dxa"/>
          </w:tcPr>
          <w:p w:rsidR="00000000" w:rsidRDefault="00000000">
            <w:pPr>
              <w:spacing w:line="400" w:lineRule="exact"/>
            </w:pPr>
          </w:p>
        </w:tc>
        <w:tc>
          <w:tcPr>
            <w:tcW w:w="2479" w:type="dxa"/>
          </w:tcPr>
          <w:p w:rsidR="00000000" w:rsidRDefault="00000000">
            <w:pPr>
              <w:spacing w:line="400" w:lineRule="exact"/>
            </w:pPr>
          </w:p>
        </w:tc>
        <w:tc>
          <w:tcPr>
            <w:tcW w:w="2479" w:type="dxa"/>
          </w:tcPr>
          <w:p w:rsidR="00000000" w:rsidRDefault="00000000">
            <w:pPr>
              <w:spacing w:line="400" w:lineRule="exact"/>
            </w:pPr>
          </w:p>
        </w:tc>
      </w:tr>
    </w:tbl>
    <w:p w:rsidR="00000000" w:rsidRDefault="00000000">
      <w:pPr>
        <w:spacing w:after="240" w:line="400" w:lineRule="exact"/>
        <w:ind w:firstLine="425"/>
      </w:pPr>
      <w:r>
        <w:rPr>
          <w:rFonts w:hint="eastAsia"/>
        </w:rPr>
        <w:t>从上往下看可以看出每个健康问题的男女比例的变化。总体上变化并不大。但是按健康问题类别划分格局各不相同。患急性病的妇女会比男子在某种程度上更不乐意就诊医生，因而成比例地不乐意转往专家就诊。当妇女察觉自己健康恶化时她们常常比男子稍多就诊普通医师。但是这对转诊并无什么影响。按比例说比男子较多的感觉身体不适的妇女仍然留在初级保健范围内。最后，有心理社会问题是妇女比男子更经常就诊普通医师的一个原因。因此基于性别的比例变得更偏袒一方，因为普通医师不成比例地把妇女疾病称之为‘心理’疾病。但是普通医师的诊断并未变为向心理保健转诊。据普通医师称有心理问题的妇女比男子更少转诊。</w:t>
      </w:r>
    </w:p>
    <w:p w:rsidR="00000000" w:rsidRDefault="00000000">
      <w:pPr>
        <w:spacing w:after="240" w:line="400" w:lineRule="exact"/>
        <w:ind w:firstLine="425"/>
      </w:pPr>
      <w:r>
        <w:rPr>
          <w:rFonts w:hint="eastAsia"/>
        </w:rPr>
        <w:t>总之，人们越来越感到对作为高级消费者的妇女人数需要作出细微的区分：可用女性人口中身体疾病和心理问题较普遍、她们寿命更长以及有关避孕、怀孕和更年期的咨询来解释较高的保健总消费率。此外，妇女更经常就诊普通医师是因为她们留在初级保健范围内的时间更长些。这也是因为医师常常要她们回来并将她们转诊到专家的人数比男子少。解释医疗消费的研究报告通常忽视一个或几个这类因素。这就是妇女的疾病对就诊普通医生的影响被过高估计的原因。</w:t>
      </w:r>
    </w:p>
    <w:p w:rsidR="00000000" w:rsidRDefault="00000000">
      <w:pPr>
        <w:spacing w:after="240" w:line="400" w:lineRule="exact"/>
        <w:rPr>
          <w:rFonts w:ascii="楷体" w:eastAsia="楷体"/>
        </w:rPr>
      </w:pPr>
      <w:r>
        <w:rPr>
          <w:rFonts w:ascii="楷体" w:eastAsia="楷体" w:hint="eastAsia"/>
        </w:rPr>
        <w:t>以病人为中心</w:t>
      </w:r>
    </w:p>
    <w:p w:rsidR="00000000" w:rsidRDefault="00000000">
      <w:pPr>
        <w:spacing w:after="240" w:line="400" w:lineRule="exact"/>
        <w:ind w:firstLine="425"/>
      </w:pPr>
      <w:r>
        <w:rPr>
          <w:rFonts w:hint="eastAsia"/>
        </w:rPr>
        <w:t>接受普通医师治疗的绝大多数女患者对普通医师提供的服务是满意的。但是当需要治疗并被作为个人处理时，妇女就受到定型思想的伤害，这种思想认为她们不需要消费医疗保健以及她们埋怨是由于有心理问题。定型的‘女性’症状表现（叙述的、带感情的）似乎减少了接受体格测试或身体诊断的机会。</w:t>
      </w:r>
      <w:r>
        <w:rPr>
          <w:rStyle w:val="FootnoteReference"/>
        </w:rPr>
        <w:footnoteReference w:customMarkFollows="1" w:id="152"/>
        <w:t>107</w:t>
      </w:r>
      <w:r>
        <w:rPr>
          <w:rFonts w:hint="eastAsia"/>
        </w:rPr>
        <w:t>经常要求妇女回诊但不经常转诊。因此妇女病人的主要不满是她们感到没有受到认真对待就不足为奇了。</w:t>
      </w:r>
    </w:p>
    <w:p w:rsidR="00000000" w:rsidRDefault="00000000">
      <w:pPr>
        <w:spacing w:after="240" w:line="400" w:lineRule="exact"/>
        <w:ind w:firstLine="425"/>
      </w:pPr>
      <w:r>
        <w:rPr>
          <w:rFonts w:hint="eastAsia"/>
        </w:rPr>
        <w:t>交流问题与医生的性别有关，在女病人和男医生组合中十分普遍。大多数病人对普通医师性别的选择都希望与自己性别相同。这些患者对她们选择的医生提供的保健比不按她们选择的医生提供的要满意得多。女患者很少有可能象男患者能够实现选择男医生的愿望那样，实现选择女医生的愿望。由于缺少女医生，仅仅一半妇女能如愿以偿地得到普通医师，而男子则几乎全部可以。</w:t>
      </w:r>
    </w:p>
    <w:p w:rsidR="00000000" w:rsidRDefault="00000000">
      <w:pPr>
        <w:spacing w:after="240" w:line="400" w:lineRule="exact"/>
        <w:rPr>
          <w:rFonts w:ascii="SimHei" w:eastAsia="SimHei"/>
          <w:sz w:val="24"/>
        </w:rPr>
      </w:pPr>
      <w:r>
        <w:rPr>
          <w:rFonts w:ascii="SimHei" w:eastAsia="SimHei"/>
          <w:sz w:val="24"/>
        </w:rPr>
        <w:t xml:space="preserve">5.3  </w:t>
      </w:r>
      <w:r>
        <w:rPr>
          <w:rFonts w:ascii="SimHei" w:eastAsia="SimHei" w:hint="eastAsia"/>
          <w:sz w:val="24"/>
        </w:rPr>
        <w:t>医疗专家的治疗</w:t>
      </w:r>
    </w:p>
    <w:p w:rsidR="00000000" w:rsidRDefault="00000000">
      <w:pPr>
        <w:spacing w:after="240" w:line="400" w:lineRule="exact"/>
        <w:rPr>
          <w:rFonts w:ascii="楷体" w:eastAsia="楷体"/>
        </w:rPr>
      </w:pPr>
      <w:r>
        <w:rPr>
          <w:rFonts w:ascii="楷体" w:eastAsia="楷体" w:hint="eastAsia"/>
        </w:rPr>
        <w:t>所得到的保健</w:t>
      </w:r>
    </w:p>
    <w:p w:rsidR="00000000" w:rsidRDefault="00000000">
      <w:pPr>
        <w:spacing w:after="240" w:line="400" w:lineRule="exact"/>
        <w:ind w:firstLine="425"/>
      </w:pPr>
      <w:r>
        <w:rPr>
          <w:rFonts w:hint="eastAsia"/>
        </w:rPr>
        <w:t>第二级保健的身体治疗集中在主要由医疗专家提供的康复和改善（治疗）。妇女比男子更多地利用了专家保健。每年</w:t>
      </w:r>
      <w:r>
        <w:t>42%</w:t>
      </w:r>
      <w:r>
        <w:rPr>
          <w:rFonts w:hint="eastAsia"/>
        </w:rPr>
        <w:t>的妇女和</w:t>
      </w:r>
      <w:r>
        <w:t>37%</w:t>
      </w:r>
      <w:r>
        <w:rPr>
          <w:rFonts w:hint="eastAsia"/>
        </w:rPr>
        <w:t>的男子至少就诊一次医疗专家。</w:t>
      </w:r>
      <w:r>
        <w:rPr>
          <w:rStyle w:val="FootnoteReference"/>
        </w:rPr>
        <w:footnoteReference w:customMarkFollows="1" w:id="153"/>
        <w:t>108</w:t>
      </w:r>
      <w:r>
        <w:rPr>
          <w:rFonts w:hint="eastAsia"/>
        </w:rPr>
        <w:t>总共略多于一半的全部门诊病人由女医生诊病。妇女就诊医疗专家最通常的原因是眼睛问题、皮肤疾病和怀孕引起的并发症。妇女入院数量也稍高一点，但减去分娩入院之后，基于性别的比率几乎相等（</w:t>
      </w:r>
      <w:r>
        <w:t>51%</w:t>
      </w:r>
      <w:r>
        <w:rPr>
          <w:rFonts w:hint="eastAsia"/>
        </w:rPr>
        <w:t>为妇女）。</w:t>
      </w:r>
      <w:r>
        <w:rPr>
          <w:rStyle w:val="FootnoteReference"/>
        </w:rPr>
        <w:footnoteReference w:customMarkFollows="1" w:id="154"/>
        <w:t>109</w:t>
      </w:r>
      <w:r>
        <w:rPr>
          <w:rFonts w:hint="eastAsia"/>
        </w:rPr>
        <w:t>差不多同样多的妇女和男子</w:t>
      </w:r>
      <w:r>
        <w:t xml:space="preserve"> </w:t>
      </w:r>
      <w:r>
        <w:rPr>
          <w:rFonts w:hint="eastAsia"/>
        </w:rPr>
        <w:t>一样接受门诊治疗（</w:t>
      </w:r>
      <w:r>
        <w:t>51%</w:t>
      </w:r>
      <w:r>
        <w:rPr>
          <w:rFonts w:hint="eastAsia"/>
        </w:rPr>
        <w:t>）。近年来接受门诊治疗的人数急剧上升，尤其是对耳鼻喉的小手术、刮除术和扩张术以及做化疗。</w:t>
      </w:r>
    </w:p>
    <w:p w:rsidR="00000000" w:rsidRDefault="00000000">
      <w:pPr>
        <w:spacing w:after="240" w:line="400" w:lineRule="exact"/>
        <w:rPr>
          <w:rFonts w:ascii="楷体" w:eastAsia="楷体"/>
        </w:rPr>
      </w:pPr>
      <w:r>
        <w:rPr>
          <w:rFonts w:ascii="楷体" w:eastAsia="楷体" w:hint="eastAsia"/>
        </w:rPr>
        <w:t>确保有适当的保健</w:t>
      </w:r>
    </w:p>
    <w:p w:rsidR="00000000" w:rsidRDefault="00000000">
      <w:pPr>
        <w:spacing w:after="240" w:line="400" w:lineRule="exact"/>
        <w:ind w:firstLine="425"/>
      </w:pPr>
      <w:r>
        <w:rPr>
          <w:rFonts w:hint="eastAsia"/>
        </w:rPr>
        <w:t>尽管由门诊专家提供的保健总量对于妇女和男子几乎相同，但是在差不多所有疾病中妇女对男子的比例仍然偏低。就心脏和血管病而言，这种偏低情况更为严重。心脏和血管疾病同样影响妇女和男子，但是接受心脏手术的病人仅有四分之一是妇女。这主要归因于确认不足，从而造成诊断法不适当。</w:t>
      </w:r>
      <w:r>
        <w:rPr>
          <w:rStyle w:val="FootnoteReference"/>
        </w:rPr>
        <w:footnoteReference w:customMarkFollows="1" w:id="155"/>
        <w:t>110</w:t>
      </w:r>
      <w:r>
        <w:rPr>
          <w:rFonts w:hint="eastAsia"/>
        </w:rPr>
        <w:t>在关节疾病的治疗中妇女也较少：总人口中</w:t>
      </w:r>
      <w:r>
        <w:t>65%</w:t>
      </w:r>
      <w:r>
        <w:rPr>
          <w:rFonts w:hint="eastAsia"/>
        </w:rPr>
        <w:t>到</w:t>
      </w:r>
      <w:r>
        <w:t>71%</w:t>
      </w:r>
      <w:r>
        <w:rPr>
          <w:rFonts w:hint="eastAsia"/>
        </w:rPr>
        <w:t>的发病率涉及妇女，在普通医师业务中这个数字为</w:t>
      </w:r>
      <w:r>
        <w:t>41%</w:t>
      </w:r>
      <w:r>
        <w:rPr>
          <w:rFonts w:hint="eastAsia"/>
        </w:rPr>
        <w:t>到</w:t>
      </w:r>
      <w:r>
        <w:t>68%</w:t>
      </w:r>
      <w:r>
        <w:rPr>
          <w:rFonts w:hint="eastAsia"/>
        </w:rPr>
        <w:t>，而专家保健中这个数字为</w:t>
      </w:r>
      <w:r>
        <w:t>37%</w:t>
      </w:r>
      <w:r>
        <w:rPr>
          <w:rFonts w:hint="eastAsia"/>
        </w:rPr>
        <w:t>到</w:t>
      </w:r>
      <w:r>
        <w:t>48%</w:t>
      </w:r>
      <w:r>
        <w:rPr>
          <w:rFonts w:hint="eastAsia"/>
        </w:rPr>
        <w:t>。糖尿病例中与性别有关的比率也有变化：妇女的百分比从在一般人口中占</w:t>
      </w:r>
      <w:r>
        <w:t>59%</w:t>
      </w:r>
      <w:r>
        <w:rPr>
          <w:rFonts w:hint="eastAsia"/>
        </w:rPr>
        <w:t>减少到在专家保健中的</w:t>
      </w:r>
      <w:r>
        <w:t>37%</w:t>
      </w:r>
      <w:r>
        <w:rPr>
          <w:rFonts w:hint="eastAsia"/>
        </w:rPr>
        <w:t>。在进入第二级保健的过滤过程中妇女的通过率比男子低。为两性所提供的保健总量相等这一事实应完全归因于与怀孕或分娩有关的咨询与干预以及妇科治疗（尤其是子宫切除和刮除术和扩张术）。并不是在所有情况下都可以方便地找到妇女转诊较少的原因。在一些疾病中妇女平均寿命较高可能起了作用。例如，在高龄妇女中时常出现一种通常无需专家保健的糖尿病。</w:t>
      </w:r>
      <w:r>
        <w:rPr>
          <w:rStyle w:val="FootnoteReference"/>
        </w:rPr>
        <w:footnoteReference w:customMarkFollows="1" w:id="156"/>
        <w:t>111</w:t>
      </w:r>
      <w:r>
        <w:rPr>
          <w:rFonts w:hint="eastAsia"/>
        </w:rPr>
        <w:t>普通医师的确认不足也会影响妇女的转诊。一种后来发作的糖尿病就是如此：在许多情况下这种疾病直到身体其他部位已出现并发症才被确认。</w:t>
      </w:r>
      <w:r>
        <w:rPr>
          <w:rStyle w:val="FootnoteReference"/>
        </w:rPr>
        <w:footnoteReference w:customMarkFollows="1" w:id="157"/>
        <w:t>112</w:t>
      </w:r>
      <w:r>
        <w:rPr>
          <w:rFonts w:hint="eastAsia"/>
        </w:rPr>
        <w:t>有时确认受到阻碍，因为妇女的症状各不相同或者在她们生命另一阶段表现出来，因此妇女代表一种‘反常’形象。</w:t>
      </w:r>
      <w:r>
        <w:rPr>
          <w:rStyle w:val="FootnoteReference"/>
        </w:rPr>
        <w:footnoteReference w:customMarkFollows="1" w:id="158"/>
        <w:t>113</w:t>
      </w:r>
      <w:r>
        <w:rPr>
          <w:rFonts w:hint="eastAsia"/>
        </w:rPr>
        <w:t>这主要适用于那些被称之为‘男性疾病’如心脏和血管疾病之类的疾病。</w:t>
      </w:r>
      <w:r>
        <w:rPr>
          <w:rStyle w:val="FootnoteReference"/>
        </w:rPr>
        <w:footnoteReference w:customMarkFollows="1" w:id="159"/>
        <w:t>114</w:t>
      </w:r>
      <w:r>
        <w:rPr>
          <w:rFonts w:hint="eastAsia"/>
        </w:rPr>
        <w:t>另一个可能影响正确确认的因素是普通医师对妇女陈述病情的方式的反应。</w:t>
      </w:r>
      <w:r>
        <w:rPr>
          <w:rStyle w:val="FootnoteReference"/>
        </w:rPr>
        <w:footnoteReference w:customMarkFollows="1" w:id="160"/>
        <w:t>115</w:t>
      </w:r>
      <w:r>
        <w:rPr>
          <w:rFonts w:hint="eastAsia"/>
        </w:rPr>
        <w:t>对于较少转诊至专家保健的最后一点解释是妇女们自己放弃专门治疗。对于女性人口中最常见的慢性病，专门治疗常常提供不了什么，病人往往求助于疼痛控制、药品和医疗器械、护理保健以及其他形式的药品或者学会带病生活。</w:t>
      </w:r>
    </w:p>
    <w:p w:rsidR="00000000" w:rsidRDefault="00000000">
      <w:pPr>
        <w:spacing w:after="240" w:line="400" w:lineRule="exact"/>
        <w:rPr>
          <w:rFonts w:ascii="楷体" w:eastAsia="楷体"/>
        </w:rPr>
      </w:pPr>
      <w:r>
        <w:rPr>
          <w:rFonts w:ascii="楷体" w:eastAsia="楷体" w:hint="eastAsia"/>
        </w:rPr>
        <w:t>以病人为中心</w:t>
      </w:r>
    </w:p>
    <w:p w:rsidR="00000000" w:rsidRDefault="00000000">
      <w:pPr>
        <w:spacing w:after="240" w:line="400" w:lineRule="exact"/>
        <w:ind w:firstLine="425"/>
      </w:pPr>
      <w:r>
        <w:rPr>
          <w:rFonts w:hint="eastAsia"/>
        </w:rPr>
        <w:t>关于医疗专家如何与其病人交流的信息很少而且通常不按性别划分。就提供的信息和专家能力而言，几乎</w:t>
      </w:r>
      <w:r>
        <w:t>90%</w:t>
      </w:r>
      <w:r>
        <w:rPr>
          <w:rFonts w:hint="eastAsia"/>
        </w:rPr>
        <w:t>的病人评价他们与专家的联系为‘良好’至‘杰出’。</w:t>
      </w:r>
      <w:r>
        <w:rPr>
          <w:rStyle w:val="FootnoteReference"/>
        </w:rPr>
        <w:footnoteReference w:customMarkFollows="1" w:id="161"/>
        <w:t>116</w:t>
      </w:r>
      <w:r>
        <w:rPr>
          <w:rFonts w:hint="eastAsia"/>
        </w:rPr>
        <w:t>病人越患长期疾病，而且心理幸福程度减少，他们就越不满意。就提供信息而言，病人对专家的评价比对普通医师的评价要好（关于风险的信息除外）。</w:t>
      </w:r>
      <w:r>
        <w:rPr>
          <w:rStyle w:val="FootnoteReference"/>
        </w:rPr>
        <w:footnoteReference w:customMarkFollows="1" w:id="162"/>
        <w:t>117</w:t>
      </w:r>
      <w:r>
        <w:rPr>
          <w:rFonts w:hint="eastAsia"/>
        </w:rPr>
        <w:t>但是就把病人作为个人对待而言，对专家的打分较低。专家的病人有大约</w:t>
      </w:r>
      <w:r>
        <w:t>40%</w:t>
      </w:r>
      <w:r>
        <w:rPr>
          <w:rFonts w:hint="eastAsia"/>
        </w:rPr>
        <w:t>，而普通医师的病人的</w:t>
      </w:r>
      <w:r>
        <w:t>30%</w:t>
      </w:r>
      <w:r>
        <w:rPr>
          <w:rFonts w:hint="eastAsia"/>
        </w:rPr>
        <w:t>感觉他们未能受到认真对待和或者作为个人受到不友好或不以为然的对待。其他的不满是专家没有在困难时刻给予足够支持，用了难懂的语言，不给机会提出问题。全国病人信息中心所收到的问题和投诉三分之二来自妇女。所提交的问题三分之一涉及一位医疗专家的治疗。最常见的投诉是关于（据称）错误的交流不能令人满意和感到未受到认真对待。</w:t>
      </w:r>
      <w:r>
        <w:rPr>
          <w:rStyle w:val="FootnoteReference"/>
        </w:rPr>
        <w:footnoteReference w:customMarkFollows="1" w:id="163"/>
        <w:t>118</w:t>
      </w:r>
      <w:r>
        <w:rPr>
          <w:rFonts w:hint="eastAsia"/>
        </w:rPr>
        <w:t>我们不清楚的是女患者对同性别专家的选择有多强烈。由于女性医疗专家少，因此女性不如男性有可能选择与自己性别相同的专家。</w:t>
      </w:r>
    </w:p>
    <w:p w:rsidR="00000000" w:rsidRDefault="00000000">
      <w:pPr>
        <w:spacing w:after="240" w:line="380" w:lineRule="exact"/>
        <w:rPr>
          <w:rFonts w:ascii="SimHei" w:eastAsia="SimHei"/>
          <w:sz w:val="24"/>
        </w:rPr>
      </w:pPr>
      <w:r>
        <w:rPr>
          <w:rFonts w:ascii="SimHei" w:eastAsia="SimHei"/>
          <w:sz w:val="24"/>
        </w:rPr>
        <w:t xml:space="preserve">5.4  </w:t>
      </w:r>
      <w:r>
        <w:rPr>
          <w:rFonts w:ascii="SimHei" w:eastAsia="SimHei" w:hint="eastAsia"/>
          <w:sz w:val="24"/>
        </w:rPr>
        <w:t>护理和家庭保健</w:t>
      </w:r>
    </w:p>
    <w:p w:rsidR="00000000" w:rsidRDefault="00000000">
      <w:pPr>
        <w:spacing w:after="240" w:line="380" w:lineRule="exact"/>
        <w:ind w:firstLine="425"/>
      </w:pPr>
      <w:r>
        <w:rPr>
          <w:rFonts w:hint="eastAsia"/>
        </w:rPr>
        <w:t>照料，即提供护理和家庭护理，使病人康复或防止他们的情况恶化。这种护理主要由亲属和亲密朋友（非正式护理）也由专业家庭保健机构提供。家庭帮助和社区护理服务正日益作为标准家庭护理的一部分向人们提供。</w:t>
      </w:r>
      <w:r>
        <w:rPr>
          <w:rStyle w:val="FootnoteReference"/>
        </w:rPr>
        <w:footnoteReference w:customMarkFollows="1" w:id="164"/>
        <w:t>119</w:t>
      </w:r>
      <w:r>
        <w:rPr>
          <w:rFonts w:hint="eastAsia"/>
        </w:rPr>
        <w:t>此外，私营机构和自营人员也在提供专业家庭保健。如果家庭护理和家庭保健不够充分，可以考虑日托或进入私人疗养所。近年来康复院也开始为有严重身体缺陷（器官替换）的人提供帮助。</w:t>
      </w:r>
      <w:r>
        <w:rPr>
          <w:rStyle w:val="FootnoteReference"/>
        </w:rPr>
        <w:footnoteReference w:customMarkFollows="1" w:id="165"/>
        <w:t>120</w:t>
      </w:r>
    </w:p>
    <w:p w:rsidR="00000000" w:rsidRDefault="00000000">
      <w:pPr>
        <w:spacing w:after="240" w:line="380" w:lineRule="exact"/>
        <w:rPr>
          <w:rFonts w:ascii="楷体" w:eastAsia="楷体"/>
        </w:rPr>
      </w:pPr>
      <w:r>
        <w:rPr>
          <w:rFonts w:ascii="楷体" w:eastAsia="楷体" w:hint="eastAsia"/>
        </w:rPr>
        <w:t>所得到的护理</w:t>
      </w:r>
    </w:p>
    <w:p w:rsidR="00000000" w:rsidRDefault="00000000">
      <w:pPr>
        <w:spacing w:after="240" w:line="380" w:lineRule="exact"/>
        <w:ind w:firstLine="425"/>
      </w:pPr>
      <w:r>
        <w:rPr>
          <w:rFonts w:hint="eastAsia"/>
        </w:rPr>
        <w:t>大约</w:t>
      </w:r>
      <w:r>
        <w:t>80%</w:t>
      </w:r>
      <w:r>
        <w:rPr>
          <w:rFonts w:hint="eastAsia"/>
        </w:rPr>
        <w:t>的身体有缺陷的人得到某种形式的家庭护理或非正规保健。得到这种护理的人中妇女比男子多（</w:t>
      </w:r>
      <w:r>
        <w:t>63%</w:t>
      </w:r>
      <w:r>
        <w:rPr>
          <w:rFonts w:hint="eastAsia"/>
        </w:rPr>
        <w:t>为妇女），在没接受这种护理的有身体缺陷的人群中也是妇女占多数（</w:t>
      </w:r>
      <w:r>
        <w:t>58%</w:t>
      </w:r>
      <w:r>
        <w:rPr>
          <w:rFonts w:hint="eastAsia"/>
        </w:rPr>
        <w:t>为妇女）。</w:t>
      </w:r>
    </w:p>
    <w:p w:rsidR="00000000" w:rsidRDefault="00000000">
      <w:pPr>
        <w:spacing w:after="240" w:line="380" w:lineRule="exact"/>
        <w:ind w:firstLine="425"/>
      </w:pPr>
      <w:r>
        <w:rPr>
          <w:rFonts w:hint="eastAsia"/>
        </w:rPr>
        <w:t>一半以上（</w:t>
      </w:r>
      <w:r>
        <w:t>55%</w:t>
      </w:r>
      <w:r>
        <w:rPr>
          <w:rFonts w:hint="eastAsia"/>
        </w:rPr>
        <w:t>）有身体缺陷的人接受非正规护理。有迹象表明妇女得到非正规护理较少因为她们在老年时常独自生活。在没有伴侣的人群中仅有四分之一</w:t>
      </w:r>
      <w:r>
        <w:t>(24%)</w:t>
      </w:r>
      <w:r>
        <w:rPr>
          <w:rFonts w:hint="eastAsia"/>
        </w:rPr>
        <w:t>接受自己人的帮助。</w:t>
      </w:r>
      <w:r>
        <w:rPr>
          <w:rStyle w:val="FootnoteReference"/>
        </w:rPr>
        <w:footnoteReference w:customMarkFollows="1" w:id="166"/>
        <w:t>121</w:t>
      </w:r>
      <w:r>
        <w:rPr>
          <w:rFonts w:hint="eastAsia"/>
        </w:rPr>
        <w:t>另外，还有迹象表明失去配偶的男子得到更多的非正规帮助，因为周围的人假向于认为单身男子不能照顾好他们自己。</w:t>
      </w:r>
      <w:r>
        <w:rPr>
          <w:rStyle w:val="FootnoteReference"/>
        </w:rPr>
        <w:footnoteReference w:customMarkFollows="1" w:id="167"/>
        <w:t>122</w:t>
      </w:r>
    </w:p>
    <w:p w:rsidR="00000000" w:rsidRDefault="00000000">
      <w:pPr>
        <w:spacing w:after="240" w:line="380" w:lineRule="exact"/>
        <w:ind w:firstLine="425"/>
      </w:pPr>
      <w:r>
        <w:rPr>
          <w:rFonts w:hint="eastAsia"/>
        </w:rPr>
        <w:t>给予有身体缺陷的人的家庭护理的三分之一为专业护理。这种护理的大多数</w:t>
      </w:r>
      <w:r>
        <w:t>(60%)</w:t>
      </w:r>
      <w:r>
        <w:rPr>
          <w:rFonts w:hint="eastAsia"/>
        </w:rPr>
        <w:t>是标准家庭护理；其余的为私人护理。私人家庭护理必须由他们自己安排并付款。平均寿命长而且常常属于低收入群体的妇女接受的私人家庭护理比其他群体要少。另一方面，她们接受更多的标准家庭护理：在</w:t>
      </w:r>
      <w:r>
        <w:t>65</w:t>
      </w:r>
      <w:r>
        <w:rPr>
          <w:rFonts w:hint="eastAsia"/>
        </w:rPr>
        <w:t>岁以下的客户群中</w:t>
      </w:r>
      <w:r>
        <w:t>65%</w:t>
      </w:r>
      <w:r>
        <w:rPr>
          <w:rFonts w:hint="eastAsia"/>
        </w:rPr>
        <w:t>是妇女：</w:t>
      </w:r>
      <w:r>
        <w:t>65</w:t>
      </w:r>
      <w:r>
        <w:rPr>
          <w:rFonts w:hint="eastAsia"/>
        </w:rPr>
        <w:t>岁以上的</w:t>
      </w:r>
      <w:r>
        <w:t>70%</w:t>
      </w:r>
      <w:r>
        <w:rPr>
          <w:rFonts w:hint="eastAsia"/>
        </w:rPr>
        <w:t>是妇女。</w:t>
      </w:r>
      <w:r>
        <w:rPr>
          <w:rStyle w:val="FootnoteReference"/>
        </w:rPr>
        <w:footnoteReference w:customMarkFollows="1" w:id="168"/>
        <w:t>123</w:t>
      </w:r>
    </w:p>
    <w:p w:rsidR="00000000" w:rsidRDefault="00000000">
      <w:pPr>
        <w:spacing w:after="240" w:line="400" w:lineRule="exact"/>
        <w:ind w:firstLine="425"/>
      </w:pPr>
      <w:r>
        <w:rPr>
          <w:rFonts w:hint="eastAsia"/>
        </w:rPr>
        <w:t>身体有疾病的私人疗养所接纳的妇女比男子多。最近接纳的病人中</w:t>
      </w:r>
      <w:r>
        <w:t>65%</w:t>
      </w:r>
      <w:r>
        <w:rPr>
          <w:rFonts w:hint="eastAsia"/>
        </w:rPr>
        <w:t>为妇女；已住在这种疗养所的病人中妇女略超过</w:t>
      </w:r>
      <w:r>
        <w:t>70%</w:t>
      </w:r>
      <w:r>
        <w:rPr>
          <w:rFonts w:hint="eastAsia"/>
        </w:rPr>
        <w:t>。</w:t>
      </w:r>
      <w:r>
        <w:rPr>
          <w:rStyle w:val="FootnoteReference"/>
        </w:rPr>
        <w:footnoteReference w:customMarkFollows="1" w:id="169"/>
        <w:t>124</w:t>
      </w:r>
      <w:r>
        <w:rPr>
          <w:rFonts w:hint="eastAsia"/>
        </w:rPr>
        <w:t>在康复院住院的妇女百分比高达</w:t>
      </w:r>
      <w:r>
        <w:t>77%</w:t>
      </w:r>
      <w:r>
        <w:rPr>
          <w:rFonts w:hint="eastAsia"/>
        </w:rPr>
        <w:t>。</w:t>
      </w:r>
      <w:r>
        <w:rPr>
          <w:rStyle w:val="FootnoteReference"/>
        </w:rPr>
        <w:footnoteReference w:customMarkFollows="1" w:id="170"/>
        <w:t>125</w:t>
      </w:r>
      <w:r>
        <w:rPr>
          <w:rFonts w:hint="eastAsia"/>
        </w:rPr>
        <w:t>近几十年来男女比例越来越失调，可能与进入康复院的人年龄变高有关。</w:t>
      </w:r>
    </w:p>
    <w:p w:rsidR="00000000" w:rsidRDefault="00000000">
      <w:pPr>
        <w:spacing w:after="240" w:line="400" w:lineRule="exact"/>
        <w:rPr>
          <w:rFonts w:ascii="楷体" w:eastAsia="楷体"/>
        </w:rPr>
      </w:pPr>
      <w:r>
        <w:rPr>
          <w:rFonts w:ascii="楷体" w:eastAsia="楷体" w:hint="eastAsia"/>
        </w:rPr>
        <w:t>确保有适当的保健</w:t>
      </w:r>
    </w:p>
    <w:p w:rsidR="00000000" w:rsidRDefault="00000000">
      <w:pPr>
        <w:spacing w:after="240" w:line="400" w:lineRule="exact"/>
        <w:ind w:firstLine="425"/>
      </w:pPr>
      <w:r>
        <w:rPr>
          <w:rFonts w:hint="eastAsia"/>
        </w:rPr>
        <w:t>长期有缺陷的人对保健的需求不仅取决于他们的缺陷的严重性，而且也取决于社会网络提供的支持以及他们自己接受非正规保健的愿望。能自理的年轻残疾人（男女相同）一般不想依靠环境，他们宁愿自己花钱雇用私人护理。最近采用的以个人为基础的预算系统原则上允许他们这样做。</w:t>
      </w:r>
      <w:r>
        <w:rPr>
          <w:rStyle w:val="FootnoteReference"/>
        </w:rPr>
        <w:footnoteReference w:customMarkFollows="1" w:id="171"/>
        <w:t>126</w:t>
      </w:r>
    </w:p>
    <w:p w:rsidR="00000000" w:rsidRDefault="00000000">
      <w:pPr>
        <w:spacing w:after="240" w:line="400" w:lineRule="exact"/>
        <w:ind w:firstLine="425"/>
      </w:pPr>
      <w:r>
        <w:rPr>
          <w:rFonts w:hint="eastAsia"/>
        </w:rPr>
        <w:t>需要护理的老年人似乎强烈选择从亲属和亲密朋友处得到护理。只有在不能充分获得非正规护理时他们才寻求专业机构帮助。由于配偶是非正规护理的主要来源，因此单身者主要是妇女</w:t>
      </w:r>
      <w:r>
        <w:t>——</w:t>
      </w:r>
      <w:r>
        <w:rPr>
          <w:rFonts w:hint="eastAsia"/>
        </w:rPr>
        <w:t>无法得到她们希望的这种帮助。</w:t>
      </w:r>
    </w:p>
    <w:p w:rsidR="00000000" w:rsidRDefault="00000000">
      <w:pPr>
        <w:spacing w:after="240" w:line="400" w:lineRule="exact"/>
        <w:ind w:firstLine="425"/>
      </w:pPr>
      <w:r>
        <w:rPr>
          <w:rFonts w:hint="eastAsia"/>
        </w:rPr>
        <w:t>在过去</w:t>
      </w:r>
      <w:r>
        <w:t>20</w:t>
      </w:r>
      <w:r>
        <w:rPr>
          <w:rFonts w:hint="eastAsia"/>
        </w:rPr>
        <w:t>年里尽管得到政府的鼓励，但是标准家庭护理提供的服务仍无法满足日益增多的老年人口的需要。</w:t>
      </w:r>
      <w:r>
        <w:rPr>
          <w:rStyle w:val="FootnoteReference"/>
        </w:rPr>
        <w:footnoteReference w:customMarkFollows="1" w:id="172"/>
        <w:t>127</w:t>
      </w:r>
      <w:r>
        <w:rPr>
          <w:rFonts w:hint="eastAsia"/>
        </w:rPr>
        <w:t>社区护理服务应越来越限于满足加强护理的需要，它们每年接纳的病人不足</w:t>
      </w:r>
      <w:r>
        <w:t>4.5%</w:t>
      </w:r>
      <w:r>
        <w:rPr>
          <w:rFonts w:hint="eastAsia"/>
        </w:rPr>
        <w:t>。这对男女的影响是相等的，因为他们是以与他们的缺陷成比例地出现的。家庭护理为越来越多的人提供越来越少的帮助。尽管在过去二十年里人员数量和所提供的护理总时数实际上保持不变，但是病人数量每年增加</w:t>
      </w:r>
      <w:r>
        <w:t>2.6%</w:t>
      </w:r>
      <w:r>
        <w:rPr>
          <w:rFonts w:hint="eastAsia"/>
        </w:rPr>
        <w:t>。妇女比根据她们的身体缺陷预计的要多地利用了家庭帮助。在这方面社会环境的支持也起了作用：对单身者来说主要是来自家庭以外人员的帮助，对已婚者来说它关系到男性伴侣是否愿意承担家务责任。总之，妇女较少得到私人家庭护理，因为她们的经济能力有限。</w:t>
      </w:r>
    </w:p>
    <w:p w:rsidR="00000000" w:rsidRDefault="00000000">
      <w:pPr>
        <w:spacing w:after="240" w:line="400" w:lineRule="exact"/>
        <w:ind w:firstLine="425"/>
      </w:pPr>
      <w:r>
        <w:rPr>
          <w:rFonts w:hint="eastAsia"/>
        </w:rPr>
        <w:t>近年来全日入住私人疗养所的人数减少了，但门诊病人护理的供应量日益加大（每年</w:t>
      </w:r>
      <w:r>
        <w:t>14%</w:t>
      </w:r>
      <w:r>
        <w:rPr>
          <w:rFonts w:hint="eastAsia"/>
        </w:rPr>
        <w:t>）。目前尚无关于利用这种护理的资料。</w:t>
      </w:r>
    </w:p>
    <w:p w:rsidR="00000000" w:rsidRDefault="00000000">
      <w:pPr>
        <w:spacing w:after="240" w:line="400" w:lineRule="exact"/>
        <w:rPr>
          <w:rFonts w:ascii="楷体" w:eastAsia="楷体"/>
        </w:rPr>
      </w:pPr>
      <w:r>
        <w:rPr>
          <w:rFonts w:ascii="楷体" w:eastAsia="楷体" w:hint="eastAsia"/>
        </w:rPr>
        <w:t>以病人为中心</w:t>
      </w:r>
    </w:p>
    <w:p w:rsidR="00000000" w:rsidRDefault="00000000">
      <w:pPr>
        <w:spacing w:after="240" w:line="400" w:lineRule="exact"/>
        <w:ind w:firstLine="425"/>
      </w:pPr>
      <w:r>
        <w:rPr>
          <w:rFonts w:hint="eastAsia"/>
        </w:rPr>
        <w:t>目前尚无关于从以病人为中心的角度看的家庭护理的质量的资料。尽管非正规护理领域存在问题</w:t>
      </w:r>
      <w:r>
        <w:rPr>
          <w:rStyle w:val="FootnoteReference"/>
        </w:rPr>
        <w:footnoteReference w:customMarkFollows="1" w:id="173"/>
        <w:t>128</w:t>
      </w:r>
      <w:r>
        <w:rPr>
          <w:rFonts w:hint="eastAsia"/>
        </w:rPr>
        <w:t>，但是接受这种护理的人</w:t>
      </w:r>
      <w:r>
        <w:t xml:space="preserve"> </w:t>
      </w:r>
      <w:r>
        <w:rPr>
          <w:rFonts w:hint="eastAsia"/>
        </w:rPr>
        <w:t>们还是用较好的言辞来评价它：能得到非正规帮助的人宁可要这种帮助而不要专业护理。另外接受非正规帮助的人也对辅助性专业家庭护理较为满意。但是妇女不经常处在她们能要求非正规帮助的境况中。</w:t>
      </w:r>
    </w:p>
    <w:p w:rsidR="00000000" w:rsidRDefault="00000000">
      <w:pPr>
        <w:spacing w:after="240" w:line="400" w:lineRule="exact"/>
        <w:ind w:firstLine="425"/>
      </w:pPr>
      <w:r>
        <w:rPr>
          <w:rFonts w:hint="eastAsia"/>
        </w:rPr>
        <w:t>在标准家庭护理病人（绝大多数为妇女）中进行的一项调查指出他们中大多数对提供护理的人员十分满意，但是对家庭护理机构的意见有分歧。</w:t>
      </w:r>
      <w:r>
        <w:rPr>
          <w:rStyle w:val="FootnoteReference"/>
        </w:rPr>
        <w:footnoteReference w:customMarkFollows="1" w:id="174"/>
        <w:t>129</w:t>
      </w:r>
      <w:r>
        <w:rPr>
          <w:rFonts w:hint="eastAsia"/>
        </w:rPr>
        <w:t>除了与提供帮助（等待者名单、因病和假期的替换）有关的问题外，没有一个回答者知道该机构是否有处理投诉的程序。</w:t>
      </w:r>
      <w:r>
        <w:rPr>
          <w:rStyle w:val="FootnoteReference"/>
        </w:rPr>
        <w:footnoteReference w:customMarkFollows="1" w:id="175"/>
        <w:t>130</w:t>
      </w:r>
      <w:r>
        <w:rPr>
          <w:rFonts w:hint="eastAsia"/>
        </w:rPr>
        <w:t>老年单身妇女对标准家庭护理不大满意主要归因于她们与社会的隔绝。这一群体与社会的接触主要靠一些时间紧缺的社区护士或提供家庭帮助者。</w:t>
      </w:r>
      <w:r>
        <w:rPr>
          <w:rStyle w:val="FootnoteReference"/>
        </w:rPr>
        <w:footnoteReference w:customMarkFollows="1" w:id="176"/>
        <w:t>131</w:t>
      </w:r>
    </w:p>
    <w:p w:rsidR="00000000" w:rsidRDefault="00000000">
      <w:pPr>
        <w:spacing w:after="240" w:line="400" w:lineRule="exact"/>
        <w:ind w:firstLine="425"/>
      </w:pPr>
      <w:r>
        <w:rPr>
          <w:rFonts w:hint="eastAsia"/>
        </w:rPr>
        <w:t>近年来在护理和康复院采取了各种主动行动，不仅在提高‘面向供应’的质量方面，而且在更加注重发展综合性以病人为中心的护理方面提高它们的护理质量。</w:t>
      </w:r>
      <w:r>
        <w:rPr>
          <w:rStyle w:val="FootnoteReference"/>
        </w:rPr>
        <w:footnoteReference w:customMarkFollows="1" w:id="177"/>
        <w:t>132</w:t>
      </w:r>
      <w:r>
        <w:rPr>
          <w:rFonts w:hint="eastAsia"/>
        </w:rPr>
        <w:t>在可感护理质量方面我们尚无法找到有关性别差别的资料。</w:t>
      </w:r>
    </w:p>
    <w:p w:rsidR="00000000" w:rsidRDefault="00000000">
      <w:pPr>
        <w:spacing w:after="240" w:line="400" w:lineRule="exact"/>
        <w:rPr>
          <w:rFonts w:ascii="SimHei" w:eastAsia="SimHei"/>
          <w:sz w:val="24"/>
        </w:rPr>
      </w:pPr>
      <w:r>
        <w:rPr>
          <w:rFonts w:ascii="SimHei" w:eastAsia="SimHei"/>
          <w:sz w:val="24"/>
        </w:rPr>
        <w:t xml:space="preserve">5.5  </w:t>
      </w:r>
      <w:r>
        <w:rPr>
          <w:rFonts w:ascii="SimHei" w:eastAsia="SimHei" w:hint="eastAsia"/>
          <w:sz w:val="24"/>
        </w:rPr>
        <w:t>心理保健</w:t>
      </w:r>
    </w:p>
    <w:p w:rsidR="00000000" w:rsidRDefault="00000000">
      <w:pPr>
        <w:spacing w:after="240" w:line="400" w:lineRule="exact"/>
        <w:ind w:firstLine="425"/>
      </w:pPr>
      <w:r>
        <w:rPr>
          <w:rFonts w:hint="eastAsia"/>
        </w:rPr>
        <w:t>从</w:t>
      </w:r>
      <w:r>
        <w:t>Goldberg</w:t>
      </w:r>
      <w:r>
        <w:rPr>
          <w:rFonts w:hint="eastAsia"/>
        </w:rPr>
        <w:t>和</w:t>
      </w:r>
      <w:r>
        <w:t>Huxley</w:t>
      </w:r>
      <w:r>
        <w:rPr>
          <w:rFonts w:hint="eastAsia"/>
        </w:rPr>
        <w:t>的过滤模式来看，荷兰的心理保健系统有些不同之处：在荷兰人们可以自己作主获得门诊病人心理保健。实际上普通医师的转诊介绍是一项行政事务。但是对于得到住院病人护理而言，普通医师实际上起了‘守门人’的作用。另外，门诊病人护理甚至可以避开不管。最后，必须指出的是近年来门诊和病房护理之间的界线已变得模糊不清。就护理创新而言，把门诊和病房护理结合起来是加强护理连续性的一种尝试。</w:t>
      </w:r>
    </w:p>
    <w:p w:rsidR="00000000" w:rsidRDefault="00000000">
      <w:pPr>
        <w:spacing w:after="240" w:line="400" w:lineRule="exact"/>
        <w:rPr>
          <w:rFonts w:ascii="楷体" w:eastAsia="楷体"/>
        </w:rPr>
      </w:pPr>
      <w:r>
        <w:rPr>
          <w:rFonts w:ascii="楷体" w:eastAsia="楷体" w:hint="eastAsia"/>
        </w:rPr>
        <w:t>所得到的保健</w:t>
      </w:r>
    </w:p>
    <w:p w:rsidR="00000000" w:rsidRDefault="00000000">
      <w:pPr>
        <w:spacing w:after="240" w:line="400" w:lineRule="exact"/>
        <w:ind w:firstLine="425"/>
      </w:pPr>
      <w:r>
        <w:rPr>
          <w:rFonts w:hint="eastAsia"/>
        </w:rPr>
        <w:t>区域心理福利机构提供大部分门诊护理。该机构的病人中妇女比男子多（</w:t>
      </w:r>
      <w:r>
        <w:t>56%</w:t>
      </w:r>
      <w:r>
        <w:rPr>
          <w:rFonts w:hint="eastAsia"/>
        </w:rPr>
        <w:t>为妇女）。妇女还更经常地就诊私人开业的精神病专家（</w:t>
      </w:r>
      <w:r>
        <w:t>57%</w:t>
      </w:r>
      <w:r>
        <w:rPr>
          <w:rFonts w:hint="eastAsia"/>
        </w:rPr>
        <w:t>为妇女）和心理疗法专家（</w:t>
      </w:r>
      <w:r>
        <w:t>61%</w:t>
      </w:r>
      <w:r>
        <w:rPr>
          <w:rFonts w:hint="eastAsia"/>
        </w:rPr>
        <w:t>为妇女），以及综合医院</w:t>
      </w:r>
      <w:r>
        <w:rPr>
          <w:rStyle w:val="FootnoteReference"/>
        </w:rPr>
        <w:footnoteReference w:customMarkFollows="1" w:id="178"/>
        <w:t>133</w:t>
      </w:r>
      <w:r>
        <w:rPr>
          <w:rFonts w:hint="eastAsia"/>
        </w:rPr>
        <w:t>精神病科内的门诊部门</w:t>
      </w:r>
      <w:r>
        <w:t>(58%</w:t>
      </w:r>
      <w:r>
        <w:rPr>
          <w:rFonts w:hint="eastAsia"/>
        </w:rPr>
        <w:t>为妇女</w:t>
      </w:r>
      <w:r>
        <w:t>)</w:t>
      </w:r>
      <w:r>
        <w:rPr>
          <w:rFonts w:hint="eastAsia"/>
        </w:rPr>
        <w:t>。门诊部门中只有在酒类和毒品咨询机构妇女占少数（</w:t>
      </w:r>
      <w:r>
        <w:t>21</w:t>
      </w:r>
      <w:r>
        <w:rPr>
          <w:rFonts w:hint="eastAsia"/>
        </w:rPr>
        <w:t>％）。在公共福利机构中男女比例也失衡：主要因短期逗留而入院的病人中妇女数量多，如康复院（</w:t>
      </w:r>
      <w:r>
        <w:t>83%</w:t>
      </w:r>
      <w:r>
        <w:rPr>
          <w:rFonts w:hint="eastAsia"/>
        </w:rPr>
        <w:t>为妇女），综合医疗精神病科（</w:t>
      </w:r>
      <w:r>
        <w:t>66%</w:t>
      </w:r>
      <w:r>
        <w:rPr>
          <w:rFonts w:hint="eastAsia"/>
        </w:rPr>
        <w:t>为妇妇）以及教学医院的精神病科（</w:t>
      </w:r>
      <w:r>
        <w:t>60%</w:t>
      </w:r>
      <w:r>
        <w:rPr>
          <w:rFonts w:hint="eastAsia"/>
        </w:rPr>
        <w:t>为妇女）。但是在综合精神病医院里基于性别的比例是平衡的（</w:t>
      </w:r>
      <w:r>
        <w:t>51%</w:t>
      </w:r>
      <w:r>
        <w:rPr>
          <w:rFonts w:hint="eastAsia"/>
        </w:rPr>
        <w:t>为妇女）。综合精神病医院接纳的病人最多。妇女较少参与用于精神病人的护理创新项目：日间活动中心（</w:t>
      </w:r>
      <w:r>
        <w:t>37%</w:t>
      </w:r>
      <w:r>
        <w:rPr>
          <w:rFonts w:hint="eastAsia"/>
        </w:rPr>
        <w:t>为妇女），职业康复项目（</w:t>
      </w:r>
      <w:r>
        <w:t>45%</w:t>
      </w:r>
      <w:r>
        <w:rPr>
          <w:rFonts w:hint="eastAsia"/>
        </w:rPr>
        <w:t>为妇女），病例管理（</w:t>
      </w:r>
      <w:r>
        <w:t>45%</w:t>
      </w:r>
      <w:r>
        <w:rPr>
          <w:rFonts w:hint="eastAsia"/>
        </w:rPr>
        <w:t>为妇女），公共生活中心（</w:t>
      </w:r>
      <w:r>
        <w:t>23%</w:t>
      </w:r>
      <w:r>
        <w:rPr>
          <w:rFonts w:hint="eastAsia"/>
        </w:rPr>
        <w:t>为妇女）以及帮助生活（</w:t>
      </w:r>
      <w:r>
        <w:t>51%</w:t>
      </w:r>
      <w:r>
        <w:rPr>
          <w:rFonts w:hint="eastAsia"/>
        </w:rPr>
        <w:t>为妇女）。</w:t>
      </w:r>
      <w:r>
        <w:rPr>
          <w:rStyle w:val="FootnoteReference"/>
        </w:rPr>
        <w:footnoteReference w:customMarkFollows="1" w:id="179"/>
        <w:t>134</w:t>
      </w:r>
    </w:p>
    <w:p w:rsidR="00000000" w:rsidRDefault="00000000">
      <w:pPr>
        <w:spacing w:after="240" w:line="400" w:lineRule="exact"/>
        <w:rPr>
          <w:rFonts w:ascii="楷体" w:eastAsia="楷体"/>
        </w:rPr>
      </w:pPr>
      <w:r>
        <w:rPr>
          <w:rFonts w:ascii="楷体" w:eastAsia="楷体" w:hint="eastAsia"/>
        </w:rPr>
        <w:t>确保有适当的保健</w:t>
      </w:r>
    </w:p>
    <w:p w:rsidR="00000000" w:rsidRDefault="00000000">
      <w:pPr>
        <w:spacing w:after="240" w:line="400" w:lineRule="exact"/>
        <w:ind w:firstLine="425"/>
      </w:pPr>
      <w:r>
        <w:rPr>
          <w:rFonts w:hint="eastAsia"/>
        </w:rPr>
        <w:t>在解释用于心理问题的过滤模式（表中百分比）时我们可以看到接受护理的妇女百分比一直增加到第</w:t>
      </w:r>
      <w:r>
        <w:t>3</w:t>
      </w:r>
      <w:r>
        <w:rPr>
          <w:rFonts w:hint="eastAsia"/>
        </w:rPr>
        <w:t>层保健（初级保健时诊断的心理问题）。由于可以进入实际精神保健设施，基于性别的不平衡比例再次拉平。在区域心理福利机构、酒类和毒品咨询机构以及综合精神病医院的病人中妇女百分比几乎和女性人口中心理和吸毒问题一样普遍。这说明按照普通医师诊断有心理问题的妇女比男子更少转诊到精神保健部门。人们还可以说普通医师检查出妇女中不合比例数量的心理问题，但不提出后续治疗。对于外国妇女而言，精神病医院更加无法进入。她们留在较低级保健中，更多地利用精神保健领域以外的设施。</w:t>
      </w:r>
      <w:r>
        <w:rPr>
          <w:rStyle w:val="FootnoteReference"/>
        </w:rPr>
        <w:footnoteReference w:customMarkFollows="1" w:id="180"/>
        <w:t>135</w:t>
      </w:r>
    </w:p>
    <w:p w:rsidR="00000000" w:rsidRDefault="00000000">
      <w:pPr>
        <w:spacing w:after="240" w:line="400" w:lineRule="exact"/>
        <w:ind w:firstLine="425"/>
        <w:rPr>
          <w:rFonts w:ascii="SimHei" w:eastAsia="SimHei"/>
        </w:rPr>
      </w:pPr>
      <w:r>
        <w:rPr>
          <w:rFonts w:ascii="SimHei" w:eastAsia="SimHei" w:hint="eastAsia"/>
        </w:rPr>
        <w:t>表</w:t>
      </w:r>
      <w:r>
        <w:rPr>
          <w:rFonts w:ascii="SimHei" w:eastAsia="SimHei"/>
        </w:rPr>
        <w:t>2</w:t>
      </w:r>
      <w:r>
        <w:rPr>
          <w:rFonts w:ascii="SimHei" w:eastAsia="SimHei" w:hint="eastAsia"/>
        </w:rPr>
        <w:t>：从心理病态方面说明过滤模式</w:t>
      </w:r>
    </w:p>
    <w:p w:rsidR="00000000" w:rsidRDefault="00000000">
      <w:pPr>
        <w:spacing w:after="240" w:line="400" w:lineRule="exact"/>
        <w:ind w:firstLine="425"/>
        <w:rPr>
          <w:sz w:val="18"/>
        </w:rPr>
      </w:pPr>
      <w:r>
        <w:rPr>
          <w:rFonts w:hint="eastAsia"/>
          <w:sz w:val="18"/>
        </w:rPr>
        <w:t>资料来源：</w:t>
      </w:r>
      <w:r>
        <w:rPr>
          <w:sz w:val="18"/>
        </w:rPr>
        <w:t>Van Limbeek, Wouters</w:t>
      </w:r>
      <w:r>
        <w:rPr>
          <w:rFonts w:hint="eastAsia"/>
          <w:sz w:val="18"/>
        </w:rPr>
        <w:t>（</w:t>
      </w:r>
      <w:r>
        <w:rPr>
          <w:sz w:val="18"/>
        </w:rPr>
        <w:t>1994</w:t>
      </w:r>
      <w:r>
        <w:rPr>
          <w:rFonts w:hint="eastAsia"/>
          <w:sz w:val="18"/>
        </w:rPr>
        <w:t>年）</w:t>
      </w:r>
    </w:p>
    <w:p w:rsidR="00000000" w:rsidRDefault="00000000">
      <w:pPr>
        <w:tabs>
          <w:tab w:val="left" w:pos="4560"/>
        </w:tabs>
        <w:spacing w:line="400" w:lineRule="exact"/>
        <w:ind w:firstLine="425"/>
      </w:pPr>
      <w:r>
        <w:rPr>
          <w:rFonts w:hint="eastAsia"/>
        </w:rPr>
        <w:t>妇女百分比</w:t>
      </w:r>
    </w:p>
    <w:p w:rsidR="00000000" w:rsidRDefault="00000000">
      <w:pPr>
        <w:tabs>
          <w:tab w:val="left" w:pos="4560"/>
        </w:tabs>
        <w:spacing w:line="400" w:lineRule="exact"/>
        <w:ind w:firstLine="425"/>
      </w:pPr>
      <w:r>
        <w:rPr>
          <w:rFonts w:hint="eastAsia"/>
        </w:rPr>
        <w:t>第</w:t>
      </w:r>
      <w:r>
        <w:t>1</w:t>
      </w:r>
      <w:r>
        <w:rPr>
          <w:rFonts w:hint="eastAsia"/>
        </w:rPr>
        <w:t>层：人口</w:t>
      </w:r>
      <w:r>
        <w:tab/>
        <w:t>52</w:t>
      </w:r>
    </w:p>
    <w:p w:rsidR="00000000" w:rsidRDefault="00000000">
      <w:pPr>
        <w:tabs>
          <w:tab w:val="left" w:pos="4560"/>
        </w:tabs>
        <w:spacing w:line="400" w:lineRule="exact"/>
        <w:ind w:firstLine="425"/>
      </w:pPr>
      <w:r>
        <w:rPr>
          <w:rFonts w:hint="eastAsia"/>
        </w:rPr>
        <w:t>过滤</w:t>
      </w:r>
      <w:r>
        <w:t>1</w:t>
      </w:r>
      <w:r>
        <w:rPr>
          <w:rFonts w:hint="eastAsia"/>
        </w:rPr>
        <w:t>：疾病表现</w:t>
      </w:r>
    </w:p>
    <w:p w:rsidR="00000000" w:rsidRDefault="00000000">
      <w:pPr>
        <w:tabs>
          <w:tab w:val="left" w:pos="4560"/>
        </w:tabs>
        <w:spacing w:line="400" w:lineRule="exact"/>
        <w:ind w:firstLine="425"/>
      </w:pPr>
      <w:r>
        <w:rPr>
          <w:rFonts w:hint="eastAsia"/>
        </w:rPr>
        <w:t>第</w:t>
      </w:r>
      <w:r>
        <w:t>2</w:t>
      </w:r>
      <w:r>
        <w:rPr>
          <w:rFonts w:hint="eastAsia"/>
        </w:rPr>
        <w:t>层：就诊普通医师的人</w:t>
      </w:r>
      <w:r>
        <w:tab/>
        <w:t>55</w:t>
      </w:r>
    </w:p>
    <w:p w:rsidR="00000000" w:rsidRDefault="00000000">
      <w:pPr>
        <w:tabs>
          <w:tab w:val="left" w:pos="4560"/>
        </w:tabs>
        <w:spacing w:line="400" w:lineRule="exact"/>
        <w:ind w:firstLine="425"/>
      </w:pPr>
      <w:r>
        <w:rPr>
          <w:rFonts w:hint="eastAsia"/>
        </w:rPr>
        <w:t>过滤</w:t>
      </w:r>
      <w:r>
        <w:t>2</w:t>
      </w:r>
      <w:r>
        <w:rPr>
          <w:rFonts w:hint="eastAsia"/>
        </w:rPr>
        <w:t>：确认</w:t>
      </w:r>
    </w:p>
    <w:p w:rsidR="00000000" w:rsidRDefault="00000000">
      <w:pPr>
        <w:tabs>
          <w:tab w:val="left" w:pos="4560"/>
        </w:tabs>
        <w:spacing w:line="400" w:lineRule="exact"/>
        <w:ind w:firstLine="425"/>
      </w:pPr>
      <w:r>
        <w:rPr>
          <w:rFonts w:hint="eastAsia"/>
        </w:rPr>
        <w:t>第</w:t>
      </w:r>
      <w:r>
        <w:t>3</w:t>
      </w:r>
      <w:r>
        <w:rPr>
          <w:rFonts w:hint="eastAsia"/>
        </w:rPr>
        <w:t>层：诊断的病人</w:t>
      </w:r>
      <w:r>
        <w:tab/>
        <w:t>61</w:t>
      </w:r>
    </w:p>
    <w:p w:rsidR="00000000" w:rsidRDefault="00000000">
      <w:pPr>
        <w:tabs>
          <w:tab w:val="left" w:pos="4560"/>
        </w:tabs>
        <w:spacing w:line="400" w:lineRule="exact"/>
        <w:ind w:firstLine="425"/>
      </w:pPr>
      <w:r>
        <w:rPr>
          <w:rFonts w:hint="eastAsia"/>
        </w:rPr>
        <w:t>过滤</w:t>
      </w:r>
      <w:r>
        <w:t>3</w:t>
      </w:r>
      <w:r>
        <w:rPr>
          <w:rFonts w:hint="eastAsia"/>
        </w:rPr>
        <w:t>：转诊</w:t>
      </w:r>
      <w:r>
        <w:t>/</w:t>
      </w:r>
      <w:r>
        <w:rPr>
          <w:rFonts w:hint="eastAsia"/>
        </w:rPr>
        <w:t>准许入院</w:t>
      </w:r>
    </w:p>
    <w:p w:rsidR="00000000" w:rsidRDefault="00000000">
      <w:pPr>
        <w:tabs>
          <w:tab w:val="left" w:pos="4560"/>
        </w:tabs>
        <w:spacing w:line="400" w:lineRule="exact"/>
        <w:ind w:firstLine="425"/>
      </w:pPr>
      <w:r>
        <w:rPr>
          <w:rFonts w:hint="eastAsia"/>
        </w:rPr>
        <w:t>第</w:t>
      </w:r>
      <w:r>
        <w:t>4</w:t>
      </w:r>
      <w:r>
        <w:rPr>
          <w:rFonts w:hint="eastAsia"/>
        </w:rPr>
        <w:t>层：门诊精神保健</w:t>
      </w:r>
      <w:r>
        <w:tab/>
        <w:t>56</w:t>
      </w:r>
    </w:p>
    <w:p w:rsidR="00000000" w:rsidRDefault="00000000">
      <w:pPr>
        <w:tabs>
          <w:tab w:val="left" w:pos="4560"/>
        </w:tabs>
        <w:spacing w:line="400" w:lineRule="exact"/>
        <w:ind w:firstLine="425"/>
      </w:pPr>
      <w:r>
        <w:rPr>
          <w:rFonts w:hint="eastAsia"/>
        </w:rPr>
        <w:t>过滤</w:t>
      </w:r>
      <w:r>
        <w:t>4</w:t>
      </w:r>
      <w:r>
        <w:rPr>
          <w:rFonts w:hint="eastAsia"/>
        </w:rPr>
        <w:t>：准许入院</w:t>
      </w:r>
    </w:p>
    <w:p w:rsidR="00000000" w:rsidRDefault="00000000">
      <w:pPr>
        <w:tabs>
          <w:tab w:val="left" w:pos="4560"/>
        </w:tabs>
        <w:spacing w:line="400" w:lineRule="exact"/>
        <w:ind w:firstLine="425"/>
      </w:pPr>
      <w:r>
        <w:rPr>
          <w:rFonts w:hint="eastAsia"/>
        </w:rPr>
        <w:t>第</w:t>
      </w:r>
      <w:r>
        <w:t>5</w:t>
      </w:r>
      <w:r>
        <w:rPr>
          <w:rFonts w:hint="eastAsia"/>
        </w:rPr>
        <w:t>层：精神保健机构的慈善护理</w:t>
      </w:r>
      <w:r>
        <w:tab/>
        <w:t>55</w:t>
      </w:r>
    </w:p>
    <w:p w:rsidR="00000000" w:rsidRDefault="00000000">
      <w:pPr>
        <w:tabs>
          <w:tab w:val="left" w:pos="4560"/>
        </w:tabs>
        <w:spacing w:line="400" w:lineRule="exact"/>
        <w:ind w:firstLine="425"/>
      </w:pPr>
    </w:p>
    <w:p w:rsidR="00000000" w:rsidRDefault="00000000">
      <w:pPr>
        <w:spacing w:after="240" w:line="400" w:lineRule="exact"/>
        <w:ind w:firstLine="425"/>
      </w:pPr>
      <w:r>
        <w:rPr>
          <w:rFonts w:hint="eastAsia"/>
        </w:rPr>
        <w:t>在精神病医院的病人中人们看到某些与性别有关的明显差别。入院时妇女平均年龄更高而且常常有自己的家庭并有较好的社会关系。另外对女患者来说其他问题占重要位置（神经关能症、情感性精神病），以及就所知情况而言所遭受的性虐待时常起作用。而男患者中某些被尖刻描绘的群体几乎都没有女性伙伴：年龄精神分裂症患者、有吸毒问题者以及来自司法界的病人。女患者中</w:t>
      </w:r>
      <w:r>
        <w:t>25</w:t>
      </w:r>
      <w:r>
        <w:rPr>
          <w:rFonts w:hint="eastAsia"/>
        </w:rPr>
        <w:t>至</w:t>
      </w:r>
      <w:r>
        <w:t>45</w:t>
      </w:r>
      <w:r>
        <w:rPr>
          <w:rFonts w:hint="eastAsia"/>
        </w:rPr>
        <w:t>岁的较少；但实际上她们被发现在为不太严重问题提供的短期保健设施中，如综合医院的精神科和康复院。可能这种类型的帮助更加适合她们的问题及家庭环境，因为很难把照管孩子和远离家庭的长期治疗结合起来。</w:t>
      </w:r>
    </w:p>
    <w:p w:rsidR="00000000" w:rsidRDefault="00000000">
      <w:pPr>
        <w:spacing w:after="240" w:line="400" w:lineRule="exact"/>
        <w:ind w:firstLine="425"/>
      </w:pPr>
      <w:r>
        <w:rPr>
          <w:rFonts w:hint="eastAsia"/>
        </w:rPr>
        <w:t>无论是在门诊和病房护理中妇女的问题都常常被看成是一种依赖性和缺少自我力量。治疗通常是为了促进自信并加强社会技能（自制，自立）。对男子鼓励表露感情并独立处理问题。安排每天的节目反响出传统的劳动分工。区域心理福利机构向妇女提供了广泛的护理。在精神病医院护理是有限的。针对性别的治疗部分地集中于处理性创伤。几乎不存在向男性提供有关性别的帮助。</w:t>
      </w:r>
    </w:p>
    <w:p w:rsidR="00000000" w:rsidRDefault="00000000">
      <w:pPr>
        <w:spacing w:after="240" w:line="400" w:lineRule="exact"/>
        <w:rPr>
          <w:rFonts w:ascii="楷体" w:eastAsia="楷体"/>
        </w:rPr>
      </w:pPr>
      <w:r>
        <w:rPr>
          <w:rFonts w:ascii="楷体" w:eastAsia="楷体" w:hint="eastAsia"/>
        </w:rPr>
        <w:t>以病人为中心</w:t>
      </w:r>
    </w:p>
    <w:p w:rsidR="00000000" w:rsidRDefault="00000000">
      <w:pPr>
        <w:spacing w:after="240" w:line="400" w:lineRule="exact"/>
        <w:ind w:firstLine="425"/>
      </w:pPr>
      <w:r>
        <w:rPr>
          <w:rFonts w:hint="eastAsia"/>
        </w:rPr>
        <w:t>并不是在区域心理福利机构服务的调查研究中所有重要问题都是按性别加以区分的。区域心理福利机构的病人一般对他们如何作为个人被治疗以及对与治疗专家的关系比较满意，但对提供信息不太积极。</w:t>
      </w:r>
      <w:r>
        <w:rPr>
          <w:rStyle w:val="FootnoteReference"/>
        </w:rPr>
        <w:footnoteReference w:customMarkFollows="1" w:id="181"/>
        <w:t>136</w:t>
      </w:r>
      <w:r>
        <w:rPr>
          <w:rFonts w:hint="eastAsia"/>
        </w:rPr>
        <w:t>一般来说年轻妇女和已婚妇女比单身老年妇女对得到的帮助更为满意。后一群体经常得到一种不同的花费时间比她们要求的要少的治疗。</w:t>
      </w:r>
      <w:r>
        <w:rPr>
          <w:rStyle w:val="FootnoteReference"/>
        </w:rPr>
        <w:footnoteReference w:customMarkFollows="1" w:id="182"/>
        <w:t>137</w:t>
      </w:r>
      <w:r>
        <w:rPr>
          <w:rFonts w:hint="eastAsia"/>
        </w:rPr>
        <w:t>我们无法发现是否经常就他们喜欢男性或女性治疗专家征求病人意见以及是否能按要求做出安排。大约一半的妇女和三分之一的男子有性别选择，通常喜欢女性治疗专家。</w:t>
      </w:r>
    </w:p>
    <w:p w:rsidR="00000000" w:rsidRDefault="00000000">
      <w:pPr>
        <w:spacing w:after="240" w:line="400" w:lineRule="exact"/>
        <w:ind w:firstLine="425"/>
      </w:pPr>
      <w:r>
        <w:rPr>
          <w:rFonts w:hint="eastAsia"/>
        </w:rPr>
        <w:t>关于综合精神病医院的治疗，出现了考虑到她们的问题与背景中与性别有关的差别‘综合性’服务是否真正满足妇女和男子的具体需要的问题。一个针对性别的护理实验表明参与的病人（有男有女）对治疗产生更大的影响，因此更为满意。</w:t>
      </w:r>
      <w:r>
        <w:rPr>
          <w:rStyle w:val="FootnoteReference"/>
        </w:rPr>
        <w:footnoteReference w:customMarkFollows="1" w:id="183"/>
        <w:t>138</w:t>
      </w:r>
      <w:r>
        <w:rPr>
          <w:rFonts w:hint="eastAsia"/>
        </w:rPr>
        <w:t>总的说来精神病女患者体验到缺少关注、帮助和个人会见。此外，与男病友的交往通常会遇到问题；身体和性恫吓并非罕见。</w:t>
      </w:r>
      <w:r>
        <w:rPr>
          <w:rStyle w:val="FootnoteReference"/>
        </w:rPr>
        <w:footnoteReference w:customMarkFollows="1" w:id="184"/>
        <w:t>139</w:t>
      </w:r>
      <w:r>
        <w:rPr>
          <w:rFonts w:hint="eastAsia"/>
        </w:rPr>
        <w:t>女同性恋病人也体验了不安全的集体气氛并认为治疗专家并不总是尽心尽力地改善病房中的人际气氛并鼓励积极的人际交往方式。</w:t>
      </w:r>
      <w:r>
        <w:rPr>
          <w:rStyle w:val="FootnoteReference"/>
        </w:rPr>
        <w:footnoteReference w:customMarkFollows="1" w:id="185"/>
        <w:t>140</w:t>
      </w:r>
      <w:r>
        <w:rPr>
          <w:rFonts w:hint="eastAsia"/>
        </w:rPr>
        <w:t>我们尚不知病友造成的性虐待的确切程度。这是一个需要进一步研究并需要治疗专家给予更多注意的领域。</w:t>
      </w:r>
    </w:p>
    <w:p w:rsidR="00000000" w:rsidRDefault="00000000">
      <w:pPr>
        <w:spacing w:after="240" w:line="400" w:lineRule="exact"/>
        <w:rPr>
          <w:rFonts w:ascii="SimHei" w:eastAsia="SimHei"/>
          <w:sz w:val="28"/>
        </w:rPr>
      </w:pPr>
      <w:r>
        <w:br w:type="page"/>
      </w:r>
      <w:r>
        <w:rPr>
          <w:rFonts w:ascii="SimHei" w:eastAsia="SimHei"/>
          <w:sz w:val="28"/>
        </w:rPr>
        <w:t xml:space="preserve">6.  </w:t>
      </w:r>
      <w:r>
        <w:rPr>
          <w:rFonts w:ascii="SimHei" w:eastAsia="SimHei" w:hint="eastAsia"/>
          <w:sz w:val="28"/>
        </w:rPr>
        <w:t>一些主题</w:t>
      </w:r>
    </w:p>
    <w:p w:rsidR="00000000" w:rsidRDefault="00000000">
      <w:pPr>
        <w:spacing w:after="240" w:line="400" w:lineRule="exact"/>
        <w:rPr>
          <w:rFonts w:ascii="SimHei" w:eastAsia="SimHei"/>
          <w:sz w:val="24"/>
        </w:rPr>
      </w:pPr>
      <w:r>
        <w:rPr>
          <w:rFonts w:ascii="SimHei" w:eastAsia="SimHei"/>
          <w:sz w:val="24"/>
        </w:rPr>
        <w:t xml:space="preserve">6.1  </w:t>
      </w:r>
      <w:r>
        <w:rPr>
          <w:rFonts w:ascii="SimHei" w:eastAsia="SimHei" w:hint="eastAsia"/>
          <w:sz w:val="24"/>
        </w:rPr>
        <w:t>预防和消除性虐待</w:t>
      </w:r>
    </w:p>
    <w:p w:rsidR="00000000" w:rsidRDefault="00000000">
      <w:pPr>
        <w:spacing w:after="240" w:line="400" w:lineRule="exact"/>
        <w:ind w:firstLine="425"/>
      </w:pPr>
      <w:r>
        <w:t>1992</w:t>
      </w:r>
      <w:r>
        <w:rPr>
          <w:rFonts w:hint="eastAsia"/>
        </w:rPr>
        <w:t>年荷兰提交给消除对妇女歧视委员会的第一次报告未把性虐待和它对妇女健康的影响联系起来。与此同时研究表明许多健康疾病可追溯到性虐待（或性虐待史）。</w:t>
      </w:r>
      <w:r>
        <w:rPr>
          <w:rStyle w:val="FootnoteReference"/>
        </w:rPr>
        <w:footnoteReference w:customMarkFollows="1" w:id="186"/>
        <w:t>141</w:t>
      </w:r>
    </w:p>
    <w:p w:rsidR="00000000" w:rsidRDefault="00000000">
      <w:pPr>
        <w:spacing w:after="240" w:line="400" w:lineRule="exact"/>
        <w:ind w:firstLine="425"/>
      </w:pPr>
      <w:r>
        <w:rPr>
          <w:rFonts w:hint="eastAsia"/>
        </w:rPr>
        <w:t>从</w:t>
      </w:r>
      <w:r>
        <w:t>1991</w:t>
      </w:r>
      <w:r>
        <w:rPr>
          <w:rFonts w:hint="eastAsia"/>
        </w:rPr>
        <w:t>年以来促进和保护妇女与女孩健康、包括预防和消除性虐待一直是政府政策的一部分。</w:t>
      </w:r>
      <w:r>
        <w:rPr>
          <w:rStyle w:val="FootnoteReference"/>
        </w:rPr>
        <w:footnoteReference w:customMarkFollows="1" w:id="187"/>
        <w:t>142</w:t>
      </w:r>
      <w:r>
        <w:t>1992</w:t>
      </w:r>
      <w:r>
        <w:rPr>
          <w:rFonts w:hint="eastAsia"/>
        </w:rPr>
        <w:t>年的政府报告已详细论述了这项政策，因此本摘要就不再详细研究它。</w:t>
      </w:r>
      <w:r>
        <w:t>1996</w:t>
      </w:r>
      <w:r>
        <w:rPr>
          <w:rFonts w:hint="eastAsia"/>
        </w:rPr>
        <w:t>年的解放政策的政策文件宣布将探索预防和消除性虐待的新奖励办法。</w:t>
      </w:r>
      <w:r>
        <w:rPr>
          <w:rStyle w:val="FootnoteReference"/>
        </w:rPr>
        <w:footnoteReference w:customMarkFollows="1" w:id="188"/>
        <w:t>143</w:t>
      </w:r>
    </w:p>
    <w:p w:rsidR="00000000" w:rsidRDefault="00000000">
      <w:pPr>
        <w:spacing w:after="240" w:line="400" w:lineRule="exact"/>
        <w:ind w:firstLine="425"/>
      </w:pPr>
      <w:r>
        <w:rPr>
          <w:rFonts w:hint="eastAsia"/>
        </w:rPr>
        <w:t>考虑到《妇女公约》第</w:t>
      </w:r>
      <w:r>
        <w:t>12</w:t>
      </w:r>
      <w:r>
        <w:rPr>
          <w:rFonts w:hint="eastAsia"/>
        </w:rPr>
        <w:t>条所载要求，有效预防和消除性虐待需要妇女在保健领域内外，在公共和私人领域都有强有力的法律地位。《妇女公约》第</w:t>
      </w:r>
      <w:r>
        <w:t>12</w:t>
      </w:r>
      <w:r>
        <w:rPr>
          <w:rFonts w:hint="eastAsia"/>
        </w:rPr>
        <w:t>条提出的另一项要求是妥善保护受性虐待的妇女。在这方面荷兰的立法政策显示出一些问题，我们列举其中一些如下：</w:t>
      </w:r>
    </w:p>
    <w:p w:rsidR="00000000" w:rsidRDefault="00000000">
      <w:pPr>
        <w:numPr>
          <w:ilvl w:val="0"/>
          <w:numId w:val="14"/>
        </w:numPr>
        <w:spacing w:after="240" w:line="400" w:lineRule="exact"/>
        <w:ind w:firstLine="425"/>
      </w:pPr>
      <w:r>
        <w:rPr>
          <w:rFonts w:hint="eastAsia"/>
        </w:rPr>
        <w:t>修改道德法规的工作停止了，因此仅部分得到改写。对妇女来说特别重要的是取消强奸和猥亵的区别，并同时改变处罚。</w:t>
      </w:r>
      <w:r>
        <w:rPr>
          <w:rStyle w:val="FootnoteReference"/>
        </w:rPr>
        <w:footnoteReference w:customMarkFollows="1" w:id="189"/>
        <w:t>144</w:t>
      </w:r>
    </w:p>
    <w:p w:rsidR="00000000" w:rsidRDefault="00000000">
      <w:pPr>
        <w:numPr>
          <w:ilvl w:val="0"/>
          <w:numId w:val="14"/>
        </w:numPr>
        <w:spacing w:after="240" w:line="400" w:lineRule="exact"/>
        <w:ind w:firstLine="425"/>
      </w:pPr>
      <w:r>
        <w:rPr>
          <w:rFonts w:hint="eastAsia"/>
        </w:rPr>
        <w:t>刑法和刑事诉讼法为增加妇女反对性虐待的可能性提供了有限的机会。</w:t>
      </w:r>
      <w:r>
        <w:rPr>
          <w:rStyle w:val="FootnoteReference"/>
        </w:rPr>
        <w:footnoteReference w:customMarkFollows="1" w:id="190"/>
        <w:t>145</w:t>
      </w:r>
    </w:p>
    <w:p w:rsidR="00000000" w:rsidRDefault="00000000">
      <w:pPr>
        <w:numPr>
          <w:ilvl w:val="0"/>
          <w:numId w:val="14"/>
        </w:numPr>
        <w:spacing w:after="240" w:line="400" w:lineRule="exact"/>
        <w:ind w:firstLine="425"/>
      </w:pPr>
      <w:r>
        <w:rPr>
          <w:rFonts w:hint="eastAsia"/>
        </w:rPr>
        <w:t>民法为加强妇女自卫力量提供了更多机会。其中主要的是一项临时禁令诉讼，根据该禁令可要求实施街道取缔。</w:t>
      </w:r>
      <w:r>
        <w:rPr>
          <w:rStyle w:val="FootnoteReference"/>
        </w:rPr>
        <w:footnoteReference w:customMarkFollows="1" w:id="191"/>
        <w:t>146</w:t>
      </w:r>
      <w:r>
        <w:rPr>
          <w:rFonts w:hint="eastAsia"/>
        </w:rPr>
        <w:t>进一步减少这类诉讼的障碍是可取的。在</w:t>
      </w:r>
      <w:r>
        <w:t>1993</w:t>
      </w:r>
      <w:r>
        <w:rPr>
          <w:rFonts w:hint="eastAsia"/>
        </w:rPr>
        <w:t>年</w:t>
      </w:r>
      <w:r>
        <w:t>1</w:t>
      </w:r>
      <w:r>
        <w:rPr>
          <w:rFonts w:hint="eastAsia"/>
        </w:rPr>
        <w:t>月</w:t>
      </w:r>
      <w:r>
        <w:t>1</w:t>
      </w:r>
      <w:r>
        <w:rPr>
          <w:rFonts w:hint="eastAsia"/>
        </w:rPr>
        <w:t>日基于非法行为理由进行民事诉讼的期限从</w:t>
      </w:r>
      <w:r>
        <w:t>30</w:t>
      </w:r>
      <w:r>
        <w:rPr>
          <w:rFonts w:hint="eastAsia"/>
        </w:rPr>
        <w:t>年减少到</w:t>
      </w:r>
      <w:r>
        <w:t>5</w:t>
      </w:r>
      <w:r>
        <w:rPr>
          <w:rFonts w:hint="eastAsia"/>
        </w:rPr>
        <w:t>年。这意味着对遭受性虐待的妇女和女孩的一种严重挫折。</w:t>
      </w:r>
    </w:p>
    <w:p w:rsidR="00000000" w:rsidRDefault="00000000">
      <w:pPr>
        <w:numPr>
          <w:ilvl w:val="0"/>
          <w:numId w:val="14"/>
        </w:numPr>
        <w:spacing w:after="240" w:line="400" w:lineRule="exact"/>
        <w:ind w:firstLine="425"/>
      </w:pPr>
      <w:r>
        <w:rPr>
          <w:rFonts w:hint="eastAsia"/>
        </w:rPr>
        <w:t>取缔妓院。消除对妇女歧视委员会第</w:t>
      </w:r>
      <w:r>
        <w:t>19</w:t>
      </w:r>
      <w:r>
        <w:rPr>
          <w:rFonts w:hint="eastAsia"/>
        </w:rPr>
        <w:t>号一般性建议把《妇女公约》第</w:t>
      </w:r>
      <w:r>
        <w:t>6</w:t>
      </w:r>
      <w:r>
        <w:rPr>
          <w:rFonts w:hint="eastAsia"/>
        </w:rPr>
        <w:t>号和对妇女的暴力，特别是‘对妇女的暴力和性骚扰以对妇女的剥削’直接联系起来。作为实施《妇女公约》第</w:t>
      </w:r>
      <w:r>
        <w:t>6</w:t>
      </w:r>
      <w:r>
        <w:rPr>
          <w:rFonts w:hint="eastAsia"/>
        </w:rPr>
        <w:t>条和第</w:t>
      </w:r>
      <w:r>
        <w:t>19</w:t>
      </w:r>
      <w:r>
        <w:rPr>
          <w:rFonts w:hint="eastAsia"/>
        </w:rPr>
        <w:t>号一般性建议的一部分，可能明智的作法是使卖淫合法化并由独立专家对其运作给予支持。</w:t>
      </w:r>
      <w:r>
        <w:rPr>
          <w:rStyle w:val="FootnoteReference"/>
        </w:rPr>
        <w:footnoteReference w:customMarkFollows="1" w:id="192"/>
        <w:t>147</w:t>
      </w:r>
    </w:p>
    <w:p w:rsidR="00000000" w:rsidRDefault="00000000">
      <w:pPr>
        <w:numPr>
          <w:ilvl w:val="0"/>
          <w:numId w:val="14"/>
        </w:numPr>
        <w:spacing w:after="240" w:line="400" w:lineRule="exact"/>
        <w:ind w:firstLine="425"/>
      </w:pPr>
      <w:r>
        <w:rPr>
          <w:rFonts w:hint="eastAsia"/>
        </w:rPr>
        <w:t>生活在荷兰的妇女移民和外国人。有受扶养人居住身份的移民妇女的地位（和法律地位）和生活在荷兰的非法外国妇女的地位（和法律地位）应受到更多关注。在</w:t>
      </w:r>
      <w:r>
        <w:t>1992</w:t>
      </w:r>
      <w:r>
        <w:rPr>
          <w:rFonts w:hint="eastAsia"/>
        </w:rPr>
        <w:t>年公布了荷兰提交给消除对妇女歧视委员会的报告之后，这些妇女群体的状况在几方面都恶化了。</w:t>
      </w:r>
      <w:r>
        <w:rPr>
          <w:rStyle w:val="FootnoteReference"/>
        </w:rPr>
        <w:footnoteReference w:customMarkFollows="1" w:id="193"/>
        <w:t>148</w:t>
      </w:r>
      <w:r>
        <w:rPr>
          <w:rFonts w:hint="eastAsia"/>
        </w:rPr>
        <w:t>这特别涉及到对性虐待受害者的保护。目前正在编写的《联系法》</w:t>
      </w:r>
      <w:r>
        <w:rPr>
          <w:rStyle w:val="FootnoteReference"/>
        </w:rPr>
        <w:footnoteReference w:customMarkFollows="1" w:id="194"/>
        <w:t>149</w:t>
      </w:r>
      <w:r>
        <w:t xml:space="preserve"> </w:t>
      </w:r>
      <w:r>
        <w:rPr>
          <w:rFonts w:hint="eastAsia"/>
        </w:rPr>
        <w:t>甚至试图不允许妇女在受到性虐待时接受保护，如果她没有有效临时居住权或者她正受到威胁一旦离开她的‘丈夫’将失去她的地位。</w:t>
      </w:r>
      <w:r>
        <w:rPr>
          <w:rStyle w:val="FootnoteReference"/>
        </w:rPr>
        <w:footnoteReference w:customMarkFollows="1" w:id="195"/>
        <w:t>150</w:t>
      </w:r>
      <w:r>
        <w:rPr>
          <w:rFonts w:hint="eastAsia"/>
        </w:rPr>
        <w:t>这种剥夺是与《妇女公约》和消除对妇女歧视委员会的一般性建议的目标相矛盾的。</w:t>
      </w:r>
      <w:r>
        <w:rPr>
          <w:rStyle w:val="FootnoteReference"/>
        </w:rPr>
        <w:footnoteReference w:customMarkFollows="1" w:id="196"/>
        <w:t>151</w:t>
      </w:r>
      <w:r>
        <w:rPr>
          <w:rFonts w:hint="eastAsia"/>
        </w:rPr>
        <w:t>该公约缔约国有义务努力获得关于她们祖国妇女状况的信息。目前正在拟订的法律提案将构成威胁，把相当大群体的妇女和女孩交还给她们残暴的配偶和（或）家庭成员。</w:t>
      </w:r>
    </w:p>
    <w:p w:rsidR="00000000" w:rsidRDefault="00000000">
      <w:pPr>
        <w:numPr>
          <w:ilvl w:val="0"/>
          <w:numId w:val="14"/>
        </w:numPr>
        <w:spacing w:after="240" w:line="400" w:lineRule="exact"/>
        <w:ind w:firstLine="425"/>
      </w:pPr>
      <w:r>
        <w:rPr>
          <w:rFonts w:hint="eastAsia"/>
        </w:rPr>
        <w:t>荷兰提交给消除对妇女歧视委员会的第一次报告载有加强对性虐待受害者帮助和保护的决议。</w:t>
      </w:r>
      <w:r>
        <w:rPr>
          <w:rStyle w:val="FootnoteReference"/>
        </w:rPr>
        <w:footnoteReference w:customMarkFollows="1" w:id="197"/>
        <w:t>152</w:t>
      </w:r>
    </w:p>
    <w:p w:rsidR="00000000" w:rsidRDefault="00000000">
      <w:pPr>
        <w:spacing w:after="240" w:line="400" w:lineRule="exact"/>
        <w:ind w:firstLine="425"/>
      </w:pPr>
      <w:r>
        <w:rPr>
          <w:rFonts w:hint="eastAsia"/>
        </w:rPr>
        <w:t>到目前为止刑法领域的变化主要为了能够对性暴力犯罪的罪犯进行起诉。法规中的一些变化专门为了能更好地保护妇女和女孩免受性虐待。处理保护受害者的立法政策还不总是能与这些变化保持一致。受害者的状况在某些次级领域得到改善：他们的诉讼地位，证据的提供和用于受害者的经费。但是仍然缺少的是对受害者的全面政策。</w:t>
      </w:r>
    </w:p>
    <w:p w:rsidR="00000000" w:rsidRDefault="00000000">
      <w:pPr>
        <w:spacing w:after="240" w:line="400" w:lineRule="exact"/>
        <w:ind w:firstLine="425"/>
      </w:pPr>
      <w:r>
        <w:rPr>
          <w:rFonts w:hint="eastAsia"/>
        </w:rPr>
        <w:t>截至目前这一领域的健康政策主要致力于提高提供帮助者的意识以及使给予受害者的帮助成为标准保健的一部分。迄今为止尚未充分建立受害者的刑事政策和有关健康的政策之间关系的思想看法。</w:t>
      </w:r>
    </w:p>
    <w:p w:rsidR="00000000" w:rsidRDefault="00000000">
      <w:pPr>
        <w:spacing w:after="240" w:line="400" w:lineRule="exact"/>
        <w:ind w:firstLine="425"/>
      </w:pPr>
      <w:r>
        <w:rPr>
          <w:rFonts w:hint="eastAsia"/>
        </w:rPr>
        <w:t>当然也成为问题的一点是区域心理福利机构是严重心理障碍领域的全国性专门机构。因此在初级保健和二级保健之间出现阻塞，在荷兰未婚母亲及其子女中心联合会出现成堆的问题，该联合会无力处理这么多数量。</w:t>
      </w:r>
      <w:r>
        <w:rPr>
          <w:rStyle w:val="FootnoteReference"/>
        </w:rPr>
        <w:footnoteReference w:customMarkFollows="1" w:id="198"/>
        <w:t>153</w:t>
      </w:r>
    </w:p>
    <w:p w:rsidR="00000000" w:rsidRDefault="00000000">
      <w:pPr>
        <w:spacing w:after="240" w:line="400" w:lineRule="exact"/>
        <w:rPr>
          <w:rFonts w:ascii="SimHei" w:eastAsia="SimHei"/>
          <w:sz w:val="24"/>
        </w:rPr>
      </w:pPr>
      <w:r>
        <w:rPr>
          <w:rFonts w:ascii="SimHei" w:eastAsia="SimHei"/>
          <w:sz w:val="24"/>
        </w:rPr>
        <w:t xml:space="preserve">6.2  </w:t>
      </w:r>
      <w:r>
        <w:rPr>
          <w:rFonts w:ascii="SimHei" w:eastAsia="SimHei" w:hint="eastAsia"/>
          <w:sz w:val="24"/>
        </w:rPr>
        <w:t>保健的财政指导</w:t>
      </w:r>
    </w:p>
    <w:p w:rsidR="00000000" w:rsidRDefault="00000000">
      <w:pPr>
        <w:spacing w:after="240" w:line="400" w:lineRule="exact"/>
        <w:ind w:firstLine="425"/>
      </w:pPr>
      <w:r>
        <w:rPr>
          <w:rFonts w:hint="eastAsia"/>
        </w:rPr>
        <w:t>在论述保健时成本控制问题正变得越来越重要。如果没有政府的干预，保健就有可能变得无法担负得起，这会对其总的可利用性产生深远的影响。总之负担保健费用的可能性也应包括在可利用性范围内。</w:t>
      </w:r>
    </w:p>
    <w:p w:rsidR="00000000" w:rsidRDefault="00000000">
      <w:pPr>
        <w:spacing w:after="240" w:line="400" w:lineRule="exact"/>
        <w:ind w:firstLine="425"/>
      </w:pPr>
      <w:r>
        <w:rPr>
          <w:rFonts w:hint="eastAsia"/>
        </w:rPr>
        <w:t>政府正在为尽可能公平地分配稀有的商品保健制订政策。这项政策包括成本控制，它涉及诸如增加薪金、价格和补贴以及减少对保健的需求等事项。</w:t>
      </w:r>
      <w:r>
        <w:rPr>
          <w:rStyle w:val="FootnoteReference"/>
        </w:rPr>
        <w:footnoteReference w:customMarkFollows="1" w:id="199"/>
        <w:t>154</w:t>
      </w:r>
      <w:r>
        <w:rPr>
          <w:rFonts w:hint="eastAsia"/>
        </w:rPr>
        <w:t>政府指导这项政策的重要手段是提供或不提供补贴。在这个选择的领域就近年来政府如何利用涉及补贴的政策工具来更接近实现《妇女公约》所包含的保健领域的目标进行了一次研究。这项研究限于对卫生、福利和体育部的预算和社会和就业部的部分预算，即与性虐待有关的部分进行调查。这些部的附带补贴和其他部如教育、科学和文化事务部以及司法部的补贴不在考虑之列。</w:t>
      </w:r>
    </w:p>
    <w:p w:rsidR="00000000" w:rsidRDefault="00000000">
      <w:pPr>
        <w:spacing w:after="240" w:line="400" w:lineRule="exact"/>
        <w:ind w:firstLine="425"/>
      </w:pPr>
      <w:r>
        <w:rPr>
          <w:rFonts w:hint="eastAsia"/>
        </w:rPr>
        <w:t>调查的内容是用以发放或不发放补贴的标准，由谁来负责提出向妇女提供保健补贴的适用标准。实现妇女权利的目标或促进妇女平等权利是否被看成是提供政府补贴的一项条件？</w:t>
      </w:r>
    </w:p>
    <w:p w:rsidR="00000000" w:rsidRDefault="00000000">
      <w:pPr>
        <w:spacing w:after="240" w:line="400" w:lineRule="exact"/>
        <w:ind w:firstLine="425"/>
      </w:pPr>
      <w:r>
        <w:rPr>
          <w:rFonts w:hint="eastAsia"/>
        </w:rPr>
        <w:t>在调查了卫生、福利和体育部和社会和就业部几年的预算及有关这些预算的评语之后，仍无法发现所运用的标准。我们也不能询问各专业部门的公务员如何弥补这种含糊不清。我们所询问的人都无法正确指出补贴标准是如何提出的、哪些人参与了这项工作，更不用提指出是否与提供保健的机构的代表或与为女患者</w:t>
      </w:r>
      <w:r>
        <w:t>/</w:t>
      </w:r>
      <w:r>
        <w:rPr>
          <w:rFonts w:hint="eastAsia"/>
        </w:rPr>
        <w:t>客户利益服务的机构的代理人经常接触了。</w:t>
      </w:r>
    </w:p>
    <w:p w:rsidR="00000000" w:rsidRDefault="00000000">
      <w:pPr>
        <w:spacing w:after="240" w:line="400" w:lineRule="exact"/>
        <w:ind w:firstLine="425"/>
      </w:pPr>
      <w:r>
        <w:rPr>
          <w:rFonts w:hint="eastAsia"/>
        </w:rPr>
        <w:t>但从这个调查中也不能得出政府在提供补贴的范围内采用了所谓的‘自上而下’的办法的结论。从我们的接触中得出一种印象，即补贴的标准通常是在与潜在的补贴提供者的磋商中产生的。这就造成了补贴标准有时归因于未来的补贴接受者的想法。</w:t>
      </w:r>
    </w:p>
    <w:p w:rsidR="00000000" w:rsidRDefault="00000000">
      <w:pPr>
        <w:spacing w:after="240" w:line="400" w:lineRule="exact"/>
        <w:ind w:firstLine="425"/>
      </w:pPr>
      <w:r>
        <w:rPr>
          <w:rFonts w:hint="eastAsia"/>
        </w:rPr>
        <w:t>还有项目管理者可以登记要求补贴的情况，这就难以预料补贴的前景。这种程序为项目管理人员之间的竞争和平等机会提供了有效的保障。另一方面，在这种情况下除非与潜在管理者进行了初步商讨，否则政府并不知道项目管理者是否将登记，而且也许更重要的是建议是否真正适合受益群体成员的需要和愿望。</w:t>
      </w:r>
    </w:p>
    <w:p w:rsidR="00000000" w:rsidRDefault="00000000">
      <w:pPr>
        <w:spacing w:after="240" w:line="400" w:lineRule="exact"/>
        <w:ind w:firstLine="425"/>
      </w:pPr>
      <w:r>
        <w:rPr>
          <w:rFonts w:hint="eastAsia"/>
        </w:rPr>
        <w:t>从</w:t>
      </w:r>
      <w:r>
        <w:t>1990</w:t>
      </w:r>
      <w:r>
        <w:rPr>
          <w:rFonts w:hint="eastAsia"/>
        </w:rPr>
        <w:t>年代的预算文件来看，制定政府的补贴政策是不可能的，更不用说对照《妇女公约》的要求进行分析和评估了。特别是对供求是否适合缺乏深入了解。所涉及的政府补贴是为了支持和加强妇女保健的可利用性。政府补贴的项目在多大程度上满足妇女的需要和《妇女公约》中所包含的平等、不歧视和最低权利要求尚不清楚。</w:t>
      </w:r>
    </w:p>
    <w:p w:rsidR="00000000" w:rsidRDefault="00000000">
      <w:pPr>
        <w:spacing w:after="240" w:line="400" w:lineRule="exact"/>
        <w:ind w:firstLine="425"/>
      </w:pPr>
      <w:r>
        <w:rPr>
          <w:rFonts w:hint="eastAsia"/>
        </w:rPr>
        <w:t>鉴于各种不同预算项目之间和内部的差别以及缺少对补贴标准的深入了解，可惜的是无法确定政府执行的补贴政策在多大程度上可被看成是一种指导手段。在审查了预算各章并会见了相关公务人员之后，由于缺少信息，仍无法确定《妇女公约》是否可视为提出补贴标准的一种手段。</w:t>
      </w:r>
    </w:p>
    <w:p w:rsidR="00000000" w:rsidRDefault="00000000">
      <w:pPr>
        <w:spacing w:after="240" w:line="400" w:lineRule="exact"/>
        <w:rPr>
          <w:rFonts w:ascii="SimHei" w:eastAsia="SimHei"/>
          <w:sz w:val="28"/>
        </w:rPr>
      </w:pPr>
      <w:r>
        <w:br w:type="page"/>
      </w:r>
      <w:r>
        <w:rPr>
          <w:rFonts w:ascii="SimHei" w:eastAsia="SimHei"/>
          <w:sz w:val="28"/>
        </w:rPr>
        <w:t xml:space="preserve">7.  </w:t>
      </w:r>
      <w:r>
        <w:rPr>
          <w:rFonts w:ascii="SimHei" w:eastAsia="SimHei" w:hint="eastAsia"/>
          <w:sz w:val="28"/>
        </w:rPr>
        <w:t>结论和建议</w:t>
      </w:r>
    </w:p>
    <w:p w:rsidR="00000000" w:rsidRDefault="00000000">
      <w:pPr>
        <w:spacing w:after="240" w:line="400" w:lineRule="exact"/>
        <w:rPr>
          <w:rFonts w:ascii="SimHei" w:eastAsia="SimHei"/>
          <w:sz w:val="24"/>
        </w:rPr>
      </w:pPr>
      <w:r>
        <w:rPr>
          <w:rFonts w:ascii="SimHei" w:eastAsia="SimHei"/>
          <w:sz w:val="24"/>
        </w:rPr>
        <w:t xml:space="preserve">7.1  </w:t>
      </w:r>
      <w:r>
        <w:rPr>
          <w:rFonts w:ascii="SimHei" w:eastAsia="SimHei" w:hint="eastAsia"/>
          <w:sz w:val="24"/>
        </w:rPr>
        <w:t>在健康方面有关性别差别的结论</w:t>
      </w:r>
    </w:p>
    <w:p w:rsidR="00000000" w:rsidRDefault="00000000">
      <w:pPr>
        <w:spacing w:after="240" w:line="400" w:lineRule="exact"/>
        <w:ind w:firstLine="425"/>
      </w:pPr>
      <w:r>
        <w:rPr>
          <w:rFonts w:hint="eastAsia"/>
        </w:rPr>
        <w:t>妇女比男子更多遭受体弱多病之苦，经受各种不同疾病折磨。尽管她们的寿命较长，但是妇女一生健康和不健康年代之间的关系并不象男子的那样值得称赞。妇女有更多慢性病、身体缺陷和心理问题。她们还更经常同时患几种病。根据现有的数据无法回答关于健康方面有关性别差别的原因的问题。更多女性人口正在进入老年行列这一事实在这方面起了主要作用。由此而造成的健康问题既不能完全回避，也不能归因于不完善的卫生政策。</w:t>
      </w:r>
    </w:p>
    <w:p w:rsidR="00000000" w:rsidRDefault="00000000">
      <w:pPr>
        <w:spacing w:after="240" w:line="400" w:lineRule="exact"/>
        <w:ind w:firstLine="425"/>
      </w:pPr>
      <w:r>
        <w:rPr>
          <w:rFonts w:hint="eastAsia"/>
        </w:rPr>
        <w:t>除此之外，妇女还很少有得到良好健康的机会，因为即使在年轻时她们也常常生活在被认为对其健康状况有不利影响的条件下。这些条件包括教育水平低；收入低；缺少工作；单亲父母；寡妇；缺少固定角色；提供非正规护理的负担以及易受性虐待。由于这些生活条件，妇女更经常易受‘体弱多病决定因素’的影响。如果政府政策适当，对妇女造成健康风险的生活条件可以得到很大改善。</w:t>
      </w:r>
    </w:p>
    <w:p w:rsidR="00000000" w:rsidRDefault="00000000">
      <w:pPr>
        <w:spacing w:after="240" w:line="400" w:lineRule="exact"/>
        <w:rPr>
          <w:rFonts w:ascii="SimHei" w:eastAsia="SimHei"/>
          <w:sz w:val="24"/>
        </w:rPr>
      </w:pPr>
      <w:r>
        <w:rPr>
          <w:rFonts w:ascii="SimHei" w:eastAsia="SimHei"/>
          <w:sz w:val="24"/>
        </w:rPr>
        <w:t xml:space="preserve">7.2  </w:t>
      </w:r>
      <w:r>
        <w:rPr>
          <w:rFonts w:ascii="SimHei" w:eastAsia="SimHei" w:hint="eastAsia"/>
          <w:sz w:val="24"/>
        </w:rPr>
        <w:t>关于保健质量的结论</w:t>
      </w:r>
    </w:p>
    <w:p w:rsidR="00000000" w:rsidRDefault="00000000">
      <w:pPr>
        <w:spacing w:after="240" w:line="400" w:lineRule="exact"/>
        <w:rPr>
          <w:rFonts w:ascii="楷体" w:eastAsia="楷体"/>
        </w:rPr>
      </w:pPr>
      <w:r>
        <w:rPr>
          <w:rFonts w:ascii="楷体" w:eastAsia="楷体" w:hint="eastAsia"/>
        </w:rPr>
        <w:t>确保有适当的保健方面有关性别的差别</w:t>
      </w:r>
    </w:p>
    <w:p w:rsidR="00000000" w:rsidRDefault="00000000">
      <w:pPr>
        <w:spacing w:after="240" w:line="400" w:lineRule="exact"/>
        <w:ind w:firstLine="425"/>
      </w:pPr>
      <w:r>
        <w:rPr>
          <w:rFonts w:hint="eastAsia"/>
        </w:rPr>
        <w:t>在这个研究报告中我们同等看待了保健需求与客观衡量的健康状况。健康状况包括疾病和身体缺陷以及更加主观的健康感觉。我们的研究结果显示性别是确保有适当的保健的一个因素。假设健康方面有关性别的差别并不取决于人为的方法，尽管男女在获得保健方面差别不大，但存在差别。相当多的预防性保健是为妇女而不是为男子发展的，其中大部分质量上乘并可随时供荷兰妇女使用。但是未投保的妇女和非法外国人通常不允许使用预防性保健。在一生的不同阶段妇女的预防性保健可能会导致积累性干预。因此妇女不仅从预防性保健受益多而且承受的心理压力也更大。总之妇女为预防目的消费的医疗待遇比男子多得多。</w:t>
      </w:r>
    </w:p>
    <w:p w:rsidR="00000000" w:rsidRDefault="00000000">
      <w:pPr>
        <w:spacing w:after="240" w:line="400" w:lineRule="exact"/>
        <w:ind w:firstLine="425"/>
      </w:pPr>
      <w:r>
        <w:rPr>
          <w:rFonts w:hint="eastAsia"/>
        </w:rPr>
        <w:t>在初级保健中男子用于身体不适和疾病的医疗消费与这些疾病在男女人口中的流行程度成比例。由于妇女平均寿命长以及他们有关避孕、怀孕和心理问题的咨询妇女在初级保健中医疗消费总量要高些。考虑到疾病流行程度，妇女的后续治疗中治愈的成分（门诊就医、手术、准许入院）相对较少。对于大多数既影响男子又影响妇女的疾病，接受专门保健的妇女人数较少。然而二级保健医疗总消费量相等这一事实应当归因于妇科参与、孕期检查和医院分娩。造成妇女较少转诊到专门医疗保健的因素一般无法确定。但是显而易见的是妇女的某些身体疾病尚未得到充分的确认。</w:t>
      </w:r>
    </w:p>
    <w:p w:rsidR="00000000" w:rsidRDefault="00000000">
      <w:pPr>
        <w:spacing w:after="240" w:line="400" w:lineRule="exact"/>
        <w:ind w:firstLine="425"/>
      </w:pPr>
      <w:r>
        <w:rPr>
          <w:rFonts w:hint="eastAsia"/>
        </w:rPr>
        <w:t>当妇女有与男子相同的身体缺陷时，她们比男子更经常接受护理（家庭护理、机构的护理和保健）。这应当主要归因于她们所处的社会环境提供的支持较少。平均说来妇女寿命更长更多独自生活。由于伴侣一般情况下是非正规护理的最重要来源，所以妇女要经常接受专业家庭护理，特别是标准家庭帮助和社区护理服务。妇女比男子更少接受私人家庭护理，因为她们平均收入较低。当考虑进入护理和康复院时，能从社会环境获得的支助也是一个重要因素。与治疗设施不同，保健设施未能保持与近几十年来人口老龄化同步增长。尽管作出很大努力，但可利用的保健仍不足。遭受这种后果的人基本上仍是妇女。</w:t>
      </w:r>
    </w:p>
    <w:p w:rsidR="00000000" w:rsidRDefault="00000000">
      <w:pPr>
        <w:spacing w:after="240" w:line="400" w:lineRule="exact"/>
        <w:ind w:firstLine="425"/>
      </w:pPr>
      <w:r>
        <w:rPr>
          <w:rFonts w:hint="eastAsia"/>
        </w:rPr>
        <w:t>对与心理问题有关的保健的利用显示出另一种格局。妇女比男子更经常向她们的普通医师就诊这类问题。有关性别的差别更大，因为普通医师太多地把妇女的疾病列为‘心理’疾病。但是这种判断并未导致同样数量的向心理保健的转诊：妇女比男子更经常停留在初级保健一级。由于人们还可以无需医生转诊向区域心理福利机构或私人开业的心理治疗专家登记，因此总的来说对门诊心理保健的利用与男女人口中心理问题的普遍程度是相称的。在公共机构保健中男女比例也相称，虽然妇女更多地利用综合医院内的精神病科和康复院的‘轻型’短期治疗。综合精神病医院在心理疾病类别、年龄和背景方面显示出与性别有关的很大差别。但是针对性别的保健仍处在初期阶段。近年来在保健创新的名目下开发出了各种用于慢性精神病人的方案。但这些方案仍仅影响到较少女性病人。</w:t>
      </w:r>
    </w:p>
    <w:p w:rsidR="00000000" w:rsidRDefault="00000000">
      <w:pPr>
        <w:spacing w:after="240" w:line="400" w:lineRule="exact"/>
        <w:rPr>
          <w:rFonts w:ascii="楷体" w:eastAsia="楷体"/>
        </w:rPr>
      </w:pPr>
      <w:r>
        <w:rPr>
          <w:rFonts w:ascii="楷体" w:eastAsia="楷体" w:hint="eastAsia"/>
        </w:rPr>
        <w:t>以病人为中心方面有关性别的差别</w:t>
      </w:r>
    </w:p>
    <w:p w:rsidR="00000000" w:rsidRDefault="00000000">
      <w:pPr>
        <w:spacing w:after="240" w:line="400" w:lineRule="exact"/>
        <w:ind w:firstLine="425"/>
      </w:pPr>
      <w:r>
        <w:rPr>
          <w:rFonts w:hint="eastAsia"/>
        </w:rPr>
        <w:t>以病人为中心涉及在恭敬对待个人、信息、对治疗发表意见以及自主等方面保健满足病人需要的程度。对于质量的这个方面几乎没有什么研究；针对性别观点的研究就更少了。一个例外是对普通医师与病人的关系进行的研究。它表明当把病人作为个人对待时性别是一种重要因素。虽然大多数病人对他们与普通医师的关系表示满意，但是妇女有时感到她们没得到认真对待。当妇女就医时普通医师更多地寻问妇女心理方面疾病的原因，但又不能继续转诊给专家。妇女对一些心理疾病也没有充分认识。妇女表达她们疾病的方式和普通医师对这些疾病的解释有时是确认和适当治疗的障碍。男性医生</w:t>
      </w:r>
      <w:r>
        <w:t>/</w:t>
      </w:r>
      <w:r>
        <w:rPr>
          <w:rFonts w:hint="eastAsia"/>
        </w:rPr>
        <w:t>女患者的组合尤其会造成相互误解。由于缺少女性医生，妇女想找一个同性医生的机会比男子要少。关于其他保健部门（预防、专门医疗护理、长期病人的护理和保健以及心理保健）以病人为中心的信息过于零碎而且与性别关联不够，无法得出任何一般性结论。但是有迹象表明社会关系有限的老年单身妇女难于获得某些形式的保健，因此这部分人形成了一个易受伤害的群体。</w:t>
      </w:r>
    </w:p>
    <w:p w:rsidR="00000000" w:rsidRDefault="00000000">
      <w:pPr>
        <w:spacing w:after="240" w:line="400" w:lineRule="exact"/>
        <w:rPr>
          <w:rFonts w:ascii="SimHei" w:eastAsia="SimHei"/>
          <w:sz w:val="24"/>
        </w:rPr>
      </w:pPr>
      <w:r>
        <w:rPr>
          <w:rFonts w:ascii="SimHei" w:eastAsia="SimHei"/>
          <w:sz w:val="24"/>
        </w:rPr>
        <w:t xml:space="preserve">7.3  </w:t>
      </w:r>
      <w:r>
        <w:rPr>
          <w:rFonts w:ascii="SimHei" w:eastAsia="SimHei" w:hint="eastAsia"/>
          <w:sz w:val="24"/>
        </w:rPr>
        <w:t>建议</w:t>
      </w:r>
    </w:p>
    <w:p w:rsidR="00000000" w:rsidRDefault="00000000">
      <w:pPr>
        <w:spacing w:after="240" w:line="400" w:lineRule="exact"/>
        <w:ind w:firstLine="425"/>
      </w:pPr>
      <w:r>
        <w:rPr>
          <w:rFonts w:hint="eastAsia"/>
        </w:rPr>
        <w:t>如果不进行干预，妇女一生中的健康年数与不健康年数的比例将发生更为不利的转变。与此同时她们在与男子的关系中已经不利的地位还会恶化。所需要的是一种针对性别的改善一生中最后几年生活质量的政策。特别值得注意的是有身体缺陷和社会关系有限的单身老年妇女。明智的做法是使处理慢性病的政策与老年人和妇女的权利相互适应。为此老年人政策临时委员会已提出了建议。</w:t>
      </w:r>
    </w:p>
    <w:p w:rsidR="00000000" w:rsidRDefault="00000000">
      <w:pPr>
        <w:spacing w:after="240" w:line="400" w:lineRule="exact"/>
        <w:ind w:firstLine="425"/>
      </w:pPr>
      <w:r>
        <w:rPr>
          <w:rFonts w:hint="eastAsia"/>
        </w:rPr>
        <w:t>妇女遭受的疾病痛苦数量过大意味着影响健康的措施对妇女的作用比对男子大。这些措施包括缩短护理期、减少受保险的保健类别以及增加可减免数额或采用个人捐款。为了消除实质性的不平等，对于遭受大量不利影响的妇女群体的补偿性措施是必要的。</w:t>
      </w:r>
    </w:p>
    <w:p w:rsidR="00000000" w:rsidRDefault="00000000">
      <w:pPr>
        <w:spacing w:after="240" w:line="400" w:lineRule="exact"/>
        <w:ind w:firstLine="425"/>
      </w:pPr>
      <w:r>
        <w:rPr>
          <w:rFonts w:hint="eastAsia"/>
        </w:rPr>
        <w:t>可取的做法是继续并扩大对健康方面有关性别的差别的决定因素、进行干预的可能性以及健康方面有关性别的差别的不受欢迎的社会后果的科学调查。积极的措施是政府最近倡议的名为‘健康决定因素’的研究方案。</w:t>
      </w:r>
    </w:p>
    <w:p w:rsidR="00000000" w:rsidRDefault="00000000">
      <w:pPr>
        <w:spacing w:after="240" w:line="400" w:lineRule="exact"/>
        <w:ind w:firstLine="425"/>
      </w:pPr>
      <w:r>
        <w:rPr>
          <w:rFonts w:hint="eastAsia"/>
        </w:rPr>
        <w:t>当考虑健康的风险时，妇女的生活条件在几个方面都需要加以改善。首先，特别重要的是重新分配无偿劳动。在社会和就业部主持下重新分配无偿照管项目小组已就如何为减少妇女承担的提供非正规护理的过大需求作出努力提出了建议。还值得特别注意的是研究具有针对性别的方法并集中致力于与就业有关问题、残疾人和重新进入劳动力市场的妇女。应在研究和预防及治疗方面对性虐待给予不断地注意。受欢迎的做法是在大型流行病学调查中加入关于性骚扰的问题。</w:t>
      </w:r>
    </w:p>
    <w:p w:rsidR="00000000" w:rsidRDefault="00000000">
      <w:pPr>
        <w:spacing w:after="240" w:line="400" w:lineRule="exact"/>
        <w:ind w:firstLine="425"/>
      </w:pPr>
      <w:r>
        <w:rPr>
          <w:rFonts w:hint="eastAsia"/>
        </w:rPr>
        <w:t>未受投保妇女和女性非法外国人享用预防性和非急性医疗的机会需要改善。建议的《联系法》几乎是与《妇女公约》相矛盾的。《妇女公约》第</w:t>
      </w:r>
      <w:r>
        <w:t>12</w:t>
      </w:r>
      <w:r>
        <w:rPr>
          <w:rFonts w:hint="eastAsia"/>
        </w:rPr>
        <w:t>条第</w:t>
      </w:r>
      <w:r>
        <w:t>2</w:t>
      </w:r>
      <w:r>
        <w:rPr>
          <w:rFonts w:hint="eastAsia"/>
        </w:rPr>
        <w:t>款不允许把属于荷兰管辖权范围内的妇女排除在接受有关怀孕和分娩的保健的范围之外。</w:t>
      </w:r>
    </w:p>
    <w:p w:rsidR="00000000" w:rsidRDefault="00000000">
      <w:pPr>
        <w:spacing w:after="240" w:line="400" w:lineRule="exact"/>
        <w:ind w:firstLine="425"/>
      </w:pPr>
      <w:r>
        <w:rPr>
          <w:rFonts w:hint="eastAsia"/>
        </w:rPr>
        <w:t>利用预防性怀孕前和产前测试的可能性不断增大，这就需要十分谨慎。必须防止的是妇女感到被迫进行预防性测试或不能自由行动，以及对有关的风险一无所知。《人口检查法》是监督健康有利因素与人口检查无法避免的不利因素之间平衡的一项积极措施。对于允许进行达不到（或尚达不到）该法规定的质量标准的预防性检查最好缄默不言。</w:t>
      </w:r>
    </w:p>
    <w:p w:rsidR="00000000" w:rsidRDefault="00000000">
      <w:pPr>
        <w:spacing w:after="240" w:line="400" w:lineRule="exact"/>
        <w:ind w:firstLine="425"/>
      </w:pPr>
      <w:r>
        <w:rPr>
          <w:rFonts w:hint="eastAsia"/>
        </w:rPr>
        <w:t>妇女和男子在选择普通医师或其他医生时都应有机会挑选一个与其同性别的医生。政府应尽一切可能消除女医生不足的现象。</w:t>
      </w:r>
    </w:p>
    <w:p w:rsidR="00000000" w:rsidRDefault="00000000">
      <w:pPr>
        <w:spacing w:after="240" w:line="400" w:lineRule="exact"/>
        <w:ind w:firstLine="425"/>
      </w:pPr>
      <w:r>
        <w:rPr>
          <w:rFonts w:hint="eastAsia"/>
        </w:rPr>
        <w:t>那种认为妇女无需利用保健的错误和陈旧定型看法是对妇女的歧视，应受到抵制。</w:t>
      </w:r>
    </w:p>
    <w:p w:rsidR="00000000" w:rsidRDefault="00000000">
      <w:pPr>
        <w:spacing w:after="240" w:line="400" w:lineRule="exact"/>
        <w:ind w:firstLine="425"/>
      </w:pPr>
      <w:r>
        <w:rPr>
          <w:rFonts w:hint="eastAsia"/>
        </w:rPr>
        <w:t>有必要从以病人为中心的角度对保健的质量进行更多的研究。应以针对性别的方法进行这种研究。</w:t>
      </w:r>
    </w:p>
    <w:p w:rsidR="00000000" w:rsidRDefault="00000000">
      <w:pPr>
        <w:spacing w:after="240" w:line="400" w:lineRule="exact"/>
        <w:ind w:firstLine="425"/>
      </w:pPr>
      <w:r>
        <w:rPr>
          <w:rFonts w:hint="eastAsia"/>
        </w:rPr>
        <w:t>心理健康方面的创新保健应更多地满足妇女的需要，应比迄今为止所完成的要多。政府应保证一旦为创新保健拨款就能做到这一点。</w:t>
      </w:r>
    </w:p>
    <w:p w:rsidR="00000000" w:rsidRDefault="00000000">
      <w:pPr>
        <w:spacing w:after="240" w:line="400" w:lineRule="exact"/>
        <w:ind w:firstLine="425"/>
      </w:pPr>
      <w:r>
        <w:rPr>
          <w:rFonts w:hint="eastAsia"/>
        </w:rPr>
        <w:t>应继续促进针对性别的保健事业的开发和实施，在综合精神病医院内尤应如此。</w:t>
      </w:r>
    </w:p>
    <w:p w:rsidR="00000000" w:rsidRDefault="00000000">
      <w:pPr>
        <w:spacing w:after="240" w:line="400" w:lineRule="exact"/>
        <w:ind w:firstLine="425"/>
      </w:pPr>
      <w:r>
        <w:rPr>
          <w:rFonts w:hint="eastAsia"/>
        </w:rPr>
        <w:t>关于向消除对妇女歧视委员会的定期报告，需要对关于健康方面有关性别的差别和保健质量的资料进行系统化的登记并使这些资料可供使用。为此目的该部可要求提供资料者系统地注意有关性别的差别。该部可把将公布的任务与《妇女公约》联系起来。</w:t>
      </w:r>
    </w:p>
    <w:p w:rsidR="00000000" w:rsidRDefault="00000000">
      <w:pPr>
        <w:spacing w:after="240" w:line="400" w:lineRule="exact"/>
        <w:ind w:firstLine="425"/>
      </w:pPr>
      <w:r>
        <w:rPr>
          <w:rFonts w:hint="eastAsia"/>
        </w:rPr>
        <w:t>《妇女公约》第</w:t>
      </w:r>
      <w:r>
        <w:t>12</w:t>
      </w:r>
      <w:r>
        <w:rPr>
          <w:rFonts w:hint="eastAsia"/>
        </w:rPr>
        <w:t>条意味着公共卫生政策（和保健政策）应有助于改善妇女（健康）状况。这方面的举证责任应由政府承担。通过更好地宣传《妇女公约》政府可早在制订政策阶段就考虑到公约的各项义务。政府可利用对解放影响的评价对提出的和现有的政策针对性别的作用进行调查。</w:t>
      </w:r>
    </w:p>
    <w:p w:rsidR="00000000" w:rsidRDefault="00000000">
      <w:pPr>
        <w:spacing w:after="240" w:line="400" w:lineRule="exact"/>
        <w:ind w:firstLine="425"/>
        <w:rPr>
          <w:rFonts w:hint="eastAsia"/>
        </w:rPr>
      </w:pPr>
      <w:r>
        <w:rPr>
          <w:rFonts w:hint="eastAsia"/>
        </w:rPr>
        <w:t>为了制订透明的程序并提出明确的补贴标准，对政府在保健领域的本国补贴政策进行编目并详细地加以分析也是明智之举。</w:t>
      </w: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NO&gt;&gt;N0022283C&lt;&lt;ODS JOB NO&gt;&gt;</w:t>
      </w:r>
    </w:p>
    <w:p w:rsidR="00000000" w:rsidRDefault="00000000">
      <w:pPr>
        <w:pStyle w:val="CommentText"/>
      </w:pPr>
      <w:r>
        <w:t>&lt;&lt;ODS DOC SYMBOL1&gt;&gt;CEDAW/C/NET/2&lt;&lt;ODS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楷体">
    <w:altName w:val="Arial Unicode MS"/>
    <w:charset w:val="86"/>
    <w:family w:val="roman"/>
    <w:pitch w:val="variable"/>
    <w:sig w:usb0="00000001" w:usb1="080E0000" w:usb2="00000010" w:usb3="00000000" w:csb0="00040000" w:csb1="00000000"/>
  </w:font>
  <w:font w:name="长城楷体">
    <w:charset w:val="86"/>
    <w:family w:val="modern"/>
    <w:pitch w:val="fixed"/>
    <w:sig w:usb0="00000001" w:usb1="080E0000" w:usb2="00000010" w:usb3="00000000" w:csb0="00040000" w:csb1="00000000"/>
  </w:font>
  <w:font w:name="Kino MT">
    <w:charset w:val="00"/>
    <w:family w:val="decorative"/>
    <w:pitch w:val="variable"/>
    <w:sig w:usb0="00000003" w:usb1="00000000" w:usb2="00000000" w:usb3="00000000" w:csb0="00000001" w:csb1="00000000"/>
  </w:font>
  <w:font w:name="WP MultinationalA Courier">
    <w:charset w:val="02"/>
    <w:family w:val="modern"/>
    <w:pitch w:val="fixed"/>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106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105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00-22283 (C)    110400    110400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ind w:firstLine="425"/>
        <w:jc w:val="both"/>
      </w:pPr>
      <w:r>
        <w:rPr>
          <w:rStyle w:val="FootnoteReference"/>
        </w:rPr>
        <w:t>*</w:t>
      </w:r>
      <w:r>
        <w:t xml:space="preserve">  </w:t>
      </w:r>
      <w:r>
        <w:rPr>
          <w:rFonts w:hint="eastAsia"/>
        </w:rPr>
        <w:t>关于荷兰王国政府提交的第一次报告，见</w:t>
      </w:r>
      <w:r>
        <w:t>CEDAW/C/NET/1</w:t>
      </w:r>
      <w:r>
        <w:rPr>
          <w:rFonts w:hint="eastAsia"/>
        </w:rPr>
        <w:t>，</w:t>
      </w:r>
      <w:r>
        <w:t>CEDAW/C/NET/1/Add.1</w:t>
      </w:r>
      <w:r>
        <w:rPr>
          <w:rFonts w:hint="eastAsia"/>
        </w:rPr>
        <w:t>，</w:t>
      </w:r>
      <w:r>
        <w:t>CEDAW/C/NET/1/Add.2</w:t>
      </w:r>
      <w:r>
        <w:rPr>
          <w:rFonts w:hint="eastAsia"/>
        </w:rPr>
        <w:t>和</w:t>
      </w:r>
      <w:r>
        <w:t>CEDAW/C/NET/1/Add.3</w:t>
      </w:r>
      <w:r>
        <w:rPr>
          <w:rFonts w:hint="eastAsia"/>
        </w:rPr>
        <w:t>；关于委员会对该报告的审议，见</w:t>
      </w:r>
      <w:r>
        <w:t>CEDAW/C/SR.239</w:t>
      </w:r>
      <w:r>
        <w:rPr>
          <w:rFonts w:hint="eastAsia"/>
        </w:rPr>
        <w:t>和《大会正式记录，第四十九届会议，补编第</w:t>
      </w:r>
      <w:r>
        <w:t>38</w:t>
      </w:r>
      <w:r>
        <w:rPr>
          <w:rFonts w:hint="eastAsia"/>
        </w:rPr>
        <w:t>号》（</w:t>
      </w:r>
      <w:r>
        <w:t>A/49/38</w:t>
      </w:r>
      <w:r>
        <w:rPr>
          <w:rFonts w:hint="eastAsia"/>
        </w:rPr>
        <w:t>），第</w:t>
      </w:r>
      <w:r>
        <w:t>245-317</w:t>
      </w:r>
      <w:r>
        <w:rPr>
          <w:rFonts w:hint="eastAsia"/>
        </w:rPr>
        <w:t>页。</w:t>
      </w:r>
    </w:p>
  </w:footnote>
  <w:footnote w:id="2">
    <w:p w:rsidR="00000000" w:rsidRDefault="00000000">
      <w:pPr>
        <w:pStyle w:val="FootnoteText"/>
        <w:ind w:firstLine="425"/>
        <w:jc w:val="both"/>
      </w:pPr>
      <w:r>
        <w:rPr>
          <w:rStyle w:val="FootnoteReference"/>
        </w:rPr>
        <w:t>**</w:t>
      </w:r>
      <w:r>
        <w:t xml:space="preserve">  </w:t>
      </w:r>
      <w:r>
        <w:rPr>
          <w:rFonts w:hint="eastAsia"/>
        </w:rPr>
        <w:t>本文件是按所收到的文件复制的。</w:t>
      </w:r>
    </w:p>
  </w:footnote>
  <w:footnote w:id="3">
    <w:p w:rsidR="00000000" w:rsidRDefault="00000000">
      <w:pPr>
        <w:pStyle w:val="FootnoteText"/>
        <w:ind w:firstLine="425"/>
        <w:jc w:val="both"/>
      </w:pPr>
      <w:r>
        <w:rPr>
          <w:rStyle w:val="FootnoteReference"/>
        </w:rPr>
        <w:footnoteRef/>
      </w:r>
      <w:r>
        <w:t xml:space="preserve">  </w:t>
      </w:r>
      <w:r>
        <w:rPr>
          <w:rFonts w:hint="eastAsia"/>
        </w:rPr>
        <w:t>消除对妇女歧视委员会</w:t>
      </w:r>
      <w:r>
        <w:t>——</w:t>
      </w:r>
      <w:r>
        <w:rPr>
          <w:rFonts w:hint="eastAsia"/>
        </w:rPr>
        <w:t>消除对妇女歧视委员会</w:t>
      </w:r>
      <w:r>
        <w:t>——</w:t>
      </w:r>
      <w:r>
        <w:rPr>
          <w:rFonts w:hint="eastAsia"/>
        </w:rPr>
        <w:t>是联合国为审议各缔约国对《公约》执行情况而设立的一个委员会。《公约》第</w:t>
      </w:r>
      <w:r>
        <w:t>18</w:t>
      </w:r>
      <w:r>
        <w:rPr>
          <w:rFonts w:hint="eastAsia"/>
        </w:rPr>
        <w:t>条对委员会成员的任务和专业作了规定。</w:t>
      </w:r>
    </w:p>
  </w:footnote>
  <w:footnote w:id="4">
    <w:p w:rsidR="00000000" w:rsidRDefault="00000000">
      <w:pPr>
        <w:pStyle w:val="FootnoteText"/>
        <w:ind w:firstLine="425"/>
        <w:jc w:val="both"/>
      </w:pPr>
      <w:r>
        <w:rPr>
          <w:rStyle w:val="FootnoteReference"/>
        </w:rPr>
        <w:footnoteRef/>
      </w:r>
      <w:r>
        <w:t xml:space="preserve">  </w:t>
      </w:r>
      <w:r>
        <w:rPr>
          <w:rFonts w:hint="eastAsia"/>
        </w:rPr>
        <w:t>本文件中多处称该公约为《妇女公约》或简称《公约》。</w:t>
      </w:r>
    </w:p>
  </w:footnote>
  <w:footnote w:id="5">
    <w:p w:rsidR="00000000" w:rsidRDefault="00000000">
      <w:pPr>
        <w:pStyle w:val="FootnoteText"/>
        <w:ind w:firstLine="425"/>
        <w:jc w:val="both"/>
      </w:pPr>
      <w:r>
        <w:rPr>
          <w:rStyle w:val="FootnoteReference"/>
        </w:rPr>
        <w:footnoteRef/>
      </w:r>
      <w:r>
        <w:t xml:space="preserve">  L. S. Groenman</w:t>
      </w:r>
      <w:r>
        <w:rPr>
          <w:rFonts w:hint="eastAsia"/>
        </w:rPr>
        <w:t>等人，《</w:t>
      </w:r>
      <w:r>
        <w:t>1997</w:t>
      </w:r>
      <w:r>
        <w:rPr>
          <w:rFonts w:hint="eastAsia"/>
        </w:rPr>
        <w:t>年荷兰的妇女公约》，委员会有关荷兰对《消除对妇女一切形式歧视公约》执行情况的报告，</w:t>
      </w:r>
      <w:r>
        <w:t>VUGA</w:t>
      </w:r>
      <w:r>
        <w:rPr>
          <w:rFonts w:hint="eastAsia"/>
        </w:rPr>
        <w:t>，海牙，</w:t>
      </w:r>
      <w:r>
        <w:t>1997</w:t>
      </w:r>
      <w:r>
        <w:rPr>
          <w:rFonts w:hint="eastAsia"/>
        </w:rPr>
        <w:t>年。</w:t>
      </w:r>
    </w:p>
  </w:footnote>
  <w:footnote w:id="6">
    <w:p w:rsidR="00000000" w:rsidRDefault="00000000">
      <w:pPr>
        <w:pStyle w:val="FootnoteText"/>
        <w:ind w:firstLine="425"/>
        <w:jc w:val="both"/>
      </w:pPr>
      <w:r>
        <w:rPr>
          <w:rStyle w:val="FootnoteReference"/>
        </w:rPr>
        <w:footnoteRef/>
      </w:r>
      <w:r>
        <w:t xml:space="preserve">  </w:t>
      </w:r>
      <w:r>
        <w:rPr>
          <w:rFonts w:hint="eastAsia"/>
        </w:rPr>
        <w:t>该委员会其他成员会</w:t>
      </w:r>
      <w:r>
        <w:t>C. E. Van Vieuten</w:t>
      </w:r>
      <w:r>
        <w:rPr>
          <w:rFonts w:hint="eastAsia"/>
        </w:rPr>
        <w:t>、</w:t>
      </w:r>
      <w:r>
        <w:t>R. Holtmaat</w:t>
      </w:r>
      <w:r>
        <w:rPr>
          <w:rFonts w:hint="eastAsia"/>
        </w:rPr>
        <w:t>和</w:t>
      </w:r>
      <w:r>
        <w:t>T. E. Van Dijk</w:t>
      </w:r>
      <w:r>
        <w:rPr>
          <w:rFonts w:hint="eastAsia"/>
        </w:rPr>
        <w:t>。</w:t>
      </w:r>
      <w:r>
        <w:t>J. H. J. de Wildt</w:t>
      </w:r>
      <w:r>
        <w:rPr>
          <w:rFonts w:hint="eastAsia"/>
        </w:rPr>
        <w:t>，一位公务员以顾问身份参加了会议。</w:t>
      </w:r>
      <w:r>
        <w:t>L. T. M. Willems</w:t>
      </w:r>
      <w:r>
        <w:rPr>
          <w:rFonts w:hint="eastAsia"/>
        </w:rPr>
        <w:t>和</w:t>
      </w:r>
      <w:r>
        <w:t>A. M. Mulder</w:t>
      </w:r>
      <w:r>
        <w:rPr>
          <w:rFonts w:hint="eastAsia"/>
        </w:rPr>
        <w:t>两位助理秘书帮助该委员会开展工作。</w:t>
      </w:r>
    </w:p>
  </w:footnote>
  <w:footnote w:id="7">
    <w:p w:rsidR="00000000" w:rsidRDefault="00000000">
      <w:pPr>
        <w:pStyle w:val="FootnoteText"/>
        <w:ind w:firstLine="425"/>
        <w:jc w:val="both"/>
      </w:pPr>
      <w:r>
        <w:rPr>
          <w:rStyle w:val="FootnoteReference"/>
        </w:rPr>
        <w:footnoteRef/>
      </w:r>
      <w:r>
        <w:t xml:space="preserve">  J. C. Hes</w:t>
      </w:r>
      <w:r>
        <w:rPr>
          <w:rFonts w:hint="eastAsia"/>
        </w:rPr>
        <w:t>著，《荷兰法律秩序中的妇女公约》，</w:t>
      </w:r>
      <w:r>
        <w:t>VUGA1996</w:t>
      </w:r>
      <w:r>
        <w:rPr>
          <w:rFonts w:hint="eastAsia"/>
        </w:rPr>
        <w:t>年。</w:t>
      </w:r>
      <w:r>
        <w:t>N. Holstrust</w:t>
      </w:r>
      <w:r>
        <w:rPr>
          <w:rFonts w:hint="eastAsia"/>
        </w:rPr>
        <w:t>、</w:t>
      </w:r>
      <w:r>
        <w:t>A. C. Hendriks</w:t>
      </w:r>
      <w:r>
        <w:rPr>
          <w:rFonts w:hint="eastAsia"/>
        </w:rPr>
        <w:t>和</w:t>
      </w:r>
      <w:r>
        <w:t>D. M. J. Baudoin</w:t>
      </w:r>
      <w:r>
        <w:rPr>
          <w:rFonts w:hint="eastAsia"/>
        </w:rPr>
        <w:t>著，《妇女公约第</w:t>
      </w:r>
      <w:r>
        <w:t>12</w:t>
      </w:r>
      <w:r>
        <w:rPr>
          <w:rFonts w:hint="eastAsia"/>
        </w:rPr>
        <w:t>条对荷兰的意义：保健作为一种权利》</w:t>
      </w:r>
      <w:r>
        <w:t>VUGA</w:t>
      </w:r>
      <w:r>
        <w:rPr>
          <w:rFonts w:hint="eastAsia"/>
        </w:rPr>
        <w:t>，</w:t>
      </w:r>
      <w:r>
        <w:t>1996</w:t>
      </w:r>
      <w:r>
        <w:rPr>
          <w:rFonts w:hint="eastAsia"/>
        </w:rPr>
        <w:t>年。</w:t>
      </w:r>
    </w:p>
  </w:footnote>
  <w:footnote w:id="8">
    <w:p w:rsidR="00000000" w:rsidRDefault="00000000">
      <w:pPr>
        <w:pStyle w:val="FootnoteText"/>
        <w:ind w:firstLine="425"/>
        <w:jc w:val="both"/>
      </w:pPr>
      <w:r>
        <w:rPr>
          <w:rStyle w:val="FootnoteReference"/>
        </w:rPr>
        <w:footnoteRef/>
      </w:r>
      <w:r>
        <w:t xml:space="preserve">  </w:t>
      </w:r>
      <w:r>
        <w:rPr>
          <w:rFonts w:hint="eastAsia"/>
        </w:rPr>
        <w:t>向议会报告</w:t>
      </w:r>
      <w:r>
        <w:t>1997/1998</w:t>
      </w:r>
      <w:r>
        <w:rPr>
          <w:rFonts w:hint="eastAsia"/>
        </w:rPr>
        <w:t>年解放政策进展情况的信件（</w:t>
      </w:r>
      <w:r>
        <w:t>1997</w:t>
      </w:r>
      <w:r>
        <w:rPr>
          <w:rFonts w:hint="eastAsia"/>
        </w:rPr>
        <w:t>年）。</w:t>
      </w:r>
    </w:p>
  </w:footnote>
  <w:footnote w:id="9">
    <w:p w:rsidR="00000000" w:rsidRDefault="00000000">
      <w:pPr>
        <w:pStyle w:val="FootnoteText"/>
        <w:ind w:firstLine="425"/>
        <w:jc w:val="both"/>
      </w:pPr>
      <w:r>
        <w:rPr>
          <w:rStyle w:val="FootnoteReference"/>
        </w:rPr>
        <w:footnoteRef/>
      </w:r>
      <w:r>
        <w:t xml:space="preserve">  </w:t>
      </w:r>
      <w:r>
        <w:rPr>
          <w:rFonts w:hint="eastAsia"/>
        </w:rPr>
        <w:t>向议会报告</w:t>
      </w:r>
      <w:r>
        <w:t>1997</w:t>
      </w:r>
      <w:r>
        <w:rPr>
          <w:rFonts w:hint="eastAsia"/>
        </w:rPr>
        <w:t>年解放政策情况的信件（</w:t>
      </w:r>
      <w:r>
        <w:t>1996</w:t>
      </w:r>
      <w:r>
        <w:rPr>
          <w:rFonts w:hint="eastAsia"/>
        </w:rPr>
        <w:t>年）。</w:t>
      </w:r>
    </w:p>
  </w:footnote>
  <w:footnote w:id="10">
    <w:p w:rsidR="00000000" w:rsidRDefault="00000000">
      <w:pPr>
        <w:pStyle w:val="FootnoteText"/>
        <w:ind w:firstLine="425"/>
        <w:jc w:val="both"/>
      </w:pPr>
      <w:r>
        <w:rPr>
          <w:rStyle w:val="FootnoteReference"/>
        </w:rPr>
        <w:footnoteRef/>
      </w:r>
      <w:r>
        <w:t xml:space="preserve">  </w:t>
      </w:r>
      <w:r>
        <w:rPr>
          <w:rFonts w:hint="eastAsia"/>
        </w:rPr>
        <w:t>北京：</w:t>
      </w:r>
      <w:r>
        <w:t>Nu en Toekomst</w:t>
      </w:r>
      <w:r>
        <w:rPr>
          <w:rFonts w:hint="eastAsia"/>
        </w:rPr>
        <w:t>（北京：妇女与未来），解放政策协调部，社会和就业部，海牙，</w:t>
      </w:r>
      <w:r>
        <w:t>1996</w:t>
      </w:r>
      <w:r>
        <w:rPr>
          <w:rFonts w:hint="eastAsia"/>
        </w:rPr>
        <w:t>年。</w:t>
      </w:r>
    </w:p>
  </w:footnote>
  <w:footnote w:id="11">
    <w:p w:rsidR="00000000" w:rsidRDefault="00000000">
      <w:pPr>
        <w:pStyle w:val="FootnoteText"/>
        <w:ind w:firstLine="425"/>
        <w:jc w:val="both"/>
      </w:pPr>
      <w:r>
        <w:rPr>
          <w:rStyle w:val="FootnoteReference"/>
        </w:rPr>
        <w:footnoteRef/>
      </w:r>
      <w:r>
        <w:t xml:space="preserve">  </w:t>
      </w:r>
      <w:r>
        <w:rPr>
          <w:rFonts w:hint="eastAsia"/>
        </w:rPr>
        <w:t>在这期间政府的重要出版物：</w:t>
      </w:r>
    </w:p>
    <w:p w:rsidR="00000000" w:rsidRDefault="00000000">
      <w:pPr>
        <w:pStyle w:val="FootnoteText"/>
        <w:ind w:left="360" w:firstLine="360"/>
        <w:jc w:val="both"/>
      </w:pPr>
      <w:r>
        <w:t>Met het oog op 1995(1992</w:t>
      </w:r>
      <w:r>
        <w:rPr>
          <w:rFonts w:hint="eastAsia"/>
        </w:rPr>
        <w:t>年</w:t>
      </w:r>
      <w:r>
        <w:t>)</w:t>
      </w:r>
      <w:r>
        <w:rPr>
          <w:rFonts w:hint="eastAsia"/>
        </w:rPr>
        <w:t>。</w:t>
      </w:r>
    </w:p>
    <w:p w:rsidR="00000000" w:rsidRDefault="00000000">
      <w:pPr>
        <w:pStyle w:val="FootnoteText"/>
        <w:ind w:left="360" w:firstLine="360"/>
        <w:jc w:val="both"/>
      </w:pPr>
      <w:r>
        <w:t>Emancipatie in uitvoering: koersbepaling van het emancipatiebeleid na 1995 (1995</w:t>
      </w:r>
      <w:r>
        <w:rPr>
          <w:rFonts w:hint="eastAsia"/>
        </w:rPr>
        <w:t>年</w:t>
      </w:r>
      <w:r>
        <w:t>)</w:t>
      </w:r>
      <w:r>
        <w:rPr>
          <w:rFonts w:hint="eastAsia"/>
        </w:rPr>
        <w:t>。</w:t>
      </w:r>
    </w:p>
    <w:p w:rsidR="00000000" w:rsidRDefault="00000000">
      <w:pPr>
        <w:pStyle w:val="FootnoteText"/>
        <w:ind w:left="360" w:firstLine="360"/>
        <w:jc w:val="both"/>
      </w:pPr>
      <w:r>
        <w:t>Uitvoering van het emancipatiebeleid, evaluatie van de wijze waarop van 1993 t/m 1995 de ministeries uitvoering hebben gegeven aan het Beleidsprogramma Emancipatie Met het oog op 1995 (1996</w:t>
      </w:r>
      <w:r>
        <w:rPr>
          <w:rFonts w:hint="eastAsia"/>
        </w:rPr>
        <w:t>年</w:t>
      </w:r>
      <w:r>
        <w:t>)</w:t>
      </w:r>
      <w:r>
        <w:rPr>
          <w:rFonts w:hint="eastAsia"/>
        </w:rPr>
        <w:t>。</w:t>
      </w:r>
    </w:p>
    <w:p w:rsidR="00000000" w:rsidRDefault="00000000">
      <w:pPr>
        <w:pStyle w:val="FootnoteText"/>
        <w:ind w:left="360" w:firstLine="360"/>
        <w:jc w:val="both"/>
      </w:pPr>
      <w:r>
        <w:t>Emancipatie Met het oog op 1995 (1996</w:t>
      </w:r>
      <w:r>
        <w:rPr>
          <w:rFonts w:hint="eastAsia"/>
        </w:rPr>
        <w:t>年</w:t>
      </w:r>
      <w:r>
        <w:t>)</w:t>
      </w:r>
      <w:r>
        <w:rPr>
          <w:rFonts w:hint="eastAsia"/>
        </w:rPr>
        <w:t>。</w:t>
      </w:r>
    </w:p>
    <w:p w:rsidR="00000000" w:rsidRDefault="00000000">
      <w:pPr>
        <w:pStyle w:val="FootnoteText"/>
        <w:ind w:left="360" w:firstLine="360"/>
        <w:jc w:val="both"/>
      </w:pPr>
      <w:r>
        <w:t>Beleidsbrief Emancipatiebeleid 1997 (1996</w:t>
      </w:r>
      <w:r>
        <w:rPr>
          <w:rFonts w:hint="eastAsia"/>
        </w:rPr>
        <w:t>年</w:t>
      </w:r>
      <w:r>
        <w:t>)</w:t>
      </w:r>
      <w:r>
        <w:rPr>
          <w:rFonts w:hint="eastAsia"/>
        </w:rPr>
        <w:t>。</w:t>
      </w:r>
    </w:p>
    <w:p w:rsidR="00000000" w:rsidRDefault="00000000">
      <w:pPr>
        <w:pStyle w:val="FootnoteText"/>
        <w:ind w:left="360" w:firstLine="360"/>
        <w:jc w:val="both"/>
      </w:pPr>
      <w:r>
        <w:rPr>
          <w:rFonts w:hint="eastAsia"/>
        </w:rPr>
        <w:t>北京</w:t>
      </w:r>
      <w:r>
        <w:t>: Nu en toekomst (1996</w:t>
      </w:r>
      <w:r>
        <w:rPr>
          <w:rFonts w:hint="eastAsia"/>
        </w:rPr>
        <w:t>年</w:t>
      </w:r>
      <w:r>
        <w:t>)</w:t>
      </w:r>
      <w:r>
        <w:rPr>
          <w:rFonts w:hint="eastAsia"/>
        </w:rPr>
        <w:t>。</w:t>
      </w:r>
    </w:p>
    <w:p w:rsidR="00000000" w:rsidRDefault="00000000">
      <w:pPr>
        <w:pStyle w:val="FootnoteText"/>
        <w:ind w:left="360" w:firstLine="360"/>
        <w:jc w:val="both"/>
      </w:pPr>
      <w:r>
        <w:t>Voortgangsbrief Emancipatiebeleid (1997/98</w:t>
      </w:r>
      <w:r>
        <w:rPr>
          <w:rFonts w:hint="eastAsia"/>
        </w:rPr>
        <w:t>年</w:t>
      </w:r>
      <w:r>
        <w:t>)</w:t>
      </w:r>
      <w:r>
        <w:rPr>
          <w:rFonts w:hint="eastAsia"/>
        </w:rPr>
        <w:t>。</w:t>
      </w:r>
    </w:p>
  </w:footnote>
  <w:footnote w:id="12">
    <w:p w:rsidR="00000000" w:rsidRDefault="00000000">
      <w:pPr>
        <w:pStyle w:val="FootnoteText"/>
        <w:ind w:firstLine="425"/>
        <w:jc w:val="both"/>
      </w:pPr>
      <w:r>
        <w:rPr>
          <w:rStyle w:val="FootnoteReference"/>
        </w:rPr>
        <w:footnoteRef/>
      </w:r>
      <w:r>
        <w:t xml:space="preserve">  </w:t>
      </w:r>
      <w:r>
        <w:rPr>
          <w:rFonts w:hint="eastAsia"/>
        </w:rPr>
        <w:t>《妇女权利政策计划》，社会和就业部，</w:t>
      </w:r>
      <w:r>
        <w:t>1985</w:t>
      </w:r>
      <w:r>
        <w:rPr>
          <w:rFonts w:hint="eastAsia"/>
        </w:rPr>
        <w:t>年，第</w:t>
      </w:r>
      <w:r>
        <w:t>12</w:t>
      </w:r>
      <w:r>
        <w:rPr>
          <w:rFonts w:hint="eastAsia"/>
        </w:rPr>
        <w:t>页。</w:t>
      </w:r>
    </w:p>
  </w:footnote>
  <w:footnote w:id="13">
    <w:p w:rsidR="00000000" w:rsidRDefault="00000000">
      <w:pPr>
        <w:pStyle w:val="FootnoteText"/>
        <w:ind w:firstLine="425"/>
        <w:jc w:val="both"/>
      </w:pPr>
      <w:r>
        <w:rPr>
          <w:rStyle w:val="FootnoteReference"/>
        </w:rPr>
        <w:footnoteRef/>
      </w:r>
      <w:r>
        <w:t xml:space="preserve">  J.Bussemakered, </w:t>
      </w:r>
      <w:r>
        <w:rPr>
          <w:rFonts w:hint="eastAsia"/>
        </w:rPr>
        <w:t>《</w:t>
      </w:r>
      <w:r>
        <w:t>Struikelblokken en verbindingswegen, nieuwe orientaties voor het emancipatiebeleid</w:t>
      </w:r>
      <w:r>
        <w:rPr>
          <w:rFonts w:hint="eastAsia"/>
        </w:rPr>
        <w:t>》，海牙，</w:t>
      </w:r>
      <w:r>
        <w:t>1996</w:t>
      </w:r>
      <w:r>
        <w:rPr>
          <w:rFonts w:hint="eastAsia"/>
        </w:rPr>
        <w:t>年。</w:t>
      </w:r>
    </w:p>
  </w:footnote>
  <w:footnote w:id="14">
    <w:p w:rsidR="00000000" w:rsidRDefault="00000000">
      <w:pPr>
        <w:pStyle w:val="FootnoteText"/>
        <w:ind w:firstLine="425"/>
        <w:jc w:val="both"/>
      </w:pPr>
      <w:r>
        <w:rPr>
          <w:rStyle w:val="FootnoteReference"/>
        </w:rPr>
        <w:footnoteRef/>
      </w:r>
      <w:r>
        <w:t xml:space="preserve">  </w:t>
      </w:r>
      <w:r>
        <w:rPr>
          <w:rFonts w:hint="eastAsia"/>
        </w:rPr>
        <w:t>《隐藏的性别歧视》，为消除性别陈旧定型习俗而成立的项目小组的最后意见，海牙，</w:t>
      </w:r>
      <w:r>
        <w:t>1996</w:t>
      </w:r>
      <w:r>
        <w:rPr>
          <w:rFonts w:hint="eastAsia"/>
        </w:rPr>
        <w:t>年。</w:t>
      </w:r>
    </w:p>
  </w:footnote>
  <w:footnote w:id="15">
    <w:p w:rsidR="00000000" w:rsidRDefault="00000000">
      <w:pPr>
        <w:pStyle w:val="FootnoteText"/>
        <w:autoSpaceDE w:val="0"/>
        <w:autoSpaceDN w:val="0"/>
        <w:ind w:firstLine="425"/>
        <w:jc w:val="both"/>
        <w:textAlignment w:val="bottom"/>
      </w:pPr>
      <w:r>
        <w:rPr>
          <w:rStyle w:val="FootnoteReference"/>
        </w:rPr>
        <w:t>13</w:t>
      </w:r>
      <w:r>
        <w:t xml:space="preserve">  M. Mossink</w:t>
      </w:r>
      <w:r>
        <w:rPr>
          <w:rFonts w:hint="eastAsia"/>
        </w:rPr>
        <w:t>和</w:t>
      </w:r>
      <w:r>
        <w:t xml:space="preserve">T. Nederland, </w:t>
      </w:r>
      <w:r>
        <w:rPr>
          <w:rFonts w:hint="eastAsia"/>
        </w:rPr>
        <w:t>《</w:t>
      </w:r>
      <w:r>
        <w:t>Beeldvorming in Beleid</w:t>
      </w:r>
      <w:r>
        <w:rPr>
          <w:rFonts w:hint="eastAsia"/>
        </w:rPr>
        <w:t>》</w:t>
      </w:r>
      <w:r>
        <w:t xml:space="preserve">, </w:t>
      </w:r>
      <w:r>
        <w:rPr>
          <w:rFonts w:hint="eastAsia"/>
        </w:rPr>
        <w:t>海牙，</w:t>
      </w:r>
      <w:r>
        <w:t>1993</w:t>
      </w:r>
      <w:r>
        <w:rPr>
          <w:rFonts w:hint="eastAsia"/>
        </w:rPr>
        <w:t>年。</w:t>
      </w:r>
    </w:p>
    <w:p w:rsidR="00000000" w:rsidRDefault="00000000">
      <w:pPr>
        <w:pStyle w:val="FootnoteText"/>
        <w:autoSpaceDE w:val="0"/>
        <w:autoSpaceDN w:val="0"/>
        <w:ind w:left="360" w:firstLine="360"/>
        <w:jc w:val="both"/>
        <w:textAlignment w:val="bottom"/>
      </w:pPr>
      <w:r>
        <w:t>M. Verloo</w:t>
      </w:r>
      <w:r>
        <w:rPr>
          <w:rFonts w:hint="eastAsia"/>
        </w:rPr>
        <w:t>和</w:t>
      </w:r>
      <w:r>
        <w:t xml:space="preserve">C. Roggeband, </w:t>
      </w:r>
      <w:r>
        <w:rPr>
          <w:rFonts w:hint="eastAsia"/>
        </w:rPr>
        <w:t>《</w:t>
      </w:r>
      <w:r>
        <w:t>Emancipatie-effectrapportage</w:t>
      </w:r>
      <w:r>
        <w:rPr>
          <w:rFonts w:hint="eastAsia"/>
        </w:rPr>
        <w:t>》，</w:t>
      </w:r>
      <w:r>
        <w:t xml:space="preserve"> </w:t>
      </w:r>
      <w:r>
        <w:rPr>
          <w:rFonts w:hint="eastAsia"/>
        </w:rPr>
        <w:t>海牙，</w:t>
      </w:r>
      <w:r>
        <w:t>1994</w:t>
      </w:r>
      <w:r>
        <w:rPr>
          <w:rFonts w:hint="eastAsia"/>
        </w:rPr>
        <w:t>年。</w:t>
      </w:r>
    </w:p>
    <w:p w:rsidR="00000000" w:rsidRDefault="00000000">
      <w:pPr>
        <w:pStyle w:val="FootnoteText"/>
        <w:autoSpaceDE w:val="0"/>
        <w:autoSpaceDN w:val="0"/>
        <w:ind w:left="360" w:firstLine="360"/>
        <w:jc w:val="both"/>
        <w:textAlignment w:val="bottom"/>
      </w:pPr>
      <w:r>
        <w:t xml:space="preserve">M. Schaapman, </w:t>
      </w:r>
      <w:r>
        <w:rPr>
          <w:rFonts w:hint="eastAsia"/>
        </w:rPr>
        <w:t>《</w:t>
      </w:r>
      <w:r>
        <w:t>Ongezien onderscheid: een analyse van de verborgen machtswerking van sekse</w:t>
      </w:r>
      <w:r>
        <w:rPr>
          <w:rFonts w:hint="eastAsia"/>
        </w:rPr>
        <w:t>》</w:t>
      </w:r>
      <w:r>
        <w:t xml:space="preserve">,  </w:t>
      </w:r>
      <w:r>
        <w:rPr>
          <w:rFonts w:hint="eastAsia"/>
        </w:rPr>
        <w:t>海牙，</w:t>
      </w:r>
      <w:r>
        <w:t>1995</w:t>
      </w:r>
      <w:r>
        <w:rPr>
          <w:rFonts w:hint="eastAsia"/>
        </w:rPr>
        <w:t>年，</w:t>
      </w:r>
    </w:p>
    <w:p w:rsidR="00000000" w:rsidRDefault="00000000">
      <w:pPr>
        <w:pStyle w:val="FootnoteText"/>
        <w:tabs>
          <w:tab w:val="left" w:pos="225"/>
        </w:tabs>
        <w:autoSpaceDE w:val="0"/>
        <w:autoSpaceDN w:val="0"/>
        <w:ind w:left="360" w:firstLine="360"/>
        <w:jc w:val="both"/>
        <w:textAlignment w:val="bottom"/>
      </w:pPr>
      <w:r>
        <w:t>A.</w:t>
      </w:r>
      <w:r>
        <w:tab/>
        <w:t>van Lenning</w:t>
      </w:r>
      <w:r>
        <w:rPr>
          <w:rFonts w:hint="eastAsia"/>
        </w:rPr>
        <w:t>等人，《</w:t>
      </w:r>
      <w:r>
        <w:t>Inzichten uit vrouwenstudies, uitdagingen voor beleidsmakers</w:t>
      </w:r>
      <w:r>
        <w:rPr>
          <w:rFonts w:hint="eastAsia"/>
        </w:rPr>
        <w:t>》，海牙，</w:t>
      </w:r>
      <w:r>
        <w:t>1995</w:t>
      </w:r>
      <w:r>
        <w:rPr>
          <w:rFonts w:hint="eastAsia"/>
        </w:rPr>
        <w:t>年。</w:t>
      </w:r>
    </w:p>
    <w:p w:rsidR="00000000" w:rsidRDefault="00000000">
      <w:pPr>
        <w:pStyle w:val="FootnoteText"/>
        <w:autoSpaceDE w:val="0"/>
        <w:autoSpaceDN w:val="0"/>
        <w:ind w:left="360" w:firstLine="360"/>
        <w:jc w:val="both"/>
        <w:textAlignment w:val="bottom"/>
      </w:pPr>
      <w:r>
        <w:t>M. Verloo</w:t>
      </w:r>
      <w:r>
        <w:rPr>
          <w:rFonts w:hint="eastAsia"/>
        </w:rPr>
        <w:t>和</w:t>
      </w:r>
      <w:r>
        <w:t xml:space="preserve">E. Hijmans, </w:t>
      </w:r>
      <w:r>
        <w:rPr>
          <w:rFonts w:hint="eastAsia"/>
        </w:rPr>
        <w:t>《</w:t>
      </w:r>
      <w:r>
        <w:t>Kwaliteit van onderzoek, inzichten uit vrouwenstudies voor toegepast onderzoek</w:t>
      </w:r>
      <w:r>
        <w:rPr>
          <w:rFonts w:hint="eastAsia"/>
        </w:rPr>
        <w:t>》</w:t>
      </w:r>
      <w:r>
        <w:t xml:space="preserve">, </w:t>
      </w:r>
      <w:r>
        <w:rPr>
          <w:rFonts w:hint="eastAsia"/>
        </w:rPr>
        <w:t>海牙，</w:t>
      </w:r>
      <w:r>
        <w:t>1995</w:t>
      </w:r>
      <w:r>
        <w:rPr>
          <w:rFonts w:hint="eastAsia"/>
        </w:rPr>
        <w:t>年。</w:t>
      </w:r>
    </w:p>
    <w:p w:rsidR="00000000" w:rsidRDefault="00000000">
      <w:pPr>
        <w:pStyle w:val="FootnoteText"/>
        <w:autoSpaceDE w:val="0"/>
        <w:autoSpaceDN w:val="0"/>
        <w:ind w:left="360" w:firstLine="360"/>
        <w:jc w:val="both"/>
        <w:textAlignment w:val="bottom"/>
      </w:pPr>
      <w:r>
        <w:t>M. Brouns</w:t>
      </w:r>
      <w:r>
        <w:rPr>
          <w:rFonts w:hint="eastAsia"/>
        </w:rPr>
        <w:t>和</w:t>
      </w:r>
      <w:r>
        <w:t xml:space="preserve">M. Scholten, </w:t>
      </w:r>
      <w:r>
        <w:rPr>
          <w:rFonts w:hint="eastAsia"/>
        </w:rPr>
        <w:t>《</w:t>
      </w:r>
      <w:r>
        <w:t>Een Kwestie van mannelijkheid: een onderzoek naar mannelijkheid, normativiteit en beleid</w:t>
      </w:r>
      <w:r>
        <w:rPr>
          <w:rFonts w:hint="eastAsia"/>
        </w:rPr>
        <w:t>》</w:t>
      </w:r>
      <w:r>
        <w:t xml:space="preserve">, </w:t>
      </w:r>
      <w:r>
        <w:rPr>
          <w:rFonts w:hint="eastAsia"/>
        </w:rPr>
        <w:t>海牙，</w:t>
      </w:r>
      <w:r>
        <w:t>1997</w:t>
      </w:r>
      <w:r>
        <w:rPr>
          <w:rFonts w:hint="eastAsia"/>
        </w:rPr>
        <w:t>年。</w:t>
      </w:r>
    </w:p>
  </w:footnote>
  <w:footnote w:id="16">
    <w:p w:rsidR="00000000" w:rsidRDefault="00000000">
      <w:pPr>
        <w:pStyle w:val="FootnoteText"/>
        <w:autoSpaceDE w:val="0"/>
        <w:autoSpaceDN w:val="0"/>
        <w:ind w:firstLine="425"/>
        <w:jc w:val="both"/>
        <w:textAlignment w:val="bottom"/>
      </w:pPr>
      <w:r>
        <w:rPr>
          <w:rStyle w:val="FootnoteReference"/>
        </w:rPr>
        <w:t>14</w:t>
      </w:r>
      <w:r>
        <w:t xml:space="preserve">  </w:t>
      </w:r>
      <w:r>
        <w:rPr>
          <w:rFonts w:hint="eastAsia"/>
        </w:rPr>
        <w:t>自</w:t>
      </w:r>
      <w:r>
        <w:t>1998</w:t>
      </w:r>
      <w:r>
        <w:rPr>
          <w:rFonts w:hint="eastAsia"/>
        </w:rPr>
        <w:t>年</w:t>
      </w:r>
      <w:r>
        <w:t>8</w:t>
      </w:r>
      <w:r>
        <w:rPr>
          <w:rFonts w:hint="eastAsia"/>
        </w:rPr>
        <w:t>月新政府就职以来情况已发生变化。首要政治责任不再由社会和就业国务秘书承担，他（她）负责工作和照管及解放政策。</w:t>
      </w:r>
    </w:p>
  </w:footnote>
  <w:footnote w:id="17">
    <w:p w:rsidR="00000000" w:rsidRDefault="00000000">
      <w:pPr>
        <w:pStyle w:val="FootnoteText"/>
        <w:autoSpaceDE w:val="0"/>
        <w:autoSpaceDN w:val="0"/>
        <w:ind w:firstLine="425"/>
        <w:jc w:val="both"/>
        <w:textAlignment w:val="bottom"/>
      </w:pPr>
      <w:r>
        <w:rPr>
          <w:rStyle w:val="FootnoteReference"/>
        </w:rPr>
        <w:t>15</w:t>
      </w:r>
      <w:r>
        <w:t xml:space="preserve">  </w:t>
      </w:r>
      <w:r>
        <w:rPr>
          <w:rFonts w:hint="eastAsia"/>
        </w:rPr>
        <w:t>议会文件第二期，</w:t>
      </w:r>
      <w:r>
        <w:t>1997-1998</w:t>
      </w:r>
      <w:r>
        <w:rPr>
          <w:rFonts w:hint="eastAsia"/>
        </w:rPr>
        <w:t>年，第</w:t>
      </w:r>
      <w:r>
        <w:t>1</w:t>
      </w:r>
      <w:r>
        <w:rPr>
          <w:rFonts w:hint="eastAsia"/>
        </w:rPr>
        <w:t>和</w:t>
      </w:r>
      <w:r>
        <w:t>2</w:t>
      </w:r>
      <w:r>
        <w:rPr>
          <w:rFonts w:hint="eastAsia"/>
        </w:rPr>
        <w:t>号。</w:t>
      </w:r>
    </w:p>
  </w:footnote>
  <w:footnote w:id="18">
    <w:p w:rsidR="00000000" w:rsidRDefault="00000000">
      <w:pPr>
        <w:pStyle w:val="FootnoteText"/>
        <w:autoSpaceDE w:val="0"/>
        <w:autoSpaceDN w:val="0"/>
        <w:ind w:firstLine="425"/>
        <w:jc w:val="both"/>
        <w:textAlignment w:val="bottom"/>
      </w:pPr>
      <w:r>
        <w:rPr>
          <w:rStyle w:val="FootnoteReference"/>
        </w:rPr>
        <w:t>16</w:t>
      </w:r>
      <w:r>
        <w:t xml:space="preserve">  </w:t>
      </w:r>
      <w:r>
        <w:rPr>
          <w:rFonts w:hint="eastAsia"/>
        </w:rPr>
        <w:t>向议会报告</w:t>
      </w:r>
      <w:r>
        <w:t>1997/1998</w:t>
      </w:r>
      <w:r>
        <w:rPr>
          <w:rFonts w:hint="eastAsia"/>
        </w:rPr>
        <w:t>年平等权利政策方面进展情况的信件。</w:t>
      </w:r>
    </w:p>
  </w:footnote>
  <w:footnote w:id="19">
    <w:p w:rsidR="00000000" w:rsidRDefault="00000000">
      <w:pPr>
        <w:pStyle w:val="FootnoteText"/>
        <w:autoSpaceDE w:val="0"/>
        <w:autoSpaceDN w:val="0"/>
        <w:ind w:firstLine="425"/>
        <w:jc w:val="both"/>
        <w:textAlignment w:val="bottom"/>
      </w:pPr>
      <w:r>
        <w:rPr>
          <w:rStyle w:val="FootnoteReference"/>
        </w:rPr>
        <w:t>17</w:t>
      </w:r>
      <w:r>
        <w:t xml:space="preserve">  </w:t>
      </w:r>
      <w:r>
        <w:rPr>
          <w:rFonts w:hint="eastAsia"/>
        </w:rPr>
        <w:t>该法的正式名称为“</w:t>
      </w:r>
      <w:r>
        <w:t>1992</w:t>
      </w:r>
      <w:r>
        <w:rPr>
          <w:rFonts w:hint="eastAsia"/>
        </w:rPr>
        <w:t>年</w:t>
      </w:r>
      <w:r>
        <w:t>12</w:t>
      </w:r>
      <w:r>
        <w:rPr>
          <w:rFonts w:hint="eastAsia"/>
        </w:rPr>
        <w:t>月</w:t>
      </w:r>
      <w:r>
        <w:t>23</w:t>
      </w:r>
      <w:r>
        <w:rPr>
          <w:rFonts w:hint="eastAsia"/>
        </w:rPr>
        <w:t>日法，以补充刑法典、刑事诉讼程序法典、刑事伤害补偿基金（临时方案）法和其他为刑事犯罪受害者规定的法律”。</w:t>
      </w:r>
    </w:p>
  </w:footnote>
  <w:footnote w:id="20">
    <w:p w:rsidR="00000000" w:rsidRDefault="00000000">
      <w:pPr>
        <w:pStyle w:val="FootnoteText"/>
        <w:autoSpaceDE w:val="0"/>
        <w:autoSpaceDN w:val="0"/>
        <w:ind w:firstLine="425"/>
        <w:jc w:val="both"/>
        <w:textAlignment w:val="bottom"/>
      </w:pPr>
      <w:r>
        <w:rPr>
          <w:rStyle w:val="FootnoteReference"/>
        </w:rPr>
        <w:t>18</w:t>
      </w:r>
      <w:r>
        <w:t xml:space="preserve">  Dijk, Tom van</w:t>
      </w:r>
      <w:r>
        <w:rPr>
          <w:rFonts w:hint="eastAsia"/>
        </w:rPr>
        <w:t>等人著《家庭暴力：性质、范围和援助》，</w:t>
      </w:r>
      <w:r>
        <w:t>1997</w:t>
      </w:r>
      <w:r>
        <w:rPr>
          <w:rFonts w:hint="eastAsia"/>
        </w:rPr>
        <w:t>年。</w:t>
      </w:r>
    </w:p>
  </w:footnote>
  <w:footnote w:id="21">
    <w:p w:rsidR="00000000" w:rsidRDefault="00000000">
      <w:pPr>
        <w:pStyle w:val="FootnoteText"/>
        <w:autoSpaceDE w:val="0"/>
        <w:autoSpaceDN w:val="0"/>
        <w:ind w:firstLine="425"/>
        <w:jc w:val="both"/>
        <w:textAlignment w:val="bottom"/>
      </w:pPr>
      <w:r>
        <w:rPr>
          <w:rStyle w:val="FootnoteReference"/>
        </w:rPr>
        <w:t>19</w:t>
      </w:r>
      <w:r>
        <w:t xml:space="preserve">  V. Schuyf, </w:t>
      </w:r>
      <w:r>
        <w:rPr>
          <w:rFonts w:hint="eastAsia"/>
        </w:rPr>
        <w:t>《</w:t>
      </w:r>
      <w:r>
        <w:t>Oud Roze. De positie van lesbische en homoseksuele ouderen in Nederland</w:t>
      </w:r>
      <w:r>
        <w:rPr>
          <w:rFonts w:hint="eastAsia"/>
        </w:rPr>
        <w:t>》</w:t>
      </w:r>
      <w:r>
        <w:t xml:space="preserve"> Utrecht</w:t>
      </w:r>
      <w:r>
        <w:rPr>
          <w:rFonts w:hint="eastAsia"/>
        </w:rPr>
        <w:t>大学，</w:t>
      </w:r>
      <w:r>
        <w:t>Utrecht</w:t>
      </w:r>
      <w:r>
        <w:rPr>
          <w:rFonts w:hint="eastAsia"/>
        </w:rPr>
        <w:t>，</w:t>
      </w:r>
      <w:r>
        <w:t>1997</w:t>
      </w:r>
      <w:r>
        <w:rPr>
          <w:rFonts w:hint="eastAsia"/>
        </w:rPr>
        <w:t>年。</w:t>
      </w:r>
    </w:p>
  </w:footnote>
  <w:footnote w:id="22">
    <w:p w:rsidR="00000000" w:rsidRDefault="00000000">
      <w:pPr>
        <w:pStyle w:val="FootnoteText"/>
        <w:autoSpaceDE w:val="0"/>
        <w:autoSpaceDN w:val="0"/>
        <w:ind w:firstLine="425"/>
        <w:jc w:val="both"/>
        <w:textAlignment w:val="bottom"/>
      </w:pPr>
      <w:r>
        <w:rPr>
          <w:rStyle w:val="FootnoteReference"/>
        </w:rPr>
        <w:t>20</w:t>
      </w:r>
      <w:r>
        <w:t xml:space="preserve">  </w:t>
      </w:r>
      <w:r>
        <w:rPr>
          <w:rFonts w:hint="eastAsia"/>
        </w:rPr>
        <w:t>该指南的第一部分提供有关性暴力的背景资料。还说明了受攻击后受害者可采取的行动方针以及哪些部门和组织与此有关。第二部分完全用来说明性暴力受害者可得到的不同形式的咨询和援助。第三部分阐明有关性暴力受害者的法律与规章。第四部分说明如果受害人决定向警察报告和（或）对施暴者进行法律诉讼应采取的程序。第五部分列出了各种地址并载有各种关于性暴力的资料（包括一个推荐读物清单）以及关于社会工作者、警察等的作用的材料。提供该指南时还带有一个含有说明不同罪行时效期限方案的计算机软盘。</w:t>
      </w:r>
    </w:p>
  </w:footnote>
  <w:footnote w:id="23">
    <w:p w:rsidR="00000000" w:rsidRDefault="00000000">
      <w:pPr>
        <w:pStyle w:val="FootnoteText"/>
        <w:autoSpaceDE w:val="0"/>
        <w:autoSpaceDN w:val="0"/>
        <w:ind w:firstLine="425"/>
        <w:jc w:val="both"/>
        <w:textAlignment w:val="bottom"/>
      </w:pPr>
      <w:r>
        <w:rPr>
          <w:rStyle w:val="FootnoteReference"/>
        </w:rPr>
        <w:t>21</w:t>
      </w:r>
      <w:r>
        <w:t xml:space="preserve">  Bos, Elroy, Carolien Martijn and Hedwig te Molder, </w:t>
      </w:r>
      <w:r>
        <w:rPr>
          <w:rFonts w:hint="eastAsia"/>
        </w:rPr>
        <w:t>《性是自然的，但不应认为是理所当然的：对名为‘预防性暴力’的多年信息运动的作用的调查》，</w:t>
      </w:r>
      <w:r>
        <w:t>1997</w:t>
      </w:r>
      <w:r>
        <w:rPr>
          <w:rFonts w:hint="eastAsia"/>
        </w:rPr>
        <w:t>年。</w:t>
      </w:r>
    </w:p>
  </w:footnote>
  <w:footnote w:id="24">
    <w:p w:rsidR="00000000" w:rsidRDefault="00000000">
      <w:pPr>
        <w:pStyle w:val="FootnoteText"/>
        <w:ind w:firstLine="425"/>
        <w:jc w:val="both"/>
      </w:pPr>
      <w:r>
        <w:rPr>
          <w:rStyle w:val="FootnoteReference"/>
        </w:rPr>
        <w:t>22</w:t>
      </w:r>
      <w:r>
        <w:t xml:space="preserve">  </w:t>
      </w:r>
      <w:r>
        <w:rPr>
          <w:rFonts w:hint="eastAsia"/>
        </w:rPr>
        <w:t>内政部出版关于政治和公共生活中妇女比例的年度进展报告。</w:t>
      </w:r>
    </w:p>
  </w:footnote>
  <w:footnote w:id="25">
    <w:p w:rsidR="00000000" w:rsidRDefault="00000000">
      <w:pPr>
        <w:pStyle w:val="FootnoteText"/>
        <w:ind w:firstLine="425"/>
        <w:jc w:val="both"/>
      </w:pPr>
      <w:r>
        <w:rPr>
          <w:rStyle w:val="FootnoteReference"/>
        </w:rPr>
        <w:t>23</w:t>
      </w:r>
      <w:r>
        <w:t xml:space="preserve">  </w:t>
      </w:r>
      <w:r>
        <w:rPr>
          <w:rFonts w:hint="eastAsia"/>
        </w:rPr>
        <w:t>从事非全日工作的男子百分比从</w:t>
      </w:r>
      <w:r>
        <w:t>1989</w:t>
      </w:r>
      <w:r>
        <w:rPr>
          <w:rFonts w:hint="eastAsia"/>
        </w:rPr>
        <w:t>年的</w:t>
      </w:r>
      <w:r>
        <w:t>4%</w:t>
      </w:r>
      <w:r>
        <w:rPr>
          <w:rFonts w:hint="eastAsia"/>
        </w:rPr>
        <w:t>上升到</w:t>
      </w:r>
      <w:r>
        <w:t>1996</w:t>
      </w:r>
      <w:r>
        <w:rPr>
          <w:rFonts w:hint="eastAsia"/>
        </w:rPr>
        <w:t>年底的</w:t>
      </w:r>
      <w:r>
        <w:t>7%</w:t>
      </w:r>
      <w:r>
        <w:rPr>
          <w:rFonts w:hint="eastAsia"/>
        </w:rPr>
        <w:t>。</w:t>
      </w:r>
    </w:p>
  </w:footnote>
  <w:footnote w:id="26">
    <w:p w:rsidR="00000000" w:rsidRDefault="00000000">
      <w:pPr>
        <w:pStyle w:val="FootnoteText"/>
        <w:autoSpaceDE w:val="0"/>
        <w:autoSpaceDN w:val="0"/>
        <w:ind w:firstLine="425"/>
        <w:jc w:val="both"/>
        <w:textAlignment w:val="bottom"/>
      </w:pPr>
      <w:r>
        <w:rPr>
          <w:rStyle w:val="FootnoteReference"/>
        </w:rPr>
        <w:t>24</w:t>
      </w:r>
      <w:r>
        <w:t xml:space="preserve">  </w:t>
      </w:r>
      <w:r>
        <w:rPr>
          <w:rFonts w:hint="eastAsia"/>
        </w:rPr>
        <w:t>荷兰统计资料（</w:t>
      </w:r>
      <w:r>
        <w:t>CBS</w:t>
      </w:r>
      <w:r>
        <w:rPr>
          <w:rFonts w:hint="eastAsia"/>
        </w:rPr>
        <w:t>），《</w:t>
      </w:r>
      <w:r>
        <w:t>1992-1994</w:t>
      </w:r>
      <w:r>
        <w:rPr>
          <w:rFonts w:hint="eastAsia"/>
        </w:rPr>
        <w:t>年的收入与资本》，</w:t>
      </w:r>
      <w:r>
        <w:t>1995</w:t>
      </w:r>
      <w:r>
        <w:rPr>
          <w:rFonts w:hint="eastAsia"/>
        </w:rPr>
        <w:t>年，海牙。</w:t>
      </w:r>
    </w:p>
  </w:footnote>
  <w:footnote w:id="27">
    <w:p w:rsidR="00000000" w:rsidRDefault="00000000">
      <w:pPr>
        <w:pStyle w:val="FootnoteText"/>
        <w:autoSpaceDE w:val="0"/>
        <w:autoSpaceDN w:val="0"/>
        <w:ind w:firstLine="425"/>
        <w:jc w:val="both"/>
        <w:textAlignment w:val="bottom"/>
      </w:pPr>
      <w:r>
        <w:rPr>
          <w:rStyle w:val="FootnoteReference"/>
        </w:rPr>
        <w:t>25</w:t>
      </w:r>
      <w:r>
        <w:t xml:space="preserve">  J.D.V/asb/om</w:t>
      </w:r>
      <w:r>
        <w:rPr>
          <w:rFonts w:hint="eastAsia"/>
        </w:rPr>
        <w:t>，</w:t>
      </w:r>
      <w:r>
        <w:t>A.de Grip</w:t>
      </w:r>
      <w:r>
        <w:rPr>
          <w:rFonts w:hint="eastAsia"/>
        </w:rPr>
        <w:t>和</w:t>
      </w:r>
      <w:r>
        <w:t>L.van Loo</w:t>
      </w:r>
      <w:r>
        <w:rPr>
          <w:rFonts w:hint="eastAsia"/>
        </w:rPr>
        <w:t>，《少数民族女孩和成员的职业前景》，</w:t>
      </w:r>
      <w:r>
        <w:t>ROA-R 1997/9</w:t>
      </w:r>
      <w:r>
        <w:rPr>
          <w:rFonts w:hint="eastAsia"/>
        </w:rPr>
        <w:t>，</w:t>
      </w:r>
      <w:r>
        <w:t>ROA</w:t>
      </w:r>
      <w:r>
        <w:rPr>
          <w:rFonts w:hint="eastAsia"/>
        </w:rPr>
        <w:t>，</w:t>
      </w:r>
      <w:r>
        <w:t>Maastricht</w:t>
      </w:r>
      <w:r>
        <w:rPr>
          <w:rFonts w:hint="eastAsia"/>
        </w:rPr>
        <w:t>，</w:t>
      </w:r>
      <w:r>
        <w:t>1997</w:t>
      </w:r>
      <w:r>
        <w:rPr>
          <w:rFonts w:hint="eastAsia"/>
        </w:rPr>
        <w:t>年。</w:t>
      </w:r>
    </w:p>
  </w:footnote>
  <w:footnote w:id="28">
    <w:p w:rsidR="00000000" w:rsidRDefault="00000000">
      <w:pPr>
        <w:pStyle w:val="FootnoteText"/>
        <w:autoSpaceDE w:val="0"/>
        <w:autoSpaceDN w:val="0"/>
        <w:ind w:firstLine="425"/>
        <w:jc w:val="both"/>
        <w:textAlignment w:val="bottom"/>
      </w:pPr>
      <w:r>
        <w:rPr>
          <w:rStyle w:val="FootnoteReference"/>
        </w:rPr>
        <w:t>26</w:t>
      </w:r>
      <w:r>
        <w:t xml:space="preserve">  </w:t>
      </w:r>
      <w:r>
        <w:rPr>
          <w:rFonts w:hint="eastAsia"/>
        </w:rPr>
        <w:t>《</w:t>
      </w:r>
      <w:r>
        <w:t>1997</w:t>
      </w:r>
      <w:r>
        <w:rPr>
          <w:rFonts w:hint="eastAsia"/>
        </w:rPr>
        <w:t>年解放年鉴》的数据，</w:t>
      </w:r>
      <w:r>
        <w:t>VUGA</w:t>
      </w:r>
      <w:r>
        <w:rPr>
          <w:rFonts w:hint="eastAsia"/>
        </w:rPr>
        <w:t>，海牙，</w:t>
      </w:r>
      <w:r>
        <w:t>1997</w:t>
      </w:r>
      <w:r>
        <w:rPr>
          <w:rFonts w:hint="eastAsia"/>
        </w:rPr>
        <w:t>年。</w:t>
      </w:r>
    </w:p>
  </w:footnote>
  <w:footnote w:id="29">
    <w:p w:rsidR="00000000" w:rsidRDefault="00000000">
      <w:pPr>
        <w:pStyle w:val="FootnoteText"/>
        <w:autoSpaceDE w:val="0"/>
        <w:autoSpaceDN w:val="0"/>
        <w:ind w:firstLine="425"/>
        <w:jc w:val="both"/>
        <w:textAlignment w:val="bottom"/>
      </w:pPr>
      <w:r>
        <w:rPr>
          <w:rStyle w:val="FootnoteReference"/>
        </w:rPr>
        <w:t>27</w:t>
      </w:r>
      <w:r>
        <w:t xml:space="preserve">  </w:t>
      </w:r>
      <w:r>
        <w:rPr>
          <w:rFonts w:hint="eastAsia"/>
        </w:rPr>
        <w:t>政府政策咨询委员会，《一分为二的前景》，海牙，</w:t>
      </w:r>
      <w:r>
        <w:t>1996</w:t>
      </w:r>
      <w:r>
        <w:rPr>
          <w:rFonts w:hint="eastAsia"/>
        </w:rPr>
        <w:t>年。</w:t>
      </w:r>
    </w:p>
  </w:footnote>
  <w:footnote w:id="30">
    <w:p w:rsidR="00000000" w:rsidRDefault="00000000">
      <w:pPr>
        <w:pStyle w:val="FootnoteText"/>
        <w:autoSpaceDE w:val="0"/>
        <w:autoSpaceDN w:val="0"/>
        <w:ind w:firstLine="425"/>
        <w:jc w:val="both"/>
        <w:textAlignment w:val="bottom"/>
      </w:pPr>
      <w:r>
        <w:rPr>
          <w:rStyle w:val="FootnoteReference"/>
        </w:rPr>
        <w:t>28</w:t>
      </w:r>
      <w:r>
        <w:t xml:space="preserve">  </w:t>
      </w:r>
      <w:r>
        <w:rPr>
          <w:rFonts w:hint="eastAsia"/>
        </w:rPr>
        <w:t>同注</w:t>
      </w:r>
      <w:r>
        <w:t>25</w:t>
      </w:r>
      <w:r>
        <w:rPr>
          <w:rFonts w:hint="eastAsia"/>
        </w:rPr>
        <w:t>。</w:t>
      </w:r>
    </w:p>
  </w:footnote>
  <w:footnote w:id="31">
    <w:p w:rsidR="00000000" w:rsidRDefault="00000000">
      <w:pPr>
        <w:pStyle w:val="FootnoteText"/>
        <w:autoSpaceDE w:val="0"/>
        <w:autoSpaceDN w:val="0"/>
        <w:ind w:firstLine="425"/>
        <w:jc w:val="both"/>
        <w:textAlignment w:val="bottom"/>
      </w:pPr>
      <w:r>
        <w:rPr>
          <w:rStyle w:val="FootnoteReference"/>
        </w:rPr>
        <w:t>29</w:t>
      </w:r>
      <w:r>
        <w:t xml:space="preserve">  J.Plantenga</w:t>
      </w:r>
      <w:r>
        <w:rPr>
          <w:rFonts w:hint="eastAsia"/>
        </w:rPr>
        <w:t>等人“</w:t>
      </w:r>
      <w:r>
        <w:t>1990-1995</w:t>
      </w:r>
      <w:r>
        <w:rPr>
          <w:rFonts w:hint="eastAsia"/>
        </w:rPr>
        <w:t>年的妇女社会和经济状况”，代表社会和就业部编写的一份报告，</w:t>
      </w:r>
      <w:r>
        <w:t>1997</w:t>
      </w:r>
      <w:r>
        <w:rPr>
          <w:rFonts w:hint="eastAsia"/>
        </w:rPr>
        <w:t>年。</w:t>
      </w:r>
    </w:p>
    <w:p w:rsidR="00000000" w:rsidRDefault="00000000">
      <w:pPr>
        <w:pStyle w:val="FootnoteText"/>
        <w:autoSpaceDE w:val="0"/>
        <w:autoSpaceDN w:val="0"/>
        <w:ind w:firstLine="720"/>
        <w:jc w:val="both"/>
        <w:textAlignment w:val="bottom"/>
      </w:pPr>
      <w:r>
        <w:rPr>
          <w:rFonts w:hint="eastAsia"/>
        </w:rPr>
        <w:t>社会和就业部工厂督察员，“劳动平等机会，对实际集体协议和方案的研究”，</w:t>
      </w:r>
      <w:r>
        <w:t>1997</w:t>
      </w:r>
      <w:r>
        <w:rPr>
          <w:rFonts w:hint="eastAsia"/>
        </w:rPr>
        <w:t>年。</w:t>
      </w:r>
    </w:p>
  </w:footnote>
  <w:footnote w:id="32">
    <w:p w:rsidR="00000000" w:rsidRDefault="00000000">
      <w:pPr>
        <w:pStyle w:val="FootnoteText"/>
        <w:tabs>
          <w:tab w:val="left" w:pos="390"/>
        </w:tabs>
        <w:autoSpaceDE w:val="0"/>
        <w:autoSpaceDN w:val="0"/>
        <w:ind w:firstLine="425"/>
        <w:jc w:val="both"/>
        <w:textAlignment w:val="bottom"/>
      </w:pPr>
      <w:r>
        <w:rPr>
          <w:rStyle w:val="FootnoteReference"/>
        </w:rPr>
        <w:t>30</w:t>
      </w:r>
      <w:r>
        <w:t xml:space="preserve">  J.Mozes-Philips</w:t>
      </w:r>
      <w:r>
        <w:rPr>
          <w:rFonts w:hint="eastAsia"/>
        </w:rPr>
        <w:t>和</w:t>
      </w:r>
      <w:r>
        <w:t>A. Wester</w:t>
      </w:r>
      <w:r>
        <w:rPr>
          <w:rFonts w:hint="eastAsia"/>
        </w:rPr>
        <w:t>，“关心未来，对有家室牵累的父亲的就业前景的研究”，社会和就业部，海牙，</w:t>
      </w:r>
      <w:r>
        <w:t>1993</w:t>
      </w:r>
      <w:r>
        <w:rPr>
          <w:rFonts w:hint="eastAsia"/>
        </w:rPr>
        <w:t>年。</w:t>
      </w:r>
    </w:p>
    <w:p w:rsidR="00000000" w:rsidRDefault="00000000">
      <w:pPr>
        <w:pStyle w:val="FootnoteText"/>
        <w:autoSpaceDE w:val="0"/>
        <w:autoSpaceDN w:val="0"/>
        <w:ind w:left="360" w:firstLine="360"/>
        <w:jc w:val="both"/>
        <w:textAlignment w:val="bottom"/>
      </w:pPr>
      <w:r>
        <w:t>DCA</w:t>
      </w:r>
      <w:r>
        <w:rPr>
          <w:rFonts w:hint="eastAsia"/>
        </w:rPr>
        <w:t>，“对男女平等</w:t>
      </w:r>
      <w:r>
        <w:t>/</w:t>
      </w:r>
      <w:r>
        <w:rPr>
          <w:rFonts w:hint="eastAsia"/>
        </w:rPr>
        <w:t>不平等待遇的调查报告”，</w:t>
      </w:r>
      <w:r>
        <w:t>DCA/VUGA</w:t>
      </w:r>
      <w:r>
        <w:rPr>
          <w:rFonts w:hint="eastAsia"/>
        </w:rPr>
        <w:t>，海牙，</w:t>
      </w:r>
      <w:r>
        <w:t>1993</w:t>
      </w:r>
      <w:r>
        <w:rPr>
          <w:rFonts w:hint="eastAsia"/>
        </w:rPr>
        <w:t>年。</w:t>
      </w:r>
    </w:p>
    <w:p w:rsidR="00000000" w:rsidRDefault="00000000">
      <w:pPr>
        <w:pStyle w:val="FootnoteText"/>
        <w:autoSpaceDE w:val="0"/>
        <w:autoSpaceDN w:val="0"/>
        <w:ind w:left="360" w:firstLine="360"/>
        <w:jc w:val="both"/>
        <w:textAlignment w:val="bottom"/>
      </w:pPr>
      <w:r>
        <w:rPr>
          <w:rFonts w:hint="eastAsia"/>
        </w:rPr>
        <w:t>评估双亲假法定安排的调查，</w:t>
      </w:r>
      <w:r>
        <w:t>DCA/LTD</w:t>
      </w:r>
      <w:r>
        <w:rPr>
          <w:rFonts w:hint="eastAsia"/>
        </w:rPr>
        <w:t>，海牙，</w:t>
      </w:r>
      <w:r>
        <w:t>1994</w:t>
      </w:r>
      <w:r>
        <w:rPr>
          <w:rFonts w:hint="eastAsia"/>
        </w:rPr>
        <w:t>年。</w:t>
      </w:r>
    </w:p>
    <w:p w:rsidR="00000000" w:rsidRDefault="00000000">
      <w:pPr>
        <w:pStyle w:val="FootnoteText"/>
        <w:autoSpaceDE w:val="0"/>
        <w:autoSpaceDN w:val="0"/>
        <w:ind w:left="360" w:firstLine="360"/>
        <w:jc w:val="both"/>
        <w:textAlignment w:val="bottom"/>
      </w:pPr>
      <w:r>
        <w:rPr>
          <w:rFonts w:hint="eastAsia"/>
        </w:rPr>
        <w:t>“对妇女奖励方案实际行动的效果的研究”，社会和就业部，海牙，</w:t>
      </w:r>
      <w:r>
        <w:t>1994</w:t>
      </w:r>
      <w:r>
        <w:rPr>
          <w:rFonts w:hint="eastAsia"/>
        </w:rPr>
        <w:t>年。</w:t>
      </w:r>
    </w:p>
    <w:p w:rsidR="00000000" w:rsidRDefault="00000000">
      <w:pPr>
        <w:pStyle w:val="FootnoteText"/>
        <w:autoSpaceDE w:val="0"/>
        <w:autoSpaceDN w:val="0"/>
        <w:ind w:left="360" w:firstLine="360"/>
        <w:jc w:val="both"/>
        <w:textAlignment w:val="bottom"/>
      </w:pPr>
      <w:r>
        <w:rPr>
          <w:rFonts w:hint="eastAsia"/>
        </w:rPr>
        <w:t>“平等待遇（男女）法的作用，两个分项调查”，</w:t>
      </w:r>
      <w:r>
        <w:t>SZW/VUGA,1995</w:t>
      </w:r>
      <w:r>
        <w:rPr>
          <w:rFonts w:hint="eastAsia"/>
        </w:rPr>
        <w:t>年。</w:t>
      </w:r>
    </w:p>
    <w:p w:rsidR="00000000" w:rsidRDefault="00000000">
      <w:pPr>
        <w:pStyle w:val="FootnoteText"/>
        <w:autoSpaceDE w:val="0"/>
        <w:autoSpaceDN w:val="0"/>
        <w:ind w:left="360" w:firstLine="360"/>
        <w:jc w:val="both"/>
        <w:textAlignment w:val="bottom"/>
      </w:pPr>
      <w:r>
        <w:t>M.Brouns</w:t>
      </w:r>
      <w:r>
        <w:rPr>
          <w:rFonts w:hint="eastAsia"/>
        </w:rPr>
        <w:t>和</w:t>
      </w:r>
      <w:r>
        <w:t>M. Griinell</w:t>
      </w:r>
      <w:r>
        <w:rPr>
          <w:rFonts w:hint="eastAsia"/>
        </w:rPr>
        <w:t>，“养育假；对实际实现养育假的研究”</w:t>
      </w:r>
      <w:r>
        <w:t>VUGA</w:t>
      </w:r>
      <w:r>
        <w:rPr>
          <w:rFonts w:hint="eastAsia"/>
        </w:rPr>
        <w:t>，海牙，</w:t>
      </w:r>
      <w:r>
        <w:t>1996</w:t>
      </w:r>
      <w:r>
        <w:rPr>
          <w:rFonts w:hint="eastAsia"/>
        </w:rPr>
        <w:t>年。</w:t>
      </w:r>
    </w:p>
    <w:p w:rsidR="00000000" w:rsidRDefault="00000000">
      <w:pPr>
        <w:pStyle w:val="FootnoteText"/>
        <w:autoSpaceDE w:val="0"/>
        <w:autoSpaceDN w:val="0"/>
        <w:ind w:left="360" w:firstLine="360"/>
        <w:jc w:val="both"/>
        <w:textAlignment w:val="bottom"/>
      </w:pPr>
      <w:r>
        <w:t>W. Groot</w:t>
      </w:r>
      <w:r>
        <w:rPr>
          <w:rFonts w:hint="eastAsia"/>
        </w:rPr>
        <w:t>和</w:t>
      </w:r>
      <w:r>
        <w:t>H. Maassen van den Brink</w:t>
      </w:r>
      <w:r>
        <w:rPr>
          <w:rFonts w:hint="eastAsia"/>
        </w:rPr>
        <w:t>，“对妇女为什么第一个孩子出生后即停止工作的原因的研究”，</w:t>
      </w:r>
      <w:r>
        <w:t>VUGA</w:t>
      </w:r>
      <w:r>
        <w:rPr>
          <w:rFonts w:hint="eastAsia"/>
        </w:rPr>
        <w:t>，海牙，</w:t>
      </w:r>
      <w:r>
        <w:t>1997</w:t>
      </w:r>
      <w:r>
        <w:rPr>
          <w:rFonts w:hint="eastAsia"/>
        </w:rPr>
        <w:t>年。</w:t>
      </w:r>
    </w:p>
    <w:p w:rsidR="00000000" w:rsidRDefault="00000000">
      <w:pPr>
        <w:pStyle w:val="FootnoteText"/>
        <w:autoSpaceDE w:val="0"/>
        <w:autoSpaceDN w:val="0"/>
        <w:ind w:left="360" w:firstLine="360"/>
        <w:jc w:val="both"/>
        <w:textAlignment w:val="bottom"/>
      </w:pPr>
      <w:r>
        <w:t>B. Cuelenaere</w:t>
      </w:r>
      <w:r>
        <w:rPr>
          <w:rFonts w:hint="eastAsia"/>
        </w:rPr>
        <w:t>，“对长期休病假的男女的病历的研究”，鹿特丹</w:t>
      </w:r>
      <w:r>
        <w:t>Erasmus</w:t>
      </w:r>
      <w:r>
        <w:rPr>
          <w:rFonts w:hint="eastAsia"/>
        </w:rPr>
        <w:t>大学社会学系，鹿特丹，</w:t>
      </w:r>
      <w:r>
        <w:t>1997</w:t>
      </w:r>
      <w:r>
        <w:rPr>
          <w:rFonts w:hint="eastAsia"/>
        </w:rPr>
        <w:t>年。</w:t>
      </w:r>
    </w:p>
    <w:p w:rsidR="00000000" w:rsidRDefault="00000000">
      <w:pPr>
        <w:pStyle w:val="FootnoteText"/>
        <w:autoSpaceDE w:val="0"/>
        <w:autoSpaceDN w:val="0"/>
        <w:ind w:left="360" w:firstLine="360"/>
        <w:jc w:val="both"/>
        <w:textAlignment w:val="bottom"/>
      </w:pPr>
      <w:r>
        <w:t>W.C.Kers</w:t>
      </w:r>
      <w:r>
        <w:rPr>
          <w:rFonts w:hint="eastAsia"/>
        </w:rPr>
        <w:t>，</w:t>
      </w:r>
      <w:r>
        <w:t>HG van der Stelt</w:t>
      </w:r>
      <w:r>
        <w:rPr>
          <w:rFonts w:hint="eastAsia"/>
        </w:rPr>
        <w:t>，</w:t>
      </w:r>
      <w:r>
        <w:t>J.G. Fiseler</w:t>
      </w:r>
      <w:r>
        <w:rPr>
          <w:rFonts w:hint="eastAsia"/>
        </w:rPr>
        <w:t>，“裁员或重新聘用：</w:t>
      </w:r>
      <w:r>
        <w:t>1987</w:t>
      </w:r>
      <w:r>
        <w:rPr>
          <w:rFonts w:hint="eastAsia"/>
        </w:rPr>
        <w:t>年审查制度前后按照《病残人保险法》提出要求的人”，海牙，</w:t>
      </w:r>
      <w:r>
        <w:t>1996</w:t>
      </w:r>
      <w:r>
        <w:rPr>
          <w:rFonts w:hint="eastAsia"/>
        </w:rPr>
        <w:t>年。</w:t>
      </w:r>
    </w:p>
    <w:p w:rsidR="00000000" w:rsidRDefault="00000000">
      <w:pPr>
        <w:pStyle w:val="FootnoteText"/>
        <w:autoSpaceDE w:val="0"/>
        <w:autoSpaceDN w:val="0"/>
        <w:ind w:firstLine="425"/>
        <w:jc w:val="both"/>
        <w:textAlignment w:val="bottom"/>
      </w:pPr>
      <w:r>
        <w:t>J.J.M. Besseling, W. ran der Kolk</w:t>
      </w:r>
      <w:r>
        <w:rPr>
          <w:rFonts w:hint="eastAsia"/>
        </w:rPr>
        <w:t>和</w:t>
      </w:r>
      <w:r>
        <w:t>H. Verbrugh</w:t>
      </w:r>
      <w:r>
        <w:rPr>
          <w:rFonts w:hint="eastAsia"/>
        </w:rPr>
        <w:t>，“按照《失业保险法》‘救济对象’群体的福利补贴”，</w:t>
      </w:r>
      <w:r>
        <w:t>VUGA</w:t>
      </w:r>
      <w:r>
        <w:rPr>
          <w:rFonts w:hint="eastAsia"/>
        </w:rPr>
        <w:t>，海牙，</w:t>
      </w:r>
      <w:r>
        <w:t>1996</w:t>
      </w:r>
      <w:r>
        <w:rPr>
          <w:rFonts w:hint="eastAsia"/>
        </w:rPr>
        <w:t>年。</w:t>
      </w:r>
    </w:p>
    <w:p w:rsidR="00000000" w:rsidRDefault="00000000">
      <w:pPr>
        <w:pStyle w:val="FootnoteText"/>
        <w:autoSpaceDE w:val="0"/>
        <w:autoSpaceDN w:val="0"/>
        <w:ind w:firstLine="425"/>
        <w:jc w:val="both"/>
        <w:textAlignment w:val="bottom"/>
      </w:pPr>
      <w:r>
        <w:t>J.H.P.G. Wielders</w:t>
      </w:r>
      <w:r>
        <w:rPr>
          <w:rFonts w:hint="eastAsia"/>
        </w:rPr>
        <w:t>，“</w:t>
      </w:r>
      <w:r>
        <w:t>1990</w:t>
      </w:r>
      <w:r>
        <w:rPr>
          <w:rFonts w:hint="eastAsia"/>
        </w:rPr>
        <w:t>年的措施：对《社会保障补充法》第</w:t>
      </w:r>
      <w:r>
        <w:t>3</w:t>
      </w:r>
      <w:r>
        <w:rPr>
          <w:rFonts w:hint="eastAsia"/>
        </w:rPr>
        <w:t>条的法律分析”，</w:t>
      </w:r>
      <w:r>
        <w:t>Gerard Noodtinstituut</w:t>
      </w:r>
      <w:r>
        <w:rPr>
          <w:rFonts w:hint="eastAsia"/>
        </w:rPr>
        <w:t>，</w:t>
      </w:r>
      <w:r>
        <w:t>Nijmegen,1996</w:t>
      </w:r>
      <w:r>
        <w:rPr>
          <w:rFonts w:hint="eastAsia"/>
        </w:rPr>
        <w:t>年。</w:t>
      </w:r>
    </w:p>
    <w:p w:rsidR="00000000" w:rsidRDefault="00000000">
      <w:pPr>
        <w:pStyle w:val="FootnoteText"/>
        <w:autoSpaceDE w:val="0"/>
        <w:autoSpaceDN w:val="0"/>
        <w:ind w:firstLine="425"/>
        <w:jc w:val="both"/>
        <w:textAlignment w:val="bottom"/>
      </w:pPr>
      <w:r>
        <w:t>I.Asscher-Vonk</w:t>
      </w:r>
      <w:r>
        <w:rPr>
          <w:rFonts w:hint="eastAsia"/>
        </w:rPr>
        <w:t>，“欧洲共同体内男女在法律面前一律平等：荷兰”</w:t>
      </w:r>
      <w:r>
        <w:t>Martinus Nijhoff</w:t>
      </w:r>
      <w:r>
        <w:rPr>
          <w:rFonts w:hint="eastAsia"/>
        </w:rPr>
        <w:t>出版社，卢森堡，</w:t>
      </w:r>
      <w:r>
        <w:t>1995</w:t>
      </w:r>
      <w:r>
        <w:rPr>
          <w:rFonts w:hint="eastAsia"/>
        </w:rPr>
        <w:t>年。</w:t>
      </w:r>
    </w:p>
    <w:p w:rsidR="00000000" w:rsidRDefault="00000000">
      <w:pPr>
        <w:pStyle w:val="FootnoteText"/>
        <w:autoSpaceDE w:val="0"/>
        <w:autoSpaceDN w:val="0"/>
        <w:ind w:firstLine="425"/>
        <w:jc w:val="both"/>
        <w:textAlignment w:val="bottom"/>
      </w:pPr>
      <w:r>
        <w:t>M.M.H Kraamwinkel</w:t>
      </w:r>
      <w:r>
        <w:rPr>
          <w:rFonts w:hint="eastAsia"/>
        </w:rPr>
        <w:t>，“养恤金、解放和平等待遇”，</w:t>
      </w:r>
      <w:r>
        <w:t>FED</w:t>
      </w:r>
      <w:r>
        <w:rPr>
          <w:rFonts w:hint="eastAsia"/>
        </w:rPr>
        <w:t>，</w:t>
      </w:r>
      <w:r>
        <w:t>Deventer</w:t>
      </w:r>
      <w:r>
        <w:rPr>
          <w:rFonts w:hint="eastAsia"/>
        </w:rPr>
        <w:t>，</w:t>
      </w:r>
      <w:r>
        <w:t>1995</w:t>
      </w:r>
      <w:r>
        <w:rPr>
          <w:rFonts w:hint="eastAsia"/>
        </w:rPr>
        <w:t>年私营部门领养老金者协会咨询机构，“对纠正老年妇女失去养老金权利的范围的研究”，</w:t>
      </w:r>
      <w:r>
        <w:t xml:space="preserve"> Instituut Vrouw en Arbeid</w:t>
      </w:r>
      <w:r>
        <w:rPr>
          <w:rFonts w:hint="eastAsia"/>
        </w:rPr>
        <w:t>，</w:t>
      </w:r>
      <w:r>
        <w:t>1994</w:t>
      </w:r>
      <w:r>
        <w:rPr>
          <w:rFonts w:hint="eastAsia"/>
        </w:rPr>
        <w:t>年。</w:t>
      </w:r>
    </w:p>
    <w:p w:rsidR="00000000" w:rsidRDefault="00000000">
      <w:pPr>
        <w:pStyle w:val="FootnoteText"/>
        <w:autoSpaceDE w:val="0"/>
        <w:autoSpaceDN w:val="0"/>
        <w:ind w:firstLine="425"/>
        <w:jc w:val="both"/>
        <w:textAlignment w:val="bottom"/>
      </w:pPr>
      <w:r>
        <w:t>M.J. de Meij</w:t>
      </w:r>
      <w:r>
        <w:rPr>
          <w:rFonts w:hint="eastAsia"/>
        </w:rPr>
        <w:t>，“对个性化和独立性过程的一项国际调查，”社会和就业部，海牙，</w:t>
      </w:r>
      <w:r>
        <w:t>1993</w:t>
      </w:r>
      <w:r>
        <w:rPr>
          <w:rFonts w:hint="eastAsia"/>
        </w:rPr>
        <w:t>年。</w:t>
      </w:r>
    </w:p>
  </w:footnote>
  <w:footnote w:id="33">
    <w:p w:rsidR="00000000" w:rsidRDefault="00000000">
      <w:pPr>
        <w:pStyle w:val="FootnoteText"/>
        <w:ind w:firstLine="425"/>
        <w:jc w:val="both"/>
      </w:pPr>
      <w:r>
        <w:rPr>
          <w:rStyle w:val="FootnoteReference"/>
        </w:rPr>
        <w:t>31</w:t>
      </w:r>
      <w:r>
        <w:t xml:space="preserve">  EIM/KNOV/NIPO</w:t>
      </w:r>
      <w:r>
        <w:rPr>
          <w:rFonts w:hint="eastAsia"/>
        </w:rPr>
        <w:t>，</w:t>
      </w:r>
      <w:r>
        <w:t>Vrou wen van 25 miljard, Delft, 1994</w:t>
      </w:r>
      <w:r>
        <w:rPr>
          <w:rFonts w:hint="eastAsia"/>
        </w:rPr>
        <w:t>年。</w:t>
      </w:r>
    </w:p>
  </w:footnote>
  <w:footnote w:id="34">
    <w:p w:rsidR="00000000" w:rsidRDefault="00000000">
      <w:pPr>
        <w:pStyle w:val="FootnoteText"/>
        <w:ind w:firstLine="425"/>
        <w:jc w:val="both"/>
      </w:pPr>
      <w:r>
        <w:rPr>
          <w:rStyle w:val="FootnoteReference"/>
        </w:rPr>
        <w:t>32</w:t>
      </w:r>
      <w:r>
        <w:t xml:space="preserve">  </w:t>
      </w:r>
      <w:r>
        <w:rPr>
          <w:rFonts w:hint="eastAsia"/>
        </w:rPr>
        <w:t>关于欧洲法院对这个案子的初步裁决，见</w:t>
      </w:r>
      <w:r>
        <w:t>C-177/88</w:t>
      </w:r>
      <w:r>
        <w:rPr>
          <w:rFonts w:hint="eastAsia"/>
        </w:rPr>
        <w:t>，</w:t>
      </w:r>
      <w:r>
        <w:t>1990</w:t>
      </w:r>
      <w:r>
        <w:rPr>
          <w:rFonts w:hint="eastAsia"/>
        </w:rPr>
        <w:t>年</w:t>
      </w:r>
      <w:r>
        <w:t>11</w:t>
      </w:r>
      <w:r>
        <w:rPr>
          <w:rFonts w:hint="eastAsia"/>
        </w:rPr>
        <w:t>月</w:t>
      </w:r>
      <w:r>
        <w:t>8</w:t>
      </w:r>
      <w:r>
        <w:rPr>
          <w:rFonts w:hint="eastAsia"/>
        </w:rPr>
        <w:t>日。</w:t>
      </w:r>
    </w:p>
  </w:footnote>
  <w:footnote w:id="35">
    <w:p w:rsidR="00000000" w:rsidRDefault="00000000">
      <w:pPr>
        <w:pStyle w:val="FootnoteText"/>
        <w:ind w:firstLine="425"/>
        <w:jc w:val="both"/>
      </w:pPr>
      <w:r>
        <w:rPr>
          <w:rStyle w:val="FootnoteReference"/>
        </w:rPr>
        <w:t>33</w:t>
      </w:r>
      <w:r>
        <w:t xml:space="preserve">  C. de Olde, </w:t>
      </w:r>
      <w:r>
        <w:rPr>
          <w:rFonts w:hint="eastAsia"/>
        </w:rPr>
        <w:t>《</w:t>
      </w:r>
      <w:r>
        <w:t>Leidinggeven in deeltijd: ervaringen uit de praktijk</w:t>
      </w:r>
      <w:r>
        <w:rPr>
          <w:rFonts w:hint="eastAsia"/>
        </w:rPr>
        <w:t>》，</w:t>
      </w:r>
      <w:r>
        <w:t>VUGA</w:t>
      </w:r>
      <w:r>
        <w:rPr>
          <w:rFonts w:hint="eastAsia"/>
        </w:rPr>
        <w:t>，海牙，</w:t>
      </w:r>
      <w:r>
        <w:t>1992</w:t>
      </w:r>
      <w:r>
        <w:rPr>
          <w:rFonts w:hint="eastAsia"/>
        </w:rPr>
        <w:t>年。</w:t>
      </w:r>
    </w:p>
  </w:footnote>
  <w:footnote w:id="36">
    <w:p w:rsidR="00000000" w:rsidRDefault="00000000">
      <w:pPr>
        <w:pStyle w:val="FootnoteText"/>
        <w:ind w:firstLine="425"/>
        <w:jc w:val="both"/>
      </w:pPr>
      <w:r>
        <w:rPr>
          <w:rStyle w:val="FootnoteReference"/>
        </w:rPr>
        <w:t>34</w:t>
      </w:r>
      <w:r>
        <w:t xml:space="preserve">  J. Spaans, </w:t>
      </w:r>
      <w:r>
        <w:rPr>
          <w:rFonts w:hint="eastAsia"/>
        </w:rPr>
        <w:t>《</w:t>
      </w:r>
      <w:r>
        <w:t>Tussen wens en realiteit, onderzoek naar de wijze waarop mannelijke werknemers hun deeltijdwes en/of wens tot calamiteitenverlof realiseren en de belemmeringen daarbij</w:t>
      </w:r>
      <w:r>
        <w:rPr>
          <w:rFonts w:hint="eastAsia"/>
        </w:rPr>
        <w:t>》，</w:t>
      </w:r>
      <w:r>
        <w:t>VUGA</w:t>
      </w:r>
      <w:r>
        <w:rPr>
          <w:rFonts w:hint="eastAsia"/>
        </w:rPr>
        <w:t>，海牙，</w:t>
      </w:r>
      <w:r>
        <w:t>1997</w:t>
      </w:r>
      <w:r>
        <w:rPr>
          <w:rFonts w:hint="eastAsia"/>
        </w:rPr>
        <w:t>年。</w:t>
      </w:r>
    </w:p>
  </w:footnote>
  <w:footnote w:id="37">
    <w:p w:rsidR="00000000" w:rsidRDefault="00000000">
      <w:pPr>
        <w:pStyle w:val="FootnoteText"/>
        <w:autoSpaceDE w:val="0"/>
        <w:autoSpaceDN w:val="0"/>
        <w:ind w:firstLine="425"/>
        <w:jc w:val="both"/>
        <w:textAlignment w:val="bottom"/>
      </w:pPr>
      <w:r>
        <w:rPr>
          <w:rStyle w:val="FootnoteReference"/>
        </w:rPr>
        <w:t>35</w:t>
      </w:r>
      <w:r>
        <w:t xml:space="preserve">  </w:t>
      </w:r>
      <w:r>
        <w:rPr>
          <w:rFonts w:hint="eastAsia"/>
        </w:rPr>
        <w:t>荷兰中小企业组织、皇家公证人协会和荷兰会计师协会，《</w:t>
      </w:r>
      <w:r>
        <w:t>Let op vw zaak: zorg voor vzelf</w:t>
      </w:r>
      <w:r>
        <w:rPr>
          <w:rFonts w:hint="eastAsia"/>
        </w:rPr>
        <w:t>，荷兰中小企业组织，海牙，</w:t>
      </w:r>
      <w:r>
        <w:t>1997</w:t>
      </w:r>
      <w:r>
        <w:rPr>
          <w:rFonts w:hint="eastAsia"/>
        </w:rPr>
        <w:t>年。</w:t>
      </w:r>
    </w:p>
  </w:footnote>
  <w:footnote w:id="38">
    <w:p w:rsidR="00000000" w:rsidRDefault="00000000">
      <w:pPr>
        <w:pStyle w:val="FootnoteText"/>
        <w:autoSpaceDE w:val="0"/>
        <w:autoSpaceDN w:val="0"/>
        <w:ind w:firstLine="425"/>
        <w:jc w:val="both"/>
        <w:textAlignment w:val="bottom"/>
      </w:pPr>
      <w:r>
        <w:rPr>
          <w:rStyle w:val="FootnoteReference"/>
        </w:rPr>
        <w:t>36</w:t>
      </w:r>
      <w:r>
        <w:t xml:space="preserve">  </w:t>
      </w:r>
      <w:r>
        <w:rPr>
          <w:rFonts w:hint="eastAsia"/>
        </w:rPr>
        <w:t>经济事务部和农业、自然管理和渔业部，《一个单独企业中的丈夫和妻子》，海牙，</w:t>
      </w:r>
      <w:r>
        <w:t>1993</w:t>
      </w:r>
      <w:r>
        <w:rPr>
          <w:rFonts w:hint="eastAsia"/>
        </w:rPr>
        <w:t>年。</w:t>
      </w:r>
    </w:p>
  </w:footnote>
  <w:footnote w:id="39">
    <w:p w:rsidR="00000000" w:rsidRDefault="00000000">
      <w:pPr>
        <w:pStyle w:val="FootnoteText"/>
        <w:autoSpaceDE w:val="0"/>
        <w:autoSpaceDN w:val="0"/>
        <w:ind w:firstLine="425"/>
        <w:jc w:val="both"/>
        <w:textAlignment w:val="bottom"/>
      </w:pPr>
      <w:r>
        <w:rPr>
          <w:rStyle w:val="FootnoteReference"/>
        </w:rPr>
        <w:t>37</w:t>
      </w:r>
      <w:r>
        <w:t xml:space="preserve">  </w:t>
      </w:r>
      <w:r>
        <w:rPr>
          <w:rFonts w:hint="eastAsia"/>
        </w:rPr>
        <w:t>这些职位被称为“</w:t>
      </w:r>
      <w:r>
        <w:t>Melkert</w:t>
      </w:r>
      <w:r>
        <w:rPr>
          <w:rFonts w:hint="eastAsia"/>
        </w:rPr>
        <w:t>职位“，是以社会和就业大臣的名字命名的，他也是解放政策协调大臣。这些职位是他提出的。</w:t>
      </w:r>
    </w:p>
  </w:footnote>
  <w:footnote w:id="40">
    <w:p w:rsidR="00000000" w:rsidRDefault="00000000">
      <w:pPr>
        <w:pStyle w:val="FootnoteText"/>
        <w:autoSpaceDE w:val="0"/>
        <w:autoSpaceDN w:val="0"/>
        <w:ind w:firstLine="425"/>
        <w:jc w:val="both"/>
        <w:textAlignment w:val="bottom"/>
      </w:pPr>
      <w:r>
        <w:rPr>
          <w:rStyle w:val="FootnoteReference"/>
        </w:rPr>
        <w:t>38</w:t>
      </w:r>
      <w:r>
        <w:t xml:space="preserve">  N.Holtrust, A.C. Hendriks</w:t>
      </w:r>
      <w:r>
        <w:rPr>
          <w:rFonts w:hint="eastAsia"/>
        </w:rPr>
        <w:t>和</w:t>
      </w:r>
      <w:r>
        <w:t>D.M.J.Bauduin</w:t>
      </w:r>
      <w:r>
        <w:rPr>
          <w:rFonts w:hint="eastAsia"/>
        </w:rPr>
        <w:t>（编辑），《</w:t>
      </w:r>
      <w:r>
        <w:t>De betekenis van artikel 12 Vrouwenverdrag voor Nederland: gezondheid als recht</w:t>
      </w:r>
      <w:r>
        <w:rPr>
          <w:rFonts w:hint="eastAsia"/>
        </w:rPr>
        <w:t>》</w:t>
      </w:r>
      <w:r>
        <w:t>, VUGA,</w:t>
      </w:r>
      <w:r>
        <w:rPr>
          <w:rFonts w:hint="eastAsia"/>
        </w:rPr>
        <w:t>海牙，</w:t>
      </w:r>
      <w:r>
        <w:t>1996</w:t>
      </w:r>
      <w:r>
        <w:rPr>
          <w:rFonts w:hint="eastAsia"/>
        </w:rPr>
        <w:t>年。</w:t>
      </w:r>
    </w:p>
  </w:footnote>
  <w:footnote w:id="41">
    <w:p w:rsidR="00000000" w:rsidRDefault="00000000">
      <w:pPr>
        <w:pStyle w:val="FootnoteText"/>
        <w:autoSpaceDE w:val="0"/>
        <w:autoSpaceDN w:val="0"/>
        <w:ind w:firstLine="425"/>
        <w:jc w:val="both"/>
        <w:textAlignment w:val="bottom"/>
      </w:pPr>
      <w:r>
        <w:rPr>
          <w:rStyle w:val="FootnoteReference"/>
        </w:rPr>
        <w:t>39</w:t>
      </w:r>
      <w:r>
        <w:t xml:space="preserve">  1998</w:t>
      </w:r>
      <w:r>
        <w:rPr>
          <w:rFonts w:hint="eastAsia"/>
        </w:rPr>
        <w:t>年</w:t>
      </w:r>
      <w:r>
        <w:t>2</w:t>
      </w:r>
      <w:r>
        <w:rPr>
          <w:rFonts w:hint="eastAsia"/>
        </w:rPr>
        <w:t>月</w:t>
      </w:r>
      <w:r>
        <w:t>6</w:t>
      </w:r>
      <w:r>
        <w:rPr>
          <w:rFonts w:hint="eastAsia"/>
        </w:rPr>
        <w:t>日编号</w:t>
      </w:r>
      <w:r>
        <w:t>DSB/SCB-975145</w:t>
      </w:r>
      <w:r>
        <w:rPr>
          <w:rFonts w:hint="eastAsia"/>
        </w:rPr>
        <w:t>的信件。</w:t>
      </w:r>
    </w:p>
  </w:footnote>
  <w:footnote w:id="42">
    <w:p w:rsidR="00000000" w:rsidRDefault="00000000">
      <w:pPr>
        <w:pStyle w:val="FootnoteText"/>
        <w:autoSpaceDE w:val="0"/>
        <w:autoSpaceDN w:val="0"/>
        <w:ind w:firstLine="425"/>
        <w:jc w:val="both"/>
        <w:textAlignment w:val="bottom"/>
      </w:pPr>
      <w:r>
        <w:rPr>
          <w:rStyle w:val="FootnoteReference"/>
        </w:rPr>
        <w:t>40</w:t>
      </w:r>
      <w:r>
        <w:t xml:space="preserve">  STD=</w:t>
      </w:r>
      <w:r>
        <w:rPr>
          <w:rFonts w:hint="eastAsia"/>
        </w:rPr>
        <w:t>性传播疾病。</w:t>
      </w:r>
    </w:p>
  </w:footnote>
  <w:footnote w:id="43">
    <w:p w:rsidR="00000000" w:rsidRDefault="00000000">
      <w:pPr>
        <w:pStyle w:val="FootnoteText"/>
        <w:ind w:firstLine="425"/>
        <w:jc w:val="both"/>
      </w:pPr>
      <w:r>
        <w:rPr>
          <w:rStyle w:val="FootnoteReference"/>
        </w:rPr>
        <w:t>41</w:t>
      </w:r>
      <w:r>
        <w:t xml:space="preserve">  A.W. Heringa, J.Hes</w:t>
      </w:r>
      <w:r>
        <w:rPr>
          <w:rFonts w:hint="eastAsia"/>
        </w:rPr>
        <w:t>和</w:t>
      </w:r>
      <w:r>
        <w:t xml:space="preserve">E. Lijnzaad, </w:t>
      </w:r>
      <w:r>
        <w:t>‘</w:t>
      </w:r>
      <w:r>
        <w:t>Het Vrouwenverdrag; een beeld van een verdrag</w:t>
      </w:r>
      <w:r>
        <w:rPr>
          <w:rFonts w:hint="eastAsia"/>
        </w:rPr>
        <w:t>…</w:t>
      </w:r>
      <w:r>
        <w:t>’</w:t>
      </w:r>
      <w:r>
        <w:t>VUGA, 1994</w:t>
      </w:r>
      <w:r>
        <w:rPr>
          <w:rFonts w:hint="eastAsia"/>
        </w:rPr>
        <w:t>年</w:t>
      </w:r>
      <w:r>
        <w:t xml:space="preserve"> </w:t>
      </w:r>
      <w:r>
        <w:rPr>
          <w:rFonts w:hint="eastAsia"/>
        </w:rPr>
        <w:t>。</w:t>
      </w:r>
    </w:p>
    <w:p w:rsidR="00000000" w:rsidRDefault="00000000">
      <w:pPr>
        <w:pStyle w:val="FootnoteText"/>
        <w:ind w:left="360" w:firstLine="360"/>
        <w:jc w:val="both"/>
      </w:pPr>
      <w:r>
        <w:t xml:space="preserve">J. Dierx </w:t>
      </w:r>
      <w:r>
        <w:rPr>
          <w:rFonts w:hint="eastAsia"/>
        </w:rPr>
        <w:t>及其他人，座谈会期间研讨会的报告‘</w:t>
      </w:r>
      <w:r>
        <w:t>Handen en voten aan het Vrouwenverdrag</w:t>
      </w:r>
      <w:r>
        <w:t>’</w:t>
      </w:r>
      <w:r>
        <w:t>, limburg</w:t>
      </w:r>
      <w:r>
        <w:rPr>
          <w:rFonts w:hint="eastAsia"/>
        </w:rPr>
        <w:t>大学，</w:t>
      </w:r>
      <w:r>
        <w:t>1994</w:t>
      </w:r>
      <w:r>
        <w:rPr>
          <w:rFonts w:hint="eastAsia"/>
        </w:rPr>
        <w:t>年</w:t>
      </w:r>
      <w:r>
        <w:t>11</w:t>
      </w:r>
      <w:r>
        <w:rPr>
          <w:rFonts w:hint="eastAsia"/>
        </w:rPr>
        <w:t>月</w:t>
      </w:r>
      <w:r>
        <w:t>4</w:t>
      </w:r>
      <w:r>
        <w:rPr>
          <w:rFonts w:hint="eastAsia"/>
        </w:rPr>
        <w:t>日。</w:t>
      </w:r>
      <w:r>
        <w:t xml:space="preserve">In:Nemesis tijdschrift over vrouwen en recht, </w:t>
      </w:r>
      <w:r>
        <w:rPr>
          <w:rFonts w:hint="eastAsia"/>
        </w:rPr>
        <w:t>第</w:t>
      </w:r>
      <w:r>
        <w:t>11</w:t>
      </w:r>
      <w:r>
        <w:rPr>
          <w:rFonts w:hint="eastAsia"/>
        </w:rPr>
        <w:t>卷（</w:t>
      </w:r>
      <w:r>
        <w:t>1995</w:t>
      </w:r>
      <w:r>
        <w:rPr>
          <w:rFonts w:hint="eastAsia"/>
        </w:rPr>
        <w:t>年），第</w:t>
      </w:r>
      <w:r>
        <w:t>1</w:t>
      </w:r>
      <w:r>
        <w:rPr>
          <w:rFonts w:hint="eastAsia"/>
        </w:rPr>
        <w:t>期（</w:t>
      </w:r>
      <w:r>
        <w:t>1</w:t>
      </w:r>
      <w:r>
        <w:rPr>
          <w:rFonts w:hint="eastAsia"/>
        </w:rPr>
        <w:t>月</w:t>
      </w:r>
      <w:r>
        <w:t>/2</w:t>
      </w:r>
      <w:r>
        <w:rPr>
          <w:rFonts w:hint="eastAsia"/>
        </w:rPr>
        <w:t>月），第</w:t>
      </w:r>
      <w:r>
        <w:t>19-22</w:t>
      </w:r>
      <w:r>
        <w:rPr>
          <w:rFonts w:hint="eastAsia"/>
        </w:rPr>
        <w:t>页。</w:t>
      </w:r>
    </w:p>
  </w:footnote>
  <w:footnote w:id="44">
    <w:p w:rsidR="00000000" w:rsidRDefault="00000000">
      <w:pPr>
        <w:pStyle w:val="FootnoteText"/>
        <w:ind w:firstLine="425"/>
        <w:jc w:val="both"/>
      </w:pPr>
      <w:r>
        <w:rPr>
          <w:rStyle w:val="FootnoteReference"/>
        </w:rPr>
        <w:t>42</w:t>
      </w:r>
      <w:r>
        <w:t xml:space="preserve">  N. Holtrust, A. Hendriks</w:t>
      </w:r>
      <w:r>
        <w:rPr>
          <w:rFonts w:hint="eastAsia"/>
        </w:rPr>
        <w:t>和</w:t>
      </w:r>
      <w:r>
        <w:t>D. Bauduin</w:t>
      </w:r>
      <w:r>
        <w:rPr>
          <w:rFonts w:hint="eastAsia"/>
        </w:rPr>
        <w:t>（编辑），‘《妇女公约》第</w:t>
      </w:r>
      <w:r>
        <w:t>12</w:t>
      </w:r>
      <w:r>
        <w:rPr>
          <w:rFonts w:hint="eastAsia"/>
        </w:rPr>
        <w:t>条在荷兰的意义：健康一种权利’，</w:t>
      </w:r>
      <w:r>
        <w:t>VUGA</w:t>
      </w:r>
      <w:r>
        <w:rPr>
          <w:rFonts w:hint="eastAsia"/>
        </w:rPr>
        <w:t>，</w:t>
      </w:r>
      <w:r>
        <w:t>1996</w:t>
      </w:r>
      <w:r>
        <w:rPr>
          <w:rFonts w:hint="eastAsia"/>
        </w:rPr>
        <w:t>年。</w:t>
      </w:r>
    </w:p>
    <w:p w:rsidR="00000000" w:rsidRDefault="00000000">
      <w:pPr>
        <w:pStyle w:val="FootnoteText"/>
        <w:ind w:firstLine="720"/>
        <w:jc w:val="both"/>
      </w:pPr>
      <w:r>
        <w:t>J. Hes</w:t>
      </w:r>
      <w:r>
        <w:rPr>
          <w:rFonts w:hint="eastAsia"/>
        </w:rPr>
        <w:t>和</w:t>
      </w:r>
      <w:r>
        <w:t>C. van vleuten</w:t>
      </w:r>
      <w:r>
        <w:rPr>
          <w:rFonts w:hint="eastAsia"/>
        </w:rPr>
        <w:t>，荷兰法制中的《妇女公约》，</w:t>
      </w:r>
      <w:r>
        <w:t>VUGA</w:t>
      </w:r>
      <w:r>
        <w:rPr>
          <w:rFonts w:hint="eastAsia"/>
        </w:rPr>
        <w:t>，</w:t>
      </w:r>
      <w:r>
        <w:t>1996</w:t>
      </w:r>
      <w:r>
        <w:rPr>
          <w:rFonts w:hint="eastAsia"/>
        </w:rPr>
        <w:t>年。</w:t>
      </w:r>
    </w:p>
  </w:footnote>
  <w:footnote w:id="45">
    <w:p w:rsidR="00000000" w:rsidRDefault="00000000">
      <w:pPr>
        <w:autoSpaceDE w:val="0"/>
        <w:autoSpaceDN w:val="0"/>
        <w:ind w:firstLine="425"/>
        <w:textAlignment w:val="bottom"/>
        <w:rPr>
          <w:sz w:val="18"/>
        </w:rPr>
      </w:pPr>
      <w:r>
        <w:rPr>
          <w:rStyle w:val="FootnoteReference"/>
          <w:sz w:val="18"/>
        </w:rPr>
        <w:t>43</w:t>
      </w:r>
      <w:r>
        <w:rPr>
          <w:sz w:val="18"/>
        </w:rPr>
        <w:t xml:space="preserve">  Gorter</w:t>
      </w:r>
      <w:r>
        <w:rPr>
          <w:rFonts w:hint="eastAsia"/>
          <w:sz w:val="18"/>
        </w:rPr>
        <w:t>和</w:t>
      </w:r>
      <w:r>
        <w:rPr>
          <w:sz w:val="18"/>
        </w:rPr>
        <w:t>Winants</w:t>
      </w:r>
      <w:r>
        <w:rPr>
          <w:rFonts w:hint="eastAsia"/>
          <w:sz w:val="18"/>
        </w:rPr>
        <w:t>著，《残疾和妇女》，海牙，</w:t>
      </w:r>
      <w:r>
        <w:rPr>
          <w:sz w:val="18"/>
        </w:rPr>
        <w:t>1993</w:t>
      </w:r>
      <w:r>
        <w:rPr>
          <w:rFonts w:hint="eastAsia"/>
          <w:sz w:val="18"/>
        </w:rPr>
        <w:t>年。</w:t>
      </w:r>
    </w:p>
  </w:footnote>
  <w:footnote w:id="46">
    <w:p w:rsidR="00000000" w:rsidRDefault="00000000">
      <w:pPr>
        <w:autoSpaceDE w:val="0"/>
        <w:autoSpaceDN w:val="0"/>
        <w:ind w:firstLine="425"/>
        <w:textAlignment w:val="bottom"/>
        <w:rPr>
          <w:sz w:val="18"/>
        </w:rPr>
      </w:pPr>
      <w:r>
        <w:rPr>
          <w:rStyle w:val="FootnoteReference"/>
          <w:sz w:val="18"/>
        </w:rPr>
        <w:t>1</w:t>
      </w:r>
      <w:r>
        <w:rPr>
          <w:sz w:val="18"/>
        </w:rPr>
        <w:t xml:space="preserve">  </w:t>
      </w:r>
      <w:r>
        <w:rPr>
          <w:rFonts w:hint="eastAsia"/>
          <w:sz w:val="18"/>
        </w:rPr>
        <w:t>纽约，</w:t>
      </w:r>
      <w:r>
        <w:rPr>
          <w:sz w:val="18"/>
        </w:rPr>
        <w:t>1979</w:t>
      </w:r>
      <w:r>
        <w:rPr>
          <w:rFonts w:hint="eastAsia"/>
          <w:sz w:val="18"/>
        </w:rPr>
        <w:t>年</w:t>
      </w:r>
      <w:r>
        <w:rPr>
          <w:sz w:val="18"/>
        </w:rPr>
        <w:t>12</w:t>
      </w:r>
      <w:r>
        <w:rPr>
          <w:rFonts w:hint="eastAsia"/>
          <w:sz w:val="18"/>
        </w:rPr>
        <w:t>月</w:t>
      </w:r>
      <w:r>
        <w:rPr>
          <w:sz w:val="18"/>
        </w:rPr>
        <w:t>19</w:t>
      </w:r>
      <w:r>
        <w:rPr>
          <w:rFonts w:hint="eastAsia"/>
          <w:sz w:val="18"/>
        </w:rPr>
        <w:t>日，条约公告，</w:t>
      </w:r>
      <w:r>
        <w:rPr>
          <w:sz w:val="18"/>
        </w:rPr>
        <w:t>1980</w:t>
      </w:r>
      <w:r>
        <w:rPr>
          <w:rFonts w:hint="eastAsia"/>
          <w:sz w:val="18"/>
        </w:rPr>
        <w:t>年，第</w:t>
      </w:r>
      <w:r>
        <w:rPr>
          <w:sz w:val="18"/>
        </w:rPr>
        <w:t>146</w:t>
      </w:r>
      <w:r>
        <w:rPr>
          <w:rFonts w:hint="eastAsia"/>
          <w:sz w:val="18"/>
        </w:rPr>
        <w:t>号。</w:t>
      </w:r>
    </w:p>
  </w:footnote>
  <w:footnote w:id="47">
    <w:p w:rsidR="00000000" w:rsidRDefault="00000000">
      <w:pPr>
        <w:pStyle w:val="FootnoteText"/>
        <w:autoSpaceDE w:val="0"/>
        <w:autoSpaceDN w:val="0"/>
        <w:ind w:firstLine="425"/>
        <w:jc w:val="both"/>
        <w:textAlignment w:val="bottom"/>
      </w:pPr>
      <w:r>
        <w:rPr>
          <w:rStyle w:val="FootnoteReference"/>
        </w:rPr>
        <w:t>2</w:t>
      </w:r>
      <w:r>
        <w:t xml:space="preserve">  </w:t>
      </w:r>
      <w:r>
        <w:rPr>
          <w:rFonts w:hint="eastAsia"/>
        </w:rPr>
        <w:t>第</w:t>
      </w:r>
      <w:r>
        <w:t>3</w:t>
      </w:r>
      <w:r>
        <w:rPr>
          <w:rFonts w:hint="eastAsia"/>
        </w:rPr>
        <w:t>条，批准程序，法律、命令和法令公告，</w:t>
      </w:r>
      <w:r>
        <w:t>1991</w:t>
      </w:r>
      <w:r>
        <w:rPr>
          <w:rFonts w:hint="eastAsia"/>
        </w:rPr>
        <w:t>年，第</w:t>
      </w:r>
      <w:r>
        <w:t>355</w:t>
      </w:r>
      <w:r>
        <w:rPr>
          <w:rFonts w:hint="eastAsia"/>
        </w:rPr>
        <w:t>号。</w:t>
      </w:r>
    </w:p>
  </w:footnote>
  <w:footnote w:id="48">
    <w:p w:rsidR="00000000" w:rsidRDefault="00000000">
      <w:pPr>
        <w:pStyle w:val="FootnoteText"/>
        <w:autoSpaceDE w:val="0"/>
        <w:autoSpaceDN w:val="0"/>
        <w:ind w:firstLine="425"/>
        <w:jc w:val="both"/>
        <w:textAlignment w:val="bottom"/>
      </w:pPr>
      <w:r>
        <w:rPr>
          <w:rStyle w:val="FootnoteReference"/>
        </w:rPr>
        <w:t>3</w:t>
      </w:r>
      <w:r>
        <w:t xml:space="preserve">  </w:t>
      </w:r>
      <w:r>
        <w:rPr>
          <w:rFonts w:hint="eastAsia"/>
        </w:rPr>
        <w:t>消除对妇女歧视委员会第</w:t>
      </w:r>
      <w:r>
        <w:t>13</w:t>
      </w:r>
      <w:r>
        <w:rPr>
          <w:rFonts w:hint="eastAsia"/>
        </w:rPr>
        <w:t>届会议的报告，大会第</w:t>
      </w:r>
      <w:r>
        <w:t>49</w:t>
      </w:r>
      <w:r>
        <w:rPr>
          <w:rFonts w:hint="eastAsia"/>
        </w:rPr>
        <w:t>届会议，补编第</w:t>
      </w:r>
      <w:r>
        <w:t>38</w:t>
      </w:r>
      <w:r>
        <w:rPr>
          <w:rFonts w:hint="eastAsia"/>
        </w:rPr>
        <w:t>号（</w:t>
      </w:r>
      <w:r>
        <w:t>A/49/38</w:t>
      </w:r>
      <w:r>
        <w:rPr>
          <w:rFonts w:hint="eastAsia"/>
        </w:rPr>
        <w:t>）。</w:t>
      </w:r>
    </w:p>
  </w:footnote>
  <w:footnote w:id="49">
    <w:p w:rsidR="00000000" w:rsidRDefault="00000000">
      <w:pPr>
        <w:pStyle w:val="FootnoteText"/>
        <w:autoSpaceDE w:val="0"/>
        <w:autoSpaceDN w:val="0"/>
        <w:ind w:firstLine="425"/>
        <w:jc w:val="both"/>
        <w:textAlignment w:val="bottom"/>
      </w:pPr>
      <w:r>
        <w:rPr>
          <w:rStyle w:val="FootnoteReference"/>
        </w:rPr>
        <w:t>4</w:t>
      </w:r>
      <w:r>
        <w:t xml:space="preserve">  Holtrust,Hendriks,Bauduin </w:t>
      </w:r>
      <w:r>
        <w:rPr>
          <w:rFonts w:hint="eastAsia"/>
        </w:rPr>
        <w:t>（编辑）（</w:t>
      </w:r>
      <w:r>
        <w:t>1996</w:t>
      </w:r>
      <w:r>
        <w:rPr>
          <w:rFonts w:hint="eastAsia"/>
        </w:rPr>
        <w:t>年）。关于作者和其他有关人员，见附录一。</w:t>
      </w:r>
    </w:p>
  </w:footnote>
  <w:footnote w:id="50">
    <w:p w:rsidR="00000000" w:rsidRDefault="00000000">
      <w:pPr>
        <w:pStyle w:val="FootnoteText"/>
        <w:autoSpaceDE w:val="0"/>
        <w:autoSpaceDN w:val="0"/>
        <w:ind w:firstLine="425"/>
        <w:jc w:val="both"/>
        <w:textAlignment w:val="bottom"/>
      </w:pPr>
      <w:r>
        <w:rPr>
          <w:rStyle w:val="FootnoteReference"/>
        </w:rPr>
        <w:t>5</w:t>
      </w:r>
      <w:r>
        <w:t xml:space="preserve">  </w:t>
      </w:r>
      <w:r>
        <w:rPr>
          <w:rFonts w:hint="eastAsia"/>
        </w:rPr>
        <w:t>这个缩简文本强调其他要点，它意味着这个文本与原文本有一些区别。</w:t>
      </w:r>
    </w:p>
  </w:footnote>
  <w:footnote w:id="51">
    <w:p w:rsidR="00000000" w:rsidRDefault="00000000">
      <w:pPr>
        <w:pStyle w:val="FootnoteText"/>
        <w:autoSpaceDE w:val="0"/>
        <w:autoSpaceDN w:val="0"/>
        <w:ind w:firstLine="425"/>
        <w:jc w:val="both"/>
        <w:textAlignment w:val="bottom"/>
      </w:pPr>
      <w:r>
        <w:rPr>
          <w:rStyle w:val="FootnoteReference"/>
        </w:rPr>
        <w:t>6</w:t>
      </w:r>
      <w:r>
        <w:t xml:space="preserve">  Meeuwesen</w:t>
      </w:r>
      <w:r>
        <w:rPr>
          <w:rFonts w:hint="eastAsia"/>
        </w:rPr>
        <w:t>等人（</w:t>
      </w:r>
      <w:r>
        <w:t>1991</w:t>
      </w:r>
      <w:r>
        <w:rPr>
          <w:rFonts w:hint="eastAsia"/>
        </w:rPr>
        <w:t>年）。</w:t>
      </w:r>
      <w:r>
        <w:t>Van Delft</w:t>
      </w:r>
      <w:r>
        <w:rPr>
          <w:rFonts w:hint="eastAsia"/>
        </w:rPr>
        <w:t>（</w:t>
      </w:r>
      <w:r>
        <w:t>1991</w:t>
      </w:r>
      <w:r>
        <w:rPr>
          <w:rFonts w:hint="eastAsia"/>
        </w:rPr>
        <w:t>年）。</w:t>
      </w:r>
      <w:r>
        <w:t>Bakker,Claesen</w:t>
      </w:r>
      <w:r>
        <w:rPr>
          <w:rFonts w:hint="eastAsia"/>
        </w:rPr>
        <w:t>等人（</w:t>
      </w:r>
      <w:r>
        <w:t>1993</w:t>
      </w:r>
      <w:r>
        <w:rPr>
          <w:rFonts w:hint="eastAsia"/>
        </w:rPr>
        <w:t>年）。</w:t>
      </w:r>
      <w:r>
        <w:t>Meinen</w:t>
      </w:r>
      <w:r>
        <w:rPr>
          <w:rFonts w:hint="eastAsia"/>
        </w:rPr>
        <w:t>等人（编辑）（</w:t>
      </w:r>
      <w:r>
        <w:t>1994</w:t>
      </w:r>
      <w:r>
        <w:rPr>
          <w:rFonts w:hint="eastAsia"/>
        </w:rPr>
        <w:t>年）。</w:t>
      </w:r>
    </w:p>
  </w:footnote>
  <w:footnote w:id="52">
    <w:p w:rsidR="00000000" w:rsidRDefault="00000000">
      <w:pPr>
        <w:autoSpaceDE w:val="0"/>
        <w:autoSpaceDN w:val="0"/>
        <w:ind w:firstLine="425"/>
        <w:textAlignment w:val="bottom"/>
        <w:rPr>
          <w:sz w:val="18"/>
        </w:rPr>
      </w:pPr>
      <w:r>
        <w:rPr>
          <w:rStyle w:val="FootnoteReference"/>
          <w:sz w:val="18"/>
        </w:rPr>
        <w:t>7</w:t>
      </w:r>
      <w:r>
        <w:rPr>
          <w:sz w:val="18"/>
        </w:rPr>
        <w:t xml:space="preserve">  </w:t>
      </w:r>
      <w:r>
        <w:rPr>
          <w:rFonts w:hint="eastAsia"/>
          <w:sz w:val="18"/>
        </w:rPr>
        <w:t>尤其见第四次妇女问题世界会议报告，北京，</w:t>
      </w:r>
      <w:r>
        <w:rPr>
          <w:sz w:val="18"/>
        </w:rPr>
        <w:t>1995</w:t>
      </w:r>
      <w:r>
        <w:rPr>
          <w:rFonts w:hint="eastAsia"/>
          <w:sz w:val="18"/>
        </w:rPr>
        <w:t>年</w:t>
      </w:r>
      <w:r>
        <w:rPr>
          <w:sz w:val="18"/>
        </w:rPr>
        <w:t>9</w:t>
      </w:r>
      <w:r>
        <w:rPr>
          <w:rFonts w:hint="eastAsia"/>
          <w:sz w:val="18"/>
        </w:rPr>
        <w:t>月，第</w:t>
      </w:r>
      <w:r>
        <w:rPr>
          <w:sz w:val="18"/>
        </w:rPr>
        <w:t>89</w:t>
      </w:r>
      <w:r>
        <w:rPr>
          <w:rFonts w:hint="eastAsia"/>
          <w:sz w:val="18"/>
        </w:rPr>
        <w:t>段以下各段。</w:t>
      </w:r>
    </w:p>
  </w:footnote>
  <w:footnote w:id="53">
    <w:p w:rsidR="00000000" w:rsidRDefault="00000000">
      <w:pPr>
        <w:autoSpaceDE w:val="0"/>
        <w:autoSpaceDN w:val="0"/>
        <w:ind w:firstLine="425"/>
        <w:textAlignment w:val="bottom"/>
        <w:rPr>
          <w:sz w:val="18"/>
        </w:rPr>
      </w:pPr>
      <w:r>
        <w:rPr>
          <w:rStyle w:val="FootnoteReference"/>
          <w:sz w:val="18"/>
        </w:rPr>
        <w:t>8</w:t>
      </w:r>
      <w:r>
        <w:rPr>
          <w:sz w:val="18"/>
        </w:rPr>
        <w:t xml:space="preserve">  </w:t>
      </w:r>
      <w:r>
        <w:rPr>
          <w:rFonts w:hint="eastAsia"/>
          <w:sz w:val="18"/>
        </w:rPr>
        <w:t>下院议事录，</w:t>
      </w:r>
      <w:r>
        <w:rPr>
          <w:sz w:val="18"/>
        </w:rPr>
        <w:t>1993-1994</w:t>
      </w:r>
      <w:r>
        <w:rPr>
          <w:rFonts w:hint="eastAsia"/>
          <w:sz w:val="18"/>
        </w:rPr>
        <w:t>年，</w:t>
      </w:r>
      <w:r>
        <w:rPr>
          <w:sz w:val="18"/>
        </w:rPr>
        <w:t>18950</w:t>
      </w:r>
      <w:r>
        <w:rPr>
          <w:rFonts w:hint="eastAsia"/>
          <w:sz w:val="18"/>
        </w:rPr>
        <w:t>（</w:t>
      </w:r>
      <w:r>
        <w:rPr>
          <w:sz w:val="18"/>
        </w:rPr>
        <w:t>R1281</w:t>
      </w:r>
      <w:r>
        <w:rPr>
          <w:rFonts w:hint="eastAsia"/>
          <w:sz w:val="18"/>
        </w:rPr>
        <w:t>），第</w:t>
      </w:r>
      <w:r>
        <w:rPr>
          <w:sz w:val="18"/>
        </w:rPr>
        <w:t>14</w:t>
      </w:r>
      <w:r>
        <w:rPr>
          <w:rFonts w:hint="eastAsia"/>
          <w:sz w:val="18"/>
        </w:rPr>
        <w:t>号。</w:t>
      </w:r>
    </w:p>
  </w:footnote>
  <w:footnote w:id="54">
    <w:p w:rsidR="00000000" w:rsidRDefault="00000000">
      <w:pPr>
        <w:pStyle w:val="FootnoteText"/>
        <w:autoSpaceDE w:val="0"/>
        <w:autoSpaceDN w:val="0"/>
        <w:ind w:firstLine="425"/>
        <w:jc w:val="both"/>
        <w:textAlignment w:val="bottom"/>
      </w:pPr>
      <w:r>
        <w:rPr>
          <w:rStyle w:val="FootnoteReference"/>
        </w:rPr>
        <w:t>9</w:t>
      </w:r>
      <w:r>
        <w:t xml:space="preserve">  Monster (1995</w:t>
      </w:r>
      <w:r>
        <w:rPr>
          <w:rFonts w:hint="eastAsia"/>
        </w:rPr>
        <w:t>年）</w:t>
      </w:r>
    </w:p>
  </w:footnote>
  <w:footnote w:id="55">
    <w:p w:rsidR="00000000" w:rsidRDefault="00000000">
      <w:pPr>
        <w:pStyle w:val="FootnoteText"/>
        <w:autoSpaceDE w:val="0"/>
        <w:autoSpaceDN w:val="0"/>
        <w:ind w:firstLine="425"/>
        <w:jc w:val="both"/>
        <w:textAlignment w:val="bottom"/>
      </w:pPr>
      <w:r>
        <w:rPr>
          <w:rStyle w:val="FootnoteReference"/>
        </w:rPr>
        <w:t>10</w:t>
      </w:r>
      <w:r>
        <w:t xml:space="preserve">  </w:t>
      </w:r>
      <w:r>
        <w:rPr>
          <w:rFonts w:hint="eastAsia"/>
        </w:rPr>
        <w:t>可直接应用于所有欧洲国家的欧洲联盟规章和准则是例外。</w:t>
      </w:r>
    </w:p>
  </w:footnote>
  <w:footnote w:id="56">
    <w:p w:rsidR="00000000" w:rsidRDefault="00000000">
      <w:pPr>
        <w:pStyle w:val="FootnoteText"/>
        <w:autoSpaceDE w:val="0"/>
        <w:autoSpaceDN w:val="0"/>
        <w:ind w:firstLine="425"/>
        <w:jc w:val="both"/>
        <w:textAlignment w:val="bottom"/>
      </w:pPr>
      <w:r>
        <w:rPr>
          <w:rStyle w:val="FootnoteReference"/>
        </w:rPr>
        <w:t>11</w:t>
      </w:r>
      <w:r>
        <w:t xml:space="preserve">  </w:t>
      </w:r>
      <w:r>
        <w:rPr>
          <w:rFonts w:hint="eastAsia"/>
        </w:rPr>
        <w:t>也见</w:t>
      </w:r>
      <w:r>
        <w:t>Alkema (1995</w:t>
      </w:r>
      <w:r>
        <w:rPr>
          <w:rFonts w:hint="eastAsia"/>
        </w:rPr>
        <w:t>年）。</w:t>
      </w:r>
    </w:p>
  </w:footnote>
  <w:footnote w:id="57">
    <w:p w:rsidR="00000000" w:rsidRDefault="00000000">
      <w:pPr>
        <w:pStyle w:val="FootnoteText"/>
        <w:autoSpaceDE w:val="0"/>
        <w:autoSpaceDN w:val="0"/>
        <w:ind w:firstLine="425"/>
        <w:jc w:val="both"/>
        <w:textAlignment w:val="bottom"/>
      </w:pPr>
      <w:r>
        <w:rPr>
          <w:rStyle w:val="FootnoteReference"/>
        </w:rPr>
        <w:t>12</w:t>
      </w:r>
      <w:r>
        <w:t xml:space="preserve">  </w:t>
      </w:r>
      <w:r>
        <w:rPr>
          <w:rFonts w:hint="eastAsia"/>
        </w:rPr>
        <w:t>关于</w:t>
      </w:r>
      <w:r>
        <w:t xml:space="preserve">travaux preparatoires, </w:t>
      </w:r>
      <w:r>
        <w:rPr>
          <w:rFonts w:hint="eastAsia"/>
        </w:rPr>
        <w:t>见</w:t>
      </w:r>
      <w:r>
        <w:t xml:space="preserve">Rehof </w:t>
      </w:r>
      <w:r>
        <w:rPr>
          <w:rFonts w:hint="eastAsia"/>
        </w:rPr>
        <w:t>（</w:t>
      </w:r>
      <w:r>
        <w:t>1993</w:t>
      </w:r>
      <w:r>
        <w:rPr>
          <w:rFonts w:hint="eastAsia"/>
        </w:rPr>
        <w:t>年）和议会对批准程序的处理，下院议事录，</w:t>
      </w:r>
      <w:r>
        <w:t>1984-85</w:t>
      </w:r>
      <w:r>
        <w:rPr>
          <w:rFonts w:hint="eastAsia"/>
        </w:rPr>
        <w:t>年，</w:t>
      </w:r>
      <w:r>
        <w:t>18950(R 1281).</w:t>
      </w:r>
    </w:p>
  </w:footnote>
  <w:footnote w:id="58">
    <w:p w:rsidR="00000000" w:rsidRDefault="00000000">
      <w:pPr>
        <w:pStyle w:val="FootnoteText"/>
        <w:autoSpaceDE w:val="0"/>
        <w:autoSpaceDN w:val="0"/>
        <w:ind w:firstLine="425"/>
        <w:jc w:val="both"/>
        <w:textAlignment w:val="bottom"/>
      </w:pPr>
      <w:r>
        <w:rPr>
          <w:rStyle w:val="FootnoteReference"/>
        </w:rPr>
        <w:t>13</w:t>
      </w:r>
      <w:r>
        <w:t xml:space="preserve">  Lijnzaad</w:t>
      </w:r>
      <w:r>
        <w:rPr>
          <w:rFonts w:hint="eastAsia"/>
        </w:rPr>
        <w:t>（</w:t>
      </w:r>
      <w:r>
        <w:t>1991</w:t>
      </w:r>
      <w:r>
        <w:rPr>
          <w:rFonts w:hint="eastAsia"/>
        </w:rPr>
        <w:t>年）。</w:t>
      </w:r>
      <w:r>
        <w:t>Alkema, Zaaijer</w:t>
      </w:r>
      <w:r>
        <w:rPr>
          <w:rFonts w:hint="eastAsia"/>
        </w:rPr>
        <w:t>（</w:t>
      </w:r>
      <w:r>
        <w:t>1994</w:t>
      </w:r>
      <w:r>
        <w:rPr>
          <w:rFonts w:hint="eastAsia"/>
        </w:rPr>
        <w:t>年）。</w:t>
      </w:r>
    </w:p>
  </w:footnote>
  <w:footnote w:id="59">
    <w:p w:rsidR="00000000" w:rsidRDefault="00000000">
      <w:pPr>
        <w:pStyle w:val="FootnoteText"/>
        <w:autoSpaceDE w:val="0"/>
        <w:autoSpaceDN w:val="0"/>
        <w:ind w:firstLine="425"/>
        <w:jc w:val="both"/>
        <w:textAlignment w:val="bottom"/>
      </w:pPr>
      <w:r>
        <w:rPr>
          <w:rStyle w:val="FootnoteReference"/>
        </w:rPr>
        <w:t>14</w:t>
      </w:r>
      <w:r>
        <w:t xml:space="preserve">  </w:t>
      </w:r>
      <w:r>
        <w:t>“</w:t>
      </w:r>
      <w:r>
        <w:rPr>
          <w:rFonts w:hint="eastAsia"/>
        </w:rPr>
        <w:t>基本权利”和“人权”两个词可互换使用；</w:t>
      </w:r>
      <w:r>
        <w:t>Alkema</w:t>
      </w:r>
      <w:r>
        <w:rPr>
          <w:rFonts w:hint="eastAsia"/>
        </w:rPr>
        <w:t>（</w:t>
      </w:r>
      <w:r>
        <w:t>1995</w:t>
      </w:r>
      <w:r>
        <w:rPr>
          <w:rFonts w:hint="eastAsia"/>
        </w:rPr>
        <w:t>年）。</w:t>
      </w:r>
    </w:p>
  </w:footnote>
  <w:footnote w:id="60">
    <w:p w:rsidR="00000000" w:rsidRDefault="00000000">
      <w:pPr>
        <w:pStyle w:val="FootnoteText"/>
        <w:autoSpaceDE w:val="0"/>
        <w:autoSpaceDN w:val="0"/>
        <w:ind w:firstLine="425"/>
        <w:jc w:val="both"/>
        <w:textAlignment w:val="bottom"/>
      </w:pPr>
      <w:r>
        <w:rPr>
          <w:rStyle w:val="FootnoteReference"/>
        </w:rPr>
        <w:t>15</w:t>
      </w:r>
      <w:r>
        <w:t xml:space="preserve">  Gerbranda, Kroes </w:t>
      </w:r>
      <w:r>
        <w:rPr>
          <w:rFonts w:hint="eastAsia"/>
        </w:rPr>
        <w:t>（</w:t>
      </w:r>
      <w:r>
        <w:t>1991</w:t>
      </w:r>
      <w:r>
        <w:rPr>
          <w:rFonts w:hint="eastAsia"/>
        </w:rPr>
        <w:t>年）。</w:t>
      </w:r>
      <w:r>
        <w:t>Alkema</w:t>
      </w:r>
      <w:r>
        <w:rPr>
          <w:rFonts w:hint="eastAsia"/>
        </w:rPr>
        <w:t>（</w:t>
      </w:r>
      <w:r>
        <w:t>1995</w:t>
      </w:r>
      <w:r>
        <w:rPr>
          <w:rFonts w:hint="eastAsia"/>
        </w:rPr>
        <w:t>年）。</w:t>
      </w:r>
    </w:p>
  </w:footnote>
  <w:footnote w:id="61">
    <w:p w:rsidR="00000000" w:rsidRDefault="00000000">
      <w:pPr>
        <w:pStyle w:val="FootnoteText"/>
        <w:autoSpaceDE w:val="0"/>
        <w:autoSpaceDN w:val="0"/>
        <w:ind w:firstLine="425"/>
        <w:jc w:val="both"/>
        <w:textAlignment w:val="bottom"/>
      </w:pPr>
      <w:r>
        <w:rPr>
          <w:rStyle w:val="FootnoteReference"/>
        </w:rPr>
        <w:t>16</w:t>
      </w:r>
      <w:r>
        <w:t xml:space="preserve">  </w:t>
      </w:r>
      <w:r>
        <w:rPr>
          <w:rFonts w:hint="eastAsia"/>
        </w:rPr>
        <w:t>最后报告，维也纳世界人权会议，</w:t>
      </w:r>
      <w:r>
        <w:t>1993</w:t>
      </w:r>
      <w:r>
        <w:rPr>
          <w:rFonts w:hint="eastAsia"/>
        </w:rPr>
        <w:t>年，第</w:t>
      </w:r>
      <w:r>
        <w:t>5</w:t>
      </w:r>
      <w:r>
        <w:rPr>
          <w:rFonts w:hint="eastAsia"/>
        </w:rPr>
        <w:t>段。</w:t>
      </w:r>
    </w:p>
  </w:footnote>
  <w:footnote w:id="62">
    <w:p w:rsidR="00000000" w:rsidRDefault="00000000">
      <w:pPr>
        <w:pStyle w:val="FootnoteText"/>
        <w:autoSpaceDE w:val="0"/>
        <w:autoSpaceDN w:val="0"/>
        <w:ind w:firstLine="425"/>
        <w:jc w:val="both"/>
        <w:textAlignment w:val="bottom"/>
      </w:pPr>
      <w:r>
        <w:rPr>
          <w:rStyle w:val="FootnoteReference"/>
        </w:rPr>
        <w:t>17</w:t>
      </w:r>
      <w:r>
        <w:t xml:space="preserve">  Verhey</w:t>
      </w:r>
      <w:r>
        <w:rPr>
          <w:rFonts w:hint="eastAsia"/>
        </w:rPr>
        <w:t>（</w:t>
      </w:r>
      <w:r>
        <w:t>1992</w:t>
      </w:r>
      <w:r>
        <w:rPr>
          <w:rFonts w:hint="eastAsia"/>
        </w:rPr>
        <w:t>年）。</w:t>
      </w:r>
    </w:p>
  </w:footnote>
  <w:footnote w:id="63">
    <w:p w:rsidR="00000000" w:rsidRDefault="00000000">
      <w:pPr>
        <w:pStyle w:val="FootnoteText"/>
        <w:autoSpaceDE w:val="0"/>
        <w:autoSpaceDN w:val="0"/>
        <w:ind w:firstLine="425"/>
        <w:jc w:val="both"/>
        <w:textAlignment w:val="bottom"/>
      </w:pPr>
      <w:r>
        <w:rPr>
          <w:rStyle w:val="FootnoteReference"/>
        </w:rPr>
        <w:t>18</w:t>
      </w:r>
      <w:r>
        <w:t xml:space="preserve">  Burkens</w:t>
      </w:r>
      <w:r>
        <w:rPr>
          <w:rFonts w:hint="eastAsia"/>
        </w:rPr>
        <w:t>（</w:t>
      </w:r>
      <w:r>
        <w:t>1982</w:t>
      </w:r>
      <w:r>
        <w:rPr>
          <w:rFonts w:hint="eastAsia"/>
        </w:rPr>
        <w:t>年）。还见</w:t>
      </w:r>
      <w:r>
        <w:t>Gerbranda, Kroes</w:t>
      </w:r>
      <w:r>
        <w:rPr>
          <w:rFonts w:hint="eastAsia"/>
        </w:rPr>
        <w:t>（</w:t>
      </w:r>
      <w:r>
        <w:t>1994</w:t>
      </w:r>
      <w:r>
        <w:rPr>
          <w:rFonts w:hint="eastAsia"/>
        </w:rPr>
        <w:t>年）。另外</w:t>
      </w:r>
      <w:r>
        <w:t>Wenthold</w:t>
      </w:r>
      <w:r>
        <w:rPr>
          <w:rFonts w:hint="eastAsia"/>
        </w:rPr>
        <w:t>（</w:t>
      </w:r>
      <w:r>
        <w:t>1990</w:t>
      </w:r>
      <w:r>
        <w:rPr>
          <w:rFonts w:hint="eastAsia"/>
        </w:rPr>
        <w:t>年）。</w:t>
      </w:r>
    </w:p>
  </w:footnote>
  <w:footnote w:id="64">
    <w:p w:rsidR="00000000" w:rsidRDefault="00000000">
      <w:pPr>
        <w:pStyle w:val="FootnoteText"/>
        <w:autoSpaceDE w:val="0"/>
        <w:autoSpaceDN w:val="0"/>
        <w:ind w:firstLine="425"/>
        <w:jc w:val="both"/>
        <w:textAlignment w:val="bottom"/>
      </w:pPr>
      <w:r>
        <w:rPr>
          <w:rStyle w:val="FootnoteReference"/>
        </w:rPr>
        <w:t>19</w:t>
      </w:r>
      <w:r>
        <w:t xml:space="preserve">  </w:t>
      </w:r>
      <w:r>
        <w:rPr>
          <w:rFonts w:hint="eastAsia"/>
        </w:rPr>
        <w:t>见：</w:t>
      </w:r>
      <w:r>
        <w:t>Heringa</w:t>
      </w:r>
      <w:r>
        <w:rPr>
          <w:rFonts w:hint="eastAsia"/>
        </w:rPr>
        <w:t>（</w:t>
      </w:r>
      <w:r>
        <w:t>1994</w:t>
      </w:r>
      <w:r>
        <w:rPr>
          <w:rFonts w:hint="eastAsia"/>
        </w:rPr>
        <w:t>年）。</w:t>
      </w:r>
    </w:p>
  </w:footnote>
  <w:footnote w:id="65">
    <w:p w:rsidR="00000000" w:rsidRDefault="00000000">
      <w:pPr>
        <w:autoSpaceDE w:val="0"/>
        <w:autoSpaceDN w:val="0"/>
        <w:ind w:firstLine="425"/>
        <w:textAlignment w:val="bottom"/>
        <w:rPr>
          <w:sz w:val="18"/>
        </w:rPr>
      </w:pPr>
      <w:r>
        <w:rPr>
          <w:rStyle w:val="FootnoteReference"/>
          <w:sz w:val="18"/>
        </w:rPr>
        <w:t>20</w:t>
      </w:r>
      <w:r>
        <w:rPr>
          <w:sz w:val="18"/>
        </w:rPr>
        <w:t xml:space="preserve">  Burrows</w:t>
      </w:r>
      <w:r>
        <w:rPr>
          <w:rFonts w:hint="eastAsia"/>
          <w:sz w:val="18"/>
        </w:rPr>
        <w:t>（</w:t>
      </w:r>
      <w:r>
        <w:rPr>
          <w:sz w:val="18"/>
        </w:rPr>
        <w:t>1985</w:t>
      </w:r>
      <w:r>
        <w:rPr>
          <w:rFonts w:hint="eastAsia"/>
          <w:sz w:val="18"/>
        </w:rPr>
        <w:t>年）。</w:t>
      </w:r>
      <w:r>
        <w:rPr>
          <w:sz w:val="18"/>
        </w:rPr>
        <w:t>Van Maarseveen</w:t>
      </w:r>
      <w:r>
        <w:rPr>
          <w:rFonts w:hint="eastAsia"/>
          <w:sz w:val="18"/>
        </w:rPr>
        <w:t>（</w:t>
      </w:r>
      <w:r>
        <w:rPr>
          <w:sz w:val="18"/>
        </w:rPr>
        <w:t>1985</w:t>
      </w:r>
      <w:r>
        <w:rPr>
          <w:rFonts w:hint="eastAsia"/>
          <w:sz w:val="18"/>
        </w:rPr>
        <w:t>年）。</w:t>
      </w:r>
      <w:r>
        <w:rPr>
          <w:sz w:val="18"/>
        </w:rPr>
        <w:t>Br</w:t>
      </w:r>
      <w:r>
        <w:rPr>
          <w:sz w:val="18"/>
        </w:rPr>
        <w:sym w:font="Kino MT" w:char="00FC"/>
      </w:r>
      <w:r>
        <w:rPr>
          <w:sz w:val="18"/>
        </w:rPr>
        <w:t>nott</w:t>
      </w:r>
      <w:r>
        <w:rPr>
          <w:rFonts w:hint="eastAsia"/>
          <w:sz w:val="18"/>
        </w:rPr>
        <w:t>（</w:t>
      </w:r>
      <w:r>
        <w:rPr>
          <w:sz w:val="18"/>
        </w:rPr>
        <w:t>1986</w:t>
      </w:r>
      <w:r>
        <w:rPr>
          <w:rFonts w:hint="eastAsia"/>
          <w:sz w:val="18"/>
        </w:rPr>
        <w:t>年）。</w:t>
      </w:r>
      <w:r>
        <w:rPr>
          <w:sz w:val="18"/>
        </w:rPr>
        <w:t>Wadstein</w:t>
      </w:r>
      <w:r>
        <w:rPr>
          <w:rFonts w:hint="eastAsia"/>
          <w:sz w:val="18"/>
        </w:rPr>
        <w:t>（</w:t>
      </w:r>
      <w:r>
        <w:rPr>
          <w:sz w:val="18"/>
        </w:rPr>
        <w:t>1988</w:t>
      </w:r>
      <w:r>
        <w:rPr>
          <w:rFonts w:hint="eastAsia"/>
          <w:sz w:val="18"/>
        </w:rPr>
        <w:t>年）。</w:t>
      </w:r>
    </w:p>
  </w:footnote>
  <w:footnote w:id="66">
    <w:p w:rsidR="00000000" w:rsidRDefault="00000000">
      <w:pPr>
        <w:pStyle w:val="FootnoteText"/>
        <w:autoSpaceDE w:val="0"/>
        <w:autoSpaceDN w:val="0"/>
        <w:ind w:firstLine="425"/>
        <w:jc w:val="both"/>
        <w:textAlignment w:val="bottom"/>
      </w:pPr>
      <w:r>
        <w:rPr>
          <w:rStyle w:val="FootnoteReference"/>
        </w:rPr>
        <w:t>21</w:t>
      </w:r>
      <w:r>
        <w:t xml:space="preserve">  Alkema, Zaaijer</w:t>
      </w:r>
      <w:r>
        <w:rPr>
          <w:rFonts w:hint="eastAsia"/>
        </w:rPr>
        <w:t>（</w:t>
      </w:r>
      <w:r>
        <w:t>1994</w:t>
      </w:r>
      <w:r>
        <w:rPr>
          <w:rFonts w:hint="eastAsia"/>
        </w:rPr>
        <w:t>年）。</w:t>
      </w:r>
    </w:p>
  </w:footnote>
  <w:footnote w:id="67">
    <w:p w:rsidR="00000000" w:rsidRDefault="00000000">
      <w:pPr>
        <w:autoSpaceDE w:val="0"/>
        <w:autoSpaceDN w:val="0"/>
        <w:ind w:firstLine="425"/>
        <w:textAlignment w:val="bottom"/>
        <w:rPr>
          <w:sz w:val="18"/>
        </w:rPr>
      </w:pPr>
      <w:r>
        <w:rPr>
          <w:rStyle w:val="FootnoteReference"/>
          <w:sz w:val="18"/>
        </w:rPr>
        <w:t>22</w:t>
      </w:r>
      <w:r>
        <w:rPr>
          <w:sz w:val="18"/>
        </w:rPr>
        <w:t xml:space="preserve">  Alkema</w:t>
      </w:r>
      <w:r>
        <w:rPr>
          <w:rFonts w:hint="eastAsia"/>
          <w:sz w:val="18"/>
        </w:rPr>
        <w:t>（</w:t>
      </w:r>
      <w:r>
        <w:rPr>
          <w:sz w:val="18"/>
        </w:rPr>
        <w:t>1995</w:t>
      </w:r>
      <w:r>
        <w:rPr>
          <w:rFonts w:hint="eastAsia"/>
          <w:sz w:val="18"/>
        </w:rPr>
        <w:t>年）。</w:t>
      </w:r>
    </w:p>
  </w:footnote>
  <w:footnote w:id="68">
    <w:p w:rsidR="00000000" w:rsidRDefault="00000000">
      <w:pPr>
        <w:pStyle w:val="FootnoteText"/>
        <w:autoSpaceDE w:val="0"/>
        <w:autoSpaceDN w:val="0"/>
        <w:ind w:firstLine="425"/>
        <w:jc w:val="both"/>
        <w:textAlignment w:val="bottom"/>
      </w:pPr>
      <w:r>
        <w:rPr>
          <w:rStyle w:val="FootnoteReference"/>
        </w:rPr>
        <w:t>23</w:t>
      </w:r>
      <w:r>
        <w:t xml:space="preserve">  Schaapman</w:t>
      </w:r>
      <w:r>
        <w:rPr>
          <w:rFonts w:hint="eastAsia"/>
        </w:rPr>
        <w:t>（</w:t>
      </w:r>
      <w:r>
        <w:t>1995</w:t>
      </w:r>
      <w:r>
        <w:rPr>
          <w:rFonts w:hint="eastAsia"/>
        </w:rPr>
        <w:t>年）。</w:t>
      </w:r>
    </w:p>
  </w:footnote>
  <w:footnote w:id="69">
    <w:p w:rsidR="00000000" w:rsidRDefault="00000000">
      <w:pPr>
        <w:autoSpaceDE w:val="0"/>
        <w:autoSpaceDN w:val="0"/>
        <w:ind w:firstLine="425"/>
        <w:textAlignment w:val="bottom"/>
        <w:rPr>
          <w:sz w:val="18"/>
        </w:rPr>
      </w:pPr>
      <w:r>
        <w:rPr>
          <w:rStyle w:val="FootnoteReference"/>
          <w:sz w:val="18"/>
        </w:rPr>
        <w:t>24</w:t>
      </w:r>
      <w:r>
        <w:rPr>
          <w:sz w:val="18"/>
        </w:rPr>
        <w:t xml:space="preserve">  Wieringa, Weel</w:t>
      </w:r>
      <w:r>
        <w:rPr>
          <w:rFonts w:hint="eastAsia"/>
          <w:sz w:val="18"/>
        </w:rPr>
        <w:t>（</w:t>
      </w:r>
      <w:r>
        <w:rPr>
          <w:sz w:val="18"/>
        </w:rPr>
        <w:t>1994</w:t>
      </w:r>
      <w:r>
        <w:rPr>
          <w:rFonts w:hint="eastAsia"/>
          <w:sz w:val="18"/>
        </w:rPr>
        <w:t>年）。</w:t>
      </w:r>
      <w:r>
        <w:rPr>
          <w:sz w:val="18"/>
        </w:rPr>
        <w:t>Lagro-Jansen</w:t>
      </w:r>
      <w:r>
        <w:rPr>
          <w:rFonts w:hint="eastAsia"/>
          <w:sz w:val="18"/>
        </w:rPr>
        <w:t>（</w:t>
      </w:r>
      <w:r>
        <w:rPr>
          <w:sz w:val="18"/>
        </w:rPr>
        <w:t>1995</w:t>
      </w:r>
      <w:r>
        <w:rPr>
          <w:rFonts w:hint="eastAsia"/>
          <w:sz w:val="18"/>
        </w:rPr>
        <w:t>年）。</w:t>
      </w:r>
    </w:p>
  </w:footnote>
  <w:footnote w:id="70">
    <w:p w:rsidR="00000000" w:rsidRDefault="00000000">
      <w:pPr>
        <w:autoSpaceDE w:val="0"/>
        <w:autoSpaceDN w:val="0"/>
        <w:ind w:firstLine="425"/>
        <w:textAlignment w:val="bottom"/>
        <w:rPr>
          <w:sz w:val="18"/>
        </w:rPr>
      </w:pPr>
      <w:r>
        <w:rPr>
          <w:rStyle w:val="FootnoteReference"/>
          <w:sz w:val="18"/>
        </w:rPr>
        <w:t>25</w:t>
      </w:r>
      <w:r>
        <w:rPr>
          <w:sz w:val="18"/>
        </w:rPr>
        <w:t xml:space="preserve">  </w:t>
      </w:r>
      <w:r>
        <w:rPr>
          <w:rFonts w:hint="eastAsia"/>
          <w:sz w:val="18"/>
        </w:rPr>
        <w:t>从《妇女公约》第</w:t>
      </w:r>
      <w:r>
        <w:rPr>
          <w:sz w:val="18"/>
        </w:rPr>
        <w:t>1</w:t>
      </w:r>
      <w:r>
        <w:rPr>
          <w:rFonts w:hint="eastAsia"/>
          <w:sz w:val="18"/>
        </w:rPr>
        <w:t>、</w:t>
      </w:r>
      <w:r>
        <w:rPr>
          <w:sz w:val="18"/>
        </w:rPr>
        <w:t>3</w:t>
      </w:r>
      <w:r>
        <w:rPr>
          <w:rFonts w:hint="eastAsia"/>
          <w:sz w:val="18"/>
        </w:rPr>
        <w:t>、</w:t>
      </w:r>
      <w:r>
        <w:rPr>
          <w:sz w:val="18"/>
        </w:rPr>
        <w:t>4</w:t>
      </w:r>
      <w:r>
        <w:rPr>
          <w:rFonts w:hint="eastAsia"/>
          <w:sz w:val="18"/>
        </w:rPr>
        <w:t>、</w:t>
      </w:r>
      <w:r>
        <w:rPr>
          <w:sz w:val="18"/>
        </w:rPr>
        <w:t>5</w:t>
      </w:r>
      <w:r>
        <w:rPr>
          <w:rFonts w:hint="eastAsia"/>
          <w:sz w:val="18"/>
        </w:rPr>
        <w:t>条和第</w:t>
      </w:r>
      <w:r>
        <w:rPr>
          <w:sz w:val="18"/>
        </w:rPr>
        <w:t>11</w:t>
      </w:r>
      <w:r>
        <w:rPr>
          <w:rFonts w:hint="eastAsia"/>
          <w:sz w:val="18"/>
        </w:rPr>
        <w:t>条二款可以明显看出。还见</w:t>
      </w:r>
      <w:r>
        <w:rPr>
          <w:sz w:val="18"/>
        </w:rPr>
        <w:t>Alkema, Zaaijer</w:t>
      </w:r>
      <w:r>
        <w:rPr>
          <w:rFonts w:hint="eastAsia"/>
          <w:sz w:val="18"/>
        </w:rPr>
        <w:t>（</w:t>
      </w:r>
      <w:r>
        <w:rPr>
          <w:sz w:val="18"/>
        </w:rPr>
        <w:t>1994</w:t>
      </w:r>
      <w:r>
        <w:rPr>
          <w:rFonts w:hint="eastAsia"/>
          <w:sz w:val="18"/>
        </w:rPr>
        <w:t>年）。</w:t>
      </w:r>
    </w:p>
  </w:footnote>
  <w:footnote w:id="71">
    <w:p w:rsidR="00000000" w:rsidRDefault="00000000">
      <w:pPr>
        <w:autoSpaceDE w:val="0"/>
        <w:autoSpaceDN w:val="0"/>
        <w:ind w:firstLine="425"/>
        <w:textAlignment w:val="bottom"/>
        <w:rPr>
          <w:sz w:val="18"/>
        </w:rPr>
      </w:pPr>
      <w:r>
        <w:rPr>
          <w:rStyle w:val="FootnoteReference"/>
          <w:sz w:val="18"/>
        </w:rPr>
        <w:t>26</w:t>
      </w:r>
      <w:r>
        <w:rPr>
          <w:sz w:val="18"/>
        </w:rPr>
        <w:t xml:space="preserve">  Vz. ARRS,1979</w:t>
      </w:r>
      <w:r>
        <w:rPr>
          <w:rFonts w:hint="eastAsia"/>
          <w:sz w:val="18"/>
        </w:rPr>
        <w:t>年</w:t>
      </w:r>
      <w:r>
        <w:rPr>
          <w:sz w:val="18"/>
        </w:rPr>
        <w:t>5</w:t>
      </w:r>
      <w:r>
        <w:rPr>
          <w:rFonts w:hint="eastAsia"/>
          <w:sz w:val="18"/>
        </w:rPr>
        <w:t>月</w:t>
      </w:r>
      <w:r>
        <w:rPr>
          <w:sz w:val="18"/>
        </w:rPr>
        <w:t>10</w:t>
      </w:r>
      <w:r>
        <w:rPr>
          <w:rFonts w:hint="eastAsia"/>
          <w:sz w:val="18"/>
        </w:rPr>
        <w:t>日，荷兰律师人权委员会简报</w:t>
      </w:r>
      <w:r>
        <w:rPr>
          <w:sz w:val="18"/>
        </w:rPr>
        <w:t>19-7</w:t>
      </w:r>
      <w:r>
        <w:rPr>
          <w:rFonts w:hint="eastAsia"/>
          <w:sz w:val="18"/>
        </w:rPr>
        <w:t>（</w:t>
      </w:r>
      <w:r>
        <w:rPr>
          <w:sz w:val="18"/>
        </w:rPr>
        <w:t>1979</w:t>
      </w:r>
      <w:r>
        <w:rPr>
          <w:rFonts w:hint="eastAsia"/>
          <w:sz w:val="18"/>
        </w:rPr>
        <w:t>年）和</w:t>
      </w:r>
      <w:r>
        <w:rPr>
          <w:sz w:val="18"/>
        </w:rPr>
        <w:t>HR</w:t>
      </w:r>
      <w:r>
        <w:rPr>
          <w:rFonts w:hint="eastAsia"/>
          <w:sz w:val="18"/>
        </w:rPr>
        <w:t>，</w:t>
      </w:r>
      <w:r>
        <w:rPr>
          <w:sz w:val="18"/>
        </w:rPr>
        <w:t>1993</w:t>
      </w:r>
      <w:r>
        <w:rPr>
          <w:rFonts w:hint="eastAsia"/>
          <w:sz w:val="18"/>
        </w:rPr>
        <w:t>年</w:t>
      </w:r>
      <w:r>
        <w:rPr>
          <w:sz w:val="18"/>
        </w:rPr>
        <w:t>5</w:t>
      </w:r>
      <w:r>
        <w:rPr>
          <w:rFonts w:hint="eastAsia"/>
          <w:sz w:val="18"/>
        </w:rPr>
        <w:t>月</w:t>
      </w:r>
      <w:r>
        <w:rPr>
          <w:sz w:val="18"/>
        </w:rPr>
        <w:t>7</w:t>
      </w:r>
      <w:r>
        <w:rPr>
          <w:rFonts w:hint="eastAsia"/>
          <w:sz w:val="18"/>
        </w:rPr>
        <w:t>日，荷兰律师人权委员会简报</w:t>
      </w:r>
      <w:r>
        <w:rPr>
          <w:sz w:val="18"/>
        </w:rPr>
        <w:t>18-6</w:t>
      </w:r>
      <w:r>
        <w:rPr>
          <w:rFonts w:hint="eastAsia"/>
          <w:sz w:val="18"/>
        </w:rPr>
        <w:t>（</w:t>
      </w:r>
      <w:r>
        <w:rPr>
          <w:sz w:val="18"/>
        </w:rPr>
        <w:t>1993</w:t>
      </w:r>
      <w:r>
        <w:rPr>
          <w:rFonts w:hint="eastAsia"/>
          <w:sz w:val="18"/>
        </w:rPr>
        <w:t>年），带注释</w:t>
      </w:r>
      <w:r>
        <w:rPr>
          <w:sz w:val="18"/>
        </w:rPr>
        <w:t>A</w:t>
      </w:r>
      <w:r>
        <w:rPr>
          <w:rFonts w:hint="eastAsia"/>
          <w:sz w:val="18"/>
        </w:rPr>
        <w:t>，</w:t>
      </w:r>
      <w:r>
        <w:rPr>
          <w:sz w:val="18"/>
        </w:rPr>
        <w:t>W. Heringa. Heringa</w:t>
      </w:r>
      <w:r>
        <w:rPr>
          <w:rFonts w:hint="eastAsia"/>
          <w:sz w:val="18"/>
        </w:rPr>
        <w:t>（</w:t>
      </w:r>
      <w:r>
        <w:rPr>
          <w:sz w:val="18"/>
        </w:rPr>
        <w:t>1994</w:t>
      </w:r>
      <w:r>
        <w:rPr>
          <w:rFonts w:hint="eastAsia"/>
          <w:sz w:val="18"/>
        </w:rPr>
        <w:t>年）。</w:t>
      </w:r>
    </w:p>
  </w:footnote>
  <w:footnote w:id="72">
    <w:p w:rsidR="00000000" w:rsidRDefault="00000000">
      <w:pPr>
        <w:pStyle w:val="FootnoteText"/>
        <w:ind w:firstLine="425"/>
        <w:jc w:val="both"/>
      </w:pPr>
      <w:r>
        <w:rPr>
          <w:rStyle w:val="FootnoteReference"/>
        </w:rPr>
        <w:t>27</w:t>
      </w:r>
      <w:r>
        <w:t xml:space="preserve">  Wadstein (1988</w:t>
      </w:r>
      <w:r>
        <w:rPr>
          <w:rFonts w:hint="eastAsia"/>
        </w:rPr>
        <w:t>年</w:t>
      </w:r>
      <w:r>
        <w:t>)</w:t>
      </w:r>
      <w:r>
        <w:rPr>
          <w:rFonts w:hint="eastAsia"/>
        </w:rPr>
        <w:t>。</w:t>
      </w:r>
      <w:r>
        <w:t>Dallmeyer</w:t>
      </w:r>
      <w:r>
        <w:rPr>
          <w:rFonts w:hint="eastAsia"/>
        </w:rPr>
        <w:t>（</w:t>
      </w:r>
      <w:r>
        <w:t>1993</w:t>
      </w:r>
      <w:r>
        <w:rPr>
          <w:rFonts w:hint="eastAsia"/>
        </w:rPr>
        <w:t>年）。</w:t>
      </w:r>
      <w:r>
        <w:t xml:space="preserve"> Caok</w:t>
      </w:r>
      <w:r>
        <w:rPr>
          <w:rFonts w:hint="eastAsia"/>
        </w:rPr>
        <w:t>（</w:t>
      </w:r>
      <w:r>
        <w:t>1994</w:t>
      </w:r>
      <w:r>
        <w:rPr>
          <w:rFonts w:hint="eastAsia"/>
        </w:rPr>
        <w:t>年）。</w:t>
      </w:r>
    </w:p>
  </w:footnote>
  <w:footnote w:id="73">
    <w:p w:rsidR="00000000" w:rsidRDefault="00000000">
      <w:pPr>
        <w:pStyle w:val="FootnoteText"/>
        <w:ind w:firstLine="425"/>
        <w:jc w:val="both"/>
      </w:pPr>
      <w:r>
        <w:rPr>
          <w:rStyle w:val="FootnoteReference"/>
        </w:rPr>
        <w:t>28</w:t>
      </w:r>
      <w:r>
        <w:t xml:space="preserve">  Toma</w:t>
      </w:r>
      <w:r>
        <w:sym w:font="WP MultinationalA Courier" w:char="F0D3"/>
      </w:r>
      <w:r>
        <w:t>evski</w:t>
      </w:r>
      <w:r>
        <w:rPr>
          <w:rFonts w:hint="eastAsia"/>
        </w:rPr>
        <w:t>（</w:t>
      </w:r>
      <w:r>
        <w:t>1988</w:t>
      </w:r>
      <w:r>
        <w:rPr>
          <w:rFonts w:hint="eastAsia"/>
        </w:rPr>
        <w:t>年）。</w:t>
      </w:r>
    </w:p>
  </w:footnote>
  <w:footnote w:id="74">
    <w:p w:rsidR="00000000" w:rsidRDefault="00000000">
      <w:pPr>
        <w:pStyle w:val="FootnoteText"/>
        <w:ind w:firstLine="425"/>
        <w:jc w:val="both"/>
      </w:pPr>
      <w:r>
        <w:rPr>
          <w:rStyle w:val="FootnoteReference"/>
        </w:rPr>
        <w:t>29</w:t>
      </w:r>
      <w:r>
        <w:t xml:space="preserve">  Romany</w:t>
      </w:r>
      <w:r>
        <w:rPr>
          <w:rFonts w:hint="eastAsia"/>
        </w:rPr>
        <w:t>（</w:t>
      </w:r>
      <w:r>
        <w:t>1994</w:t>
      </w:r>
      <w:r>
        <w:rPr>
          <w:rFonts w:hint="eastAsia"/>
        </w:rPr>
        <w:t>年）。</w:t>
      </w:r>
      <w:r>
        <w:t>Loenen</w:t>
      </w:r>
      <w:r>
        <w:rPr>
          <w:rFonts w:hint="eastAsia"/>
        </w:rPr>
        <w:t>（</w:t>
      </w:r>
      <w:r>
        <w:t>1994</w:t>
      </w:r>
      <w:r>
        <w:rPr>
          <w:rFonts w:hint="eastAsia"/>
        </w:rPr>
        <w:t>年）。</w:t>
      </w:r>
    </w:p>
  </w:footnote>
  <w:footnote w:id="75">
    <w:p w:rsidR="00000000" w:rsidRDefault="00000000">
      <w:pPr>
        <w:pStyle w:val="FootnoteText"/>
        <w:ind w:firstLine="425"/>
        <w:jc w:val="both"/>
      </w:pPr>
      <w:r>
        <w:rPr>
          <w:rStyle w:val="FootnoteReference"/>
        </w:rPr>
        <w:t>30</w:t>
      </w:r>
      <w:r>
        <w:t xml:space="preserve">  Heringa</w:t>
      </w:r>
      <w:r>
        <w:rPr>
          <w:rFonts w:hint="eastAsia"/>
        </w:rPr>
        <w:t>（</w:t>
      </w:r>
      <w:r>
        <w:t>1995</w:t>
      </w:r>
      <w:r>
        <w:rPr>
          <w:rFonts w:hint="eastAsia"/>
        </w:rPr>
        <w:t>年）。</w:t>
      </w:r>
    </w:p>
  </w:footnote>
  <w:footnote w:id="76">
    <w:p w:rsidR="00000000" w:rsidRDefault="00000000">
      <w:pPr>
        <w:pStyle w:val="FootnoteText"/>
        <w:ind w:firstLine="425"/>
        <w:jc w:val="both"/>
      </w:pPr>
      <w:r>
        <w:rPr>
          <w:rStyle w:val="FootnoteReference"/>
        </w:rPr>
        <w:t>31</w:t>
      </w:r>
      <w:r>
        <w:t xml:space="preserve">  Sommerville</w:t>
      </w:r>
      <w:r>
        <w:rPr>
          <w:rFonts w:hint="eastAsia"/>
        </w:rPr>
        <w:t>（</w:t>
      </w:r>
      <w:r>
        <w:t>1993</w:t>
      </w:r>
      <w:r>
        <w:rPr>
          <w:rFonts w:hint="eastAsia"/>
        </w:rPr>
        <w:t>年）。</w:t>
      </w:r>
      <w:r>
        <w:t>Cook</w:t>
      </w:r>
      <w:r>
        <w:rPr>
          <w:rFonts w:hint="eastAsia"/>
        </w:rPr>
        <w:t>（</w:t>
      </w:r>
      <w:r>
        <w:t>1993</w:t>
      </w:r>
      <w:r>
        <w:rPr>
          <w:rFonts w:hint="eastAsia"/>
        </w:rPr>
        <w:t>年）。</w:t>
      </w:r>
    </w:p>
  </w:footnote>
  <w:footnote w:id="77">
    <w:p w:rsidR="00000000" w:rsidRDefault="00000000">
      <w:pPr>
        <w:pStyle w:val="FootnoteText"/>
        <w:ind w:firstLine="425"/>
        <w:jc w:val="both"/>
      </w:pPr>
      <w:r>
        <w:rPr>
          <w:rStyle w:val="FootnoteReference"/>
        </w:rPr>
        <w:t>32</w:t>
      </w:r>
      <w:r>
        <w:t xml:space="preserve">  Leenen</w:t>
      </w:r>
      <w:r>
        <w:rPr>
          <w:rFonts w:hint="eastAsia"/>
        </w:rPr>
        <w:t>（</w:t>
      </w:r>
      <w:r>
        <w:t>1991</w:t>
      </w:r>
      <w:r>
        <w:rPr>
          <w:rFonts w:hint="eastAsia"/>
        </w:rPr>
        <w:t>年）。</w:t>
      </w:r>
    </w:p>
  </w:footnote>
  <w:footnote w:id="78">
    <w:p w:rsidR="00000000" w:rsidRDefault="00000000">
      <w:pPr>
        <w:pStyle w:val="FootnoteText"/>
        <w:ind w:firstLine="425"/>
        <w:jc w:val="both"/>
      </w:pPr>
      <w:r>
        <w:rPr>
          <w:rStyle w:val="FootnoteReference"/>
        </w:rPr>
        <w:t>33</w:t>
      </w:r>
      <w:r>
        <w:t xml:space="preserve">  </w:t>
      </w:r>
      <w:r>
        <w:rPr>
          <w:rFonts w:hint="eastAsia"/>
        </w:rPr>
        <w:t>世界卫生组织（</w:t>
      </w:r>
      <w:r>
        <w:t>1993</w:t>
      </w:r>
      <w:r>
        <w:rPr>
          <w:rFonts w:hint="eastAsia"/>
        </w:rPr>
        <w:t>年）。</w:t>
      </w:r>
      <w:r>
        <w:t>Toma_erski</w:t>
      </w:r>
      <w:r>
        <w:rPr>
          <w:rFonts w:hint="eastAsia"/>
        </w:rPr>
        <w:t>（</w:t>
      </w:r>
      <w:r>
        <w:t>1995</w:t>
      </w:r>
      <w:r>
        <w:rPr>
          <w:rFonts w:hint="eastAsia"/>
        </w:rPr>
        <w:t>年）。</w:t>
      </w:r>
      <w:r>
        <w:t>Leary(1994</w:t>
      </w:r>
      <w:r>
        <w:rPr>
          <w:rFonts w:hint="eastAsia"/>
        </w:rPr>
        <w:t>年）。</w:t>
      </w:r>
      <w:r>
        <w:t>Leenen</w:t>
      </w:r>
      <w:r>
        <w:rPr>
          <w:rFonts w:hint="eastAsia"/>
        </w:rPr>
        <w:t>（</w:t>
      </w:r>
      <w:r>
        <w:t>1994</w:t>
      </w:r>
      <w:r>
        <w:rPr>
          <w:rFonts w:hint="eastAsia"/>
        </w:rPr>
        <w:t>年）。</w:t>
      </w:r>
      <w:r>
        <w:t>Hendriks</w:t>
      </w:r>
      <w:r>
        <w:rPr>
          <w:rFonts w:hint="eastAsia"/>
        </w:rPr>
        <w:t>（</w:t>
      </w:r>
      <w:r>
        <w:t>1994</w:t>
      </w:r>
      <w:r>
        <w:rPr>
          <w:rFonts w:hint="eastAsia"/>
        </w:rPr>
        <w:t>年）。</w:t>
      </w:r>
    </w:p>
  </w:footnote>
  <w:footnote w:id="79">
    <w:p w:rsidR="00000000" w:rsidRDefault="00000000">
      <w:pPr>
        <w:pStyle w:val="FootnoteText"/>
        <w:ind w:firstLine="425"/>
        <w:jc w:val="both"/>
      </w:pPr>
      <w:r>
        <w:rPr>
          <w:rStyle w:val="FootnoteReference"/>
        </w:rPr>
        <w:t>34</w:t>
      </w:r>
      <w:r>
        <w:t xml:space="preserve">  </w:t>
      </w:r>
      <w:r>
        <w:rPr>
          <w:rFonts w:hint="eastAsia"/>
        </w:rPr>
        <w:t>也见下院议事录，</w:t>
      </w:r>
      <w:r>
        <w:t>1994-1995</w:t>
      </w:r>
      <w:r>
        <w:rPr>
          <w:rFonts w:hint="eastAsia"/>
        </w:rPr>
        <w:t>年，</w:t>
      </w:r>
      <w:r>
        <w:t>24 126</w:t>
      </w:r>
      <w:r>
        <w:rPr>
          <w:rFonts w:hint="eastAsia"/>
        </w:rPr>
        <w:t>，第</w:t>
      </w:r>
      <w:r>
        <w:t>1-2</w:t>
      </w:r>
      <w:r>
        <w:rPr>
          <w:rFonts w:hint="eastAsia"/>
        </w:rPr>
        <w:t>号，第</w:t>
      </w:r>
      <w:r>
        <w:t>18</w:t>
      </w:r>
      <w:r>
        <w:rPr>
          <w:rFonts w:hint="eastAsia"/>
        </w:rPr>
        <w:t>页。</w:t>
      </w:r>
    </w:p>
  </w:footnote>
  <w:footnote w:id="80">
    <w:p w:rsidR="00000000" w:rsidRDefault="00000000">
      <w:pPr>
        <w:pStyle w:val="FootnoteText"/>
        <w:ind w:firstLine="425"/>
        <w:jc w:val="both"/>
      </w:pPr>
      <w:r>
        <w:rPr>
          <w:rStyle w:val="FootnoteReference"/>
        </w:rPr>
        <w:t>35</w:t>
      </w:r>
      <w:r>
        <w:t xml:space="preserve">  Akkermans, Koekoek</w:t>
      </w:r>
      <w:r>
        <w:rPr>
          <w:rFonts w:hint="eastAsia"/>
        </w:rPr>
        <w:t>（</w:t>
      </w:r>
      <w:r>
        <w:t>1992</w:t>
      </w:r>
      <w:r>
        <w:rPr>
          <w:rFonts w:hint="eastAsia"/>
        </w:rPr>
        <w:t>年），</w:t>
      </w:r>
      <w:r>
        <w:t>Gerers</w:t>
      </w:r>
      <w:r>
        <w:rPr>
          <w:rFonts w:hint="eastAsia"/>
        </w:rPr>
        <w:t>（</w:t>
      </w:r>
      <w:r>
        <w:t>1994</w:t>
      </w:r>
      <w:r>
        <w:rPr>
          <w:rFonts w:hint="eastAsia"/>
        </w:rPr>
        <w:t>年）。</w:t>
      </w:r>
    </w:p>
  </w:footnote>
  <w:footnote w:id="81">
    <w:p w:rsidR="00000000" w:rsidRDefault="00000000">
      <w:pPr>
        <w:pStyle w:val="FootnoteText"/>
        <w:ind w:firstLine="425"/>
        <w:jc w:val="both"/>
      </w:pPr>
      <w:r>
        <w:rPr>
          <w:rStyle w:val="FootnoteReference"/>
        </w:rPr>
        <w:t>36</w:t>
      </w:r>
      <w:r>
        <w:t xml:space="preserve">  Sullivan(1995</w:t>
      </w:r>
      <w:r>
        <w:rPr>
          <w:rFonts w:hint="eastAsia"/>
        </w:rPr>
        <w:t>年</w:t>
      </w:r>
      <w:r>
        <w:t>b)</w:t>
      </w:r>
      <w:r>
        <w:rPr>
          <w:rFonts w:hint="eastAsia"/>
        </w:rPr>
        <w:t>。</w:t>
      </w:r>
    </w:p>
  </w:footnote>
  <w:footnote w:id="82">
    <w:p w:rsidR="00000000" w:rsidRDefault="00000000">
      <w:pPr>
        <w:pStyle w:val="FootnoteText"/>
        <w:ind w:firstLine="425"/>
        <w:jc w:val="both"/>
      </w:pPr>
      <w:r>
        <w:rPr>
          <w:rStyle w:val="FootnoteReference"/>
        </w:rPr>
        <w:t>37</w:t>
      </w:r>
      <w:r>
        <w:t xml:space="preserve">  Coomans</w:t>
      </w:r>
      <w:r>
        <w:rPr>
          <w:rFonts w:hint="eastAsia"/>
        </w:rPr>
        <w:t>等人（编辑）（</w:t>
      </w:r>
      <w:r>
        <w:t>1994</w:t>
      </w:r>
      <w:r>
        <w:rPr>
          <w:rFonts w:hint="eastAsia"/>
        </w:rPr>
        <w:t>年）。</w:t>
      </w:r>
    </w:p>
  </w:footnote>
  <w:footnote w:id="83">
    <w:p w:rsidR="00000000" w:rsidRDefault="00000000">
      <w:pPr>
        <w:pStyle w:val="FootnoteText"/>
        <w:ind w:firstLine="425"/>
        <w:jc w:val="both"/>
      </w:pPr>
      <w:r>
        <w:rPr>
          <w:rStyle w:val="FootnoteReference"/>
        </w:rPr>
        <w:t>38</w:t>
      </w:r>
      <w:r>
        <w:t xml:space="preserve">  Sullivan</w:t>
      </w:r>
      <w:r>
        <w:rPr>
          <w:rFonts w:hint="eastAsia"/>
        </w:rPr>
        <w:t>（</w:t>
      </w:r>
      <w:r>
        <w:t>1995</w:t>
      </w:r>
      <w:r>
        <w:rPr>
          <w:rFonts w:hint="eastAsia"/>
        </w:rPr>
        <w:t>年）。</w:t>
      </w:r>
    </w:p>
  </w:footnote>
  <w:footnote w:id="84">
    <w:p w:rsidR="00000000" w:rsidRDefault="00000000">
      <w:pPr>
        <w:pStyle w:val="FootnoteText"/>
        <w:ind w:firstLine="425"/>
        <w:jc w:val="both"/>
      </w:pPr>
      <w:r>
        <w:rPr>
          <w:rStyle w:val="FootnoteReference"/>
        </w:rPr>
        <w:t>39</w:t>
      </w:r>
      <w:r>
        <w:t xml:space="preserve">  Gerbranda</w:t>
      </w:r>
      <w:r>
        <w:rPr>
          <w:rFonts w:hint="eastAsia"/>
        </w:rPr>
        <w:t>，</w:t>
      </w:r>
      <w:r>
        <w:t>Kroes</w:t>
      </w:r>
      <w:r>
        <w:rPr>
          <w:rFonts w:hint="eastAsia"/>
        </w:rPr>
        <w:t>（</w:t>
      </w:r>
      <w:r>
        <w:t>1991</w:t>
      </w:r>
      <w:r>
        <w:rPr>
          <w:rFonts w:hint="eastAsia"/>
        </w:rPr>
        <w:t>年）。</w:t>
      </w:r>
    </w:p>
  </w:footnote>
  <w:footnote w:id="85">
    <w:p w:rsidR="00000000" w:rsidRDefault="00000000">
      <w:pPr>
        <w:pStyle w:val="FootnoteText"/>
        <w:ind w:firstLine="425"/>
        <w:jc w:val="both"/>
      </w:pPr>
      <w:r>
        <w:rPr>
          <w:rStyle w:val="FootnoteReference"/>
        </w:rPr>
        <w:t>40</w:t>
      </w:r>
      <w:r>
        <w:t xml:space="preserve">  </w:t>
      </w:r>
      <w:r>
        <w:rPr>
          <w:rFonts w:hint="eastAsia"/>
        </w:rPr>
        <w:t>关于更详细内容见：</w:t>
      </w:r>
      <w:r>
        <w:t>Heringa, Hes, Lijnzaad</w:t>
      </w:r>
      <w:r>
        <w:rPr>
          <w:rFonts w:hint="eastAsia"/>
        </w:rPr>
        <w:t>等人（编辑）（</w:t>
      </w:r>
      <w:r>
        <w:t>1994</w:t>
      </w:r>
      <w:r>
        <w:rPr>
          <w:rFonts w:hint="eastAsia"/>
        </w:rPr>
        <w:t>年）。</w:t>
      </w:r>
    </w:p>
  </w:footnote>
  <w:footnote w:id="86">
    <w:p w:rsidR="00000000" w:rsidRDefault="00000000">
      <w:pPr>
        <w:autoSpaceDE w:val="0"/>
        <w:autoSpaceDN w:val="0"/>
        <w:ind w:firstLine="425"/>
        <w:textAlignment w:val="bottom"/>
        <w:rPr>
          <w:sz w:val="18"/>
        </w:rPr>
      </w:pPr>
      <w:r>
        <w:rPr>
          <w:rStyle w:val="FootnoteReference"/>
          <w:sz w:val="18"/>
        </w:rPr>
        <w:t>41</w:t>
      </w:r>
      <w:r>
        <w:rPr>
          <w:sz w:val="18"/>
        </w:rPr>
        <w:t xml:space="preserve">  Alkema, Zaaijer</w:t>
      </w:r>
      <w:r>
        <w:rPr>
          <w:rFonts w:hint="eastAsia"/>
          <w:sz w:val="18"/>
        </w:rPr>
        <w:t>（</w:t>
      </w:r>
      <w:r>
        <w:rPr>
          <w:sz w:val="18"/>
        </w:rPr>
        <w:t>1994</w:t>
      </w:r>
      <w:r>
        <w:rPr>
          <w:rFonts w:hint="eastAsia"/>
          <w:sz w:val="18"/>
        </w:rPr>
        <w:t>年）。</w:t>
      </w:r>
    </w:p>
  </w:footnote>
  <w:footnote w:id="87">
    <w:p w:rsidR="00000000" w:rsidRDefault="00000000">
      <w:pPr>
        <w:autoSpaceDE w:val="0"/>
        <w:autoSpaceDN w:val="0"/>
        <w:ind w:firstLine="425"/>
        <w:textAlignment w:val="bottom"/>
        <w:rPr>
          <w:sz w:val="18"/>
        </w:rPr>
      </w:pPr>
      <w:r>
        <w:rPr>
          <w:rStyle w:val="FootnoteReference"/>
          <w:sz w:val="18"/>
        </w:rPr>
        <w:t>4</w:t>
      </w:r>
      <w:r>
        <w:rPr>
          <w:sz w:val="18"/>
          <w:vertAlign w:val="superscript"/>
        </w:rPr>
        <w:t>2</w:t>
      </w:r>
      <w:r>
        <w:rPr>
          <w:position w:val="10"/>
          <w:sz w:val="18"/>
        </w:rPr>
        <w:t xml:space="preserve">  </w:t>
      </w:r>
      <w:r>
        <w:rPr>
          <w:rFonts w:hint="eastAsia"/>
          <w:sz w:val="18"/>
        </w:rPr>
        <w:t>见《妇女公约》第</w:t>
      </w:r>
      <w:r>
        <w:rPr>
          <w:sz w:val="18"/>
        </w:rPr>
        <w:t>23</w:t>
      </w:r>
      <w:r>
        <w:rPr>
          <w:rFonts w:hint="eastAsia"/>
          <w:sz w:val="18"/>
        </w:rPr>
        <w:t>条。</w:t>
      </w:r>
    </w:p>
  </w:footnote>
  <w:footnote w:id="88">
    <w:p w:rsidR="00000000" w:rsidRDefault="00000000">
      <w:pPr>
        <w:autoSpaceDE w:val="0"/>
        <w:autoSpaceDN w:val="0"/>
        <w:ind w:firstLine="425"/>
        <w:textAlignment w:val="bottom"/>
        <w:rPr>
          <w:sz w:val="18"/>
        </w:rPr>
      </w:pPr>
      <w:r>
        <w:rPr>
          <w:rStyle w:val="FootnoteReference"/>
          <w:sz w:val="18"/>
        </w:rPr>
        <w:t>43</w:t>
      </w:r>
      <w:r>
        <w:rPr>
          <w:sz w:val="18"/>
        </w:rPr>
        <w:t xml:space="preserve">  Van den Brink, Hendriks (1994</w:t>
      </w:r>
      <w:r>
        <w:rPr>
          <w:rFonts w:hint="eastAsia"/>
          <w:sz w:val="18"/>
        </w:rPr>
        <w:t>年</w:t>
      </w:r>
      <w:r>
        <w:rPr>
          <w:sz w:val="18"/>
        </w:rPr>
        <w:t>)</w:t>
      </w:r>
      <w:r>
        <w:rPr>
          <w:rFonts w:hint="eastAsia"/>
          <w:sz w:val="18"/>
        </w:rPr>
        <w:t>。</w:t>
      </w:r>
    </w:p>
  </w:footnote>
  <w:footnote w:id="89">
    <w:p w:rsidR="00000000" w:rsidRDefault="00000000">
      <w:pPr>
        <w:autoSpaceDE w:val="0"/>
        <w:autoSpaceDN w:val="0"/>
        <w:ind w:firstLine="425"/>
        <w:textAlignment w:val="bottom"/>
        <w:rPr>
          <w:sz w:val="18"/>
        </w:rPr>
      </w:pPr>
      <w:r>
        <w:rPr>
          <w:rStyle w:val="FootnoteReference"/>
          <w:sz w:val="18"/>
        </w:rPr>
        <w:t>44</w:t>
      </w:r>
      <w:r>
        <w:rPr>
          <w:sz w:val="18"/>
        </w:rPr>
        <w:t xml:space="preserve">  Van den Brink, Hendriks (1994</w:t>
      </w:r>
      <w:r>
        <w:rPr>
          <w:rFonts w:hint="eastAsia"/>
          <w:sz w:val="18"/>
        </w:rPr>
        <w:t>年</w:t>
      </w:r>
      <w:r>
        <w:rPr>
          <w:sz w:val="18"/>
        </w:rPr>
        <w:t>)</w:t>
      </w:r>
      <w:r>
        <w:rPr>
          <w:rFonts w:hint="eastAsia"/>
          <w:sz w:val="18"/>
        </w:rPr>
        <w:t>。</w:t>
      </w:r>
    </w:p>
  </w:footnote>
  <w:footnote w:id="90">
    <w:p w:rsidR="00000000" w:rsidRDefault="00000000">
      <w:pPr>
        <w:pStyle w:val="FootnoteText"/>
        <w:ind w:firstLine="425"/>
        <w:jc w:val="both"/>
      </w:pPr>
      <w:r>
        <w:rPr>
          <w:rStyle w:val="FootnoteReference"/>
        </w:rPr>
        <w:t>45</w:t>
      </w:r>
      <w:r>
        <w:t xml:space="preserve">  Coomans</w:t>
      </w:r>
      <w:r>
        <w:rPr>
          <w:rFonts w:hint="eastAsia"/>
        </w:rPr>
        <w:t>（</w:t>
      </w:r>
      <w:r>
        <w:t>1992</w:t>
      </w:r>
      <w:r>
        <w:rPr>
          <w:rFonts w:hint="eastAsia"/>
        </w:rPr>
        <w:t>年）。</w:t>
      </w:r>
    </w:p>
  </w:footnote>
  <w:footnote w:id="91">
    <w:p w:rsidR="00000000" w:rsidRDefault="00000000">
      <w:pPr>
        <w:pStyle w:val="FootnoteText"/>
        <w:ind w:firstLine="425"/>
        <w:jc w:val="both"/>
      </w:pPr>
      <w:r>
        <w:rPr>
          <w:rStyle w:val="FootnoteReference"/>
        </w:rPr>
        <w:t>46</w:t>
      </w:r>
      <w:r>
        <w:t xml:space="preserve">  Eide</w:t>
      </w:r>
      <w:r>
        <w:rPr>
          <w:rFonts w:hint="eastAsia"/>
        </w:rPr>
        <w:t>（</w:t>
      </w:r>
      <w:r>
        <w:t>1987</w:t>
      </w:r>
      <w:r>
        <w:rPr>
          <w:rFonts w:hint="eastAsia"/>
        </w:rPr>
        <w:t>年）。</w:t>
      </w:r>
    </w:p>
  </w:footnote>
  <w:footnote w:id="92">
    <w:p w:rsidR="00000000" w:rsidRDefault="00000000">
      <w:pPr>
        <w:pStyle w:val="FootnoteText"/>
        <w:ind w:firstLine="425"/>
        <w:jc w:val="both"/>
      </w:pPr>
      <w:r>
        <w:rPr>
          <w:rStyle w:val="FootnoteReference"/>
        </w:rPr>
        <w:t>47</w:t>
      </w:r>
      <w:r>
        <w:t xml:space="preserve">  Flinterman</w:t>
      </w:r>
      <w:r>
        <w:rPr>
          <w:rFonts w:hint="eastAsia"/>
        </w:rPr>
        <w:t>（</w:t>
      </w:r>
      <w:r>
        <w:t>1995</w:t>
      </w:r>
      <w:r>
        <w:rPr>
          <w:rFonts w:hint="eastAsia"/>
        </w:rPr>
        <w:t>年）。</w:t>
      </w:r>
    </w:p>
  </w:footnote>
  <w:footnote w:id="93">
    <w:p w:rsidR="00000000" w:rsidRDefault="00000000">
      <w:pPr>
        <w:pStyle w:val="FootnoteText"/>
        <w:ind w:firstLine="425"/>
        <w:jc w:val="both"/>
      </w:pPr>
      <w:r>
        <w:rPr>
          <w:rStyle w:val="FootnoteReference"/>
        </w:rPr>
        <w:t>48</w:t>
      </w:r>
      <w:r>
        <w:t xml:space="preserve">  Byrnes, Connors</w:t>
      </w:r>
      <w:r>
        <w:rPr>
          <w:rFonts w:hint="eastAsia"/>
        </w:rPr>
        <w:t>（</w:t>
      </w:r>
      <w:r>
        <w:t>1994</w:t>
      </w:r>
      <w:r>
        <w:rPr>
          <w:rFonts w:hint="eastAsia"/>
        </w:rPr>
        <w:t>年）。</w:t>
      </w:r>
    </w:p>
  </w:footnote>
  <w:footnote w:id="94">
    <w:p w:rsidR="00000000" w:rsidRDefault="00000000">
      <w:pPr>
        <w:pStyle w:val="FootnoteText"/>
        <w:ind w:firstLine="425"/>
        <w:jc w:val="both"/>
      </w:pPr>
      <w:r>
        <w:rPr>
          <w:rStyle w:val="FootnoteReference"/>
        </w:rPr>
        <w:t>49</w:t>
      </w:r>
      <w:r>
        <w:t xml:space="preserve">  Hes</w:t>
      </w:r>
      <w:r>
        <w:rPr>
          <w:rFonts w:hint="eastAsia"/>
        </w:rPr>
        <w:t>等人（</w:t>
      </w:r>
      <w:r>
        <w:t>1996</w:t>
      </w:r>
      <w:r>
        <w:rPr>
          <w:rFonts w:hint="eastAsia"/>
        </w:rPr>
        <w:t>年）。</w:t>
      </w:r>
    </w:p>
  </w:footnote>
  <w:footnote w:id="95">
    <w:p w:rsidR="00000000" w:rsidRDefault="00000000">
      <w:pPr>
        <w:autoSpaceDE w:val="0"/>
        <w:autoSpaceDN w:val="0"/>
        <w:ind w:firstLine="425"/>
        <w:textAlignment w:val="bottom"/>
        <w:rPr>
          <w:sz w:val="18"/>
        </w:rPr>
      </w:pPr>
      <w:r>
        <w:rPr>
          <w:rStyle w:val="FootnoteReference"/>
          <w:sz w:val="18"/>
        </w:rPr>
        <w:t>50</w:t>
      </w:r>
      <w:r>
        <w:rPr>
          <w:sz w:val="18"/>
        </w:rPr>
        <w:t xml:space="preserve">  </w:t>
      </w:r>
      <w:r>
        <w:rPr>
          <w:rFonts w:hint="eastAsia"/>
          <w:sz w:val="18"/>
        </w:rPr>
        <w:t>在被拘留的妇女群体中可以找到需要实质性平等的实例；见</w:t>
      </w:r>
      <w:r>
        <w:rPr>
          <w:sz w:val="18"/>
        </w:rPr>
        <w:t>Wolleswinkel</w:t>
      </w:r>
      <w:r>
        <w:rPr>
          <w:rFonts w:hint="eastAsia"/>
          <w:sz w:val="18"/>
        </w:rPr>
        <w:t>（</w:t>
      </w:r>
      <w:r>
        <w:rPr>
          <w:sz w:val="18"/>
        </w:rPr>
        <w:t>1995</w:t>
      </w:r>
      <w:r>
        <w:rPr>
          <w:rFonts w:hint="eastAsia"/>
          <w:sz w:val="18"/>
        </w:rPr>
        <w:t>年），第</w:t>
      </w:r>
      <w:r>
        <w:rPr>
          <w:sz w:val="18"/>
        </w:rPr>
        <w:t>183-184</w:t>
      </w:r>
      <w:r>
        <w:rPr>
          <w:rFonts w:hint="eastAsia"/>
          <w:sz w:val="18"/>
        </w:rPr>
        <w:t>页。</w:t>
      </w:r>
      <w:r>
        <w:rPr>
          <w:sz w:val="18"/>
        </w:rPr>
        <w:t>Van der Maas</w:t>
      </w:r>
      <w:r>
        <w:rPr>
          <w:rFonts w:hint="eastAsia"/>
          <w:sz w:val="18"/>
        </w:rPr>
        <w:t>（</w:t>
      </w:r>
      <w:r>
        <w:rPr>
          <w:sz w:val="18"/>
        </w:rPr>
        <w:t>1994</w:t>
      </w:r>
      <w:r>
        <w:rPr>
          <w:rFonts w:hint="eastAsia"/>
          <w:sz w:val="18"/>
        </w:rPr>
        <w:t>年）。</w:t>
      </w:r>
    </w:p>
  </w:footnote>
  <w:footnote w:id="96">
    <w:p w:rsidR="00000000" w:rsidRDefault="00000000">
      <w:pPr>
        <w:autoSpaceDE w:val="0"/>
        <w:autoSpaceDN w:val="0"/>
        <w:ind w:firstLine="425"/>
        <w:textAlignment w:val="bottom"/>
        <w:rPr>
          <w:sz w:val="18"/>
        </w:rPr>
      </w:pPr>
      <w:r>
        <w:rPr>
          <w:rStyle w:val="FootnoteReference"/>
          <w:sz w:val="18"/>
        </w:rPr>
        <w:t>51</w:t>
      </w:r>
      <w:r>
        <w:rPr>
          <w:sz w:val="18"/>
        </w:rPr>
        <w:t xml:space="preserve">  </w:t>
      </w:r>
      <w:r>
        <w:rPr>
          <w:rFonts w:hint="eastAsia"/>
          <w:sz w:val="18"/>
        </w:rPr>
        <w:t>比较：</w:t>
      </w:r>
      <w:r>
        <w:rPr>
          <w:sz w:val="18"/>
        </w:rPr>
        <w:t>Alkema,Zaaijer</w:t>
      </w:r>
      <w:r>
        <w:rPr>
          <w:rFonts w:hint="eastAsia"/>
          <w:sz w:val="18"/>
        </w:rPr>
        <w:t>（</w:t>
      </w:r>
      <w:r>
        <w:rPr>
          <w:sz w:val="18"/>
        </w:rPr>
        <w:t>1994</w:t>
      </w:r>
      <w:r>
        <w:rPr>
          <w:rFonts w:hint="eastAsia"/>
          <w:sz w:val="18"/>
        </w:rPr>
        <w:t>年）。</w:t>
      </w:r>
    </w:p>
  </w:footnote>
  <w:footnote w:id="97">
    <w:p w:rsidR="00000000" w:rsidRDefault="00000000">
      <w:pPr>
        <w:autoSpaceDE w:val="0"/>
        <w:autoSpaceDN w:val="0"/>
        <w:ind w:firstLine="425"/>
        <w:textAlignment w:val="bottom"/>
        <w:rPr>
          <w:sz w:val="18"/>
        </w:rPr>
      </w:pPr>
      <w:r>
        <w:rPr>
          <w:rStyle w:val="FootnoteReference"/>
          <w:sz w:val="18"/>
        </w:rPr>
        <w:t>52</w:t>
      </w:r>
      <w:r>
        <w:rPr>
          <w:sz w:val="18"/>
        </w:rPr>
        <w:t xml:space="preserve">  Limburg</w:t>
      </w:r>
      <w:r>
        <w:rPr>
          <w:rFonts w:hint="eastAsia"/>
          <w:sz w:val="18"/>
        </w:rPr>
        <w:t>原则，联合国文件</w:t>
      </w:r>
      <w:r>
        <w:rPr>
          <w:sz w:val="18"/>
        </w:rPr>
        <w:t>E/CN.4/1987/17</w:t>
      </w:r>
      <w:r>
        <w:rPr>
          <w:rFonts w:hint="eastAsia"/>
          <w:sz w:val="18"/>
        </w:rPr>
        <w:t>；一般性评论第</w:t>
      </w:r>
      <w:r>
        <w:rPr>
          <w:sz w:val="18"/>
        </w:rPr>
        <w:t>3</w:t>
      </w:r>
      <w:r>
        <w:rPr>
          <w:rFonts w:hint="eastAsia"/>
          <w:sz w:val="18"/>
        </w:rPr>
        <w:t>期（</w:t>
      </w:r>
      <w:r>
        <w:rPr>
          <w:sz w:val="18"/>
        </w:rPr>
        <w:t>1990</w:t>
      </w:r>
      <w:r>
        <w:rPr>
          <w:rFonts w:hint="eastAsia"/>
          <w:sz w:val="18"/>
        </w:rPr>
        <w:t>年），联合国文件</w:t>
      </w:r>
      <w:r>
        <w:rPr>
          <w:sz w:val="18"/>
        </w:rPr>
        <w:t>E/1991/23</w:t>
      </w:r>
      <w:r>
        <w:rPr>
          <w:rFonts w:hint="eastAsia"/>
          <w:sz w:val="18"/>
        </w:rPr>
        <w:t>，</w:t>
      </w:r>
      <w:r>
        <w:rPr>
          <w:sz w:val="18"/>
        </w:rPr>
        <w:t>E/C.12/1990/8</w:t>
      </w:r>
      <w:r>
        <w:rPr>
          <w:rFonts w:hint="eastAsia"/>
          <w:sz w:val="18"/>
        </w:rPr>
        <w:t>，第</w:t>
      </w:r>
      <w:r>
        <w:rPr>
          <w:sz w:val="18"/>
        </w:rPr>
        <w:t>83-87</w:t>
      </w:r>
      <w:r>
        <w:rPr>
          <w:rFonts w:hint="eastAsia"/>
          <w:sz w:val="18"/>
        </w:rPr>
        <w:t>页。</w:t>
      </w:r>
    </w:p>
  </w:footnote>
  <w:footnote w:id="98">
    <w:p w:rsidR="00000000" w:rsidRDefault="00000000">
      <w:pPr>
        <w:pStyle w:val="FootnoteText"/>
        <w:autoSpaceDE w:val="0"/>
        <w:autoSpaceDN w:val="0"/>
        <w:ind w:firstLine="425"/>
        <w:jc w:val="both"/>
        <w:textAlignment w:val="bottom"/>
      </w:pPr>
      <w:r>
        <w:rPr>
          <w:rStyle w:val="FootnoteReference"/>
        </w:rPr>
        <w:t>53</w:t>
      </w:r>
      <w:r>
        <w:t xml:space="preserve">  Sullivan</w:t>
      </w:r>
      <w:r>
        <w:rPr>
          <w:rFonts w:hint="eastAsia"/>
        </w:rPr>
        <w:t>（</w:t>
      </w:r>
      <w:r>
        <w:t>1995</w:t>
      </w:r>
      <w:r>
        <w:rPr>
          <w:rFonts w:hint="eastAsia"/>
        </w:rPr>
        <w:t>年</w:t>
      </w:r>
      <w:r>
        <w:t>b</w:t>
      </w:r>
      <w:r>
        <w:rPr>
          <w:rFonts w:hint="eastAsia"/>
        </w:rPr>
        <w:t>），第</w:t>
      </w:r>
      <w:r>
        <w:t>378</w:t>
      </w:r>
      <w:r>
        <w:rPr>
          <w:rFonts w:hint="eastAsia"/>
        </w:rPr>
        <w:t>页。</w:t>
      </w:r>
    </w:p>
  </w:footnote>
  <w:footnote w:id="99">
    <w:p w:rsidR="00000000" w:rsidRDefault="00000000">
      <w:pPr>
        <w:pStyle w:val="FootnoteText"/>
        <w:autoSpaceDE w:val="0"/>
        <w:autoSpaceDN w:val="0"/>
        <w:ind w:firstLine="425"/>
        <w:jc w:val="both"/>
        <w:textAlignment w:val="bottom"/>
      </w:pPr>
      <w:r>
        <w:rPr>
          <w:rStyle w:val="FootnoteReference"/>
        </w:rPr>
        <w:t>54</w:t>
      </w:r>
      <w:r>
        <w:t xml:space="preserve">  Hes</w:t>
      </w:r>
      <w:r>
        <w:rPr>
          <w:rFonts w:hint="eastAsia"/>
        </w:rPr>
        <w:t>等人（</w:t>
      </w:r>
      <w:r>
        <w:t>1996</w:t>
      </w:r>
      <w:r>
        <w:rPr>
          <w:rFonts w:hint="eastAsia"/>
        </w:rPr>
        <w:t>年）。</w:t>
      </w:r>
    </w:p>
  </w:footnote>
  <w:footnote w:id="100">
    <w:p w:rsidR="00000000" w:rsidRDefault="00000000">
      <w:pPr>
        <w:pStyle w:val="FootnoteText"/>
        <w:autoSpaceDE w:val="0"/>
        <w:autoSpaceDN w:val="0"/>
        <w:ind w:firstLine="425"/>
        <w:jc w:val="both"/>
        <w:textAlignment w:val="bottom"/>
      </w:pPr>
      <w:r>
        <w:rPr>
          <w:rStyle w:val="FootnoteReference"/>
        </w:rPr>
        <w:t>55</w:t>
      </w:r>
      <w:r>
        <w:t xml:space="preserve">  </w:t>
      </w:r>
      <w:r>
        <w:rPr>
          <w:rFonts w:hint="eastAsia"/>
        </w:rPr>
        <w:t>《行动纲要》，</w:t>
      </w:r>
      <w:r>
        <w:t>1995</w:t>
      </w:r>
      <w:r>
        <w:rPr>
          <w:rFonts w:hint="eastAsia"/>
        </w:rPr>
        <w:t>年，第</w:t>
      </w:r>
      <w:r>
        <w:t>3</w:t>
      </w:r>
      <w:r>
        <w:rPr>
          <w:rFonts w:hint="eastAsia"/>
        </w:rPr>
        <w:t>节，第</w:t>
      </w:r>
      <w:r>
        <w:t>41-44</w:t>
      </w:r>
      <w:r>
        <w:rPr>
          <w:rFonts w:hint="eastAsia"/>
        </w:rPr>
        <w:t>段。</w:t>
      </w:r>
    </w:p>
  </w:footnote>
  <w:footnote w:id="101">
    <w:p w:rsidR="00000000" w:rsidRDefault="00000000">
      <w:pPr>
        <w:pStyle w:val="FootnoteText"/>
        <w:autoSpaceDE w:val="0"/>
        <w:autoSpaceDN w:val="0"/>
        <w:ind w:firstLine="425"/>
        <w:jc w:val="both"/>
        <w:textAlignment w:val="bottom"/>
      </w:pPr>
      <w:r>
        <w:rPr>
          <w:rStyle w:val="FootnoteReference"/>
        </w:rPr>
        <w:t>56</w:t>
      </w:r>
      <w:r>
        <w:t xml:space="preserve">  </w:t>
      </w:r>
      <w:r>
        <w:rPr>
          <w:rFonts w:hint="eastAsia"/>
        </w:rPr>
        <w:t>第四次妇女问题世界会议战略目标</w:t>
      </w:r>
      <w:r>
        <w:t>C.1.</w:t>
      </w:r>
      <w:r>
        <w:rPr>
          <w:rFonts w:hint="eastAsia"/>
        </w:rPr>
        <w:t>，北京，</w:t>
      </w:r>
      <w:r>
        <w:t>1995</w:t>
      </w:r>
      <w:r>
        <w:rPr>
          <w:rFonts w:hint="eastAsia"/>
        </w:rPr>
        <w:t>年</w:t>
      </w:r>
      <w:r>
        <w:t>9</w:t>
      </w:r>
      <w:r>
        <w:rPr>
          <w:rFonts w:hint="eastAsia"/>
        </w:rPr>
        <w:t>月</w:t>
      </w:r>
      <w:r>
        <w:t>4-15</w:t>
      </w:r>
      <w:r>
        <w:rPr>
          <w:rFonts w:hint="eastAsia"/>
        </w:rPr>
        <w:t>日，</w:t>
      </w:r>
      <w:r>
        <w:t>A/Conf.177/20.</w:t>
      </w:r>
      <w:r>
        <w:rPr>
          <w:rFonts w:hint="eastAsia"/>
        </w:rPr>
        <w:t>第</w:t>
      </w:r>
      <w:r>
        <w:t>41</w:t>
      </w:r>
      <w:r>
        <w:rPr>
          <w:rFonts w:hint="eastAsia"/>
        </w:rPr>
        <w:t>页。</w:t>
      </w:r>
    </w:p>
  </w:footnote>
  <w:footnote w:id="102">
    <w:p w:rsidR="00000000" w:rsidRDefault="00000000">
      <w:pPr>
        <w:pStyle w:val="FootnoteText"/>
        <w:autoSpaceDE w:val="0"/>
        <w:autoSpaceDN w:val="0"/>
        <w:ind w:firstLine="425"/>
        <w:jc w:val="both"/>
        <w:textAlignment w:val="bottom"/>
      </w:pPr>
      <w:r>
        <w:rPr>
          <w:rStyle w:val="FootnoteReference"/>
        </w:rPr>
        <w:t>57</w:t>
      </w:r>
      <w:r>
        <w:t xml:space="preserve">  </w:t>
      </w:r>
      <w:r>
        <w:rPr>
          <w:rFonts w:hint="eastAsia"/>
        </w:rPr>
        <w:t>关于诉讼处理程序的概念草案，见</w:t>
      </w:r>
      <w:r>
        <w:t>Flinterman</w:t>
      </w:r>
      <w:r>
        <w:rPr>
          <w:rFonts w:hint="eastAsia"/>
        </w:rPr>
        <w:t>（</w:t>
      </w:r>
      <w:r>
        <w:t>1995</w:t>
      </w:r>
      <w:r>
        <w:rPr>
          <w:rFonts w:hint="eastAsia"/>
        </w:rPr>
        <w:t>年）。</w:t>
      </w:r>
    </w:p>
  </w:footnote>
  <w:footnote w:id="103">
    <w:p w:rsidR="00000000" w:rsidRDefault="00000000">
      <w:pPr>
        <w:pStyle w:val="FootnoteText"/>
        <w:autoSpaceDE w:val="0"/>
        <w:autoSpaceDN w:val="0"/>
        <w:ind w:firstLine="425"/>
        <w:jc w:val="both"/>
        <w:textAlignment w:val="bottom"/>
      </w:pPr>
      <w:r>
        <w:rPr>
          <w:rStyle w:val="FootnoteReference"/>
        </w:rPr>
        <w:t>58</w:t>
      </w:r>
      <w:r>
        <w:t xml:space="preserve">  Byrnes</w:t>
      </w:r>
      <w:r>
        <w:rPr>
          <w:rFonts w:hint="eastAsia"/>
        </w:rPr>
        <w:t>（</w:t>
      </w:r>
      <w:r>
        <w:t>1991</w:t>
      </w:r>
      <w:r>
        <w:rPr>
          <w:rFonts w:hint="eastAsia"/>
        </w:rPr>
        <w:t>年</w:t>
      </w:r>
      <w:r>
        <w:t>c</w:t>
      </w:r>
      <w:r>
        <w:rPr>
          <w:rFonts w:hint="eastAsia"/>
        </w:rPr>
        <w:t>），第</w:t>
      </w:r>
      <w:r>
        <w:t>345</w:t>
      </w:r>
      <w:r>
        <w:rPr>
          <w:rFonts w:hint="eastAsia"/>
        </w:rPr>
        <w:t>页。</w:t>
      </w:r>
    </w:p>
  </w:footnote>
  <w:footnote w:id="104">
    <w:p w:rsidR="00000000" w:rsidRDefault="00000000">
      <w:pPr>
        <w:pStyle w:val="FootnoteText"/>
        <w:autoSpaceDE w:val="0"/>
        <w:autoSpaceDN w:val="0"/>
        <w:ind w:firstLine="425"/>
        <w:jc w:val="both"/>
        <w:textAlignment w:val="bottom"/>
      </w:pPr>
      <w:r>
        <w:rPr>
          <w:rStyle w:val="FootnoteReference"/>
        </w:rPr>
        <w:t>59</w:t>
      </w:r>
      <w:r>
        <w:t xml:space="preserve">  </w:t>
      </w:r>
      <w:r>
        <w:rPr>
          <w:rFonts w:hint="eastAsia"/>
        </w:rPr>
        <w:t>根据库克（</w:t>
      </w:r>
      <w:r>
        <w:t>1995</w:t>
      </w:r>
      <w:r>
        <w:rPr>
          <w:rFonts w:hint="eastAsia"/>
        </w:rPr>
        <w:t>年），这项工作正在进行。</w:t>
      </w:r>
    </w:p>
  </w:footnote>
  <w:footnote w:id="105">
    <w:p w:rsidR="00000000" w:rsidRDefault="00000000">
      <w:pPr>
        <w:pStyle w:val="FootnoteText"/>
        <w:autoSpaceDE w:val="0"/>
        <w:autoSpaceDN w:val="0"/>
        <w:ind w:firstLine="425"/>
        <w:jc w:val="both"/>
        <w:textAlignment w:val="bottom"/>
      </w:pPr>
      <w:r>
        <w:rPr>
          <w:rStyle w:val="FootnoteReference"/>
        </w:rPr>
        <w:t>60</w:t>
      </w:r>
      <w:r>
        <w:t xml:space="preserve">  </w:t>
      </w:r>
      <w:r>
        <w:rPr>
          <w:rFonts w:hint="eastAsia"/>
        </w:rPr>
        <w:t>见第</w:t>
      </w:r>
      <w:r>
        <w:t>12</w:t>
      </w:r>
      <w:r>
        <w:rPr>
          <w:rFonts w:hint="eastAsia"/>
        </w:rPr>
        <w:t>号（</w:t>
      </w:r>
      <w:r>
        <w:t>1989</w:t>
      </w:r>
      <w:r>
        <w:rPr>
          <w:rFonts w:hint="eastAsia"/>
        </w:rPr>
        <w:t>年），第</w:t>
      </w:r>
      <w:r>
        <w:t>14</w:t>
      </w:r>
      <w:r>
        <w:rPr>
          <w:rFonts w:hint="eastAsia"/>
        </w:rPr>
        <w:t>号（</w:t>
      </w:r>
      <w:r>
        <w:t>1990</w:t>
      </w:r>
      <w:r>
        <w:rPr>
          <w:rFonts w:hint="eastAsia"/>
        </w:rPr>
        <w:t>年），第</w:t>
      </w:r>
      <w:r>
        <w:t>18</w:t>
      </w:r>
      <w:r>
        <w:rPr>
          <w:rFonts w:hint="eastAsia"/>
        </w:rPr>
        <w:t>号（</w:t>
      </w:r>
      <w:r>
        <w:t>1991</w:t>
      </w:r>
      <w:r>
        <w:rPr>
          <w:rFonts w:hint="eastAsia"/>
        </w:rPr>
        <w:t>年）和第</w:t>
      </w:r>
      <w:r>
        <w:t>19</w:t>
      </w:r>
      <w:r>
        <w:rPr>
          <w:rFonts w:hint="eastAsia"/>
        </w:rPr>
        <w:t>号（</w:t>
      </w:r>
      <w:r>
        <w:t>1992</w:t>
      </w:r>
      <w:r>
        <w:rPr>
          <w:rFonts w:hint="eastAsia"/>
        </w:rPr>
        <w:t>年）建议。</w:t>
      </w:r>
    </w:p>
  </w:footnote>
  <w:footnote w:id="106">
    <w:p w:rsidR="00000000" w:rsidRDefault="00000000">
      <w:pPr>
        <w:pStyle w:val="FootnoteText"/>
        <w:autoSpaceDE w:val="0"/>
        <w:autoSpaceDN w:val="0"/>
        <w:ind w:firstLine="425"/>
        <w:jc w:val="both"/>
        <w:textAlignment w:val="bottom"/>
      </w:pPr>
      <w:r>
        <w:rPr>
          <w:rStyle w:val="FootnoteReference"/>
        </w:rPr>
        <w:t>61</w:t>
      </w:r>
      <w:r>
        <w:t xml:space="preserve">  </w:t>
      </w:r>
      <w:r>
        <w:rPr>
          <w:rFonts w:hint="eastAsia"/>
        </w:rPr>
        <w:t>《消除对妇女一切形式歧视国际协助议》，纽约，</w:t>
      </w:r>
      <w:r>
        <w:t>1979</w:t>
      </w:r>
      <w:r>
        <w:rPr>
          <w:rFonts w:hint="eastAsia"/>
        </w:rPr>
        <w:t>年；荷兰提交给联合国消除对妇女歧视委员会的第一次报告，</w:t>
      </w:r>
      <w:r>
        <w:t>1992</w:t>
      </w:r>
      <w:r>
        <w:rPr>
          <w:rFonts w:hint="eastAsia"/>
        </w:rPr>
        <w:t>年</w:t>
      </w:r>
      <w:r>
        <w:t>11</w:t>
      </w:r>
      <w:r>
        <w:rPr>
          <w:rFonts w:hint="eastAsia"/>
        </w:rPr>
        <w:t>月。</w:t>
      </w:r>
    </w:p>
  </w:footnote>
  <w:footnote w:id="107">
    <w:p w:rsidR="00000000" w:rsidRDefault="00000000">
      <w:pPr>
        <w:pStyle w:val="FootnoteText"/>
        <w:autoSpaceDE w:val="0"/>
        <w:autoSpaceDN w:val="0"/>
        <w:ind w:firstLine="425"/>
        <w:jc w:val="both"/>
        <w:textAlignment w:val="bottom"/>
      </w:pPr>
      <w:r>
        <w:rPr>
          <w:rStyle w:val="FootnoteReference"/>
        </w:rPr>
        <w:t>62</w:t>
      </w:r>
      <w:r>
        <w:t xml:space="preserve">  Lesquiller, Van Houwelingen</w:t>
      </w:r>
      <w:r>
        <w:rPr>
          <w:rFonts w:hint="eastAsia"/>
        </w:rPr>
        <w:t>（编辑）（</w:t>
      </w:r>
      <w:r>
        <w:t>1993</w:t>
      </w:r>
      <w:r>
        <w:rPr>
          <w:rFonts w:hint="eastAsia"/>
        </w:rPr>
        <w:t>年）。</w:t>
      </w:r>
    </w:p>
  </w:footnote>
  <w:footnote w:id="108">
    <w:p w:rsidR="00000000" w:rsidRDefault="00000000">
      <w:pPr>
        <w:pStyle w:val="FootnoteText"/>
        <w:autoSpaceDE w:val="0"/>
        <w:autoSpaceDN w:val="0"/>
        <w:ind w:firstLine="425"/>
        <w:jc w:val="both"/>
        <w:textAlignment w:val="bottom"/>
      </w:pPr>
      <w:r>
        <w:rPr>
          <w:rStyle w:val="FootnoteReference"/>
        </w:rPr>
        <w:t>63</w:t>
      </w:r>
      <w:r>
        <w:t xml:space="preserve">  </w:t>
      </w:r>
      <w:r>
        <w:rPr>
          <w:rFonts w:hint="eastAsia"/>
        </w:rPr>
        <w:t>卫生、福利和体育大臣委托编写‘公共卫生状况和预报文件’的原因是为了评估当前的卫生政策并拟订新的政策。这个文件是目前对荷兰人口卫生状况一些研究论文的汇编。它是由国家公共卫生与环境研究所与其他卫生和保健研究领域的机构合作编写的。</w:t>
      </w:r>
    </w:p>
  </w:footnote>
  <w:footnote w:id="109">
    <w:p w:rsidR="00000000" w:rsidRDefault="00000000">
      <w:pPr>
        <w:pStyle w:val="FootnoteText"/>
        <w:autoSpaceDE w:val="0"/>
        <w:autoSpaceDN w:val="0"/>
        <w:ind w:firstLine="425"/>
        <w:jc w:val="both"/>
        <w:textAlignment w:val="bottom"/>
      </w:pPr>
      <w:r>
        <w:rPr>
          <w:rStyle w:val="FootnoteReference"/>
        </w:rPr>
        <w:t>64</w:t>
      </w:r>
      <w:r>
        <w:t xml:space="preserve">  </w:t>
      </w:r>
      <w:r>
        <w:rPr>
          <w:rFonts w:hint="eastAsia"/>
        </w:rPr>
        <w:t>涉及质量的法规如下：《医疗合同法》，</w:t>
      </w:r>
      <w:r>
        <w:t>1994</w:t>
      </w:r>
      <w:r>
        <w:rPr>
          <w:rFonts w:hint="eastAsia"/>
        </w:rPr>
        <w:t>年法律、命令和法令公告，</w:t>
      </w:r>
      <w:r>
        <w:t>838</w:t>
      </w:r>
      <w:r>
        <w:rPr>
          <w:rFonts w:hint="eastAsia"/>
        </w:rPr>
        <w:t>（</w:t>
      </w:r>
      <w:r>
        <w:t>1995</w:t>
      </w:r>
      <w:r>
        <w:rPr>
          <w:rFonts w:hint="eastAsia"/>
        </w:rPr>
        <w:t>年</w:t>
      </w:r>
      <w:r>
        <w:t>4</w:t>
      </w:r>
      <w:r>
        <w:rPr>
          <w:rFonts w:hint="eastAsia"/>
        </w:rPr>
        <w:t>月</w:t>
      </w:r>
      <w:r>
        <w:t>1</w:t>
      </w:r>
      <w:r>
        <w:rPr>
          <w:rFonts w:hint="eastAsia"/>
        </w:rPr>
        <w:t>日起实施）；《保健机构（质量）法》，</w:t>
      </w:r>
      <w:r>
        <w:t>1996</w:t>
      </w:r>
      <w:r>
        <w:rPr>
          <w:rFonts w:hint="eastAsia"/>
        </w:rPr>
        <w:t>年法律、命令和法令公告，</w:t>
      </w:r>
      <w:r>
        <w:t>80</w:t>
      </w:r>
      <w:r>
        <w:rPr>
          <w:rFonts w:hint="eastAsia"/>
        </w:rPr>
        <w:t>；《个人保健职业法》，</w:t>
      </w:r>
      <w:r>
        <w:t>1993</w:t>
      </w:r>
      <w:r>
        <w:rPr>
          <w:rFonts w:hint="eastAsia"/>
        </w:rPr>
        <w:t>年法律、命令和法令公告，</w:t>
      </w:r>
      <w:r>
        <w:t>655</w:t>
      </w:r>
      <w:r>
        <w:rPr>
          <w:rFonts w:hint="eastAsia"/>
        </w:rPr>
        <w:t>（目前正分阶段实施）；《病人投诉（保健部门）权法》，</w:t>
      </w:r>
      <w:r>
        <w:t>1995</w:t>
      </w:r>
      <w:r>
        <w:rPr>
          <w:rFonts w:hint="eastAsia"/>
        </w:rPr>
        <w:t>年法律、命令和法令公告，</w:t>
      </w:r>
      <w:r>
        <w:t>308</w:t>
      </w:r>
      <w:r>
        <w:rPr>
          <w:rFonts w:hint="eastAsia"/>
        </w:rPr>
        <w:t>（从</w:t>
      </w:r>
      <w:r>
        <w:t>1995</w:t>
      </w:r>
      <w:r>
        <w:rPr>
          <w:rFonts w:hint="eastAsia"/>
        </w:rPr>
        <w:t>年</w:t>
      </w:r>
      <w:r>
        <w:t>8</w:t>
      </w:r>
      <w:r>
        <w:rPr>
          <w:rFonts w:hint="eastAsia"/>
        </w:rPr>
        <w:t>月</w:t>
      </w:r>
      <w:r>
        <w:t>1</w:t>
      </w:r>
      <w:r>
        <w:rPr>
          <w:rFonts w:hint="eastAsia"/>
        </w:rPr>
        <w:t>日起实施）；《（保健机构病人）参与法》，</w:t>
      </w:r>
      <w:r>
        <w:t>1996</w:t>
      </w:r>
      <w:r>
        <w:rPr>
          <w:rFonts w:hint="eastAsia"/>
        </w:rPr>
        <w:t>年法律、命令和法令公告，</w:t>
      </w:r>
      <w:r>
        <w:t>204</w:t>
      </w:r>
      <w:r>
        <w:rPr>
          <w:rFonts w:hint="eastAsia"/>
        </w:rPr>
        <w:t>（</w:t>
      </w:r>
      <w:r>
        <w:t>1996</w:t>
      </w:r>
      <w:r>
        <w:rPr>
          <w:rFonts w:hint="eastAsia"/>
        </w:rPr>
        <w:t>年</w:t>
      </w:r>
      <w:r>
        <w:t>6</w:t>
      </w:r>
      <w:r>
        <w:rPr>
          <w:rFonts w:hint="eastAsia"/>
        </w:rPr>
        <w:t>月</w:t>
      </w:r>
      <w:r>
        <w:t>1</w:t>
      </w:r>
      <w:r>
        <w:rPr>
          <w:rFonts w:hint="eastAsia"/>
        </w:rPr>
        <w:t>日起实施）。</w:t>
      </w:r>
    </w:p>
  </w:footnote>
  <w:footnote w:id="110">
    <w:p w:rsidR="00000000" w:rsidRDefault="00000000">
      <w:pPr>
        <w:pStyle w:val="FootnoteText"/>
        <w:autoSpaceDE w:val="0"/>
        <w:autoSpaceDN w:val="0"/>
        <w:ind w:firstLine="425"/>
        <w:jc w:val="both"/>
        <w:textAlignment w:val="bottom"/>
      </w:pPr>
      <w:r>
        <w:rPr>
          <w:rStyle w:val="FootnoteReference"/>
        </w:rPr>
        <w:t>65</w:t>
      </w:r>
      <w:r>
        <w:t xml:space="preserve">  NRV</w:t>
      </w:r>
      <w:r>
        <w:rPr>
          <w:rFonts w:hint="eastAsia"/>
        </w:rPr>
        <w:t>（</w:t>
      </w:r>
      <w:r>
        <w:t>1986</w:t>
      </w:r>
      <w:r>
        <w:rPr>
          <w:rFonts w:hint="eastAsia"/>
        </w:rPr>
        <w:t>年，</w:t>
      </w:r>
      <w:r>
        <w:t>1990</w:t>
      </w:r>
      <w:r>
        <w:rPr>
          <w:rFonts w:hint="eastAsia"/>
        </w:rPr>
        <w:t>年）</w:t>
      </w:r>
    </w:p>
  </w:footnote>
  <w:footnote w:id="111">
    <w:p w:rsidR="00000000" w:rsidRDefault="00000000">
      <w:pPr>
        <w:pStyle w:val="FootnoteText"/>
        <w:autoSpaceDE w:val="0"/>
        <w:autoSpaceDN w:val="0"/>
        <w:ind w:firstLine="425"/>
        <w:jc w:val="both"/>
        <w:textAlignment w:val="bottom"/>
      </w:pPr>
      <w:r>
        <w:rPr>
          <w:rStyle w:val="FootnoteReference"/>
        </w:rPr>
        <w:t>66</w:t>
      </w:r>
      <w:r>
        <w:t xml:space="preserve">  </w:t>
      </w:r>
      <w:r>
        <w:rPr>
          <w:rFonts w:hint="eastAsia"/>
        </w:rPr>
        <w:t>下院议事录，</w:t>
      </w:r>
      <w:r>
        <w:t>1990-1991</w:t>
      </w:r>
      <w:r>
        <w:rPr>
          <w:rFonts w:hint="eastAsia"/>
        </w:rPr>
        <w:t>年，</w:t>
      </w:r>
      <w:r>
        <w:t>22113</w:t>
      </w:r>
      <w:r>
        <w:rPr>
          <w:rFonts w:hint="eastAsia"/>
        </w:rPr>
        <w:t>，第</w:t>
      </w:r>
      <w:r>
        <w:t>2</w:t>
      </w:r>
      <w:r>
        <w:rPr>
          <w:rFonts w:hint="eastAsia"/>
        </w:rPr>
        <w:t>号，第</w:t>
      </w:r>
      <w:r>
        <w:t>4-5</w:t>
      </w:r>
      <w:r>
        <w:rPr>
          <w:rFonts w:hint="eastAsia"/>
        </w:rPr>
        <w:t>页。</w:t>
      </w:r>
    </w:p>
  </w:footnote>
  <w:footnote w:id="112">
    <w:p w:rsidR="00000000" w:rsidRDefault="00000000">
      <w:pPr>
        <w:pStyle w:val="FootnoteText"/>
        <w:autoSpaceDE w:val="0"/>
        <w:autoSpaceDN w:val="0"/>
        <w:ind w:firstLine="425"/>
        <w:jc w:val="both"/>
        <w:textAlignment w:val="bottom"/>
      </w:pPr>
      <w:r>
        <w:rPr>
          <w:rStyle w:val="FootnoteReference"/>
        </w:rPr>
        <w:t>67</w:t>
      </w:r>
      <w:r>
        <w:t xml:space="preserve">  Vos, Franssen</w:t>
      </w:r>
      <w:r>
        <w:rPr>
          <w:rFonts w:hint="eastAsia"/>
        </w:rPr>
        <w:t>等人（</w:t>
      </w:r>
      <w:r>
        <w:t>1992</w:t>
      </w:r>
      <w:r>
        <w:rPr>
          <w:rFonts w:hint="eastAsia"/>
        </w:rPr>
        <w:t>年）。</w:t>
      </w:r>
      <w:r>
        <w:t>Metis</w:t>
      </w:r>
      <w:r>
        <w:rPr>
          <w:rFonts w:hint="eastAsia"/>
        </w:rPr>
        <w:t>（</w:t>
      </w:r>
      <w:r>
        <w:t>1992</w:t>
      </w:r>
      <w:r>
        <w:rPr>
          <w:rFonts w:hint="eastAsia"/>
        </w:rPr>
        <w:t>年）。荷兰门诊病人心理保健协会（</w:t>
      </w:r>
      <w:r>
        <w:t>1992</w:t>
      </w:r>
      <w:r>
        <w:rPr>
          <w:rFonts w:hint="eastAsia"/>
        </w:rPr>
        <w:t>年，</w:t>
      </w:r>
      <w:r>
        <w:t>1994</w:t>
      </w:r>
      <w:r>
        <w:rPr>
          <w:rFonts w:hint="eastAsia"/>
        </w:rPr>
        <w:t>年</w:t>
      </w:r>
      <w:r>
        <w:t>a</w:t>
      </w:r>
      <w:r>
        <w:rPr>
          <w:rFonts w:hint="eastAsia"/>
        </w:rPr>
        <w:t>，</w:t>
      </w:r>
      <w:r>
        <w:t>1994</w:t>
      </w:r>
      <w:r>
        <w:rPr>
          <w:rFonts w:hint="eastAsia"/>
        </w:rPr>
        <w:t>年</w:t>
      </w:r>
      <w:r>
        <w:t>b</w:t>
      </w:r>
      <w:r>
        <w:rPr>
          <w:rFonts w:hint="eastAsia"/>
        </w:rPr>
        <w:t>）。心理保健医疗督察员（</w:t>
      </w:r>
      <w:r>
        <w:t>GHIGV</w:t>
      </w:r>
      <w:r>
        <w:rPr>
          <w:rFonts w:hint="eastAsia"/>
        </w:rPr>
        <w:t>）（</w:t>
      </w:r>
      <w:r>
        <w:t>1993</w:t>
      </w:r>
      <w:r>
        <w:rPr>
          <w:rFonts w:hint="eastAsia"/>
        </w:rPr>
        <w:t>年）。</w:t>
      </w:r>
    </w:p>
  </w:footnote>
  <w:footnote w:id="113">
    <w:p w:rsidR="00000000" w:rsidRDefault="00000000">
      <w:pPr>
        <w:pStyle w:val="FootnoteText"/>
        <w:autoSpaceDE w:val="0"/>
        <w:autoSpaceDN w:val="0"/>
        <w:ind w:firstLine="425"/>
        <w:jc w:val="both"/>
        <w:textAlignment w:val="bottom"/>
      </w:pPr>
      <w:r>
        <w:rPr>
          <w:rStyle w:val="FootnoteReference"/>
        </w:rPr>
        <w:t>68</w:t>
      </w:r>
      <w:r>
        <w:t xml:space="preserve">  </w:t>
      </w:r>
      <w:r>
        <w:rPr>
          <w:rFonts w:hint="eastAsia"/>
        </w:rPr>
        <w:t>可能时还要说明妇女之间的差别。</w:t>
      </w:r>
    </w:p>
  </w:footnote>
  <w:footnote w:id="114">
    <w:p w:rsidR="00000000" w:rsidRDefault="00000000">
      <w:pPr>
        <w:pStyle w:val="FootnoteText"/>
        <w:autoSpaceDE w:val="0"/>
        <w:autoSpaceDN w:val="0"/>
        <w:ind w:firstLine="425"/>
        <w:jc w:val="both"/>
        <w:textAlignment w:val="bottom"/>
      </w:pPr>
      <w:r>
        <w:rPr>
          <w:rStyle w:val="FootnoteReference"/>
        </w:rPr>
        <w:t>69</w:t>
      </w:r>
      <w:r>
        <w:t xml:space="preserve">  Bradshaw</w:t>
      </w:r>
      <w:r>
        <w:rPr>
          <w:rFonts w:hint="eastAsia"/>
        </w:rPr>
        <w:t>（</w:t>
      </w:r>
      <w:r>
        <w:t>1972</w:t>
      </w:r>
      <w:r>
        <w:rPr>
          <w:rFonts w:hint="eastAsia"/>
        </w:rPr>
        <w:t>年）。</w:t>
      </w:r>
      <w:r>
        <w:t>Verhaak</w:t>
      </w:r>
      <w:r>
        <w:rPr>
          <w:rFonts w:hint="eastAsia"/>
        </w:rPr>
        <w:t>（</w:t>
      </w:r>
      <w:r>
        <w:t>1995</w:t>
      </w:r>
      <w:r>
        <w:rPr>
          <w:rFonts w:hint="eastAsia"/>
        </w:rPr>
        <w:t>年）。</w:t>
      </w:r>
      <w:r>
        <w:t>Franchimont</w:t>
      </w:r>
      <w:r>
        <w:rPr>
          <w:rFonts w:hint="eastAsia"/>
        </w:rPr>
        <w:t>和</w:t>
      </w:r>
      <w:r>
        <w:t>Bijl</w:t>
      </w:r>
      <w:r>
        <w:rPr>
          <w:rFonts w:hint="eastAsia"/>
        </w:rPr>
        <w:t>（</w:t>
      </w:r>
      <w:r>
        <w:t>1995</w:t>
      </w:r>
      <w:r>
        <w:rPr>
          <w:rFonts w:hint="eastAsia"/>
        </w:rPr>
        <w:t>年）。</w:t>
      </w:r>
    </w:p>
  </w:footnote>
  <w:footnote w:id="115">
    <w:p w:rsidR="00000000" w:rsidRDefault="00000000">
      <w:pPr>
        <w:pStyle w:val="FootnoteText"/>
        <w:autoSpaceDE w:val="0"/>
        <w:autoSpaceDN w:val="0"/>
        <w:ind w:firstLine="425"/>
        <w:jc w:val="both"/>
        <w:textAlignment w:val="bottom"/>
      </w:pPr>
      <w:r>
        <w:rPr>
          <w:rStyle w:val="FootnoteReference"/>
        </w:rPr>
        <w:t>70</w:t>
      </w:r>
      <w:r>
        <w:t xml:space="preserve">  Franchimont</w:t>
      </w:r>
      <w:r>
        <w:rPr>
          <w:rFonts w:hint="eastAsia"/>
        </w:rPr>
        <w:t>和</w:t>
      </w:r>
      <w:r>
        <w:t>Bijl</w:t>
      </w:r>
      <w:r>
        <w:rPr>
          <w:rFonts w:hint="eastAsia"/>
        </w:rPr>
        <w:t>（</w:t>
      </w:r>
      <w:r>
        <w:t>1995</w:t>
      </w:r>
      <w:r>
        <w:rPr>
          <w:rFonts w:hint="eastAsia"/>
        </w:rPr>
        <w:t>年）。</w:t>
      </w:r>
    </w:p>
  </w:footnote>
  <w:footnote w:id="116">
    <w:p w:rsidR="00000000" w:rsidRDefault="00000000">
      <w:pPr>
        <w:pStyle w:val="FootnoteText"/>
        <w:autoSpaceDE w:val="0"/>
        <w:autoSpaceDN w:val="0"/>
        <w:ind w:firstLine="425"/>
        <w:jc w:val="both"/>
        <w:textAlignment w:val="bottom"/>
      </w:pPr>
      <w:r>
        <w:rPr>
          <w:rStyle w:val="FootnoteReference"/>
        </w:rPr>
        <w:t>71</w:t>
      </w:r>
      <w:r>
        <w:t xml:space="preserve">   </w:t>
      </w:r>
      <w:r>
        <w:rPr>
          <w:rFonts w:hint="eastAsia"/>
        </w:rPr>
        <w:t>从</w:t>
      </w:r>
      <w:r>
        <w:t>1996</w:t>
      </w:r>
      <w:r>
        <w:rPr>
          <w:rFonts w:hint="eastAsia"/>
        </w:rPr>
        <w:t>年</w:t>
      </w:r>
      <w:r>
        <w:t>9</w:t>
      </w:r>
      <w:r>
        <w:rPr>
          <w:rFonts w:hint="eastAsia"/>
        </w:rPr>
        <w:t>月</w:t>
      </w:r>
      <w:r>
        <w:t>1</w:t>
      </w:r>
      <w:r>
        <w:rPr>
          <w:rFonts w:hint="eastAsia"/>
        </w:rPr>
        <w:t>日起吸收进</w:t>
      </w:r>
      <w:r>
        <w:t>Trimbos</w:t>
      </w:r>
      <w:r>
        <w:rPr>
          <w:rFonts w:hint="eastAsia"/>
        </w:rPr>
        <w:t>研究所。</w:t>
      </w:r>
    </w:p>
  </w:footnote>
  <w:footnote w:id="117">
    <w:p w:rsidR="00000000" w:rsidRDefault="00000000">
      <w:pPr>
        <w:pStyle w:val="FootnoteText"/>
        <w:autoSpaceDE w:val="0"/>
        <w:autoSpaceDN w:val="0"/>
        <w:ind w:firstLine="425"/>
        <w:jc w:val="both"/>
        <w:textAlignment w:val="bottom"/>
      </w:pPr>
      <w:r>
        <w:rPr>
          <w:rStyle w:val="FootnoteReference"/>
        </w:rPr>
        <w:t>72</w:t>
      </w:r>
      <w:r>
        <w:t xml:space="preserve">  Gijsbers van Wijk</w:t>
      </w:r>
      <w:r>
        <w:rPr>
          <w:rFonts w:hint="eastAsia"/>
        </w:rPr>
        <w:t>（</w:t>
      </w:r>
      <w:r>
        <w:t>1996</w:t>
      </w:r>
      <w:r>
        <w:rPr>
          <w:rFonts w:hint="eastAsia"/>
        </w:rPr>
        <w:t>年）。</w:t>
      </w:r>
    </w:p>
  </w:footnote>
  <w:footnote w:id="118">
    <w:p w:rsidR="00000000" w:rsidRDefault="00000000">
      <w:pPr>
        <w:pStyle w:val="FootnoteText"/>
        <w:autoSpaceDE w:val="0"/>
        <w:autoSpaceDN w:val="0"/>
        <w:ind w:firstLine="425"/>
        <w:jc w:val="both"/>
        <w:textAlignment w:val="bottom"/>
      </w:pPr>
      <w:r>
        <w:rPr>
          <w:rStyle w:val="FootnoteReference"/>
        </w:rPr>
        <w:t>73</w:t>
      </w:r>
      <w:r>
        <w:t xml:space="preserve">  Foets and Sixma</w:t>
      </w:r>
      <w:r>
        <w:rPr>
          <w:rFonts w:hint="eastAsia"/>
        </w:rPr>
        <w:t>（</w:t>
      </w:r>
      <w:r>
        <w:t>1991</w:t>
      </w:r>
      <w:r>
        <w:rPr>
          <w:rFonts w:hint="eastAsia"/>
        </w:rPr>
        <w:t>年），</w:t>
      </w:r>
      <w:r>
        <w:t>De Bakker, Claessens</w:t>
      </w:r>
      <w:r>
        <w:rPr>
          <w:rFonts w:hint="eastAsia"/>
        </w:rPr>
        <w:t>等（</w:t>
      </w:r>
      <w:r>
        <w:t>1992</w:t>
      </w:r>
      <w:r>
        <w:rPr>
          <w:rFonts w:hint="eastAsia"/>
        </w:rPr>
        <w:t>年），</w:t>
      </w:r>
      <w:r>
        <w:t>Verhaak</w:t>
      </w:r>
      <w:r>
        <w:rPr>
          <w:rFonts w:hint="eastAsia"/>
        </w:rPr>
        <w:t>（</w:t>
      </w:r>
      <w:r>
        <w:t>1995</w:t>
      </w:r>
      <w:r>
        <w:rPr>
          <w:rFonts w:hint="eastAsia"/>
        </w:rPr>
        <w:t>年）。</w:t>
      </w:r>
    </w:p>
  </w:footnote>
  <w:footnote w:id="119">
    <w:p w:rsidR="00000000" w:rsidRDefault="00000000">
      <w:pPr>
        <w:pStyle w:val="FootnoteText"/>
        <w:autoSpaceDE w:val="0"/>
        <w:autoSpaceDN w:val="0"/>
        <w:ind w:firstLine="425"/>
        <w:jc w:val="both"/>
        <w:textAlignment w:val="bottom"/>
      </w:pPr>
      <w:r>
        <w:rPr>
          <w:rStyle w:val="FootnoteReference"/>
        </w:rPr>
        <w:t>74</w:t>
      </w:r>
      <w:r>
        <w:t xml:space="preserve">  Vermande, Bijl</w:t>
      </w:r>
      <w:r>
        <w:rPr>
          <w:rFonts w:hint="eastAsia"/>
        </w:rPr>
        <w:t>（</w:t>
      </w:r>
      <w:r>
        <w:t>1995</w:t>
      </w:r>
      <w:r>
        <w:rPr>
          <w:rFonts w:hint="eastAsia"/>
        </w:rPr>
        <w:t>年）。</w:t>
      </w:r>
    </w:p>
  </w:footnote>
  <w:footnote w:id="120">
    <w:p w:rsidR="00000000" w:rsidRDefault="00000000">
      <w:pPr>
        <w:pStyle w:val="FootnoteText"/>
        <w:autoSpaceDE w:val="0"/>
        <w:autoSpaceDN w:val="0"/>
        <w:ind w:firstLine="425"/>
        <w:jc w:val="both"/>
        <w:textAlignment w:val="bottom"/>
      </w:pPr>
      <w:r>
        <w:rPr>
          <w:rStyle w:val="FootnoteReference"/>
        </w:rPr>
        <w:t>75</w:t>
      </w:r>
      <w:r>
        <w:t xml:space="preserve">  Van Limbeek, Wouters</w:t>
      </w:r>
      <w:r>
        <w:rPr>
          <w:rFonts w:hint="eastAsia"/>
        </w:rPr>
        <w:t>等人（</w:t>
      </w:r>
      <w:r>
        <w:t>1994</w:t>
      </w:r>
      <w:r>
        <w:rPr>
          <w:rFonts w:hint="eastAsia"/>
        </w:rPr>
        <w:t>年）。</w:t>
      </w:r>
    </w:p>
  </w:footnote>
  <w:footnote w:id="121">
    <w:p w:rsidR="00000000" w:rsidRDefault="00000000">
      <w:pPr>
        <w:pStyle w:val="FootnoteText"/>
        <w:autoSpaceDE w:val="0"/>
        <w:autoSpaceDN w:val="0"/>
        <w:ind w:firstLine="425"/>
        <w:jc w:val="both"/>
        <w:textAlignment w:val="bottom"/>
      </w:pPr>
      <w:r>
        <w:rPr>
          <w:rStyle w:val="FootnoteReference"/>
        </w:rPr>
        <w:t>76</w:t>
      </w:r>
      <w:r>
        <w:t xml:space="preserve">  Mackenbach</w:t>
      </w:r>
      <w:r>
        <w:rPr>
          <w:rFonts w:hint="eastAsia"/>
        </w:rPr>
        <w:t>（</w:t>
      </w:r>
      <w:r>
        <w:t>1994</w:t>
      </w:r>
      <w:r>
        <w:rPr>
          <w:rFonts w:hint="eastAsia"/>
        </w:rPr>
        <w:t>年）。</w:t>
      </w:r>
    </w:p>
  </w:footnote>
  <w:footnote w:id="122">
    <w:p w:rsidR="00000000" w:rsidRDefault="00000000">
      <w:pPr>
        <w:pStyle w:val="FootnoteText"/>
        <w:autoSpaceDE w:val="0"/>
        <w:autoSpaceDN w:val="0"/>
        <w:ind w:firstLine="425"/>
        <w:jc w:val="both"/>
        <w:textAlignment w:val="bottom"/>
      </w:pPr>
      <w:r>
        <w:rPr>
          <w:rStyle w:val="FootnoteReference"/>
        </w:rPr>
        <w:t>77</w:t>
      </w:r>
      <w:r>
        <w:t xml:space="preserve">  Ruwaard, Kramers</w:t>
      </w:r>
      <w:r>
        <w:rPr>
          <w:rFonts w:hint="eastAsia"/>
        </w:rPr>
        <w:t>（编辑）（</w:t>
      </w:r>
      <w:r>
        <w:t>1993</w:t>
      </w:r>
      <w:r>
        <w:rPr>
          <w:rFonts w:hint="eastAsia"/>
        </w:rPr>
        <w:t>年）。</w:t>
      </w:r>
    </w:p>
  </w:footnote>
  <w:footnote w:id="123">
    <w:p w:rsidR="00000000" w:rsidRDefault="00000000">
      <w:pPr>
        <w:pStyle w:val="FootnoteText"/>
        <w:autoSpaceDE w:val="0"/>
        <w:autoSpaceDN w:val="0"/>
        <w:ind w:firstLine="425"/>
        <w:jc w:val="both"/>
        <w:textAlignment w:val="bottom"/>
      </w:pPr>
      <w:r>
        <w:rPr>
          <w:rStyle w:val="FootnoteReference"/>
        </w:rPr>
        <w:t>78</w:t>
      </w:r>
      <w:r>
        <w:t xml:space="preserve">  STG</w:t>
      </w:r>
      <w:r>
        <w:rPr>
          <w:rFonts w:hint="eastAsia"/>
        </w:rPr>
        <w:t>（</w:t>
      </w:r>
      <w:r>
        <w:t>1991</w:t>
      </w:r>
      <w:r>
        <w:rPr>
          <w:rFonts w:hint="eastAsia"/>
        </w:rPr>
        <w:t>年）。</w:t>
      </w:r>
    </w:p>
  </w:footnote>
  <w:footnote w:id="124">
    <w:p w:rsidR="00000000" w:rsidRDefault="00000000">
      <w:pPr>
        <w:pStyle w:val="FootnoteText"/>
        <w:autoSpaceDE w:val="0"/>
        <w:autoSpaceDN w:val="0"/>
        <w:ind w:firstLine="425"/>
        <w:jc w:val="both"/>
        <w:textAlignment w:val="bottom"/>
      </w:pPr>
      <w:r>
        <w:rPr>
          <w:rStyle w:val="FootnoteReference"/>
        </w:rPr>
        <w:t>79</w:t>
      </w:r>
      <w:r>
        <w:t xml:space="preserve">  </w:t>
      </w:r>
      <w:r>
        <w:rPr>
          <w:rFonts w:hint="eastAsia"/>
        </w:rPr>
        <w:t>就死亡原因而论，肺癌和慢性非特殊肺病对妇女的影响比对男子要小。</w:t>
      </w:r>
    </w:p>
  </w:footnote>
  <w:footnote w:id="125">
    <w:p w:rsidR="00000000" w:rsidRDefault="00000000">
      <w:pPr>
        <w:pStyle w:val="FootnoteText"/>
        <w:ind w:firstLine="425"/>
        <w:jc w:val="both"/>
      </w:pPr>
      <w:r>
        <w:rPr>
          <w:rStyle w:val="FootnoteReference"/>
        </w:rPr>
        <w:t>80</w:t>
      </w:r>
      <w:r>
        <w:t xml:space="preserve">  De Bakker, Claessens, et al</w:t>
      </w:r>
      <w:r>
        <w:rPr>
          <w:rFonts w:hint="eastAsia"/>
        </w:rPr>
        <w:t>（</w:t>
      </w:r>
      <w:r>
        <w:t>1992</w:t>
      </w:r>
      <w:r>
        <w:rPr>
          <w:rFonts w:hint="eastAsia"/>
        </w:rPr>
        <w:t>年）。</w:t>
      </w:r>
    </w:p>
  </w:footnote>
  <w:footnote w:id="126">
    <w:p w:rsidR="00000000" w:rsidRDefault="00000000">
      <w:pPr>
        <w:pStyle w:val="FootnoteText"/>
        <w:ind w:firstLine="425"/>
        <w:jc w:val="both"/>
      </w:pPr>
      <w:r>
        <w:rPr>
          <w:rStyle w:val="FootnoteReference"/>
        </w:rPr>
        <w:t>81</w:t>
      </w:r>
      <w:r>
        <w:t xml:space="preserve"> Gijsbers van Wijk</w:t>
      </w:r>
      <w:r>
        <w:rPr>
          <w:rFonts w:hint="eastAsia"/>
        </w:rPr>
        <w:t>（</w:t>
      </w:r>
      <w:r>
        <w:t>1995</w:t>
      </w:r>
      <w:r>
        <w:rPr>
          <w:rFonts w:hint="eastAsia"/>
        </w:rPr>
        <w:t>年）（</w:t>
      </w:r>
      <w:r>
        <w:t>1996</w:t>
      </w:r>
      <w:r>
        <w:rPr>
          <w:rFonts w:hint="eastAsia"/>
        </w:rPr>
        <w:t>年）。</w:t>
      </w:r>
    </w:p>
  </w:footnote>
  <w:footnote w:id="127">
    <w:p w:rsidR="00000000" w:rsidRDefault="00000000">
      <w:pPr>
        <w:pStyle w:val="FootnoteText"/>
        <w:ind w:firstLine="425"/>
        <w:jc w:val="both"/>
      </w:pPr>
      <w:r>
        <w:rPr>
          <w:rStyle w:val="FootnoteReference"/>
        </w:rPr>
        <w:t>82</w:t>
      </w:r>
      <w:r>
        <w:t xml:space="preserve"> Vereijken</w:t>
      </w:r>
      <w:r>
        <w:rPr>
          <w:rFonts w:hint="eastAsia"/>
        </w:rPr>
        <w:t>和</w:t>
      </w:r>
      <w:r>
        <w:t>Bauduin</w:t>
      </w:r>
      <w:r>
        <w:rPr>
          <w:rFonts w:hint="eastAsia"/>
        </w:rPr>
        <w:t>（</w:t>
      </w:r>
      <w:r>
        <w:t>1992</w:t>
      </w:r>
      <w:r>
        <w:rPr>
          <w:rFonts w:hint="eastAsia"/>
        </w:rPr>
        <w:t>年），</w:t>
      </w:r>
      <w:r>
        <w:t>Mackenbach</w:t>
      </w:r>
      <w:r>
        <w:rPr>
          <w:rFonts w:hint="eastAsia"/>
        </w:rPr>
        <w:t>和</w:t>
      </w:r>
      <w:r>
        <w:t>Van de Mheen</w:t>
      </w:r>
      <w:r>
        <w:rPr>
          <w:rFonts w:hint="eastAsia"/>
        </w:rPr>
        <w:t>（</w:t>
      </w:r>
      <w:r>
        <w:t>1994</w:t>
      </w:r>
      <w:r>
        <w:rPr>
          <w:rFonts w:hint="eastAsia"/>
        </w:rPr>
        <w:t>年），</w:t>
      </w:r>
      <w:r>
        <w:t>De Bakker, Claessens</w:t>
      </w:r>
      <w:r>
        <w:rPr>
          <w:rFonts w:hint="eastAsia"/>
        </w:rPr>
        <w:t>等人（</w:t>
      </w:r>
      <w:r>
        <w:t>1992</w:t>
      </w:r>
      <w:r>
        <w:rPr>
          <w:rFonts w:hint="eastAsia"/>
        </w:rPr>
        <w:t>年），</w:t>
      </w:r>
      <w:r>
        <w:t>Verhaack</w:t>
      </w:r>
      <w:r>
        <w:rPr>
          <w:rFonts w:hint="eastAsia"/>
        </w:rPr>
        <w:t>（</w:t>
      </w:r>
      <w:r>
        <w:t>1995</w:t>
      </w:r>
      <w:r>
        <w:rPr>
          <w:rFonts w:hint="eastAsia"/>
        </w:rPr>
        <w:t>年）。</w:t>
      </w:r>
    </w:p>
  </w:footnote>
  <w:footnote w:id="128">
    <w:p w:rsidR="00000000" w:rsidRDefault="00000000">
      <w:pPr>
        <w:pStyle w:val="FootnoteText"/>
        <w:ind w:firstLine="425"/>
        <w:jc w:val="both"/>
      </w:pPr>
      <w:r>
        <w:rPr>
          <w:rStyle w:val="FootnoteReference"/>
        </w:rPr>
        <w:t>83</w:t>
      </w:r>
      <w:r>
        <w:t xml:space="preserve"> De Bakker, Claessens</w:t>
      </w:r>
      <w:r>
        <w:rPr>
          <w:rFonts w:hint="eastAsia"/>
        </w:rPr>
        <w:t>等人（</w:t>
      </w:r>
      <w:r>
        <w:t>1992</w:t>
      </w:r>
      <w:r>
        <w:rPr>
          <w:rFonts w:hint="eastAsia"/>
        </w:rPr>
        <w:t>年）。</w:t>
      </w:r>
    </w:p>
  </w:footnote>
  <w:footnote w:id="129">
    <w:p w:rsidR="00000000" w:rsidRDefault="00000000">
      <w:pPr>
        <w:pStyle w:val="FootnoteText"/>
        <w:ind w:firstLine="425"/>
        <w:jc w:val="both"/>
      </w:pPr>
      <w:r>
        <w:rPr>
          <w:rStyle w:val="FootnoteReference"/>
        </w:rPr>
        <w:t>84</w:t>
      </w:r>
      <w:r>
        <w:t xml:space="preserve"> Duijnstee</w:t>
      </w:r>
      <w:r>
        <w:rPr>
          <w:rFonts w:hint="eastAsia"/>
        </w:rPr>
        <w:t>等人（</w:t>
      </w:r>
      <w:r>
        <w:t>1994</w:t>
      </w:r>
      <w:r>
        <w:rPr>
          <w:rFonts w:hint="eastAsia"/>
        </w:rPr>
        <w:t>年），</w:t>
      </w:r>
      <w:r>
        <w:t>Meinen</w:t>
      </w:r>
      <w:r>
        <w:rPr>
          <w:rFonts w:hint="eastAsia"/>
        </w:rPr>
        <w:t>等人（</w:t>
      </w:r>
      <w:r>
        <w:t>1994</w:t>
      </w:r>
      <w:r>
        <w:rPr>
          <w:rFonts w:hint="eastAsia"/>
        </w:rPr>
        <w:t>年），</w:t>
      </w:r>
      <w:r>
        <w:t>Bensing</w:t>
      </w:r>
      <w:r>
        <w:rPr>
          <w:rFonts w:hint="eastAsia"/>
        </w:rPr>
        <w:t>和</w:t>
      </w:r>
      <w:r>
        <w:t>Schreurs</w:t>
      </w:r>
      <w:r>
        <w:rPr>
          <w:rFonts w:hint="eastAsia"/>
        </w:rPr>
        <w:t>（</w:t>
      </w:r>
      <w:r>
        <w:t>1995</w:t>
      </w:r>
      <w:r>
        <w:rPr>
          <w:rFonts w:hint="eastAsia"/>
        </w:rPr>
        <w:t>年）。</w:t>
      </w:r>
    </w:p>
  </w:footnote>
  <w:footnote w:id="130">
    <w:p w:rsidR="00000000" w:rsidRDefault="00000000">
      <w:pPr>
        <w:pStyle w:val="FootnoteText"/>
        <w:ind w:firstLine="425"/>
        <w:jc w:val="both"/>
      </w:pPr>
      <w:r>
        <w:rPr>
          <w:rStyle w:val="FootnoteReference"/>
        </w:rPr>
        <w:t>85</w:t>
      </w:r>
      <w:r>
        <w:t xml:space="preserve">  </w:t>
      </w:r>
      <w:r>
        <w:rPr>
          <w:rFonts w:hint="eastAsia"/>
        </w:rPr>
        <w:t>普遍认可的标准如下：检查方案必须针对一种主要的对人口中许多人重要和健康问题；只有那些其自然过程已清楚的疾病和较长期没有症状的疾病才考虑采用预防性调查。此外，还必须有适合的检测，以确定患病者。这种检测应易于应用，应为公众所接受，而且错误检测结果百分比很小。另一项要求是对已知患病者有可接受的治疗方法。最后检测人口的费用与所得利益相比应合理。（</w:t>
      </w:r>
      <w:r>
        <w:t>Wilson</w:t>
      </w:r>
      <w:r>
        <w:rPr>
          <w:rFonts w:hint="eastAsia"/>
        </w:rPr>
        <w:t>和</w:t>
      </w:r>
      <w:r>
        <w:t>Jungner, 1968</w:t>
      </w:r>
      <w:r>
        <w:rPr>
          <w:rFonts w:hint="eastAsia"/>
        </w:rPr>
        <w:t>年）。</w:t>
      </w:r>
    </w:p>
  </w:footnote>
  <w:footnote w:id="131">
    <w:p w:rsidR="00000000" w:rsidRDefault="00000000">
      <w:pPr>
        <w:pStyle w:val="FootnoteText"/>
        <w:ind w:firstLine="425"/>
        <w:jc w:val="both"/>
      </w:pPr>
      <w:r>
        <w:rPr>
          <w:rStyle w:val="FootnoteReference"/>
        </w:rPr>
        <w:t>86</w:t>
      </w:r>
      <w:r>
        <w:t xml:space="preserve">  </w:t>
      </w:r>
      <w:r>
        <w:rPr>
          <w:rFonts w:hint="eastAsia"/>
        </w:rPr>
        <w:t>《人口检查法》取代了《人口肺结核检查法》（法律、命令和法令公告，</w:t>
      </w:r>
      <w:r>
        <w:t>1951</w:t>
      </w:r>
      <w:r>
        <w:rPr>
          <w:rFonts w:hint="eastAsia"/>
        </w:rPr>
        <w:t>年，第</w:t>
      </w:r>
      <w:r>
        <w:t>288</w:t>
      </w:r>
      <w:r>
        <w:rPr>
          <w:rFonts w:hint="eastAsia"/>
        </w:rPr>
        <w:t>号）</w:t>
      </w:r>
    </w:p>
  </w:footnote>
  <w:footnote w:id="132">
    <w:p w:rsidR="00000000" w:rsidRDefault="00000000">
      <w:pPr>
        <w:pStyle w:val="FootnoteText"/>
        <w:ind w:firstLine="425"/>
        <w:jc w:val="both"/>
      </w:pPr>
      <w:r>
        <w:rPr>
          <w:rStyle w:val="FootnoteReference"/>
        </w:rPr>
        <w:t>87</w:t>
      </w:r>
      <w:r>
        <w:t xml:space="preserve">  </w:t>
      </w:r>
      <w:r>
        <w:rPr>
          <w:rFonts w:hint="eastAsia"/>
        </w:rPr>
        <w:t>法律、命令和法令公告，</w:t>
      </w:r>
      <w:r>
        <w:t>1928</w:t>
      </w:r>
      <w:r>
        <w:rPr>
          <w:rFonts w:hint="eastAsia"/>
        </w:rPr>
        <w:t>年，第</w:t>
      </w:r>
      <w:r>
        <w:t>265</w:t>
      </w:r>
      <w:r>
        <w:rPr>
          <w:rFonts w:hint="eastAsia"/>
        </w:rPr>
        <w:t>号。</w:t>
      </w:r>
    </w:p>
  </w:footnote>
  <w:footnote w:id="133">
    <w:p w:rsidR="00000000" w:rsidRDefault="00000000">
      <w:pPr>
        <w:pStyle w:val="FootnoteText"/>
        <w:ind w:firstLine="425"/>
        <w:jc w:val="both"/>
      </w:pPr>
      <w:r>
        <w:rPr>
          <w:rStyle w:val="FootnoteReference"/>
        </w:rPr>
        <w:t>88</w:t>
      </w:r>
      <w:r>
        <w:t xml:space="preserve">  </w:t>
      </w:r>
      <w:r>
        <w:rPr>
          <w:rFonts w:hint="eastAsia"/>
        </w:rPr>
        <w:t>法律、命令和法令公告，</w:t>
      </w:r>
      <w:r>
        <w:t>1990</w:t>
      </w:r>
      <w:r>
        <w:rPr>
          <w:rFonts w:hint="eastAsia"/>
        </w:rPr>
        <w:t>年，第</w:t>
      </w:r>
      <w:r>
        <w:t>300</w:t>
      </w:r>
      <w:r>
        <w:rPr>
          <w:rFonts w:hint="eastAsia"/>
        </w:rPr>
        <w:t>号。</w:t>
      </w:r>
    </w:p>
  </w:footnote>
  <w:footnote w:id="134">
    <w:p w:rsidR="00000000" w:rsidRDefault="00000000">
      <w:pPr>
        <w:pStyle w:val="FootnoteText"/>
        <w:ind w:firstLine="425"/>
        <w:jc w:val="both"/>
      </w:pPr>
      <w:r>
        <w:rPr>
          <w:rStyle w:val="FootnoteReference"/>
        </w:rPr>
        <w:t>89</w:t>
      </w:r>
      <w:r>
        <w:t xml:space="preserve">  </w:t>
      </w:r>
      <w:r>
        <w:rPr>
          <w:rFonts w:hint="eastAsia"/>
        </w:rPr>
        <w:t>《公共卫生法》第</w:t>
      </w:r>
      <w:r>
        <w:t>2</w:t>
      </w:r>
      <w:r>
        <w:rPr>
          <w:rFonts w:hint="eastAsia"/>
        </w:rPr>
        <w:t>条，第</w:t>
      </w:r>
      <w:r>
        <w:t>1</w:t>
      </w:r>
      <w:r>
        <w:rPr>
          <w:rFonts w:hint="eastAsia"/>
        </w:rPr>
        <w:t>款。</w:t>
      </w:r>
    </w:p>
  </w:footnote>
  <w:footnote w:id="135">
    <w:p w:rsidR="00000000" w:rsidRDefault="00000000">
      <w:pPr>
        <w:pStyle w:val="FootnoteText"/>
        <w:ind w:firstLine="425"/>
        <w:jc w:val="both"/>
      </w:pPr>
      <w:r>
        <w:rPr>
          <w:rStyle w:val="FootnoteReference"/>
        </w:rPr>
        <w:t>90</w:t>
      </w:r>
      <w:r>
        <w:t xml:space="preserve">  </w:t>
      </w:r>
      <w:r>
        <w:rPr>
          <w:rFonts w:hint="eastAsia"/>
        </w:rPr>
        <w:t>法律、命令和法令公告，</w:t>
      </w:r>
      <w:r>
        <w:t>1992</w:t>
      </w:r>
      <w:r>
        <w:rPr>
          <w:rFonts w:hint="eastAsia"/>
        </w:rPr>
        <w:t>年，第</w:t>
      </w:r>
      <w:r>
        <w:t>569</w:t>
      </w:r>
      <w:r>
        <w:rPr>
          <w:rFonts w:hint="eastAsia"/>
        </w:rPr>
        <w:t>号。</w:t>
      </w:r>
    </w:p>
  </w:footnote>
  <w:footnote w:id="136">
    <w:p w:rsidR="00000000" w:rsidRDefault="00000000">
      <w:pPr>
        <w:pStyle w:val="FootnoteText"/>
        <w:ind w:firstLine="425"/>
        <w:jc w:val="both"/>
      </w:pPr>
      <w:r>
        <w:rPr>
          <w:rStyle w:val="FootnoteReference"/>
        </w:rPr>
        <w:t>91</w:t>
      </w:r>
      <w:r>
        <w:t xml:space="preserve">  </w:t>
      </w:r>
      <w:r>
        <w:rPr>
          <w:rFonts w:hint="eastAsia"/>
        </w:rPr>
        <w:t>法律、命令和法令公告，</w:t>
      </w:r>
      <w:r>
        <w:t>1992</w:t>
      </w:r>
      <w:r>
        <w:rPr>
          <w:rFonts w:hint="eastAsia"/>
        </w:rPr>
        <w:t>年，第</w:t>
      </w:r>
      <w:r>
        <w:t>611</w:t>
      </w:r>
      <w:r>
        <w:rPr>
          <w:rFonts w:hint="eastAsia"/>
        </w:rPr>
        <w:t>号。</w:t>
      </w:r>
    </w:p>
  </w:footnote>
  <w:footnote w:id="137">
    <w:p w:rsidR="00000000" w:rsidRDefault="00000000">
      <w:pPr>
        <w:pStyle w:val="FootnoteText"/>
        <w:ind w:firstLine="425"/>
        <w:jc w:val="both"/>
      </w:pPr>
      <w:r>
        <w:rPr>
          <w:rStyle w:val="FootnoteReference"/>
        </w:rPr>
        <w:t>92</w:t>
      </w:r>
      <w:r>
        <w:t xml:space="preserve">  </w:t>
      </w:r>
      <w:r>
        <w:rPr>
          <w:rFonts w:hint="eastAsia"/>
        </w:rPr>
        <w:t>正等待一项实施措施。全国卫生委员会在</w:t>
      </w:r>
      <w:r>
        <w:t>1995</w:t>
      </w:r>
      <w:r>
        <w:rPr>
          <w:rFonts w:hint="eastAsia"/>
        </w:rPr>
        <w:t>年</w:t>
      </w:r>
      <w:r>
        <w:t>2</w:t>
      </w:r>
      <w:r>
        <w:rPr>
          <w:rFonts w:hint="eastAsia"/>
        </w:rPr>
        <w:t>月</w:t>
      </w:r>
      <w:r>
        <w:t>21</w:t>
      </w:r>
      <w:r>
        <w:rPr>
          <w:rFonts w:hint="eastAsia"/>
        </w:rPr>
        <w:t>日成立了人口检查法委员会，该委员会将就许可证发放提出建议。</w:t>
      </w:r>
    </w:p>
  </w:footnote>
  <w:footnote w:id="138">
    <w:p w:rsidR="00000000" w:rsidRDefault="00000000">
      <w:pPr>
        <w:pStyle w:val="FootnoteText"/>
        <w:ind w:firstLine="425"/>
        <w:jc w:val="both"/>
      </w:pPr>
      <w:r>
        <w:rPr>
          <w:rStyle w:val="FootnoteReference"/>
        </w:rPr>
        <w:t>93</w:t>
      </w:r>
      <w:r>
        <w:t xml:space="preserve">  Van Veen, Rigter</w:t>
      </w:r>
      <w:r>
        <w:rPr>
          <w:rFonts w:hint="eastAsia"/>
        </w:rPr>
        <w:t>（</w:t>
      </w:r>
      <w:r>
        <w:t>1995</w:t>
      </w:r>
      <w:r>
        <w:rPr>
          <w:rFonts w:hint="eastAsia"/>
        </w:rPr>
        <w:t>年）。</w:t>
      </w:r>
    </w:p>
  </w:footnote>
  <w:footnote w:id="139">
    <w:p w:rsidR="00000000" w:rsidRDefault="00000000">
      <w:pPr>
        <w:pStyle w:val="FootnoteText"/>
        <w:ind w:firstLine="425"/>
        <w:jc w:val="both"/>
      </w:pPr>
      <w:r>
        <w:rPr>
          <w:rStyle w:val="FootnoteReference"/>
        </w:rPr>
        <w:t>94</w:t>
      </w:r>
      <w:r>
        <w:t xml:space="preserve">  </w:t>
      </w:r>
      <w:r>
        <w:rPr>
          <w:rFonts w:hint="eastAsia"/>
        </w:rPr>
        <w:t>但对前列腺癌检查的可能性进行了研究。</w:t>
      </w:r>
    </w:p>
  </w:footnote>
  <w:footnote w:id="140">
    <w:p w:rsidR="00000000" w:rsidRDefault="00000000">
      <w:pPr>
        <w:pStyle w:val="FootnoteText"/>
        <w:ind w:firstLine="425"/>
        <w:jc w:val="both"/>
      </w:pPr>
      <w:r>
        <w:rPr>
          <w:rStyle w:val="FootnoteReference"/>
        </w:rPr>
        <w:t>95</w:t>
      </w:r>
      <w:r>
        <w:t xml:space="preserve">  Schaapveld, Hirasing, Gunning-Schepers</w:t>
      </w:r>
      <w:r>
        <w:rPr>
          <w:rFonts w:hint="eastAsia"/>
        </w:rPr>
        <w:t>（</w:t>
      </w:r>
      <w:r>
        <w:t>1993</w:t>
      </w:r>
      <w:r>
        <w:rPr>
          <w:rFonts w:hint="eastAsia"/>
        </w:rPr>
        <w:t>年）。</w:t>
      </w:r>
    </w:p>
  </w:footnote>
  <w:footnote w:id="141">
    <w:p w:rsidR="00000000" w:rsidRDefault="00000000">
      <w:pPr>
        <w:pStyle w:val="FootnoteText"/>
        <w:ind w:firstLine="425"/>
        <w:jc w:val="both"/>
      </w:pPr>
      <w:r>
        <w:rPr>
          <w:rStyle w:val="FootnoteReference"/>
        </w:rPr>
        <w:t>96</w:t>
      </w:r>
      <w:r>
        <w:t xml:space="preserve">  Van Wijnen</w:t>
      </w:r>
      <w:r>
        <w:rPr>
          <w:rFonts w:hint="eastAsia"/>
        </w:rPr>
        <w:t>（</w:t>
      </w:r>
      <w:r>
        <w:t>1995</w:t>
      </w:r>
      <w:r>
        <w:rPr>
          <w:rFonts w:hint="eastAsia"/>
        </w:rPr>
        <w:t>年）。</w:t>
      </w:r>
    </w:p>
  </w:footnote>
  <w:footnote w:id="142">
    <w:p w:rsidR="00000000" w:rsidRDefault="00000000">
      <w:pPr>
        <w:pStyle w:val="FootnoteText"/>
        <w:ind w:firstLine="425"/>
        <w:jc w:val="both"/>
      </w:pPr>
      <w:r>
        <w:rPr>
          <w:rStyle w:val="FootnoteReference"/>
        </w:rPr>
        <w:t>97</w:t>
      </w:r>
      <w:r>
        <w:t xml:space="preserve">  </w:t>
      </w:r>
      <w:r>
        <w:rPr>
          <w:rFonts w:hint="eastAsia"/>
        </w:rPr>
        <w:t>全国卫生委员会：人口检查法委员会（</w:t>
      </w:r>
      <w:r>
        <w:t>1995</w:t>
      </w:r>
      <w:r>
        <w:rPr>
          <w:rFonts w:hint="eastAsia"/>
        </w:rPr>
        <w:t>年）。</w:t>
      </w:r>
    </w:p>
  </w:footnote>
  <w:footnote w:id="143">
    <w:p w:rsidR="00000000" w:rsidRDefault="00000000">
      <w:pPr>
        <w:pStyle w:val="FootnoteText"/>
        <w:ind w:firstLine="425"/>
        <w:jc w:val="both"/>
      </w:pPr>
      <w:r>
        <w:rPr>
          <w:rStyle w:val="FootnoteReference"/>
        </w:rPr>
        <w:t>98</w:t>
      </w:r>
      <w:r>
        <w:t xml:space="preserve">  Scaf-Klomp</w:t>
      </w:r>
      <w:r>
        <w:rPr>
          <w:rFonts w:hint="eastAsia"/>
        </w:rPr>
        <w:t>等人（</w:t>
      </w:r>
      <w:r>
        <w:t>1995</w:t>
      </w:r>
      <w:r>
        <w:rPr>
          <w:rFonts w:hint="eastAsia"/>
        </w:rPr>
        <w:t>年）。</w:t>
      </w:r>
    </w:p>
  </w:footnote>
  <w:footnote w:id="144">
    <w:p w:rsidR="00000000" w:rsidRDefault="00000000">
      <w:pPr>
        <w:pStyle w:val="FootnoteText"/>
        <w:ind w:firstLine="425"/>
        <w:jc w:val="both"/>
      </w:pPr>
      <w:r>
        <w:rPr>
          <w:rStyle w:val="FootnoteReference"/>
        </w:rPr>
        <w:t>99</w:t>
      </w:r>
      <w:r>
        <w:t xml:space="preserve">  </w:t>
      </w:r>
      <w:r>
        <w:rPr>
          <w:rFonts w:hint="eastAsia"/>
        </w:rPr>
        <w:t>普通医师对私人投保的病人履行此项职能比对荷兰全国健康服务投保的病人要少些。</w:t>
      </w:r>
    </w:p>
  </w:footnote>
  <w:footnote w:id="145">
    <w:p w:rsidR="00000000" w:rsidRDefault="00000000">
      <w:pPr>
        <w:pStyle w:val="FootnoteText"/>
        <w:ind w:firstLine="425"/>
        <w:jc w:val="both"/>
      </w:pPr>
      <w:r>
        <w:rPr>
          <w:rStyle w:val="FootnoteReference"/>
        </w:rPr>
        <w:t>100</w:t>
      </w:r>
      <w:r>
        <w:t xml:space="preserve">  </w:t>
      </w:r>
      <w:r>
        <w:rPr>
          <w:rFonts w:hint="eastAsia"/>
        </w:rPr>
        <w:t>中央统计局（</w:t>
      </w:r>
      <w:r>
        <w:t>1992</w:t>
      </w:r>
      <w:r>
        <w:rPr>
          <w:rFonts w:hint="eastAsia"/>
        </w:rPr>
        <w:t>年）。</w:t>
      </w:r>
    </w:p>
  </w:footnote>
  <w:footnote w:id="146">
    <w:p w:rsidR="00000000" w:rsidRDefault="00000000">
      <w:pPr>
        <w:pStyle w:val="FootnoteText"/>
        <w:ind w:firstLine="425"/>
        <w:jc w:val="both"/>
      </w:pPr>
      <w:r>
        <w:rPr>
          <w:rStyle w:val="FootnoteReference"/>
        </w:rPr>
        <w:t>101</w:t>
      </w:r>
      <w:r>
        <w:t xml:space="preserve">  </w:t>
      </w:r>
      <w:r>
        <w:rPr>
          <w:rFonts w:hint="eastAsia"/>
        </w:rPr>
        <w:t>严格地说，这并不涉及诊断的疾病，而涉及普通医师注意到的联系的理由。</w:t>
      </w:r>
    </w:p>
  </w:footnote>
  <w:footnote w:id="147">
    <w:p w:rsidR="00000000" w:rsidRDefault="00000000">
      <w:pPr>
        <w:pStyle w:val="FootnoteText"/>
        <w:ind w:firstLine="425"/>
        <w:jc w:val="both"/>
      </w:pPr>
      <w:r>
        <w:rPr>
          <w:rStyle w:val="FootnoteReference"/>
        </w:rPr>
        <w:t>102</w:t>
      </w:r>
      <w:r>
        <w:t xml:space="preserve">  </w:t>
      </w:r>
      <w:r>
        <w:rPr>
          <w:rFonts w:hint="eastAsia"/>
        </w:rPr>
        <w:t>中央统计局（</w:t>
      </w:r>
      <w:r>
        <w:t>1992</w:t>
      </w:r>
      <w:r>
        <w:rPr>
          <w:rFonts w:hint="eastAsia"/>
        </w:rPr>
        <w:t>年）。</w:t>
      </w:r>
    </w:p>
  </w:footnote>
  <w:footnote w:id="148">
    <w:p w:rsidR="00000000" w:rsidRDefault="00000000">
      <w:pPr>
        <w:pStyle w:val="FootnoteText"/>
        <w:ind w:firstLine="425"/>
        <w:jc w:val="both"/>
      </w:pPr>
      <w:r>
        <w:rPr>
          <w:rStyle w:val="FootnoteReference"/>
        </w:rPr>
        <w:t>103</w:t>
      </w:r>
      <w:r>
        <w:t xml:space="preserve">  </w:t>
      </w:r>
      <w:r>
        <w:rPr>
          <w:rFonts w:hint="eastAsia"/>
        </w:rPr>
        <w:t>出现空白单元，因为没有数据，或者因为不同层次的健康问题名称不同，因而无法对它们进行比较。</w:t>
      </w:r>
    </w:p>
  </w:footnote>
  <w:footnote w:id="149">
    <w:p w:rsidR="00000000" w:rsidRDefault="00000000">
      <w:pPr>
        <w:pStyle w:val="FootnoteText"/>
        <w:ind w:firstLine="425"/>
        <w:jc w:val="both"/>
      </w:pPr>
      <w:r>
        <w:rPr>
          <w:rStyle w:val="FootnoteReference"/>
        </w:rPr>
        <w:t>104</w:t>
      </w:r>
      <w:r>
        <w:t xml:space="preserve">  </w:t>
      </w:r>
      <w:r>
        <w:rPr>
          <w:rFonts w:hint="eastAsia"/>
        </w:rPr>
        <w:t>这个基于性别的比例涉及从第一层保健转出的总数。</w:t>
      </w:r>
    </w:p>
  </w:footnote>
  <w:footnote w:id="150">
    <w:p w:rsidR="00000000" w:rsidRDefault="00000000">
      <w:pPr>
        <w:pStyle w:val="FootnoteText"/>
        <w:ind w:firstLine="425"/>
        <w:jc w:val="both"/>
      </w:pPr>
      <w:r>
        <w:rPr>
          <w:rStyle w:val="FootnoteReference"/>
        </w:rPr>
        <w:t>105</w:t>
      </w:r>
      <w:r>
        <w:t xml:space="preserve">  </w:t>
      </w:r>
      <w:r>
        <w:rPr>
          <w:rFonts w:hint="eastAsia"/>
        </w:rPr>
        <w:t>同前。这个基于性别的比例涉及从第一层保健转出的总数。</w:t>
      </w:r>
    </w:p>
  </w:footnote>
  <w:footnote w:id="151">
    <w:p w:rsidR="00000000" w:rsidRDefault="00000000">
      <w:pPr>
        <w:pStyle w:val="FootnoteText"/>
        <w:ind w:firstLine="425"/>
        <w:jc w:val="both"/>
      </w:pPr>
      <w:r>
        <w:rPr>
          <w:rStyle w:val="FootnoteReference"/>
        </w:rPr>
        <w:t>106</w:t>
      </w:r>
      <w:r>
        <w:t xml:space="preserve">  </w:t>
      </w:r>
      <w:r>
        <w:rPr>
          <w:rFonts w:hint="eastAsia"/>
        </w:rPr>
        <w:t>转至区域心理福利机构的数字。</w:t>
      </w:r>
    </w:p>
  </w:footnote>
  <w:footnote w:id="152">
    <w:p w:rsidR="00000000" w:rsidRDefault="00000000">
      <w:pPr>
        <w:pStyle w:val="FootnoteText"/>
        <w:ind w:firstLine="425"/>
        <w:jc w:val="both"/>
      </w:pPr>
      <w:r>
        <w:rPr>
          <w:rStyle w:val="FootnoteReference"/>
        </w:rPr>
        <w:t>107</w:t>
      </w:r>
      <w:r>
        <w:t xml:space="preserve"> Meeuwesen</w:t>
      </w:r>
      <w:r>
        <w:rPr>
          <w:rFonts w:hint="eastAsia"/>
        </w:rPr>
        <w:t>（</w:t>
      </w:r>
      <w:r>
        <w:t>1988</w:t>
      </w:r>
      <w:r>
        <w:rPr>
          <w:rFonts w:hint="eastAsia"/>
        </w:rPr>
        <w:t>年，</w:t>
      </w:r>
      <w:r>
        <w:t>1994</w:t>
      </w:r>
      <w:r>
        <w:rPr>
          <w:rFonts w:hint="eastAsia"/>
        </w:rPr>
        <w:t>年）。</w:t>
      </w:r>
      <w:r>
        <w:t>Bensing</w:t>
      </w:r>
      <w:r>
        <w:rPr>
          <w:rFonts w:hint="eastAsia"/>
        </w:rPr>
        <w:t>（</w:t>
      </w:r>
      <w:r>
        <w:t>1991</w:t>
      </w:r>
      <w:r>
        <w:rPr>
          <w:rFonts w:hint="eastAsia"/>
        </w:rPr>
        <w:t>年）。</w:t>
      </w:r>
      <w:r>
        <w:t>Van Alphen</w:t>
      </w:r>
      <w:r>
        <w:rPr>
          <w:rFonts w:hint="eastAsia"/>
        </w:rPr>
        <w:t>（</w:t>
      </w:r>
      <w:r>
        <w:t>1994</w:t>
      </w:r>
      <w:r>
        <w:rPr>
          <w:rFonts w:hint="eastAsia"/>
        </w:rPr>
        <w:t>年）。</w:t>
      </w:r>
    </w:p>
  </w:footnote>
  <w:footnote w:id="153">
    <w:p w:rsidR="00000000" w:rsidRDefault="00000000">
      <w:pPr>
        <w:pStyle w:val="FootnoteText"/>
        <w:ind w:firstLine="425"/>
        <w:jc w:val="both"/>
      </w:pPr>
      <w:r>
        <w:rPr>
          <w:rStyle w:val="FootnoteReference"/>
        </w:rPr>
        <w:t>108</w:t>
      </w:r>
      <w:r>
        <w:t xml:space="preserve">  </w:t>
      </w:r>
      <w:r>
        <w:rPr>
          <w:rFonts w:hint="eastAsia"/>
        </w:rPr>
        <w:t>中央统计局（</w:t>
      </w:r>
      <w:r>
        <w:t>1992</w:t>
      </w:r>
      <w:r>
        <w:rPr>
          <w:rFonts w:hint="eastAsia"/>
        </w:rPr>
        <w:t>年）。</w:t>
      </w:r>
    </w:p>
  </w:footnote>
  <w:footnote w:id="154">
    <w:p w:rsidR="00000000" w:rsidRDefault="00000000">
      <w:pPr>
        <w:pStyle w:val="FootnoteText"/>
        <w:ind w:firstLine="425"/>
        <w:jc w:val="both"/>
      </w:pPr>
      <w:r>
        <w:rPr>
          <w:rStyle w:val="FootnoteReference"/>
        </w:rPr>
        <w:t>109</w:t>
      </w:r>
      <w:r>
        <w:t xml:space="preserve">  </w:t>
      </w:r>
      <w:r>
        <w:rPr>
          <w:rFonts w:hint="eastAsia"/>
        </w:rPr>
        <w:t>保健信息中心</w:t>
      </w:r>
      <w:r>
        <w:t>Zorginformatie</w:t>
      </w:r>
      <w:r>
        <w:rPr>
          <w:rFonts w:hint="eastAsia"/>
        </w:rPr>
        <w:t>（</w:t>
      </w:r>
      <w:r>
        <w:t>1994</w:t>
      </w:r>
      <w:r>
        <w:rPr>
          <w:rFonts w:hint="eastAsia"/>
        </w:rPr>
        <w:t>年）。</w:t>
      </w:r>
    </w:p>
  </w:footnote>
  <w:footnote w:id="155">
    <w:p w:rsidR="00000000" w:rsidRDefault="00000000">
      <w:pPr>
        <w:pStyle w:val="FootnoteText"/>
        <w:ind w:firstLine="425"/>
        <w:jc w:val="both"/>
      </w:pPr>
      <w:r>
        <w:rPr>
          <w:rStyle w:val="FootnoteReference"/>
        </w:rPr>
        <w:t>110</w:t>
      </w:r>
      <w:r>
        <w:t xml:space="preserve">  Rigter</w:t>
      </w:r>
      <w:r>
        <w:rPr>
          <w:rFonts w:hint="eastAsia"/>
        </w:rPr>
        <w:t>（</w:t>
      </w:r>
      <w:r>
        <w:t>1996</w:t>
      </w:r>
      <w:r>
        <w:rPr>
          <w:rFonts w:hint="eastAsia"/>
        </w:rPr>
        <w:t>年）。</w:t>
      </w:r>
    </w:p>
  </w:footnote>
  <w:footnote w:id="156">
    <w:p w:rsidR="00000000" w:rsidRDefault="00000000">
      <w:pPr>
        <w:pStyle w:val="FootnoteText"/>
        <w:ind w:firstLine="425"/>
        <w:jc w:val="both"/>
      </w:pPr>
      <w:r>
        <w:rPr>
          <w:rStyle w:val="FootnoteReference"/>
        </w:rPr>
        <w:t>111</w:t>
      </w:r>
      <w:r>
        <w:t xml:space="preserve">  Ruwaard, Reskens</w:t>
      </w:r>
      <w:r>
        <w:rPr>
          <w:rFonts w:hint="eastAsia"/>
        </w:rPr>
        <w:t>（</w:t>
      </w:r>
      <w:r>
        <w:t>1993</w:t>
      </w:r>
      <w:r>
        <w:rPr>
          <w:rFonts w:hint="eastAsia"/>
        </w:rPr>
        <w:t>年）。</w:t>
      </w:r>
    </w:p>
  </w:footnote>
  <w:footnote w:id="157">
    <w:p w:rsidR="00000000" w:rsidRDefault="00000000">
      <w:pPr>
        <w:pStyle w:val="FootnoteText"/>
        <w:ind w:firstLine="425"/>
        <w:jc w:val="both"/>
      </w:pPr>
      <w:r>
        <w:rPr>
          <w:rStyle w:val="FootnoteReference"/>
        </w:rPr>
        <w:t>112</w:t>
      </w:r>
      <w:r>
        <w:t xml:space="preserve">  </w:t>
      </w:r>
      <w:r>
        <w:rPr>
          <w:rFonts w:hint="eastAsia"/>
        </w:rPr>
        <w:t>同上。</w:t>
      </w:r>
    </w:p>
  </w:footnote>
  <w:footnote w:id="158">
    <w:p w:rsidR="00000000" w:rsidRDefault="00000000">
      <w:pPr>
        <w:pStyle w:val="FootnoteText"/>
        <w:ind w:firstLine="425"/>
        <w:jc w:val="both"/>
      </w:pPr>
      <w:r>
        <w:rPr>
          <w:rStyle w:val="FootnoteReference"/>
        </w:rPr>
        <w:t>113</w:t>
      </w:r>
      <w:r>
        <w:t xml:space="preserve">  Mulder, Meeter</w:t>
      </w:r>
      <w:r>
        <w:rPr>
          <w:rFonts w:hint="eastAsia"/>
        </w:rPr>
        <w:t>（</w:t>
      </w:r>
      <w:r>
        <w:t>1995</w:t>
      </w:r>
      <w:r>
        <w:rPr>
          <w:rFonts w:hint="eastAsia"/>
        </w:rPr>
        <w:t>年）。</w:t>
      </w:r>
      <w:r>
        <w:t>Witteman, Van der Schouw</w:t>
      </w:r>
      <w:r>
        <w:rPr>
          <w:rFonts w:hint="eastAsia"/>
        </w:rPr>
        <w:t>（</w:t>
      </w:r>
      <w:r>
        <w:t>1995</w:t>
      </w:r>
      <w:r>
        <w:rPr>
          <w:rFonts w:hint="eastAsia"/>
        </w:rPr>
        <w:t>年）。</w:t>
      </w:r>
    </w:p>
  </w:footnote>
  <w:footnote w:id="159">
    <w:p w:rsidR="00000000" w:rsidRDefault="00000000">
      <w:pPr>
        <w:pStyle w:val="FootnoteText"/>
        <w:ind w:firstLine="425"/>
        <w:jc w:val="both"/>
      </w:pPr>
      <w:r>
        <w:rPr>
          <w:rStyle w:val="FootnoteReference"/>
        </w:rPr>
        <w:t>114</w:t>
      </w:r>
      <w:r>
        <w:t xml:space="preserve">  </w:t>
      </w:r>
      <w:r>
        <w:rPr>
          <w:rFonts w:hint="eastAsia"/>
        </w:rPr>
        <w:t>这就是为什么荷兰心脏基金会宣布“妇女和心脏与血管疾病”为其</w:t>
      </w:r>
      <w:r>
        <w:t>1995</w:t>
      </w:r>
      <w:r>
        <w:rPr>
          <w:rFonts w:hint="eastAsia"/>
        </w:rPr>
        <w:t>年主题的原因。</w:t>
      </w:r>
    </w:p>
  </w:footnote>
  <w:footnote w:id="160">
    <w:p w:rsidR="00000000" w:rsidRDefault="00000000">
      <w:pPr>
        <w:pStyle w:val="FootnoteText"/>
        <w:ind w:firstLine="425"/>
        <w:jc w:val="both"/>
      </w:pPr>
      <w:r>
        <w:rPr>
          <w:rStyle w:val="FootnoteReference"/>
        </w:rPr>
        <w:t>115</w:t>
      </w:r>
      <w:r>
        <w:t xml:space="preserve">  Brezinka</w:t>
      </w:r>
      <w:r>
        <w:rPr>
          <w:rFonts w:hint="eastAsia"/>
        </w:rPr>
        <w:t>（</w:t>
      </w:r>
      <w:r>
        <w:t>1995</w:t>
      </w:r>
      <w:r>
        <w:rPr>
          <w:rFonts w:hint="eastAsia"/>
        </w:rPr>
        <w:t>年）。</w:t>
      </w:r>
    </w:p>
  </w:footnote>
  <w:footnote w:id="161">
    <w:p w:rsidR="00000000" w:rsidRDefault="00000000">
      <w:pPr>
        <w:pStyle w:val="FootnoteText"/>
        <w:ind w:firstLine="425"/>
        <w:jc w:val="both"/>
      </w:pPr>
      <w:r>
        <w:rPr>
          <w:rStyle w:val="FootnoteReference"/>
        </w:rPr>
        <w:t>116</w:t>
      </w:r>
      <w:r>
        <w:t xml:space="preserve">  Harteloh, Verweij</w:t>
      </w:r>
      <w:r>
        <w:rPr>
          <w:rFonts w:hint="eastAsia"/>
        </w:rPr>
        <w:t>（</w:t>
      </w:r>
      <w:r>
        <w:t>1995</w:t>
      </w:r>
      <w:r>
        <w:rPr>
          <w:rFonts w:hint="eastAsia"/>
        </w:rPr>
        <w:t>年）。</w:t>
      </w:r>
    </w:p>
  </w:footnote>
  <w:footnote w:id="162">
    <w:p w:rsidR="00000000" w:rsidRDefault="00000000">
      <w:pPr>
        <w:pStyle w:val="FootnoteText"/>
        <w:ind w:firstLine="425"/>
        <w:jc w:val="both"/>
      </w:pPr>
      <w:r>
        <w:rPr>
          <w:rStyle w:val="FootnoteReference"/>
        </w:rPr>
        <w:t>117</w:t>
      </w:r>
      <w:r>
        <w:t xml:space="preserve">  Verhaak, Andela</w:t>
      </w:r>
      <w:r>
        <w:rPr>
          <w:rFonts w:hint="eastAsia"/>
        </w:rPr>
        <w:t>等（</w:t>
      </w:r>
      <w:r>
        <w:t>1995</w:t>
      </w:r>
      <w:r>
        <w:rPr>
          <w:rFonts w:hint="eastAsia"/>
        </w:rPr>
        <w:t>年）。</w:t>
      </w:r>
    </w:p>
  </w:footnote>
  <w:footnote w:id="163">
    <w:p w:rsidR="00000000" w:rsidRDefault="00000000">
      <w:pPr>
        <w:pStyle w:val="FootnoteText"/>
        <w:ind w:firstLine="425"/>
        <w:jc w:val="both"/>
      </w:pPr>
      <w:r>
        <w:rPr>
          <w:rStyle w:val="FootnoteReference"/>
        </w:rPr>
        <w:t>118</w:t>
      </w:r>
      <w:r>
        <w:t xml:space="preserve">  Landelijk Informatiepunt Pati</w:t>
      </w:r>
      <w:r>
        <w:sym w:font="Kino MT" w:char="00EB"/>
      </w:r>
      <w:r>
        <w:t>nten</w:t>
      </w:r>
      <w:r>
        <w:rPr>
          <w:rFonts w:hint="eastAsia"/>
        </w:rPr>
        <w:t>（</w:t>
      </w:r>
      <w:r>
        <w:t>1994</w:t>
      </w:r>
      <w:r>
        <w:rPr>
          <w:rFonts w:hint="eastAsia"/>
        </w:rPr>
        <w:t>年）。</w:t>
      </w:r>
    </w:p>
  </w:footnote>
  <w:footnote w:id="164">
    <w:p w:rsidR="00000000" w:rsidRDefault="00000000">
      <w:pPr>
        <w:pStyle w:val="FootnoteText"/>
        <w:ind w:firstLine="425"/>
        <w:jc w:val="both"/>
      </w:pPr>
      <w:r>
        <w:rPr>
          <w:rStyle w:val="FootnoteReference"/>
        </w:rPr>
        <w:t>119</w:t>
      </w:r>
      <w:r>
        <w:t xml:space="preserve">  </w:t>
      </w:r>
      <w:r>
        <w:rPr>
          <w:rFonts w:hint="eastAsia"/>
        </w:rPr>
        <w:t>全国公共卫生咨询委员会（</w:t>
      </w:r>
      <w:r>
        <w:t>1995</w:t>
      </w:r>
      <w:r>
        <w:rPr>
          <w:rFonts w:hint="eastAsia"/>
        </w:rPr>
        <w:t>年）。</w:t>
      </w:r>
    </w:p>
  </w:footnote>
  <w:footnote w:id="165">
    <w:p w:rsidR="00000000" w:rsidRDefault="00000000">
      <w:pPr>
        <w:pStyle w:val="FootnoteText"/>
        <w:ind w:firstLine="425"/>
        <w:jc w:val="both"/>
      </w:pPr>
      <w:r>
        <w:rPr>
          <w:rStyle w:val="FootnoteReference"/>
        </w:rPr>
        <w:t>120</w:t>
      </w:r>
      <w:r>
        <w:t xml:space="preserve">  </w:t>
      </w:r>
      <w:r>
        <w:rPr>
          <w:rFonts w:hint="eastAsia"/>
        </w:rPr>
        <w:t>全国公共卫生咨询委员会（</w:t>
      </w:r>
      <w:r>
        <w:t>1995</w:t>
      </w:r>
      <w:r>
        <w:rPr>
          <w:rFonts w:hint="eastAsia"/>
        </w:rPr>
        <w:t>年）。</w:t>
      </w:r>
      <w:r>
        <w:t>voor ziekenhuisvoorzieningen</w:t>
      </w:r>
      <w:r>
        <w:rPr>
          <w:rFonts w:hint="eastAsia"/>
        </w:rPr>
        <w:t>学院（医院设施委员会）（</w:t>
      </w:r>
      <w:r>
        <w:t>1995</w:t>
      </w:r>
      <w:r>
        <w:rPr>
          <w:rFonts w:hint="eastAsia"/>
        </w:rPr>
        <w:t>年）。</w:t>
      </w:r>
      <w:r>
        <w:t>Te Wierik</w:t>
      </w:r>
      <w:r>
        <w:rPr>
          <w:rFonts w:hint="eastAsia"/>
        </w:rPr>
        <w:t>等（</w:t>
      </w:r>
      <w:r>
        <w:t>1994</w:t>
      </w:r>
      <w:r>
        <w:rPr>
          <w:rFonts w:hint="eastAsia"/>
        </w:rPr>
        <w:t>年）。</w:t>
      </w:r>
    </w:p>
  </w:footnote>
  <w:footnote w:id="166">
    <w:p w:rsidR="00000000" w:rsidRDefault="00000000">
      <w:pPr>
        <w:pStyle w:val="FootnoteText"/>
        <w:ind w:firstLine="425"/>
        <w:jc w:val="both"/>
      </w:pPr>
      <w:r>
        <w:rPr>
          <w:rStyle w:val="FootnoteReference"/>
        </w:rPr>
        <w:t>121</w:t>
      </w:r>
      <w:r>
        <w:t xml:space="preserve">  De Boer, Hessing-Wagner</w:t>
      </w:r>
      <w:r>
        <w:rPr>
          <w:rFonts w:hint="eastAsia"/>
        </w:rPr>
        <w:t>等（</w:t>
      </w:r>
      <w:r>
        <w:t>1994</w:t>
      </w:r>
      <w:r>
        <w:rPr>
          <w:rFonts w:hint="eastAsia"/>
        </w:rPr>
        <w:t>年）。</w:t>
      </w:r>
    </w:p>
  </w:footnote>
  <w:footnote w:id="167">
    <w:p w:rsidR="00000000" w:rsidRDefault="00000000">
      <w:pPr>
        <w:pStyle w:val="FootnoteText"/>
        <w:ind w:firstLine="425"/>
        <w:jc w:val="both"/>
      </w:pPr>
      <w:r>
        <w:rPr>
          <w:rStyle w:val="FootnoteReference"/>
        </w:rPr>
        <w:t>122</w:t>
      </w:r>
      <w:r>
        <w:t xml:space="preserve">  Nelissen</w:t>
      </w:r>
      <w:r>
        <w:rPr>
          <w:rFonts w:hint="eastAsia"/>
        </w:rPr>
        <w:t>（</w:t>
      </w:r>
      <w:r>
        <w:t>1994</w:t>
      </w:r>
      <w:r>
        <w:rPr>
          <w:rFonts w:hint="eastAsia"/>
        </w:rPr>
        <w:t>年）。</w:t>
      </w:r>
    </w:p>
  </w:footnote>
  <w:footnote w:id="168">
    <w:p w:rsidR="00000000" w:rsidRDefault="00000000">
      <w:pPr>
        <w:pStyle w:val="FootnoteText"/>
        <w:ind w:firstLine="425"/>
        <w:jc w:val="both"/>
      </w:pPr>
      <w:r>
        <w:rPr>
          <w:rStyle w:val="FootnoteReference"/>
        </w:rPr>
        <w:t>123</w:t>
      </w:r>
      <w:r>
        <w:t xml:space="preserve">  De Boer, Hessing-Wagner</w:t>
      </w:r>
      <w:r>
        <w:rPr>
          <w:rFonts w:hint="eastAsia"/>
        </w:rPr>
        <w:t>等（</w:t>
      </w:r>
      <w:r>
        <w:t>1994</w:t>
      </w:r>
      <w:r>
        <w:rPr>
          <w:rFonts w:hint="eastAsia"/>
        </w:rPr>
        <w:t>年）。</w:t>
      </w:r>
    </w:p>
  </w:footnote>
  <w:footnote w:id="169">
    <w:p w:rsidR="00000000" w:rsidRDefault="00000000">
      <w:pPr>
        <w:pStyle w:val="FootnoteText"/>
        <w:ind w:firstLine="425"/>
        <w:jc w:val="both"/>
      </w:pPr>
      <w:r>
        <w:rPr>
          <w:rStyle w:val="FootnoteReference"/>
        </w:rPr>
        <w:t>124</w:t>
      </w:r>
      <w:r>
        <w:t xml:space="preserve">  </w:t>
      </w:r>
      <w:r>
        <w:rPr>
          <w:rFonts w:hint="eastAsia"/>
        </w:rPr>
        <w:t>除非另有说明，关于私人疗养所的信息来自保健信息中心私人疗养所信息系统，</w:t>
      </w:r>
      <w:r>
        <w:t>1992</w:t>
      </w:r>
      <w:r>
        <w:rPr>
          <w:rFonts w:hint="eastAsia"/>
        </w:rPr>
        <w:t>年，该系统处理来自</w:t>
      </w:r>
      <w:r>
        <w:t>80%</w:t>
      </w:r>
      <w:r>
        <w:rPr>
          <w:rFonts w:hint="eastAsia"/>
        </w:rPr>
        <w:t>以上的私人疗养所的数据。</w:t>
      </w:r>
    </w:p>
  </w:footnote>
  <w:footnote w:id="170">
    <w:p w:rsidR="00000000" w:rsidRDefault="00000000">
      <w:pPr>
        <w:pStyle w:val="FootnoteText"/>
        <w:ind w:firstLine="425"/>
        <w:jc w:val="both"/>
      </w:pPr>
      <w:r>
        <w:rPr>
          <w:rStyle w:val="FootnoteReference"/>
        </w:rPr>
        <w:t>125</w:t>
      </w:r>
      <w:r>
        <w:t xml:space="preserve">  </w:t>
      </w:r>
      <w:r>
        <w:rPr>
          <w:rFonts w:hint="eastAsia"/>
        </w:rPr>
        <w:t>中央统计局（</w:t>
      </w:r>
      <w:r>
        <w:t>1994</w:t>
      </w:r>
      <w:r>
        <w:rPr>
          <w:rFonts w:hint="eastAsia"/>
        </w:rPr>
        <w:t>年）。</w:t>
      </w:r>
    </w:p>
  </w:footnote>
  <w:footnote w:id="171">
    <w:p w:rsidR="00000000" w:rsidRDefault="00000000">
      <w:pPr>
        <w:pStyle w:val="FootnoteText"/>
        <w:ind w:firstLine="425"/>
        <w:jc w:val="both"/>
      </w:pPr>
      <w:r>
        <w:rPr>
          <w:rStyle w:val="FootnoteReference"/>
        </w:rPr>
        <w:t>126</w:t>
      </w:r>
      <w:r>
        <w:t xml:space="preserve">  </w:t>
      </w:r>
      <w:r>
        <w:rPr>
          <w:rFonts w:hint="eastAsia"/>
        </w:rPr>
        <w:t>本报告省略了对使用以个人为基础的预算系统的调查。</w:t>
      </w:r>
    </w:p>
  </w:footnote>
  <w:footnote w:id="172">
    <w:p w:rsidR="00000000" w:rsidRDefault="00000000">
      <w:pPr>
        <w:pStyle w:val="FootnoteText"/>
        <w:ind w:firstLine="425"/>
        <w:jc w:val="both"/>
      </w:pPr>
      <w:r>
        <w:rPr>
          <w:rStyle w:val="FootnoteReference"/>
        </w:rPr>
        <w:t>127</w:t>
      </w:r>
      <w:r>
        <w:t xml:space="preserve">  Nouws, Van Rossum</w:t>
      </w:r>
      <w:r>
        <w:rPr>
          <w:rFonts w:hint="eastAsia"/>
        </w:rPr>
        <w:t>，及其他人（</w:t>
      </w:r>
      <w:r>
        <w:t>1995</w:t>
      </w:r>
      <w:r>
        <w:rPr>
          <w:rFonts w:hint="eastAsia"/>
        </w:rPr>
        <w:t>年）。</w:t>
      </w:r>
    </w:p>
  </w:footnote>
  <w:footnote w:id="173">
    <w:p w:rsidR="00000000" w:rsidRDefault="00000000">
      <w:pPr>
        <w:pStyle w:val="FootnoteText"/>
        <w:ind w:firstLine="425"/>
        <w:jc w:val="both"/>
      </w:pPr>
      <w:r>
        <w:rPr>
          <w:rStyle w:val="FootnoteReference"/>
        </w:rPr>
        <w:t>128</w:t>
      </w:r>
      <w:r>
        <w:t xml:space="preserve">  </w:t>
      </w:r>
      <w:r>
        <w:rPr>
          <w:rFonts w:hint="eastAsia"/>
        </w:rPr>
        <w:t>经常出现的问题：对提供护理者的压力，单方面要求妇女提供这种护理，缺少经费补偿或其他奖励以及非正规和专业护理之间的差距。解放委员会（</w:t>
      </w:r>
      <w:r>
        <w:t>1993</w:t>
      </w:r>
      <w:r>
        <w:rPr>
          <w:rFonts w:hint="eastAsia"/>
        </w:rPr>
        <w:t>年）。</w:t>
      </w:r>
      <w:r>
        <w:t>Meinen</w:t>
      </w:r>
      <w:r>
        <w:rPr>
          <w:rFonts w:hint="eastAsia"/>
        </w:rPr>
        <w:t>等（编辑）（</w:t>
      </w:r>
      <w:r>
        <w:t>1994</w:t>
      </w:r>
      <w:r>
        <w:rPr>
          <w:rFonts w:hint="eastAsia"/>
        </w:rPr>
        <w:t>年）。</w:t>
      </w:r>
      <w:r>
        <w:t>De Boer, Hessing-Wagner</w:t>
      </w:r>
      <w:r>
        <w:rPr>
          <w:rFonts w:hint="eastAsia"/>
        </w:rPr>
        <w:t>（</w:t>
      </w:r>
      <w:r>
        <w:t>1994</w:t>
      </w:r>
      <w:r>
        <w:rPr>
          <w:rFonts w:hint="eastAsia"/>
        </w:rPr>
        <w:t>年）。</w:t>
      </w:r>
      <w:r>
        <w:t>Duijnstee</w:t>
      </w:r>
      <w:r>
        <w:rPr>
          <w:rFonts w:hint="eastAsia"/>
        </w:rPr>
        <w:t>等（</w:t>
      </w:r>
      <w:r>
        <w:t>1994</w:t>
      </w:r>
      <w:r>
        <w:rPr>
          <w:rFonts w:hint="eastAsia"/>
        </w:rPr>
        <w:t>年）。全国公共卫生委员会（</w:t>
      </w:r>
      <w:r>
        <w:t>1995</w:t>
      </w:r>
      <w:r>
        <w:rPr>
          <w:rFonts w:hint="eastAsia"/>
        </w:rPr>
        <w:t>年）。几个调查研究对于提供非正规护理的男女比例得出相同的结论：妇女承担三倍于家务劳动的工作，当涉及其他非正规形式帮助时，她们的劳动量增加一倍。（</w:t>
      </w:r>
      <w:r>
        <w:t>Hommel</w:t>
      </w:r>
      <w:r>
        <w:rPr>
          <w:rFonts w:hint="eastAsia"/>
        </w:rPr>
        <w:t>，</w:t>
      </w:r>
      <w:r>
        <w:t>1990</w:t>
      </w:r>
      <w:r>
        <w:rPr>
          <w:rFonts w:hint="eastAsia"/>
        </w:rPr>
        <w:t>年，</w:t>
      </w:r>
      <w:r>
        <w:t>Felling</w:t>
      </w:r>
      <w:r>
        <w:rPr>
          <w:rFonts w:hint="eastAsia"/>
        </w:rPr>
        <w:t>，</w:t>
      </w:r>
      <w:r>
        <w:t>1991</w:t>
      </w:r>
      <w:r>
        <w:rPr>
          <w:rFonts w:hint="eastAsia"/>
        </w:rPr>
        <w:t>年，</w:t>
      </w:r>
      <w:r>
        <w:t>De Boer, Hessing-Wagner</w:t>
      </w:r>
      <w:r>
        <w:rPr>
          <w:rFonts w:hint="eastAsia"/>
        </w:rPr>
        <w:t>，</w:t>
      </w:r>
      <w:r>
        <w:t>1994</w:t>
      </w:r>
      <w:r>
        <w:rPr>
          <w:rFonts w:hint="eastAsia"/>
        </w:rPr>
        <w:t>年）。</w:t>
      </w:r>
    </w:p>
  </w:footnote>
  <w:footnote w:id="174">
    <w:p w:rsidR="00000000" w:rsidRDefault="00000000">
      <w:pPr>
        <w:pStyle w:val="FootnoteText"/>
        <w:ind w:firstLine="425"/>
        <w:jc w:val="both"/>
      </w:pPr>
      <w:r>
        <w:rPr>
          <w:rStyle w:val="FootnoteReference"/>
        </w:rPr>
        <w:t>129</w:t>
      </w:r>
      <w:r>
        <w:t xml:space="preserve">  Kennemer Patients</w:t>
      </w:r>
      <w:r>
        <w:rPr>
          <w:rFonts w:hint="eastAsia"/>
        </w:rPr>
        <w:t>的平台（</w:t>
      </w:r>
      <w:r>
        <w:t>1995</w:t>
      </w:r>
      <w:r>
        <w:rPr>
          <w:rFonts w:hint="eastAsia"/>
        </w:rPr>
        <w:t>年）。</w:t>
      </w:r>
    </w:p>
  </w:footnote>
  <w:footnote w:id="175">
    <w:p w:rsidR="00000000" w:rsidRDefault="00000000">
      <w:pPr>
        <w:pStyle w:val="FootnoteText"/>
        <w:ind w:firstLine="425"/>
        <w:jc w:val="both"/>
      </w:pPr>
      <w:r>
        <w:rPr>
          <w:rStyle w:val="FootnoteReference"/>
        </w:rPr>
        <w:t>130</w:t>
      </w:r>
      <w:r>
        <w:t xml:space="preserve">  </w:t>
      </w:r>
      <w:r>
        <w:rPr>
          <w:rFonts w:hint="eastAsia"/>
        </w:rPr>
        <w:t>消费者协会（</w:t>
      </w:r>
      <w:r>
        <w:t>1993</w:t>
      </w:r>
      <w:r>
        <w:rPr>
          <w:rFonts w:hint="eastAsia"/>
        </w:rPr>
        <w:t>年）。</w:t>
      </w:r>
    </w:p>
  </w:footnote>
  <w:footnote w:id="176">
    <w:p w:rsidR="00000000" w:rsidRDefault="00000000">
      <w:pPr>
        <w:pStyle w:val="FootnoteText"/>
        <w:ind w:firstLine="425"/>
        <w:jc w:val="both"/>
      </w:pPr>
      <w:r>
        <w:rPr>
          <w:rStyle w:val="FootnoteReference"/>
        </w:rPr>
        <w:t>131</w:t>
      </w:r>
      <w:r>
        <w:t xml:space="preserve">  De Boer, Hessing-Wagner</w:t>
      </w:r>
      <w:r>
        <w:rPr>
          <w:rFonts w:hint="eastAsia"/>
        </w:rPr>
        <w:t>等（</w:t>
      </w:r>
      <w:r>
        <w:t>1994</w:t>
      </w:r>
      <w:r>
        <w:rPr>
          <w:rFonts w:hint="eastAsia"/>
        </w:rPr>
        <w:t>年）。</w:t>
      </w:r>
    </w:p>
  </w:footnote>
  <w:footnote w:id="177">
    <w:p w:rsidR="00000000" w:rsidRDefault="00000000">
      <w:pPr>
        <w:pStyle w:val="FootnoteText"/>
        <w:ind w:firstLine="425"/>
        <w:jc w:val="both"/>
      </w:pPr>
      <w:r>
        <w:rPr>
          <w:rStyle w:val="FootnoteReference"/>
        </w:rPr>
        <w:t>132</w:t>
      </w:r>
      <w:r>
        <w:t xml:space="preserve">  Boeije, Casparie</w:t>
      </w:r>
      <w:r>
        <w:rPr>
          <w:rFonts w:hint="eastAsia"/>
        </w:rPr>
        <w:t>（</w:t>
      </w:r>
      <w:r>
        <w:t>1994</w:t>
      </w:r>
      <w:r>
        <w:rPr>
          <w:rFonts w:hint="eastAsia"/>
        </w:rPr>
        <w:t>年）。</w:t>
      </w:r>
    </w:p>
  </w:footnote>
  <w:footnote w:id="178">
    <w:p w:rsidR="00000000" w:rsidRDefault="00000000">
      <w:pPr>
        <w:pStyle w:val="FootnoteText"/>
        <w:ind w:firstLine="425"/>
        <w:jc w:val="both"/>
      </w:pPr>
      <w:r>
        <w:rPr>
          <w:rStyle w:val="FootnoteReference"/>
        </w:rPr>
        <w:t>133</w:t>
      </w:r>
      <w:r>
        <w:t xml:space="preserve">  </w:t>
      </w:r>
      <w:r>
        <w:rPr>
          <w:rFonts w:hint="eastAsia"/>
        </w:rPr>
        <w:t>综合医院的精神病科。</w:t>
      </w:r>
    </w:p>
  </w:footnote>
  <w:footnote w:id="179">
    <w:p w:rsidR="00000000" w:rsidRDefault="00000000">
      <w:pPr>
        <w:pStyle w:val="FootnoteText"/>
        <w:ind w:firstLine="425"/>
        <w:jc w:val="both"/>
      </w:pPr>
      <w:r>
        <w:rPr>
          <w:rStyle w:val="FootnoteReference"/>
        </w:rPr>
        <w:t>134</w:t>
      </w:r>
      <w:r>
        <w:t xml:space="preserve">  Wolf</w:t>
      </w:r>
      <w:r>
        <w:rPr>
          <w:rFonts w:hint="eastAsia"/>
        </w:rPr>
        <w:t>（</w:t>
      </w:r>
      <w:r>
        <w:t>1995</w:t>
      </w:r>
      <w:r>
        <w:rPr>
          <w:rFonts w:hint="eastAsia"/>
        </w:rPr>
        <w:t>年），</w:t>
      </w:r>
      <w:r>
        <w:t>Van den Ham, Roovers</w:t>
      </w:r>
      <w:r>
        <w:rPr>
          <w:rFonts w:hint="eastAsia"/>
        </w:rPr>
        <w:t>等（</w:t>
      </w:r>
      <w:r>
        <w:t>1995</w:t>
      </w:r>
      <w:r>
        <w:rPr>
          <w:rFonts w:hint="eastAsia"/>
        </w:rPr>
        <w:t>年），</w:t>
      </w:r>
      <w:r>
        <w:t>Zeldenrust, Van Zuthem</w:t>
      </w:r>
      <w:r>
        <w:rPr>
          <w:rFonts w:hint="eastAsia"/>
        </w:rPr>
        <w:t>（</w:t>
      </w:r>
      <w:r>
        <w:t>1996</w:t>
      </w:r>
      <w:r>
        <w:rPr>
          <w:rFonts w:hint="eastAsia"/>
        </w:rPr>
        <w:t>年）。</w:t>
      </w:r>
    </w:p>
  </w:footnote>
  <w:footnote w:id="180">
    <w:p w:rsidR="00000000" w:rsidRDefault="00000000">
      <w:pPr>
        <w:pStyle w:val="FootnoteText"/>
        <w:ind w:firstLine="425"/>
        <w:jc w:val="both"/>
      </w:pPr>
      <w:r>
        <w:rPr>
          <w:rStyle w:val="FootnoteReference"/>
        </w:rPr>
        <w:t>135</w:t>
      </w:r>
      <w:r>
        <w:t xml:space="preserve">  Ten Have</w:t>
      </w:r>
      <w:r>
        <w:rPr>
          <w:rFonts w:hint="eastAsia"/>
        </w:rPr>
        <w:t>等（</w:t>
      </w:r>
      <w:r>
        <w:t>1996</w:t>
      </w:r>
      <w:r>
        <w:rPr>
          <w:rFonts w:hint="eastAsia"/>
        </w:rPr>
        <w:t>年）。</w:t>
      </w:r>
    </w:p>
  </w:footnote>
  <w:footnote w:id="181">
    <w:p w:rsidR="00000000" w:rsidRDefault="00000000">
      <w:pPr>
        <w:pStyle w:val="FootnoteText"/>
        <w:ind w:firstLine="425"/>
        <w:jc w:val="both"/>
      </w:pPr>
      <w:r>
        <w:rPr>
          <w:rStyle w:val="FootnoteReference"/>
        </w:rPr>
        <w:t>136</w:t>
      </w:r>
      <w:r>
        <w:t xml:space="preserve">  Kooi, Donker</w:t>
      </w:r>
      <w:r>
        <w:rPr>
          <w:rFonts w:hint="eastAsia"/>
        </w:rPr>
        <w:t>（</w:t>
      </w:r>
      <w:r>
        <w:t>1991</w:t>
      </w:r>
      <w:r>
        <w:rPr>
          <w:rFonts w:hint="eastAsia"/>
        </w:rPr>
        <w:t>年）。</w:t>
      </w:r>
    </w:p>
  </w:footnote>
  <w:footnote w:id="182">
    <w:p w:rsidR="00000000" w:rsidRDefault="00000000">
      <w:pPr>
        <w:pStyle w:val="FootnoteText"/>
        <w:ind w:firstLine="425"/>
        <w:jc w:val="both"/>
      </w:pPr>
      <w:r>
        <w:rPr>
          <w:rStyle w:val="FootnoteReference"/>
        </w:rPr>
        <w:t>137</w:t>
      </w:r>
      <w:r>
        <w:t xml:space="preserve">  Van de Sande, Van Hoof</w:t>
      </w:r>
      <w:r>
        <w:rPr>
          <w:rFonts w:hint="eastAsia"/>
        </w:rPr>
        <w:t>等（</w:t>
      </w:r>
      <w:r>
        <w:t>1992</w:t>
      </w:r>
      <w:r>
        <w:rPr>
          <w:rFonts w:hint="eastAsia"/>
        </w:rPr>
        <w:t>年）。</w:t>
      </w:r>
    </w:p>
  </w:footnote>
  <w:footnote w:id="183">
    <w:p w:rsidR="00000000" w:rsidRDefault="00000000">
      <w:pPr>
        <w:pStyle w:val="FootnoteText"/>
        <w:ind w:firstLine="425"/>
        <w:jc w:val="both"/>
      </w:pPr>
      <w:r>
        <w:rPr>
          <w:rStyle w:val="FootnoteReference"/>
        </w:rPr>
        <w:t>138</w:t>
      </w:r>
      <w:r>
        <w:t xml:space="preserve">  Steketee</w:t>
      </w:r>
      <w:r>
        <w:rPr>
          <w:rFonts w:hint="eastAsia"/>
        </w:rPr>
        <w:t>（</w:t>
      </w:r>
      <w:r>
        <w:t>1995</w:t>
      </w:r>
      <w:r>
        <w:rPr>
          <w:rFonts w:hint="eastAsia"/>
        </w:rPr>
        <w:t>年）。</w:t>
      </w:r>
    </w:p>
  </w:footnote>
  <w:footnote w:id="184">
    <w:p w:rsidR="00000000" w:rsidRDefault="00000000">
      <w:pPr>
        <w:pStyle w:val="FootnoteText"/>
        <w:ind w:firstLine="425"/>
        <w:jc w:val="both"/>
      </w:pPr>
      <w:r>
        <w:rPr>
          <w:rStyle w:val="FootnoteReference"/>
        </w:rPr>
        <w:t>139</w:t>
      </w:r>
      <w:r>
        <w:t xml:space="preserve">  Boomsma, Warmerdam</w:t>
      </w:r>
      <w:r>
        <w:rPr>
          <w:rFonts w:hint="eastAsia"/>
        </w:rPr>
        <w:t>等（</w:t>
      </w:r>
      <w:r>
        <w:t>1995</w:t>
      </w:r>
      <w:r>
        <w:rPr>
          <w:rFonts w:hint="eastAsia"/>
        </w:rPr>
        <w:t>年）。</w:t>
      </w:r>
    </w:p>
  </w:footnote>
  <w:footnote w:id="185">
    <w:p w:rsidR="00000000" w:rsidRDefault="00000000">
      <w:pPr>
        <w:pStyle w:val="FootnoteText"/>
        <w:ind w:firstLine="425"/>
        <w:jc w:val="both"/>
      </w:pPr>
      <w:r>
        <w:rPr>
          <w:rStyle w:val="FootnoteReference"/>
        </w:rPr>
        <w:t>140</w:t>
      </w:r>
      <w:r>
        <w:t xml:space="preserve">  Gaal, Te Vaarwerk</w:t>
      </w:r>
      <w:r>
        <w:rPr>
          <w:rFonts w:hint="eastAsia"/>
        </w:rPr>
        <w:t>（</w:t>
      </w:r>
      <w:r>
        <w:t>1993</w:t>
      </w:r>
      <w:r>
        <w:rPr>
          <w:rFonts w:hint="eastAsia"/>
        </w:rPr>
        <w:t>年）。</w:t>
      </w:r>
    </w:p>
  </w:footnote>
  <w:footnote w:id="186">
    <w:p w:rsidR="00000000" w:rsidRDefault="00000000">
      <w:pPr>
        <w:pStyle w:val="FootnoteText"/>
        <w:ind w:firstLine="425"/>
        <w:jc w:val="both"/>
      </w:pPr>
      <w:r>
        <w:rPr>
          <w:rStyle w:val="FootnoteReference"/>
        </w:rPr>
        <w:t>141</w:t>
      </w:r>
      <w:r>
        <w:t xml:space="preserve">  Heise</w:t>
      </w:r>
      <w:r>
        <w:rPr>
          <w:rFonts w:hint="eastAsia"/>
        </w:rPr>
        <w:t>（</w:t>
      </w:r>
      <w:r>
        <w:t>1994</w:t>
      </w:r>
      <w:r>
        <w:rPr>
          <w:rFonts w:hint="eastAsia"/>
        </w:rPr>
        <w:t>年）。</w:t>
      </w:r>
    </w:p>
  </w:footnote>
  <w:footnote w:id="187">
    <w:p w:rsidR="00000000" w:rsidRDefault="00000000">
      <w:pPr>
        <w:pStyle w:val="FootnoteText"/>
        <w:ind w:firstLine="425"/>
        <w:jc w:val="both"/>
      </w:pPr>
      <w:r>
        <w:rPr>
          <w:rStyle w:val="FootnoteReference"/>
        </w:rPr>
        <w:t>142</w:t>
      </w:r>
      <w:r>
        <w:t xml:space="preserve">  </w:t>
      </w:r>
      <w:r>
        <w:rPr>
          <w:rFonts w:hint="eastAsia"/>
        </w:rPr>
        <w:t>下院议事录，</w:t>
      </w:r>
      <w:r>
        <w:t>1990</w:t>
      </w:r>
      <w:r>
        <w:rPr>
          <w:rFonts w:hint="eastAsia"/>
        </w:rPr>
        <w:t>－</w:t>
      </w:r>
      <w:r>
        <w:t>1991</w:t>
      </w:r>
      <w:r>
        <w:rPr>
          <w:rFonts w:hint="eastAsia"/>
        </w:rPr>
        <w:t>年，</w:t>
      </w:r>
      <w:r>
        <w:t>18 542</w:t>
      </w:r>
      <w:r>
        <w:rPr>
          <w:rFonts w:hint="eastAsia"/>
        </w:rPr>
        <w:t>，第</w:t>
      </w:r>
      <w:r>
        <w:t>19</w:t>
      </w:r>
      <w:r>
        <w:rPr>
          <w:rFonts w:hint="eastAsia"/>
        </w:rPr>
        <w:t>号。</w:t>
      </w:r>
    </w:p>
  </w:footnote>
  <w:footnote w:id="188">
    <w:p w:rsidR="00000000" w:rsidRDefault="00000000">
      <w:pPr>
        <w:pStyle w:val="FootnoteText"/>
        <w:ind w:firstLine="425"/>
        <w:jc w:val="both"/>
      </w:pPr>
      <w:r>
        <w:rPr>
          <w:rStyle w:val="FootnoteReference"/>
        </w:rPr>
        <w:t>143</w:t>
      </w:r>
      <w:r>
        <w:t xml:space="preserve">  </w:t>
      </w:r>
      <w:r>
        <w:rPr>
          <w:rFonts w:hint="eastAsia"/>
        </w:rPr>
        <w:t>下院议事录，</w:t>
      </w:r>
      <w:r>
        <w:t>1995</w:t>
      </w:r>
      <w:r>
        <w:rPr>
          <w:rFonts w:hint="eastAsia"/>
        </w:rPr>
        <w:t>－</w:t>
      </w:r>
      <w:r>
        <w:t>1996</w:t>
      </w:r>
      <w:r>
        <w:rPr>
          <w:rFonts w:hint="eastAsia"/>
        </w:rPr>
        <w:t>年，</w:t>
      </w:r>
      <w:r>
        <w:t>24 406</w:t>
      </w:r>
      <w:r>
        <w:rPr>
          <w:rFonts w:hint="eastAsia"/>
        </w:rPr>
        <w:t>，第</w:t>
      </w:r>
      <w:r>
        <w:t>1</w:t>
      </w:r>
      <w:r>
        <w:rPr>
          <w:rFonts w:hint="eastAsia"/>
        </w:rPr>
        <w:t>号，第</w:t>
      </w:r>
      <w:r>
        <w:t>8</w:t>
      </w:r>
      <w:r>
        <w:rPr>
          <w:rFonts w:hint="eastAsia"/>
        </w:rPr>
        <w:t>页。</w:t>
      </w:r>
    </w:p>
  </w:footnote>
  <w:footnote w:id="189">
    <w:p w:rsidR="00000000" w:rsidRDefault="00000000">
      <w:pPr>
        <w:pStyle w:val="FootnoteText"/>
        <w:ind w:firstLine="425"/>
        <w:jc w:val="both"/>
      </w:pPr>
      <w:r>
        <w:rPr>
          <w:rStyle w:val="FootnoteReference"/>
        </w:rPr>
        <w:t>144</w:t>
      </w:r>
      <w:r>
        <w:t xml:space="preserve">  Kool</w:t>
      </w:r>
      <w:r>
        <w:rPr>
          <w:rFonts w:hint="eastAsia"/>
        </w:rPr>
        <w:t>（</w:t>
      </w:r>
      <w:r>
        <w:t>1995</w:t>
      </w:r>
      <w:r>
        <w:rPr>
          <w:rFonts w:hint="eastAsia"/>
        </w:rPr>
        <w:t>年</w:t>
      </w:r>
      <w:r>
        <w:t>b</w:t>
      </w:r>
      <w:r>
        <w:rPr>
          <w:rFonts w:hint="eastAsia"/>
        </w:rPr>
        <w:t>）。也见：</w:t>
      </w:r>
      <w:r>
        <w:t>Van der Neut, Wedzinga</w:t>
      </w:r>
      <w:r>
        <w:rPr>
          <w:rFonts w:hint="eastAsia"/>
        </w:rPr>
        <w:t>（</w:t>
      </w:r>
      <w:r>
        <w:t>1995</w:t>
      </w:r>
      <w:r>
        <w:rPr>
          <w:rFonts w:hint="eastAsia"/>
        </w:rPr>
        <w:t>年）。</w:t>
      </w:r>
      <w:r>
        <w:t>Schuijer</w:t>
      </w:r>
      <w:r>
        <w:rPr>
          <w:rFonts w:hint="eastAsia"/>
        </w:rPr>
        <w:t>（</w:t>
      </w:r>
      <w:r>
        <w:t>1996</w:t>
      </w:r>
      <w:r>
        <w:rPr>
          <w:rFonts w:hint="eastAsia"/>
        </w:rPr>
        <w:t>年）。</w:t>
      </w:r>
    </w:p>
  </w:footnote>
  <w:footnote w:id="190">
    <w:p w:rsidR="00000000" w:rsidRDefault="00000000">
      <w:pPr>
        <w:pStyle w:val="FootnoteText"/>
        <w:ind w:firstLine="425"/>
        <w:jc w:val="both"/>
      </w:pPr>
      <w:r>
        <w:rPr>
          <w:rStyle w:val="FootnoteReference"/>
        </w:rPr>
        <w:t>145</w:t>
      </w:r>
      <w:r>
        <w:t xml:space="preserve">  </w:t>
      </w:r>
      <w:r>
        <w:rPr>
          <w:rFonts w:hint="eastAsia"/>
        </w:rPr>
        <w:t>荷兰的第一次报告，政策目标</w:t>
      </w:r>
      <w:r>
        <w:t>2</w:t>
      </w:r>
      <w:r>
        <w:rPr>
          <w:rFonts w:hint="eastAsia"/>
        </w:rPr>
        <w:t>，第</w:t>
      </w:r>
      <w:r>
        <w:t>52</w:t>
      </w:r>
      <w:r>
        <w:rPr>
          <w:rFonts w:hint="eastAsia"/>
        </w:rPr>
        <w:t>页。</w:t>
      </w:r>
    </w:p>
  </w:footnote>
  <w:footnote w:id="191">
    <w:p w:rsidR="00000000" w:rsidRDefault="00000000">
      <w:pPr>
        <w:pStyle w:val="FootnoteText"/>
        <w:ind w:firstLine="425"/>
        <w:jc w:val="both"/>
      </w:pPr>
      <w:r>
        <w:rPr>
          <w:rStyle w:val="FootnoteReference"/>
        </w:rPr>
        <w:t>146</w:t>
      </w:r>
      <w:r>
        <w:t xml:space="preserve">  Hes, Van Ringen</w:t>
      </w:r>
      <w:r>
        <w:rPr>
          <w:rFonts w:hint="eastAsia"/>
        </w:rPr>
        <w:t>（</w:t>
      </w:r>
      <w:r>
        <w:t>1987</w:t>
      </w:r>
      <w:r>
        <w:rPr>
          <w:rFonts w:hint="eastAsia"/>
        </w:rPr>
        <w:t>年）。</w:t>
      </w:r>
    </w:p>
  </w:footnote>
  <w:footnote w:id="192">
    <w:p w:rsidR="00000000" w:rsidRDefault="00000000">
      <w:pPr>
        <w:pStyle w:val="FootnoteText"/>
        <w:ind w:firstLine="425"/>
        <w:jc w:val="both"/>
      </w:pPr>
      <w:r>
        <w:rPr>
          <w:rStyle w:val="FootnoteReference"/>
        </w:rPr>
        <w:t>147</w:t>
      </w:r>
      <w:r>
        <w:t xml:space="preserve">  Haveman, Hes</w:t>
      </w:r>
      <w:r>
        <w:rPr>
          <w:rFonts w:hint="eastAsia"/>
        </w:rPr>
        <w:t>（</w:t>
      </w:r>
      <w:r>
        <w:t>1994</w:t>
      </w:r>
      <w:r>
        <w:rPr>
          <w:rFonts w:hint="eastAsia"/>
        </w:rPr>
        <w:t>年），第</w:t>
      </w:r>
      <w:r>
        <w:t>72</w:t>
      </w:r>
      <w:r>
        <w:rPr>
          <w:rFonts w:hint="eastAsia"/>
        </w:rPr>
        <w:t>页。</w:t>
      </w:r>
    </w:p>
  </w:footnote>
  <w:footnote w:id="193">
    <w:p w:rsidR="00000000" w:rsidRDefault="00000000">
      <w:pPr>
        <w:pStyle w:val="FootnoteText"/>
        <w:ind w:firstLine="425"/>
        <w:jc w:val="both"/>
      </w:pPr>
      <w:r>
        <w:rPr>
          <w:rStyle w:val="FootnoteReference"/>
        </w:rPr>
        <w:t>148</w:t>
      </w:r>
      <w:r>
        <w:t xml:space="preserve">  Van Walsum</w:t>
      </w:r>
      <w:r>
        <w:rPr>
          <w:rFonts w:hint="eastAsia"/>
        </w:rPr>
        <w:t>（</w:t>
      </w:r>
      <w:r>
        <w:t>1996</w:t>
      </w:r>
      <w:r>
        <w:rPr>
          <w:rFonts w:hint="eastAsia"/>
        </w:rPr>
        <w:t>年）。</w:t>
      </w:r>
    </w:p>
  </w:footnote>
  <w:footnote w:id="194">
    <w:p w:rsidR="00000000" w:rsidRDefault="00000000">
      <w:pPr>
        <w:pStyle w:val="FootnoteText"/>
        <w:ind w:firstLine="425"/>
        <w:jc w:val="both"/>
      </w:pPr>
      <w:r>
        <w:rPr>
          <w:rStyle w:val="FootnoteReference"/>
        </w:rPr>
        <w:t>149</w:t>
      </w:r>
      <w:r>
        <w:t xml:space="preserve">  </w:t>
      </w:r>
      <w:r>
        <w:rPr>
          <w:rFonts w:hint="eastAsia"/>
        </w:rPr>
        <w:t>《联系法》：旨在不允许非法移民得到社会保障。它准备与数据库连结，以便有效交换关于公民地位的信息。市行政办公室也将与该系统连接，从而使它们能够利用数据库核实申请社会保障津贴的人员的地位。</w:t>
      </w:r>
    </w:p>
  </w:footnote>
  <w:footnote w:id="195">
    <w:p w:rsidR="00000000" w:rsidRDefault="00000000">
      <w:pPr>
        <w:pStyle w:val="FootnoteText"/>
        <w:ind w:firstLine="425"/>
        <w:jc w:val="both"/>
      </w:pPr>
      <w:r>
        <w:rPr>
          <w:rStyle w:val="FootnoteReference"/>
        </w:rPr>
        <w:t>150</w:t>
      </w:r>
      <w:r>
        <w:t xml:space="preserve">   </w:t>
      </w:r>
      <w:r>
        <w:rPr>
          <w:rFonts w:hint="eastAsia"/>
        </w:rPr>
        <w:t>下院议事录，</w:t>
      </w:r>
      <w:r>
        <w:t>1994</w:t>
      </w:r>
      <w:r>
        <w:rPr>
          <w:rFonts w:hint="eastAsia"/>
        </w:rPr>
        <w:t>－</w:t>
      </w:r>
      <w:r>
        <w:t>1995</w:t>
      </w:r>
      <w:r>
        <w:rPr>
          <w:rFonts w:hint="eastAsia"/>
        </w:rPr>
        <w:t>年，</w:t>
      </w:r>
      <w:r>
        <w:t>24 233</w:t>
      </w:r>
      <w:r>
        <w:rPr>
          <w:rFonts w:hint="eastAsia"/>
        </w:rPr>
        <w:t>。见：</w:t>
      </w:r>
      <w:r>
        <w:t>Hendriks</w:t>
      </w:r>
      <w:r>
        <w:rPr>
          <w:rFonts w:hint="eastAsia"/>
        </w:rPr>
        <w:t>（</w:t>
      </w:r>
      <w:r>
        <w:t>1996</w:t>
      </w:r>
      <w:r>
        <w:rPr>
          <w:rFonts w:hint="eastAsia"/>
        </w:rPr>
        <w:t>年）。</w:t>
      </w:r>
    </w:p>
  </w:footnote>
  <w:footnote w:id="196">
    <w:p w:rsidR="00000000" w:rsidRDefault="00000000">
      <w:pPr>
        <w:pStyle w:val="FootnoteText"/>
        <w:ind w:firstLine="425"/>
        <w:jc w:val="both"/>
      </w:pPr>
      <w:r>
        <w:rPr>
          <w:rStyle w:val="FootnoteReference"/>
        </w:rPr>
        <w:t>151</w:t>
      </w:r>
      <w:r>
        <w:t xml:space="preserve">  </w:t>
      </w:r>
      <w:r>
        <w:rPr>
          <w:rFonts w:hint="eastAsia"/>
        </w:rPr>
        <w:t>第</w:t>
      </w:r>
      <w:r>
        <w:t>19</w:t>
      </w:r>
      <w:r>
        <w:rPr>
          <w:rFonts w:hint="eastAsia"/>
        </w:rPr>
        <w:t>号一般性建议，</w:t>
      </w:r>
      <w:r>
        <w:t>b</w:t>
      </w:r>
      <w:r>
        <w:rPr>
          <w:rFonts w:hint="eastAsia"/>
        </w:rPr>
        <w:t>下第</w:t>
      </w:r>
      <w:r>
        <w:t>24</w:t>
      </w:r>
      <w:r>
        <w:rPr>
          <w:rFonts w:hint="eastAsia"/>
        </w:rPr>
        <w:t>条。</w:t>
      </w:r>
    </w:p>
  </w:footnote>
  <w:footnote w:id="197">
    <w:p w:rsidR="00000000" w:rsidRDefault="00000000">
      <w:pPr>
        <w:pStyle w:val="FootnoteText"/>
        <w:ind w:firstLine="425"/>
        <w:jc w:val="both"/>
      </w:pPr>
      <w:r>
        <w:rPr>
          <w:rStyle w:val="FootnoteReference"/>
        </w:rPr>
        <w:t>152</w:t>
      </w:r>
      <w:r>
        <w:t xml:space="preserve">  </w:t>
      </w:r>
      <w:r>
        <w:rPr>
          <w:rFonts w:hint="eastAsia"/>
        </w:rPr>
        <w:t>荷兰的第一次报告，政策目标</w:t>
      </w:r>
      <w:r>
        <w:t>3</w:t>
      </w:r>
      <w:r>
        <w:rPr>
          <w:rFonts w:hint="eastAsia"/>
        </w:rPr>
        <w:t>，第</w:t>
      </w:r>
      <w:r>
        <w:t>52</w:t>
      </w:r>
      <w:r>
        <w:rPr>
          <w:rFonts w:hint="eastAsia"/>
        </w:rPr>
        <w:t>页。</w:t>
      </w:r>
    </w:p>
  </w:footnote>
  <w:footnote w:id="198">
    <w:p w:rsidR="00000000" w:rsidRDefault="00000000">
      <w:pPr>
        <w:pStyle w:val="FootnoteText"/>
        <w:ind w:firstLine="425"/>
        <w:jc w:val="both"/>
      </w:pPr>
      <w:r>
        <w:rPr>
          <w:rStyle w:val="FootnoteReference"/>
        </w:rPr>
        <w:t>153</w:t>
      </w:r>
      <w:r>
        <w:t xml:space="preserve">  Van Dijk</w:t>
      </w:r>
      <w:r>
        <w:rPr>
          <w:rFonts w:hint="eastAsia"/>
        </w:rPr>
        <w:t>等（</w:t>
      </w:r>
      <w:r>
        <w:t>1996</w:t>
      </w:r>
      <w:r>
        <w:rPr>
          <w:rFonts w:hint="eastAsia"/>
        </w:rPr>
        <w:t>年）。</w:t>
      </w:r>
    </w:p>
  </w:footnote>
  <w:footnote w:id="199">
    <w:p w:rsidR="00000000" w:rsidRDefault="00000000">
      <w:pPr>
        <w:pStyle w:val="FootnoteText"/>
        <w:ind w:firstLine="425"/>
        <w:jc w:val="both"/>
      </w:pPr>
      <w:r>
        <w:rPr>
          <w:rStyle w:val="FootnoteReference"/>
        </w:rPr>
        <w:t>154</w:t>
      </w:r>
      <w:r>
        <w:t xml:space="preserve">  Ankon</w:t>
      </w:r>
      <w:r>
        <w:sym w:font="Courier New" w:char="00E9"/>
      </w:r>
      <w:r>
        <w:rPr>
          <w:rFonts w:hint="eastAsia"/>
        </w:rPr>
        <w:t>（</w:t>
      </w:r>
      <w:r>
        <w:t>1995</w:t>
      </w:r>
      <w:r>
        <w:rPr>
          <w:rFonts w:hint="eastAsia"/>
        </w:rPr>
        <w:t>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2050"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CEDAW/C/NET/2</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2049"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CEDAW/C/NET/2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/C/NET/2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15 March 2000</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9F41296"/>
    <w:lvl w:ilvl="0">
      <w:numFmt w:val="decimal"/>
      <w:lvlText w:val="*"/>
      <w:lvlJc w:val="left"/>
    </w:lvl>
  </w:abstractNum>
  <w:abstractNum w:abstractNumId="1">
    <w:nsid w:val="3A132A9F"/>
    <w:multiLevelType w:val="singleLevel"/>
    <w:tmpl w:val="9F6C82D4"/>
    <w:lvl w:ilvl="0">
      <w:start w:val="1"/>
      <w:numFmt w:val="lowerLetter"/>
      <w:lvlText w:val="%1"/>
      <w:legacy w:legacy="1" w:legacySpace="0" w:legacyIndent="425"/>
      <w:lvlJc w:val="left"/>
      <w:pPr>
        <w:ind w:left="850" w:hanging="425"/>
      </w:pPr>
    </w:lvl>
  </w:abstractNum>
  <w:abstractNum w:abstractNumId="2">
    <w:nsid w:val="3F2831CD"/>
    <w:multiLevelType w:val="singleLevel"/>
    <w:tmpl w:val="96D61A0E"/>
    <w:lvl w:ilvl="0">
      <w:start w:val="1"/>
      <w:numFmt w:val="decimal"/>
      <w:lvlText w:val="%1."/>
      <w:legacy w:legacy="1" w:legacySpace="0" w:legacyIndent="-425"/>
      <w:lvlJc w:val="left"/>
      <w:pPr>
        <w:ind w:left="0" w:firstLine="425"/>
      </w:pPr>
    </w:lvl>
  </w:abstractNum>
  <w:abstractNum w:abstractNumId="3">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3"/>
  </w:num>
  <w:num w:numId="2">
    <w:abstractNumId w:val="3"/>
  </w:num>
  <w:num w:numId="3">
    <w:abstractNumId w:val="3"/>
  </w:num>
  <w:num w:numId="4">
    <w:abstractNumId w:val="3"/>
  </w:num>
  <w:num w:numId="5">
    <w:abstractNumId w:val="3"/>
  </w:num>
  <w:num w:numId="6">
    <w:abstractNumId w:val="3"/>
  </w:num>
  <w:num w:numId="7">
    <w:abstractNumId w:val="3"/>
  </w:num>
  <w:num w:numId="8">
    <w:abstractNumId w:val="3"/>
  </w:num>
  <w:num w:numId="9">
    <w:abstractNumId w:val="3"/>
  </w:num>
  <w:num w:numId="10">
    <w:abstractNumId w:val="0"/>
    <w:lvlOverride w:ilvl="0">
      <w:lvl w:ilvl="0">
        <w:start w:val="1"/>
        <w:numFmt w:val="bullet"/>
        <w:lvlText w:val=""/>
        <w:legacy w:legacy="1" w:legacySpace="0" w:legacyIndent="425"/>
        <w:lvlJc w:val="left"/>
        <w:pPr>
          <w:ind w:left="850" w:hanging="425"/>
        </w:pPr>
        <w:rPr>
          <w:rFonts w:ascii="Wingdings" w:hAnsi="Wingdings" w:hint="default"/>
        </w:rPr>
      </w:lvl>
    </w:lvlOverride>
  </w:num>
  <w:num w:numId="11">
    <w:abstractNumId w:val="0"/>
    <w:lvlOverride w:ilvl="0">
      <w:lvl w:ilvl="0">
        <w:start w:val="1"/>
        <w:numFmt w:val="bullet"/>
        <w:lvlText w:val=""/>
        <w:legacy w:legacy="1" w:legacySpace="0" w:legacyIndent="-425"/>
        <w:lvlJc w:val="left"/>
        <w:pPr>
          <w:ind w:left="0" w:firstLine="425"/>
        </w:pPr>
        <w:rPr>
          <w:rFonts w:ascii="Wingdings" w:hAnsi="Wingdings" w:hint="default"/>
        </w:rPr>
      </w:lvl>
    </w:lvlOverride>
  </w:num>
  <w:num w:numId="12">
    <w:abstractNumId w:val="1"/>
  </w:num>
  <w:num w:numId="13">
    <w:abstractNumId w:val="2"/>
  </w:num>
  <w:num w:numId="14">
    <w:abstractNumId w:val="0"/>
    <w:lvlOverride w:ilvl="0">
      <w:lvl w:ilvl="0">
        <w:start w:val="1"/>
        <w:numFmt w:val="bullet"/>
        <w:lvlText w:val=""/>
        <w:legacy w:legacy="1" w:legacySpace="0" w:legacyIndent="425"/>
        <w:lvlJc w:val="left"/>
        <w:pPr>
          <w:ind w:left="850" w:hanging="425"/>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2"/>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04/2000 3:13: PM"/>
    <w:docVar w:name="DocCategory" w:val="Doc"/>
    <w:docVar w:name="DocType" w:val="Final"/>
    <w:docVar w:name="JobNo" w:val="0022283C"/>
    <w:docVar w:name="OandT" w:val="sheng"/>
    <w:docVar w:name="Symbol1" w:val="CEDAW/C/NET/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SingleTxt"/>
    <w:pPr>
      <w:keepNext/>
      <w:keepLines/>
      <w:tabs>
        <w:tab w:val="left" w:pos="431"/>
      </w:tabs>
      <w:suppressAutoHyphens/>
      <w:outlineLvl w:val="3"/>
    </w:pPr>
    <w:rPr>
      <w:rFonts w:ascii="KaiTi_GB2312" w:eastAsia="KaiTi_GB2312"/>
      <w:noProof/>
      <w:color w:val="0000FF"/>
      <w:w w:val="103"/>
    </w:r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H56">
    <w:name w:val="_ H_5/6"/>
    <w:basedOn w:val="Normal"/>
    <w:next w:val="SingleTxt"/>
    <w:pPr>
      <w:keepNext/>
      <w:keepLines/>
      <w:tabs>
        <w:tab w:val="right" w:pos="360"/>
      </w:tabs>
      <w:suppressAutoHyphens/>
      <w:outlineLvl w:val="4"/>
    </w:pPr>
    <w:rPr>
      <w:noProof/>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character" w:styleId="Hyperlink">
    <w:name w:val="Hyperlink"/>
    <w:semiHidden/>
    <w:rPr>
      <w:color w:val="0000FF"/>
      <w:u w:val="single"/>
    </w:rPr>
  </w:style>
  <w:style w:type="paragraph" w:customStyle="1" w:styleId="1">
    <w:name w:val="样式1"/>
    <w:basedOn w:val="Normal"/>
  </w:style>
  <w:style w:type="paragraph" w:styleId="CommentText">
    <w:name w:val="annotation text"/>
    <w:basedOn w:val="Normal"/>
    <w:semiHidden/>
  </w:style>
  <w:style w:type="paragraph" w:customStyle="1" w:styleId="Date1">
    <w:name w:val="Date1"/>
    <w:basedOn w:val="Normal"/>
    <w:next w:val="Normal"/>
    <w:pPr>
      <w:widowControl w:val="0"/>
      <w:adjustRightInd w:val="0"/>
      <w:spacing w:line="240" w:lineRule="auto"/>
      <w:jc w:val="both"/>
      <w:textAlignment w:val="baseline"/>
    </w:pPr>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8649</Words>
  <Characters>9514</Characters>
  <Application>Microsoft Office Word</Application>
  <DocSecurity>4</DocSecurity>
  <Lines>306</Lines>
  <Paragraphs>85</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60543</CharactersWithSpaces>
  <SharedDoc>false</SharedDoc>
  <HLinks>
    <vt:vector size="6" baseType="variant">
      <vt:variant>
        <vt:i4>4522087</vt:i4>
      </vt:variant>
      <vt:variant>
        <vt:i4>233952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9</cp:revision>
  <cp:lastPrinted>2000-04-11T13:43:00Z</cp:lastPrinted>
  <dcterms:created xsi:type="dcterms:W3CDTF">2000-04-11T13:13:00Z</dcterms:created>
  <dcterms:modified xsi:type="dcterms:W3CDTF">2000-04-11T13:44:00Z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0022283</vt:lpwstr>
  </property>
  <property fmtid="{D5CDD505-2E9C-101B-9397-08002B2CF9AE}" pid="3" name="Symbol1">
    <vt:lpwstr>CEDAW/C/NET/2</vt:lpwstr>
  </property>
  <property fmtid="{D5CDD505-2E9C-101B-9397-08002B2CF9AE}" pid="4" name="Symbol2">
    <vt:lpwstr/>
  </property>
  <property fmtid="{D5CDD505-2E9C-101B-9397-08002B2CF9AE}" pid="5" name="Translator">
    <vt:lpwstr/>
  </property>
  <property fmtid="{D5CDD505-2E9C-101B-9397-08002B2CF9AE}" pid="6" name="Operator">
    <vt:lpwstr>sheng</vt:lpwstr>
  </property>
  <property fmtid="{D5CDD505-2E9C-101B-9397-08002B2CF9AE}" pid="7" name="DraftPages">
    <vt:lpwstr> </vt:lpwstr>
  </property>
  <property fmtid="{D5CDD505-2E9C-101B-9397-08002B2CF9AE}" pid="8" name="Comment">
    <vt:lpwstr/>
  </property>
</Properties>
</file>